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9985A0" w14:textId="77777777" w:rsidR="00A74DB0" w:rsidRDefault="004B3348">
      <w:pPr>
        <w:spacing w:line="360" w:lineRule="auto"/>
        <w:ind w:hanging="2"/>
        <w:rPr>
          <w:rFonts w:ascii="Arial" w:eastAsia="Arial" w:hAnsi="Arial" w:cs="Arial"/>
        </w:rPr>
      </w:pPr>
      <w:r>
        <w:rPr>
          <w:rFonts w:ascii="Arial" w:eastAsia="Arial" w:hAnsi="Arial" w:cs="Arial"/>
        </w:rPr>
        <w:t xml:space="preserve"> </w:t>
      </w:r>
    </w:p>
    <w:p w14:paraId="1F9985A1" w14:textId="77777777" w:rsidR="00A74DB0" w:rsidRDefault="00A74DB0">
      <w:pPr>
        <w:spacing w:line="360" w:lineRule="auto"/>
        <w:ind w:hanging="2"/>
        <w:rPr>
          <w:rFonts w:ascii="Arial" w:eastAsia="Arial" w:hAnsi="Arial" w:cs="Arial"/>
        </w:rPr>
      </w:pPr>
    </w:p>
    <w:p w14:paraId="1F9985A2" w14:textId="77777777" w:rsidR="00A74DB0" w:rsidRDefault="00A74DB0">
      <w:pPr>
        <w:spacing w:line="360" w:lineRule="auto"/>
        <w:ind w:hanging="2"/>
        <w:rPr>
          <w:rFonts w:ascii="Arial" w:eastAsia="Arial" w:hAnsi="Arial" w:cs="Arial"/>
        </w:rPr>
      </w:pPr>
    </w:p>
    <w:p w14:paraId="1F9985A3" w14:textId="77777777" w:rsidR="00A74DB0" w:rsidRDefault="00A74DB0">
      <w:pPr>
        <w:spacing w:line="360" w:lineRule="auto"/>
        <w:ind w:hanging="2"/>
        <w:rPr>
          <w:rFonts w:ascii="Arial" w:eastAsia="Arial" w:hAnsi="Arial" w:cs="Arial"/>
        </w:rPr>
      </w:pPr>
    </w:p>
    <w:p w14:paraId="1F9985A5" w14:textId="58AA425F" w:rsidR="00A74DB0" w:rsidRPr="005C4B99" w:rsidRDefault="004A2D04" w:rsidP="00C37479">
      <w:pPr>
        <w:spacing w:line="360" w:lineRule="auto"/>
        <w:ind w:firstLine="0"/>
        <w:rPr>
          <w:rFonts w:ascii="Arial" w:eastAsia="Arial" w:hAnsi="Arial" w:cs="Arial"/>
          <w:b/>
          <w:bCs/>
          <w:sz w:val="28"/>
          <w:szCs w:val="28"/>
        </w:rPr>
      </w:pPr>
      <w:r w:rsidRPr="005C4B99">
        <w:rPr>
          <w:rFonts w:ascii="Arial" w:eastAsia="Arial" w:hAnsi="Arial" w:cs="Arial"/>
          <w:b/>
          <w:bCs/>
          <w:sz w:val="28"/>
          <w:szCs w:val="28"/>
        </w:rPr>
        <w:t>MODULE</w:t>
      </w:r>
      <w:r>
        <w:rPr>
          <w:rFonts w:ascii="Arial" w:eastAsia="Arial" w:hAnsi="Arial" w:cs="Arial"/>
          <w:b/>
          <w:bCs/>
          <w:sz w:val="28"/>
          <w:szCs w:val="28"/>
        </w:rPr>
        <w:t>:</w:t>
      </w:r>
      <w:r w:rsidR="006254CE" w:rsidRPr="005C4B99">
        <w:rPr>
          <w:rFonts w:ascii="Arial" w:eastAsia="Arial" w:hAnsi="Arial" w:cs="Arial"/>
          <w:b/>
          <w:bCs/>
          <w:sz w:val="28"/>
          <w:szCs w:val="28"/>
        </w:rPr>
        <w:t xml:space="preserve">            </w:t>
      </w:r>
      <w:r w:rsidR="00B72652" w:rsidRPr="005C4B99">
        <w:rPr>
          <w:rFonts w:ascii="Arial" w:eastAsia="Arial" w:hAnsi="Arial" w:cs="Arial"/>
          <w:b/>
          <w:bCs/>
          <w:sz w:val="28"/>
          <w:szCs w:val="28"/>
        </w:rPr>
        <w:t xml:space="preserve">        </w:t>
      </w:r>
      <w:r w:rsidR="00A80B05" w:rsidRPr="005C4B99">
        <w:rPr>
          <w:rFonts w:ascii="Arial" w:eastAsia="Arial" w:hAnsi="Arial" w:cs="Arial"/>
          <w:b/>
          <w:bCs/>
          <w:sz w:val="28"/>
          <w:szCs w:val="28"/>
        </w:rPr>
        <w:t xml:space="preserve">    </w:t>
      </w:r>
      <w:r>
        <w:rPr>
          <w:rFonts w:ascii="Arial" w:eastAsia="Arial" w:hAnsi="Arial" w:cs="Arial"/>
          <w:b/>
          <w:bCs/>
          <w:sz w:val="28"/>
          <w:szCs w:val="28"/>
        </w:rPr>
        <w:t xml:space="preserve"> </w:t>
      </w:r>
      <w:r w:rsidR="008C4CEC" w:rsidRPr="005C4B99">
        <w:rPr>
          <w:rFonts w:ascii="Arial" w:eastAsia="Arial" w:hAnsi="Arial" w:cs="Arial"/>
          <w:b/>
          <w:bCs/>
          <w:sz w:val="28"/>
          <w:szCs w:val="28"/>
        </w:rPr>
        <w:t>I</w:t>
      </w:r>
      <w:r w:rsidR="00124A35" w:rsidRPr="005C4B99">
        <w:rPr>
          <w:rFonts w:ascii="Arial" w:eastAsia="Arial" w:hAnsi="Arial" w:cs="Arial"/>
          <w:b/>
          <w:bCs/>
          <w:sz w:val="28"/>
          <w:szCs w:val="28"/>
        </w:rPr>
        <w:t>NTRODUCTION TO PUBLIC HEALTH</w:t>
      </w:r>
    </w:p>
    <w:p w14:paraId="34A96D57" w14:textId="77777777" w:rsidR="005F4D76" w:rsidRDefault="005F4D76" w:rsidP="00C37479">
      <w:pPr>
        <w:spacing w:line="360" w:lineRule="auto"/>
        <w:ind w:hanging="2"/>
        <w:rPr>
          <w:rFonts w:ascii="Arial" w:eastAsia="Arial" w:hAnsi="Arial" w:cs="Arial"/>
          <w:b/>
          <w:bCs/>
          <w:sz w:val="28"/>
          <w:szCs w:val="28"/>
        </w:rPr>
      </w:pPr>
    </w:p>
    <w:p w14:paraId="38A90327" w14:textId="5E3F122F" w:rsidR="00C74047" w:rsidRPr="005C4B99" w:rsidRDefault="001F6206" w:rsidP="00C37479">
      <w:pPr>
        <w:spacing w:line="360" w:lineRule="auto"/>
        <w:ind w:hanging="2"/>
        <w:rPr>
          <w:rFonts w:ascii="Arial" w:eastAsia="Arial" w:hAnsi="Arial" w:cs="Arial"/>
          <w:b/>
          <w:bCs/>
          <w:sz w:val="28"/>
          <w:szCs w:val="28"/>
        </w:rPr>
      </w:pPr>
      <w:r w:rsidRPr="005C4B99">
        <w:rPr>
          <w:rFonts w:ascii="Arial" w:eastAsia="Arial" w:hAnsi="Arial" w:cs="Arial"/>
          <w:b/>
          <w:bCs/>
          <w:sz w:val="28"/>
          <w:szCs w:val="28"/>
        </w:rPr>
        <w:t>M</w:t>
      </w:r>
      <w:r w:rsidR="00124A35" w:rsidRPr="005C4B99">
        <w:rPr>
          <w:rFonts w:ascii="Arial" w:eastAsia="Arial" w:hAnsi="Arial" w:cs="Arial"/>
          <w:b/>
          <w:bCs/>
          <w:sz w:val="28"/>
          <w:szCs w:val="28"/>
        </w:rPr>
        <w:t xml:space="preserve">ODULE </w:t>
      </w:r>
      <w:r w:rsidR="004A2D04" w:rsidRPr="005C4B99">
        <w:rPr>
          <w:rFonts w:ascii="Arial" w:eastAsia="Arial" w:hAnsi="Arial" w:cs="Arial"/>
          <w:b/>
          <w:bCs/>
          <w:sz w:val="28"/>
          <w:szCs w:val="28"/>
        </w:rPr>
        <w:t>CODE</w:t>
      </w:r>
      <w:r w:rsidR="004A2D04">
        <w:rPr>
          <w:rFonts w:ascii="Arial" w:eastAsia="Arial" w:hAnsi="Arial" w:cs="Arial"/>
          <w:b/>
          <w:bCs/>
          <w:sz w:val="28"/>
          <w:szCs w:val="28"/>
        </w:rPr>
        <w:t>:</w:t>
      </w:r>
      <w:r w:rsidR="006254CE" w:rsidRPr="005C4B99">
        <w:rPr>
          <w:rFonts w:ascii="Arial" w:eastAsia="Arial" w:hAnsi="Arial" w:cs="Arial"/>
          <w:b/>
          <w:bCs/>
          <w:sz w:val="28"/>
          <w:szCs w:val="28"/>
        </w:rPr>
        <w:t xml:space="preserve"> </w:t>
      </w:r>
      <w:r w:rsidR="00B72652" w:rsidRPr="005C4B99">
        <w:rPr>
          <w:rFonts w:ascii="Arial" w:eastAsia="Arial" w:hAnsi="Arial" w:cs="Arial"/>
          <w:b/>
          <w:bCs/>
          <w:sz w:val="28"/>
          <w:szCs w:val="28"/>
        </w:rPr>
        <w:t xml:space="preserve">         </w:t>
      </w:r>
      <w:r w:rsidRPr="005C4B99">
        <w:rPr>
          <w:rFonts w:ascii="Arial" w:eastAsia="Arial" w:hAnsi="Arial" w:cs="Arial"/>
          <w:b/>
          <w:bCs/>
          <w:sz w:val="28"/>
          <w:szCs w:val="28"/>
        </w:rPr>
        <w:t xml:space="preserve"> </w:t>
      </w:r>
      <w:r w:rsidR="00A80B05" w:rsidRPr="005C4B99">
        <w:rPr>
          <w:rFonts w:ascii="Arial" w:eastAsia="Arial" w:hAnsi="Arial" w:cs="Arial"/>
          <w:b/>
          <w:bCs/>
          <w:sz w:val="28"/>
          <w:szCs w:val="28"/>
        </w:rPr>
        <w:t xml:space="preserve">  </w:t>
      </w:r>
      <w:r w:rsidR="004A2D04">
        <w:rPr>
          <w:rFonts w:ascii="Arial" w:eastAsia="Arial" w:hAnsi="Arial" w:cs="Arial"/>
          <w:b/>
          <w:bCs/>
          <w:sz w:val="28"/>
          <w:szCs w:val="28"/>
        </w:rPr>
        <w:t xml:space="preserve"> </w:t>
      </w:r>
      <w:r w:rsidRPr="005C4B99">
        <w:rPr>
          <w:rFonts w:ascii="Arial" w:eastAsia="Arial" w:hAnsi="Arial" w:cs="Arial"/>
          <w:b/>
          <w:bCs/>
          <w:sz w:val="28"/>
          <w:szCs w:val="28"/>
        </w:rPr>
        <w:t>L</w:t>
      </w:r>
      <w:r w:rsidR="00811203" w:rsidRPr="005C4B99">
        <w:rPr>
          <w:rFonts w:ascii="Arial" w:eastAsia="Arial" w:hAnsi="Arial" w:cs="Arial"/>
          <w:b/>
          <w:bCs/>
          <w:sz w:val="28"/>
          <w:szCs w:val="28"/>
        </w:rPr>
        <w:t>CHS4008</w:t>
      </w:r>
    </w:p>
    <w:p w14:paraId="0C8EB4E6" w14:textId="77777777" w:rsidR="005F4D76" w:rsidRDefault="005F4D76" w:rsidP="00C37479">
      <w:pPr>
        <w:spacing w:line="360" w:lineRule="auto"/>
        <w:ind w:hanging="2"/>
        <w:rPr>
          <w:rFonts w:ascii="Arial" w:eastAsia="Arial" w:hAnsi="Arial" w:cs="Arial"/>
          <w:b/>
          <w:bCs/>
          <w:sz w:val="28"/>
          <w:szCs w:val="28"/>
        </w:rPr>
      </w:pPr>
    </w:p>
    <w:p w14:paraId="2D20A061" w14:textId="62D47B65" w:rsidR="00811203" w:rsidRPr="005C4B99" w:rsidRDefault="00343E1F" w:rsidP="00C37479">
      <w:pPr>
        <w:spacing w:line="360" w:lineRule="auto"/>
        <w:ind w:hanging="2"/>
        <w:rPr>
          <w:rFonts w:ascii="Arial" w:eastAsia="Arial" w:hAnsi="Arial" w:cs="Arial"/>
          <w:b/>
          <w:bCs/>
          <w:sz w:val="28"/>
          <w:szCs w:val="28"/>
        </w:rPr>
      </w:pPr>
      <w:r w:rsidRPr="005C4B99">
        <w:rPr>
          <w:rFonts w:ascii="Arial" w:eastAsia="Arial" w:hAnsi="Arial" w:cs="Arial"/>
          <w:b/>
          <w:bCs/>
          <w:sz w:val="28"/>
          <w:szCs w:val="28"/>
        </w:rPr>
        <w:t xml:space="preserve">STUDENT’S </w:t>
      </w:r>
      <w:r w:rsidR="004A2D04" w:rsidRPr="005C4B99">
        <w:rPr>
          <w:rFonts w:ascii="Arial" w:eastAsia="Arial" w:hAnsi="Arial" w:cs="Arial"/>
          <w:b/>
          <w:bCs/>
          <w:sz w:val="28"/>
          <w:szCs w:val="28"/>
        </w:rPr>
        <w:t>NAME</w:t>
      </w:r>
      <w:r w:rsidR="004A2D04">
        <w:rPr>
          <w:rFonts w:ascii="Arial" w:eastAsia="Arial" w:hAnsi="Arial" w:cs="Arial"/>
          <w:b/>
          <w:bCs/>
          <w:sz w:val="28"/>
          <w:szCs w:val="28"/>
        </w:rPr>
        <w:t>:</w:t>
      </w:r>
      <w:r w:rsidR="00B72652" w:rsidRPr="005C4B99">
        <w:rPr>
          <w:rFonts w:ascii="Arial" w:eastAsia="Arial" w:hAnsi="Arial" w:cs="Arial"/>
          <w:b/>
          <w:bCs/>
          <w:sz w:val="28"/>
          <w:szCs w:val="28"/>
        </w:rPr>
        <w:t xml:space="preserve">       </w:t>
      </w:r>
      <w:r w:rsidR="00A80B05" w:rsidRPr="005C4B99">
        <w:rPr>
          <w:rFonts w:ascii="Arial" w:eastAsia="Arial" w:hAnsi="Arial" w:cs="Arial"/>
          <w:b/>
          <w:bCs/>
          <w:sz w:val="28"/>
          <w:szCs w:val="28"/>
        </w:rPr>
        <w:t xml:space="preserve">  </w:t>
      </w:r>
      <w:r w:rsidRPr="005C4B99">
        <w:rPr>
          <w:rFonts w:ascii="Arial" w:eastAsia="Arial" w:hAnsi="Arial" w:cs="Arial"/>
          <w:b/>
          <w:bCs/>
          <w:sz w:val="28"/>
          <w:szCs w:val="28"/>
        </w:rPr>
        <w:t>NABUUMA RITAH</w:t>
      </w:r>
    </w:p>
    <w:p w14:paraId="60A0D5D9" w14:textId="77777777" w:rsidR="00074C54" w:rsidRDefault="00074C54" w:rsidP="00C37479">
      <w:pPr>
        <w:spacing w:line="360" w:lineRule="auto"/>
        <w:ind w:hanging="2"/>
        <w:rPr>
          <w:rFonts w:ascii="Arial" w:eastAsia="Arial" w:hAnsi="Arial" w:cs="Arial"/>
          <w:b/>
          <w:bCs/>
          <w:sz w:val="28"/>
          <w:szCs w:val="28"/>
        </w:rPr>
      </w:pPr>
    </w:p>
    <w:p w14:paraId="688779B8" w14:textId="7A63C59B" w:rsidR="00343E1F" w:rsidRPr="005C4B99" w:rsidRDefault="00E228BE" w:rsidP="00C37479">
      <w:pPr>
        <w:spacing w:line="360" w:lineRule="auto"/>
        <w:ind w:hanging="2"/>
        <w:rPr>
          <w:rFonts w:ascii="Arial" w:eastAsia="Arial" w:hAnsi="Arial" w:cs="Arial"/>
          <w:b/>
          <w:bCs/>
          <w:sz w:val="28"/>
          <w:szCs w:val="28"/>
        </w:rPr>
      </w:pPr>
      <w:r w:rsidRPr="005C4B99">
        <w:rPr>
          <w:rFonts w:ascii="Arial" w:eastAsia="Arial" w:hAnsi="Arial" w:cs="Arial"/>
          <w:b/>
          <w:bCs/>
          <w:sz w:val="28"/>
          <w:szCs w:val="28"/>
        </w:rPr>
        <w:t xml:space="preserve">STUDENT’S </w:t>
      </w:r>
      <w:r w:rsidR="00490BB3" w:rsidRPr="005C4B99">
        <w:rPr>
          <w:rFonts w:ascii="Arial" w:eastAsia="Arial" w:hAnsi="Arial" w:cs="Arial"/>
          <w:b/>
          <w:bCs/>
          <w:sz w:val="28"/>
          <w:szCs w:val="28"/>
        </w:rPr>
        <w:t>NUMBER:</w:t>
      </w:r>
      <w:r w:rsidR="009501B8">
        <w:rPr>
          <w:rFonts w:ascii="Arial" w:eastAsia="Arial" w:hAnsi="Arial" w:cs="Arial"/>
          <w:b/>
          <w:bCs/>
          <w:sz w:val="28"/>
          <w:szCs w:val="28"/>
        </w:rPr>
        <w:t xml:space="preserve">     2442765</w:t>
      </w:r>
    </w:p>
    <w:p w14:paraId="42090283" w14:textId="77777777" w:rsidR="00074C54" w:rsidRDefault="00074C54" w:rsidP="00C37479">
      <w:pPr>
        <w:spacing w:line="360" w:lineRule="auto"/>
        <w:ind w:hanging="2"/>
        <w:rPr>
          <w:rFonts w:ascii="Arial" w:eastAsia="Arial" w:hAnsi="Arial" w:cs="Arial"/>
          <w:b/>
          <w:bCs/>
          <w:sz w:val="28"/>
          <w:szCs w:val="28"/>
        </w:rPr>
      </w:pPr>
    </w:p>
    <w:p w14:paraId="3A324AA8" w14:textId="1538E07E" w:rsidR="006E1A12" w:rsidRPr="005C4B99" w:rsidRDefault="006E1A12" w:rsidP="00C37479">
      <w:pPr>
        <w:spacing w:line="360" w:lineRule="auto"/>
        <w:ind w:hanging="2"/>
        <w:rPr>
          <w:rFonts w:ascii="Arial" w:eastAsia="Arial" w:hAnsi="Arial" w:cs="Arial"/>
          <w:b/>
          <w:bCs/>
          <w:sz w:val="28"/>
          <w:szCs w:val="28"/>
        </w:rPr>
      </w:pPr>
      <w:r w:rsidRPr="005C4B99">
        <w:rPr>
          <w:rFonts w:ascii="Arial" w:eastAsia="Arial" w:hAnsi="Arial" w:cs="Arial"/>
          <w:b/>
          <w:bCs/>
          <w:sz w:val="28"/>
          <w:szCs w:val="28"/>
        </w:rPr>
        <w:t xml:space="preserve">LECTURER’S </w:t>
      </w:r>
      <w:r w:rsidR="004A2D04" w:rsidRPr="005C4B99">
        <w:rPr>
          <w:rFonts w:ascii="Arial" w:eastAsia="Arial" w:hAnsi="Arial" w:cs="Arial"/>
          <w:b/>
          <w:bCs/>
          <w:sz w:val="28"/>
          <w:szCs w:val="28"/>
        </w:rPr>
        <w:t>NAME</w:t>
      </w:r>
      <w:r w:rsidR="004A2D04">
        <w:rPr>
          <w:rFonts w:ascii="Arial" w:eastAsia="Arial" w:hAnsi="Arial" w:cs="Arial"/>
          <w:b/>
          <w:bCs/>
          <w:sz w:val="28"/>
          <w:szCs w:val="28"/>
        </w:rPr>
        <w:t>:</w:t>
      </w:r>
      <w:r w:rsidRPr="005C4B99">
        <w:rPr>
          <w:rFonts w:ascii="Arial" w:eastAsia="Arial" w:hAnsi="Arial" w:cs="Arial"/>
          <w:b/>
          <w:bCs/>
          <w:sz w:val="28"/>
          <w:szCs w:val="28"/>
        </w:rPr>
        <w:t xml:space="preserve"> </w:t>
      </w:r>
      <w:r w:rsidR="00B72652" w:rsidRPr="005C4B99">
        <w:rPr>
          <w:rFonts w:ascii="Arial" w:eastAsia="Arial" w:hAnsi="Arial" w:cs="Arial"/>
          <w:b/>
          <w:bCs/>
          <w:sz w:val="28"/>
          <w:szCs w:val="28"/>
        </w:rPr>
        <w:t xml:space="preserve">      </w:t>
      </w:r>
      <w:r w:rsidR="00A11691">
        <w:rPr>
          <w:rFonts w:ascii="Arial" w:eastAsia="Arial" w:hAnsi="Arial" w:cs="Arial"/>
          <w:b/>
          <w:bCs/>
          <w:sz w:val="28"/>
          <w:szCs w:val="28"/>
        </w:rPr>
        <w:t xml:space="preserve">DR </w:t>
      </w:r>
      <w:r w:rsidR="00053A94" w:rsidRPr="005C4B99">
        <w:rPr>
          <w:rFonts w:ascii="Arial" w:eastAsia="Arial" w:hAnsi="Arial" w:cs="Arial"/>
          <w:b/>
          <w:bCs/>
          <w:sz w:val="28"/>
          <w:szCs w:val="28"/>
        </w:rPr>
        <w:t>CHRISTOPHER M</w:t>
      </w:r>
      <w:r w:rsidR="00A11691">
        <w:rPr>
          <w:rFonts w:ascii="Arial" w:eastAsia="Arial" w:hAnsi="Arial" w:cs="Arial"/>
          <w:b/>
          <w:bCs/>
          <w:sz w:val="28"/>
          <w:szCs w:val="28"/>
        </w:rPr>
        <w:t>AFUVA</w:t>
      </w:r>
    </w:p>
    <w:p w14:paraId="455C92C5" w14:textId="77777777" w:rsidR="00074C54" w:rsidRDefault="00074C54" w:rsidP="00C37479">
      <w:pPr>
        <w:spacing w:line="360" w:lineRule="auto"/>
        <w:ind w:hanging="2"/>
        <w:rPr>
          <w:rFonts w:ascii="Arial" w:eastAsia="Arial" w:hAnsi="Arial" w:cs="Arial"/>
          <w:b/>
          <w:bCs/>
          <w:sz w:val="28"/>
          <w:szCs w:val="28"/>
        </w:rPr>
      </w:pPr>
    </w:p>
    <w:p w14:paraId="54CF24E1" w14:textId="6EB23307" w:rsidR="00053A94" w:rsidRDefault="00053A94" w:rsidP="00C37479">
      <w:pPr>
        <w:spacing w:line="360" w:lineRule="auto"/>
        <w:ind w:hanging="2"/>
        <w:rPr>
          <w:rFonts w:ascii="Arial" w:eastAsia="Arial" w:hAnsi="Arial" w:cs="Arial"/>
          <w:b/>
          <w:bCs/>
          <w:sz w:val="28"/>
          <w:szCs w:val="28"/>
        </w:rPr>
      </w:pPr>
      <w:r w:rsidRPr="005C4B99">
        <w:rPr>
          <w:rFonts w:ascii="Arial" w:eastAsia="Arial" w:hAnsi="Arial" w:cs="Arial"/>
          <w:b/>
          <w:bCs/>
          <w:sz w:val="28"/>
          <w:szCs w:val="28"/>
        </w:rPr>
        <w:t>ASSIGNMENT TITTLE</w:t>
      </w:r>
      <w:r w:rsidR="00871F15">
        <w:rPr>
          <w:rFonts w:ascii="Arial" w:eastAsia="Arial" w:hAnsi="Arial" w:cs="Arial"/>
          <w:b/>
          <w:bCs/>
          <w:sz w:val="28"/>
          <w:szCs w:val="28"/>
        </w:rPr>
        <w:t>:</w:t>
      </w:r>
      <w:r w:rsidR="00B72652" w:rsidRPr="005C4B99">
        <w:rPr>
          <w:rFonts w:ascii="Arial" w:eastAsia="Arial" w:hAnsi="Arial" w:cs="Arial"/>
          <w:b/>
          <w:bCs/>
          <w:sz w:val="28"/>
          <w:szCs w:val="28"/>
        </w:rPr>
        <w:t xml:space="preserve">      </w:t>
      </w:r>
      <w:r w:rsidR="001678CE" w:rsidRPr="005C4B99">
        <w:rPr>
          <w:rFonts w:ascii="Arial" w:eastAsia="Arial" w:hAnsi="Arial" w:cs="Arial"/>
          <w:b/>
          <w:bCs/>
          <w:sz w:val="28"/>
          <w:szCs w:val="28"/>
        </w:rPr>
        <w:t>ASSIGNMENT 2 REPORT ON TYPE 2 DIABETES</w:t>
      </w:r>
    </w:p>
    <w:p w14:paraId="4F95BF8C" w14:textId="77777777" w:rsidR="00382629" w:rsidRDefault="00382629" w:rsidP="00C37479">
      <w:pPr>
        <w:spacing w:line="360" w:lineRule="auto"/>
        <w:ind w:hanging="2"/>
        <w:rPr>
          <w:rFonts w:ascii="Arial" w:eastAsia="Arial" w:hAnsi="Arial" w:cs="Arial"/>
          <w:b/>
          <w:bCs/>
          <w:sz w:val="28"/>
          <w:szCs w:val="28"/>
        </w:rPr>
      </w:pPr>
    </w:p>
    <w:p w14:paraId="074EC1E7" w14:textId="77777777" w:rsidR="00382629" w:rsidRDefault="00382629" w:rsidP="00C37479">
      <w:pPr>
        <w:spacing w:line="360" w:lineRule="auto"/>
        <w:ind w:hanging="2"/>
        <w:rPr>
          <w:rFonts w:ascii="Arial" w:eastAsia="Arial" w:hAnsi="Arial" w:cs="Arial"/>
          <w:b/>
          <w:bCs/>
          <w:sz w:val="28"/>
          <w:szCs w:val="28"/>
        </w:rPr>
      </w:pPr>
    </w:p>
    <w:p w14:paraId="6093D6A6" w14:textId="77777777" w:rsidR="00382629" w:rsidRDefault="00382629" w:rsidP="00C37479">
      <w:pPr>
        <w:spacing w:line="360" w:lineRule="auto"/>
        <w:ind w:hanging="2"/>
        <w:rPr>
          <w:rFonts w:ascii="Arial" w:eastAsia="Arial" w:hAnsi="Arial" w:cs="Arial"/>
          <w:b/>
          <w:bCs/>
          <w:sz w:val="28"/>
          <w:szCs w:val="28"/>
        </w:rPr>
      </w:pPr>
    </w:p>
    <w:p w14:paraId="3593682E" w14:textId="01DA0D39" w:rsidR="00382629" w:rsidRDefault="00E801D0" w:rsidP="00C37479">
      <w:pPr>
        <w:spacing w:line="360" w:lineRule="auto"/>
        <w:ind w:hanging="2"/>
        <w:rPr>
          <w:rFonts w:ascii="Arial" w:eastAsia="Arial" w:hAnsi="Arial" w:cs="Arial"/>
          <w:b/>
          <w:bCs/>
          <w:sz w:val="28"/>
          <w:szCs w:val="28"/>
        </w:rPr>
      </w:pPr>
      <w:r>
        <w:rPr>
          <w:rFonts w:ascii="Arial" w:eastAsia="Arial" w:hAnsi="Arial" w:cs="Arial"/>
          <w:b/>
          <w:bCs/>
          <w:sz w:val="28"/>
          <w:szCs w:val="28"/>
        </w:rPr>
        <w:lastRenderedPageBreak/>
        <w:t>Tabl</w:t>
      </w:r>
      <w:r w:rsidR="005C67EF">
        <w:rPr>
          <w:rFonts w:ascii="Arial" w:eastAsia="Arial" w:hAnsi="Arial" w:cs="Arial"/>
          <w:b/>
          <w:bCs/>
          <w:sz w:val="28"/>
          <w:szCs w:val="28"/>
        </w:rPr>
        <w:t>e of contents</w:t>
      </w:r>
    </w:p>
    <w:p w14:paraId="3E113DA0" w14:textId="2C63AE07" w:rsidR="005C67EF" w:rsidRDefault="006D72B9" w:rsidP="00C37479">
      <w:pPr>
        <w:spacing w:line="360" w:lineRule="auto"/>
        <w:ind w:hanging="2"/>
        <w:rPr>
          <w:rFonts w:ascii="Arial" w:eastAsia="Arial" w:hAnsi="Arial" w:cs="Arial"/>
        </w:rPr>
      </w:pPr>
      <w:r w:rsidRPr="00C721E3">
        <w:rPr>
          <w:rFonts w:ascii="Arial" w:eastAsia="Arial" w:hAnsi="Arial" w:cs="Arial"/>
        </w:rPr>
        <w:t>R</w:t>
      </w:r>
      <w:r w:rsidR="00407237" w:rsidRPr="00C721E3">
        <w:rPr>
          <w:rFonts w:ascii="Arial" w:eastAsia="Arial" w:hAnsi="Arial" w:cs="Arial"/>
        </w:rPr>
        <w:t>e</w:t>
      </w:r>
      <w:r>
        <w:rPr>
          <w:rFonts w:ascii="Arial" w:eastAsia="Arial" w:hAnsi="Arial" w:cs="Arial"/>
        </w:rPr>
        <w:t>search Topic: Type 2 Diabetes</w:t>
      </w:r>
      <w:r w:rsidR="00420B68">
        <w:rPr>
          <w:rFonts w:ascii="Arial" w:eastAsia="Arial" w:hAnsi="Arial" w:cs="Arial"/>
        </w:rPr>
        <w:t>………………</w:t>
      </w:r>
      <w:r w:rsidR="00FE63B4">
        <w:rPr>
          <w:rFonts w:ascii="Arial" w:eastAsia="Arial" w:hAnsi="Arial" w:cs="Arial"/>
        </w:rPr>
        <w:t>…………………………………………</w:t>
      </w:r>
      <w:r w:rsidR="00756292">
        <w:rPr>
          <w:rFonts w:ascii="Arial" w:eastAsia="Arial" w:hAnsi="Arial" w:cs="Arial"/>
        </w:rPr>
        <w:t>…</w:t>
      </w:r>
      <w:r w:rsidR="00FE204B">
        <w:rPr>
          <w:rFonts w:ascii="Arial" w:eastAsia="Arial" w:hAnsi="Arial" w:cs="Arial"/>
        </w:rPr>
        <w:t>3</w:t>
      </w:r>
    </w:p>
    <w:p w14:paraId="61D4F582" w14:textId="3F4B5836" w:rsidR="00420B68" w:rsidRDefault="00420B68" w:rsidP="00C37479">
      <w:pPr>
        <w:spacing w:line="360" w:lineRule="auto"/>
        <w:ind w:hanging="2"/>
        <w:rPr>
          <w:rFonts w:ascii="Arial" w:eastAsia="Arial" w:hAnsi="Arial" w:cs="Arial"/>
        </w:rPr>
      </w:pPr>
      <w:r>
        <w:rPr>
          <w:rFonts w:ascii="Arial" w:eastAsia="Arial" w:hAnsi="Arial" w:cs="Arial"/>
        </w:rPr>
        <w:t>Introduction…………………………………………</w:t>
      </w:r>
      <w:r w:rsidR="00FE63B4">
        <w:rPr>
          <w:rFonts w:ascii="Arial" w:eastAsia="Arial" w:hAnsi="Arial" w:cs="Arial"/>
        </w:rPr>
        <w:t>………………………………………….</w:t>
      </w:r>
      <w:r w:rsidR="00756292">
        <w:rPr>
          <w:rFonts w:ascii="Arial" w:eastAsia="Arial" w:hAnsi="Arial" w:cs="Arial"/>
        </w:rPr>
        <w:t>..</w:t>
      </w:r>
      <w:r w:rsidR="00FE204B">
        <w:rPr>
          <w:rFonts w:ascii="Arial" w:eastAsia="Arial" w:hAnsi="Arial" w:cs="Arial"/>
        </w:rPr>
        <w:t>3</w:t>
      </w:r>
    </w:p>
    <w:p w14:paraId="64D4C4D3" w14:textId="2E607DFE" w:rsidR="00420B68" w:rsidRDefault="0028240D" w:rsidP="00C37479">
      <w:pPr>
        <w:spacing w:line="360" w:lineRule="auto"/>
        <w:ind w:hanging="2"/>
        <w:rPr>
          <w:rFonts w:ascii="Arial" w:eastAsia="Arial" w:hAnsi="Arial" w:cs="Arial"/>
        </w:rPr>
      </w:pPr>
      <w:r>
        <w:rPr>
          <w:rFonts w:ascii="Arial" w:eastAsia="Arial" w:hAnsi="Arial" w:cs="Arial"/>
        </w:rPr>
        <w:t>Impact of type 2 diabetes in the community and NHS</w:t>
      </w:r>
      <w:r w:rsidR="003D2517">
        <w:rPr>
          <w:rFonts w:ascii="Arial" w:eastAsia="Arial" w:hAnsi="Arial" w:cs="Arial"/>
        </w:rPr>
        <w:t>………</w:t>
      </w:r>
      <w:r w:rsidR="00A36EE4">
        <w:rPr>
          <w:rFonts w:ascii="Arial" w:eastAsia="Arial" w:hAnsi="Arial" w:cs="Arial"/>
        </w:rPr>
        <w:t>…………………………….</w:t>
      </w:r>
      <w:r w:rsidR="00756292">
        <w:rPr>
          <w:rFonts w:ascii="Arial" w:eastAsia="Arial" w:hAnsi="Arial" w:cs="Arial"/>
        </w:rPr>
        <w:t>.</w:t>
      </w:r>
      <w:r w:rsidR="00A320C0">
        <w:rPr>
          <w:rFonts w:ascii="Arial" w:eastAsia="Arial" w:hAnsi="Arial" w:cs="Arial"/>
        </w:rPr>
        <w:t>.</w:t>
      </w:r>
      <w:r w:rsidR="00FE204B">
        <w:rPr>
          <w:rFonts w:ascii="Arial" w:eastAsia="Arial" w:hAnsi="Arial" w:cs="Arial"/>
        </w:rPr>
        <w:t>3</w:t>
      </w:r>
    </w:p>
    <w:p w14:paraId="1490BFE3" w14:textId="0EABFAF3" w:rsidR="003D2517" w:rsidRDefault="003D2517" w:rsidP="00C37479">
      <w:pPr>
        <w:spacing w:line="360" w:lineRule="auto"/>
        <w:ind w:hanging="2"/>
        <w:rPr>
          <w:rFonts w:ascii="Arial" w:eastAsia="Arial" w:hAnsi="Arial" w:cs="Arial"/>
        </w:rPr>
      </w:pPr>
      <w:r>
        <w:rPr>
          <w:rFonts w:ascii="Arial" w:eastAsia="Arial" w:hAnsi="Arial" w:cs="Arial"/>
        </w:rPr>
        <w:t>Controlling type 2 diabetes</w:t>
      </w:r>
      <w:r w:rsidR="004873AA">
        <w:rPr>
          <w:rFonts w:ascii="Arial" w:eastAsia="Arial" w:hAnsi="Arial" w:cs="Arial"/>
        </w:rPr>
        <w:t>………………………………………</w:t>
      </w:r>
      <w:r w:rsidR="00A36EE4">
        <w:rPr>
          <w:rFonts w:ascii="Arial" w:eastAsia="Arial" w:hAnsi="Arial" w:cs="Arial"/>
        </w:rPr>
        <w:t>……………………………</w:t>
      </w:r>
      <w:r w:rsidR="00756292">
        <w:rPr>
          <w:rFonts w:ascii="Arial" w:eastAsia="Arial" w:hAnsi="Arial" w:cs="Arial"/>
        </w:rPr>
        <w:t>.</w:t>
      </w:r>
      <w:r w:rsidR="00FE204B">
        <w:rPr>
          <w:rFonts w:ascii="Arial" w:eastAsia="Arial" w:hAnsi="Arial" w:cs="Arial"/>
        </w:rPr>
        <w:t>4</w:t>
      </w:r>
    </w:p>
    <w:p w14:paraId="4137DB96" w14:textId="76C6FFC9" w:rsidR="004873AA" w:rsidRDefault="004873AA" w:rsidP="00C37479">
      <w:pPr>
        <w:spacing w:line="360" w:lineRule="auto"/>
        <w:ind w:hanging="2"/>
        <w:rPr>
          <w:rFonts w:ascii="Arial" w:eastAsia="Arial" w:hAnsi="Arial" w:cs="Arial"/>
        </w:rPr>
      </w:pPr>
      <w:r>
        <w:rPr>
          <w:rFonts w:ascii="Arial" w:eastAsia="Arial" w:hAnsi="Arial" w:cs="Arial"/>
        </w:rPr>
        <w:t xml:space="preserve">Factors influencing the health and wellbeing </w:t>
      </w:r>
      <w:r w:rsidR="00C74BDE">
        <w:rPr>
          <w:rFonts w:ascii="Arial" w:eastAsia="Arial" w:hAnsi="Arial" w:cs="Arial"/>
        </w:rPr>
        <w:t>of people with T2D and their families……</w:t>
      </w:r>
      <w:r w:rsidR="00756292">
        <w:rPr>
          <w:rFonts w:ascii="Arial" w:eastAsia="Arial" w:hAnsi="Arial" w:cs="Arial"/>
        </w:rPr>
        <w:t>.</w:t>
      </w:r>
      <w:r w:rsidR="001D6D5E">
        <w:rPr>
          <w:rFonts w:ascii="Arial" w:eastAsia="Arial" w:hAnsi="Arial" w:cs="Arial"/>
        </w:rPr>
        <w:t>5</w:t>
      </w:r>
    </w:p>
    <w:p w14:paraId="4D562E9B" w14:textId="4B4FB51C" w:rsidR="00C74BDE" w:rsidRDefault="00B63429" w:rsidP="00C37479">
      <w:pPr>
        <w:spacing w:line="360" w:lineRule="auto"/>
        <w:ind w:hanging="2"/>
        <w:rPr>
          <w:rFonts w:ascii="Arial" w:eastAsia="Arial" w:hAnsi="Arial" w:cs="Arial"/>
        </w:rPr>
      </w:pPr>
      <w:r>
        <w:rPr>
          <w:rFonts w:ascii="Arial" w:eastAsia="Arial" w:hAnsi="Arial" w:cs="Arial"/>
        </w:rPr>
        <w:t>Conclusion…………………</w:t>
      </w:r>
      <w:r w:rsidR="00A36EE4">
        <w:rPr>
          <w:rFonts w:ascii="Arial" w:eastAsia="Arial" w:hAnsi="Arial" w:cs="Arial"/>
        </w:rPr>
        <w:t>……………………………………………………………………</w:t>
      </w:r>
      <w:r w:rsidR="00756292">
        <w:rPr>
          <w:rFonts w:ascii="Arial" w:eastAsia="Arial" w:hAnsi="Arial" w:cs="Arial"/>
        </w:rPr>
        <w:t>.</w:t>
      </w:r>
      <w:r w:rsidR="001D6D5E">
        <w:rPr>
          <w:rFonts w:ascii="Arial" w:eastAsia="Arial" w:hAnsi="Arial" w:cs="Arial"/>
        </w:rPr>
        <w:t>6</w:t>
      </w:r>
    </w:p>
    <w:p w14:paraId="18D2D54F" w14:textId="4BE3CD03" w:rsidR="00B63429" w:rsidRPr="00C721E3" w:rsidRDefault="00B63429" w:rsidP="00C37479">
      <w:pPr>
        <w:spacing w:line="360" w:lineRule="auto"/>
        <w:ind w:hanging="2"/>
        <w:rPr>
          <w:rFonts w:ascii="Arial" w:eastAsia="Arial" w:hAnsi="Arial" w:cs="Arial"/>
        </w:rPr>
      </w:pPr>
      <w:r>
        <w:rPr>
          <w:rFonts w:ascii="Arial" w:eastAsia="Arial" w:hAnsi="Arial" w:cs="Arial"/>
        </w:rPr>
        <w:t>References………………………………………………………………………………………</w:t>
      </w:r>
      <w:r w:rsidR="00756292">
        <w:rPr>
          <w:rFonts w:ascii="Arial" w:eastAsia="Arial" w:hAnsi="Arial" w:cs="Arial"/>
        </w:rPr>
        <w:t>.</w:t>
      </w:r>
      <w:r w:rsidR="001D6D5E">
        <w:rPr>
          <w:rFonts w:ascii="Arial" w:eastAsia="Arial" w:hAnsi="Arial" w:cs="Arial"/>
        </w:rPr>
        <w:t>7</w:t>
      </w:r>
    </w:p>
    <w:p w14:paraId="1F9985AC" w14:textId="28CCD1BF" w:rsidR="00A74DB0" w:rsidRPr="00EF1167" w:rsidRDefault="00A74DB0" w:rsidP="003265CD">
      <w:pPr>
        <w:spacing w:line="360" w:lineRule="auto"/>
        <w:ind w:firstLine="0"/>
        <w:rPr>
          <w:rFonts w:ascii="Arial" w:eastAsia="Arial" w:hAnsi="Arial" w:cs="Arial"/>
          <w:b/>
          <w:sz w:val="28"/>
          <w:szCs w:val="28"/>
        </w:rPr>
      </w:pPr>
    </w:p>
    <w:p w14:paraId="1F9985AD" w14:textId="77777777" w:rsidR="00A74DB0" w:rsidRDefault="00A74DB0">
      <w:pPr>
        <w:spacing w:line="360" w:lineRule="auto"/>
        <w:ind w:hanging="2"/>
        <w:rPr>
          <w:rFonts w:ascii="Arial" w:eastAsia="Arial" w:hAnsi="Arial" w:cs="Arial"/>
        </w:rPr>
      </w:pPr>
    </w:p>
    <w:p w14:paraId="6FB570DB" w14:textId="77777777" w:rsidR="005B519F" w:rsidRDefault="005B519F">
      <w:pPr>
        <w:spacing w:after="0" w:line="360" w:lineRule="auto"/>
        <w:ind w:firstLine="0"/>
        <w:jc w:val="both"/>
        <w:rPr>
          <w:rFonts w:ascii="Arial" w:eastAsia="Arial" w:hAnsi="Arial" w:cs="Arial"/>
        </w:rPr>
      </w:pPr>
    </w:p>
    <w:p w14:paraId="016162EF" w14:textId="77777777" w:rsidR="005B519F" w:rsidRDefault="005B519F">
      <w:pPr>
        <w:spacing w:after="0" w:line="360" w:lineRule="auto"/>
        <w:ind w:firstLine="0"/>
        <w:jc w:val="both"/>
        <w:rPr>
          <w:rFonts w:ascii="Arial" w:eastAsia="Arial" w:hAnsi="Arial" w:cs="Arial"/>
        </w:rPr>
      </w:pPr>
    </w:p>
    <w:p w14:paraId="4FA43BBA" w14:textId="77777777" w:rsidR="00FE63B4" w:rsidRDefault="00FE63B4">
      <w:pPr>
        <w:spacing w:after="0" w:line="360" w:lineRule="auto"/>
        <w:ind w:firstLine="0"/>
        <w:jc w:val="both"/>
        <w:rPr>
          <w:rFonts w:ascii="Arial" w:eastAsia="Arial" w:hAnsi="Arial" w:cs="Arial"/>
          <w:b/>
          <w:sz w:val="28"/>
          <w:szCs w:val="28"/>
        </w:rPr>
      </w:pPr>
    </w:p>
    <w:p w14:paraId="5226C713" w14:textId="77777777" w:rsidR="00FE63B4" w:rsidRDefault="00FE63B4">
      <w:pPr>
        <w:spacing w:after="0" w:line="360" w:lineRule="auto"/>
        <w:ind w:firstLine="0"/>
        <w:jc w:val="both"/>
        <w:rPr>
          <w:rFonts w:ascii="Arial" w:eastAsia="Arial" w:hAnsi="Arial" w:cs="Arial"/>
          <w:b/>
          <w:sz w:val="28"/>
          <w:szCs w:val="28"/>
        </w:rPr>
      </w:pPr>
    </w:p>
    <w:p w14:paraId="5D2AC4C4" w14:textId="77777777" w:rsidR="00FE63B4" w:rsidRDefault="00FE63B4">
      <w:pPr>
        <w:spacing w:after="0" w:line="360" w:lineRule="auto"/>
        <w:ind w:firstLine="0"/>
        <w:jc w:val="both"/>
        <w:rPr>
          <w:rFonts w:ascii="Arial" w:eastAsia="Arial" w:hAnsi="Arial" w:cs="Arial"/>
          <w:b/>
          <w:sz w:val="28"/>
          <w:szCs w:val="28"/>
        </w:rPr>
      </w:pPr>
    </w:p>
    <w:p w14:paraId="341A458C" w14:textId="77777777" w:rsidR="00FE63B4" w:rsidRDefault="00FE63B4">
      <w:pPr>
        <w:spacing w:after="0" w:line="360" w:lineRule="auto"/>
        <w:ind w:firstLine="0"/>
        <w:jc w:val="both"/>
        <w:rPr>
          <w:rFonts w:ascii="Arial" w:eastAsia="Arial" w:hAnsi="Arial" w:cs="Arial"/>
          <w:b/>
          <w:sz w:val="28"/>
          <w:szCs w:val="28"/>
        </w:rPr>
      </w:pPr>
    </w:p>
    <w:p w14:paraId="430AE641" w14:textId="77777777" w:rsidR="00FE63B4" w:rsidRDefault="00FE63B4">
      <w:pPr>
        <w:spacing w:after="0" w:line="360" w:lineRule="auto"/>
        <w:ind w:firstLine="0"/>
        <w:jc w:val="both"/>
        <w:rPr>
          <w:rFonts w:ascii="Arial" w:eastAsia="Arial" w:hAnsi="Arial" w:cs="Arial"/>
          <w:b/>
          <w:sz w:val="28"/>
          <w:szCs w:val="28"/>
        </w:rPr>
      </w:pPr>
    </w:p>
    <w:p w14:paraId="149E35E3" w14:textId="77777777" w:rsidR="00FE63B4" w:rsidRDefault="00FE63B4">
      <w:pPr>
        <w:spacing w:after="0" w:line="360" w:lineRule="auto"/>
        <w:ind w:firstLine="0"/>
        <w:jc w:val="both"/>
        <w:rPr>
          <w:rFonts w:ascii="Arial" w:eastAsia="Arial" w:hAnsi="Arial" w:cs="Arial"/>
          <w:b/>
          <w:sz w:val="28"/>
          <w:szCs w:val="28"/>
        </w:rPr>
      </w:pPr>
    </w:p>
    <w:p w14:paraId="73A33C19" w14:textId="77777777" w:rsidR="00FE63B4" w:rsidRDefault="00FE63B4">
      <w:pPr>
        <w:spacing w:after="0" w:line="360" w:lineRule="auto"/>
        <w:ind w:firstLine="0"/>
        <w:jc w:val="both"/>
        <w:rPr>
          <w:rFonts w:ascii="Arial" w:eastAsia="Arial" w:hAnsi="Arial" w:cs="Arial"/>
          <w:b/>
          <w:sz w:val="28"/>
          <w:szCs w:val="28"/>
        </w:rPr>
      </w:pPr>
    </w:p>
    <w:p w14:paraId="7D8D51D1" w14:textId="77777777" w:rsidR="00FE63B4" w:rsidRDefault="00FE63B4">
      <w:pPr>
        <w:spacing w:after="0" w:line="360" w:lineRule="auto"/>
        <w:ind w:firstLine="0"/>
        <w:jc w:val="both"/>
        <w:rPr>
          <w:rFonts w:ascii="Arial" w:eastAsia="Arial" w:hAnsi="Arial" w:cs="Arial"/>
          <w:b/>
          <w:sz w:val="28"/>
          <w:szCs w:val="28"/>
        </w:rPr>
      </w:pPr>
    </w:p>
    <w:p w14:paraId="65A34C1C" w14:textId="77777777" w:rsidR="00FE63B4" w:rsidRDefault="00FE63B4">
      <w:pPr>
        <w:spacing w:after="0" w:line="360" w:lineRule="auto"/>
        <w:ind w:firstLine="0"/>
        <w:jc w:val="both"/>
        <w:rPr>
          <w:rFonts w:ascii="Arial" w:eastAsia="Arial" w:hAnsi="Arial" w:cs="Arial"/>
          <w:b/>
          <w:sz w:val="28"/>
          <w:szCs w:val="28"/>
        </w:rPr>
      </w:pPr>
    </w:p>
    <w:p w14:paraId="0CB1BAB7" w14:textId="77777777" w:rsidR="00FE63B4" w:rsidRDefault="00FE63B4">
      <w:pPr>
        <w:spacing w:after="0" w:line="360" w:lineRule="auto"/>
        <w:ind w:firstLine="0"/>
        <w:jc w:val="both"/>
        <w:rPr>
          <w:rFonts w:ascii="Arial" w:eastAsia="Arial" w:hAnsi="Arial" w:cs="Arial"/>
          <w:b/>
          <w:sz w:val="28"/>
          <w:szCs w:val="28"/>
        </w:rPr>
      </w:pPr>
    </w:p>
    <w:p w14:paraId="63A01A21" w14:textId="77777777" w:rsidR="00FE63B4" w:rsidRDefault="00FE63B4">
      <w:pPr>
        <w:spacing w:after="0" w:line="360" w:lineRule="auto"/>
        <w:ind w:firstLine="0"/>
        <w:jc w:val="both"/>
        <w:rPr>
          <w:rFonts w:ascii="Arial" w:eastAsia="Arial" w:hAnsi="Arial" w:cs="Arial"/>
          <w:b/>
          <w:sz w:val="28"/>
          <w:szCs w:val="28"/>
        </w:rPr>
      </w:pPr>
    </w:p>
    <w:p w14:paraId="6749D893" w14:textId="77777777" w:rsidR="00FE63B4" w:rsidRDefault="00FE63B4">
      <w:pPr>
        <w:spacing w:after="0" w:line="360" w:lineRule="auto"/>
        <w:ind w:firstLine="0"/>
        <w:jc w:val="both"/>
        <w:rPr>
          <w:rFonts w:ascii="Arial" w:eastAsia="Arial" w:hAnsi="Arial" w:cs="Arial"/>
          <w:b/>
          <w:sz w:val="28"/>
          <w:szCs w:val="28"/>
        </w:rPr>
      </w:pPr>
    </w:p>
    <w:p w14:paraId="227CF656" w14:textId="77777777" w:rsidR="00BC11DC" w:rsidRDefault="00BC11DC">
      <w:pPr>
        <w:spacing w:after="0" w:line="360" w:lineRule="auto"/>
        <w:ind w:firstLine="0"/>
        <w:jc w:val="both"/>
        <w:rPr>
          <w:rFonts w:ascii="Arial" w:eastAsia="Arial" w:hAnsi="Arial" w:cs="Arial"/>
          <w:b/>
          <w:sz w:val="28"/>
          <w:szCs w:val="28"/>
        </w:rPr>
      </w:pPr>
      <w:r>
        <w:rPr>
          <w:rFonts w:ascii="Arial" w:eastAsia="Arial" w:hAnsi="Arial" w:cs="Arial"/>
          <w:b/>
          <w:sz w:val="28"/>
          <w:szCs w:val="28"/>
        </w:rPr>
        <w:lastRenderedPageBreak/>
        <w:t>TYPE 2 DIABETES</w:t>
      </w:r>
    </w:p>
    <w:p w14:paraId="20A97A8D" w14:textId="77777777" w:rsidR="00BC11DC" w:rsidRDefault="00BC11DC">
      <w:pPr>
        <w:spacing w:after="0" w:line="360" w:lineRule="auto"/>
        <w:ind w:firstLine="0"/>
        <w:jc w:val="both"/>
        <w:rPr>
          <w:rFonts w:ascii="Arial" w:eastAsia="Arial" w:hAnsi="Arial" w:cs="Arial"/>
          <w:b/>
          <w:sz w:val="28"/>
          <w:szCs w:val="28"/>
        </w:rPr>
      </w:pPr>
    </w:p>
    <w:p w14:paraId="1F9985B5" w14:textId="2F02FCD0" w:rsidR="00A74DB0" w:rsidRPr="00B353C6" w:rsidRDefault="004B3348">
      <w:pPr>
        <w:spacing w:after="0" w:line="360" w:lineRule="auto"/>
        <w:ind w:firstLine="0"/>
        <w:jc w:val="both"/>
        <w:rPr>
          <w:rFonts w:ascii="Arial" w:eastAsia="Arial" w:hAnsi="Arial" w:cs="Arial"/>
          <w:b/>
          <w:sz w:val="28"/>
          <w:szCs w:val="28"/>
        </w:rPr>
      </w:pPr>
      <w:r w:rsidRPr="00B353C6">
        <w:rPr>
          <w:rFonts w:ascii="Arial" w:eastAsia="Arial" w:hAnsi="Arial" w:cs="Arial"/>
          <w:b/>
          <w:sz w:val="28"/>
          <w:szCs w:val="28"/>
        </w:rPr>
        <w:t>Introduction</w:t>
      </w:r>
    </w:p>
    <w:p w14:paraId="1F9985B6" w14:textId="5E23C976" w:rsidR="00A74DB0" w:rsidRDefault="004B3348">
      <w:pPr>
        <w:spacing w:line="360" w:lineRule="auto"/>
        <w:jc w:val="both"/>
        <w:rPr>
          <w:rFonts w:ascii="Arial" w:eastAsia="Arial" w:hAnsi="Arial" w:cs="Arial"/>
        </w:rPr>
      </w:pPr>
      <w:r>
        <w:rPr>
          <w:rFonts w:ascii="Arial" w:eastAsia="Arial" w:hAnsi="Arial" w:cs="Arial"/>
        </w:rPr>
        <w:t>T</w:t>
      </w:r>
      <w:r w:rsidR="004B2048">
        <w:rPr>
          <w:rFonts w:ascii="Arial" w:eastAsia="Arial" w:hAnsi="Arial" w:cs="Arial"/>
        </w:rPr>
        <w:t xml:space="preserve">ype </w:t>
      </w:r>
      <w:r>
        <w:rPr>
          <w:rFonts w:ascii="Arial" w:eastAsia="Arial" w:hAnsi="Arial" w:cs="Arial"/>
        </w:rPr>
        <w:t>2</w:t>
      </w:r>
      <w:r w:rsidR="004B2048">
        <w:rPr>
          <w:rFonts w:ascii="Arial" w:eastAsia="Arial" w:hAnsi="Arial" w:cs="Arial"/>
        </w:rPr>
        <w:t xml:space="preserve"> </w:t>
      </w:r>
      <w:r>
        <w:rPr>
          <w:rFonts w:ascii="Arial" w:eastAsia="Arial" w:hAnsi="Arial" w:cs="Arial"/>
        </w:rPr>
        <w:t>D</w:t>
      </w:r>
      <w:r w:rsidR="004B2048">
        <w:rPr>
          <w:rFonts w:ascii="Arial" w:eastAsia="Arial" w:hAnsi="Arial" w:cs="Arial"/>
        </w:rPr>
        <w:t>iabetes</w:t>
      </w:r>
      <w:r>
        <w:rPr>
          <w:rFonts w:ascii="Arial" w:eastAsia="Arial" w:hAnsi="Arial" w:cs="Arial"/>
        </w:rPr>
        <w:t xml:space="preserve"> is a chronic metabolic disease marked by insulin resistance and decreased release of insulin in response to physiological signals, which causes unrelenting high blood glucose levels. Globally, it is the most common form of diabetes and is mostly experienced in adults, although its prevalence is rising in children and young people (WHO, 2023). Common symptoms include excessive thirst, excessive urine flow, weakness, slow healing of wounds, and bleary vision (NHS England, 2024). Left untreated, it can cause severe complications such as heart disease, failure of the kidney, and nerve loss. Worldwide, it is projected that 536 million individuals have a diagnosis of T2D (Yan et al., 2022). About 4.6 million individuals in the UK live with diabetes, with 90% of them having T2D (Diabetes UK, 2024). The focus of this report is on the impact and management of T2D and the factors influencing the wellbeing of persons living with diabetes and people around them.</w:t>
      </w:r>
    </w:p>
    <w:p w14:paraId="1F9985B7" w14:textId="54B06139" w:rsidR="00A74DB0" w:rsidRPr="00B353C6" w:rsidRDefault="004B3348">
      <w:pPr>
        <w:spacing w:line="360" w:lineRule="auto"/>
        <w:jc w:val="both"/>
        <w:rPr>
          <w:rFonts w:ascii="Arial" w:eastAsia="Arial" w:hAnsi="Arial" w:cs="Arial"/>
          <w:b/>
          <w:sz w:val="28"/>
          <w:szCs w:val="28"/>
        </w:rPr>
      </w:pPr>
      <w:r w:rsidRPr="00B353C6">
        <w:rPr>
          <w:rFonts w:ascii="Arial" w:eastAsia="Arial" w:hAnsi="Arial" w:cs="Arial"/>
          <w:b/>
          <w:sz w:val="28"/>
          <w:szCs w:val="28"/>
        </w:rPr>
        <w:t>Impact of T</w:t>
      </w:r>
      <w:r w:rsidR="00287E72">
        <w:rPr>
          <w:rFonts w:ascii="Arial" w:eastAsia="Arial" w:hAnsi="Arial" w:cs="Arial"/>
          <w:b/>
          <w:sz w:val="28"/>
          <w:szCs w:val="28"/>
        </w:rPr>
        <w:t>ype</w:t>
      </w:r>
      <w:r w:rsidR="000535BF">
        <w:rPr>
          <w:rFonts w:ascii="Arial" w:eastAsia="Arial" w:hAnsi="Arial" w:cs="Arial"/>
          <w:b/>
          <w:sz w:val="28"/>
          <w:szCs w:val="28"/>
        </w:rPr>
        <w:t xml:space="preserve"> </w:t>
      </w:r>
      <w:r w:rsidRPr="00B353C6">
        <w:rPr>
          <w:rFonts w:ascii="Arial" w:eastAsia="Arial" w:hAnsi="Arial" w:cs="Arial"/>
          <w:b/>
          <w:sz w:val="28"/>
          <w:szCs w:val="28"/>
        </w:rPr>
        <w:t>2</w:t>
      </w:r>
      <w:r w:rsidR="000535BF">
        <w:rPr>
          <w:rFonts w:ascii="Arial" w:eastAsia="Arial" w:hAnsi="Arial" w:cs="Arial"/>
          <w:b/>
          <w:sz w:val="28"/>
          <w:szCs w:val="28"/>
        </w:rPr>
        <w:t xml:space="preserve"> </w:t>
      </w:r>
      <w:r w:rsidRPr="00B353C6">
        <w:rPr>
          <w:rFonts w:ascii="Arial" w:eastAsia="Arial" w:hAnsi="Arial" w:cs="Arial"/>
          <w:b/>
          <w:sz w:val="28"/>
          <w:szCs w:val="28"/>
        </w:rPr>
        <w:t>D</w:t>
      </w:r>
      <w:r w:rsidR="000535BF">
        <w:rPr>
          <w:rFonts w:ascii="Arial" w:eastAsia="Arial" w:hAnsi="Arial" w:cs="Arial"/>
          <w:b/>
          <w:sz w:val="28"/>
          <w:szCs w:val="28"/>
        </w:rPr>
        <w:t>iabetes</w:t>
      </w:r>
      <w:r w:rsidRPr="00B353C6">
        <w:rPr>
          <w:rFonts w:ascii="Arial" w:eastAsia="Arial" w:hAnsi="Arial" w:cs="Arial"/>
          <w:b/>
          <w:sz w:val="28"/>
          <w:szCs w:val="28"/>
        </w:rPr>
        <w:t xml:space="preserve"> on community and the NHS</w:t>
      </w:r>
    </w:p>
    <w:p w14:paraId="1F9985B8" w14:textId="6F2C89B2" w:rsidR="00A74DB0" w:rsidRDefault="004B3348">
      <w:pPr>
        <w:spacing w:line="360" w:lineRule="auto"/>
        <w:jc w:val="both"/>
        <w:rPr>
          <w:rFonts w:ascii="Arial" w:eastAsia="Arial" w:hAnsi="Arial" w:cs="Arial"/>
        </w:rPr>
      </w:pPr>
      <w:r>
        <w:rPr>
          <w:rFonts w:ascii="Arial" w:eastAsia="Arial" w:hAnsi="Arial" w:cs="Arial"/>
        </w:rPr>
        <w:t>The burden of T</w:t>
      </w:r>
      <w:r w:rsidR="004B2048">
        <w:rPr>
          <w:rFonts w:ascii="Arial" w:eastAsia="Arial" w:hAnsi="Arial" w:cs="Arial"/>
        </w:rPr>
        <w:t xml:space="preserve">ype </w:t>
      </w:r>
      <w:r>
        <w:rPr>
          <w:rFonts w:ascii="Arial" w:eastAsia="Arial" w:hAnsi="Arial" w:cs="Arial"/>
        </w:rPr>
        <w:t>2</w:t>
      </w:r>
      <w:r w:rsidR="004B2048">
        <w:rPr>
          <w:rFonts w:ascii="Arial" w:eastAsia="Arial" w:hAnsi="Arial" w:cs="Arial"/>
        </w:rPr>
        <w:t xml:space="preserve"> </w:t>
      </w:r>
      <w:r>
        <w:rPr>
          <w:rFonts w:ascii="Arial" w:eastAsia="Arial" w:hAnsi="Arial" w:cs="Arial"/>
        </w:rPr>
        <w:t>D</w:t>
      </w:r>
      <w:r w:rsidR="004B2048">
        <w:rPr>
          <w:rFonts w:ascii="Arial" w:eastAsia="Arial" w:hAnsi="Arial" w:cs="Arial"/>
        </w:rPr>
        <w:t>iabetes</w:t>
      </w:r>
      <w:r>
        <w:rPr>
          <w:rFonts w:ascii="Arial" w:eastAsia="Arial" w:hAnsi="Arial" w:cs="Arial"/>
        </w:rPr>
        <w:t xml:space="preserve"> is well beyond personal health and impacts families, communities, and health systems. At the personal level, it is linked with a much higher probability of developing complications such as stroke, cardiovascular diseases, kidney failure, lower-limb amputation, and vision problems (Barry et al., 2023). These complications not only affect wellbeing, but they also reduce independence and lead to premature death. At community level, the condition has contributed to expanding health disparities (The Lancet, 2024). They are predominant in socioeconomically deprived towns and ethnic minority populations, including South Asian, Caribbean, and African communities in the UK. These groups are subjected to the intersection of biological vulnerability with structural realities such as reduced healthy food access, playing less options to modulate physical activity, and unequal access to health services (Diabetes UK, 2024).</w:t>
      </w:r>
    </w:p>
    <w:p w14:paraId="1F9985B9" w14:textId="6E449906" w:rsidR="00A74DB0" w:rsidRDefault="004B3348">
      <w:pPr>
        <w:spacing w:line="360" w:lineRule="auto"/>
        <w:jc w:val="both"/>
        <w:rPr>
          <w:rFonts w:ascii="Arial" w:eastAsia="Arial" w:hAnsi="Arial" w:cs="Arial"/>
        </w:rPr>
      </w:pPr>
      <w:r>
        <w:rPr>
          <w:rFonts w:ascii="Arial" w:eastAsia="Arial" w:hAnsi="Arial" w:cs="Arial"/>
        </w:rPr>
        <w:t xml:space="preserve">For the NHS, the economic cost is significant. In England alone, diabetes type 2 represents </w:t>
      </w:r>
      <w:r w:rsidR="00D164A9">
        <w:rPr>
          <w:rFonts w:ascii="Arial" w:eastAsia="Arial" w:hAnsi="Arial" w:cs="Arial"/>
        </w:rPr>
        <w:t>an</w:t>
      </w:r>
      <w:r>
        <w:rPr>
          <w:rFonts w:ascii="Arial" w:eastAsia="Arial" w:hAnsi="Arial" w:cs="Arial"/>
        </w:rPr>
        <w:t xml:space="preserve"> NHS cost of approximately 10 percent, which translates to over 10 billion every year, most of this expenditure being on the aftermaths of complications rather than prevention or prompt response (DHSC, 2023). Diabetes-related complications lead to increased hospital admissions which further burden the already overstretched services, especially primary and secondary care (Martin </w:t>
      </w:r>
      <w:r>
        <w:rPr>
          <w:rFonts w:ascii="Arial" w:eastAsia="Arial" w:hAnsi="Arial" w:cs="Arial"/>
        </w:rPr>
        <w:lastRenderedPageBreak/>
        <w:t xml:space="preserve">et al., 2024). There are also workforce pressures because diabetes management involves multidisciplinary teams with GPs, nurses, dietitians, podiatrists, and special consultant input. Alongside direct healthcare expenses, indirect costs to communities include decreased productivity, absenteeism, and premature retirement in ill health (Barry et al., 2023). An individual with ill-managed type 2 diabetes might not be able to work or lead normal lifestyles. </w:t>
      </w:r>
    </w:p>
    <w:p w14:paraId="1F9985BA" w14:textId="77777777" w:rsidR="00A74DB0" w:rsidRPr="00B353C6" w:rsidRDefault="004B3348">
      <w:pPr>
        <w:spacing w:line="360" w:lineRule="auto"/>
        <w:jc w:val="both"/>
        <w:rPr>
          <w:rFonts w:ascii="Arial" w:eastAsia="Arial" w:hAnsi="Arial" w:cs="Arial"/>
          <w:b/>
          <w:sz w:val="28"/>
          <w:szCs w:val="28"/>
        </w:rPr>
      </w:pPr>
      <w:r w:rsidRPr="00B353C6">
        <w:rPr>
          <w:rFonts w:ascii="Arial" w:eastAsia="Arial" w:hAnsi="Arial" w:cs="Arial"/>
          <w:b/>
          <w:sz w:val="28"/>
          <w:szCs w:val="28"/>
        </w:rPr>
        <w:t>Controlling Type 2 Diabetes</w:t>
      </w:r>
    </w:p>
    <w:p w14:paraId="1F9985BB" w14:textId="295C1259" w:rsidR="00A74DB0" w:rsidRDefault="004B3348">
      <w:pPr>
        <w:spacing w:line="360" w:lineRule="auto"/>
        <w:jc w:val="both"/>
        <w:rPr>
          <w:rFonts w:ascii="Arial" w:eastAsia="Arial" w:hAnsi="Arial" w:cs="Arial"/>
        </w:rPr>
      </w:pPr>
      <w:r>
        <w:rPr>
          <w:rFonts w:ascii="Arial" w:eastAsia="Arial" w:hAnsi="Arial" w:cs="Arial"/>
        </w:rPr>
        <w:t xml:space="preserve">Public health strategies, clinical management, and individual lifestyle interventions are all necessary </w:t>
      </w:r>
      <w:r w:rsidR="00686D6A">
        <w:rPr>
          <w:rFonts w:ascii="Arial" w:eastAsia="Arial" w:hAnsi="Arial" w:cs="Arial"/>
        </w:rPr>
        <w:t>to</w:t>
      </w:r>
      <w:r>
        <w:rPr>
          <w:rFonts w:ascii="Arial" w:eastAsia="Arial" w:hAnsi="Arial" w:cs="Arial"/>
        </w:rPr>
        <w:t xml:space="preserve"> control and manage T2D. Prevention programmes are important at the population level. The NHS England Diabetes Prevention Programme focuses on all persons at high risk to delay or prevent onset through structured education, weight management, and physical activity initiatives (Hawkes et al., 2020). It has been demonstrated that lifestyle-related factors like healthy eating, physical activity, and weight loss can lower the chances of T2D up to 58% (Public Health England, 2018).</w:t>
      </w:r>
    </w:p>
    <w:p w14:paraId="1F9985BC" w14:textId="2C0E43BC" w:rsidR="00A74DB0" w:rsidRDefault="004B3348">
      <w:pPr>
        <w:spacing w:line="360" w:lineRule="auto"/>
        <w:jc w:val="both"/>
        <w:rPr>
          <w:rFonts w:ascii="Arial" w:eastAsia="Arial" w:hAnsi="Arial" w:cs="Arial"/>
        </w:rPr>
      </w:pPr>
      <w:r>
        <w:rPr>
          <w:rFonts w:ascii="Arial" w:eastAsia="Arial" w:hAnsi="Arial" w:cs="Arial"/>
        </w:rPr>
        <w:t xml:space="preserve">Screenings and early detection are also essential. People at risk are identified through blood glucose monitoring in NHS health checks available to adults aged 40-74. Early diagnosis can </w:t>
      </w:r>
      <w:r w:rsidR="00686D6A">
        <w:rPr>
          <w:rFonts w:ascii="Arial" w:eastAsia="Arial" w:hAnsi="Arial" w:cs="Arial"/>
        </w:rPr>
        <w:t>offer an</w:t>
      </w:r>
      <w:r>
        <w:rPr>
          <w:rFonts w:ascii="Arial" w:eastAsia="Arial" w:hAnsi="Arial" w:cs="Arial"/>
        </w:rPr>
        <w:t xml:space="preserve"> opportunity to act, lowering the risk of complications (Hawkes et al., 2020). Primary care services are essential to ongoing management, relying on personalised care plans and patient education to facilitate self-management (NHS England, 2024). Pharmacotherapy with metformin and other oral hypoglycaemic medications, are extensively used in instances where lifestyle modification alone fails to achieve the desired outcomes. In others, insulin treatment is necessary. NICE guidelines on diabetes management prioritise patient-centred care, periodic measurement of HbA1c levels, and the management of comorbid conditions like hypertension and hyperlipidaemia (NICE, 2022).</w:t>
      </w:r>
    </w:p>
    <w:p w14:paraId="1F9985BD" w14:textId="77777777" w:rsidR="00A74DB0" w:rsidRDefault="004B3348">
      <w:pPr>
        <w:spacing w:line="360" w:lineRule="auto"/>
        <w:jc w:val="both"/>
        <w:rPr>
          <w:rFonts w:ascii="Arial" w:eastAsia="Arial" w:hAnsi="Arial" w:cs="Arial"/>
        </w:rPr>
      </w:pPr>
      <w:r>
        <w:rPr>
          <w:rFonts w:ascii="Arial" w:eastAsia="Arial" w:hAnsi="Arial" w:cs="Arial"/>
        </w:rPr>
        <w:t xml:space="preserve">In addition to personal treatment, community-based interventions have been used to manage social determinants of health. These involve encouraging physical activity, curbing unhealthy food advertisements, and collaboration with local governments to establish healthier environments. The UK Government Soft Drinks Industry Levy is an example of policies being used as part of the general diabetes prevention strategies to help decrease sugar consumption. Control measures are increasingly supported by digital interventions (The Lancet, 2024). Online education programmes and mobile health applications are also being increasingly utilised to offer real-time glucose monitoring, lifestyle tracking, or virtual consultations, enhancing accessibility and </w:t>
      </w:r>
      <w:r>
        <w:rPr>
          <w:rFonts w:ascii="Arial" w:eastAsia="Arial" w:hAnsi="Arial" w:cs="Arial"/>
        </w:rPr>
        <w:lastRenderedPageBreak/>
        <w:t>engagement, particularly in rural or underserved locations (Public Health England, 2018). Collectively, the steps denote a multi-layered intervention that entails prevention, treatment, and health promotion.</w:t>
      </w:r>
    </w:p>
    <w:p w14:paraId="1F9985BE" w14:textId="18CEAF4E" w:rsidR="00A74DB0" w:rsidRPr="00B353C6" w:rsidRDefault="004B3348">
      <w:pPr>
        <w:spacing w:line="360" w:lineRule="auto"/>
        <w:jc w:val="both"/>
        <w:rPr>
          <w:rFonts w:ascii="Arial" w:eastAsia="Arial" w:hAnsi="Arial" w:cs="Arial"/>
          <w:b/>
          <w:sz w:val="28"/>
          <w:szCs w:val="28"/>
        </w:rPr>
      </w:pPr>
      <w:r w:rsidRPr="00B353C6">
        <w:rPr>
          <w:rFonts w:ascii="Arial" w:eastAsia="Arial" w:hAnsi="Arial" w:cs="Arial"/>
          <w:b/>
          <w:sz w:val="28"/>
          <w:szCs w:val="28"/>
        </w:rPr>
        <w:t>Factors Influencing the Health and Wellbeing of People with T</w:t>
      </w:r>
      <w:r w:rsidR="0002634C">
        <w:rPr>
          <w:rFonts w:ascii="Arial" w:eastAsia="Arial" w:hAnsi="Arial" w:cs="Arial"/>
          <w:b/>
          <w:sz w:val="28"/>
          <w:szCs w:val="28"/>
        </w:rPr>
        <w:t xml:space="preserve">ype </w:t>
      </w:r>
      <w:r w:rsidRPr="00B353C6">
        <w:rPr>
          <w:rFonts w:ascii="Arial" w:eastAsia="Arial" w:hAnsi="Arial" w:cs="Arial"/>
          <w:b/>
          <w:sz w:val="28"/>
          <w:szCs w:val="28"/>
        </w:rPr>
        <w:t>2</w:t>
      </w:r>
      <w:r w:rsidR="0002634C">
        <w:rPr>
          <w:rFonts w:ascii="Arial" w:eastAsia="Arial" w:hAnsi="Arial" w:cs="Arial"/>
          <w:b/>
          <w:sz w:val="28"/>
          <w:szCs w:val="28"/>
        </w:rPr>
        <w:t xml:space="preserve"> </w:t>
      </w:r>
      <w:r w:rsidRPr="00B353C6">
        <w:rPr>
          <w:rFonts w:ascii="Arial" w:eastAsia="Arial" w:hAnsi="Arial" w:cs="Arial"/>
          <w:b/>
          <w:sz w:val="28"/>
          <w:szCs w:val="28"/>
        </w:rPr>
        <w:t>D</w:t>
      </w:r>
      <w:r w:rsidR="00EA25DD">
        <w:rPr>
          <w:rFonts w:ascii="Arial" w:eastAsia="Arial" w:hAnsi="Arial" w:cs="Arial"/>
          <w:b/>
          <w:sz w:val="28"/>
          <w:szCs w:val="28"/>
        </w:rPr>
        <w:t xml:space="preserve">iabetes </w:t>
      </w:r>
      <w:r w:rsidRPr="00B353C6">
        <w:rPr>
          <w:rFonts w:ascii="Arial" w:eastAsia="Arial" w:hAnsi="Arial" w:cs="Arial"/>
          <w:b/>
          <w:sz w:val="28"/>
          <w:szCs w:val="28"/>
        </w:rPr>
        <w:t>and their Families.</w:t>
      </w:r>
    </w:p>
    <w:p w14:paraId="1F9985BF" w14:textId="7319CCC9" w:rsidR="00A74DB0" w:rsidRDefault="004B3348">
      <w:pPr>
        <w:spacing w:line="360" w:lineRule="auto"/>
        <w:jc w:val="both"/>
        <w:rPr>
          <w:rFonts w:ascii="Arial" w:eastAsia="Arial" w:hAnsi="Arial" w:cs="Arial"/>
        </w:rPr>
      </w:pPr>
      <w:r>
        <w:rPr>
          <w:rFonts w:ascii="Arial" w:eastAsia="Arial" w:hAnsi="Arial" w:cs="Arial"/>
        </w:rPr>
        <w:t xml:space="preserve">A set of related factors interact to affect the health and well-being of persons with T2D (The Lancet, 2024). Biological factors, such as older age, genetic susceptibility, obesity, and comorbidities such as hypertension often introduce the plumbing, around which other determinants operate (Ismail et al., 2021). In example, patients who are obese or at risk, based on metabolic issues, are more prone to becoming insulin resistant but their control of these threats is usually limited by their environment and societal factors (NHS England, 2023). Lifestyle behaviours like an unhealthy diet and physical inactivity are also critical factors (The Lancet, 2024). However, it has been argued that lifestyle choices are significantly influenced by the presence and affordability of healthy food, access of recreational areas, and wider societal preferences towards diet and exercise (Ismail et al., 2021). In areas with a high number of </w:t>
      </w:r>
      <w:r w:rsidR="00B353C6">
        <w:rPr>
          <w:rFonts w:ascii="Arial" w:eastAsia="Arial" w:hAnsi="Arial" w:cs="Arial"/>
        </w:rPr>
        <w:t>fast-food</w:t>
      </w:r>
      <w:r>
        <w:rPr>
          <w:rFonts w:ascii="Arial" w:eastAsia="Arial" w:hAnsi="Arial" w:cs="Arial"/>
        </w:rPr>
        <w:t xml:space="preserve"> restaurants and scarce green areas, people are more likely to struggle with a healthy weight and exercise program, which increases biological predispositions.</w:t>
      </w:r>
    </w:p>
    <w:p w14:paraId="1F9985C0" w14:textId="7F480AAD" w:rsidR="00A74DB0" w:rsidRDefault="004B3348">
      <w:pPr>
        <w:spacing w:line="360" w:lineRule="auto"/>
        <w:jc w:val="both"/>
        <w:rPr>
          <w:rFonts w:ascii="Arial" w:eastAsia="Arial" w:hAnsi="Arial" w:cs="Arial"/>
        </w:rPr>
      </w:pPr>
      <w:r>
        <w:rPr>
          <w:rFonts w:ascii="Arial" w:eastAsia="Arial" w:hAnsi="Arial" w:cs="Arial"/>
        </w:rPr>
        <w:t xml:space="preserve">The physical and social factors are also interwoven with psychological well-being. The experience of having a long-term condition also creates a psychological burden, causing stress, anxiety, or depression, which subsequently may negatively affect motivation to participate in self-management behaviours (Reeves et al., 2023). To illustrate, a person with a low mood due to depression or anxiety might be less motivated to cook healthy meals, visit healthcare centres, or exercise regularly, which is a sequence of actions that leads to poorer glycaemic regulation and wellbeing (Ismail et al., 2021). According to Hill-Briggs et al. (2020), these challenges are worsened by socioeconomic status. Individuals in </w:t>
      </w:r>
      <w:r w:rsidR="00B353C6">
        <w:rPr>
          <w:rFonts w:ascii="Arial" w:eastAsia="Arial" w:hAnsi="Arial" w:cs="Arial"/>
        </w:rPr>
        <w:t>low-income</w:t>
      </w:r>
      <w:r>
        <w:rPr>
          <w:rFonts w:ascii="Arial" w:eastAsia="Arial" w:hAnsi="Arial" w:cs="Arial"/>
        </w:rPr>
        <w:t xml:space="preserve"> families tend to experience food insecurity, poor health literacy, and inferior healthcare access. These obstacles hinder their ability to initiate and maintain healthy behaviours, despite being aware of the risks (Reeves et al., 2023). To a great number, the financial strain becomes part of the psychological strain of disease management, potentially worsening their physiological health outcomes.</w:t>
      </w:r>
    </w:p>
    <w:p w14:paraId="1F9985C1" w14:textId="77777777" w:rsidR="00A74DB0" w:rsidRDefault="004B3348">
      <w:pPr>
        <w:spacing w:line="360" w:lineRule="auto"/>
        <w:jc w:val="both"/>
        <w:rPr>
          <w:rFonts w:ascii="Arial" w:eastAsia="Arial" w:hAnsi="Arial" w:cs="Arial"/>
        </w:rPr>
      </w:pPr>
      <w:r>
        <w:rPr>
          <w:rFonts w:ascii="Arial" w:eastAsia="Arial" w:hAnsi="Arial" w:cs="Arial"/>
        </w:rPr>
        <w:lastRenderedPageBreak/>
        <w:t>Experiences of living with diabetes are also influenced by cultural and community contexts. According to Sapkota et al. (2025), certain ethnic minority groups have cultural attitudes towards illness, food retention, and language obstacles that may complicate the availability or utilisation of healthcare services. This can cause delays in diagnosis, deficient glycaemic control, or reduced uptake of preventive programmes (Diabetes UK, 2024). Meanwhile, positive family and community support networks may positively influence self-management by offering emotional support, being equally responsible toward the meal planning process, and promoting physical activity. Notably, these personal, social, and psychological determinants are also supported by environmental and policy settings (Reeves et al., 2023). In neighbourhoods where people lack active travel infrastructure, recreation centres and there is promotion of unhealthy foods lead to environments that make healthy living difficult (Sapkota et al., 2025). The environment within which individuals make their daily health choices is thus of utmost importance to public health policies. The consideration of any of these factors individually is often not effective, but instead the synergy among biological, psychological, social, economic, and environmental factors that ultimately dictate how people with type 2 diabetes perceive their outcomes and well-being (Hill-Briggs et al., 2020).</w:t>
      </w:r>
    </w:p>
    <w:p w14:paraId="1F9985C2" w14:textId="77777777" w:rsidR="00A74DB0" w:rsidRDefault="004B3348">
      <w:pPr>
        <w:spacing w:line="360" w:lineRule="auto"/>
        <w:jc w:val="both"/>
        <w:rPr>
          <w:rFonts w:ascii="Arial" w:eastAsia="Arial" w:hAnsi="Arial" w:cs="Arial"/>
        </w:rPr>
      </w:pPr>
      <w:r>
        <w:rPr>
          <w:rFonts w:ascii="Arial" w:eastAsia="Arial" w:hAnsi="Arial" w:cs="Arial"/>
        </w:rPr>
        <w:t>In sum, this report suggests that health and social care practitioners are important in helping people with T2D. Medical intervention commonly goes along with lifestyle support and education. Additionally, it has been demonstrated in certain studies that culturally sensitive communication and motivational interviewing can be useful in improving communication between various groups (Ismail et al., 2021). When it comes to a community health perspective, it is important to reinforce efforts at prevention, say, by educating on diabetes and implementing policies to lessen intake of fatty food.</w:t>
      </w:r>
    </w:p>
    <w:p w14:paraId="1F9985C3" w14:textId="77777777" w:rsidR="00A74DB0" w:rsidRPr="00B353C6" w:rsidRDefault="004B3348">
      <w:pPr>
        <w:spacing w:line="360" w:lineRule="auto"/>
        <w:jc w:val="both"/>
        <w:rPr>
          <w:rFonts w:ascii="Arial" w:eastAsia="Arial" w:hAnsi="Arial" w:cs="Arial"/>
          <w:b/>
          <w:sz w:val="28"/>
          <w:szCs w:val="28"/>
        </w:rPr>
      </w:pPr>
      <w:r w:rsidRPr="00B353C6">
        <w:rPr>
          <w:rFonts w:ascii="Arial" w:eastAsia="Arial" w:hAnsi="Arial" w:cs="Arial"/>
          <w:b/>
          <w:sz w:val="28"/>
          <w:szCs w:val="28"/>
        </w:rPr>
        <w:t>Conclusion</w:t>
      </w:r>
    </w:p>
    <w:p w14:paraId="1F9985C4" w14:textId="6BDAE95F" w:rsidR="00A74DB0" w:rsidRDefault="004B3348">
      <w:pPr>
        <w:spacing w:line="360" w:lineRule="auto"/>
        <w:jc w:val="both"/>
        <w:rPr>
          <w:rFonts w:ascii="Arial" w:eastAsia="Arial" w:hAnsi="Arial" w:cs="Arial"/>
        </w:rPr>
      </w:pPr>
      <w:bookmarkStart w:id="0" w:name="_heading=h.5l29ghfj0s3p" w:colFirst="0" w:colLast="0"/>
      <w:bookmarkEnd w:id="0"/>
      <w:r>
        <w:rPr>
          <w:rFonts w:ascii="Arial" w:eastAsia="Arial" w:hAnsi="Arial" w:cs="Arial"/>
        </w:rPr>
        <w:t>T</w:t>
      </w:r>
      <w:r w:rsidR="00EA25DD">
        <w:rPr>
          <w:rFonts w:ascii="Arial" w:eastAsia="Arial" w:hAnsi="Arial" w:cs="Arial"/>
        </w:rPr>
        <w:t xml:space="preserve">ype </w:t>
      </w:r>
      <w:r>
        <w:rPr>
          <w:rFonts w:ascii="Arial" w:eastAsia="Arial" w:hAnsi="Arial" w:cs="Arial"/>
        </w:rPr>
        <w:t>2</w:t>
      </w:r>
      <w:r w:rsidR="00EA25DD">
        <w:rPr>
          <w:rFonts w:ascii="Arial" w:eastAsia="Arial" w:hAnsi="Arial" w:cs="Arial"/>
        </w:rPr>
        <w:t xml:space="preserve"> </w:t>
      </w:r>
      <w:r>
        <w:rPr>
          <w:rFonts w:ascii="Arial" w:eastAsia="Arial" w:hAnsi="Arial" w:cs="Arial"/>
        </w:rPr>
        <w:t>D</w:t>
      </w:r>
      <w:r w:rsidR="00EA25DD">
        <w:rPr>
          <w:rFonts w:ascii="Arial" w:eastAsia="Arial" w:hAnsi="Arial" w:cs="Arial"/>
        </w:rPr>
        <w:t>iabetes</w:t>
      </w:r>
      <w:r>
        <w:rPr>
          <w:rFonts w:ascii="Arial" w:eastAsia="Arial" w:hAnsi="Arial" w:cs="Arial"/>
        </w:rPr>
        <w:t xml:space="preserve"> is a major and rising public health concern in the UK and around the world. Its impacts are complex, involving individuals, families, communities, and the healthcare system. Its high prevalence rates, particularly in the case of socioeconomically deprived individuals and minority ethnic groups suggest that</w:t>
      </w:r>
      <w:r w:rsidR="00620F59">
        <w:rPr>
          <w:rFonts w:ascii="Arial" w:eastAsia="Arial" w:hAnsi="Arial" w:cs="Arial"/>
        </w:rPr>
        <w:t xml:space="preserve"> particular</w:t>
      </w:r>
      <w:r>
        <w:rPr>
          <w:rFonts w:ascii="Arial" w:eastAsia="Arial" w:hAnsi="Arial" w:cs="Arial"/>
        </w:rPr>
        <w:t xml:space="preserve"> </w:t>
      </w:r>
      <w:r w:rsidR="00620F59">
        <w:rPr>
          <w:rFonts w:ascii="Arial" w:eastAsia="Arial" w:hAnsi="Arial" w:cs="Arial"/>
        </w:rPr>
        <w:t>preventive</w:t>
      </w:r>
      <w:r>
        <w:rPr>
          <w:rFonts w:ascii="Arial" w:eastAsia="Arial" w:hAnsi="Arial" w:cs="Arial"/>
        </w:rPr>
        <w:t xml:space="preserve"> and management actions are needed. Control involves timely identification, </w:t>
      </w:r>
      <w:r w:rsidR="0084129F">
        <w:rPr>
          <w:rFonts w:ascii="Arial" w:eastAsia="Arial" w:hAnsi="Arial" w:cs="Arial"/>
        </w:rPr>
        <w:t>behaviour</w:t>
      </w:r>
      <w:r>
        <w:rPr>
          <w:rFonts w:ascii="Arial" w:eastAsia="Arial" w:hAnsi="Arial" w:cs="Arial"/>
        </w:rPr>
        <w:t xml:space="preserve"> change, medications, and supportive policies to deal with the wider determinants of health. Health workers play a key role in empowering individuals to pursue a simpler living, though cross-sectoral efforts are required in long-term </w:t>
      </w:r>
      <w:r>
        <w:rPr>
          <w:rFonts w:ascii="Arial" w:eastAsia="Arial" w:hAnsi="Arial" w:cs="Arial"/>
        </w:rPr>
        <w:lastRenderedPageBreak/>
        <w:t>solutions. Integration of environmental, behaviour and social factors and clinical care can result in decreasing incidence, improving quality of life and alleviating NHS workloads. A coordinated public health strategy involving individual care management, community engagement, and societal policy is, therefore, crucial in reducing the epidemic paralleled by diabetes type 2 and promoting health equity</w:t>
      </w:r>
      <w:r w:rsidR="004433F5">
        <w:rPr>
          <w:rFonts w:ascii="Arial" w:eastAsia="Arial" w:hAnsi="Arial" w:cs="Arial"/>
        </w:rPr>
        <w:t>.</w:t>
      </w:r>
    </w:p>
    <w:p w14:paraId="1F9985D1" w14:textId="6D0A80C9" w:rsidR="00A74DB0" w:rsidRPr="00375C9C" w:rsidRDefault="004B3348" w:rsidP="00375C9C">
      <w:pPr>
        <w:spacing w:line="360" w:lineRule="auto"/>
        <w:ind w:firstLine="0"/>
        <w:jc w:val="both"/>
        <w:rPr>
          <w:rFonts w:ascii="Arial" w:eastAsia="Arial" w:hAnsi="Arial" w:cs="Arial"/>
        </w:rPr>
      </w:pPr>
      <w:r w:rsidRPr="00867520">
        <w:rPr>
          <w:rFonts w:ascii="Arial" w:eastAsia="Arial" w:hAnsi="Arial" w:cs="Arial"/>
          <w:b/>
          <w:bCs/>
          <w:sz w:val="28"/>
          <w:szCs w:val="28"/>
        </w:rPr>
        <w:t>References</w:t>
      </w:r>
    </w:p>
    <w:p w14:paraId="1F9985D2" w14:textId="426AA97A"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Barry, E., Greenhalgh, T., Shaw, S. and Papoutsi, C. (2023) “Explaining the UK’s ‘high-risk’ approach to type 2 diabetes prevention: findings from a qualitative interview study with </w:t>
      </w:r>
      <w:r w:rsidR="009763E5">
        <w:rPr>
          <w:rFonts w:ascii="Arial" w:eastAsia="Arial" w:hAnsi="Arial" w:cs="Arial"/>
          <w:color w:val="000000"/>
        </w:rPr>
        <w:t>policy</w:t>
      </w:r>
      <w:r w:rsidR="00D747E1">
        <w:rPr>
          <w:rFonts w:ascii="Arial" w:eastAsia="Arial" w:hAnsi="Arial" w:cs="Arial"/>
          <w:color w:val="000000"/>
        </w:rPr>
        <w:t>-</w:t>
      </w:r>
      <w:r w:rsidR="009763E5">
        <w:rPr>
          <w:rFonts w:ascii="Arial" w:eastAsia="Arial" w:hAnsi="Arial" w:cs="Arial"/>
          <w:color w:val="000000"/>
        </w:rPr>
        <w:t>makers</w:t>
      </w:r>
      <w:r>
        <w:rPr>
          <w:rFonts w:ascii="Arial" w:eastAsia="Arial" w:hAnsi="Arial" w:cs="Arial"/>
          <w:color w:val="000000"/>
        </w:rPr>
        <w:t xml:space="preserve"> in England,” </w:t>
      </w:r>
      <w:r>
        <w:rPr>
          <w:rFonts w:ascii="Arial" w:eastAsia="Arial" w:hAnsi="Arial" w:cs="Arial"/>
          <w:i/>
          <w:color w:val="000000"/>
        </w:rPr>
        <w:t>BMJ Open</w:t>
      </w:r>
      <w:r>
        <w:rPr>
          <w:rFonts w:ascii="Arial" w:eastAsia="Arial" w:hAnsi="Arial" w:cs="Arial"/>
          <w:color w:val="000000"/>
        </w:rPr>
        <w:t>, 13(2), p. e066301. Available at: https://doi.org/10.1136/bmjopen-2022-066301.</w:t>
      </w:r>
    </w:p>
    <w:p w14:paraId="1F9985D3"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Department of Health &amp; Social Care (DHSC) (2023) </w:t>
      </w:r>
      <w:r>
        <w:rPr>
          <w:rFonts w:ascii="Arial" w:eastAsia="Arial" w:hAnsi="Arial" w:cs="Arial"/>
          <w:i/>
          <w:color w:val="000000"/>
        </w:rPr>
        <w:t>Major conditions strategy: case for change and our strategic framework</w:t>
      </w:r>
      <w:r>
        <w:rPr>
          <w:rFonts w:ascii="Arial" w:eastAsia="Arial" w:hAnsi="Arial" w:cs="Arial"/>
          <w:color w:val="000000"/>
        </w:rPr>
        <w:t xml:space="preserve">, </w:t>
      </w:r>
      <w:r>
        <w:rPr>
          <w:rFonts w:ascii="Arial" w:eastAsia="Arial" w:hAnsi="Arial" w:cs="Arial"/>
          <w:i/>
          <w:color w:val="000000"/>
        </w:rPr>
        <w:t>GOV.UK</w:t>
      </w:r>
      <w:r>
        <w:rPr>
          <w:rFonts w:ascii="Arial" w:eastAsia="Arial" w:hAnsi="Arial" w:cs="Arial"/>
          <w:color w:val="000000"/>
        </w:rPr>
        <w:t>. Available at: https://www.gov.uk/government/publications/major-conditions-strategy-case-for-change-and-our-strategic-framework/major-conditions-strategy-case-for-change-and-our-strategic-framework--2 (Accessed: October 16, 2025).</w:t>
      </w:r>
    </w:p>
    <w:p w14:paraId="1F9985D4"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Diabetes UK (2024) </w:t>
      </w:r>
      <w:r>
        <w:rPr>
          <w:rFonts w:ascii="Arial" w:eastAsia="Arial" w:hAnsi="Arial" w:cs="Arial"/>
          <w:i/>
          <w:color w:val="000000"/>
        </w:rPr>
        <w:t>How many people in the UK have diabetes?</w:t>
      </w:r>
      <w:r>
        <w:rPr>
          <w:rFonts w:ascii="Arial" w:eastAsia="Arial" w:hAnsi="Arial" w:cs="Arial"/>
          <w:color w:val="000000"/>
        </w:rPr>
        <w:t xml:space="preserve">, </w:t>
      </w:r>
      <w:r>
        <w:rPr>
          <w:rFonts w:ascii="Arial" w:eastAsia="Arial" w:hAnsi="Arial" w:cs="Arial"/>
          <w:i/>
          <w:color w:val="000000"/>
        </w:rPr>
        <w:t>Diabetes UK</w:t>
      </w:r>
      <w:r>
        <w:rPr>
          <w:rFonts w:ascii="Arial" w:eastAsia="Arial" w:hAnsi="Arial" w:cs="Arial"/>
          <w:color w:val="000000"/>
        </w:rPr>
        <w:t>. Available at: https://www.diabetes.org.uk/about-us/about-the-charity/our-strategy/statistics (Accessed: October 16, 2025).</w:t>
      </w:r>
    </w:p>
    <w:p w14:paraId="1F9985D5"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Hawkes, R.E., Cameron, E., Cotterill, S., Bower, P. and French, D.P. (2020) “The NHS Diabetes Prevention Programme: an observational study of service delivery and patient experience,” </w:t>
      </w:r>
      <w:r>
        <w:rPr>
          <w:rFonts w:ascii="Arial" w:eastAsia="Arial" w:hAnsi="Arial" w:cs="Arial"/>
          <w:i/>
          <w:color w:val="000000"/>
        </w:rPr>
        <w:t>BMC Health Services Research</w:t>
      </w:r>
      <w:r>
        <w:rPr>
          <w:rFonts w:ascii="Arial" w:eastAsia="Arial" w:hAnsi="Arial" w:cs="Arial"/>
          <w:color w:val="000000"/>
        </w:rPr>
        <w:t>, 20(1). Available at: https://doi.org/10.1186/s12913-020-05951-7.</w:t>
      </w:r>
    </w:p>
    <w:p w14:paraId="1F9985D6"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Hill-Briggs, F., Adler, N.E., Berkowitz, S.A., Chin, M.H., Gary-Webb, T.L., Navas-</w:t>
      </w:r>
      <w:proofErr w:type="spellStart"/>
      <w:r>
        <w:rPr>
          <w:rFonts w:ascii="Arial" w:eastAsia="Arial" w:hAnsi="Arial" w:cs="Arial"/>
          <w:color w:val="000000"/>
        </w:rPr>
        <w:t>Acien</w:t>
      </w:r>
      <w:proofErr w:type="spellEnd"/>
      <w:r>
        <w:rPr>
          <w:rFonts w:ascii="Arial" w:eastAsia="Arial" w:hAnsi="Arial" w:cs="Arial"/>
          <w:color w:val="000000"/>
        </w:rPr>
        <w:t xml:space="preserve">, A., Thornton, P.L. and Haire-Joshu, D. (2020) “Social Determinants of Health and Diabetes: A Scientific review,” </w:t>
      </w:r>
      <w:r>
        <w:rPr>
          <w:rFonts w:ascii="Arial" w:eastAsia="Arial" w:hAnsi="Arial" w:cs="Arial"/>
          <w:i/>
          <w:color w:val="000000"/>
        </w:rPr>
        <w:t>Diabetes Care</w:t>
      </w:r>
      <w:r>
        <w:rPr>
          <w:rFonts w:ascii="Arial" w:eastAsia="Arial" w:hAnsi="Arial" w:cs="Arial"/>
          <w:color w:val="000000"/>
        </w:rPr>
        <w:t>, 44(1), pp. 258–279. Available at: https://doi.org/10.2337/dci20-0053.</w:t>
      </w:r>
    </w:p>
    <w:p w14:paraId="1F9985D7"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Ismail, L., </w:t>
      </w:r>
      <w:proofErr w:type="spellStart"/>
      <w:r>
        <w:rPr>
          <w:rFonts w:ascii="Arial" w:eastAsia="Arial" w:hAnsi="Arial" w:cs="Arial"/>
          <w:color w:val="000000"/>
        </w:rPr>
        <w:t>Materwala</w:t>
      </w:r>
      <w:proofErr w:type="spellEnd"/>
      <w:r>
        <w:rPr>
          <w:rFonts w:ascii="Arial" w:eastAsia="Arial" w:hAnsi="Arial" w:cs="Arial"/>
          <w:color w:val="000000"/>
        </w:rPr>
        <w:t xml:space="preserve">, H. and </w:t>
      </w:r>
      <w:proofErr w:type="spellStart"/>
      <w:r>
        <w:rPr>
          <w:rFonts w:ascii="Arial" w:eastAsia="Arial" w:hAnsi="Arial" w:cs="Arial"/>
          <w:color w:val="000000"/>
        </w:rPr>
        <w:t>Kaabi</w:t>
      </w:r>
      <w:proofErr w:type="spellEnd"/>
      <w:r>
        <w:rPr>
          <w:rFonts w:ascii="Arial" w:eastAsia="Arial" w:hAnsi="Arial" w:cs="Arial"/>
          <w:color w:val="000000"/>
        </w:rPr>
        <w:t xml:space="preserve">, J.A. (2021) “Association of risk factors with type 2 diabetes: A systematic review,” </w:t>
      </w:r>
      <w:r>
        <w:rPr>
          <w:rFonts w:ascii="Arial" w:eastAsia="Arial" w:hAnsi="Arial" w:cs="Arial"/>
          <w:i/>
          <w:color w:val="000000"/>
        </w:rPr>
        <w:t>Computational and Structural Biotechnology Journal</w:t>
      </w:r>
      <w:r>
        <w:rPr>
          <w:rFonts w:ascii="Arial" w:eastAsia="Arial" w:hAnsi="Arial" w:cs="Arial"/>
          <w:color w:val="000000"/>
        </w:rPr>
        <w:t>, 19, pp. 1759–1785. Available at: https://doi.org/10.1016/j.csbj.2021.03.003.</w:t>
      </w:r>
    </w:p>
    <w:p w14:paraId="1F9985D8"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Martin, L., Hill, S. and Holt, R.I.G. (2024) “The effect of diabetes management on the workload of district and community nursing teams in the UK,” </w:t>
      </w:r>
      <w:r>
        <w:rPr>
          <w:rFonts w:ascii="Arial" w:eastAsia="Arial" w:hAnsi="Arial" w:cs="Arial"/>
          <w:i/>
          <w:color w:val="000000"/>
        </w:rPr>
        <w:t>Diabetic Medicine</w:t>
      </w:r>
      <w:r>
        <w:rPr>
          <w:rFonts w:ascii="Arial" w:eastAsia="Arial" w:hAnsi="Arial" w:cs="Arial"/>
          <w:color w:val="000000"/>
        </w:rPr>
        <w:t>, 41(10). Available at: https://doi.org/10.1111/dme.15367.</w:t>
      </w:r>
    </w:p>
    <w:p w14:paraId="1F9985D9"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lastRenderedPageBreak/>
        <w:t xml:space="preserve">National Institute for Health and Care Excellence (NICE) (2022) </w:t>
      </w:r>
      <w:r>
        <w:rPr>
          <w:rFonts w:ascii="Arial" w:eastAsia="Arial" w:hAnsi="Arial" w:cs="Arial"/>
          <w:i/>
          <w:color w:val="000000"/>
        </w:rPr>
        <w:t>Type 2 diabetes in adults: management  | Guidance | NICE</w:t>
      </w:r>
      <w:r>
        <w:rPr>
          <w:rFonts w:ascii="Arial" w:eastAsia="Arial" w:hAnsi="Arial" w:cs="Arial"/>
          <w:color w:val="000000"/>
        </w:rPr>
        <w:t>. Available at: https://www.nice.org.uk/guidance/ng28 (Accessed: October 16, 2025).</w:t>
      </w:r>
    </w:p>
    <w:p w14:paraId="1F9985DA"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NHS England (2024) </w:t>
      </w:r>
      <w:r>
        <w:rPr>
          <w:rFonts w:ascii="Arial" w:eastAsia="Arial" w:hAnsi="Arial" w:cs="Arial"/>
          <w:i/>
          <w:color w:val="000000"/>
        </w:rPr>
        <w:t>NHS Diabetes Prevention Programme (NHS DPP)</w:t>
      </w:r>
      <w:r>
        <w:rPr>
          <w:rFonts w:ascii="Arial" w:eastAsia="Arial" w:hAnsi="Arial" w:cs="Arial"/>
          <w:color w:val="000000"/>
        </w:rPr>
        <w:t>. Available at: https://www.england.nhs.uk/diabetes/diabetes-prevention/ (Accessed: October 16, 2025).</w:t>
      </w:r>
    </w:p>
    <w:p w14:paraId="1F9985DB"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Public Health England (2018) </w:t>
      </w:r>
      <w:r>
        <w:rPr>
          <w:rFonts w:ascii="Arial" w:eastAsia="Arial" w:hAnsi="Arial" w:cs="Arial"/>
          <w:i/>
          <w:color w:val="000000"/>
        </w:rPr>
        <w:t>Health matters: preventing Type 2 diabetes</w:t>
      </w:r>
      <w:r>
        <w:rPr>
          <w:rFonts w:ascii="Arial" w:eastAsia="Arial" w:hAnsi="Arial" w:cs="Arial"/>
          <w:color w:val="000000"/>
        </w:rPr>
        <w:t xml:space="preserve">, </w:t>
      </w:r>
      <w:r>
        <w:rPr>
          <w:rFonts w:ascii="Arial" w:eastAsia="Arial" w:hAnsi="Arial" w:cs="Arial"/>
          <w:i/>
          <w:color w:val="000000"/>
        </w:rPr>
        <w:t>GOV.UK</w:t>
      </w:r>
      <w:r>
        <w:rPr>
          <w:rFonts w:ascii="Arial" w:eastAsia="Arial" w:hAnsi="Arial" w:cs="Arial"/>
          <w:color w:val="000000"/>
        </w:rPr>
        <w:t>. Available at: https://www.gov.uk/government/publications/health-matters-preventing-type-2-diabetes (Accessed: October 16, 2025).</w:t>
      </w:r>
    </w:p>
    <w:p w14:paraId="1F9985DC"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Reeves, D., Woodham, A.A., French, D., Bower, P., Holland, F., </w:t>
      </w:r>
      <w:proofErr w:type="spellStart"/>
      <w:r>
        <w:rPr>
          <w:rFonts w:ascii="Arial" w:eastAsia="Arial" w:hAnsi="Arial" w:cs="Arial"/>
          <w:color w:val="000000"/>
        </w:rPr>
        <w:t>Kontopantelis</w:t>
      </w:r>
      <w:proofErr w:type="spellEnd"/>
      <w:r>
        <w:rPr>
          <w:rFonts w:ascii="Arial" w:eastAsia="Arial" w:hAnsi="Arial" w:cs="Arial"/>
          <w:color w:val="000000"/>
        </w:rPr>
        <w:t xml:space="preserve">, E. and Cotterill, S. (2023) “The influence of demographic, health and psychosocial factors on patient uptake of the English NHS diabetes prevention programme,” </w:t>
      </w:r>
      <w:r>
        <w:rPr>
          <w:rFonts w:ascii="Arial" w:eastAsia="Arial" w:hAnsi="Arial" w:cs="Arial"/>
          <w:i/>
          <w:color w:val="000000"/>
        </w:rPr>
        <w:t>BMC Health Services Research</w:t>
      </w:r>
      <w:r>
        <w:rPr>
          <w:rFonts w:ascii="Arial" w:eastAsia="Arial" w:hAnsi="Arial" w:cs="Arial"/>
          <w:color w:val="000000"/>
        </w:rPr>
        <w:t>, 23(1). Available at: https://doi.org/10.1186/s12913-023-09195-z.</w:t>
      </w:r>
    </w:p>
    <w:p w14:paraId="1F9985DD"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Sapkota, R., Knight-Davidson, P., Roberts, J. and </w:t>
      </w:r>
      <w:proofErr w:type="spellStart"/>
      <w:r>
        <w:rPr>
          <w:rFonts w:ascii="Arial" w:eastAsia="Arial" w:hAnsi="Arial" w:cs="Arial"/>
          <w:color w:val="000000"/>
        </w:rPr>
        <w:t>Pardhan</w:t>
      </w:r>
      <w:proofErr w:type="spellEnd"/>
      <w:r>
        <w:rPr>
          <w:rFonts w:ascii="Arial" w:eastAsia="Arial" w:hAnsi="Arial" w:cs="Arial"/>
          <w:color w:val="000000"/>
        </w:rPr>
        <w:t xml:space="preserve">, S. (2025) “Factors influencing health-seeking behaviours and self-care practices among black-African Caribbean people living with type 2 diabetes: a community-focused qualitative study from Southwestern England,” </w:t>
      </w:r>
      <w:r>
        <w:rPr>
          <w:rFonts w:ascii="Arial" w:eastAsia="Arial" w:hAnsi="Arial" w:cs="Arial"/>
          <w:i/>
          <w:color w:val="000000"/>
        </w:rPr>
        <w:t>BMJ Open</w:t>
      </w:r>
      <w:r>
        <w:rPr>
          <w:rFonts w:ascii="Arial" w:eastAsia="Arial" w:hAnsi="Arial" w:cs="Arial"/>
          <w:color w:val="000000"/>
        </w:rPr>
        <w:t>, 15(5), p. e099553. Available at: https://doi.org/10.1136/bmjopen-2025-099553.</w:t>
      </w:r>
    </w:p>
    <w:p w14:paraId="1F9985DE"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The Lancet (2024) “Alarming rise in young-onset type 2 diabetes,” </w:t>
      </w:r>
      <w:r>
        <w:rPr>
          <w:rFonts w:ascii="Arial" w:eastAsia="Arial" w:hAnsi="Arial" w:cs="Arial"/>
          <w:i/>
          <w:color w:val="000000"/>
        </w:rPr>
        <w:t>The Lancet Diabetes &amp; Endocrinology</w:t>
      </w:r>
      <w:r>
        <w:rPr>
          <w:rFonts w:ascii="Arial" w:eastAsia="Arial" w:hAnsi="Arial" w:cs="Arial"/>
          <w:color w:val="000000"/>
        </w:rPr>
        <w:t>, 12(7), p. 433. Available at: https://doi.org/10.1016/s2213-8587(24)00161-x.</w:t>
      </w:r>
    </w:p>
    <w:p w14:paraId="1F9985DF"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World Health Organization (WHO) (2024) </w:t>
      </w:r>
      <w:r>
        <w:rPr>
          <w:rFonts w:ascii="Arial" w:eastAsia="Arial" w:hAnsi="Arial" w:cs="Arial"/>
          <w:i/>
          <w:color w:val="000000"/>
        </w:rPr>
        <w:t>Diabetes</w:t>
      </w:r>
      <w:r>
        <w:rPr>
          <w:rFonts w:ascii="Arial" w:eastAsia="Arial" w:hAnsi="Arial" w:cs="Arial"/>
          <w:color w:val="000000"/>
        </w:rPr>
        <w:t>. Available at: https://www.who.int/news-room/fact-sheets/detail/diabetes (Accessed: October 16, 2025).</w:t>
      </w:r>
    </w:p>
    <w:p w14:paraId="1F9985E0" w14:textId="77777777" w:rsidR="00A74DB0" w:rsidRDefault="004B3348">
      <w:pPr>
        <w:pBdr>
          <w:top w:val="nil"/>
          <w:left w:val="nil"/>
          <w:bottom w:val="nil"/>
          <w:right w:val="nil"/>
          <w:between w:val="nil"/>
        </w:pBdr>
        <w:spacing w:after="0" w:line="360" w:lineRule="auto"/>
        <w:ind w:left="720" w:hanging="720"/>
        <w:jc w:val="both"/>
        <w:rPr>
          <w:rFonts w:ascii="Arial" w:eastAsia="Arial" w:hAnsi="Arial" w:cs="Arial"/>
          <w:color w:val="000000"/>
        </w:rPr>
      </w:pPr>
      <w:r>
        <w:rPr>
          <w:rFonts w:ascii="Arial" w:eastAsia="Arial" w:hAnsi="Arial" w:cs="Arial"/>
          <w:color w:val="000000"/>
        </w:rPr>
        <w:t xml:space="preserve">Yan, Y., Wu, T., Zhang, M., Li, C., Liu, Q. and Li, F. (2022) “Prevalence, awareness and control of type 2 diabetes mellitus and risk factors in Chinese elderly population,” </w:t>
      </w:r>
      <w:r>
        <w:rPr>
          <w:rFonts w:ascii="Arial" w:eastAsia="Arial" w:hAnsi="Arial" w:cs="Arial"/>
          <w:i/>
          <w:color w:val="000000"/>
        </w:rPr>
        <w:t>BMC Public Health</w:t>
      </w:r>
      <w:r>
        <w:rPr>
          <w:rFonts w:ascii="Arial" w:eastAsia="Arial" w:hAnsi="Arial" w:cs="Arial"/>
          <w:color w:val="000000"/>
        </w:rPr>
        <w:t>, 22(1). Available at: https://doi.org/10.1186/s12889-022-13759-9.</w:t>
      </w:r>
    </w:p>
    <w:p w14:paraId="1F9985E1" w14:textId="77777777" w:rsidR="00A74DB0" w:rsidRDefault="00A74DB0">
      <w:pPr>
        <w:spacing w:line="360" w:lineRule="auto"/>
        <w:jc w:val="both"/>
        <w:rPr>
          <w:rFonts w:ascii="Arial" w:eastAsia="Arial" w:hAnsi="Arial" w:cs="Arial"/>
        </w:rPr>
      </w:pPr>
    </w:p>
    <w:p w14:paraId="1F9985E2" w14:textId="77777777" w:rsidR="00A74DB0" w:rsidRDefault="00A74DB0">
      <w:pPr>
        <w:spacing w:after="0" w:line="360" w:lineRule="auto"/>
        <w:ind w:firstLine="0"/>
        <w:jc w:val="both"/>
        <w:rPr>
          <w:rFonts w:ascii="Arial" w:eastAsia="Arial" w:hAnsi="Arial" w:cs="Arial"/>
        </w:rPr>
      </w:pPr>
    </w:p>
    <w:p w14:paraId="1F9985E3" w14:textId="77777777" w:rsidR="00A74DB0" w:rsidRDefault="00A74DB0">
      <w:pPr>
        <w:spacing w:line="360" w:lineRule="auto"/>
        <w:rPr>
          <w:rFonts w:ascii="Arial" w:eastAsia="Arial" w:hAnsi="Arial" w:cs="Arial"/>
        </w:rPr>
      </w:pPr>
    </w:p>
    <w:sectPr w:rsidR="00A74DB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3E716C" w14:textId="77777777" w:rsidR="00AD0719" w:rsidRDefault="00AD0719">
      <w:pPr>
        <w:spacing w:after="0" w:line="240" w:lineRule="auto"/>
      </w:pPr>
      <w:r>
        <w:separator/>
      </w:r>
    </w:p>
  </w:endnote>
  <w:endnote w:type="continuationSeparator" w:id="0">
    <w:p w14:paraId="52C506D6" w14:textId="77777777" w:rsidR="00AD0719" w:rsidRDefault="00AD07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auto"/>
    <w:pitch w:val="default"/>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9985E9" w14:textId="77777777" w:rsidR="00A74DB0" w:rsidRDefault="00A74DB0">
    <w:pPr>
      <w:pBdr>
        <w:top w:val="none" w:sz="0" w:space="0" w:color="000000"/>
        <w:left w:val="none" w:sz="0" w:space="0" w:color="000000"/>
        <w:bottom w:val="none" w:sz="0" w:space="0" w:color="000000"/>
        <w:right w:val="none" w:sz="0" w:space="0" w:color="000000"/>
        <w:between w:val="none" w:sz="0" w:space="0" w:color="000000"/>
      </w:pBdr>
      <w:tabs>
        <w:tab w:val="center" w:pos="4680"/>
        <w:tab w:val="right" w:pos="9360"/>
      </w:tabs>
      <w:ind w:hanging="2"/>
      <w:rPr>
        <w:color w:val="000000"/>
      </w:rPr>
    </w:pPr>
  </w:p>
  <w:p w14:paraId="1F9985EA" w14:textId="77777777" w:rsidR="00A74DB0" w:rsidRDefault="00A74DB0"/>
  <w:p w14:paraId="1F9985EB" w14:textId="77777777" w:rsidR="00A74DB0" w:rsidRDefault="00A74DB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9985EC" w14:textId="77777777" w:rsidR="00A74DB0" w:rsidRDefault="00A74DB0"/>
  <w:p w14:paraId="1F9985ED" w14:textId="77777777" w:rsidR="00A74DB0" w:rsidRDefault="00A74DB0"/>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9985F1" w14:textId="77777777" w:rsidR="00A74DB0" w:rsidRDefault="00A74DB0">
    <w:pPr>
      <w:pBdr>
        <w:top w:val="none" w:sz="0" w:space="0" w:color="000000"/>
        <w:left w:val="none" w:sz="0" w:space="0" w:color="000000"/>
        <w:bottom w:val="none" w:sz="0" w:space="0" w:color="000000"/>
        <w:right w:val="none" w:sz="0" w:space="0" w:color="000000"/>
        <w:between w:val="none" w:sz="0" w:space="0" w:color="000000"/>
      </w:pBdr>
      <w:tabs>
        <w:tab w:val="center" w:pos="4680"/>
        <w:tab w:val="right" w:pos="9360"/>
      </w:tabs>
      <w:ind w:hanging="2"/>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5F5D25" w14:textId="77777777" w:rsidR="00AD0719" w:rsidRDefault="00AD0719">
      <w:pPr>
        <w:spacing w:after="0" w:line="240" w:lineRule="auto"/>
      </w:pPr>
      <w:r>
        <w:separator/>
      </w:r>
    </w:p>
  </w:footnote>
  <w:footnote w:type="continuationSeparator" w:id="0">
    <w:p w14:paraId="263D6EB0" w14:textId="77777777" w:rsidR="00AD0719" w:rsidRDefault="00AD07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9985E4" w14:textId="77777777" w:rsidR="00A74DB0" w:rsidRDefault="00A74DB0">
    <w:pPr>
      <w:pBdr>
        <w:top w:val="none" w:sz="0" w:space="0" w:color="000000"/>
        <w:left w:val="none" w:sz="0" w:space="0" w:color="000000"/>
        <w:bottom w:val="none" w:sz="0" w:space="0" w:color="000000"/>
        <w:right w:val="none" w:sz="0" w:space="0" w:color="000000"/>
        <w:between w:val="none" w:sz="0" w:space="0" w:color="000000"/>
      </w:pBdr>
      <w:tabs>
        <w:tab w:val="center" w:pos="4680"/>
        <w:tab w:val="right" w:pos="9360"/>
      </w:tabs>
      <w:ind w:hanging="2"/>
      <w:rPr>
        <w:color w:val="000000"/>
      </w:rPr>
    </w:pPr>
  </w:p>
  <w:p w14:paraId="1F9985E5" w14:textId="77777777" w:rsidR="00A74DB0" w:rsidRDefault="00A74DB0"/>
  <w:p w14:paraId="1F9985E6" w14:textId="77777777" w:rsidR="00A74DB0" w:rsidRDefault="00A74DB0"/>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7292C5" w14:textId="3DB22A9F" w:rsidR="004B3348" w:rsidRDefault="004B3348" w:rsidP="004B3348">
    <w:pPr>
      <w:spacing w:line="480" w:lineRule="auto"/>
      <w:ind w:hanging="2"/>
      <w:jc w:val="right"/>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FA02D7">
      <w:rPr>
        <w:rFonts w:ascii="Times New Roman" w:eastAsia="Times New Roman" w:hAnsi="Times New Roman" w:cs="Times New Roman"/>
        <w:noProof/>
        <w:sz w:val="24"/>
        <w:szCs w:val="24"/>
      </w:rPr>
      <w:t>2</w:t>
    </w:r>
    <w:r>
      <w:rPr>
        <w:rFonts w:ascii="Times New Roman" w:eastAsia="Times New Roman" w:hAnsi="Times New Roman" w:cs="Times New Roman"/>
        <w:sz w:val="24"/>
        <w:szCs w:val="24"/>
      </w:rP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9985EE" w14:textId="2CD76A6C" w:rsidR="00A74DB0" w:rsidRDefault="004B3348">
    <w:pPr>
      <w:spacing w:after="0" w:line="240" w:lineRule="auto"/>
      <w:ind w:hanging="2"/>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FA02D7">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p w14:paraId="1F9985EF" w14:textId="77777777" w:rsidR="00A74DB0" w:rsidRDefault="00A74DB0"/>
  <w:p w14:paraId="1F9985F0" w14:textId="77777777" w:rsidR="00A74DB0" w:rsidRDefault="00A74DB0"/>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4DB0"/>
    <w:rsid w:val="0002634C"/>
    <w:rsid w:val="000403B7"/>
    <w:rsid w:val="000535BF"/>
    <w:rsid w:val="00053A94"/>
    <w:rsid w:val="00074C54"/>
    <w:rsid w:val="000C75D6"/>
    <w:rsid w:val="00124A35"/>
    <w:rsid w:val="001678CE"/>
    <w:rsid w:val="001D6D5E"/>
    <w:rsid w:val="001F4473"/>
    <w:rsid w:val="001F6206"/>
    <w:rsid w:val="001F7F2E"/>
    <w:rsid w:val="002819AC"/>
    <w:rsid w:val="0028240D"/>
    <w:rsid w:val="00287E72"/>
    <w:rsid w:val="003207EC"/>
    <w:rsid w:val="003265CD"/>
    <w:rsid w:val="00343E1F"/>
    <w:rsid w:val="00375C9C"/>
    <w:rsid w:val="00382629"/>
    <w:rsid w:val="003A6C23"/>
    <w:rsid w:val="003D2517"/>
    <w:rsid w:val="003F5224"/>
    <w:rsid w:val="00407237"/>
    <w:rsid w:val="00420B68"/>
    <w:rsid w:val="004433F5"/>
    <w:rsid w:val="004873AA"/>
    <w:rsid w:val="00490BB3"/>
    <w:rsid w:val="004A2D04"/>
    <w:rsid w:val="004B2048"/>
    <w:rsid w:val="004B3348"/>
    <w:rsid w:val="005A42CE"/>
    <w:rsid w:val="005B519F"/>
    <w:rsid w:val="005C4B99"/>
    <w:rsid w:val="005C67EF"/>
    <w:rsid w:val="005F4D76"/>
    <w:rsid w:val="0061237D"/>
    <w:rsid w:val="00620F59"/>
    <w:rsid w:val="006254CE"/>
    <w:rsid w:val="00686D6A"/>
    <w:rsid w:val="006B2D6E"/>
    <w:rsid w:val="006D72B9"/>
    <w:rsid w:val="006E1A12"/>
    <w:rsid w:val="00715A82"/>
    <w:rsid w:val="00756292"/>
    <w:rsid w:val="007A11AB"/>
    <w:rsid w:val="00811203"/>
    <w:rsid w:val="0083255D"/>
    <w:rsid w:val="0084129F"/>
    <w:rsid w:val="00867520"/>
    <w:rsid w:val="00871F15"/>
    <w:rsid w:val="008C4CEC"/>
    <w:rsid w:val="00945E3A"/>
    <w:rsid w:val="009501B8"/>
    <w:rsid w:val="00972CA9"/>
    <w:rsid w:val="009763E5"/>
    <w:rsid w:val="009872E1"/>
    <w:rsid w:val="00A11691"/>
    <w:rsid w:val="00A320C0"/>
    <w:rsid w:val="00A36EE4"/>
    <w:rsid w:val="00A74DB0"/>
    <w:rsid w:val="00A80B05"/>
    <w:rsid w:val="00AD0719"/>
    <w:rsid w:val="00B353C6"/>
    <w:rsid w:val="00B63429"/>
    <w:rsid w:val="00B72652"/>
    <w:rsid w:val="00BC11DC"/>
    <w:rsid w:val="00C3525F"/>
    <w:rsid w:val="00C37479"/>
    <w:rsid w:val="00C721E3"/>
    <w:rsid w:val="00C72C39"/>
    <w:rsid w:val="00C74047"/>
    <w:rsid w:val="00C74BDE"/>
    <w:rsid w:val="00D164A9"/>
    <w:rsid w:val="00D35FE6"/>
    <w:rsid w:val="00D747E1"/>
    <w:rsid w:val="00E14F0D"/>
    <w:rsid w:val="00E228BE"/>
    <w:rsid w:val="00E23949"/>
    <w:rsid w:val="00E2490F"/>
    <w:rsid w:val="00E801D0"/>
    <w:rsid w:val="00EA25DD"/>
    <w:rsid w:val="00EB0CFB"/>
    <w:rsid w:val="00EF1167"/>
    <w:rsid w:val="00FA02D7"/>
    <w:rsid w:val="00FC0BBF"/>
    <w:rsid w:val="00FE204B"/>
    <w:rsid w:val="00FE63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985A0"/>
  <w15:docId w15:val="{5EB99FF7-C5E6-419D-8538-9BCE53D5D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200" w:line="276" w:lineRule="auto"/>
        <w:ind w:hang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spacing w:before="240" w:after="60"/>
      <w:outlineLvl w:val="0"/>
    </w:pPr>
    <w:rPr>
      <w:rFonts w:ascii="Cambria" w:eastAsia="Cambria" w:hAnsi="Cambria" w:cs="Cambria"/>
      <w:b/>
      <w:sz w:val="32"/>
      <w:szCs w:val="32"/>
    </w:rPr>
  </w:style>
  <w:style w:type="paragraph" w:styleId="Heading2">
    <w:name w:val="heading 2"/>
    <w:basedOn w:val="Normal"/>
    <w:next w:val="Normal"/>
    <w:uiPriority w:val="9"/>
    <w:semiHidden/>
    <w:unhideWhenUsed/>
    <w:qFormat/>
    <w:pPr>
      <w:keepNext/>
      <w:spacing w:before="240" w:after="60"/>
      <w:outlineLvl w:val="1"/>
    </w:pPr>
    <w:rPr>
      <w:b/>
      <w:i/>
      <w:sz w:val="28"/>
      <w:szCs w:val="28"/>
    </w:rPr>
  </w:style>
  <w:style w:type="paragraph" w:styleId="Heading3">
    <w:name w:val="heading 3"/>
    <w:basedOn w:val="Normal"/>
    <w:next w:val="Normal"/>
    <w:uiPriority w:val="9"/>
    <w:semiHidden/>
    <w:unhideWhenUsed/>
    <w:qFormat/>
    <w:pPr>
      <w:keepNext/>
      <w:spacing w:before="240" w:after="60"/>
      <w:outlineLvl w:val="2"/>
    </w:pPr>
    <w:rPr>
      <w:b/>
      <w:sz w:val="26"/>
      <w:szCs w:val="26"/>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character" w:styleId="Emphasis">
    <w:name w:val="Emphasis"/>
    <w:basedOn w:val="DefaultParagraphFont"/>
    <w:uiPriority w:val="20"/>
    <w:qFormat/>
    <w:rPr>
      <w:i/>
      <w:iCs/>
    </w:rPr>
  </w:style>
  <w:style w:type="character" w:styleId="Hyperlink">
    <w:name w:val="Hyperlink"/>
    <w:basedOn w:val="DefaultParagraphFont"/>
    <w:uiPriority w:val="99"/>
    <w:unhideWhenUsed/>
    <w:rPr>
      <w:color w:val="0000FF" w:themeColor="hyperlink"/>
      <w:u w:val="single"/>
    </w:rPr>
  </w:style>
  <w:style w:type="paragraph" w:styleId="NormalWeb">
    <w:name w:val="Normal (Web)"/>
    <w:uiPriority w:val="99"/>
    <w:unhideWhenUsed/>
    <w:pPr>
      <w:spacing w:before="100" w:beforeAutospacing="1" w:after="100" w:afterAutospacing="1" w:line="240" w:lineRule="auto"/>
      <w:ind w:firstLine="0"/>
    </w:pPr>
    <w:rPr>
      <w:rFonts w:ascii="Times New Roman" w:eastAsia="Times New Roman" w:hAnsi="Times New Roman" w:cs="Times New Roman"/>
      <w:sz w:val="24"/>
      <w:szCs w:val="24"/>
    </w:rPr>
  </w:style>
  <w:style w:type="character" w:styleId="Strong">
    <w:name w:val="Strong"/>
    <w:basedOn w:val="DefaultParagraphFont"/>
    <w:uiPriority w:val="22"/>
    <w:qFormat/>
    <w:rPr>
      <w:b/>
      <w:bCs/>
    </w:rPr>
  </w:style>
  <w:style w:type="table" w:styleId="TableGrid">
    <w:name w:val="Table Grid"/>
    <w:basedOn w:val="TableNormal"/>
    <w:uiPriority w:val="39"/>
    <w:pPr>
      <w:spacing w:after="0" w:line="240" w:lineRule="auto"/>
      <w:ind w:firstLine="0"/>
    </w:pPr>
    <w:rPr>
      <w:rFonts w:asciiTheme="minorHAnsi" w:eastAsiaTheme="minorHAnsi"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Normal1">
    <w:name w:val="TableNormal"/>
    <w:tblPr>
      <w:tblCellMar>
        <w:top w:w="0" w:type="dxa"/>
        <w:left w:w="0" w:type="dxa"/>
        <w:bottom w:w="0" w:type="dxa"/>
        <w:right w:w="0" w:type="dxa"/>
      </w:tblCellMar>
    </w:tbl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customStyle="1" w:styleId="hgkelc">
    <w:name w:val="hgkelc"/>
    <w:basedOn w:val="DefaultParagraphFont"/>
  </w:style>
  <w:style w:type="paragraph" w:customStyle="1" w:styleId="muitypography-root">
    <w:name w:val="muitypography-root"/>
    <w:pPr>
      <w:spacing w:before="100" w:beforeAutospacing="1" w:after="100" w:afterAutospacing="1" w:line="240" w:lineRule="auto"/>
      <w:ind w:firstLine="0"/>
    </w:pPr>
    <w:rPr>
      <w:rFonts w:ascii="Times New Roman" w:eastAsia="Times New Roman" w:hAnsi="Times New Roman" w:cs="Times New Roman"/>
      <w:sz w:val="24"/>
      <w:szCs w:val="24"/>
    </w:rPr>
  </w:style>
  <w:style w:type="paragraph" w:customStyle="1" w:styleId="halfrhythm">
    <w:name w:val="half_rhythm"/>
    <w:pPr>
      <w:spacing w:before="100" w:beforeAutospacing="1" w:after="100" w:afterAutospacing="1" w:line="240" w:lineRule="auto"/>
      <w:ind w:firstLine="0"/>
    </w:pPr>
    <w:rPr>
      <w:rFonts w:ascii="Times New Roman" w:eastAsia="Times New Roman" w:hAnsi="Times New Roman" w:cs="Times New Roman"/>
      <w:sz w:val="24"/>
      <w:szCs w:val="24"/>
    </w:rPr>
  </w:style>
  <w:style w:type="paragraph" w:styleId="ListParagraph">
    <w:name w:val="List Paragraph"/>
    <w:uiPriority w:val="34"/>
    <w:qFormat/>
    <w:pPr>
      <w:ind w:left="720"/>
      <w:contextualSpacing/>
    </w:pPr>
  </w:style>
  <w:style w:type="paragraph" w:customStyle="1" w:styleId="xmsonormal">
    <w:name w:val="x_msonormal"/>
    <w:pPr>
      <w:spacing w:before="100" w:beforeAutospacing="1" w:after="100" w:afterAutospacing="1" w:line="240" w:lineRule="auto"/>
      <w:ind w:firstLine="0"/>
    </w:pPr>
    <w:rPr>
      <w:rFonts w:ascii="Times New Roman" w:eastAsia="Times New Roman" w:hAnsi="Times New Roman" w:cs="Times New Roman"/>
      <w:sz w:val="24"/>
      <w:szCs w:val="24"/>
    </w:rPr>
  </w:style>
  <w:style w:type="character" w:customStyle="1" w:styleId="ff6">
    <w:name w:val="ff6"/>
    <w:basedOn w:val="DefaultParagraphFont"/>
  </w:style>
  <w:style w:type="character" w:customStyle="1" w:styleId="lsc">
    <w:name w:val="lsc"/>
    <w:basedOn w:val="DefaultParagraphFont"/>
  </w:style>
  <w:style w:type="character" w:customStyle="1" w:styleId="ls2">
    <w:name w:val="ls2"/>
    <w:basedOn w:val="DefaultParagraphFont"/>
  </w:style>
  <w:style w:type="character" w:customStyle="1" w:styleId="fc2">
    <w:name w:val="fc2"/>
    <w:basedOn w:val="DefaultParagraphFont"/>
  </w:style>
  <w:style w:type="character" w:customStyle="1" w:styleId="ls5d">
    <w:name w:val="ls5d"/>
    <w:basedOn w:val="DefaultParagraphFont"/>
  </w:style>
  <w:style w:type="character" w:customStyle="1" w:styleId="ls28">
    <w:name w:val="ls28"/>
    <w:basedOn w:val="DefaultParagraphFont"/>
  </w:style>
  <w:style w:type="character" w:customStyle="1" w:styleId="ls3">
    <w:name w:val="ls3"/>
    <w:basedOn w:val="DefaultParagraphFont"/>
  </w:style>
  <w:style w:type="character" w:customStyle="1" w:styleId="ls25">
    <w:name w:val="ls25"/>
    <w:basedOn w:val="DefaultParagraphFont"/>
  </w:style>
  <w:style w:type="character" w:customStyle="1" w:styleId="ls17">
    <w:name w:val="ls17"/>
    <w:basedOn w:val="DefaultParagraphFont"/>
  </w:style>
  <w:style w:type="character" w:customStyle="1" w:styleId="ls24">
    <w:name w:val="ls24"/>
    <w:basedOn w:val="DefaultParagraphFont"/>
  </w:style>
  <w:style w:type="character" w:customStyle="1" w:styleId="ls27">
    <w:name w:val="ls27"/>
    <w:basedOn w:val="DefaultParagraphFont"/>
  </w:style>
  <w:style w:type="character" w:customStyle="1" w:styleId="ls67">
    <w:name w:val="ls67"/>
    <w:basedOn w:val="DefaultParagraphFont"/>
  </w:style>
  <w:style w:type="character" w:customStyle="1" w:styleId="ls21">
    <w:name w:val="ls21"/>
    <w:basedOn w:val="DefaultParagraphFont"/>
  </w:style>
  <w:style w:type="character" w:customStyle="1" w:styleId="ls6">
    <w:name w:val="ls6"/>
    <w:basedOn w:val="DefaultParagraphFont"/>
  </w:style>
  <w:style w:type="character" w:customStyle="1" w:styleId="lse">
    <w:name w:val="lse"/>
    <w:basedOn w:val="DefaultParagraphFont"/>
  </w:style>
  <w:style w:type="character" w:customStyle="1" w:styleId="ls22">
    <w:name w:val="ls22"/>
    <w:basedOn w:val="DefaultParagraphFont"/>
  </w:style>
  <w:style w:type="character" w:customStyle="1" w:styleId="ls68">
    <w:name w:val="ls68"/>
    <w:basedOn w:val="DefaultParagraphFont"/>
  </w:style>
  <w:style w:type="character" w:customStyle="1" w:styleId="ls7">
    <w:name w:val="ls7"/>
    <w:basedOn w:val="DefaultParagraphFont"/>
  </w:style>
  <w:style w:type="character" w:customStyle="1" w:styleId="ls69">
    <w:name w:val="ls69"/>
    <w:basedOn w:val="DefaultParagraphFont"/>
  </w:style>
  <w:style w:type="character" w:customStyle="1" w:styleId="ls20">
    <w:name w:val="ls20"/>
    <w:basedOn w:val="DefaultParagraphFont"/>
  </w:style>
  <w:style w:type="character" w:customStyle="1" w:styleId="fc0">
    <w:name w:val="fc0"/>
    <w:basedOn w:val="DefaultParagraphFont"/>
  </w:style>
  <w:style w:type="character" w:customStyle="1" w:styleId="ls5a">
    <w:name w:val="ls5a"/>
    <w:basedOn w:val="DefaultParagraphFont"/>
  </w:style>
  <w:style w:type="character" w:customStyle="1" w:styleId="ls34">
    <w:name w:val="ls34"/>
    <w:basedOn w:val="DefaultParagraphFont"/>
  </w:style>
  <w:style w:type="character" w:customStyle="1" w:styleId="ls6a">
    <w:name w:val="ls6a"/>
    <w:basedOn w:val="DefaultParagraphFont"/>
  </w:style>
  <w:style w:type="character" w:customStyle="1" w:styleId="ws23">
    <w:name w:val="ws23"/>
    <w:basedOn w:val="DefaultParagraphFont"/>
  </w:style>
  <w:style w:type="character" w:customStyle="1" w:styleId="ls2d">
    <w:name w:val="ls2d"/>
    <w:basedOn w:val="DefaultParagraphFont"/>
  </w:style>
  <w:style w:type="character" w:customStyle="1" w:styleId="ws7">
    <w:name w:val="ws7"/>
    <w:basedOn w:val="DefaultParagraphFont"/>
  </w:style>
  <w:style w:type="character" w:customStyle="1" w:styleId="ls29">
    <w:name w:val="ls29"/>
    <w:basedOn w:val="DefaultParagraphFont"/>
  </w:style>
  <w:style w:type="character" w:customStyle="1" w:styleId="ls6b">
    <w:name w:val="ls6b"/>
    <w:basedOn w:val="DefaultParagraphFont"/>
  </w:style>
  <w:style w:type="character" w:customStyle="1" w:styleId="ws9">
    <w:name w:val="ws9"/>
    <w:basedOn w:val="DefaultParagraphFont"/>
  </w:style>
  <w:style w:type="character" w:customStyle="1" w:styleId="ls9">
    <w:name w:val="ls9"/>
    <w:basedOn w:val="DefaultParagraphFont"/>
  </w:style>
  <w:style w:type="character" w:customStyle="1" w:styleId="ls6c">
    <w:name w:val="ls6c"/>
    <w:basedOn w:val="DefaultParagraphFont"/>
  </w:style>
  <w:style w:type="character" w:customStyle="1" w:styleId="ls6d">
    <w:name w:val="ls6d"/>
    <w:basedOn w:val="DefaultParagraphFont"/>
  </w:style>
  <w:style w:type="character" w:customStyle="1" w:styleId="ws43">
    <w:name w:val="ws43"/>
    <w:basedOn w:val="DefaultParagraphFont"/>
  </w:style>
  <w:style w:type="character" w:customStyle="1" w:styleId="ls8">
    <w:name w:val="ls8"/>
    <w:basedOn w:val="DefaultParagraphFont"/>
  </w:style>
  <w:style w:type="paragraph" w:customStyle="1" w:styleId="p">
    <w:name w:val="p"/>
    <w:pPr>
      <w:spacing w:before="100" w:beforeAutospacing="1" w:after="100" w:afterAutospacing="1" w:line="240" w:lineRule="auto"/>
      <w:ind w:firstLine="0"/>
    </w:pPr>
    <w:rPr>
      <w:rFonts w:ascii="Times New Roman" w:eastAsia="Times New Roman" w:hAnsi="Times New Roman" w:cs="Times New Roman"/>
      <w:sz w:val="24"/>
      <w:szCs w:val="24"/>
    </w:rPr>
  </w:style>
  <w:style w:type="character" w:customStyle="1" w:styleId="a">
    <w:name w:val="_"/>
    <w:basedOn w:val="DefaultParagraphFont"/>
  </w:style>
  <w:style w:type="character" w:customStyle="1" w:styleId="ls0">
    <w:name w:val="ls0"/>
    <w:basedOn w:val="DefaultParagraphFont"/>
  </w:style>
  <w:style w:type="character" w:customStyle="1" w:styleId="ff7">
    <w:name w:val="ff7"/>
    <w:basedOn w:val="DefaultParagraphFont"/>
  </w:style>
  <w:style w:type="character" w:customStyle="1" w:styleId="ref-lnk">
    <w:name w:val="ref-lnk"/>
    <w:basedOn w:val="DefaultParagraphFont"/>
  </w:style>
  <w:style w:type="character" w:customStyle="1" w:styleId="off-screen">
    <w:name w:val="off-screen"/>
    <w:basedOn w:val="DefaultParagraphFont"/>
  </w:style>
  <w:style w:type="paragraph" w:customStyle="1" w:styleId="para">
    <w:name w:val="para"/>
    <w:pPr>
      <w:spacing w:before="100" w:beforeAutospacing="1" w:after="100" w:afterAutospacing="1" w:line="240" w:lineRule="auto"/>
      <w:ind w:firstLine="0"/>
    </w:pPr>
    <w:rPr>
      <w:rFonts w:ascii="Times New Roman" w:eastAsia="Times New Roman" w:hAnsi="Times New Roman" w:cs="Times New Roman"/>
      <w:sz w:val="24"/>
      <w:szCs w:val="24"/>
    </w:rPr>
  </w:style>
  <w:style w:type="character" w:customStyle="1" w:styleId="lsa">
    <w:name w:val="lsa"/>
    <w:basedOn w:val="DefaultParagraphFont"/>
  </w:style>
  <w:style w:type="character" w:customStyle="1" w:styleId="markedcontent">
    <w:name w:val="markedcontent"/>
    <w:basedOn w:val="DefaultParagraphFont"/>
  </w:style>
  <w:style w:type="character" w:customStyle="1" w:styleId="url">
    <w:name w:val="url"/>
    <w:basedOn w:val="DefaultParagraphFont"/>
  </w:style>
  <w:style w:type="character" w:customStyle="1" w:styleId="jpfdse">
    <w:name w:val="jpfdse"/>
    <w:basedOn w:val="DefaultParagraphFont"/>
  </w:style>
  <w:style w:type="character" w:customStyle="1" w:styleId="ff4">
    <w:name w:val="ff4"/>
    <w:basedOn w:val="DefaultParagraphFont"/>
  </w:style>
  <w:style w:type="character" w:customStyle="1" w:styleId="ff1">
    <w:name w:val="ff1"/>
    <w:basedOn w:val="DefaultParagraphFont"/>
  </w:style>
  <w:style w:type="character" w:customStyle="1" w:styleId="lsf">
    <w:name w:val="lsf"/>
    <w:basedOn w:val="DefaultParagraphFont"/>
  </w:style>
  <w:style w:type="character" w:customStyle="1" w:styleId="lsb">
    <w:name w:val="lsb"/>
    <w:basedOn w:val="DefaultParagraphFont"/>
  </w:style>
  <w:style w:type="character" w:customStyle="1" w:styleId="ls4">
    <w:name w:val="ls4"/>
    <w:basedOn w:val="DefaultParagraphFont"/>
  </w:style>
  <w:style w:type="character" w:customStyle="1" w:styleId="lsd">
    <w:name w:val="lsd"/>
    <w:basedOn w:val="DefaultParagraphFont"/>
  </w:style>
  <w:style w:type="character" w:customStyle="1" w:styleId="ls1">
    <w:name w:val="ls1"/>
    <w:basedOn w:val="DefaultParagraphFont"/>
  </w:style>
  <w:style w:type="character" w:customStyle="1" w:styleId="ff5">
    <w:name w:val="ff5"/>
    <w:basedOn w:val="DefaultParagraphFont"/>
  </w:style>
  <w:style w:type="character" w:customStyle="1" w:styleId="ls5">
    <w:name w:val="ls5"/>
    <w:basedOn w:val="DefaultParagraphFont"/>
  </w:style>
  <w:style w:type="paragraph" w:customStyle="1" w:styleId="text-main">
    <w:name w:val="text-main"/>
    <w:pPr>
      <w:spacing w:before="100" w:beforeAutospacing="1" w:after="100" w:afterAutospacing="1" w:line="240" w:lineRule="auto"/>
      <w:ind w:firstLine="0"/>
    </w:pPr>
    <w:rPr>
      <w:rFonts w:ascii="Times New Roman" w:eastAsia="Times New Roman" w:hAnsi="Times New Roman" w:cs="Times New Roman"/>
      <w:sz w:val="24"/>
      <w:szCs w:val="24"/>
    </w:rPr>
  </w:style>
  <w:style w:type="character" w:customStyle="1" w:styleId="UnresolvedMention2">
    <w:name w:val="Unresolved Mention2"/>
    <w:basedOn w:val="DefaultParagraphFont"/>
    <w:uiPriority w:val="99"/>
    <w:semiHidden/>
    <w:unhideWhenUsed/>
    <w:rPr>
      <w:color w:val="605E5C"/>
      <w:shd w:val="clear" w:color="auto" w:fill="E1DFDD"/>
    </w:rPr>
  </w:style>
  <w:style w:type="paragraph" w:customStyle="1" w:styleId="TableParagraph">
    <w:name w:val="Table Paragraph"/>
    <w:uiPriority w:val="1"/>
    <w:qFormat/>
    <w:pPr>
      <w:widowControl w:val="0"/>
      <w:autoSpaceDE w:val="0"/>
      <w:autoSpaceDN w:val="0"/>
      <w:spacing w:after="0" w:line="240" w:lineRule="auto"/>
      <w:ind w:firstLine="0"/>
    </w:pPr>
    <w:rPr>
      <w:rFonts w:ascii="Arial" w:eastAsia="Arial" w:hAnsi="Arial" w:cs="Arial"/>
      <w:lang w:val="en-US"/>
    </w:rPr>
  </w:style>
  <w:style w:type="character" w:customStyle="1" w:styleId="whitespace-normal">
    <w:name w:val="whitespace-normal"/>
    <w:basedOn w:val="DefaultParagraphFont"/>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Is05/p6CUfqYgu84U2y6YfAdQ5w==">CgMxLjAyDmguNWwyOWdoZmowczNwOAByITE0ZVZYZGd2OXNsYTM2SlBMN21rbzNTUmdFT0FPYmpFXw==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Pages>
  <Words>2289</Words>
  <Characters>13051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Abb Bbc</dc:creator>
  <cp:lastModifiedBy>Abb Bbc</cp:lastModifiedBy>
  <cp:revision>35</cp:revision>
  <dcterms:created xsi:type="dcterms:W3CDTF">2025-12-05T20:13:00Z</dcterms:created>
  <dcterms:modified xsi:type="dcterms:W3CDTF">2025-12-13T14:05:00Z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186279a31dffec49a0d8cc351ce9b3aca0aabdb9d2c90d45fe309bc184e4b345</vt:lpwstr>
  </property>
  <property fmtid="{D5CDD505-2E9C-101B-9397-08002B2CF9AE}" pid="3" name="MSIP_Label_d0354ca5-015e-47ab-9fdb-c0a8323bc23e_Enabled">
    <vt:lpwstr>true</vt:lpwstr>
  </property>
  <property fmtid="{D5CDD505-2E9C-101B-9397-08002B2CF9AE}" pid="4" name="MSIP_Label_d0354ca5-015e-47ab-9fdb-c0a8323bc23e_SetDate">
    <vt:lpwstr>2023-12-18T11:57:27Z</vt:lpwstr>
  </property>
  <property fmtid="{D5CDD505-2E9C-101B-9397-08002B2CF9AE}" pid="5" name="MSIP_Label_d0354ca5-015e-47ab-9fdb-c0a8323bc23e_Method">
    <vt:lpwstr>Privileged</vt:lpwstr>
  </property>
  <property fmtid="{D5CDD505-2E9C-101B-9397-08002B2CF9AE}" pid="6" name="MSIP_Label_d0354ca5-015e-47ab-9fdb-c0a8323bc23e_Name">
    <vt:lpwstr>d0354ca5-015e-47ab-9fdb-c0a8323bc23e</vt:lpwstr>
  </property>
  <property fmtid="{D5CDD505-2E9C-101B-9397-08002B2CF9AE}" pid="7" name="MSIP_Label_d0354ca5-015e-47ab-9fdb-c0a8323bc23e_SiteId">
    <vt:lpwstr>07ebc6c3-7074-4387-a625-b9d918ba4a97</vt:lpwstr>
  </property>
  <property fmtid="{D5CDD505-2E9C-101B-9397-08002B2CF9AE}" pid="8" name="MSIP_Label_d0354ca5-015e-47ab-9fdb-c0a8323bc23e_ActionId">
    <vt:lpwstr>17fc6f72-6f24-481b-8f46-2153f1eab63d</vt:lpwstr>
  </property>
  <property fmtid="{D5CDD505-2E9C-101B-9397-08002B2CF9AE}" pid="9" name="MSIP_Label_d0354ca5-015e-47ab-9fdb-c0a8323bc23e_ContentBits">
    <vt:lpwstr>0</vt:lpwstr>
  </property>
  <property fmtid="{D5CDD505-2E9C-101B-9397-08002B2CF9AE}" pid="10" name="KSOProductBuildVer">
    <vt:lpwstr>2057-12.2.0.23147</vt:lpwstr>
  </property>
  <property fmtid="{D5CDD505-2E9C-101B-9397-08002B2CF9AE}" pid="11" name="ICV">
    <vt:lpwstr>8F2608CD85214304B50F0B43269F6382_13</vt:lpwstr>
  </property>
</Properties>
</file>