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4679A0" w14:textId="39A3C432" w:rsidR="00744871" w:rsidRDefault="00744871" w:rsidP="005101DD">
      <w:pPr>
        <w:rPr>
          <w:rFonts w:asciiTheme="majorHAnsi" w:hAnsiTheme="majorHAnsi" w:cstheme="majorHAnsi"/>
          <w:sz w:val="36"/>
          <w:u w:val="single"/>
        </w:rPr>
      </w:pPr>
      <w:r>
        <w:rPr>
          <w:noProof/>
        </w:rPr>
        <w:drawing>
          <wp:anchor distT="0" distB="0" distL="114300" distR="114300" simplePos="0" relativeHeight="251664384" behindDoc="0" locked="0" layoutInCell="1" allowOverlap="1" wp14:anchorId="160AE620" wp14:editId="31454F71">
            <wp:simplePos x="0" y="0"/>
            <wp:positionH relativeFrom="margin">
              <wp:align>right</wp:align>
            </wp:positionH>
            <wp:positionV relativeFrom="paragraph">
              <wp:posOffset>457200</wp:posOffset>
            </wp:positionV>
            <wp:extent cx="5730875" cy="7931150"/>
            <wp:effectExtent l="0" t="0" r="317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7">
                      <a:extLst>
                        <a:ext uri="{28A0092B-C50C-407E-A947-70E740481C1C}">
                          <a14:useLocalDpi xmlns:a14="http://schemas.microsoft.com/office/drawing/2010/main" val="0"/>
                        </a:ext>
                      </a:extLst>
                    </a:blip>
                    <a:srcRect l="17617" t="2897" b="14258"/>
                    <a:stretch/>
                  </pic:blipFill>
                  <pic:spPr bwMode="auto">
                    <a:xfrm>
                      <a:off x="0" y="0"/>
                      <a:ext cx="5730875" cy="7931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0A435A" w14:textId="4776F50D" w:rsidR="00744871" w:rsidRDefault="00744871" w:rsidP="005101DD">
      <w:pPr>
        <w:rPr>
          <w:rFonts w:asciiTheme="majorHAnsi" w:hAnsiTheme="majorHAnsi" w:cstheme="majorHAnsi"/>
          <w:sz w:val="36"/>
          <w:u w:val="single"/>
        </w:rPr>
      </w:pPr>
    </w:p>
    <w:p w14:paraId="7A94B718" w14:textId="30F5D324" w:rsidR="00744871" w:rsidRDefault="00744871" w:rsidP="005101DD">
      <w:pPr>
        <w:rPr>
          <w:rFonts w:asciiTheme="majorHAnsi" w:hAnsiTheme="majorHAnsi" w:cstheme="majorHAnsi"/>
          <w:sz w:val="36"/>
          <w:u w:val="single"/>
        </w:rPr>
      </w:pPr>
      <w:r>
        <w:rPr>
          <w:noProof/>
        </w:rPr>
        <w:lastRenderedPageBreak/>
        <w:drawing>
          <wp:anchor distT="0" distB="0" distL="114300" distR="114300" simplePos="0" relativeHeight="251665408" behindDoc="0" locked="0" layoutInCell="1" allowOverlap="1" wp14:anchorId="3F4B5981" wp14:editId="0110EC7C">
            <wp:simplePos x="0" y="0"/>
            <wp:positionH relativeFrom="margin">
              <wp:align>right</wp:align>
            </wp:positionH>
            <wp:positionV relativeFrom="paragraph">
              <wp:posOffset>534670</wp:posOffset>
            </wp:positionV>
            <wp:extent cx="5734050" cy="777938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l="13960" t="8212" r="1274" b="8220"/>
                    <a:stretch/>
                  </pic:blipFill>
                  <pic:spPr bwMode="auto">
                    <a:xfrm>
                      <a:off x="0" y="0"/>
                      <a:ext cx="5734050" cy="77793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D1600C" w14:textId="2DBFC503" w:rsidR="00744871" w:rsidRDefault="00744871" w:rsidP="005101DD">
      <w:pPr>
        <w:rPr>
          <w:rFonts w:asciiTheme="majorHAnsi" w:hAnsiTheme="majorHAnsi" w:cstheme="majorHAnsi"/>
          <w:sz w:val="36"/>
          <w:u w:val="single"/>
        </w:rPr>
      </w:pPr>
    </w:p>
    <w:p w14:paraId="0FAD6639" w14:textId="77777777" w:rsidR="00744871" w:rsidRDefault="00744871" w:rsidP="005101DD">
      <w:pPr>
        <w:rPr>
          <w:rFonts w:asciiTheme="majorHAnsi" w:hAnsiTheme="majorHAnsi" w:cstheme="majorHAnsi"/>
          <w:sz w:val="36"/>
          <w:u w:val="single"/>
        </w:rPr>
      </w:pPr>
    </w:p>
    <w:p w14:paraId="14BA752F" w14:textId="1B395F58" w:rsidR="005101DD" w:rsidRDefault="00744871" w:rsidP="005101DD">
      <w:pPr>
        <w:rPr>
          <w:rFonts w:asciiTheme="majorHAnsi" w:hAnsiTheme="majorHAnsi" w:cstheme="majorHAnsi"/>
          <w:sz w:val="36"/>
          <w:u w:val="single"/>
        </w:rPr>
      </w:pPr>
      <w:r w:rsidRPr="00400A93">
        <w:rPr>
          <w:rFonts w:cstheme="minorHAnsi"/>
          <w:noProof/>
        </w:rPr>
        <w:drawing>
          <wp:anchor distT="0" distB="0" distL="114300" distR="114300" simplePos="0" relativeHeight="251661312" behindDoc="0" locked="0" layoutInCell="1" allowOverlap="1" wp14:anchorId="7E40D45C" wp14:editId="030B7D14">
            <wp:simplePos x="0" y="0"/>
            <wp:positionH relativeFrom="margin">
              <wp:align>center</wp:align>
            </wp:positionH>
            <wp:positionV relativeFrom="paragraph">
              <wp:posOffset>4059555</wp:posOffset>
            </wp:positionV>
            <wp:extent cx="7071360" cy="35909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071360" cy="3590925"/>
                    </a:xfrm>
                    <a:prstGeom prst="rect">
                      <a:avLst/>
                    </a:prstGeom>
                    <a:noFill/>
                  </pic:spPr>
                </pic:pic>
              </a:graphicData>
            </a:graphic>
            <wp14:sizeRelH relativeFrom="page">
              <wp14:pctWidth>0</wp14:pctWidth>
            </wp14:sizeRelH>
            <wp14:sizeRelV relativeFrom="page">
              <wp14:pctHeight>0</wp14:pctHeight>
            </wp14:sizeRelV>
          </wp:anchor>
        </w:drawing>
      </w:r>
      <w:r w:rsidRPr="00400A93">
        <w:rPr>
          <w:noProof/>
        </w:rPr>
        <mc:AlternateContent>
          <mc:Choice Requires="wps">
            <w:drawing>
              <wp:anchor distT="0" distB="0" distL="114300" distR="114300" simplePos="0" relativeHeight="251663360" behindDoc="0" locked="0" layoutInCell="1" allowOverlap="1" wp14:anchorId="049CC522" wp14:editId="533A33B1">
                <wp:simplePos x="0" y="0"/>
                <wp:positionH relativeFrom="margin">
                  <wp:align>center</wp:align>
                </wp:positionH>
                <wp:positionV relativeFrom="paragraph">
                  <wp:posOffset>8147685</wp:posOffset>
                </wp:positionV>
                <wp:extent cx="707136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7071360" cy="635"/>
                        </a:xfrm>
                        <a:prstGeom prst="rect">
                          <a:avLst/>
                        </a:prstGeom>
                        <a:solidFill>
                          <a:prstClr val="white"/>
                        </a:solidFill>
                        <a:ln>
                          <a:noFill/>
                        </a:ln>
                      </wps:spPr>
                      <wps:txbx>
                        <w:txbxContent>
                          <w:p w14:paraId="36FA34A9" w14:textId="497B67A2" w:rsidR="00620C63" w:rsidRPr="00A3212C" w:rsidRDefault="00620C63" w:rsidP="00620C63">
                            <w:pPr>
                              <w:pStyle w:val="Caption"/>
                              <w:jc w:val="center"/>
                              <w:rPr>
                                <w:rFonts w:cstheme="minorHAnsi"/>
                                <w:noProof/>
                                <w:sz w:val="40"/>
                              </w:rPr>
                            </w:pPr>
                            <w:r w:rsidRPr="00A3212C">
                              <w:rPr>
                                <w:sz w:val="28"/>
                              </w:rPr>
                              <w:t xml:space="preserve">Figure </w:t>
                            </w:r>
                            <w:r w:rsidRPr="00A3212C">
                              <w:rPr>
                                <w:sz w:val="28"/>
                              </w:rPr>
                              <w:fldChar w:fldCharType="begin"/>
                            </w:r>
                            <w:r w:rsidRPr="00A3212C">
                              <w:rPr>
                                <w:sz w:val="28"/>
                              </w:rPr>
                              <w:instrText xml:space="preserve"> SEQ Figure \* ARABIC </w:instrText>
                            </w:r>
                            <w:r w:rsidRPr="00A3212C">
                              <w:rPr>
                                <w:sz w:val="28"/>
                              </w:rPr>
                              <w:fldChar w:fldCharType="separate"/>
                            </w:r>
                            <w:r w:rsidRPr="00A3212C">
                              <w:rPr>
                                <w:noProof/>
                                <w:sz w:val="28"/>
                              </w:rPr>
                              <w:t>2</w:t>
                            </w:r>
                            <w:r w:rsidRPr="00A3212C">
                              <w:rPr>
                                <w:sz w:val="28"/>
                              </w:rPr>
                              <w:fldChar w:fldCharType="end"/>
                            </w:r>
                            <w:r w:rsidRPr="00A3212C">
                              <w:rPr>
                                <w:sz w:val="28"/>
                              </w:rPr>
                              <w:t>: Mollusc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49CC522" id="_x0000_t202" coordsize="21600,21600" o:spt="202" path="m,l,21600r21600,l21600,xe">
                <v:stroke joinstyle="miter"/>
                <v:path gradientshapeok="t" o:connecttype="rect"/>
              </v:shapetype>
              <v:shape id="Text Box 4" o:spid="_x0000_s1026" type="#_x0000_t202" style="position:absolute;margin-left:0;margin-top:641.55pt;width:556.8pt;height:.05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" stroked="f">
                <v:textbox style="mso-fit-shape-to-text:t" inset="0,0,0,0">
                  <w:txbxContent>
                    <w:p w14:paraId="36FA34A9" w14:textId="497B67A2" w:rsidR="00620C63" w:rsidRPr="00A3212C" w:rsidRDefault="00620C63" w:rsidP="00620C63">
                      <w:pPr>
                        <w:pStyle w:val="Caption"/>
                        <w:jc w:val="center"/>
                        <w:rPr>
                          <w:rFonts w:cstheme="minorHAnsi"/>
                          <w:noProof/>
                          <w:sz w:val="40"/>
                        </w:rPr>
                      </w:pPr>
                      <w:r w:rsidRPr="00A3212C">
                        <w:rPr>
                          <w:sz w:val="28"/>
                        </w:rPr>
                        <w:t xml:space="preserve">Figure </w:t>
                      </w:r>
                      <w:r w:rsidRPr="00A3212C">
                        <w:rPr>
                          <w:sz w:val="28"/>
                        </w:rPr>
                        <w:fldChar w:fldCharType="begin"/>
                      </w:r>
                      <w:r w:rsidRPr="00A3212C">
                        <w:rPr>
                          <w:sz w:val="28"/>
                        </w:rPr>
                        <w:instrText xml:space="preserve"> SEQ Figure \* ARABIC </w:instrText>
                      </w:r>
                      <w:r w:rsidRPr="00A3212C">
                        <w:rPr>
                          <w:sz w:val="28"/>
                        </w:rPr>
                        <w:fldChar w:fldCharType="separate"/>
                      </w:r>
                      <w:r w:rsidRPr="00A3212C">
                        <w:rPr>
                          <w:noProof/>
                          <w:sz w:val="28"/>
                        </w:rPr>
                        <w:t>2</w:t>
                      </w:r>
                      <w:r w:rsidRPr="00A3212C">
                        <w:rPr>
                          <w:sz w:val="28"/>
                        </w:rPr>
                        <w:fldChar w:fldCharType="end"/>
                      </w:r>
                      <w:r w:rsidRPr="00A3212C">
                        <w:rPr>
                          <w:sz w:val="28"/>
                        </w:rPr>
                        <w:t>: Mollusc Diagram</w:t>
                      </w:r>
                    </w:p>
                  </w:txbxContent>
                </v:textbox>
                <w10:wrap type="square" anchorx="margin"/>
              </v:shape>
            </w:pict>
          </mc:Fallback>
        </mc:AlternateContent>
      </w:r>
      <w:r w:rsidR="005101DD" w:rsidRPr="00400A93">
        <w:rPr>
          <w:noProof/>
        </w:rPr>
        <mc:AlternateContent>
          <mc:Choice Requires="wps">
            <w:drawing>
              <wp:anchor distT="0" distB="0" distL="114300" distR="114300" simplePos="0" relativeHeight="251660288" behindDoc="0" locked="0" layoutInCell="1" allowOverlap="1" wp14:anchorId="44D098F7" wp14:editId="2AB87B39">
                <wp:simplePos x="0" y="0"/>
                <wp:positionH relativeFrom="margin">
                  <wp:align>center</wp:align>
                </wp:positionH>
                <wp:positionV relativeFrom="paragraph">
                  <wp:posOffset>3439160</wp:posOffset>
                </wp:positionV>
                <wp:extent cx="7063740" cy="635"/>
                <wp:effectExtent l="0" t="0" r="3810" b="0"/>
                <wp:wrapSquare wrapText="bothSides"/>
                <wp:docPr id="2" name="Text Box 2"/>
                <wp:cNvGraphicFramePr/>
                <a:graphic xmlns:a="http://schemas.openxmlformats.org/drawingml/2006/main">
                  <a:graphicData uri="http://schemas.microsoft.com/office/word/2010/wordprocessingShape">
                    <wps:wsp>
                      <wps:cNvSpPr txBox="1"/>
                      <wps:spPr>
                        <a:xfrm>
                          <a:off x="0" y="0"/>
                          <a:ext cx="7063740" cy="635"/>
                        </a:xfrm>
                        <a:prstGeom prst="rect">
                          <a:avLst/>
                        </a:prstGeom>
                        <a:solidFill>
                          <a:prstClr val="white"/>
                        </a:solidFill>
                        <a:ln>
                          <a:noFill/>
                        </a:ln>
                      </wps:spPr>
                      <wps:txbx>
                        <w:txbxContent>
                          <w:p w14:paraId="19F21EAE" w14:textId="7622DDF5" w:rsidR="00346B00" w:rsidRPr="00A3212C" w:rsidRDefault="00346B00" w:rsidP="00346B00">
                            <w:pPr>
                              <w:pStyle w:val="Caption"/>
                              <w:jc w:val="center"/>
                              <w:rPr>
                                <w:rFonts w:cstheme="minorHAnsi"/>
                                <w:noProof/>
                                <w:sz w:val="40"/>
                              </w:rPr>
                            </w:pPr>
                            <w:r w:rsidRPr="00A3212C">
                              <w:rPr>
                                <w:sz w:val="28"/>
                              </w:rPr>
                              <w:t xml:space="preserve">Figure </w:t>
                            </w:r>
                            <w:r w:rsidRPr="00A3212C">
                              <w:rPr>
                                <w:sz w:val="28"/>
                              </w:rPr>
                              <w:fldChar w:fldCharType="begin"/>
                            </w:r>
                            <w:r w:rsidRPr="00A3212C">
                              <w:rPr>
                                <w:sz w:val="28"/>
                              </w:rPr>
                              <w:instrText xml:space="preserve"> SEQ Figure \* ARABIC </w:instrText>
                            </w:r>
                            <w:r w:rsidRPr="00A3212C">
                              <w:rPr>
                                <w:sz w:val="28"/>
                              </w:rPr>
                              <w:fldChar w:fldCharType="separate"/>
                            </w:r>
                            <w:r w:rsidR="00620C63" w:rsidRPr="00A3212C">
                              <w:rPr>
                                <w:noProof/>
                                <w:sz w:val="28"/>
                              </w:rPr>
                              <w:t>1</w:t>
                            </w:r>
                            <w:r w:rsidRPr="00A3212C">
                              <w:rPr>
                                <w:sz w:val="28"/>
                              </w:rPr>
                              <w:fldChar w:fldCharType="end"/>
                            </w:r>
                            <w:r w:rsidRPr="00A3212C">
                              <w:rPr>
                                <w:sz w:val="28"/>
                              </w:rPr>
                              <w:t>: Context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D098F7" id="Text Box 2" o:spid="_x0000_s1027" type="#_x0000_t202" style="position:absolute;margin-left:0;margin-top:270.8pt;width:556.2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1aXLQIAAGQEAAAOAAAAZHJzL2Uyb0RvYy54bWysVMFu2zAMvQ/YPwi6L07SLS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" stroked="f">
                <v:textbox style="mso-fit-shape-to-text:t" inset="0,0,0,0">
                  <w:txbxContent>
                    <w:p w14:paraId="19F21EAE" w14:textId="7622DDF5" w:rsidR="00346B00" w:rsidRPr="00A3212C" w:rsidRDefault="00346B00" w:rsidP="00346B00">
                      <w:pPr>
                        <w:pStyle w:val="Caption"/>
                        <w:jc w:val="center"/>
                        <w:rPr>
                          <w:rFonts w:cstheme="minorHAnsi"/>
                          <w:noProof/>
                          <w:sz w:val="40"/>
                        </w:rPr>
                      </w:pPr>
                      <w:r w:rsidRPr="00A3212C">
                        <w:rPr>
                          <w:sz w:val="28"/>
                        </w:rPr>
                        <w:t xml:space="preserve">Figure </w:t>
                      </w:r>
                      <w:r w:rsidRPr="00A3212C">
                        <w:rPr>
                          <w:sz w:val="28"/>
                        </w:rPr>
                        <w:fldChar w:fldCharType="begin"/>
                      </w:r>
                      <w:r w:rsidRPr="00A3212C">
                        <w:rPr>
                          <w:sz w:val="28"/>
                        </w:rPr>
                        <w:instrText xml:space="preserve"> SEQ Figure \* ARABIC </w:instrText>
                      </w:r>
                      <w:r w:rsidRPr="00A3212C">
                        <w:rPr>
                          <w:sz w:val="28"/>
                        </w:rPr>
                        <w:fldChar w:fldCharType="separate"/>
                      </w:r>
                      <w:r w:rsidR="00620C63" w:rsidRPr="00A3212C">
                        <w:rPr>
                          <w:noProof/>
                          <w:sz w:val="28"/>
                        </w:rPr>
                        <w:t>1</w:t>
                      </w:r>
                      <w:r w:rsidRPr="00A3212C">
                        <w:rPr>
                          <w:sz w:val="28"/>
                        </w:rPr>
                        <w:fldChar w:fldCharType="end"/>
                      </w:r>
                      <w:r w:rsidRPr="00A3212C">
                        <w:rPr>
                          <w:sz w:val="28"/>
                        </w:rPr>
                        <w:t>: Context Diagram</w:t>
                      </w:r>
                    </w:p>
                  </w:txbxContent>
                </v:textbox>
                <w10:wrap type="square" anchorx="margin"/>
              </v:shape>
            </w:pict>
          </mc:Fallback>
        </mc:AlternateContent>
      </w:r>
      <w:r w:rsidR="005101DD" w:rsidRPr="00400A93">
        <w:rPr>
          <w:rFonts w:cstheme="minorHAnsi"/>
          <w:noProof/>
        </w:rPr>
        <w:drawing>
          <wp:anchor distT="0" distB="0" distL="114300" distR="114300" simplePos="0" relativeHeight="251658240" behindDoc="0" locked="0" layoutInCell="1" allowOverlap="1" wp14:anchorId="44BEC9C7" wp14:editId="26FA482D">
            <wp:simplePos x="0" y="0"/>
            <wp:positionH relativeFrom="margin">
              <wp:align>center</wp:align>
            </wp:positionH>
            <wp:positionV relativeFrom="paragraph">
              <wp:posOffset>0</wp:posOffset>
            </wp:positionV>
            <wp:extent cx="7063740" cy="3438525"/>
            <wp:effectExtent l="0" t="0" r="381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5081" r="3451"/>
                    <a:stretch/>
                  </pic:blipFill>
                  <pic:spPr bwMode="auto">
                    <a:xfrm>
                      <a:off x="0" y="0"/>
                      <a:ext cx="7063740" cy="3438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C01542" w14:textId="3CF89B0B" w:rsidR="00744871" w:rsidRDefault="00744871" w:rsidP="0016558C">
      <w:pPr>
        <w:jc w:val="center"/>
        <w:rPr>
          <w:rFonts w:asciiTheme="majorHAnsi" w:hAnsiTheme="majorHAnsi" w:cstheme="majorHAnsi"/>
          <w:sz w:val="36"/>
          <w:u w:val="single"/>
        </w:rPr>
      </w:pPr>
    </w:p>
    <w:p w14:paraId="1905F5A4" w14:textId="0A374E36" w:rsidR="00F40D16" w:rsidRDefault="0016558C" w:rsidP="0016558C">
      <w:pPr>
        <w:jc w:val="center"/>
        <w:rPr>
          <w:rFonts w:asciiTheme="majorHAnsi" w:hAnsiTheme="majorHAnsi" w:cstheme="majorHAnsi"/>
          <w:sz w:val="36"/>
          <w:u w:val="single"/>
        </w:rPr>
      </w:pPr>
      <w:r>
        <w:rPr>
          <w:rFonts w:asciiTheme="majorHAnsi" w:hAnsiTheme="majorHAnsi" w:cstheme="majorHAnsi"/>
          <w:sz w:val="36"/>
          <w:u w:val="single"/>
        </w:rPr>
        <w:t>Data Analysis of Mollusc diagrams</w:t>
      </w:r>
    </w:p>
    <w:p w14:paraId="742F49AC" w14:textId="1805B453" w:rsidR="002A5279" w:rsidRPr="00F4738B" w:rsidRDefault="002A5279" w:rsidP="002A5279">
      <w:pPr>
        <w:rPr>
          <w:rFonts w:asciiTheme="majorHAnsi" w:hAnsiTheme="majorHAnsi" w:cstheme="majorHAnsi"/>
        </w:rPr>
      </w:pPr>
    </w:p>
    <w:p w14:paraId="05BDB2BD" w14:textId="11FF3BB2" w:rsidR="000912BB" w:rsidRPr="00400A93" w:rsidRDefault="002A5279" w:rsidP="002A5279">
      <w:pPr>
        <w:rPr>
          <w:rFonts w:cstheme="minorHAnsi"/>
        </w:rPr>
      </w:pPr>
      <w:r w:rsidRPr="00400A93">
        <w:rPr>
          <w:rFonts w:asciiTheme="majorHAnsi" w:hAnsiTheme="majorHAnsi" w:cstheme="majorHAnsi"/>
        </w:rPr>
        <w:tab/>
      </w:r>
      <w:r w:rsidR="00D61B77" w:rsidRPr="00400A93">
        <w:rPr>
          <w:rFonts w:cstheme="minorHAnsi"/>
        </w:rPr>
        <w:t>In this essay I shall be looking at</w:t>
      </w:r>
      <w:r w:rsidR="000912BB" w:rsidRPr="00400A93">
        <w:rPr>
          <w:rFonts w:cstheme="minorHAnsi"/>
        </w:rPr>
        <w:t xml:space="preserve"> </w:t>
      </w:r>
      <w:r w:rsidR="00D61B77" w:rsidRPr="00400A93">
        <w:rPr>
          <w:rFonts w:cstheme="minorHAnsi"/>
        </w:rPr>
        <w:t xml:space="preserve">2 figures, one context diagram of a site and one </w:t>
      </w:r>
      <w:r w:rsidR="000912BB" w:rsidRPr="00400A93">
        <w:rPr>
          <w:rFonts w:cstheme="minorHAnsi"/>
        </w:rPr>
        <w:t>mollusc diagram. I will be interpreting the data set using archaeological theory and evidence. Within</w:t>
      </w:r>
      <w:r w:rsidR="00EB6365" w:rsidRPr="00400A93">
        <w:rPr>
          <w:rFonts w:cstheme="minorHAnsi"/>
        </w:rPr>
        <w:t xml:space="preserve"> figure 1, I shall be analysing unit 8 looking particularly at Taphonomic problems that occur when analysing mollusc data. In figure 2 I will be looking at the changes within the diagram and interpreting this data, critically looking at causes of these changes and the likely time period that these changes occur.</w:t>
      </w:r>
    </w:p>
    <w:p w14:paraId="78BB9450" w14:textId="4D4EF948" w:rsidR="005101DD" w:rsidRPr="005101DD" w:rsidRDefault="000912BB" w:rsidP="00096CB7">
      <w:pPr>
        <w:rPr>
          <w:rFonts w:cstheme="minorHAnsi"/>
        </w:rPr>
      </w:pPr>
      <w:r w:rsidRPr="00400A93">
        <w:rPr>
          <w:rFonts w:cstheme="minorHAnsi"/>
        </w:rPr>
        <w:tab/>
        <w:t xml:space="preserve">Looking at figure 1, Unit 8, </w:t>
      </w:r>
      <w:r w:rsidR="00EB6365" w:rsidRPr="00400A93">
        <w:rPr>
          <w:rFonts w:cstheme="minorHAnsi"/>
        </w:rPr>
        <w:t xml:space="preserve">we can see that it appears to be in a context that </w:t>
      </w:r>
      <w:r w:rsidR="00A31CA1">
        <w:rPr>
          <w:rFonts w:cstheme="minorHAnsi"/>
        </w:rPr>
        <w:t>this could be</w:t>
      </w:r>
      <w:r w:rsidR="00EB6365" w:rsidRPr="00400A93">
        <w:rPr>
          <w:rFonts w:cstheme="minorHAnsi"/>
        </w:rPr>
        <w:t xml:space="preserve"> an old river</w:t>
      </w:r>
      <w:r w:rsidR="00291AB1" w:rsidRPr="00400A93">
        <w:rPr>
          <w:rFonts w:cstheme="minorHAnsi"/>
        </w:rPr>
        <w:t>, due to the shape of the indent of the context</w:t>
      </w:r>
      <w:r w:rsidR="0095135C">
        <w:rPr>
          <w:rFonts w:cstheme="minorHAnsi"/>
        </w:rPr>
        <w:t>.</w:t>
      </w:r>
      <w:r w:rsidR="00CF53FF">
        <w:rPr>
          <w:rFonts w:cstheme="minorHAnsi"/>
        </w:rPr>
        <w:t xml:space="preserve"> </w:t>
      </w:r>
      <w:r w:rsidR="0095135C">
        <w:rPr>
          <w:rFonts w:cstheme="minorHAnsi"/>
        </w:rPr>
        <w:t>T</w:t>
      </w:r>
      <w:r w:rsidR="00CF53FF">
        <w:rPr>
          <w:rFonts w:cstheme="minorHAnsi"/>
        </w:rPr>
        <w:t>his creates problems as material from upstream could be washed down and settle in a bend creating problems when trying to ascribe a Taphonomic history.</w:t>
      </w:r>
      <w:r w:rsidR="00CF53FF" w:rsidRPr="00CF53FF">
        <w:rPr>
          <w:rFonts w:cstheme="minorHAnsi"/>
        </w:rPr>
        <w:t xml:space="preserve"> </w:t>
      </w:r>
      <w:r w:rsidR="00CF53FF" w:rsidRPr="00400A93">
        <w:rPr>
          <w:rFonts w:cstheme="minorHAnsi"/>
        </w:rPr>
        <w:t xml:space="preserve">This old river system could be hard when ascribing a Taphonomic history as we would expect to see more aquatic mollusc types rather than land mollusc, however there could be contamination with upper layers from landfill which may introduce land mollusc varieties creating </w:t>
      </w:r>
      <w:r w:rsidR="00E37FA0">
        <w:rPr>
          <w:rFonts w:cstheme="minorHAnsi"/>
        </w:rPr>
        <w:t>more issues</w:t>
      </w:r>
      <w:r w:rsidR="00CF53FF" w:rsidRPr="00400A93">
        <w:rPr>
          <w:rFonts w:cstheme="minorHAnsi"/>
        </w:rPr>
        <w:t xml:space="preserve"> </w:t>
      </w:r>
      <w:r w:rsidR="00E37FA0">
        <w:rPr>
          <w:rFonts w:cstheme="minorHAnsi"/>
        </w:rPr>
        <w:t>in ascribing a taphonomic history</w:t>
      </w:r>
      <w:r w:rsidR="00CF53FF" w:rsidRPr="00400A93">
        <w:rPr>
          <w:rFonts w:cstheme="minorHAnsi"/>
        </w:rPr>
        <w:t>.</w:t>
      </w:r>
      <w:r w:rsidR="00CF53FF">
        <w:rPr>
          <w:rFonts w:cstheme="minorHAnsi"/>
        </w:rPr>
        <w:t xml:space="preserve"> Alternately, in this context we can see pottery </w:t>
      </w:r>
      <w:r w:rsidR="00291AB1" w:rsidRPr="00400A93">
        <w:rPr>
          <w:rFonts w:cstheme="minorHAnsi"/>
        </w:rPr>
        <w:t>dating back to the early to middle Neolithic</w:t>
      </w:r>
      <w:r w:rsidR="00CF53FF">
        <w:rPr>
          <w:rFonts w:cstheme="minorHAnsi"/>
        </w:rPr>
        <w:t>, known as</w:t>
      </w:r>
      <w:r w:rsidR="00291AB1" w:rsidRPr="00400A93">
        <w:rPr>
          <w:rFonts w:cstheme="minorHAnsi"/>
        </w:rPr>
        <w:t xml:space="preserve"> Peterborough ware</w:t>
      </w:r>
      <w:r w:rsidR="00F8358C" w:rsidRPr="00400A93">
        <w:rPr>
          <w:rFonts w:cstheme="minorHAnsi"/>
        </w:rPr>
        <w:t xml:space="preserve"> </w:t>
      </w:r>
      <w:sdt>
        <w:sdtPr>
          <w:rPr>
            <w:rFonts w:cstheme="minorHAnsi"/>
          </w:rPr>
          <w:id w:val="43195472"/>
          <w:citation/>
        </w:sdtPr>
        <w:sdtContent>
          <w:r w:rsidR="00F8358C" w:rsidRPr="00400A93">
            <w:rPr>
              <w:rFonts w:cstheme="minorHAnsi"/>
            </w:rPr>
            <w:fldChar w:fldCharType="begin"/>
          </w:r>
          <w:r w:rsidR="009E5B6E" w:rsidRPr="00400A93">
            <w:rPr>
              <w:rFonts w:cstheme="minorHAnsi"/>
            </w:rPr>
            <w:instrText xml:space="preserve">CITATION Smi56 \l 2057 </w:instrText>
          </w:r>
          <w:r w:rsidR="00F8358C" w:rsidRPr="00400A93">
            <w:rPr>
              <w:rFonts w:cstheme="minorHAnsi"/>
            </w:rPr>
            <w:fldChar w:fldCharType="separate"/>
          </w:r>
          <w:r w:rsidR="009E5B6E" w:rsidRPr="00400A93">
            <w:rPr>
              <w:rFonts w:cstheme="minorHAnsi"/>
              <w:noProof/>
            </w:rPr>
            <w:t>(Smith, 1956)</w:t>
          </w:r>
          <w:r w:rsidR="00F8358C" w:rsidRPr="00400A93">
            <w:rPr>
              <w:rFonts w:cstheme="minorHAnsi"/>
            </w:rPr>
            <w:fldChar w:fldCharType="end"/>
          </w:r>
        </w:sdtContent>
      </w:sdt>
      <w:r w:rsidR="009E5B6E" w:rsidRPr="00400A93">
        <w:rPr>
          <w:rFonts w:cstheme="minorHAnsi"/>
        </w:rPr>
        <w:t xml:space="preserve"> </w:t>
      </w:r>
      <w:r w:rsidR="00291AB1" w:rsidRPr="00400A93">
        <w:rPr>
          <w:rFonts w:cstheme="minorHAnsi"/>
        </w:rPr>
        <w:t>just above and in the context (marked here at Ebbsfleet/Mortlake sherd)</w:t>
      </w:r>
      <w:r w:rsidR="00CF53FF">
        <w:rPr>
          <w:rFonts w:cstheme="minorHAnsi"/>
        </w:rPr>
        <w:t xml:space="preserve">, this could signal that this indentation is actually a ditch/fill which leads to many Taphonomic problems. Ditches and fills create problems as they remove ‘natural’ stratigraphy </w:t>
      </w:r>
      <w:sdt>
        <w:sdtPr>
          <w:rPr>
            <w:rFonts w:cstheme="minorHAnsi"/>
          </w:rPr>
          <w:id w:val="-1076273019"/>
          <w:citation/>
        </w:sdtPr>
        <w:sdtContent>
          <w:r w:rsidR="00CF53FF">
            <w:rPr>
              <w:rFonts w:cstheme="minorHAnsi"/>
            </w:rPr>
            <w:fldChar w:fldCharType="begin"/>
          </w:r>
          <w:r w:rsidR="00E37FA0">
            <w:rPr>
              <w:rFonts w:cstheme="minorHAnsi"/>
            </w:rPr>
            <w:instrText xml:space="preserve">CITATION Placeholder3 \l 2057 </w:instrText>
          </w:r>
          <w:r w:rsidR="00CF53FF">
            <w:rPr>
              <w:rFonts w:cstheme="minorHAnsi"/>
            </w:rPr>
            <w:fldChar w:fldCharType="separate"/>
          </w:r>
          <w:r w:rsidR="00E37FA0" w:rsidRPr="00E37FA0">
            <w:rPr>
              <w:rFonts w:cstheme="minorHAnsi"/>
              <w:noProof/>
            </w:rPr>
            <w:t>(Renfrew &amp; Bahn, 2016)</w:t>
          </w:r>
          <w:r w:rsidR="00CF53FF">
            <w:rPr>
              <w:rFonts w:cstheme="minorHAnsi"/>
            </w:rPr>
            <w:fldChar w:fldCharType="end"/>
          </w:r>
        </w:sdtContent>
      </w:sdt>
      <w:r w:rsidR="00CF53FF">
        <w:rPr>
          <w:rFonts w:cstheme="minorHAnsi"/>
        </w:rPr>
        <w:t xml:space="preserve"> thus mixing what molluscs may be present, creating incorrect models of environment and mollusc species present</w:t>
      </w:r>
      <w:r w:rsidR="00291AB1" w:rsidRPr="00400A93">
        <w:rPr>
          <w:rFonts w:cstheme="minorHAnsi"/>
        </w:rPr>
        <w:t xml:space="preserve">. </w:t>
      </w:r>
      <w:r w:rsidR="00761E0D" w:rsidRPr="00400A93">
        <w:rPr>
          <w:rFonts w:cstheme="minorHAnsi"/>
        </w:rPr>
        <w:t xml:space="preserve">Unit 8 is also a rather small context in </w:t>
      </w:r>
      <w:r w:rsidR="004D7259" w:rsidRPr="00400A93">
        <w:rPr>
          <w:rFonts w:cstheme="minorHAnsi"/>
        </w:rPr>
        <w:t>comparison</w:t>
      </w:r>
      <w:r w:rsidR="00761E0D" w:rsidRPr="00400A93">
        <w:rPr>
          <w:rFonts w:cstheme="minorHAnsi"/>
        </w:rPr>
        <w:t xml:space="preserve"> to the othe</w:t>
      </w:r>
      <w:r w:rsidR="004D7259" w:rsidRPr="00400A93">
        <w:rPr>
          <w:rFonts w:cstheme="minorHAnsi"/>
        </w:rPr>
        <w:t>r</w:t>
      </w:r>
      <w:r w:rsidR="00761E0D" w:rsidRPr="00400A93">
        <w:rPr>
          <w:rFonts w:cstheme="minorHAnsi"/>
        </w:rPr>
        <w:t xml:space="preserve"> contexts on the site,</w:t>
      </w:r>
      <w:r w:rsidR="003F7C7C" w:rsidRPr="00400A93">
        <w:rPr>
          <w:rFonts w:cstheme="minorHAnsi"/>
        </w:rPr>
        <w:t xml:space="preserve"> and due to this and added </w:t>
      </w:r>
      <w:r w:rsidR="0004734B" w:rsidRPr="00400A93">
        <w:rPr>
          <w:rFonts w:cstheme="minorHAnsi"/>
        </w:rPr>
        <w:t>compression</w:t>
      </w:r>
      <w:r w:rsidR="003F7C7C" w:rsidRPr="00400A93">
        <w:rPr>
          <w:rFonts w:cstheme="minorHAnsi"/>
        </w:rPr>
        <w:t xml:space="preserve"> from</w:t>
      </w:r>
      <w:r w:rsidR="0004734B" w:rsidRPr="00400A93">
        <w:rPr>
          <w:rFonts w:cstheme="minorHAnsi"/>
        </w:rPr>
        <w:t xml:space="preserve"> the above layers it is likely that the molluscs available in unit 8 may be highly damaged </w:t>
      </w:r>
      <w:sdt>
        <w:sdtPr>
          <w:rPr>
            <w:rFonts w:cstheme="minorHAnsi"/>
          </w:rPr>
          <w:id w:val="582418372"/>
          <w:citation/>
        </w:sdtPr>
        <w:sdtContent>
          <w:r w:rsidR="0079711B" w:rsidRPr="00400A93">
            <w:rPr>
              <w:rFonts w:cstheme="minorHAnsi"/>
            </w:rPr>
            <w:fldChar w:fldCharType="begin"/>
          </w:r>
          <w:r w:rsidR="00A3212C" w:rsidRPr="00400A93">
            <w:rPr>
              <w:rFonts w:cstheme="minorHAnsi"/>
            </w:rPr>
            <w:instrText xml:space="preserve">CITATION Bro01 \l 2057 </w:instrText>
          </w:r>
          <w:r w:rsidR="0079711B" w:rsidRPr="00400A93">
            <w:rPr>
              <w:rFonts w:cstheme="minorHAnsi"/>
            </w:rPr>
            <w:fldChar w:fldCharType="separate"/>
          </w:r>
          <w:r w:rsidR="00A3212C" w:rsidRPr="00400A93">
            <w:rPr>
              <w:rFonts w:cstheme="minorHAnsi"/>
              <w:noProof/>
            </w:rPr>
            <w:t>(Preece, 2001)</w:t>
          </w:r>
          <w:r w:rsidR="0079711B" w:rsidRPr="00400A93">
            <w:rPr>
              <w:rFonts w:cstheme="minorHAnsi"/>
            </w:rPr>
            <w:fldChar w:fldCharType="end"/>
          </w:r>
        </w:sdtContent>
      </w:sdt>
      <w:r w:rsidR="0004734B" w:rsidRPr="00400A93">
        <w:rPr>
          <w:rFonts w:cstheme="minorHAnsi"/>
        </w:rPr>
        <w:t xml:space="preserve"> </w:t>
      </w:r>
      <w:r w:rsidR="0079711B" w:rsidRPr="00400A93">
        <w:rPr>
          <w:rFonts w:cstheme="minorHAnsi"/>
        </w:rPr>
        <w:t>because of this it would be very hard to correctly analyse date and environment as we would have a</w:t>
      </w:r>
      <w:r w:rsidR="00A3212C" w:rsidRPr="00400A93">
        <w:rPr>
          <w:rFonts w:cstheme="minorHAnsi"/>
        </w:rPr>
        <w:t>n</w:t>
      </w:r>
      <w:r w:rsidR="0079711B" w:rsidRPr="00400A93">
        <w:rPr>
          <w:rFonts w:cstheme="minorHAnsi"/>
        </w:rPr>
        <w:t xml:space="preserve"> incomplete data set.</w:t>
      </w:r>
      <w:r w:rsidR="00A3212C" w:rsidRPr="00400A93">
        <w:rPr>
          <w:rFonts w:cstheme="minorHAnsi"/>
        </w:rPr>
        <w:t xml:space="preserve"> Thus, we will therefore be unable to find certain species which may have inhabited the environment at the time.</w:t>
      </w:r>
      <w:r w:rsidR="00E37FA0">
        <w:rPr>
          <w:rFonts w:cstheme="minorHAnsi"/>
        </w:rPr>
        <w:t xml:space="preserve"> Overall there are many problems when analysing Unit 8, such as the type of context, infill and size of stratigraphic layer.</w:t>
      </w:r>
    </w:p>
    <w:p w14:paraId="5D73E6EF" w14:textId="72039456" w:rsidR="00096CB7" w:rsidRPr="00400A93" w:rsidRDefault="00096CB7" w:rsidP="00096CB7">
      <w:pPr>
        <w:rPr>
          <w:rFonts w:cstheme="minorHAnsi"/>
        </w:rPr>
      </w:pPr>
      <w:r w:rsidRPr="00400A93">
        <w:rPr>
          <w:rFonts w:cstheme="minorHAnsi"/>
        </w:rPr>
        <w:tab/>
        <w:t xml:space="preserve">When looking at figure 2 we can see vast change </w:t>
      </w:r>
      <w:r w:rsidR="00A711FE" w:rsidRPr="00400A93">
        <w:rPr>
          <w:rFonts w:cstheme="minorHAnsi"/>
        </w:rPr>
        <w:t xml:space="preserve">in the diagram. We can see that the environment moves from a tundra environment, with only a few mollusc species inhabiting the area, the most common being </w:t>
      </w:r>
      <w:r w:rsidR="00A711FE" w:rsidRPr="00400A93">
        <w:rPr>
          <w:rFonts w:cstheme="minorHAnsi"/>
          <w:i/>
        </w:rPr>
        <w:t xml:space="preserve">Pupilla muscorum </w:t>
      </w:r>
      <w:r w:rsidR="00A711FE" w:rsidRPr="00400A93">
        <w:rPr>
          <w:rFonts w:cstheme="minorHAnsi"/>
        </w:rPr>
        <w:t>making up around 70% of the total mollusc population at the time. The environment then changes from tundra to a</w:t>
      </w:r>
      <w:r w:rsidR="00B214F9">
        <w:rPr>
          <w:rFonts w:cstheme="minorHAnsi"/>
        </w:rPr>
        <w:t>n</w:t>
      </w:r>
      <w:r w:rsidR="00A711FE" w:rsidRPr="00400A93">
        <w:rPr>
          <w:rFonts w:cstheme="minorHAnsi"/>
        </w:rPr>
        <w:t xml:space="preserve"> open woodland environment, which appears to be the l</w:t>
      </w:r>
      <w:r w:rsidR="00753A29" w:rsidRPr="00400A93">
        <w:rPr>
          <w:rFonts w:cstheme="minorHAnsi"/>
        </w:rPr>
        <w:t xml:space="preserve">ongest environmental period. At this time we can see an introduction of many new species of mollusc into the environment such as a larger population </w:t>
      </w:r>
      <w:r w:rsidR="00400A93" w:rsidRPr="00400A93">
        <w:rPr>
          <w:rFonts w:cstheme="minorHAnsi"/>
        </w:rPr>
        <w:t xml:space="preserve">of </w:t>
      </w:r>
      <w:r w:rsidR="00753A29" w:rsidRPr="00400A93">
        <w:rPr>
          <w:rFonts w:cstheme="minorHAnsi"/>
          <w:i/>
        </w:rPr>
        <w:t xml:space="preserve">Zonitidae </w:t>
      </w:r>
      <w:r w:rsidR="00753A29" w:rsidRPr="00400A93">
        <w:rPr>
          <w:rFonts w:cstheme="minorHAnsi"/>
        </w:rPr>
        <w:t xml:space="preserve">species (particularly </w:t>
      </w:r>
      <w:r w:rsidR="00753A29" w:rsidRPr="00400A93">
        <w:rPr>
          <w:rFonts w:cstheme="minorHAnsi"/>
          <w:i/>
        </w:rPr>
        <w:t xml:space="preserve">Discus rotundatus </w:t>
      </w:r>
      <w:r w:rsidR="00753A29" w:rsidRPr="00400A93">
        <w:rPr>
          <w:rFonts w:cstheme="minorHAnsi"/>
        </w:rPr>
        <w:t xml:space="preserve">and </w:t>
      </w:r>
      <w:r w:rsidR="00753A29" w:rsidRPr="00400A93">
        <w:rPr>
          <w:rFonts w:cstheme="minorHAnsi"/>
          <w:i/>
        </w:rPr>
        <w:t>Corychium tridentatum</w:t>
      </w:r>
      <w:r w:rsidR="00753A29" w:rsidRPr="00400A93">
        <w:rPr>
          <w:rFonts w:cstheme="minorHAnsi"/>
        </w:rPr>
        <w:t>) which appear to make up a significant portion of the new mollusc population, in some samples up to 30% of the total population, though populations found in the tundra environment still exists and inhabit this newly changed woodland environment. As the habitat changes once again we see a ‘</w:t>
      </w:r>
      <w:r w:rsidR="00B66987" w:rsidRPr="00400A93">
        <w:rPr>
          <w:rFonts w:cstheme="minorHAnsi"/>
        </w:rPr>
        <w:t>Clearance</w:t>
      </w:r>
      <w:r w:rsidR="00753A29" w:rsidRPr="00400A93">
        <w:rPr>
          <w:rFonts w:cstheme="minorHAnsi"/>
        </w:rPr>
        <w:t xml:space="preserve"> phase’ which moves to grassland and dry grass land. In these new phases we see the previously prevalent </w:t>
      </w:r>
      <w:r w:rsidR="00753A29" w:rsidRPr="00400A93">
        <w:rPr>
          <w:rFonts w:cstheme="minorHAnsi"/>
          <w:i/>
        </w:rPr>
        <w:t xml:space="preserve">Zonitidae </w:t>
      </w:r>
      <w:r w:rsidR="00753A29" w:rsidRPr="00400A93">
        <w:rPr>
          <w:rFonts w:cstheme="minorHAnsi"/>
        </w:rPr>
        <w:t xml:space="preserve">species reduced to numbers so small it is difficult to estimate their population as a part of the total mollusc population, </w:t>
      </w:r>
      <w:r w:rsidR="00400A93" w:rsidRPr="00400A93">
        <w:rPr>
          <w:rFonts w:cstheme="minorHAnsi"/>
        </w:rPr>
        <w:t xml:space="preserve">seemingly seeing the rise of a new dominate species </w:t>
      </w:r>
      <w:r w:rsidR="00400A93" w:rsidRPr="00400A93">
        <w:rPr>
          <w:rFonts w:cstheme="minorHAnsi"/>
          <w:i/>
        </w:rPr>
        <w:t xml:space="preserve">Vallonia </w:t>
      </w:r>
      <w:r w:rsidR="00400A93" w:rsidRPr="00400A93">
        <w:rPr>
          <w:rFonts w:cstheme="minorHAnsi"/>
        </w:rPr>
        <w:t xml:space="preserve">(particularity </w:t>
      </w:r>
      <w:r w:rsidR="00400A93" w:rsidRPr="00400A93">
        <w:rPr>
          <w:rFonts w:cstheme="minorHAnsi"/>
          <w:i/>
        </w:rPr>
        <w:t xml:space="preserve">Vallonia costata </w:t>
      </w:r>
      <w:r w:rsidR="00400A93" w:rsidRPr="00400A93">
        <w:rPr>
          <w:rFonts w:cstheme="minorHAnsi"/>
        </w:rPr>
        <w:t xml:space="preserve">and </w:t>
      </w:r>
      <w:r w:rsidR="00400A93" w:rsidRPr="00400A93">
        <w:rPr>
          <w:rFonts w:cstheme="minorHAnsi"/>
          <w:i/>
        </w:rPr>
        <w:t>Vallonia excentrica</w:t>
      </w:r>
      <w:r w:rsidR="00400A93" w:rsidRPr="00400A93">
        <w:rPr>
          <w:rFonts w:cstheme="minorHAnsi"/>
        </w:rPr>
        <w:t>)</w:t>
      </w:r>
      <w:r w:rsidR="00400A93" w:rsidRPr="00400A93">
        <w:rPr>
          <w:rFonts w:cstheme="minorHAnsi"/>
          <w:i/>
        </w:rPr>
        <w:t>.</w:t>
      </w:r>
      <w:r w:rsidR="00400A93" w:rsidRPr="00400A93">
        <w:rPr>
          <w:rFonts w:cstheme="minorHAnsi"/>
        </w:rPr>
        <w:t xml:space="preserve"> These new species of mollusc together make up around 60% of the total mollusc population in the uppermost section of the dig, in a dry grassland environment.</w:t>
      </w:r>
    </w:p>
    <w:p w14:paraId="3FE55CE0" w14:textId="77777777" w:rsidR="005101DD" w:rsidRDefault="005101DD" w:rsidP="002E366D">
      <w:pPr>
        <w:ind w:firstLine="720"/>
        <w:rPr>
          <w:rFonts w:cstheme="minorHAnsi"/>
        </w:rPr>
      </w:pPr>
    </w:p>
    <w:p w14:paraId="0045C825" w14:textId="77777777" w:rsidR="005101DD" w:rsidRDefault="005101DD" w:rsidP="002E366D">
      <w:pPr>
        <w:ind w:firstLine="720"/>
        <w:rPr>
          <w:rFonts w:cstheme="minorHAnsi"/>
        </w:rPr>
      </w:pPr>
    </w:p>
    <w:p w14:paraId="3F6AA89A" w14:textId="5D28C621" w:rsidR="00096CB7" w:rsidRDefault="002E366D" w:rsidP="002E366D">
      <w:pPr>
        <w:ind w:firstLine="720"/>
        <w:rPr>
          <w:rFonts w:cstheme="minorHAnsi"/>
        </w:rPr>
      </w:pPr>
      <w:r>
        <w:rPr>
          <w:rFonts w:cstheme="minorHAnsi"/>
        </w:rPr>
        <w:t xml:space="preserve">When identifying the probable causes of these changes there are 2 obvious agents; environmental change and human activity. First, climate change. At </w:t>
      </w:r>
      <w:r w:rsidR="00DA5F93">
        <w:rPr>
          <w:rFonts w:cstheme="minorHAnsi"/>
        </w:rPr>
        <w:t>an initial</w:t>
      </w:r>
      <w:r>
        <w:rPr>
          <w:rFonts w:cstheme="minorHAnsi"/>
        </w:rPr>
        <w:t xml:space="preserve"> glance it may be hard to discern climate change in an environment, however molluscs are very sensitive to change and prefer specific environmental conditions</w:t>
      </w:r>
      <w:r w:rsidRPr="0011117F">
        <w:rPr>
          <w:rFonts w:cstheme="minorHAnsi"/>
        </w:rPr>
        <w:t xml:space="preserve"> </w:t>
      </w:r>
      <w:r>
        <w:rPr>
          <w:rFonts w:cstheme="minorHAnsi"/>
        </w:rPr>
        <w:t xml:space="preserve"> and can tell us about what the surface of an environment is like due to this factor</w:t>
      </w:r>
      <w:sdt>
        <w:sdtPr>
          <w:rPr>
            <w:rFonts w:cstheme="minorHAnsi"/>
          </w:rPr>
          <w:id w:val="1669604235"/>
          <w:citation/>
        </w:sdtPr>
        <w:sdtContent>
          <w:r w:rsidR="00CF1744">
            <w:rPr>
              <w:rFonts w:cstheme="minorHAnsi"/>
            </w:rPr>
            <w:fldChar w:fldCharType="begin"/>
          </w:r>
          <w:r w:rsidR="00CF1744">
            <w:rPr>
              <w:rFonts w:cstheme="minorHAnsi"/>
            </w:rPr>
            <w:instrText xml:space="preserve"> CITATION Placeholder1 \l 2057 </w:instrText>
          </w:r>
          <w:r w:rsidR="00CF1744">
            <w:rPr>
              <w:rFonts w:cstheme="minorHAnsi"/>
            </w:rPr>
            <w:fldChar w:fldCharType="separate"/>
          </w:r>
          <w:r w:rsidR="00CF1744">
            <w:rPr>
              <w:rFonts w:cstheme="minorHAnsi"/>
              <w:noProof/>
            </w:rPr>
            <w:t xml:space="preserve"> </w:t>
          </w:r>
          <w:r w:rsidR="00CF1744" w:rsidRPr="00CF1744">
            <w:rPr>
              <w:rFonts w:cstheme="minorHAnsi"/>
              <w:noProof/>
            </w:rPr>
            <w:t>(Wilkinson &amp; Stevens, 2003)</w:t>
          </w:r>
          <w:r w:rsidR="00CF1744">
            <w:rPr>
              <w:rFonts w:cstheme="minorHAnsi"/>
            </w:rPr>
            <w:fldChar w:fldCharType="end"/>
          </w:r>
        </w:sdtContent>
      </w:sdt>
      <w:r>
        <w:rPr>
          <w:rFonts w:cstheme="minorHAnsi"/>
        </w:rPr>
        <w:t>. However,</w:t>
      </w:r>
      <w:r>
        <w:rPr>
          <w:rFonts w:cstheme="minorHAnsi"/>
        </w:rPr>
        <w:t xml:space="preserve"> </w:t>
      </w:r>
      <w:r>
        <w:rPr>
          <w:rFonts w:cstheme="minorHAnsi"/>
        </w:rPr>
        <w:t>these environments that certain species are adapted to could also have been made by human activity.</w:t>
      </w:r>
      <w:r w:rsidR="00CF1744">
        <w:rPr>
          <w:rFonts w:cstheme="minorHAnsi"/>
        </w:rPr>
        <w:t xml:space="preserve"> </w:t>
      </w:r>
      <w:r>
        <w:rPr>
          <w:rFonts w:cstheme="minorHAnsi"/>
        </w:rPr>
        <w:t>W</w:t>
      </w:r>
      <w:r>
        <w:rPr>
          <w:rFonts w:cstheme="minorHAnsi"/>
        </w:rPr>
        <w:t xml:space="preserve">e know that species like </w:t>
      </w:r>
      <w:r>
        <w:rPr>
          <w:rFonts w:cstheme="minorHAnsi"/>
          <w:i/>
        </w:rPr>
        <w:t>Va</w:t>
      </w:r>
      <w:r>
        <w:rPr>
          <w:rFonts w:cstheme="minorHAnsi"/>
          <w:i/>
        </w:rPr>
        <w:t xml:space="preserve">llonia costata </w:t>
      </w:r>
      <w:r>
        <w:rPr>
          <w:rFonts w:cstheme="minorHAnsi"/>
        </w:rPr>
        <w:t xml:space="preserve">and </w:t>
      </w:r>
      <w:r>
        <w:rPr>
          <w:rFonts w:cstheme="minorHAnsi"/>
          <w:i/>
        </w:rPr>
        <w:t xml:space="preserve">Vallonia encentrica </w:t>
      </w:r>
      <w:r>
        <w:rPr>
          <w:rFonts w:cstheme="minorHAnsi"/>
        </w:rPr>
        <w:t xml:space="preserve">inhabit dry grasslands with little to </w:t>
      </w:r>
      <w:r w:rsidR="00CF1744">
        <w:rPr>
          <w:rFonts w:cstheme="minorHAnsi"/>
        </w:rPr>
        <w:t>no</w:t>
      </w:r>
      <w:r>
        <w:rPr>
          <w:rFonts w:cstheme="minorHAnsi"/>
        </w:rPr>
        <w:t xml:space="preserve"> shade such as ploughed farmland or steppe environments</w:t>
      </w:r>
      <w:sdt>
        <w:sdtPr>
          <w:rPr>
            <w:rFonts w:cstheme="minorHAnsi"/>
          </w:rPr>
          <w:id w:val="682558784"/>
          <w:citation/>
        </w:sdtPr>
        <w:sdtContent>
          <w:r>
            <w:rPr>
              <w:rFonts w:cstheme="minorHAnsi"/>
            </w:rPr>
            <w:fldChar w:fldCharType="begin"/>
          </w:r>
          <w:r>
            <w:rPr>
              <w:rFonts w:cstheme="minorHAnsi"/>
            </w:rPr>
            <w:instrText xml:space="preserve">CITATION Placeholder1 \l 2057 </w:instrText>
          </w:r>
          <w:r>
            <w:rPr>
              <w:rFonts w:cstheme="minorHAnsi"/>
            </w:rPr>
            <w:fldChar w:fldCharType="separate"/>
          </w:r>
          <w:r>
            <w:rPr>
              <w:rFonts w:cstheme="minorHAnsi"/>
              <w:noProof/>
            </w:rPr>
            <w:t xml:space="preserve"> </w:t>
          </w:r>
          <w:r w:rsidRPr="002E366D">
            <w:rPr>
              <w:rFonts w:cstheme="minorHAnsi"/>
              <w:noProof/>
            </w:rPr>
            <w:t>(Wilkinson &amp; Stevens, 2003)</w:t>
          </w:r>
          <w:r>
            <w:rPr>
              <w:rFonts w:cstheme="minorHAnsi"/>
            </w:rPr>
            <w:fldChar w:fldCharType="end"/>
          </w:r>
        </w:sdtContent>
      </w:sdt>
      <w:r>
        <w:rPr>
          <w:rFonts w:cstheme="minorHAnsi"/>
        </w:rPr>
        <w:t xml:space="preserve"> and as there are an abundance of these</w:t>
      </w:r>
      <w:r w:rsidR="00CF1744">
        <w:rPr>
          <w:rFonts w:cstheme="minorHAnsi"/>
        </w:rPr>
        <w:t xml:space="preserve"> in the upper layers of the sediment it is likely that these changes could have occurred from Human activity creating new farmland from woodland environments</w:t>
      </w:r>
      <w:r>
        <w:rPr>
          <w:rFonts w:cstheme="minorHAnsi"/>
        </w:rPr>
        <w:t>.</w:t>
      </w:r>
      <w:r w:rsidR="00CF1744">
        <w:rPr>
          <w:rFonts w:cstheme="minorHAnsi"/>
        </w:rPr>
        <w:t xml:space="preserve"> I believe it is possible that the transition from a tundra environment to one of woodland is a natural changed caused by a changing climate</w:t>
      </w:r>
      <w:sdt>
        <w:sdtPr>
          <w:rPr>
            <w:rFonts w:cstheme="minorHAnsi"/>
          </w:rPr>
          <w:id w:val="419533697"/>
          <w:citation/>
        </w:sdtPr>
        <w:sdtContent>
          <w:r w:rsidR="00C75B6D">
            <w:rPr>
              <w:rFonts w:cstheme="minorHAnsi"/>
            </w:rPr>
            <w:fldChar w:fldCharType="begin"/>
          </w:r>
          <w:r w:rsidR="00C75B6D">
            <w:rPr>
              <w:rFonts w:cstheme="minorHAnsi"/>
            </w:rPr>
            <w:instrText xml:space="preserve"> CITATION All172 \l 2057 </w:instrText>
          </w:r>
          <w:r w:rsidR="00C75B6D">
            <w:rPr>
              <w:rFonts w:cstheme="minorHAnsi"/>
            </w:rPr>
            <w:fldChar w:fldCharType="separate"/>
          </w:r>
          <w:r w:rsidR="00C75B6D">
            <w:rPr>
              <w:rFonts w:cstheme="minorHAnsi"/>
              <w:noProof/>
            </w:rPr>
            <w:t xml:space="preserve"> </w:t>
          </w:r>
          <w:r w:rsidR="00C75B6D" w:rsidRPr="00C75B6D">
            <w:rPr>
              <w:rFonts w:cstheme="minorHAnsi"/>
              <w:noProof/>
            </w:rPr>
            <w:t>(Allen, 2017)</w:t>
          </w:r>
          <w:r w:rsidR="00C75B6D">
            <w:rPr>
              <w:rFonts w:cstheme="minorHAnsi"/>
            </w:rPr>
            <w:fldChar w:fldCharType="end"/>
          </w:r>
        </w:sdtContent>
      </w:sdt>
      <w:r w:rsidR="00CF1744">
        <w:rPr>
          <w:rFonts w:cstheme="minorHAnsi"/>
        </w:rPr>
        <w:t>, however I believe that it is likely that the relatively fast change from woodland to grassland environment is one that is, in all likelihood, caused by human interaction with the environment.</w:t>
      </w:r>
      <w:r w:rsidR="00C75B6D">
        <w:rPr>
          <w:rFonts w:cstheme="minorHAnsi"/>
        </w:rPr>
        <w:t xml:space="preserve"> This is due to the vast area which the woodland deposit sits on, 50cm to 30cm deep, and quickly changes to a grassland environment from approx. 25-30cm deep.</w:t>
      </w:r>
    </w:p>
    <w:p w14:paraId="6A69EFE1" w14:textId="59A73317" w:rsidR="005101DD" w:rsidRDefault="001170C2" w:rsidP="005101DD">
      <w:pPr>
        <w:ind w:firstLine="720"/>
        <w:rPr>
          <w:rFonts w:cstheme="minorHAnsi"/>
        </w:rPr>
      </w:pPr>
      <w:r>
        <w:rPr>
          <w:rFonts w:cstheme="minorHAnsi"/>
        </w:rPr>
        <w:t xml:space="preserve">Trying to identify what time period this sample comes from could be quite difficult, however there are clues within the graph and molluscs that can give us a good estimate of when these changes take place. I would suggest that these changes occur from the very end of the glacial period into the early Neolithic in a western European country, most probably within the UK. I say this as the very early mollusc species present are </w:t>
      </w:r>
      <w:r w:rsidR="005B65DF">
        <w:rPr>
          <w:rFonts w:cstheme="minorHAnsi"/>
        </w:rPr>
        <w:t xml:space="preserve">a very robust species found all over Europe, particularly </w:t>
      </w:r>
      <w:r w:rsidR="005B65DF" w:rsidRPr="00400A93">
        <w:rPr>
          <w:rFonts w:cstheme="minorHAnsi"/>
          <w:i/>
        </w:rPr>
        <w:t>Pupilla muscorum</w:t>
      </w:r>
      <w:r w:rsidR="005B65DF">
        <w:rPr>
          <w:rFonts w:cstheme="minorHAnsi"/>
          <w:i/>
        </w:rPr>
        <w:t xml:space="preserve">. </w:t>
      </w:r>
      <w:r w:rsidR="005B65DF">
        <w:rPr>
          <w:rFonts w:cstheme="minorHAnsi"/>
        </w:rPr>
        <w:t xml:space="preserve">Then there is a change in environment, which I propose is the end of the last glacial period going into a post-glacial woodland in the Mesolithic, as evidenced in Allen (2017). He also </w:t>
      </w:r>
      <w:r w:rsidR="00BE7090">
        <w:rPr>
          <w:rFonts w:cstheme="minorHAnsi"/>
        </w:rPr>
        <w:t>makes</w:t>
      </w:r>
      <w:r w:rsidR="005B65DF">
        <w:rPr>
          <w:rFonts w:cstheme="minorHAnsi"/>
        </w:rPr>
        <w:t xml:space="preserve"> </w:t>
      </w:r>
      <w:r w:rsidR="00C04F24">
        <w:rPr>
          <w:rFonts w:cstheme="minorHAnsi"/>
        </w:rPr>
        <w:t xml:space="preserve">the </w:t>
      </w:r>
      <w:r w:rsidR="005B65DF">
        <w:rPr>
          <w:rFonts w:cstheme="minorHAnsi"/>
        </w:rPr>
        <w:t xml:space="preserve">point that this would not have been continuous woodland, and that going into the Neolithic period these areas of grassland would likely be used for agriculture. Thus </w:t>
      </w:r>
      <w:r w:rsidR="005101DD">
        <w:rPr>
          <w:rFonts w:cstheme="minorHAnsi"/>
        </w:rPr>
        <w:t>overall</w:t>
      </w:r>
      <w:r w:rsidR="005B65DF">
        <w:rPr>
          <w:rFonts w:cstheme="minorHAnsi"/>
        </w:rPr>
        <w:t xml:space="preserve"> I would propose that this mollusc diagram covers a time period form around </w:t>
      </w:r>
      <w:r w:rsidR="00BE7090">
        <w:rPr>
          <w:rFonts w:cstheme="minorHAnsi"/>
        </w:rPr>
        <w:t>c.</w:t>
      </w:r>
      <w:r w:rsidR="005B65DF">
        <w:rPr>
          <w:rFonts w:cstheme="minorHAnsi"/>
        </w:rPr>
        <w:t xml:space="preserve">15,000 BP – </w:t>
      </w:r>
      <w:r w:rsidR="00BE7090">
        <w:rPr>
          <w:rFonts w:cstheme="minorHAnsi"/>
        </w:rPr>
        <w:t>c.</w:t>
      </w:r>
      <w:r w:rsidR="005B65DF">
        <w:rPr>
          <w:rFonts w:cstheme="minorHAnsi"/>
        </w:rPr>
        <w:t>11,000 BP</w:t>
      </w:r>
      <w:r w:rsidR="00C04F24">
        <w:rPr>
          <w:rFonts w:cstheme="minorHAnsi"/>
        </w:rPr>
        <w:t xml:space="preserve"> (based</w:t>
      </w:r>
      <w:r w:rsidR="00BE7090">
        <w:rPr>
          <w:rFonts w:cstheme="minorHAnsi"/>
        </w:rPr>
        <w:t xml:space="preserve"> on evidence from Allen (2017))</w:t>
      </w:r>
      <w:r w:rsidR="005B65DF">
        <w:rPr>
          <w:rFonts w:cstheme="minorHAnsi"/>
        </w:rPr>
        <w:t>, going from late glacial tundra into post glacial woodland and finally Neolithic farmland in between wooded environments.</w:t>
      </w:r>
    </w:p>
    <w:p w14:paraId="5D87CCAB" w14:textId="03501445" w:rsidR="005101DD" w:rsidRPr="005B65DF" w:rsidRDefault="005101DD" w:rsidP="005101DD">
      <w:pPr>
        <w:ind w:firstLine="720"/>
        <w:rPr>
          <w:rFonts w:cstheme="minorHAnsi"/>
        </w:rPr>
      </w:pPr>
      <w:r>
        <w:rPr>
          <w:rFonts w:cstheme="minorHAnsi"/>
        </w:rPr>
        <w:t xml:space="preserve">This shows us both the issues of mollusc analysis and the uses that come from using mollusc analysis. From issues based on sedentary layers, size of contexts and </w:t>
      </w:r>
      <w:r w:rsidR="00744871">
        <w:rPr>
          <w:rFonts w:cstheme="minorHAnsi"/>
        </w:rPr>
        <w:t>evidence not surviving to the uses of molluscs in a wider sense when looking at changes of climate and possible human activity, and using these data sets to create an idea of possible dating of sites if no other dating techniques are available.</w:t>
      </w:r>
    </w:p>
    <w:p w14:paraId="2ECF9ED0" w14:textId="6E0C50B9" w:rsidR="00096CB7" w:rsidRPr="00400A93" w:rsidRDefault="00096CB7" w:rsidP="00096CB7">
      <w:pPr>
        <w:rPr>
          <w:rFonts w:cstheme="minorHAnsi"/>
        </w:rPr>
      </w:pPr>
    </w:p>
    <w:p w14:paraId="6981CE21" w14:textId="4C1E5F0E" w:rsidR="00096CB7" w:rsidRDefault="00096CB7" w:rsidP="00096CB7">
      <w:pPr>
        <w:rPr>
          <w:rFonts w:cstheme="minorHAnsi"/>
          <w:sz w:val="24"/>
        </w:rPr>
      </w:pPr>
    </w:p>
    <w:p w14:paraId="44318729" w14:textId="3B1AF906" w:rsidR="00A66D7B" w:rsidRDefault="00A66D7B" w:rsidP="00096CB7">
      <w:pPr>
        <w:rPr>
          <w:rFonts w:cstheme="minorHAnsi"/>
          <w:sz w:val="24"/>
        </w:rPr>
      </w:pPr>
    </w:p>
    <w:p w14:paraId="14D03FD0" w14:textId="142CBFDE" w:rsidR="00A66D7B" w:rsidRDefault="00A66D7B" w:rsidP="00096CB7">
      <w:pPr>
        <w:rPr>
          <w:rFonts w:cstheme="minorHAnsi"/>
          <w:sz w:val="24"/>
        </w:rPr>
      </w:pPr>
    </w:p>
    <w:p w14:paraId="13C96F0F" w14:textId="31B649E6" w:rsidR="00A66D7B" w:rsidRDefault="00A66D7B" w:rsidP="00096CB7">
      <w:pPr>
        <w:rPr>
          <w:rFonts w:cstheme="minorHAnsi"/>
          <w:sz w:val="24"/>
        </w:rPr>
      </w:pPr>
    </w:p>
    <w:p w14:paraId="393DBFEA" w14:textId="10F8592A" w:rsidR="00A66D7B" w:rsidRDefault="00A66D7B" w:rsidP="00096CB7">
      <w:pPr>
        <w:rPr>
          <w:rFonts w:cstheme="minorHAnsi"/>
          <w:sz w:val="24"/>
        </w:rPr>
      </w:pPr>
    </w:p>
    <w:p w14:paraId="22815BFA" w14:textId="57B256BE" w:rsidR="00A66D7B" w:rsidRDefault="00A66D7B" w:rsidP="00096CB7">
      <w:pPr>
        <w:rPr>
          <w:rFonts w:cstheme="minorHAnsi"/>
          <w:sz w:val="24"/>
        </w:rPr>
      </w:pPr>
    </w:p>
    <w:p w14:paraId="6FB69774" w14:textId="4ADD3493" w:rsidR="00A66D7B" w:rsidRDefault="00A66D7B" w:rsidP="00096CB7">
      <w:pPr>
        <w:rPr>
          <w:rFonts w:cstheme="minorHAnsi"/>
          <w:sz w:val="24"/>
        </w:rPr>
      </w:pPr>
    </w:p>
    <w:sdt>
      <w:sdtPr>
        <w:id w:val="-139666479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CA4CB22" w14:textId="53253B4A" w:rsidR="00A66D7B" w:rsidRDefault="00A66D7B">
          <w:pPr>
            <w:pStyle w:val="Heading1"/>
          </w:pPr>
          <w:r>
            <w:t>Bibliography</w:t>
          </w:r>
        </w:p>
        <w:sdt>
          <w:sdtPr>
            <w:id w:val="111145805"/>
            <w:bibliography/>
          </w:sdtPr>
          <w:sdtContent>
            <w:p w14:paraId="7D8AC3FC" w14:textId="77777777" w:rsidR="00A66D7B" w:rsidRDefault="00A66D7B" w:rsidP="00A66D7B">
              <w:pPr>
                <w:pStyle w:val="Bibliography"/>
                <w:rPr>
                  <w:noProof/>
                  <w:sz w:val="24"/>
                  <w:szCs w:val="24"/>
                  <w:lang w:val="en-US"/>
                </w:rPr>
              </w:pPr>
              <w:r>
                <w:fldChar w:fldCharType="begin"/>
              </w:r>
              <w:r>
                <w:instrText xml:space="preserve"> BIBLIOGRAPHY </w:instrText>
              </w:r>
              <w:r>
                <w:fldChar w:fldCharType="separate"/>
              </w:r>
              <w:r>
                <w:rPr>
                  <w:noProof/>
                  <w:lang w:val="en-US"/>
                </w:rPr>
                <w:t xml:space="preserve">Allen, M. J., 2017. Landsnails in Archaeology. In: M. J. Allen, ed. </w:t>
              </w:r>
              <w:r>
                <w:rPr>
                  <w:i/>
                  <w:iCs/>
                  <w:noProof/>
                  <w:lang w:val="en-US"/>
                </w:rPr>
                <w:t xml:space="preserve">Molluscs in Archaeology. Methods, approaches and applications. </w:t>
              </w:r>
              <w:r>
                <w:rPr>
                  <w:noProof/>
                  <w:lang w:val="en-US"/>
                </w:rPr>
                <w:t>Oxford: Oxbow, pp. 6-29.</w:t>
              </w:r>
            </w:p>
            <w:p w14:paraId="4F8DA8FC" w14:textId="77777777" w:rsidR="00A66D7B" w:rsidRDefault="00A66D7B" w:rsidP="00A66D7B">
              <w:pPr>
                <w:pStyle w:val="Bibliography"/>
                <w:rPr>
                  <w:noProof/>
                  <w:lang w:val="en-US"/>
                </w:rPr>
              </w:pPr>
              <w:r>
                <w:rPr>
                  <w:noProof/>
                  <w:lang w:val="en-US"/>
                </w:rPr>
                <w:t xml:space="preserve">Allen, M. J., 2017. The geoarchaeolgy of context: sampling for land snails (on archaeolocial sites and colluvium). In: M. J. Allen, ed. </w:t>
              </w:r>
              <w:r>
                <w:rPr>
                  <w:i/>
                  <w:iCs/>
                  <w:noProof/>
                  <w:lang w:val="en-US"/>
                </w:rPr>
                <w:t xml:space="preserve">Molluscs in Archaeology. Methods, approaches and applications. </w:t>
              </w:r>
              <w:r>
                <w:rPr>
                  <w:noProof/>
                  <w:lang w:val="en-US"/>
                </w:rPr>
                <w:t>Oxford: Oxbow Books, pp. 30-47.</w:t>
              </w:r>
            </w:p>
            <w:p w14:paraId="0898B0EE" w14:textId="77777777" w:rsidR="00A66D7B" w:rsidRDefault="00A66D7B" w:rsidP="00A66D7B">
              <w:pPr>
                <w:pStyle w:val="Bibliography"/>
                <w:rPr>
                  <w:noProof/>
                  <w:lang w:val="en-US"/>
                </w:rPr>
              </w:pPr>
              <w:r>
                <w:rPr>
                  <w:noProof/>
                  <w:lang w:val="en-US"/>
                </w:rPr>
                <w:t xml:space="preserve">Allen, M. J., 2017. The Southern English chalklands: molluscan evidence for nature of the post-glacial woodland cover. In: M. J. Allen, ed. </w:t>
              </w:r>
              <w:r>
                <w:rPr>
                  <w:i/>
                  <w:iCs/>
                  <w:noProof/>
                  <w:lang w:val="en-US"/>
                </w:rPr>
                <w:t xml:space="preserve">Molluscs in Archaeology. Methods, approaches and applications. </w:t>
              </w:r>
              <w:r>
                <w:rPr>
                  <w:noProof/>
                  <w:lang w:val="en-US"/>
                </w:rPr>
                <w:t>Oxford: Oxbow Books, pp. 144-164.</w:t>
              </w:r>
            </w:p>
            <w:p w14:paraId="64C844B8" w14:textId="77777777" w:rsidR="00A66D7B" w:rsidRDefault="00A66D7B" w:rsidP="00A66D7B">
              <w:pPr>
                <w:pStyle w:val="Bibliography"/>
                <w:rPr>
                  <w:noProof/>
                  <w:lang w:val="en-US"/>
                </w:rPr>
              </w:pPr>
              <w:r>
                <w:rPr>
                  <w:noProof/>
                  <w:lang w:val="en-US"/>
                </w:rPr>
                <w:t xml:space="preserve">O'Connor , T. &amp; Evans, J. G., 2005. </w:t>
              </w:r>
              <w:r>
                <w:rPr>
                  <w:i/>
                  <w:iCs/>
                  <w:noProof/>
                  <w:lang w:val="en-US"/>
                </w:rPr>
                <w:t xml:space="preserve">Eviromental Archaeology. Principles and methods.. </w:t>
              </w:r>
              <w:r>
                <w:rPr>
                  <w:noProof/>
                  <w:lang w:val="en-US"/>
                </w:rPr>
                <w:t>2nd ed. Sparkford: Sutton Publishing Limited.</w:t>
              </w:r>
            </w:p>
            <w:p w14:paraId="720131C4" w14:textId="77777777" w:rsidR="00A66D7B" w:rsidRDefault="00A66D7B" w:rsidP="00A66D7B">
              <w:pPr>
                <w:pStyle w:val="Bibliography"/>
                <w:rPr>
                  <w:noProof/>
                  <w:lang w:val="en-US"/>
                </w:rPr>
              </w:pPr>
              <w:r>
                <w:rPr>
                  <w:noProof/>
                  <w:lang w:val="en-US"/>
                </w:rPr>
                <w:t xml:space="preserve">Preece, R. C., 2001. Non-Marine Mollusca and Archaeology. In: D. R. Brothwell &amp; A. M. Pollard, eds. </w:t>
              </w:r>
              <w:r>
                <w:rPr>
                  <w:i/>
                  <w:iCs/>
                  <w:noProof/>
                  <w:lang w:val="en-US"/>
                </w:rPr>
                <w:t xml:space="preserve">Handbook of Archaeological Sciences.. </w:t>
              </w:r>
              <w:r>
                <w:rPr>
                  <w:noProof/>
                  <w:lang w:val="en-US"/>
                </w:rPr>
                <w:t>Chichester: John Wiley &amp; Sons, Ltd., pp. 135-143.</w:t>
              </w:r>
            </w:p>
            <w:p w14:paraId="32DF0DC3" w14:textId="77777777" w:rsidR="00A66D7B" w:rsidRDefault="00A66D7B" w:rsidP="00A66D7B">
              <w:pPr>
                <w:pStyle w:val="Bibliography"/>
                <w:rPr>
                  <w:noProof/>
                  <w:lang w:val="en-US"/>
                </w:rPr>
              </w:pPr>
              <w:r>
                <w:rPr>
                  <w:noProof/>
                  <w:lang w:val="en-US"/>
                </w:rPr>
                <w:t xml:space="preserve">Renfrew, C. &amp; Bahn, P., 2016. </w:t>
              </w:r>
              <w:r>
                <w:rPr>
                  <w:i/>
                  <w:iCs/>
                  <w:noProof/>
                  <w:lang w:val="en-US"/>
                </w:rPr>
                <w:t xml:space="preserve">Archaeology, Theories, Methods and Practice.. </w:t>
              </w:r>
              <w:r>
                <w:rPr>
                  <w:noProof/>
                  <w:lang w:val="en-US"/>
                </w:rPr>
                <w:t>7 ed. London: Thames &amp; Hudson.</w:t>
              </w:r>
            </w:p>
            <w:p w14:paraId="321FB880" w14:textId="77777777" w:rsidR="00A66D7B" w:rsidRDefault="00A66D7B" w:rsidP="00A66D7B">
              <w:pPr>
                <w:pStyle w:val="Bibliography"/>
                <w:rPr>
                  <w:noProof/>
                  <w:lang w:val="en-US"/>
                </w:rPr>
              </w:pPr>
              <w:r>
                <w:rPr>
                  <w:noProof/>
                  <w:lang w:val="en-US"/>
                </w:rPr>
                <w:t xml:space="preserve">Smith, I. F., 1956. </w:t>
              </w:r>
              <w:r>
                <w:rPr>
                  <w:i/>
                  <w:iCs/>
                  <w:noProof/>
                  <w:lang w:val="en-US"/>
                </w:rPr>
                <w:t xml:space="preserve">The decorative art of Neolithic ceramics in south-eastern England and its relations. </w:t>
              </w:r>
              <w:r>
                <w:rPr>
                  <w:noProof/>
                  <w:lang w:val="en-US"/>
                </w:rPr>
                <w:t>Ph. D: University of London.</w:t>
              </w:r>
            </w:p>
            <w:p w14:paraId="05F5C4FE" w14:textId="77777777" w:rsidR="00A66D7B" w:rsidRDefault="00A66D7B" w:rsidP="00A66D7B">
              <w:pPr>
                <w:pStyle w:val="Bibliography"/>
                <w:rPr>
                  <w:noProof/>
                  <w:lang w:val="en-US"/>
                </w:rPr>
              </w:pPr>
              <w:r>
                <w:rPr>
                  <w:noProof/>
                  <w:lang w:val="en-US"/>
                </w:rPr>
                <w:t xml:space="preserve">Wilkinson, K. &amp; Stevens, C., 2003. </w:t>
              </w:r>
              <w:r>
                <w:rPr>
                  <w:i/>
                  <w:iCs/>
                  <w:noProof/>
                  <w:lang w:val="en-US"/>
                </w:rPr>
                <w:t xml:space="preserve">Enviromental Archaeology. Approaches. Techniques &amp; Applications.. </w:t>
              </w:r>
              <w:r>
                <w:rPr>
                  <w:noProof/>
                  <w:lang w:val="en-US"/>
                </w:rPr>
                <w:t>Wiltshire: Tempus Publishing Ltd..</w:t>
              </w:r>
            </w:p>
            <w:p w14:paraId="49119192" w14:textId="6405F217" w:rsidR="00A66D7B" w:rsidRDefault="00A66D7B" w:rsidP="00A66D7B">
              <w:r>
                <w:rPr>
                  <w:b/>
                  <w:bCs/>
                  <w:noProof/>
                </w:rPr>
                <w:fldChar w:fldCharType="end"/>
              </w:r>
            </w:p>
          </w:sdtContent>
        </w:sdt>
      </w:sdtContent>
    </w:sdt>
    <w:p w14:paraId="2336D9EC" w14:textId="77777777" w:rsidR="00A66D7B" w:rsidRPr="00096CB7" w:rsidRDefault="00A66D7B" w:rsidP="00096CB7">
      <w:pPr>
        <w:rPr>
          <w:rFonts w:cstheme="minorHAnsi"/>
          <w:sz w:val="24"/>
        </w:rPr>
      </w:pPr>
      <w:bookmarkStart w:id="0" w:name="_GoBack"/>
      <w:bookmarkEnd w:id="0"/>
    </w:p>
    <w:sectPr w:rsidR="00A66D7B" w:rsidRPr="00096C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F22532" w14:textId="77777777" w:rsidR="00277F8C" w:rsidRDefault="00277F8C" w:rsidP="000912BB">
      <w:pPr>
        <w:spacing w:after="0" w:line="240" w:lineRule="auto"/>
      </w:pPr>
      <w:r>
        <w:separator/>
      </w:r>
    </w:p>
  </w:endnote>
  <w:endnote w:type="continuationSeparator" w:id="0">
    <w:p w14:paraId="32ACAE2E" w14:textId="77777777" w:rsidR="00277F8C" w:rsidRDefault="00277F8C" w:rsidP="00091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AD7691" w14:textId="77777777" w:rsidR="00277F8C" w:rsidRDefault="00277F8C" w:rsidP="000912BB">
      <w:pPr>
        <w:spacing w:after="0" w:line="240" w:lineRule="auto"/>
      </w:pPr>
      <w:r>
        <w:separator/>
      </w:r>
    </w:p>
  </w:footnote>
  <w:footnote w:type="continuationSeparator" w:id="0">
    <w:p w14:paraId="417626EA" w14:textId="77777777" w:rsidR="00277F8C" w:rsidRDefault="00277F8C" w:rsidP="000912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D16"/>
    <w:rsid w:val="0004734B"/>
    <w:rsid w:val="000912BB"/>
    <w:rsid w:val="00096CB7"/>
    <w:rsid w:val="0011117F"/>
    <w:rsid w:val="001170C2"/>
    <w:rsid w:val="0016558C"/>
    <w:rsid w:val="001A7D85"/>
    <w:rsid w:val="00277F8C"/>
    <w:rsid w:val="00291AB1"/>
    <w:rsid w:val="002A5279"/>
    <w:rsid w:val="002B3ED1"/>
    <w:rsid w:val="002E366D"/>
    <w:rsid w:val="00346B00"/>
    <w:rsid w:val="003F7C7C"/>
    <w:rsid w:val="00400A93"/>
    <w:rsid w:val="00441672"/>
    <w:rsid w:val="004D7259"/>
    <w:rsid w:val="005101DD"/>
    <w:rsid w:val="005B65DF"/>
    <w:rsid w:val="00601B10"/>
    <w:rsid w:val="00620C63"/>
    <w:rsid w:val="00744871"/>
    <w:rsid w:val="00753A29"/>
    <w:rsid w:val="00761E0D"/>
    <w:rsid w:val="0079711B"/>
    <w:rsid w:val="008E28C6"/>
    <w:rsid w:val="0095135C"/>
    <w:rsid w:val="009E5B6E"/>
    <w:rsid w:val="00A26E4D"/>
    <w:rsid w:val="00A31CA1"/>
    <w:rsid w:val="00A3212C"/>
    <w:rsid w:val="00A519F2"/>
    <w:rsid w:val="00A66D7B"/>
    <w:rsid w:val="00A711FE"/>
    <w:rsid w:val="00B214F9"/>
    <w:rsid w:val="00B66987"/>
    <w:rsid w:val="00B95739"/>
    <w:rsid w:val="00BE7090"/>
    <w:rsid w:val="00C04F24"/>
    <w:rsid w:val="00C179E0"/>
    <w:rsid w:val="00C75B6D"/>
    <w:rsid w:val="00CF1744"/>
    <w:rsid w:val="00CF53FF"/>
    <w:rsid w:val="00D4246A"/>
    <w:rsid w:val="00D61B77"/>
    <w:rsid w:val="00DA5F93"/>
    <w:rsid w:val="00E25F1D"/>
    <w:rsid w:val="00E37FA0"/>
    <w:rsid w:val="00EB6365"/>
    <w:rsid w:val="00F0240B"/>
    <w:rsid w:val="00F40D16"/>
    <w:rsid w:val="00F4738B"/>
    <w:rsid w:val="00F83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73503"/>
  <w15:chartTrackingRefBased/>
  <w15:docId w15:val="{CABF806A-4881-4C96-9F5E-7FE809B2B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2B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912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12BB"/>
    <w:rPr>
      <w:sz w:val="20"/>
      <w:szCs w:val="20"/>
    </w:rPr>
  </w:style>
  <w:style w:type="character" w:styleId="FootnoteReference">
    <w:name w:val="footnote reference"/>
    <w:basedOn w:val="DefaultParagraphFont"/>
    <w:uiPriority w:val="99"/>
    <w:semiHidden/>
    <w:unhideWhenUsed/>
    <w:rsid w:val="000912BB"/>
    <w:rPr>
      <w:vertAlign w:val="superscript"/>
    </w:rPr>
  </w:style>
  <w:style w:type="character" w:customStyle="1" w:styleId="Heading1Char">
    <w:name w:val="Heading 1 Char"/>
    <w:basedOn w:val="DefaultParagraphFont"/>
    <w:link w:val="Heading1"/>
    <w:uiPriority w:val="9"/>
    <w:rsid w:val="000912B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912BB"/>
  </w:style>
  <w:style w:type="paragraph" w:styleId="Caption">
    <w:name w:val="caption"/>
    <w:basedOn w:val="Normal"/>
    <w:next w:val="Normal"/>
    <w:uiPriority w:val="35"/>
    <w:unhideWhenUsed/>
    <w:qFormat/>
    <w:rsid w:val="00346B0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46692">
      <w:bodyDiv w:val="1"/>
      <w:marLeft w:val="0"/>
      <w:marRight w:val="0"/>
      <w:marTop w:val="0"/>
      <w:marBottom w:val="0"/>
      <w:divBdr>
        <w:top w:val="none" w:sz="0" w:space="0" w:color="auto"/>
        <w:left w:val="none" w:sz="0" w:space="0" w:color="auto"/>
        <w:bottom w:val="none" w:sz="0" w:space="0" w:color="auto"/>
        <w:right w:val="none" w:sz="0" w:space="0" w:color="auto"/>
      </w:divBdr>
    </w:div>
    <w:div w:id="40444587">
      <w:bodyDiv w:val="1"/>
      <w:marLeft w:val="0"/>
      <w:marRight w:val="0"/>
      <w:marTop w:val="0"/>
      <w:marBottom w:val="0"/>
      <w:divBdr>
        <w:top w:val="none" w:sz="0" w:space="0" w:color="auto"/>
        <w:left w:val="none" w:sz="0" w:space="0" w:color="auto"/>
        <w:bottom w:val="none" w:sz="0" w:space="0" w:color="auto"/>
        <w:right w:val="none" w:sz="0" w:space="0" w:color="auto"/>
      </w:divBdr>
    </w:div>
    <w:div w:id="57409973">
      <w:bodyDiv w:val="1"/>
      <w:marLeft w:val="0"/>
      <w:marRight w:val="0"/>
      <w:marTop w:val="0"/>
      <w:marBottom w:val="0"/>
      <w:divBdr>
        <w:top w:val="none" w:sz="0" w:space="0" w:color="auto"/>
        <w:left w:val="none" w:sz="0" w:space="0" w:color="auto"/>
        <w:bottom w:val="none" w:sz="0" w:space="0" w:color="auto"/>
        <w:right w:val="none" w:sz="0" w:space="0" w:color="auto"/>
      </w:divBdr>
    </w:div>
    <w:div w:id="80877995">
      <w:bodyDiv w:val="1"/>
      <w:marLeft w:val="0"/>
      <w:marRight w:val="0"/>
      <w:marTop w:val="0"/>
      <w:marBottom w:val="0"/>
      <w:divBdr>
        <w:top w:val="none" w:sz="0" w:space="0" w:color="auto"/>
        <w:left w:val="none" w:sz="0" w:space="0" w:color="auto"/>
        <w:bottom w:val="none" w:sz="0" w:space="0" w:color="auto"/>
        <w:right w:val="none" w:sz="0" w:space="0" w:color="auto"/>
      </w:divBdr>
    </w:div>
    <w:div w:id="266547399">
      <w:bodyDiv w:val="1"/>
      <w:marLeft w:val="0"/>
      <w:marRight w:val="0"/>
      <w:marTop w:val="0"/>
      <w:marBottom w:val="0"/>
      <w:divBdr>
        <w:top w:val="none" w:sz="0" w:space="0" w:color="auto"/>
        <w:left w:val="none" w:sz="0" w:space="0" w:color="auto"/>
        <w:bottom w:val="none" w:sz="0" w:space="0" w:color="auto"/>
        <w:right w:val="none" w:sz="0" w:space="0" w:color="auto"/>
      </w:divBdr>
    </w:div>
    <w:div w:id="280961518">
      <w:bodyDiv w:val="1"/>
      <w:marLeft w:val="0"/>
      <w:marRight w:val="0"/>
      <w:marTop w:val="0"/>
      <w:marBottom w:val="0"/>
      <w:divBdr>
        <w:top w:val="none" w:sz="0" w:space="0" w:color="auto"/>
        <w:left w:val="none" w:sz="0" w:space="0" w:color="auto"/>
        <w:bottom w:val="none" w:sz="0" w:space="0" w:color="auto"/>
        <w:right w:val="none" w:sz="0" w:space="0" w:color="auto"/>
      </w:divBdr>
    </w:div>
    <w:div w:id="364407908">
      <w:bodyDiv w:val="1"/>
      <w:marLeft w:val="0"/>
      <w:marRight w:val="0"/>
      <w:marTop w:val="0"/>
      <w:marBottom w:val="0"/>
      <w:divBdr>
        <w:top w:val="none" w:sz="0" w:space="0" w:color="auto"/>
        <w:left w:val="none" w:sz="0" w:space="0" w:color="auto"/>
        <w:bottom w:val="none" w:sz="0" w:space="0" w:color="auto"/>
        <w:right w:val="none" w:sz="0" w:space="0" w:color="auto"/>
      </w:divBdr>
    </w:div>
    <w:div w:id="389039336">
      <w:bodyDiv w:val="1"/>
      <w:marLeft w:val="0"/>
      <w:marRight w:val="0"/>
      <w:marTop w:val="0"/>
      <w:marBottom w:val="0"/>
      <w:divBdr>
        <w:top w:val="none" w:sz="0" w:space="0" w:color="auto"/>
        <w:left w:val="none" w:sz="0" w:space="0" w:color="auto"/>
        <w:bottom w:val="none" w:sz="0" w:space="0" w:color="auto"/>
        <w:right w:val="none" w:sz="0" w:space="0" w:color="auto"/>
      </w:divBdr>
    </w:div>
    <w:div w:id="420371351">
      <w:bodyDiv w:val="1"/>
      <w:marLeft w:val="0"/>
      <w:marRight w:val="0"/>
      <w:marTop w:val="0"/>
      <w:marBottom w:val="0"/>
      <w:divBdr>
        <w:top w:val="none" w:sz="0" w:space="0" w:color="auto"/>
        <w:left w:val="none" w:sz="0" w:space="0" w:color="auto"/>
        <w:bottom w:val="none" w:sz="0" w:space="0" w:color="auto"/>
        <w:right w:val="none" w:sz="0" w:space="0" w:color="auto"/>
      </w:divBdr>
    </w:div>
    <w:div w:id="540553061">
      <w:bodyDiv w:val="1"/>
      <w:marLeft w:val="0"/>
      <w:marRight w:val="0"/>
      <w:marTop w:val="0"/>
      <w:marBottom w:val="0"/>
      <w:divBdr>
        <w:top w:val="none" w:sz="0" w:space="0" w:color="auto"/>
        <w:left w:val="none" w:sz="0" w:space="0" w:color="auto"/>
        <w:bottom w:val="none" w:sz="0" w:space="0" w:color="auto"/>
        <w:right w:val="none" w:sz="0" w:space="0" w:color="auto"/>
      </w:divBdr>
    </w:div>
    <w:div w:id="633943697">
      <w:bodyDiv w:val="1"/>
      <w:marLeft w:val="0"/>
      <w:marRight w:val="0"/>
      <w:marTop w:val="0"/>
      <w:marBottom w:val="0"/>
      <w:divBdr>
        <w:top w:val="none" w:sz="0" w:space="0" w:color="auto"/>
        <w:left w:val="none" w:sz="0" w:space="0" w:color="auto"/>
        <w:bottom w:val="none" w:sz="0" w:space="0" w:color="auto"/>
        <w:right w:val="none" w:sz="0" w:space="0" w:color="auto"/>
      </w:divBdr>
    </w:div>
    <w:div w:id="710761584">
      <w:bodyDiv w:val="1"/>
      <w:marLeft w:val="0"/>
      <w:marRight w:val="0"/>
      <w:marTop w:val="0"/>
      <w:marBottom w:val="0"/>
      <w:divBdr>
        <w:top w:val="none" w:sz="0" w:space="0" w:color="auto"/>
        <w:left w:val="none" w:sz="0" w:space="0" w:color="auto"/>
        <w:bottom w:val="none" w:sz="0" w:space="0" w:color="auto"/>
        <w:right w:val="none" w:sz="0" w:space="0" w:color="auto"/>
      </w:divBdr>
    </w:div>
    <w:div w:id="746077955">
      <w:bodyDiv w:val="1"/>
      <w:marLeft w:val="0"/>
      <w:marRight w:val="0"/>
      <w:marTop w:val="0"/>
      <w:marBottom w:val="0"/>
      <w:divBdr>
        <w:top w:val="none" w:sz="0" w:space="0" w:color="auto"/>
        <w:left w:val="none" w:sz="0" w:space="0" w:color="auto"/>
        <w:bottom w:val="none" w:sz="0" w:space="0" w:color="auto"/>
        <w:right w:val="none" w:sz="0" w:space="0" w:color="auto"/>
      </w:divBdr>
    </w:div>
    <w:div w:id="765462927">
      <w:bodyDiv w:val="1"/>
      <w:marLeft w:val="0"/>
      <w:marRight w:val="0"/>
      <w:marTop w:val="0"/>
      <w:marBottom w:val="0"/>
      <w:divBdr>
        <w:top w:val="none" w:sz="0" w:space="0" w:color="auto"/>
        <w:left w:val="none" w:sz="0" w:space="0" w:color="auto"/>
        <w:bottom w:val="none" w:sz="0" w:space="0" w:color="auto"/>
        <w:right w:val="none" w:sz="0" w:space="0" w:color="auto"/>
      </w:divBdr>
    </w:div>
    <w:div w:id="802036548">
      <w:bodyDiv w:val="1"/>
      <w:marLeft w:val="0"/>
      <w:marRight w:val="0"/>
      <w:marTop w:val="0"/>
      <w:marBottom w:val="0"/>
      <w:divBdr>
        <w:top w:val="none" w:sz="0" w:space="0" w:color="auto"/>
        <w:left w:val="none" w:sz="0" w:space="0" w:color="auto"/>
        <w:bottom w:val="none" w:sz="0" w:space="0" w:color="auto"/>
        <w:right w:val="none" w:sz="0" w:space="0" w:color="auto"/>
      </w:divBdr>
    </w:div>
    <w:div w:id="860052902">
      <w:bodyDiv w:val="1"/>
      <w:marLeft w:val="0"/>
      <w:marRight w:val="0"/>
      <w:marTop w:val="0"/>
      <w:marBottom w:val="0"/>
      <w:divBdr>
        <w:top w:val="none" w:sz="0" w:space="0" w:color="auto"/>
        <w:left w:val="none" w:sz="0" w:space="0" w:color="auto"/>
        <w:bottom w:val="none" w:sz="0" w:space="0" w:color="auto"/>
        <w:right w:val="none" w:sz="0" w:space="0" w:color="auto"/>
      </w:divBdr>
    </w:div>
    <w:div w:id="923952810">
      <w:bodyDiv w:val="1"/>
      <w:marLeft w:val="0"/>
      <w:marRight w:val="0"/>
      <w:marTop w:val="0"/>
      <w:marBottom w:val="0"/>
      <w:divBdr>
        <w:top w:val="none" w:sz="0" w:space="0" w:color="auto"/>
        <w:left w:val="none" w:sz="0" w:space="0" w:color="auto"/>
        <w:bottom w:val="none" w:sz="0" w:space="0" w:color="auto"/>
        <w:right w:val="none" w:sz="0" w:space="0" w:color="auto"/>
      </w:divBdr>
    </w:div>
    <w:div w:id="942498818">
      <w:bodyDiv w:val="1"/>
      <w:marLeft w:val="0"/>
      <w:marRight w:val="0"/>
      <w:marTop w:val="0"/>
      <w:marBottom w:val="0"/>
      <w:divBdr>
        <w:top w:val="none" w:sz="0" w:space="0" w:color="auto"/>
        <w:left w:val="none" w:sz="0" w:space="0" w:color="auto"/>
        <w:bottom w:val="none" w:sz="0" w:space="0" w:color="auto"/>
        <w:right w:val="none" w:sz="0" w:space="0" w:color="auto"/>
      </w:divBdr>
    </w:div>
    <w:div w:id="1012532513">
      <w:bodyDiv w:val="1"/>
      <w:marLeft w:val="0"/>
      <w:marRight w:val="0"/>
      <w:marTop w:val="0"/>
      <w:marBottom w:val="0"/>
      <w:divBdr>
        <w:top w:val="none" w:sz="0" w:space="0" w:color="auto"/>
        <w:left w:val="none" w:sz="0" w:space="0" w:color="auto"/>
        <w:bottom w:val="none" w:sz="0" w:space="0" w:color="auto"/>
        <w:right w:val="none" w:sz="0" w:space="0" w:color="auto"/>
      </w:divBdr>
    </w:div>
    <w:div w:id="1107895559">
      <w:bodyDiv w:val="1"/>
      <w:marLeft w:val="0"/>
      <w:marRight w:val="0"/>
      <w:marTop w:val="0"/>
      <w:marBottom w:val="0"/>
      <w:divBdr>
        <w:top w:val="none" w:sz="0" w:space="0" w:color="auto"/>
        <w:left w:val="none" w:sz="0" w:space="0" w:color="auto"/>
        <w:bottom w:val="none" w:sz="0" w:space="0" w:color="auto"/>
        <w:right w:val="none" w:sz="0" w:space="0" w:color="auto"/>
      </w:divBdr>
    </w:div>
    <w:div w:id="1271550767">
      <w:bodyDiv w:val="1"/>
      <w:marLeft w:val="0"/>
      <w:marRight w:val="0"/>
      <w:marTop w:val="0"/>
      <w:marBottom w:val="0"/>
      <w:divBdr>
        <w:top w:val="none" w:sz="0" w:space="0" w:color="auto"/>
        <w:left w:val="none" w:sz="0" w:space="0" w:color="auto"/>
        <w:bottom w:val="none" w:sz="0" w:space="0" w:color="auto"/>
        <w:right w:val="none" w:sz="0" w:space="0" w:color="auto"/>
      </w:divBdr>
    </w:div>
    <w:div w:id="1359426832">
      <w:bodyDiv w:val="1"/>
      <w:marLeft w:val="0"/>
      <w:marRight w:val="0"/>
      <w:marTop w:val="0"/>
      <w:marBottom w:val="0"/>
      <w:divBdr>
        <w:top w:val="none" w:sz="0" w:space="0" w:color="auto"/>
        <w:left w:val="none" w:sz="0" w:space="0" w:color="auto"/>
        <w:bottom w:val="none" w:sz="0" w:space="0" w:color="auto"/>
        <w:right w:val="none" w:sz="0" w:space="0" w:color="auto"/>
      </w:divBdr>
    </w:div>
    <w:div w:id="1381828622">
      <w:bodyDiv w:val="1"/>
      <w:marLeft w:val="0"/>
      <w:marRight w:val="0"/>
      <w:marTop w:val="0"/>
      <w:marBottom w:val="0"/>
      <w:divBdr>
        <w:top w:val="none" w:sz="0" w:space="0" w:color="auto"/>
        <w:left w:val="none" w:sz="0" w:space="0" w:color="auto"/>
        <w:bottom w:val="none" w:sz="0" w:space="0" w:color="auto"/>
        <w:right w:val="none" w:sz="0" w:space="0" w:color="auto"/>
      </w:divBdr>
    </w:div>
    <w:div w:id="1416979501">
      <w:bodyDiv w:val="1"/>
      <w:marLeft w:val="0"/>
      <w:marRight w:val="0"/>
      <w:marTop w:val="0"/>
      <w:marBottom w:val="0"/>
      <w:divBdr>
        <w:top w:val="none" w:sz="0" w:space="0" w:color="auto"/>
        <w:left w:val="none" w:sz="0" w:space="0" w:color="auto"/>
        <w:bottom w:val="none" w:sz="0" w:space="0" w:color="auto"/>
        <w:right w:val="none" w:sz="0" w:space="0" w:color="auto"/>
      </w:divBdr>
    </w:div>
    <w:div w:id="1419209456">
      <w:bodyDiv w:val="1"/>
      <w:marLeft w:val="0"/>
      <w:marRight w:val="0"/>
      <w:marTop w:val="0"/>
      <w:marBottom w:val="0"/>
      <w:divBdr>
        <w:top w:val="none" w:sz="0" w:space="0" w:color="auto"/>
        <w:left w:val="none" w:sz="0" w:space="0" w:color="auto"/>
        <w:bottom w:val="none" w:sz="0" w:space="0" w:color="auto"/>
        <w:right w:val="none" w:sz="0" w:space="0" w:color="auto"/>
      </w:divBdr>
    </w:div>
    <w:div w:id="1674186473">
      <w:bodyDiv w:val="1"/>
      <w:marLeft w:val="0"/>
      <w:marRight w:val="0"/>
      <w:marTop w:val="0"/>
      <w:marBottom w:val="0"/>
      <w:divBdr>
        <w:top w:val="none" w:sz="0" w:space="0" w:color="auto"/>
        <w:left w:val="none" w:sz="0" w:space="0" w:color="auto"/>
        <w:bottom w:val="none" w:sz="0" w:space="0" w:color="auto"/>
        <w:right w:val="none" w:sz="0" w:space="0" w:color="auto"/>
      </w:divBdr>
    </w:div>
    <w:div w:id="1691446926">
      <w:bodyDiv w:val="1"/>
      <w:marLeft w:val="0"/>
      <w:marRight w:val="0"/>
      <w:marTop w:val="0"/>
      <w:marBottom w:val="0"/>
      <w:divBdr>
        <w:top w:val="none" w:sz="0" w:space="0" w:color="auto"/>
        <w:left w:val="none" w:sz="0" w:space="0" w:color="auto"/>
        <w:bottom w:val="none" w:sz="0" w:space="0" w:color="auto"/>
        <w:right w:val="none" w:sz="0" w:space="0" w:color="auto"/>
      </w:divBdr>
    </w:div>
    <w:div w:id="2028092523">
      <w:bodyDiv w:val="1"/>
      <w:marLeft w:val="0"/>
      <w:marRight w:val="0"/>
      <w:marTop w:val="0"/>
      <w:marBottom w:val="0"/>
      <w:divBdr>
        <w:top w:val="none" w:sz="0" w:space="0" w:color="auto"/>
        <w:left w:val="none" w:sz="0" w:space="0" w:color="auto"/>
        <w:bottom w:val="none" w:sz="0" w:space="0" w:color="auto"/>
        <w:right w:val="none" w:sz="0" w:space="0" w:color="auto"/>
      </w:divBdr>
    </w:div>
    <w:div w:id="2031300869">
      <w:bodyDiv w:val="1"/>
      <w:marLeft w:val="0"/>
      <w:marRight w:val="0"/>
      <w:marTop w:val="0"/>
      <w:marBottom w:val="0"/>
      <w:divBdr>
        <w:top w:val="none" w:sz="0" w:space="0" w:color="auto"/>
        <w:left w:val="none" w:sz="0" w:space="0" w:color="auto"/>
        <w:bottom w:val="none" w:sz="0" w:space="0" w:color="auto"/>
        <w:right w:val="none" w:sz="0" w:space="0" w:color="auto"/>
      </w:divBdr>
    </w:div>
    <w:div w:id="2051030119">
      <w:bodyDiv w:val="1"/>
      <w:marLeft w:val="0"/>
      <w:marRight w:val="0"/>
      <w:marTop w:val="0"/>
      <w:marBottom w:val="0"/>
      <w:divBdr>
        <w:top w:val="none" w:sz="0" w:space="0" w:color="auto"/>
        <w:left w:val="none" w:sz="0" w:space="0" w:color="auto"/>
        <w:bottom w:val="none" w:sz="0" w:space="0" w:color="auto"/>
        <w:right w:val="none" w:sz="0" w:space="0" w:color="auto"/>
      </w:divBdr>
    </w:div>
    <w:div w:id="2137868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Smi56</b:Tag>
    <b:SourceType>Misc</b:SourceType>
    <b:Guid>{38F6924B-5611-4E8F-BE77-10072E86BB03}</b:Guid>
    <b:Title>The decorative art of Neolithic ceramics in south-eastern England and its relations</b:Title>
    <b:Year>1956</b:Year>
    <b:Publisher>University of London</b:Publisher>
    <b:Author>
      <b:Author>
        <b:NameList>
          <b:Person>
            <b:Last>Smith</b:Last>
            <b:First>Isobel</b:First>
            <b:Middle>Foster.</b:Middle>
          </b:Person>
        </b:NameList>
      </b:Author>
    </b:Author>
    <b:City>Ph. D</b:City>
    <b:RefOrder>1</b:RefOrder>
  </b:Source>
  <b:Source>
    <b:Tag>Bro01</b:Tag>
    <b:SourceType>BookSection</b:SourceType>
    <b:Guid>{00A7F623-6B58-4D19-8E7D-6EC5738F10A2}</b:Guid>
    <b:Author>
      <b:Author>
        <b:NameList>
          <b:Person>
            <b:Last>Preece</b:Last>
            <b:First>R.</b:First>
            <b:Middle>C.</b:Middle>
          </b:Person>
        </b:NameList>
      </b:Author>
      <b:Editor>
        <b:NameList>
          <b:Person>
            <b:Last>Brothwell</b:Last>
            <b:First>D.</b:First>
            <b:Middle>R.</b:Middle>
          </b:Person>
          <b:Person>
            <b:Last>Pollard</b:Last>
            <b:First>A.</b:First>
            <b:Middle>M.</b:Middle>
          </b:Person>
        </b:NameList>
      </b:Editor>
    </b:Author>
    <b:Title>Non-Marine Mollusca and Archaeology</b:Title>
    <b:Year>2001</b:Year>
    <b:City>Chichester</b:City>
    <b:Publisher>John Wiley &amp; Sons, Ltd.</b:Publisher>
    <b:BookTitle>Handbook of Archaeological Sciences.</b:BookTitle>
    <b:Pages>135-143</b:Pages>
    <b:RefOrder>3</b:RefOrder>
  </b:Source>
  <b:Source>
    <b:Tag>Placeholder1</b:Tag>
    <b:SourceType>Book</b:SourceType>
    <b:Guid>{337B3E24-A2EB-4CD0-AF1C-E836F9CC4C53}</b:Guid>
    <b:Title>Enviromental Archaeology. Approaches. Techniques &amp; Applications.</b:Title>
    <b:Year>2003</b:Year>
    <b:City>Wiltshire</b:City>
    <b:Publisher>Tempus Publishing Ltd.</b:Publisher>
    <b:Author>
      <b:Author>
        <b:NameList>
          <b:Person>
            <b:Last>Wilkinson</b:Last>
            <b:First>Kieth</b:First>
          </b:Person>
          <b:Person>
            <b:Last>Stevens</b:Last>
            <b:First>Chris</b:First>
          </b:Person>
        </b:NameList>
      </b:Author>
    </b:Author>
    <b:RefOrder>4</b:RefOrder>
  </b:Source>
  <b:Source>
    <b:Tag>All17</b:Tag>
    <b:SourceType>BookSection</b:SourceType>
    <b:Guid>{C35433D9-8CE5-4C51-9DE4-EBFB3D613837}</b:Guid>
    <b:Title>Landsnails in Archaeology</b:Title>
    <b:Year>2017</b:Year>
    <b:City>Oxford</b:City>
    <b:Publisher>Oxbow</b:Publisher>
    <b:BookTitle>Molluscs in Archaeology. Methods, approaches and applications</b:BookTitle>
    <b:Pages>6-29</b:Pages>
    <b:Author>
      <b:Author>
        <b:NameList>
          <b:Person>
            <b:Last>Allen</b:Last>
            <b:Middle>J</b:Middle>
            <b:First>M</b:First>
          </b:Person>
        </b:NameList>
      </b:Author>
      <b:Editor>
        <b:NameList>
          <b:Person>
            <b:Last>Allen</b:Last>
            <b:First>M.</b:First>
            <b:Middle>J.</b:Middle>
          </b:Person>
        </b:NameList>
      </b:Editor>
    </b:Author>
    <b:RefOrder>6</b:RefOrder>
  </b:Source>
  <b:Source>
    <b:Tag>All171</b:Tag>
    <b:SourceType>BookSection</b:SourceType>
    <b:Guid>{D73717CE-8073-4AA6-8699-92BD0254CCFC}</b:Guid>
    <b:Author>
      <b:Author>
        <b:NameList>
          <b:Person>
            <b:Last>Allen</b:Last>
            <b:First>M.</b:First>
            <b:Middle>J.</b:Middle>
          </b:Person>
        </b:NameList>
      </b:Author>
      <b:Editor>
        <b:NameList>
          <b:Person>
            <b:Last>Allen</b:Last>
            <b:First>M.</b:First>
            <b:Middle>J.</b:Middle>
          </b:Person>
        </b:NameList>
      </b:Editor>
    </b:Author>
    <b:Title>The geoarchaeolgy of context: sampling for land snails (on archaeolocial sites and colluvium)</b:Title>
    <b:BookTitle>Molluscs in Archaeology. Methods, approaches and applications</b:BookTitle>
    <b:Year>2017</b:Year>
    <b:Pages>30-47</b:Pages>
    <b:City>Oxford</b:City>
    <b:Publisher>Oxbow Books</b:Publisher>
    <b:RefOrder>7</b:RefOrder>
  </b:Source>
  <b:Source>
    <b:Tag>All172</b:Tag>
    <b:SourceType>BookSection</b:SourceType>
    <b:Guid>{E3110D23-58D7-4609-8856-3B8234B12502}</b:Guid>
    <b:Author>
      <b:Author>
        <b:NameList>
          <b:Person>
            <b:Last>Allen</b:Last>
            <b:First>M.</b:First>
            <b:Middle>J.</b:Middle>
          </b:Person>
        </b:NameList>
      </b:Author>
      <b:Editor>
        <b:NameList>
          <b:Person>
            <b:Last>Allen</b:Last>
            <b:First>M.</b:First>
            <b:Middle>J.</b:Middle>
          </b:Person>
        </b:NameList>
      </b:Editor>
    </b:Author>
    <b:Title>The Southern English chalklands: molluscan evidence for nature of the post-glacial woodland cover</b:Title>
    <b:BookTitle>Molluscs in Archaeology. Methods, approaches and applications</b:BookTitle>
    <b:Year>2017</b:Year>
    <b:Pages>144-164</b:Pages>
    <b:City>Oxford</b:City>
    <b:Publisher>Oxbow Books</b:Publisher>
    <b:RefOrder>5</b:RefOrder>
  </b:Source>
  <b:Source>
    <b:Tag>Placeholder3</b:Tag>
    <b:SourceType>Book</b:SourceType>
    <b:Guid>{FCBFA565-E0CD-4053-A850-138AA5F6A084}</b:Guid>
    <b:Title>Archaeology, Theories, Methods and Practice.</b:Title>
    <b:Year>2016</b:Year>
    <b:City>London</b:City>
    <b:Publisher>Thames &amp; Hudson</b:Publisher>
    <b:Author>
      <b:Author>
        <b:NameList>
          <b:Person>
            <b:Last>Renfrew</b:Last>
            <b:First>Colin</b:First>
          </b:Person>
          <b:Person>
            <b:Last>Bahn</b:Last>
            <b:First>Paul</b:First>
          </b:Person>
        </b:NameList>
      </b:Author>
    </b:Author>
    <b:Edition>7</b:Edition>
    <b:RefOrder>2</b:RefOrder>
  </b:Source>
  <b:Source>
    <b:Tag>OCo05</b:Tag>
    <b:SourceType>Book</b:SourceType>
    <b:Guid>{B29032BA-B540-422C-B323-32D42E34164B}</b:Guid>
    <b:Title>Eviromental Archaeology. Principles and methods.</b:Title>
    <b:Year>2005</b:Year>
    <b:City>Sparkford</b:City>
    <b:Publisher>Sutton Publishing Limited</b:Publisher>
    <b:Edition>2nd</b:Edition>
    <b:Author>
      <b:Author>
        <b:NameList>
          <b:Person>
            <b:Last>O'Connor </b:Last>
            <b:First>Terry</b:First>
          </b:Person>
          <b:Person>
            <b:Last>Evans</b:Last>
            <b:Middle>G.</b:Middle>
            <b:First>John</b:First>
          </b:Person>
        </b:NameList>
      </b:Author>
    </b:Author>
    <b:RefOrder>8</b:RefOrder>
  </b:Source>
</b:Sources>
</file>

<file path=customXml/itemProps1.xml><?xml version="1.0" encoding="utf-8"?>
<ds:datastoreItem xmlns:ds="http://schemas.openxmlformats.org/officeDocument/2006/customXml" ds:itemID="{27483FC7-7B16-42AA-B626-2196BBF4F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1232</Words>
  <Characters>7023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Mattie Bennett</dc:creator>
  <cp:keywords/>
  <dc:description/>
  <cp:lastModifiedBy>Mattie Bennett</cp:lastModifiedBy>
  <cp:revision>2</cp:revision>
  <dcterms:created xsi:type="dcterms:W3CDTF">2018-03-29T17:21:00Z</dcterms:created>
  <dcterms:modified xsi:type="dcterms:W3CDTF">2018-03-29T17:21:00Z</dcterms:modified>
</cp:coreProperties>
</file>