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CD3F92" w14:textId="62B62C86" w:rsidR="00430195" w:rsidRDefault="00430195"/>
    <w:p w14:paraId="69C136F1" w14:textId="621BA52C" w:rsidR="00430195" w:rsidRDefault="515D1E22">
      <w:r>
        <w:rPr>
          <w:noProof/>
        </w:rPr>
        <w:drawing>
          <wp:inline distT="0" distB="0" distL="0" distR="0" wp14:anchorId="1473AC61" wp14:editId="53484845">
            <wp:extent cx="1809750" cy="723900"/>
            <wp:effectExtent l="0" t="0" r="0" b="0"/>
            <wp:docPr id="1897139994" name="drawing" title="Discover University of Wales Trinity Saint David">
              <a:extLst xmlns:a="http://schemas.openxmlformats.org/drawingml/2006/main">
                <a:ext uri="{FF2B5EF4-FFF2-40B4-BE49-F238E27FC236}">
                  <a16:creationId xmlns:a16="http://schemas.microsoft.com/office/drawing/2014/main" id="{F5F9C5CC-A4A3-4658-ACDD-21150FB982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139994" name="Picture 1897139994"/>
                    <pic:cNvPicPr/>
                  </pic:nvPicPr>
                  <pic:blipFill>
                    <a:blip r:embed="rId6">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00B67F55">
        <w:br/>
      </w:r>
      <w:r w:rsidR="00B67F55">
        <w:br/>
      </w:r>
      <w:r w:rsidR="00B67F55">
        <w:br/>
      </w:r>
      <w:r w:rsidR="00B67F55">
        <w:br/>
      </w:r>
    </w:p>
    <w:p w14:paraId="5AF7ADBC" w14:textId="6DC9BD91" w:rsidR="00430195" w:rsidRDefault="515D1E22" w:rsidP="29DD6CAC">
      <w:r w:rsidRPr="29DD6CAC">
        <w:rPr>
          <w:rFonts w:ascii="Arial" w:eastAsia="Arial" w:hAnsi="Arial" w:cs="Arial"/>
          <w:b/>
          <w:bCs/>
          <w:color w:val="000000" w:themeColor="text1"/>
          <w:sz w:val="28"/>
          <w:szCs w:val="28"/>
        </w:rPr>
        <w:t xml:space="preserve">Student name: </w:t>
      </w:r>
      <w:r w:rsidRPr="29DD6CAC">
        <w:rPr>
          <w:rFonts w:ascii="Arial" w:eastAsia="Arial" w:hAnsi="Arial" w:cs="Arial"/>
          <w:color w:val="000000" w:themeColor="text1"/>
          <w:sz w:val="28"/>
          <w:szCs w:val="28"/>
        </w:rPr>
        <w:t xml:space="preserve">Alexandra Elena Chiran </w:t>
      </w:r>
    </w:p>
    <w:p w14:paraId="652F0612" w14:textId="0322135A" w:rsidR="00430195" w:rsidRDefault="515D1E22" w:rsidP="29DD6CAC">
      <w:r w:rsidRPr="29DD6CAC">
        <w:rPr>
          <w:rFonts w:ascii="Arial" w:eastAsia="Arial" w:hAnsi="Arial" w:cs="Arial"/>
          <w:b/>
          <w:bCs/>
          <w:color w:val="000000" w:themeColor="text1"/>
          <w:sz w:val="28"/>
          <w:szCs w:val="28"/>
        </w:rPr>
        <w:t>Student ID</w:t>
      </w:r>
      <w:r w:rsidRPr="29DD6CAC">
        <w:rPr>
          <w:rFonts w:ascii="Arial" w:eastAsia="Arial" w:hAnsi="Arial" w:cs="Arial"/>
          <w:color w:val="000000" w:themeColor="text1"/>
          <w:sz w:val="28"/>
          <w:szCs w:val="28"/>
        </w:rPr>
        <w:t>:2410882</w:t>
      </w:r>
    </w:p>
    <w:p w14:paraId="5F7EBAF1" w14:textId="65489B6E" w:rsidR="00430195" w:rsidRDefault="00430195"/>
    <w:p w14:paraId="6C6661D0" w14:textId="1F81C98E" w:rsidR="00430195" w:rsidRDefault="515D1E22" w:rsidP="29DD6CAC">
      <w:r w:rsidRPr="29DD6CAC">
        <w:rPr>
          <w:rFonts w:ascii="Arial" w:eastAsia="Arial" w:hAnsi="Arial" w:cs="Arial"/>
          <w:b/>
          <w:bCs/>
          <w:color w:val="000000" w:themeColor="text1"/>
          <w:sz w:val="28"/>
          <w:szCs w:val="28"/>
        </w:rPr>
        <w:t>Module name</w:t>
      </w:r>
      <w:r w:rsidRPr="29DD6CAC">
        <w:rPr>
          <w:rFonts w:ascii="Arial" w:eastAsia="Arial" w:hAnsi="Arial" w:cs="Arial"/>
          <w:color w:val="000000" w:themeColor="text1"/>
          <w:sz w:val="28"/>
          <w:szCs w:val="28"/>
        </w:rPr>
        <w:t xml:space="preserve">: Principles of Health and Social Care Practice </w:t>
      </w:r>
    </w:p>
    <w:p w14:paraId="0EC3B411" w14:textId="3B48875C" w:rsidR="00430195" w:rsidRDefault="515D1E22" w:rsidP="29DD6CAC">
      <w:r w:rsidRPr="29DD6CAC">
        <w:rPr>
          <w:rFonts w:ascii="Arial" w:eastAsia="Arial" w:hAnsi="Arial" w:cs="Arial"/>
          <w:b/>
          <w:bCs/>
          <w:color w:val="000000" w:themeColor="text1"/>
          <w:sz w:val="28"/>
          <w:szCs w:val="28"/>
        </w:rPr>
        <w:t>Module code</w:t>
      </w:r>
      <w:r w:rsidRPr="29DD6CAC">
        <w:rPr>
          <w:rFonts w:ascii="Arial" w:eastAsia="Arial" w:hAnsi="Arial" w:cs="Arial"/>
          <w:color w:val="000000" w:themeColor="text1"/>
          <w:sz w:val="28"/>
          <w:szCs w:val="28"/>
        </w:rPr>
        <w:t>: BMHP5016</w:t>
      </w:r>
    </w:p>
    <w:p w14:paraId="381EB83F" w14:textId="527E5619" w:rsidR="00430195" w:rsidRDefault="515D1E22" w:rsidP="29DD6CAC">
      <w:r w:rsidRPr="2F5676DA">
        <w:rPr>
          <w:rFonts w:ascii="Arial" w:eastAsia="Arial" w:hAnsi="Arial" w:cs="Arial"/>
          <w:b/>
          <w:bCs/>
          <w:color w:val="000000" w:themeColor="text1"/>
          <w:sz w:val="28"/>
          <w:szCs w:val="28"/>
        </w:rPr>
        <w:t>Lecturer name</w:t>
      </w:r>
      <w:r w:rsidRPr="2F5676DA">
        <w:rPr>
          <w:rFonts w:ascii="Arial" w:eastAsia="Arial" w:hAnsi="Arial" w:cs="Arial"/>
          <w:color w:val="000000" w:themeColor="text1"/>
          <w:sz w:val="28"/>
          <w:szCs w:val="28"/>
        </w:rPr>
        <w:t xml:space="preserve">: Mark Kane </w:t>
      </w:r>
    </w:p>
    <w:p w14:paraId="500FE461" w14:textId="7934625D" w:rsidR="2F5676DA" w:rsidRDefault="2F5676DA" w:rsidP="2F5676DA">
      <w:pPr>
        <w:rPr>
          <w:rFonts w:ascii="Arial" w:eastAsia="Arial" w:hAnsi="Arial" w:cs="Arial"/>
          <w:color w:val="000000" w:themeColor="text1"/>
          <w:sz w:val="28"/>
          <w:szCs w:val="28"/>
        </w:rPr>
      </w:pPr>
    </w:p>
    <w:p w14:paraId="76620383" w14:textId="528FF8D8" w:rsidR="00430195" w:rsidRDefault="00430195" w:rsidP="29DD6CAC">
      <w:pPr>
        <w:rPr>
          <w:rFonts w:ascii="Arial" w:eastAsia="Arial" w:hAnsi="Arial" w:cs="Arial"/>
          <w:color w:val="000000" w:themeColor="text1"/>
          <w:sz w:val="28"/>
          <w:szCs w:val="28"/>
        </w:rPr>
      </w:pPr>
    </w:p>
    <w:p w14:paraId="2219BEAE" w14:textId="10B01B87" w:rsidR="00430195" w:rsidRDefault="00430195"/>
    <w:p w14:paraId="5E5787A5" w14:textId="507F9229" w:rsidR="00430195" w:rsidRDefault="6D7FF8AF">
      <w:r>
        <w:t xml:space="preserve">  </w:t>
      </w:r>
    </w:p>
    <w:p w14:paraId="62529622" w14:textId="786CE8DA" w:rsidR="29DD6CAC" w:rsidRDefault="29DD6CAC"/>
    <w:p w14:paraId="39D6BF38" w14:textId="712554BA" w:rsidR="29DD6CAC" w:rsidRDefault="29DD6CAC"/>
    <w:p w14:paraId="3BED645C" w14:textId="060D30D3" w:rsidR="29DD6CAC" w:rsidRDefault="29DD6CAC"/>
    <w:p w14:paraId="153B2243" w14:textId="60B26D96" w:rsidR="29DD6CAC" w:rsidRDefault="29DD6CAC"/>
    <w:p w14:paraId="274BEA48" w14:textId="55CE1A50" w:rsidR="29DD6CAC" w:rsidRDefault="29DD6CAC"/>
    <w:p w14:paraId="2DB5140A" w14:textId="6E98C766" w:rsidR="29DD6CAC" w:rsidRDefault="29DD6CAC"/>
    <w:p w14:paraId="03BA44A3" w14:textId="10C0A77A" w:rsidR="29DD6CAC" w:rsidRDefault="29DD6CAC"/>
    <w:p w14:paraId="7C0EFDF6" w14:textId="74CFD3BB" w:rsidR="29DD6CAC" w:rsidRDefault="29DD6CAC"/>
    <w:p w14:paraId="5E2F877F" w14:textId="0A06D71D" w:rsidR="29DD6CAC" w:rsidRDefault="29DD6CAC"/>
    <w:p w14:paraId="2FA07F53" w14:textId="3241FB0F" w:rsidR="29DD6CAC" w:rsidRDefault="29DD6CAC"/>
    <w:p w14:paraId="69FD15D4" w14:textId="48C5D23C" w:rsidR="00481494" w:rsidRDefault="352031CF" w:rsidP="2F5676DA">
      <w:pPr>
        <w:spacing w:after="0" w:line="360" w:lineRule="auto"/>
        <w:rPr>
          <w:sz w:val="22"/>
          <w:szCs w:val="22"/>
        </w:rPr>
      </w:pPr>
      <w:r w:rsidRPr="2F5676DA">
        <w:rPr>
          <w:sz w:val="22"/>
          <w:szCs w:val="22"/>
        </w:rPr>
        <w:t xml:space="preserve">The social model of disability </w:t>
      </w:r>
      <w:r w:rsidR="00AE5421" w:rsidRPr="2F5676DA">
        <w:rPr>
          <w:sz w:val="22"/>
          <w:szCs w:val="22"/>
        </w:rPr>
        <w:t>stands for</w:t>
      </w:r>
      <w:r w:rsidR="44FA3EAD" w:rsidRPr="2F5676DA">
        <w:rPr>
          <w:sz w:val="22"/>
          <w:szCs w:val="22"/>
        </w:rPr>
        <w:t xml:space="preserve"> a major </w:t>
      </w:r>
      <w:r w:rsidR="1111EC3D" w:rsidRPr="2F5676DA">
        <w:rPr>
          <w:sz w:val="22"/>
          <w:szCs w:val="22"/>
        </w:rPr>
        <w:t>transformation</w:t>
      </w:r>
      <w:r w:rsidR="44FA3EAD" w:rsidRPr="2F5676DA">
        <w:rPr>
          <w:sz w:val="22"/>
          <w:szCs w:val="22"/>
        </w:rPr>
        <w:t xml:space="preserve"> in </w:t>
      </w:r>
      <w:r w:rsidR="0C14B8C6" w:rsidRPr="2F5676DA">
        <w:rPr>
          <w:sz w:val="22"/>
          <w:szCs w:val="22"/>
        </w:rPr>
        <w:t xml:space="preserve">the way </w:t>
      </w:r>
      <w:r w:rsidR="458B3060" w:rsidRPr="2F5676DA">
        <w:rPr>
          <w:sz w:val="22"/>
          <w:szCs w:val="22"/>
        </w:rPr>
        <w:t>that disability</w:t>
      </w:r>
      <w:r w:rsidR="44FA3EAD" w:rsidRPr="2F5676DA">
        <w:rPr>
          <w:sz w:val="22"/>
          <w:szCs w:val="22"/>
        </w:rPr>
        <w:t xml:space="preserve"> </w:t>
      </w:r>
      <w:r w:rsidR="1FB41EB1" w:rsidRPr="2F5676DA">
        <w:rPr>
          <w:sz w:val="22"/>
          <w:szCs w:val="22"/>
        </w:rPr>
        <w:t xml:space="preserve">is </w:t>
      </w:r>
      <w:r w:rsidR="3F5E03B7" w:rsidRPr="2F5676DA">
        <w:rPr>
          <w:sz w:val="22"/>
          <w:szCs w:val="22"/>
        </w:rPr>
        <w:t xml:space="preserve">understood, going from considering disability as an individual’s defect </w:t>
      </w:r>
      <w:r w:rsidR="144FA52E" w:rsidRPr="2F5676DA">
        <w:rPr>
          <w:sz w:val="22"/>
          <w:szCs w:val="22"/>
        </w:rPr>
        <w:t>to recognising it as a socially produced issue. This model, which</w:t>
      </w:r>
      <w:r w:rsidR="1F5D0198" w:rsidRPr="2F5676DA">
        <w:rPr>
          <w:sz w:val="22"/>
          <w:szCs w:val="22"/>
        </w:rPr>
        <w:t xml:space="preserve"> was created as a</w:t>
      </w:r>
      <w:r w:rsidR="2DE2F55A" w:rsidRPr="2F5676DA">
        <w:rPr>
          <w:sz w:val="22"/>
          <w:szCs w:val="22"/>
        </w:rPr>
        <w:t xml:space="preserve">n alternative perspective to the </w:t>
      </w:r>
      <w:r w:rsidR="789A91B7" w:rsidRPr="2F5676DA">
        <w:rPr>
          <w:sz w:val="22"/>
          <w:szCs w:val="22"/>
        </w:rPr>
        <w:t xml:space="preserve">existing medical model, </w:t>
      </w:r>
      <w:r w:rsidR="38010815" w:rsidRPr="2F5676DA">
        <w:rPr>
          <w:sz w:val="22"/>
          <w:szCs w:val="22"/>
        </w:rPr>
        <w:t xml:space="preserve">claims that societal </w:t>
      </w:r>
      <w:r w:rsidR="4CADC6DA" w:rsidRPr="2F5676DA">
        <w:rPr>
          <w:sz w:val="22"/>
          <w:szCs w:val="22"/>
        </w:rPr>
        <w:t xml:space="preserve">barriers, mindsets, and institutions that prevent people from fully taking part in </w:t>
      </w:r>
      <w:r w:rsidR="550AA871" w:rsidRPr="2F5676DA">
        <w:rPr>
          <w:sz w:val="22"/>
          <w:szCs w:val="22"/>
        </w:rPr>
        <w:t>community are what lead people to be disabled rather than their impairment (Oliver, 2013).</w:t>
      </w:r>
      <w:r w:rsidR="76CD2997" w:rsidRPr="2F5676DA">
        <w:rPr>
          <w:sz w:val="22"/>
          <w:szCs w:val="22"/>
        </w:rPr>
        <w:t xml:space="preserve"> </w:t>
      </w:r>
      <w:r w:rsidR="6BE2A229" w:rsidRPr="2F5676DA">
        <w:rPr>
          <w:sz w:val="22"/>
          <w:szCs w:val="22"/>
        </w:rPr>
        <w:t xml:space="preserve">The social model </w:t>
      </w:r>
      <w:r w:rsidR="210681FC" w:rsidRPr="2F5676DA">
        <w:rPr>
          <w:sz w:val="22"/>
          <w:szCs w:val="22"/>
        </w:rPr>
        <w:t>matches fundamentally with person</w:t>
      </w:r>
      <w:r w:rsidR="7B90CB6E" w:rsidRPr="2F5676DA">
        <w:rPr>
          <w:sz w:val="22"/>
          <w:szCs w:val="22"/>
        </w:rPr>
        <w:t>-c</w:t>
      </w:r>
      <w:r w:rsidR="210681FC" w:rsidRPr="2F5676DA">
        <w:rPr>
          <w:sz w:val="22"/>
          <w:szCs w:val="22"/>
        </w:rPr>
        <w:t xml:space="preserve">entred </w:t>
      </w:r>
      <w:r w:rsidR="16BC3326" w:rsidRPr="2F5676DA">
        <w:rPr>
          <w:sz w:val="22"/>
          <w:szCs w:val="22"/>
        </w:rPr>
        <w:t>care values which prioritises</w:t>
      </w:r>
      <w:r w:rsidR="23087588" w:rsidRPr="2F5676DA">
        <w:rPr>
          <w:sz w:val="22"/>
          <w:szCs w:val="22"/>
        </w:rPr>
        <w:t xml:space="preserve"> i</w:t>
      </w:r>
      <w:r w:rsidR="16BC3326" w:rsidRPr="2F5676DA">
        <w:rPr>
          <w:sz w:val="22"/>
          <w:szCs w:val="22"/>
        </w:rPr>
        <w:t>nd</w:t>
      </w:r>
      <w:r w:rsidR="3FD6FA0A" w:rsidRPr="2F5676DA">
        <w:rPr>
          <w:sz w:val="22"/>
          <w:szCs w:val="22"/>
        </w:rPr>
        <w:t>e</w:t>
      </w:r>
      <w:r w:rsidR="16BC3326" w:rsidRPr="2F5676DA">
        <w:rPr>
          <w:sz w:val="22"/>
          <w:szCs w:val="22"/>
        </w:rPr>
        <w:t>pendence</w:t>
      </w:r>
      <w:r w:rsidR="60BF972D" w:rsidRPr="2F5676DA">
        <w:rPr>
          <w:sz w:val="22"/>
          <w:szCs w:val="22"/>
        </w:rPr>
        <w:t xml:space="preserve">, dignity, </w:t>
      </w:r>
      <w:r w:rsidR="44055B71" w:rsidRPr="2F5676DA">
        <w:rPr>
          <w:sz w:val="22"/>
          <w:szCs w:val="22"/>
        </w:rPr>
        <w:t xml:space="preserve">and the right to actively engage indecisions </w:t>
      </w:r>
      <w:r w:rsidR="009C2529" w:rsidRPr="2F5676DA">
        <w:rPr>
          <w:sz w:val="22"/>
          <w:szCs w:val="22"/>
        </w:rPr>
        <w:t>affecting</w:t>
      </w:r>
      <w:r w:rsidR="30804FC2" w:rsidRPr="2F5676DA">
        <w:rPr>
          <w:sz w:val="22"/>
          <w:szCs w:val="22"/>
        </w:rPr>
        <w:t xml:space="preserve"> a person’s </w:t>
      </w:r>
      <w:r w:rsidR="44055B71" w:rsidRPr="2F5676DA">
        <w:rPr>
          <w:sz w:val="22"/>
          <w:szCs w:val="22"/>
        </w:rPr>
        <w:t>life</w:t>
      </w:r>
      <w:r w:rsidR="605849E3" w:rsidRPr="2F5676DA">
        <w:rPr>
          <w:sz w:val="22"/>
          <w:szCs w:val="22"/>
        </w:rPr>
        <w:t xml:space="preserve"> (Shakespeare,2018). This essay </w:t>
      </w:r>
      <w:r w:rsidR="073882F2" w:rsidRPr="2F5676DA">
        <w:rPr>
          <w:sz w:val="22"/>
          <w:szCs w:val="22"/>
        </w:rPr>
        <w:t xml:space="preserve">evaluates the social model of disability, tracing </w:t>
      </w:r>
      <w:r w:rsidR="6C7783A7" w:rsidRPr="2F5676DA">
        <w:rPr>
          <w:sz w:val="22"/>
          <w:szCs w:val="22"/>
        </w:rPr>
        <w:t>its</w:t>
      </w:r>
      <w:r w:rsidR="073882F2" w:rsidRPr="2F5676DA">
        <w:rPr>
          <w:sz w:val="22"/>
          <w:szCs w:val="22"/>
        </w:rPr>
        <w:t xml:space="preserve"> </w:t>
      </w:r>
      <w:r w:rsidR="0C1A2B23" w:rsidRPr="2F5676DA">
        <w:rPr>
          <w:sz w:val="22"/>
          <w:szCs w:val="22"/>
        </w:rPr>
        <w:t>origin</w:t>
      </w:r>
      <w:r w:rsidR="2F73FF23" w:rsidRPr="2F5676DA">
        <w:rPr>
          <w:sz w:val="22"/>
          <w:szCs w:val="22"/>
        </w:rPr>
        <w:t xml:space="preserve"> and development, assessing </w:t>
      </w:r>
      <w:r w:rsidR="48B742BD" w:rsidRPr="2F5676DA">
        <w:rPr>
          <w:sz w:val="22"/>
          <w:szCs w:val="22"/>
        </w:rPr>
        <w:t xml:space="preserve">opinions and responses, </w:t>
      </w:r>
      <w:r w:rsidR="4114FB4B" w:rsidRPr="2F5676DA">
        <w:rPr>
          <w:sz w:val="22"/>
          <w:szCs w:val="22"/>
        </w:rPr>
        <w:t>analysing its application to health and social care policy and practice, and presenting recommendations for future implementations.</w:t>
      </w:r>
      <w:r w:rsidR="668F281F" w:rsidRPr="2F5676DA">
        <w:rPr>
          <w:sz w:val="22"/>
          <w:szCs w:val="22"/>
        </w:rPr>
        <w:t xml:space="preserve">The social model of disability took shape in the 1970s from </w:t>
      </w:r>
      <w:r w:rsidR="367803A4" w:rsidRPr="2F5676DA">
        <w:rPr>
          <w:sz w:val="22"/>
          <w:szCs w:val="22"/>
        </w:rPr>
        <w:t>the disability rights movement in the United Kingdom, primarily through the work of the Union of the Physically Impa</w:t>
      </w:r>
      <w:r w:rsidR="0A28AC04" w:rsidRPr="2F5676DA">
        <w:rPr>
          <w:sz w:val="22"/>
          <w:szCs w:val="22"/>
        </w:rPr>
        <w:t>ired Against Segregation (UPIAS). The UPIAS</w:t>
      </w:r>
      <w:r w:rsidR="02877170" w:rsidRPr="2F5676DA">
        <w:rPr>
          <w:sz w:val="22"/>
          <w:szCs w:val="22"/>
        </w:rPr>
        <w:t xml:space="preserve"> drastically challenged current assumptions by </w:t>
      </w:r>
      <w:r w:rsidR="0F08EC51" w:rsidRPr="2F5676DA">
        <w:rPr>
          <w:sz w:val="22"/>
          <w:szCs w:val="22"/>
        </w:rPr>
        <w:t xml:space="preserve">differentiating between impairment (the functional limitation) and disability (the social oppression </w:t>
      </w:r>
      <w:r w:rsidR="416BB9D3" w:rsidRPr="2F5676DA">
        <w:rPr>
          <w:sz w:val="22"/>
          <w:szCs w:val="22"/>
        </w:rPr>
        <w:t>experienced by people with impairments) (Thomas, 2016).</w:t>
      </w:r>
      <w:r w:rsidR="62B07215" w:rsidRPr="2F5676DA">
        <w:rPr>
          <w:sz w:val="22"/>
          <w:szCs w:val="22"/>
        </w:rPr>
        <w:t xml:space="preserve"> This decision becomes the cornerstone of disability activism and scholarship, offe</w:t>
      </w:r>
      <w:r w:rsidR="200F6F16" w:rsidRPr="2F5676DA">
        <w:rPr>
          <w:sz w:val="22"/>
          <w:szCs w:val="22"/>
        </w:rPr>
        <w:t xml:space="preserve">ring a framework that repositioned people from passive recipients </w:t>
      </w:r>
      <w:r w:rsidR="663E9676" w:rsidRPr="2F5676DA">
        <w:rPr>
          <w:sz w:val="22"/>
          <w:szCs w:val="22"/>
        </w:rPr>
        <w:t>of care to active agents demanding social change.Mike Oliver (2013</w:t>
      </w:r>
      <w:r w:rsidR="6C8229E6" w:rsidRPr="2F5676DA">
        <w:rPr>
          <w:sz w:val="22"/>
          <w:szCs w:val="22"/>
        </w:rPr>
        <w:t xml:space="preserve">) a disabled sociologist and activist, </w:t>
      </w:r>
      <w:r w:rsidR="663E9676" w:rsidRPr="2F5676DA">
        <w:rPr>
          <w:sz w:val="22"/>
          <w:szCs w:val="22"/>
        </w:rPr>
        <w:t xml:space="preserve">further developed this concept, </w:t>
      </w:r>
      <w:r w:rsidR="1BEA960B" w:rsidRPr="2F5676DA">
        <w:rPr>
          <w:sz w:val="22"/>
          <w:szCs w:val="22"/>
        </w:rPr>
        <w:t xml:space="preserve">claiming that disability is </w:t>
      </w:r>
      <w:r w:rsidR="008B75BE" w:rsidRPr="2F5676DA">
        <w:rPr>
          <w:sz w:val="22"/>
          <w:szCs w:val="22"/>
        </w:rPr>
        <w:t>formed</w:t>
      </w:r>
      <w:r w:rsidR="1BEA960B" w:rsidRPr="2F5676DA">
        <w:rPr>
          <w:sz w:val="22"/>
          <w:szCs w:val="22"/>
        </w:rPr>
        <w:t xml:space="preserve"> </w:t>
      </w:r>
      <w:r w:rsidR="0C693950" w:rsidRPr="2F5676DA">
        <w:rPr>
          <w:sz w:val="22"/>
          <w:szCs w:val="22"/>
        </w:rPr>
        <w:t xml:space="preserve">by environments produced without </w:t>
      </w:r>
      <w:r w:rsidR="4BA60A5A" w:rsidRPr="2F5676DA">
        <w:rPr>
          <w:sz w:val="22"/>
          <w:szCs w:val="22"/>
        </w:rPr>
        <w:t xml:space="preserve">considering different bodies and minds. The model earned </w:t>
      </w:r>
      <w:r w:rsidR="324AC918" w:rsidRPr="2F5676DA">
        <w:rPr>
          <w:sz w:val="22"/>
          <w:szCs w:val="22"/>
        </w:rPr>
        <w:t>popularity throughout the 1980s and 1990s, influencing</w:t>
      </w:r>
      <w:r w:rsidR="3F74E662" w:rsidRPr="2F5676DA">
        <w:rPr>
          <w:sz w:val="22"/>
          <w:szCs w:val="22"/>
        </w:rPr>
        <w:t xml:space="preserve"> </w:t>
      </w:r>
      <w:r w:rsidR="0C5C8D70" w:rsidRPr="2F5676DA">
        <w:rPr>
          <w:sz w:val="22"/>
          <w:szCs w:val="22"/>
        </w:rPr>
        <w:t>disability studies as</w:t>
      </w:r>
      <w:r w:rsidR="7882F405" w:rsidRPr="2F5676DA">
        <w:rPr>
          <w:sz w:val="22"/>
          <w:szCs w:val="22"/>
        </w:rPr>
        <w:t xml:space="preserve"> </w:t>
      </w:r>
      <w:r w:rsidR="0C5C8D70" w:rsidRPr="2F5676DA">
        <w:rPr>
          <w:sz w:val="22"/>
          <w:szCs w:val="22"/>
        </w:rPr>
        <w:t>an academic discipline and shaping polic</w:t>
      </w:r>
      <w:r w:rsidR="33CDC29D" w:rsidRPr="2F5676DA">
        <w:rPr>
          <w:sz w:val="22"/>
          <w:szCs w:val="22"/>
        </w:rPr>
        <w:t>y debate worldwide (Goodley, 2017).</w:t>
      </w:r>
      <w:r w:rsidR="410BD400" w:rsidRPr="2F5676DA">
        <w:rPr>
          <w:sz w:val="22"/>
          <w:szCs w:val="22"/>
        </w:rPr>
        <w:t xml:space="preserve"> Unlike the medical model </w:t>
      </w:r>
      <w:r w:rsidR="054F6817" w:rsidRPr="2F5676DA">
        <w:rPr>
          <w:sz w:val="22"/>
          <w:szCs w:val="22"/>
        </w:rPr>
        <w:t xml:space="preserve">which places the ‘problem’ within the individual requiring medical </w:t>
      </w:r>
      <w:r w:rsidR="737900BC" w:rsidRPr="2F5676DA">
        <w:rPr>
          <w:sz w:val="22"/>
          <w:szCs w:val="22"/>
        </w:rPr>
        <w:t xml:space="preserve">intervention and rehabilitation, the social model </w:t>
      </w:r>
      <w:r w:rsidR="6316A4FD" w:rsidRPr="2F5676DA">
        <w:rPr>
          <w:sz w:val="22"/>
          <w:szCs w:val="22"/>
        </w:rPr>
        <w:t>detects structural obstacles –</w:t>
      </w:r>
      <w:r w:rsidR="74B25617" w:rsidRPr="2F5676DA">
        <w:rPr>
          <w:sz w:val="22"/>
          <w:szCs w:val="22"/>
        </w:rPr>
        <w:t>architectural</w:t>
      </w:r>
      <w:r w:rsidR="6316A4FD" w:rsidRPr="2F5676DA">
        <w:rPr>
          <w:sz w:val="22"/>
          <w:szCs w:val="22"/>
        </w:rPr>
        <w:t>, attitudinal, institutional, and communicative- as the primary sou</w:t>
      </w:r>
      <w:r w:rsidR="3A3C7DF6" w:rsidRPr="2F5676DA">
        <w:rPr>
          <w:sz w:val="22"/>
          <w:szCs w:val="22"/>
        </w:rPr>
        <w:t>rces of disability</w:t>
      </w:r>
      <w:r w:rsidR="476987DA" w:rsidRPr="2F5676DA">
        <w:rPr>
          <w:sz w:val="22"/>
          <w:szCs w:val="22"/>
        </w:rPr>
        <w:t xml:space="preserve"> (Barnes and Mercer, 2019).The social model’s development has been essential to development of </w:t>
      </w:r>
      <w:r w:rsidR="4D80C99D" w:rsidRPr="2F5676DA">
        <w:rPr>
          <w:sz w:val="22"/>
          <w:szCs w:val="22"/>
        </w:rPr>
        <w:t xml:space="preserve">rights –based </w:t>
      </w:r>
      <w:r w:rsidR="0AD86567" w:rsidRPr="2F5676DA">
        <w:rPr>
          <w:sz w:val="22"/>
          <w:szCs w:val="22"/>
        </w:rPr>
        <w:t>perspectives</w:t>
      </w:r>
      <w:r w:rsidR="4D80C99D" w:rsidRPr="2F5676DA">
        <w:rPr>
          <w:sz w:val="22"/>
          <w:szCs w:val="22"/>
        </w:rPr>
        <w:t xml:space="preserve"> on disability. </w:t>
      </w:r>
      <w:r w:rsidR="1740ADD2" w:rsidRPr="2F5676DA">
        <w:rPr>
          <w:sz w:val="22"/>
          <w:szCs w:val="22"/>
        </w:rPr>
        <w:t xml:space="preserve">It provided the theoretical </w:t>
      </w:r>
      <w:r w:rsidR="6F489281" w:rsidRPr="2F5676DA">
        <w:rPr>
          <w:sz w:val="22"/>
          <w:szCs w:val="22"/>
        </w:rPr>
        <w:t xml:space="preserve">foundation for historic </w:t>
      </w:r>
      <w:r w:rsidR="0E5A97F6" w:rsidRPr="2F5676DA">
        <w:rPr>
          <w:sz w:val="22"/>
          <w:szCs w:val="22"/>
        </w:rPr>
        <w:t>laws including</w:t>
      </w:r>
      <w:r w:rsidR="6F489281" w:rsidRPr="2F5676DA">
        <w:rPr>
          <w:sz w:val="22"/>
          <w:szCs w:val="22"/>
        </w:rPr>
        <w:t xml:space="preserve"> the Disability Discrimination Act 1995 and </w:t>
      </w:r>
      <w:r w:rsidR="00A355F5" w:rsidRPr="2F5676DA">
        <w:rPr>
          <w:sz w:val="22"/>
          <w:szCs w:val="22"/>
        </w:rPr>
        <w:t>later</w:t>
      </w:r>
      <w:r w:rsidR="6F489281" w:rsidRPr="2F5676DA">
        <w:rPr>
          <w:sz w:val="22"/>
          <w:szCs w:val="22"/>
        </w:rPr>
        <w:t xml:space="preserve"> </w:t>
      </w:r>
      <w:r w:rsidR="47191801" w:rsidRPr="2F5676DA">
        <w:rPr>
          <w:sz w:val="22"/>
          <w:szCs w:val="22"/>
        </w:rPr>
        <w:t xml:space="preserve">the Equality Act 2010, which </w:t>
      </w:r>
      <w:r w:rsidR="44B4F99E" w:rsidRPr="2F5676DA">
        <w:rPr>
          <w:sz w:val="22"/>
          <w:szCs w:val="22"/>
        </w:rPr>
        <w:t>bans discriminations and demands reasonable modifications (Roulstone</w:t>
      </w:r>
      <w:r w:rsidR="1CB1E1C0" w:rsidRPr="2F5676DA">
        <w:rPr>
          <w:sz w:val="22"/>
          <w:szCs w:val="22"/>
        </w:rPr>
        <w:t xml:space="preserve"> and Prideaux, 2012). The model’s importance </w:t>
      </w:r>
      <w:r w:rsidR="5F4AB8DD" w:rsidRPr="2F5676DA">
        <w:rPr>
          <w:sz w:val="22"/>
          <w:szCs w:val="22"/>
        </w:rPr>
        <w:t xml:space="preserve">on environmental and social change instead </w:t>
      </w:r>
      <w:r w:rsidR="1CD608DA" w:rsidRPr="2F5676DA">
        <w:rPr>
          <w:sz w:val="22"/>
          <w:szCs w:val="22"/>
        </w:rPr>
        <w:t xml:space="preserve">of </w:t>
      </w:r>
      <w:r w:rsidR="5316D2B2" w:rsidRPr="2F5676DA">
        <w:rPr>
          <w:sz w:val="22"/>
          <w:szCs w:val="22"/>
        </w:rPr>
        <w:t xml:space="preserve">individual ‘correction’ resonates strongly with </w:t>
      </w:r>
      <w:r w:rsidR="23FF3B14" w:rsidRPr="2F5676DA">
        <w:rPr>
          <w:sz w:val="22"/>
          <w:szCs w:val="22"/>
        </w:rPr>
        <w:t xml:space="preserve">person-centred care approaches that </w:t>
      </w:r>
      <w:r w:rsidR="60801137" w:rsidRPr="2F5676DA">
        <w:rPr>
          <w:sz w:val="22"/>
          <w:szCs w:val="22"/>
        </w:rPr>
        <w:t>puts first individual preferences, capabilities</w:t>
      </w:r>
      <w:r w:rsidR="00A355F5" w:rsidRPr="2F5676DA">
        <w:rPr>
          <w:sz w:val="22"/>
          <w:szCs w:val="22"/>
        </w:rPr>
        <w:t>,</w:t>
      </w:r>
      <w:r w:rsidR="60801137" w:rsidRPr="2F5676DA">
        <w:rPr>
          <w:sz w:val="22"/>
          <w:szCs w:val="22"/>
        </w:rPr>
        <w:t xml:space="preserve"> and life goals over </w:t>
      </w:r>
      <w:r w:rsidR="43B11FF7" w:rsidRPr="2F5676DA">
        <w:rPr>
          <w:sz w:val="22"/>
          <w:szCs w:val="22"/>
        </w:rPr>
        <w:t>standardized medical interventions (Beresford, 2016).</w:t>
      </w:r>
      <w:r w:rsidR="77A00C21" w:rsidRPr="2F5676DA">
        <w:rPr>
          <w:sz w:val="22"/>
          <w:szCs w:val="22"/>
        </w:rPr>
        <w:t>T</w:t>
      </w:r>
      <w:r w:rsidR="600441A4" w:rsidRPr="2F5676DA">
        <w:rPr>
          <w:sz w:val="22"/>
          <w:szCs w:val="22"/>
        </w:rPr>
        <w:t xml:space="preserve">he social model </w:t>
      </w:r>
      <w:r w:rsidR="008B5DC3" w:rsidRPr="2F5676DA">
        <w:rPr>
          <w:sz w:val="22"/>
          <w:szCs w:val="22"/>
        </w:rPr>
        <w:t xml:space="preserve">has been heavily criticised despite its revolutionary effect. Shakespeare (2014) </w:t>
      </w:r>
      <w:r w:rsidR="005F5DE7" w:rsidRPr="2F5676DA">
        <w:rPr>
          <w:sz w:val="22"/>
          <w:szCs w:val="22"/>
        </w:rPr>
        <w:t>claims that the strict</w:t>
      </w:r>
      <w:r w:rsidR="00687808" w:rsidRPr="2F5676DA">
        <w:rPr>
          <w:sz w:val="22"/>
          <w:szCs w:val="22"/>
        </w:rPr>
        <w:t xml:space="preserve"> division between impairment and disability is artificial and ineffective, arguing that impairment </w:t>
      </w:r>
      <w:r w:rsidR="00D436FD" w:rsidRPr="2F5676DA">
        <w:rPr>
          <w:sz w:val="22"/>
          <w:szCs w:val="22"/>
        </w:rPr>
        <w:t xml:space="preserve">effects-such as pain, exhaustion, </w:t>
      </w:r>
      <w:r w:rsidR="003A17DF" w:rsidRPr="2F5676DA">
        <w:rPr>
          <w:sz w:val="22"/>
          <w:szCs w:val="22"/>
        </w:rPr>
        <w:t>cognitive differences-are actual</w:t>
      </w:r>
      <w:r w:rsidR="0097023B" w:rsidRPr="2F5676DA">
        <w:rPr>
          <w:sz w:val="22"/>
          <w:szCs w:val="22"/>
        </w:rPr>
        <w:t xml:space="preserve"> and important aspects </w:t>
      </w:r>
      <w:r w:rsidR="006F014C" w:rsidRPr="2F5676DA">
        <w:rPr>
          <w:sz w:val="22"/>
          <w:szCs w:val="22"/>
        </w:rPr>
        <w:t>of</w:t>
      </w:r>
      <w:r w:rsidR="00F52526" w:rsidRPr="2F5676DA">
        <w:rPr>
          <w:sz w:val="22"/>
          <w:szCs w:val="22"/>
        </w:rPr>
        <w:t xml:space="preserve"> the experiences </w:t>
      </w:r>
      <w:r w:rsidR="00EA1FA7" w:rsidRPr="2F5676DA">
        <w:rPr>
          <w:sz w:val="22"/>
          <w:szCs w:val="22"/>
        </w:rPr>
        <w:t xml:space="preserve">of disabled people </w:t>
      </w:r>
      <w:r w:rsidR="0023456E" w:rsidRPr="2F5676DA">
        <w:rPr>
          <w:sz w:val="22"/>
          <w:szCs w:val="22"/>
        </w:rPr>
        <w:t>that</w:t>
      </w:r>
      <w:r w:rsidR="00E54023" w:rsidRPr="2F5676DA">
        <w:rPr>
          <w:sz w:val="22"/>
          <w:szCs w:val="22"/>
        </w:rPr>
        <w:t xml:space="preserve"> </w:t>
      </w:r>
      <w:r w:rsidR="0024799A" w:rsidRPr="2F5676DA">
        <w:rPr>
          <w:sz w:val="22"/>
          <w:szCs w:val="22"/>
        </w:rPr>
        <w:t>c</w:t>
      </w:r>
      <w:r w:rsidR="00432CE2" w:rsidRPr="2F5676DA">
        <w:rPr>
          <w:sz w:val="22"/>
          <w:szCs w:val="22"/>
        </w:rPr>
        <w:t>annot</w:t>
      </w:r>
      <w:r w:rsidR="00B50197" w:rsidRPr="2F5676DA">
        <w:rPr>
          <w:sz w:val="22"/>
          <w:szCs w:val="22"/>
        </w:rPr>
        <w:t xml:space="preserve"> </w:t>
      </w:r>
      <w:r w:rsidR="000135ED" w:rsidRPr="2F5676DA">
        <w:rPr>
          <w:sz w:val="22"/>
          <w:szCs w:val="22"/>
        </w:rPr>
        <w:t>be</w:t>
      </w:r>
      <w:r w:rsidR="0084329E" w:rsidRPr="2F5676DA">
        <w:rPr>
          <w:sz w:val="22"/>
          <w:szCs w:val="22"/>
        </w:rPr>
        <w:t xml:space="preserve"> entirely attributed</w:t>
      </w:r>
      <w:r w:rsidR="00A977C7" w:rsidRPr="2F5676DA">
        <w:rPr>
          <w:sz w:val="22"/>
          <w:szCs w:val="22"/>
        </w:rPr>
        <w:t xml:space="preserve"> to social barriers</w:t>
      </w:r>
      <w:r w:rsidR="0045122F" w:rsidRPr="2F5676DA">
        <w:rPr>
          <w:sz w:val="22"/>
          <w:szCs w:val="22"/>
        </w:rPr>
        <w:t>.</w:t>
      </w:r>
      <w:r w:rsidR="001E1278" w:rsidRPr="2F5676DA">
        <w:rPr>
          <w:sz w:val="22"/>
          <w:szCs w:val="22"/>
        </w:rPr>
        <w:t xml:space="preserve"> </w:t>
      </w:r>
      <w:r w:rsidR="003B3B35" w:rsidRPr="2F5676DA">
        <w:rPr>
          <w:sz w:val="22"/>
          <w:szCs w:val="22"/>
        </w:rPr>
        <w:t>The social model</w:t>
      </w:r>
      <w:r w:rsidR="00611721" w:rsidRPr="2F5676DA">
        <w:rPr>
          <w:sz w:val="22"/>
          <w:szCs w:val="22"/>
        </w:rPr>
        <w:t xml:space="preserve"> m</w:t>
      </w:r>
      <w:r w:rsidR="00EC5EA9" w:rsidRPr="2F5676DA">
        <w:rPr>
          <w:sz w:val="22"/>
          <w:szCs w:val="22"/>
        </w:rPr>
        <w:t xml:space="preserve">ay </w:t>
      </w:r>
      <w:r w:rsidR="00221A37" w:rsidRPr="2F5676DA">
        <w:rPr>
          <w:sz w:val="22"/>
          <w:szCs w:val="22"/>
        </w:rPr>
        <w:t>unintentionally reduce</w:t>
      </w:r>
      <w:r w:rsidR="00611721" w:rsidRPr="2F5676DA">
        <w:rPr>
          <w:sz w:val="22"/>
          <w:szCs w:val="22"/>
        </w:rPr>
        <w:t xml:space="preserve"> </w:t>
      </w:r>
      <w:r w:rsidR="000B305D" w:rsidRPr="2F5676DA">
        <w:rPr>
          <w:sz w:val="22"/>
          <w:szCs w:val="22"/>
        </w:rPr>
        <w:t>th</w:t>
      </w:r>
      <w:r w:rsidR="00F038F3" w:rsidRPr="2F5676DA">
        <w:rPr>
          <w:sz w:val="22"/>
          <w:szCs w:val="22"/>
        </w:rPr>
        <w:t>e</w:t>
      </w:r>
      <w:r w:rsidR="00611721" w:rsidRPr="2F5676DA">
        <w:rPr>
          <w:sz w:val="22"/>
          <w:szCs w:val="22"/>
        </w:rPr>
        <w:t xml:space="preserve"> </w:t>
      </w:r>
      <w:r w:rsidR="00CB4190" w:rsidRPr="2F5676DA">
        <w:rPr>
          <w:sz w:val="22"/>
          <w:szCs w:val="22"/>
        </w:rPr>
        <w:t xml:space="preserve">embodied sensations of </w:t>
      </w:r>
      <w:r w:rsidR="00751497" w:rsidRPr="2F5676DA">
        <w:rPr>
          <w:sz w:val="22"/>
          <w:szCs w:val="22"/>
        </w:rPr>
        <w:t>impairment</w:t>
      </w:r>
      <w:r w:rsidR="00DE0CA8" w:rsidRPr="2F5676DA">
        <w:rPr>
          <w:sz w:val="22"/>
          <w:szCs w:val="22"/>
        </w:rPr>
        <w:t xml:space="preserve"> and </w:t>
      </w:r>
      <w:r w:rsidR="00972D79" w:rsidRPr="2F5676DA">
        <w:rPr>
          <w:sz w:val="22"/>
          <w:szCs w:val="22"/>
        </w:rPr>
        <w:t xml:space="preserve">the </w:t>
      </w:r>
      <w:r w:rsidR="00D2520E" w:rsidRPr="2F5676DA">
        <w:rPr>
          <w:sz w:val="22"/>
          <w:szCs w:val="22"/>
        </w:rPr>
        <w:t xml:space="preserve">necessary need </w:t>
      </w:r>
      <w:r w:rsidR="002F2EB6" w:rsidRPr="2F5676DA">
        <w:rPr>
          <w:sz w:val="22"/>
          <w:szCs w:val="22"/>
        </w:rPr>
        <w:t>for medical intervention and support</w:t>
      </w:r>
      <w:r w:rsidR="00237164" w:rsidRPr="2F5676DA">
        <w:rPr>
          <w:sz w:val="22"/>
          <w:szCs w:val="22"/>
        </w:rPr>
        <w:t xml:space="preserve">, </w:t>
      </w:r>
      <w:r w:rsidR="00A424FD" w:rsidRPr="2F5676DA">
        <w:rPr>
          <w:sz w:val="22"/>
          <w:szCs w:val="22"/>
        </w:rPr>
        <w:t>according to this criticism</w:t>
      </w:r>
      <w:r w:rsidR="00C5251E" w:rsidRPr="2F5676DA">
        <w:rPr>
          <w:sz w:val="22"/>
          <w:szCs w:val="22"/>
        </w:rPr>
        <w:t xml:space="preserve"> (Watson, 2016).</w:t>
      </w:r>
      <w:r w:rsidR="00481494" w:rsidRPr="2F5676DA">
        <w:rPr>
          <w:sz w:val="22"/>
          <w:szCs w:val="22"/>
        </w:rPr>
        <w:t>Additionally, the model has been criticised by feminist disability academics for failing to sufficiently address interse</w:t>
      </w:r>
      <w:r w:rsidR="00426E2A" w:rsidRPr="2F5676DA">
        <w:rPr>
          <w:sz w:val="22"/>
          <w:szCs w:val="22"/>
        </w:rPr>
        <w:t xml:space="preserve">ctionality, which refers to the way </w:t>
      </w:r>
      <w:r w:rsidR="005B308D" w:rsidRPr="2F5676DA">
        <w:rPr>
          <w:sz w:val="22"/>
          <w:szCs w:val="22"/>
        </w:rPr>
        <w:t xml:space="preserve">in which disability interacts with gender, race, class, and sexual orientation </w:t>
      </w:r>
      <w:r w:rsidR="008F019E" w:rsidRPr="2F5676DA">
        <w:rPr>
          <w:sz w:val="22"/>
          <w:szCs w:val="22"/>
        </w:rPr>
        <w:t xml:space="preserve">to produce </w:t>
      </w:r>
      <w:r w:rsidR="006C2F68" w:rsidRPr="2F5676DA">
        <w:rPr>
          <w:sz w:val="22"/>
          <w:szCs w:val="22"/>
        </w:rPr>
        <w:t xml:space="preserve">compounded experiences of oppression </w:t>
      </w:r>
      <w:r w:rsidR="00B22BFA" w:rsidRPr="2F5676DA">
        <w:rPr>
          <w:sz w:val="22"/>
          <w:szCs w:val="22"/>
        </w:rPr>
        <w:t xml:space="preserve">(Hall, </w:t>
      </w:r>
      <w:r w:rsidR="00AC0656" w:rsidRPr="2F5676DA">
        <w:rPr>
          <w:sz w:val="22"/>
          <w:szCs w:val="22"/>
        </w:rPr>
        <w:t xml:space="preserve">2019). </w:t>
      </w:r>
      <w:r w:rsidR="00690BC4" w:rsidRPr="2F5676DA">
        <w:rPr>
          <w:sz w:val="22"/>
          <w:szCs w:val="22"/>
        </w:rPr>
        <w:t>Thomas (2017) introduced the</w:t>
      </w:r>
      <w:r w:rsidR="00AC0656" w:rsidRPr="2F5676DA">
        <w:rPr>
          <w:sz w:val="22"/>
          <w:szCs w:val="22"/>
        </w:rPr>
        <w:t xml:space="preserve"> term “ps</w:t>
      </w:r>
      <w:r w:rsidR="00D0250B" w:rsidRPr="2F5676DA">
        <w:rPr>
          <w:sz w:val="22"/>
          <w:szCs w:val="22"/>
        </w:rPr>
        <w:t xml:space="preserve">ycho-emotional </w:t>
      </w:r>
      <w:r w:rsidR="00A114C6" w:rsidRPr="2F5676DA">
        <w:rPr>
          <w:sz w:val="22"/>
          <w:szCs w:val="22"/>
        </w:rPr>
        <w:t xml:space="preserve">disabling” </w:t>
      </w:r>
      <w:r w:rsidR="00AF2867" w:rsidRPr="2F5676DA">
        <w:rPr>
          <w:sz w:val="22"/>
          <w:szCs w:val="22"/>
        </w:rPr>
        <w:t xml:space="preserve">to describe the psychological and emotional </w:t>
      </w:r>
      <w:r w:rsidR="3EF31E91" w:rsidRPr="2F5676DA">
        <w:rPr>
          <w:sz w:val="22"/>
          <w:szCs w:val="22"/>
        </w:rPr>
        <w:t>effects</w:t>
      </w:r>
      <w:r w:rsidR="00AF2867" w:rsidRPr="2F5676DA">
        <w:rPr>
          <w:sz w:val="22"/>
          <w:szCs w:val="22"/>
        </w:rPr>
        <w:t xml:space="preserve"> of having handicap in a</w:t>
      </w:r>
      <w:r w:rsidR="001F4796" w:rsidRPr="2F5676DA">
        <w:rPr>
          <w:sz w:val="22"/>
          <w:szCs w:val="22"/>
        </w:rPr>
        <w:t xml:space="preserve"> racist society, which she claims the original social model ignores. Furthermore, opponents believe that the </w:t>
      </w:r>
      <w:r w:rsidR="00B145EE" w:rsidRPr="2F5676DA">
        <w:rPr>
          <w:sz w:val="22"/>
          <w:szCs w:val="22"/>
        </w:rPr>
        <w:t xml:space="preserve">model’s </w:t>
      </w:r>
      <w:r w:rsidR="001F4796" w:rsidRPr="2F5676DA">
        <w:rPr>
          <w:sz w:val="22"/>
          <w:szCs w:val="22"/>
        </w:rPr>
        <w:t>material</w:t>
      </w:r>
      <w:r w:rsidR="00B145EE" w:rsidRPr="2F5676DA">
        <w:rPr>
          <w:sz w:val="22"/>
          <w:szCs w:val="22"/>
        </w:rPr>
        <w:t xml:space="preserve">ist origins would not </w:t>
      </w:r>
      <w:r w:rsidR="00081D97" w:rsidRPr="2F5676DA">
        <w:rPr>
          <w:sz w:val="22"/>
          <w:szCs w:val="22"/>
        </w:rPr>
        <w:t xml:space="preserve">adequately </w:t>
      </w:r>
      <w:r w:rsidR="00C00858" w:rsidRPr="2F5676DA">
        <w:rPr>
          <w:sz w:val="22"/>
          <w:szCs w:val="22"/>
        </w:rPr>
        <w:t xml:space="preserve">account for mental health issues or cognitive and intellectual impairments, where the connection between impairment and disability might be more nuanced (Goodley, 2017) </w:t>
      </w:r>
    </w:p>
    <w:p w14:paraId="45788DF0" w14:textId="5493380B" w:rsidR="004C203B" w:rsidRDefault="004C203B" w:rsidP="2F5676DA">
      <w:pPr>
        <w:keepNext/>
        <w:spacing w:after="0" w:line="360" w:lineRule="auto"/>
        <w:rPr>
          <w:sz w:val="22"/>
          <w:szCs w:val="22"/>
        </w:rPr>
      </w:pPr>
      <w:r w:rsidRPr="2F5676DA">
        <w:rPr>
          <w:sz w:val="22"/>
          <w:szCs w:val="22"/>
        </w:rPr>
        <w:t xml:space="preserve">Instead of abandoning the social model, responses </w:t>
      </w:r>
      <w:r w:rsidR="009B245B" w:rsidRPr="2F5676DA">
        <w:rPr>
          <w:sz w:val="22"/>
          <w:szCs w:val="22"/>
        </w:rPr>
        <w:t>to these criti</w:t>
      </w:r>
      <w:r w:rsidR="00E82B86" w:rsidRPr="2F5676DA">
        <w:rPr>
          <w:sz w:val="22"/>
          <w:szCs w:val="22"/>
        </w:rPr>
        <w:t xml:space="preserve">cisms have improved it. Disability </w:t>
      </w:r>
      <w:r w:rsidR="0062321A" w:rsidRPr="2F5676DA">
        <w:rPr>
          <w:sz w:val="22"/>
          <w:szCs w:val="22"/>
        </w:rPr>
        <w:t xml:space="preserve">researchers today </w:t>
      </w:r>
      <w:r w:rsidR="004C65CD" w:rsidRPr="2F5676DA">
        <w:rPr>
          <w:sz w:val="22"/>
          <w:szCs w:val="22"/>
        </w:rPr>
        <w:t>support a ‘critical realist’ approach that recognises the social construction of disability as well as its material reality (Shakespeare, 2018)</w:t>
      </w:r>
      <w:r w:rsidR="008E3BAB" w:rsidRPr="2F5676DA">
        <w:rPr>
          <w:sz w:val="22"/>
          <w:szCs w:val="22"/>
        </w:rPr>
        <w:t xml:space="preserve">. Oliver (2013) </w:t>
      </w:r>
      <w:r w:rsidR="00327A1C" w:rsidRPr="2F5676DA">
        <w:rPr>
          <w:sz w:val="22"/>
          <w:szCs w:val="22"/>
        </w:rPr>
        <w:t xml:space="preserve">admitted that the social model was meant to serve as a </w:t>
      </w:r>
      <w:r w:rsidR="00A12D09" w:rsidRPr="2F5676DA">
        <w:rPr>
          <w:sz w:val="22"/>
          <w:szCs w:val="22"/>
        </w:rPr>
        <w:t>means for social change and political action rather than a fully explain individual experiences. To acknowledge</w:t>
      </w:r>
      <w:r w:rsidR="006B09A0" w:rsidRPr="2F5676DA">
        <w:rPr>
          <w:sz w:val="22"/>
          <w:szCs w:val="22"/>
        </w:rPr>
        <w:t xml:space="preserve"> that disability discrimination functions differently in different social contexts, recent iterations have incorporated intersectional approaches (Hall, 2019). Although </w:t>
      </w:r>
      <w:r w:rsidR="00354644" w:rsidRPr="2F5676DA">
        <w:rPr>
          <w:sz w:val="22"/>
          <w:szCs w:val="22"/>
        </w:rPr>
        <w:t xml:space="preserve">others believe that limits the radical political potential of </w:t>
      </w:r>
      <w:r w:rsidR="00FF3AA8" w:rsidRPr="2F5676DA">
        <w:rPr>
          <w:sz w:val="22"/>
          <w:szCs w:val="22"/>
        </w:rPr>
        <w:t xml:space="preserve">the social model, the </w:t>
      </w:r>
      <w:r w:rsidR="00850DF9" w:rsidRPr="2F5676DA">
        <w:rPr>
          <w:sz w:val="22"/>
          <w:szCs w:val="22"/>
        </w:rPr>
        <w:t>bio psychosocial model has evolved as an integrative framework (Beresford, 2016).</w:t>
      </w:r>
    </w:p>
    <w:p w14:paraId="611A75EC" w14:textId="77777777" w:rsidR="00013B27" w:rsidRDefault="00013B27" w:rsidP="2F5676DA">
      <w:pPr>
        <w:keepNext/>
        <w:spacing w:after="0" w:line="360" w:lineRule="auto"/>
        <w:rPr>
          <w:sz w:val="22"/>
          <w:szCs w:val="22"/>
        </w:rPr>
      </w:pPr>
    </w:p>
    <w:p w14:paraId="34FD70D1" w14:textId="77777777" w:rsidR="00013B27" w:rsidRDefault="00013B27" w:rsidP="2F5676DA">
      <w:pPr>
        <w:keepNext/>
        <w:spacing w:after="0" w:line="360" w:lineRule="auto"/>
        <w:rPr>
          <w:sz w:val="22"/>
          <w:szCs w:val="22"/>
        </w:rPr>
      </w:pPr>
    </w:p>
    <w:p w14:paraId="1F9A3008" w14:textId="4287E678" w:rsidR="00C5251E" w:rsidRDefault="00013B27" w:rsidP="2F5676DA">
      <w:pPr>
        <w:keepNext/>
        <w:spacing w:after="0" w:line="360" w:lineRule="auto"/>
        <w:rPr>
          <w:sz w:val="22"/>
          <w:szCs w:val="22"/>
        </w:rPr>
      </w:pPr>
      <w:r w:rsidRPr="2F5676DA">
        <w:rPr>
          <w:sz w:val="22"/>
          <w:szCs w:val="22"/>
        </w:rPr>
        <w:t xml:space="preserve">Over the past </w:t>
      </w:r>
      <w:r w:rsidR="00AB22B4" w:rsidRPr="2F5676DA">
        <w:rPr>
          <w:sz w:val="22"/>
          <w:szCs w:val="22"/>
        </w:rPr>
        <w:t xml:space="preserve">thirty years, the social model has had a major impact on UK health and social care policy. By </w:t>
      </w:r>
      <w:r w:rsidR="00D9474E" w:rsidRPr="2F5676DA">
        <w:rPr>
          <w:sz w:val="22"/>
          <w:szCs w:val="22"/>
        </w:rPr>
        <w:t xml:space="preserve">highlighting wellbeing, prevention, and personalisation, the Care Act of 2014 </w:t>
      </w:r>
      <w:r w:rsidR="00D84B28" w:rsidRPr="2F5676DA">
        <w:rPr>
          <w:sz w:val="22"/>
          <w:szCs w:val="22"/>
        </w:rPr>
        <w:t xml:space="preserve">includes the principles of </w:t>
      </w:r>
      <w:r w:rsidR="004D63E1" w:rsidRPr="2F5676DA">
        <w:rPr>
          <w:sz w:val="22"/>
          <w:szCs w:val="22"/>
        </w:rPr>
        <w:t xml:space="preserve">the social model and requires local authorities to think about how services may </w:t>
      </w:r>
      <w:r w:rsidR="00834101" w:rsidRPr="2F5676DA">
        <w:rPr>
          <w:sz w:val="22"/>
          <w:szCs w:val="22"/>
        </w:rPr>
        <w:t xml:space="preserve">encourage independence and involvement rather </w:t>
      </w:r>
      <w:r w:rsidR="002670F1" w:rsidRPr="2F5676DA">
        <w:rPr>
          <w:sz w:val="22"/>
          <w:szCs w:val="22"/>
        </w:rPr>
        <w:t xml:space="preserve">than just </w:t>
      </w:r>
      <w:r w:rsidR="00302E7D" w:rsidRPr="2F5676DA">
        <w:rPr>
          <w:sz w:val="22"/>
          <w:szCs w:val="22"/>
        </w:rPr>
        <w:t xml:space="preserve">satisfying care needs (Department </w:t>
      </w:r>
      <w:r w:rsidR="009C00BF" w:rsidRPr="2F5676DA">
        <w:rPr>
          <w:sz w:val="22"/>
          <w:szCs w:val="22"/>
        </w:rPr>
        <w:t>of Health, 2014). The social model’s</w:t>
      </w:r>
      <w:r w:rsidR="00E11FB0" w:rsidRPr="2F5676DA">
        <w:rPr>
          <w:sz w:val="22"/>
          <w:szCs w:val="22"/>
        </w:rPr>
        <w:t xml:space="preserve"> focus on </w:t>
      </w:r>
      <w:r w:rsidR="005524C7" w:rsidRPr="2F5676DA">
        <w:rPr>
          <w:sz w:val="22"/>
          <w:szCs w:val="22"/>
        </w:rPr>
        <w:t xml:space="preserve">social inclusion and enabling settings is </w:t>
      </w:r>
      <w:r w:rsidR="006A54DB" w:rsidRPr="2F5676DA">
        <w:rPr>
          <w:sz w:val="22"/>
          <w:szCs w:val="22"/>
        </w:rPr>
        <w:t xml:space="preserve">shown in </w:t>
      </w:r>
      <w:r w:rsidR="00D56B83" w:rsidRPr="2F5676DA">
        <w:rPr>
          <w:sz w:val="22"/>
          <w:szCs w:val="22"/>
        </w:rPr>
        <w:t xml:space="preserve">the Act’s emphasis on asset-based initiatives </w:t>
      </w:r>
      <w:r w:rsidR="00DF031C" w:rsidRPr="2F5676DA">
        <w:rPr>
          <w:sz w:val="22"/>
          <w:szCs w:val="22"/>
        </w:rPr>
        <w:t>and community integration (Need</w:t>
      </w:r>
      <w:r w:rsidR="006020AA" w:rsidRPr="2F5676DA">
        <w:rPr>
          <w:sz w:val="22"/>
          <w:szCs w:val="22"/>
        </w:rPr>
        <w:t>ham&amp;Glasby, 2014)</w:t>
      </w:r>
      <w:r w:rsidR="00566CB5" w:rsidRPr="2F5676DA">
        <w:rPr>
          <w:sz w:val="22"/>
          <w:szCs w:val="22"/>
        </w:rPr>
        <w:t>.</w:t>
      </w:r>
    </w:p>
    <w:p w14:paraId="6193B323" w14:textId="49BF68E3" w:rsidR="00566CB5" w:rsidRDefault="00F34114" w:rsidP="2F5676DA">
      <w:pPr>
        <w:keepNext/>
        <w:spacing w:after="0" w:line="360" w:lineRule="auto"/>
        <w:rPr>
          <w:sz w:val="22"/>
          <w:szCs w:val="22"/>
        </w:rPr>
      </w:pPr>
      <w:r w:rsidRPr="2F5676DA">
        <w:rPr>
          <w:sz w:val="22"/>
          <w:szCs w:val="22"/>
        </w:rPr>
        <w:t xml:space="preserve"> Like this, the Mental competence Act of 2005 challenges </w:t>
      </w:r>
      <w:r w:rsidR="00D926DE" w:rsidRPr="2F5676DA">
        <w:rPr>
          <w:sz w:val="22"/>
          <w:szCs w:val="22"/>
        </w:rPr>
        <w:t xml:space="preserve">paternalistic practices that have historically prevented </w:t>
      </w:r>
      <w:r w:rsidR="00CE4FFB" w:rsidRPr="2F5676DA">
        <w:rPr>
          <w:sz w:val="22"/>
          <w:szCs w:val="22"/>
        </w:rPr>
        <w:t>handicapped individuals from making decisions that affect their life by requiring supported decisions-making and presuming competence (Series, 2015). By al</w:t>
      </w:r>
      <w:r w:rsidR="00910172" w:rsidRPr="2F5676DA">
        <w:rPr>
          <w:sz w:val="22"/>
          <w:szCs w:val="22"/>
        </w:rPr>
        <w:t xml:space="preserve">lowing disabled people to </w:t>
      </w:r>
      <w:r w:rsidR="000F1C17" w:rsidRPr="2F5676DA">
        <w:rPr>
          <w:sz w:val="22"/>
          <w:szCs w:val="22"/>
        </w:rPr>
        <w:t>buy</w:t>
      </w:r>
      <w:r w:rsidR="00910172" w:rsidRPr="2F5676DA">
        <w:rPr>
          <w:sz w:val="22"/>
          <w:szCs w:val="22"/>
        </w:rPr>
        <w:t xml:space="preserve"> services that suit their unique </w:t>
      </w:r>
      <w:r w:rsidR="00FE73C3" w:rsidRPr="2F5676DA">
        <w:rPr>
          <w:sz w:val="22"/>
          <w:szCs w:val="22"/>
        </w:rPr>
        <w:t>needs and preferences, personal budgets</w:t>
      </w:r>
      <w:r w:rsidR="000F1C17" w:rsidRPr="2F5676DA">
        <w:rPr>
          <w:sz w:val="22"/>
          <w:szCs w:val="22"/>
        </w:rPr>
        <w:t>,</w:t>
      </w:r>
      <w:r w:rsidR="00FE73C3" w:rsidRPr="2F5676DA">
        <w:rPr>
          <w:sz w:val="22"/>
          <w:szCs w:val="22"/>
        </w:rPr>
        <w:t xml:space="preserve"> and direct payments -which have been expanded under successive governments-operatio</w:t>
      </w:r>
      <w:r w:rsidR="000F1C17" w:rsidRPr="2F5676DA">
        <w:rPr>
          <w:sz w:val="22"/>
          <w:szCs w:val="22"/>
        </w:rPr>
        <w:t>nalise person-centred care and, in theory, transfer power from professionals to service users (Glasby and Littlechild, 2016).</w:t>
      </w:r>
    </w:p>
    <w:p w14:paraId="6107811A" w14:textId="63103C0C" w:rsidR="002D05A1" w:rsidRDefault="00D239BC" w:rsidP="2F5676DA">
      <w:pPr>
        <w:keepNext/>
        <w:spacing w:after="0" w:line="360" w:lineRule="auto"/>
        <w:rPr>
          <w:sz w:val="22"/>
          <w:szCs w:val="22"/>
        </w:rPr>
      </w:pPr>
      <w:r w:rsidRPr="2F5676DA">
        <w:rPr>
          <w:sz w:val="22"/>
          <w:szCs w:val="22"/>
        </w:rPr>
        <w:t xml:space="preserve">The NHS Long </w:t>
      </w:r>
      <w:r w:rsidR="0018687F" w:rsidRPr="2F5676DA">
        <w:rPr>
          <w:sz w:val="22"/>
          <w:szCs w:val="22"/>
        </w:rPr>
        <w:t xml:space="preserve">Term </w:t>
      </w:r>
      <w:r w:rsidRPr="2F5676DA">
        <w:rPr>
          <w:sz w:val="22"/>
          <w:szCs w:val="22"/>
        </w:rPr>
        <w:t xml:space="preserve">Plan </w:t>
      </w:r>
      <w:r w:rsidR="0018687F" w:rsidRPr="2F5676DA">
        <w:rPr>
          <w:sz w:val="22"/>
          <w:szCs w:val="22"/>
        </w:rPr>
        <w:t xml:space="preserve">(NHS </w:t>
      </w:r>
      <w:r w:rsidR="008731DE" w:rsidRPr="2F5676DA">
        <w:rPr>
          <w:sz w:val="22"/>
          <w:szCs w:val="22"/>
        </w:rPr>
        <w:t xml:space="preserve">England, 2019) </w:t>
      </w:r>
      <w:r w:rsidR="004D6349" w:rsidRPr="2F5676DA">
        <w:rPr>
          <w:sz w:val="22"/>
          <w:szCs w:val="22"/>
        </w:rPr>
        <w:t xml:space="preserve">promises to reform </w:t>
      </w:r>
      <w:r w:rsidR="000F3639" w:rsidRPr="2F5676DA">
        <w:rPr>
          <w:sz w:val="22"/>
          <w:szCs w:val="22"/>
        </w:rPr>
        <w:t>learning disability services, provide accessible healthcare</w:t>
      </w:r>
      <w:r w:rsidR="006550FF" w:rsidRPr="2F5676DA">
        <w:rPr>
          <w:sz w:val="22"/>
          <w:szCs w:val="22"/>
        </w:rPr>
        <w:t xml:space="preserve">, and provide </w:t>
      </w:r>
      <w:r w:rsidR="00DE4953" w:rsidRPr="2F5676DA">
        <w:rPr>
          <w:sz w:val="22"/>
          <w:szCs w:val="22"/>
        </w:rPr>
        <w:t>individualised</w:t>
      </w:r>
      <w:r w:rsidR="00C77497" w:rsidRPr="2F5676DA">
        <w:rPr>
          <w:sz w:val="22"/>
          <w:szCs w:val="22"/>
        </w:rPr>
        <w:t xml:space="preserve"> </w:t>
      </w:r>
      <w:r w:rsidR="00DE4953" w:rsidRPr="2F5676DA">
        <w:rPr>
          <w:sz w:val="22"/>
          <w:szCs w:val="22"/>
        </w:rPr>
        <w:t>care and support</w:t>
      </w:r>
      <w:r w:rsidR="00C77497" w:rsidRPr="2F5676DA">
        <w:rPr>
          <w:sz w:val="22"/>
          <w:szCs w:val="22"/>
        </w:rPr>
        <w:t xml:space="preserve"> </w:t>
      </w:r>
      <w:r w:rsidR="00526599" w:rsidRPr="2F5676DA">
        <w:rPr>
          <w:sz w:val="22"/>
          <w:szCs w:val="22"/>
        </w:rPr>
        <w:t xml:space="preserve">planning-all of which </w:t>
      </w:r>
      <w:r w:rsidR="00D21240" w:rsidRPr="2F5676DA">
        <w:rPr>
          <w:sz w:val="22"/>
          <w:szCs w:val="22"/>
        </w:rPr>
        <w:t>-</w:t>
      </w:r>
      <w:r w:rsidR="00526599" w:rsidRPr="2F5676DA">
        <w:rPr>
          <w:sz w:val="22"/>
          <w:szCs w:val="22"/>
        </w:rPr>
        <w:t xml:space="preserve">are </w:t>
      </w:r>
      <w:r w:rsidR="00D21240" w:rsidRPr="2F5676DA">
        <w:rPr>
          <w:sz w:val="22"/>
          <w:szCs w:val="22"/>
        </w:rPr>
        <w:t>decided</w:t>
      </w:r>
      <w:r w:rsidR="00526599" w:rsidRPr="2F5676DA">
        <w:rPr>
          <w:sz w:val="22"/>
          <w:szCs w:val="22"/>
        </w:rPr>
        <w:t xml:space="preserve"> by social models.</w:t>
      </w:r>
      <w:r w:rsidR="002A19FD" w:rsidRPr="2F5676DA">
        <w:rPr>
          <w:sz w:val="22"/>
          <w:szCs w:val="22"/>
        </w:rPr>
        <w:t xml:space="preserve"> A major obstacle noted by the social </w:t>
      </w:r>
      <w:r w:rsidR="00D17987" w:rsidRPr="2F5676DA">
        <w:rPr>
          <w:sz w:val="22"/>
          <w:szCs w:val="22"/>
        </w:rPr>
        <w:t xml:space="preserve">model is </w:t>
      </w:r>
      <w:r w:rsidR="00073B6B" w:rsidRPr="2F5676DA">
        <w:rPr>
          <w:sz w:val="22"/>
          <w:szCs w:val="22"/>
        </w:rPr>
        <w:t xml:space="preserve">solved </w:t>
      </w:r>
      <w:r w:rsidR="00D17987" w:rsidRPr="2F5676DA">
        <w:rPr>
          <w:sz w:val="22"/>
          <w:szCs w:val="22"/>
        </w:rPr>
        <w:t>by the Acces</w:t>
      </w:r>
      <w:r w:rsidR="00F27EF9" w:rsidRPr="2F5676DA">
        <w:rPr>
          <w:sz w:val="22"/>
          <w:szCs w:val="22"/>
        </w:rPr>
        <w:t xml:space="preserve">sible Information </w:t>
      </w:r>
      <w:r w:rsidR="00BF2CF4" w:rsidRPr="2F5676DA">
        <w:rPr>
          <w:sz w:val="22"/>
          <w:szCs w:val="22"/>
        </w:rPr>
        <w:t>Standards</w:t>
      </w:r>
      <w:r w:rsidR="00FC4612" w:rsidRPr="2F5676DA">
        <w:rPr>
          <w:sz w:val="22"/>
          <w:szCs w:val="22"/>
        </w:rPr>
        <w:t>, that were implemented</w:t>
      </w:r>
      <w:r w:rsidR="00F27EF9" w:rsidRPr="2F5676DA">
        <w:rPr>
          <w:sz w:val="22"/>
          <w:szCs w:val="22"/>
        </w:rPr>
        <w:t xml:space="preserve"> </w:t>
      </w:r>
      <w:r w:rsidR="00EB7A8A" w:rsidRPr="2F5676DA">
        <w:rPr>
          <w:sz w:val="22"/>
          <w:szCs w:val="22"/>
        </w:rPr>
        <w:t>in 2016</w:t>
      </w:r>
      <w:r w:rsidR="009F67AE" w:rsidRPr="2F5676DA">
        <w:rPr>
          <w:sz w:val="22"/>
          <w:szCs w:val="22"/>
        </w:rPr>
        <w:t xml:space="preserve"> and require health and social care providers to name and address communication requirements </w:t>
      </w:r>
      <w:r w:rsidR="002D05A1" w:rsidRPr="2F5676DA">
        <w:rPr>
          <w:sz w:val="22"/>
          <w:szCs w:val="22"/>
        </w:rPr>
        <w:t>(NHS England, 2017).</w:t>
      </w:r>
    </w:p>
    <w:p w14:paraId="328AA0DA" w14:textId="3BAC6E12" w:rsidR="003C3276" w:rsidRDefault="009F67AE" w:rsidP="2F5676DA">
      <w:pPr>
        <w:keepNext/>
        <w:spacing w:after="0" w:line="360" w:lineRule="auto"/>
        <w:rPr>
          <w:sz w:val="22"/>
          <w:szCs w:val="22"/>
        </w:rPr>
      </w:pPr>
      <w:r w:rsidRPr="2F5676DA">
        <w:rPr>
          <w:sz w:val="22"/>
          <w:szCs w:val="22"/>
        </w:rPr>
        <w:t xml:space="preserve"> </w:t>
      </w:r>
    </w:p>
    <w:p w14:paraId="0B5563DD" w14:textId="47AAA047" w:rsidR="009D5C82" w:rsidRDefault="00B95AC7" w:rsidP="2F5676DA">
      <w:pPr>
        <w:keepNext/>
        <w:spacing w:after="0" w:line="360" w:lineRule="auto"/>
        <w:rPr>
          <w:sz w:val="22"/>
          <w:szCs w:val="22"/>
        </w:rPr>
      </w:pPr>
      <w:r w:rsidRPr="2F5676DA">
        <w:rPr>
          <w:sz w:val="22"/>
          <w:szCs w:val="22"/>
        </w:rPr>
        <w:t xml:space="preserve">Significant implementation issues still exist despite policy commitments. Gaps between policy </w:t>
      </w:r>
      <w:r w:rsidR="00C3466A" w:rsidRPr="2F5676DA">
        <w:rPr>
          <w:sz w:val="22"/>
          <w:szCs w:val="22"/>
        </w:rPr>
        <w:t>Pretoria and ac</w:t>
      </w:r>
      <w:r w:rsidR="003258A6" w:rsidRPr="2F5676DA">
        <w:rPr>
          <w:sz w:val="22"/>
          <w:szCs w:val="22"/>
        </w:rPr>
        <w:t xml:space="preserve">tual reality are often shown by research. </w:t>
      </w:r>
      <w:r w:rsidR="000F34C3" w:rsidRPr="2F5676DA">
        <w:rPr>
          <w:sz w:val="22"/>
          <w:szCs w:val="22"/>
        </w:rPr>
        <w:t xml:space="preserve">Duffy (2017) discovered that although personal budgets are </w:t>
      </w:r>
      <w:r w:rsidR="00B1622B" w:rsidRPr="2F5676DA">
        <w:rPr>
          <w:sz w:val="22"/>
          <w:szCs w:val="22"/>
        </w:rPr>
        <w:t xml:space="preserve">liberating, they frequently entail </w:t>
      </w:r>
      <w:r w:rsidR="00635478" w:rsidRPr="2F5676DA">
        <w:rPr>
          <w:sz w:val="22"/>
          <w:szCs w:val="22"/>
        </w:rPr>
        <w:t xml:space="preserve">bureaucratic procedures </w:t>
      </w:r>
      <w:r w:rsidR="00470F06" w:rsidRPr="2F5676DA">
        <w:rPr>
          <w:sz w:val="22"/>
          <w:szCs w:val="22"/>
        </w:rPr>
        <w:t xml:space="preserve">that erect </w:t>
      </w:r>
      <w:r w:rsidR="00F41B4A" w:rsidRPr="2F5676DA">
        <w:rPr>
          <w:sz w:val="22"/>
          <w:szCs w:val="22"/>
        </w:rPr>
        <w:t>additional obstacles, with many disabled individuals complaining of inadequate assistance in navigating complicated system</w:t>
      </w:r>
      <w:r w:rsidR="00BE0ABC" w:rsidRPr="2F5676DA">
        <w:rPr>
          <w:sz w:val="22"/>
          <w:szCs w:val="22"/>
        </w:rPr>
        <w:t xml:space="preserve">s. Additionally, since 2020, budget </w:t>
      </w:r>
      <w:r w:rsidR="004E2263" w:rsidRPr="2F5676DA">
        <w:rPr>
          <w:sz w:val="22"/>
          <w:szCs w:val="22"/>
        </w:rPr>
        <w:t>cuts</w:t>
      </w:r>
      <w:r w:rsidR="00BE0ABC" w:rsidRPr="2F5676DA">
        <w:rPr>
          <w:sz w:val="22"/>
          <w:szCs w:val="22"/>
        </w:rPr>
        <w:t xml:space="preserve"> </w:t>
      </w:r>
      <w:r w:rsidR="004E2263" w:rsidRPr="2F5676DA">
        <w:rPr>
          <w:sz w:val="22"/>
          <w:szCs w:val="22"/>
        </w:rPr>
        <w:t xml:space="preserve">to local authority </w:t>
      </w:r>
      <w:r w:rsidR="007139AA" w:rsidRPr="2F5676DA">
        <w:rPr>
          <w:sz w:val="22"/>
          <w:szCs w:val="22"/>
        </w:rPr>
        <w:t xml:space="preserve">social care have significantly a limited the availability of services. </w:t>
      </w:r>
      <w:r w:rsidR="00657C48" w:rsidRPr="2F5676DA">
        <w:rPr>
          <w:sz w:val="22"/>
          <w:szCs w:val="22"/>
        </w:rPr>
        <w:t>Eligibility requirements have been tightened to concentrate only on critical needs, thereby abandoning the social model’s core preventative and enabling ap</w:t>
      </w:r>
      <w:r w:rsidR="002715CE" w:rsidRPr="2F5676DA">
        <w:rPr>
          <w:sz w:val="22"/>
          <w:szCs w:val="22"/>
        </w:rPr>
        <w:t xml:space="preserve">proaches (Glasby </w:t>
      </w:r>
      <w:r w:rsidR="00803AB0" w:rsidRPr="2F5676DA">
        <w:rPr>
          <w:sz w:val="22"/>
          <w:szCs w:val="22"/>
        </w:rPr>
        <w:t>and Litt</w:t>
      </w:r>
      <w:r w:rsidR="00004F36" w:rsidRPr="2F5676DA">
        <w:rPr>
          <w:sz w:val="22"/>
          <w:szCs w:val="22"/>
        </w:rPr>
        <w:t>lechild, 2016)</w:t>
      </w:r>
    </w:p>
    <w:p w14:paraId="57538CE5" w14:textId="15D09FBC" w:rsidR="5716A156" w:rsidRDefault="009B31E2" w:rsidP="2F5676DA">
      <w:pPr>
        <w:keepNext/>
        <w:spacing w:line="360" w:lineRule="auto"/>
        <w:rPr>
          <w:sz w:val="22"/>
          <w:szCs w:val="22"/>
        </w:rPr>
      </w:pPr>
      <w:r w:rsidRPr="2F5676DA">
        <w:rPr>
          <w:sz w:val="22"/>
          <w:szCs w:val="22"/>
        </w:rPr>
        <w:t xml:space="preserve">Healthcare settings stay particularly problematic. Despite legal obligations, </w:t>
      </w:r>
      <w:r w:rsidR="00AA094B" w:rsidRPr="2F5676DA">
        <w:rPr>
          <w:sz w:val="22"/>
          <w:szCs w:val="22"/>
        </w:rPr>
        <w:t xml:space="preserve">disabled individuals continue to experience </w:t>
      </w:r>
      <w:r w:rsidR="00ED2550" w:rsidRPr="2F5676DA">
        <w:rPr>
          <w:sz w:val="22"/>
          <w:szCs w:val="22"/>
        </w:rPr>
        <w:t xml:space="preserve">significant barriers accessing healthcare, including </w:t>
      </w:r>
      <w:r w:rsidR="00E8032C" w:rsidRPr="2F5676DA">
        <w:rPr>
          <w:sz w:val="22"/>
          <w:szCs w:val="22"/>
        </w:rPr>
        <w:t>inaccessible facilities, inadequate communication support</w:t>
      </w:r>
      <w:r w:rsidR="00405372" w:rsidRPr="2F5676DA">
        <w:rPr>
          <w:sz w:val="22"/>
          <w:szCs w:val="22"/>
        </w:rPr>
        <w:t xml:space="preserve">, and </w:t>
      </w:r>
      <w:r w:rsidR="00182AAB" w:rsidRPr="2F5676DA">
        <w:rPr>
          <w:sz w:val="22"/>
          <w:szCs w:val="22"/>
        </w:rPr>
        <w:t>attitu</w:t>
      </w:r>
      <w:r w:rsidR="00422E8E" w:rsidRPr="2F5676DA">
        <w:rPr>
          <w:sz w:val="22"/>
          <w:szCs w:val="22"/>
        </w:rPr>
        <w:t xml:space="preserve">dinal barriers </w:t>
      </w:r>
      <w:r w:rsidR="002E1053" w:rsidRPr="2F5676DA">
        <w:rPr>
          <w:sz w:val="22"/>
          <w:szCs w:val="22"/>
        </w:rPr>
        <w:t>from staff who lack disability awareness (Tuffre</w:t>
      </w:r>
      <w:r w:rsidR="006D6639" w:rsidRPr="2F5676DA">
        <w:rPr>
          <w:sz w:val="22"/>
          <w:szCs w:val="22"/>
        </w:rPr>
        <w:t>y-Wi</w:t>
      </w:r>
      <w:r w:rsidR="005C5107" w:rsidRPr="2F5676DA">
        <w:rPr>
          <w:sz w:val="22"/>
          <w:szCs w:val="22"/>
        </w:rPr>
        <w:t>jne et al</w:t>
      </w:r>
      <w:r w:rsidR="0076398F" w:rsidRPr="2F5676DA">
        <w:rPr>
          <w:sz w:val="22"/>
          <w:szCs w:val="22"/>
        </w:rPr>
        <w:t>,</w:t>
      </w:r>
      <w:r w:rsidR="005C5107" w:rsidRPr="2F5676DA">
        <w:rPr>
          <w:sz w:val="22"/>
          <w:szCs w:val="22"/>
        </w:rPr>
        <w:t xml:space="preserve"> </w:t>
      </w:r>
      <w:r w:rsidR="0076398F" w:rsidRPr="2F5676DA">
        <w:rPr>
          <w:sz w:val="22"/>
          <w:szCs w:val="22"/>
        </w:rPr>
        <w:t>2014).</w:t>
      </w:r>
      <w:r w:rsidR="005C5107" w:rsidRPr="2F5676DA">
        <w:rPr>
          <w:sz w:val="22"/>
          <w:szCs w:val="22"/>
        </w:rPr>
        <w:t xml:space="preserve"> </w:t>
      </w:r>
    </w:p>
    <w:p w14:paraId="52EB44FA" w14:textId="7109B6CB" w:rsidR="5716A156" w:rsidRDefault="0076398F" w:rsidP="2F5676DA">
      <w:pPr>
        <w:keepNext/>
        <w:spacing w:line="360" w:lineRule="auto"/>
        <w:rPr>
          <w:sz w:val="22"/>
          <w:szCs w:val="22"/>
        </w:rPr>
      </w:pPr>
      <w:r w:rsidRPr="2F5676DA">
        <w:rPr>
          <w:sz w:val="22"/>
          <w:szCs w:val="22"/>
        </w:rPr>
        <w:t xml:space="preserve">The confidential </w:t>
      </w:r>
      <w:r w:rsidR="000453F1" w:rsidRPr="2F5676DA">
        <w:rPr>
          <w:sz w:val="22"/>
          <w:szCs w:val="22"/>
        </w:rPr>
        <w:t xml:space="preserve">Inquiry </w:t>
      </w:r>
      <w:r w:rsidR="00AF3799" w:rsidRPr="2F5676DA">
        <w:rPr>
          <w:sz w:val="22"/>
          <w:szCs w:val="22"/>
        </w:rPr>
        <w:t xml:space="preserve">into premature </w:t>
      </w:r>
      <w:r w:rsidR="00814794" w:rsidRPr="2F5676DA">
        <w:rPr>
          <w:sz w:val="22"/>
          <w:szCs w:val="22"/>
        </w:rPr>
        <w:t xml:space="preserve">deaths </w:t>
      </w:r>
      <w:r w:rsidR="00B8031E" w:rsidRPr="2F5676DA">
        <w:rPr>
          <w:sz w:val="22"/>
          <w:szCs w:val="22"/>
        </w:rPr>
        <w:t xml:space="preserve">of people dying on average </w:t>
      </w:r>
      <w:r w:rsidR="006E736B" w:rsidRPr="2F5676DA">
        <w:rPr>
          <w:sz w:val="22"/>
          <w:szCs w:val="22"/>
        </w:rPr>
        <w:t xml:space="preserve">15-20 years earlier </w:t>
      </w:r>
      <w:r w:rsidR="00082BD7" w:rsidRPr="2F5676DA">
        <w:rPr>
          <w:sz w:val="22"/>
          <w:szCs w:val="22"/>
        </w:rPr>
        <w:t xml:space="preserve">than the general population (Heslop et al., 2013). These findings suggest that medical </w:t>
      </w:r>
      <w:r w:rsidR="00B566C2" w:rsidRPr="2F5676DA">
        <w:rPr>
          <w:sz w:val="22"/>
          <w:szCs w:val="22"/>
        </w:rPr>
        <w:t xml:space="preserve">model thinking persists in practice despite social model policy framework. </w:t>
      </w:r>
    </w:p>
    <w:p w14:paraId="460AF159" w14:textId="616F08B4" w:rsidR="07B7659E" w:rsidRDefault="07B7659E" w:rsidP="2F5676DA">
      <w:pPr>
        <w:keepNext/>
        <w:spacing w:line="360" w:lineRule="auto"/>
        <w:rPr>
          <w:rFonts w:ascii="Arial" w:eastAsia="Arial" w:hAnsi="Arial" w:cs="Arial"/>
          <w:color w:val="222222"/>
          <w:sz w:val="22"/>
          <w:szCs w:val="22"/>
        </w:rPr>
      </w:pPr>
      <w:r w:rsidRPr="2F5676DA">
        <w:rPr>
          <w:rFonts w:ascii="Arial" w:eastAsia="Arial" w:hAnsi="Arial" w:cs="Arial"/>
          <w:color w:val="222222"/>
          <w:sz w:val="22"/>
          <w:szCs w:val="22"/>
        </w:rPr>
        <w:t>Professional education and training remain inadequate. Many health and social care professionals receive limited disability equality training, resulting in practice that perpetuates rather than challenges disabling barriers (Shakespeare, 2018). The dominance of biomedical curricula means professionals often lack understanding of the social model or person-centred approaches, defaulting to paternalistic, deficit-focused interventions (Beresford, 2016).</w:t>
      </w:r>
    </w:p>
    <w:p w14:paraId="39326F2C" w14:textId="024A74F3" w:rsidR="07B7659E" w:rsidRDefault="07B7659E" w:rsidP="2F5676DA">
      <w:pPr>
        <w:keepNext/>
        <w:spacing w:line="360" w:lineRule="auto"/>
        <w:rPr>
          <w:rFonts w:ascii="Arial" w:eastAsia="Arial" w:hAnsi="Arial" w:cs="Arial"/>
          <w:color w:val="222222"/>
          <w:sz w:val="22"/>
          <w:szCs w:val="22"/>
        </w:rPr>
      </w:pPr>
      <w:r w:rsidRPr="2F5676DA">
        <w:rPr>
          <w:rFonts w:ascii="Arial" w:eastAsia="Arial" w:hAnsi="Arial" w:cs="Arial"/>
          <w:color w:val="222222"/>
          <w:sz w:val="22"/>
          <w:szCs w:val="22"/>
        </w:rPr>
        <w:t>Institutional cultures pose further challenges. The performance management frameworks governing health and social care prioritize efficiency, throughput, and standardized outcomes, creating tensions with person-centred care's emphasis on individualized, relationship-based practice (Needham and Glasby, 2014). Time pressures and resource constraints mean practitioners struggle to implement truly personalized approaches, despite policy expectations (Roulstone and Prideaux, 2012).</w:t>
      </w:r>
      <w:r>
        <w:br/>
      </w:r>
      <w:r>
        <w:br/>
      </w:r>
      <w:r w:rsidRPr="2F5676DA">
        <w:rPr>
          <w:rFonts w:ascii="Arial" w:eastAsia="Arial" w:hAnsi="Arial" w:cs="Arial"/>
          <w:color w:val="222222"/>
          <w:sz w:val="22"/>
          <w:szCs w:val="22"/>
        </w:rPr>
        <w:t>Additionally, the social model's application to mental health and cognitive impairments remains contested. Mental health services often remain dominated by medical model approaches emphasizing diagnosis and pharmacological intervention, with service user movements advocating for recovery-oriented, trauma-informed approaches more aligned with social model thinking (Beresford, 2016). However, implementation remains patchy, with coercive practices including involuntary detention and treatment continuing despite their fundamental incompatibility with person-centred principles (Spandler and Anderson, 2015).</w:t>
      </w:r>
    </w:p>
    <w:p w14:paraId="5CDAAEE9" w14:textId="6B66E8F2" w:rsidR="07B7659E" w:rsidRDefault="07B7659E" w:rsidP="2F5676DA">
      <w:pPr>
        <w:keepNext/>
        <w:spacing w:after="0" w:line="360" w:lineRule="auto"/>
        <w:rPr>
          <w:rFonts w:ascii="Arial" w:eastAsia="Arial" w:hAnsi="Arial" w:cs="Arial"/>
          <w:color w:val="222222"/>
          <w:sz w:val="22"/>
          <w:szCs w:val="22"/>
        </w:rPr>
      </w:pPr>
      <w:r w:rsidRPr="2F5676DA">
        <w:rPr>
          <w:rFonts w:ascii="Arial" w:eastAsia="Arial" w:hAnsi="Arial" w:cs="Arial"/>
          <w:color w:val="222222"/>
          <w:sz w:val="22"/>
          <w:szCs w:val="22"/>
        </w:rPr>
        <w:t>To realize the social model's potential in promoting person-centred care, several recommendations emerge. Firstly, professional education must be fundamentally reformed to embed disability equality, the social model, and person-centred approaches throughout curricula for all health and social care professions (Shakespeare, 2018). This should include co-production with disabled people as educators, ensuring authentic representation of lived experience rather than tokenistic involvement (Beresford, 2016).</w:t>
      </w:r>
      <w:r>
        <w:br/>
      </w:r>
      <w:r>
        <w:br/>
      </w:r>
      <w:r w:rsidRPr="2F5676DA">
        <w:rPr>
          <w:rFonts w:ascii="Arial" w:eastAsia="Arial" w:hAnsi="Arial" w:cs="Arial"/>
          <w:color w:val="222222"/>
          <w:sz w:val="22"/>
          <w:szCs w:val="22"/>
        </w:rPr>
        <w:t>Secondly, adequate and sustainable funding for social care is essential. The current crisis in social care funding fundamentally undermines person-centred care and social model implementation (Glasby and Littlechild, 2016). Government must commit to long-term investment that enables preventative, enabling services rather than crisis-driven minimal interventions. This includes properly resourcing personal budgets with adequate support for navigation</w:t>
      </w:r>
      <w:r w:rsidR="604D228E" w:rsidRPr="2F5676DA">
        <w:rPr>
          <w:rFonts w:ascii="Arial" w:eastAsia="Arial" w:hAnsi="Arial" w:cs="Arial"/>
          <w:color w:val="222222"/>
          <w:sz w:val="22"/>
          <w:szCs w:val="22"/>
        </w:rPr>
        <w:t xml:space="preserve"> </w:t>
      </w:r>
      <w:r w:rsidRPr="2F5676DA">
        <w:rPr>
          <w:rFonts w:ascii="Arial" w:eastAsia="Arial" w:hAnsi="Arial" w:cs="Arial"/>
          <w:color w:val="222222"/>
          <w:sz w:val="22"/>
          <w:szCs w:val="22"/>
        </w:rPr>
        <w:t>and advocacy (Duffy,2017).</w:t>
      </w:r>
      <w:r>
        <w:br/>
      </w:r>
      <w:r>
        <w:br/>
      </w:r>
      <w:r w:rsidRPr="2F5676DA">
        <w:rPr>
          <w:rFonts w:ascii="Arial" w:eastAsia="Arial" w:hAnsi="Arial" w:cs="Arial"/>
          <w:color w:val="222222"/>
          <w:sz w:val="22"/>
          <w:szCs w:val="22"/>
        </w:rPr>
        <w:t xml:space="preserve">Thirdly, accountability mechanisms must be strengthened. Despite legal obligations under the Equality Act 2010, enforcement remains weak, with disabled people facing significant barriers to redress (Roulstone and Prideaux, 2012). Regulatory bodies including the Care Quality Commission should adopt explicit social model frameworks in inspection and rating, holding services accountable for accessibility, reasonable adjustments, and person-centred </w:t>
      </w:r>
      <w:r w:rsidR="12266BC0" w:rsidRPr="2F5676DA">
        <w:rPr>
          <w:rFonts w:ascii="Arial" w:eastAsia="Arial" w:hAnsi="Arial" w:cs="Arial"/>
          <w:color w:val="222222"/>
          <w:sz w:val="22"/>
          <w:szCs w:val="22"/>
        </w:rPr>
        <w:t>practice(</w:t>
      </w:r>
      <w:r w:rsidRPr="2F5676DA">
        <w:rPr>
          <w:rFonts w:ascii="Arial" w:eastAsia="Arial" w:hAnsi="Arial" w:cs="Arial"/>
          <w:color w:val="222222"/>
          <w:sz w:val="22"/>
          <w:szCs w:val="22"/>
        </w:rPr>
        <w:t>Shakespeare,2018).</w:t>
      </w:r>
      <w:r>
        <w:br/>
      </w:r>
      <w:r>
        <w:br/>
      </w:r>
      <w:r w:rsidRPr="2F5676DA">
        <w:rPr>
          <w:rFonts w:ascii="Arial" w:eastAsia="Arial" w:hAnsi="Arial" w:cs="Arial"/>
          <w:color w:val="222222"/>
          <w:sz w:val="22"/>
          <w:szCs w:val="22"/>
        </w:rPr>
        <w:t>Fourthly, co-production must become genuinely embedded in service design, delivery, and evaluation. This means disabled people's organizations receiving adequate resources to participate meaningfully, with power-sharing rather than consultation (Needham and Glasby, 2014). Co-production should extend beyond individual care planning to strategic commissioning and policy development, ensuring systemic change rather than individualized adjustments (Beresford, 2016).</w:t>
      </w:r>
      <w:r>
        <w:br/>
      </w:r>
      <w:r>
        <w:br/>
      </w:r>
      <w:r w:rsidRPr="2F5676DA">
        <w:rPr>
          <w:rFonts w:ascii="Arial" w:eastAsia="Arial" w:hAnsi="Arial" w:cs="Arial"/>
          <w:color w:val="222222"/>
          <w:sz w:val="22"/>
          <w:szCs w:val="22"/>
        </w:rPr>
        <w:t>Fifthly, performance frameworks must be redesigned to measure outcomes that matter to disabled people—autonomy, social participation, quality of life—rather than simply service outputs or clinical indicators (Department of Health, 2014). This requires developing co-produced outcome measures that capture person-centred care's complexity and the social model's emphasis on participation and inclusion (Hall, 2019).</w:t>
      </w:r>
      <w:r>
        <w:br/>
      </w:r>
      <w:r>
        <w:br/>
      </w:r>
      <w:r w:rsidRPr="2F5676DA">
        <w:rPr>
          <w:rFonts w:ascii="Arial" w:eastAsia="Arial" w:hAnsi="Arial" w:cs="Arial"/>
          <w:color w:val="222222"/>
          <w:sz w:val="22"/>
          <w:szCs w:val="22"/>
        </w:rPr>
        <w:t>Finally, intersectional approaches must be adopted, recognizing that disability interacts with other identity categories to create distinct experiences of oppression and distinct support needs (Thomas, 2017). This means collecting and analyzing data on protected characteristics, ensuring services are culturally appropriate and accessible, and addressing compounded disadvantage faced by, for example, disabled people from ethnic minority communities or LGBTQ+ disabled people (Hall, 2019).</w:t>
      </w:r>
    </w:p>
    <w:p w14:paraId="392B98DE" w14:textId="470F7638" w:rsidR="07B7659E" w:rsidRDefault="07B7659E" w:rsidP="2F5676DA">
      <w:pPr>
        <w:keepNext/>
        <w:spacing w:line="360" w:lineRule="auto"/>
        <w:rPr>
          <w:rFonts w:ascii="Arial" w:eastAsia="Arial" w:hAnsi="Arial" w:cs="Arial"/>
          <w:color w:val="222222"/>
          <w:sz w:val="22"/>
          <w:szCs w:val="22"/>
        </w:rPr>
      </w:pPr>
      <w:r w:rsidRPr="2F5676DA">
        <w:rPr>
          <w:rFonts w:ascii="Arial" w:eastAsia="Arial" w:hAnsi="Arial" w:cs="Arial"/>
          <w:color w:val="222222"/>
          <w:sz w:val="22"/>
          <w:szCs w:val="22"/>
        </w:rPr>
        <w:t xml:space="preserve">The social model of disability represents a fundamental reconceptualization that has profoundly influenced health and social care policy in the UK, providing theoretical foundations for person-centred care approaches. Its emphasis on removing societal barriers rather than 'fixing' individuals aligns with contemporary commitments to personalization, choice, and control. However, significant implementation challenges persist, with practice often </w:t>
      </w:r>
      <w:r w:rsidR="34437D9A" w:rsidRPr="2F5676DA">
        <w:rPr>
          <w:rFonts w:ascii="Arial" w:eastAsia="Arial" w:hAnsi="Arial" w:cs="Arial"/>
          <w:color w:val="222222"/>
          <w:sz w:val="22"/>
          <w:szCs w:val="22"/>
        </w:rPr>
        <w:t>lagging</w:t>
      </w:r>
      <w:r w:rsidRPr="2F5676DA">
        <w:rPr>
          <w:rFonts w:ascii="Arial" w:eastAsia="Arial" w:hAnsi="Arial" w:cs="Arial"/>
          <w:color w:val="222222"/>
          <w:sz w:val="22"/>
          <w:szCs w:val="22"/>
        </w:rPr>
        <w:t xml:space="preserve"> policy rhetoric. Funding constraints, inadequate professional education, persistent attitudinal barriers, and institutional cultures prioritizing efficiency over individualization all undermine the social model's realization in practice.</w:t>
      </w:r>
      <w:r>
        <w:br/>
      </w:r>
      <w:r>
        <w:br/>
      </w:r>
      <w:r w:rsidRPr="2F5676DA">
        <w:rPr>
          <w:rFonts w:ascii="Arial" w:eastAsia="Arial" w:hAnsi="Arial" w:cs="Arial"/>
          <w:color w:val="222222"/>
          <w:sz w:val="22"/>
          <w:szCs w:val="22"/>
        </w:rPr>
        <w:t>Moving forward requires sustained commitment to systemic change: reformed professional education, adequate funding, strengthened accountability, genuine co-production, redesigned performance frameworks, and intersectional approaches. Only through such comprehensive transformation can health and social care truly embody the social model's vision of disabled people as equal citizens with the right to participate fully in society, supported by services that enable rather than disable, that personalize rather than standardize, and that recognize disability as a social justice issue requiring collective responsibility rather than an individual tragedy requiring professional intervention.</w:t>
      </w:r>
    </w:p>
    <w:p w14:paraId="5251F632" w14:textId="07C6A5E8" w:rsidR="2F5676DA" w:rsidRDefault="2F5676DA" w:rsidP="2F5676DA">
      <w:pPr>
        <w:keepNext/>
        <w:spacing w:line="360" w:lineRule="auto"/>
        <w:rPr>
          <w:rFonts w:ascii="Arial" w:eastAsia="Arial" w:hAnsi="Arial" w:cs="Arial"/>
          <w:color w:val="222222"/>
          <w:sz w:val="22"/>
          <w:szCs w:val="22"/>
        </w:rPr>
      </w:pPr>
    </w:p>
    <w:p w14:paraId="2AE6C73F" w14:textId="6CCF2BB2" w:rsidR="2F5676DA" w:rsidRDefault="2F5676DA" w:rsidP="2F5676DA">
      <w:pPr>
        <w:keepNext/>
        <w:spacing w:line="360" w:lineRule="auto"/>
        <w:rPr>
          <w:rFonts w:ascii="Arial" w:eastAsia="Arial" w:hAnsi="Arial" w:cs="Arial"/>
          <w:b/>
          <w:bCs/>
          <w:color w:val="222222"/>
          <w:sz w:val="22"/>
          <w:szCs w:val="22"/>
        </w:rPr>
      </w:pPr>
    </w:p>
    <w:p w14:paraId="594C19BF" w14:textId="2F2AAFDB" w:rsidR="2F5676DA" w:rsidRDefault="2F5676DA" w:rsidP="2F5676DA">
      <w:pPr>
        <w:keepNext/>
        <w:spacing w:line="360" w:lineRule="auto"/>
        <w:rPr>
          <w:rFonts w:ascii="Arial" w:eastAsia="Arial" w:hAnsi="Arial" w:cs="Arial"/>
          <w:b/>
          <w:bCs/>
          <w:color w:val="222222"/>
          <w:sz w:val="22"/>
          <w:szCs w:val="22"/>
        </w:rPr>
      </w:pPr>
    </w:p>
    <w:p w14:paraId="147771B8" w14:textId="0C4BD4B2" w:rsidR="2F5676DA" w:rsidRDefault="2F5676DA" w:rsidP="2F5676DA">
      <w:pPr>
        <w:keepNext/>
        <w:spacing w:line="360" w:lineRule="auto"/>
        <w:rPr>
          <w:rFonts w:ascii="Arial" w:eastAsia="Arial" w:hAnsi="Arial" w:cs="Arial"/>
          <w:b/>
          <w:bCs/>
          <w:color w:val="222222"/>
          <w:sz w:val="22"/>
          <w:szCs w:val="22"/>
        </w:rPr>
      </w:pPr>
    </w:p>
    <w:p w14:paraId="4A0DA179" w14:textId="1942C628" w:rsidR="2F5676DA" w:rsidRDefault="2F5676DA" w:rsidP="2F5676DA">
      <w:pPr>
        <w:keepNext/>
        <w:spacing w:line="360" w:lineRule="auto"/>
        <w:rPr>
          <w:rFonts w:ascii="Arial" w:eastAsia="Arial" w:hAnsi="Arial" w:cs="Arial"/>
          <w:b/>
          <w:bCs/>
          <w:color w:val="222222"/>
          <w:sz w:val="22"/>
          <w:szCs w:val="22"/>
        </w:rPr>
      </w:pPr>
    </w:p>
    <w:p w14:paraId="0BCE3E8F" w14:textId="11F5174A" w:rsidR="2F5676DA" w:rsidRDefault="2F5676DA" w:rsidP="2F5676DA">
      <w:pPr>
        <w:keepNext/>
        <w:spacing w:line="360" w:lineRule="auto"/>
        <w:rPr>
          <w:rFonts w:ascii="Arial" w:eastAsia="Arial" w:hAnsi="Arial" w:cs="Arial"/>
          <w:b/>
          <w:bCs/>
          <w:color w:val="222222"/>
          <w:sz w:val="22"/>
          <w:szCs w:val="22"/>
        </w:rPr>
      </w:pPr>
    </w:p>
    <w:p w14:paraId="01F72F3F" w14:textId="58E15DAB" w:rsidR="2F5676DA" w:rsidRDefault="2F5676DA" w:rsidP="2F5676DA">
      <w:pPr>
        <w:keepNext/>
        <w:spacing w:line="360" w:lineRule="auto"/>
        <w:rPr>
          <w:rFonts w:ascii="Arial" w:eastAsia="Arial" w:hAnsi="Arial" w:cs="Arial"/>
          <w:b/>
          <w:bCs/>
          <w:color w:val="222222"/>
          <w:sz w:val="22"/>
          <w:szCs w:val="22"/>
        </w:rPr>
      </w:pPr>
    </w:p>
    <w:p w14:paraId="21CB7E84" w14:textId="0A2D2CE7" w:rsidR="2F5676DA" w:rsidRDefault="2F5676DA" w:rsidP="2F5676DA">
      <w:pPr>
        <w:keepNext/>
        <w:spacing w:line="360" w:lineRule="auto"/>
        <w:rPr>
          <w:rFonts w:ascii="Arial" w:eastAsia="Arial" w:hAnsi="Arial" w:cs="Arial"/>
          <w:b/>
          <w:bCs/>
          <w:color w:val="222222"/>
          <w:sz w:val="22"/>
          <w:szCs w:val="22"/>
        </w:rPr>
      </w:pPr>
    </w:p>
    <w:p w14:paraId="2F2E3AF1" w14:textId="29519FAC" w:rsidR="2F5676DA" w:rsidRDefault="2F5676DA" w:rsidP="2F5676DA">
      <w:pPr>
        <w:keepNext/>
        <w:spacing w:line="360" w:lineRule="auto"/>
        <w:rPr>
          <w:rFonts w:ascii="Arial" w:eastAsia="Arial" w:hAnsi="Arial" w:cs="Arial"/>
          <w:b/>
          <w:bCs/>
          <w:color w:val="222222"/>
          <w:sz w:val="22"/>
          <w:szCs w:val="22"/>
        </w:rPr>
      </w:pPr>
    </w:p>
    <w:p w14:paraId="064FACBF" w14:textId="0D703356" w:rsidR="2F5676DA" w:rsidRDefault="2F5676DA" w:rsidP="2F5676DA">
      <w:pPr>
        <w:keepNext/>
        <w:spacing w:line="360" w:lineRule="auto"/>
        <w:rPr>
          <w:rFonts w:ascii="Arial" w:eastAsia="Arial" w:hAnsi="Arial" w:cs="Arial"/>
          <w:b/>
          <w:bCs/>
          <w:color w:val="222222"/>
          <w:sz w:val="22"/>
          <w:szCs w:val="22"/>
        </w:rPr>
      </w:pPr>
    </w:p>
    <w:p w14:paraId="29F386EF" w14:textId="6B1E7A7B" w:rsidR="2F5676DA" w:rsidRDefault="2F5676DA" w:rsidP="2F5676DA">
      <w:pPr>
        <w:keepNext/>
        <w:spacing w:line="360" w:lineRule="auto"/>
        <w:rPr>
          <w:rFonts w:ascii="Arial" w:eastAsia="Arial" w:hAnsi="Arial" w:cs="Arial"/>
          <w:b/>
          <w:bCs/>
          <w:color w:val="222222"/>
          <w:sz w:val="22"/>
          <w:szCs w:val="22"/>
        </w:rPr>
      </w:pPr>
    </w:p>
    <w:p w14:paraId="1B94AB12" w14:textId="315C275B" w:rsidR="2F5676DA" w:rsidRDefault="2F5676DA" w:rsidP="2F5676DA">
      <w:pPr>
        <w:keepNext/>
        <w:spacing w:line="360" w:lineRule="auto"/>
        <w:rPr>
          <w:rFonts w:ascii="Arial" w:eastAsia="Arial" w:hAnsi="Arial" w:cs="Arial"/>
          <w:b/>
          <w:bCs/>
          <w:color w:val="222222"/>
          <w:sz w:val="22"/>
          <w:szCs w:val="22"/>
        </w:rPr>
      </w:pPr>
    </w:p>
    <w:p w14:paraId="45DCE62F" w14:textId="3F2067D5" w:rsidR="2F5676DA" w:rsidRDefault="2F5676DA" w:rsidP="2F5676DA">
      <w:pPr>
        <w:keepNext/>
        <w:spacing w:line="360" w:lineRule="auto"/>
        <w:rPr>
          <w:rFonts w:ascii="Arial" w:eastAsia="Arial" w:hAnsi="Arial" w:cs="Arial"/>
          <w:b/>
          <w:bCs/>
          <w:color w:val="222222"/>
          <w:sz w:val="22"/>
          <w:szCs w:val="22"/>
        </w:rPr>
      </w:pPr>
    </w:p>
    <w:p w14:paraId="0D774006" w14:textId="6EBDD48B" w:rsidR="54EAADC5" w:rsidRDefault="54EAADC5" w:rsidP="2F5676DA">
      <w:pPr>
        <w:keepNext/>
        <w:spacing w:line="360" w:lineRule="auto"/>
        <w:rPr>
          <w:rFonts w:ascii="Arial" w:eastAsia="Arial" w:hAnsi="Arial" w:cs="Arial"/>
          <w:b/>
          <w:bCs/>
          <w:color w:val="222222"/>
          <w:sz w:val="22"/>
          <w:szCs w:val="22"/>
        </w:rPr>
      </w:pPr>
      <w:r w:rsidRPr="2F5676DA">
        <w:rPr>
          <w:rFonts w:ascii="Arial" w:eastAsia="Arial" w:hAnsi="Arial" w:cs="Arial"/>
          <w:b/>
          <w:bCs/>
          <w:color w:val="222222"/>
          <w:sz w:val="22"/>
          <w:szCs w:val="22"/>
        </w:rPr>
        <w:t xml:space="preserve">References </w:t>
      </w:r>
    </w:p>
    <w:p w14:paraId="44D8FD39" w14:textId="201B583C" w:rsidR="54EAADC5" w:rsidRDefault="54EAADC5" w:rsidP="2F5676DA">
      <w:pPr>
        <w:keepNext/>
        <w:spacing w:after="0" w:line="360" w:lineRule="auto"/>
        <w:rPr>
          <w:rFonts w:ascii="Arial" w:eastAsia="Arial" w:hAnsi="Arial" w:cs="Arial"/>
          <w:color w:val="222222"/>
          <w:sz w:val="22"/>
          <w:szCs w:val="22"/>
        </w:rPr>
      </w:pPr>
      <w:r w:rsidRPr="2F5676DA">
        <w:rPr>
          <w:rFonts w:ascii="Arial" w:eastAsia="Arial" w:hAnsi="Arial" w:cs="Arial"/>
          <w:color w:val="222222"/>
          <w:sz w:val="22"/>
          <w:szCs w:val="22"/>
        </w:rPr>
        <w:t xml:space="preserve">Barnes, C. and Mercer, G. (2019) 'Disability, work and welfare: challenging the social exclusion of disabled people', </w:t>
      </w:r>
      <w:r w:rsidRPr="2F5676DA">
        <w:rPr>
          <w:rFonts w:ascii="Arial" w:eastAsia="Arial" w:hAnsi="Arial" w:cs="Arial"/>
          <w:i/>
          <w:iCs/>
          <w:color w:val="222222"/>
          <w:sz w:val="22"/>
          <w:szCs w:val="22"/>
        </w:rPr>
        <w:t>Work, Employment and Society</w:t>
      </w:r>
      <w:r w:rsidRPr="2F5676DA">
        <w:rPr>
          <w:rFonts w:ascii="Arial" w:eastAsia="Arial" w:hAnsi="Arial" w:cs="Arial"/>
          <w:color w:val="222222"/>
          <w:sz w:val="22"/>
          <w:szCs w:val="22"/>
        </w:rPr>
        <w:t>, 19(3), pp. 527-545.</w:t>
      </w:r>
      <w:r>
        <w:br/>
      </w:r>
      <w:r>
        <w:br/>
      </w:r>
      <w:r w:rsidRPr="2F5676DA">
        <w:rPr>
          <w:rFonts w:ascii="Arial" w:eastAsia="Arial" w:hAnsi="Arial" w:cs="Arial"/>
          <w:color w:val="222222"/>
          <w:sz w:val="22"/>
          <w:szCs w:val="22"/>
        </w:rPr>
        <w:t xml:space="preserve">Beresford, P. (2016) 'From "other" to involved: user involvement in research: an emerging paradigm', </w:t>
      </w:r>
      <w:r w:rsidRPr="2F5676DA">
        <w:rPr>
          <w:rFonts w:ascii="Arial" w:eastAsia="Arial" w:hAnsi="Arial" w:cs="Arial"/>
          <w:i/>
          <w:iCs/>
          <w:color w:val="222222"/>
          <w:sz w:val="22"/>
          <w:szCs w:val="22"/>
        </w:rPr>
        <w:t>Nordic Social Work Research</w:t>
      </w:r>
      <w:r w:rsidRPr="2F5676DA">
        <w:rPr>
          <w:rFonts w:ascii="Arial" w:eastAsia="Arial" w:hAnsi="Arial" w:cs="Arial"/>
          <w:color w:val="222222"/>
          <w:sz w:val="22"/>
          <w:szCs w:val="22"/>
        </w:rPr>
        <w:t>, 6(2), pp. 139-148.</w:t>
      </w:r>
      <w:r>
        <w:br/>
      </w:r>
      <w:r>
        <w:br/>
      </w:r>
      <w:r w:rsidRPr="2F5676DA">
        <w:rPr>
          <w:rFonts w:ascii="Arial" w:eastAsia="Arial" w:hAnsi="Arial" w:cs="Arial"/>
          <w:color w:val="222222"/>
          <w:sz w:val="22"/>
          <w:szCs w:val="22"/>
        </w:rPr>
        <w:t xml:space="preserve">Department of Health (2014) </w:t>
      </w:r>
      <w:r w:rsidRPr="2F5676DA">
        <w:rPr>
          <w:rFonts w:ascii="Arial" w:eastAsia="Arial" w:hAnsi="Arial" w:cs="Arial"/>
          <w:i/>
          <w:iCs/>
          <w:color w:val="222222"/>
          <w:sz w:val="22"/>
          <w:szCs w:val="22"/>
        </w:rPr>
        <w:t>Care and Support Statutory Guidance</w:t>
      </w:r>
      <w:r w:rsidR="6B7EC0A2" w:rsidRPr="2F5676DA">
        <w:rPr>
          <w:rFonts w:ascii="Arial" w:eastAsia="Arial" w:hAnsi="Arial" w:cs="Arial"/>
          <w:i/>
          <w:iCs/>
          <w:color w:val="222222"/>
          <w:sz w:val="22"/>
          <w:szCs w:val="22"/>
        </w:rPr>
        <w:t>.</w:t>
      </w:r>
      <w:r w:rsidRPr="2F5676DA">
        <w:rPr>
          <w:rFonts w:ascii="Arial" w:eastAsia="Arial" w:hAnsi="Arial" w:cs="Arial"/>
          <w:color w:val="222222"/>
          <w:sz w:val="22"/>
          <w:szCs w:val="22"/>
        </w:rPr>
        <w:t xml:space="preserve"> London: Department of Health.</w:t>
      </w:r>
      <w:r>
        <w:br/>
      </w:r>
      <w:r>
        <w:br/>
      </w:r>
      <w:r w:rsidRPr="2F5676DA">
        <w:rPr>
          <w:rFonts w:ascii="Arial" w:eastAsia="Arial" w:hAnsi="Arial" w:cs="Arial"/>
          <w:color w:val="222222"/>
          <w:sz w:val="22"/>
          <w:szCs w:val="22"/>
        </w:rPr>
        <w:t xml:space="preserve">Duffy, S. (2017) 'The future of personalisation', </w:t>
      </w:r>
      <w:r w:rsidRPr="2F5676DA">
        <w:rPr>
          <w:rFonts w:ascii="Arial" w:eastAsia="Arial" w:hAnsi="Arial" w:cs="Arial"/>
          <w:i/>
          <w:iCs/>
          <w:color w:val="222222"/>
          <w:sz w:val="22"/>
          <w:szCs w:val="22"/>
        </w:rPr>
        <w:t>Disability &amp; Society</w:t>
      </w:r>
      <w:r w:rsidRPr="2F5676DA">
        <w:rPr>
          <w:rFonts w:ascii="Arial" w:eastAsia="Arial" w:hAnsi="Arial" w:cs="Arial"/>
          <w:color w:val="222222"/>
          <w:sz w:val="22"/>
          <w:szCs w:val="22"/>
        </w:rPr>
        <w:t>, 32(8), pp. 1094-1098.</w:t>
      </w:r>
      <w:r>
        <w:br/>
      </w:r>
      <w:r>
        <w:br/>
      </w:r>
      <w:r w:rsidRPr="2F5676DA">
        <w:rPr>
          <w:rFonts w:ascii="Arial" w:eastAsia="Arial" w:hAnsi="Arial" w:cs="Arial"/>
          <w:color w:val="222222"/>
          <w:sz w:val="22"/>
          <w:szCs w:val="22"/>
        </w:rPr>
        <w:t>Glasby, J. and Littlechild, R. (2016) D</w:t>
      </w:r>
      <w:r w:rsidRPr="2F5676DA">
        <w:rPr>
          <w:rFonts w:ascii="Arial" w:eastAsia="Arial" w:hAnsi="Arial" w:cs="Arial"/>
          <w:i/>
          <w:iCs/>
          <w:color w:val="222222"/>
          <w:sz w:val="22"/>
          <w:szCs w:val="22"/>
        </w:rPr>
        <w:t>irect Payments and Personal Budgets: Putting Personalisation into Practice</w:t>
      </w:r>
      <w:r w:rsidRPr="2F5676DA">
        <w:rPr>
          <w:rFonts w:ascii="Arial" w:eastAsia="Arial" w:hAnsi="Arial" w:cs="Arial"/>
          <w:color w:val="222222"/>
          <w:sz w:val="22"/>
          <w:szCs w:val="22"/>
        </w:rPr>
        <w:t>. 3rd edn. Bristol: Policy Press.</w:t>
      </w:r>
      <w:r>
        <w:br/>
      </w:r>
      <w:r>
        <w:br/>
      </w:r>
      <w:r w:rsidRPr="2F5676DA">
        <w:rPr>
          <w:rFonts w:ascii="Arial" w:eastAsia="Arial" w:hAnsi="Arial" w:cs="Arial"/>
          <w:color w:val="222222"/>
          <w:sz w:val="22"/>
          <w:szCs w:val="22"/>
        </w:rPr>
        <w:t xml:space="preserve">Goodley, D. (2017) </w:t>
      </w:r>
      <w:r w:rsidRPr="2F5676DA">
        <w:rPr>
          <w:rFonts w:ascii="Arial" w:eastAsia="Arial" w:hAnsi="Arial" w:cs="Arial"/>
          <w:i/>
          <w:iCs/>
          <w:color w:val="222222"/>
          <w:sz w:val="22"/>
          <w:szCs w:val="22"/>
        </w:rPr>
        <w:t>Disability Studies: An Interdisciplinary Introduction</w:t>
      </w:r>
      <w:r w:rsidRPr="2F5676DA">
        <w:rPr>
          <w:rFonts w:ascii="Arial" w:eastAsia="Arial" w:hAnsi="Arial" w:cs="Arial"/>
          <w:color w:val="222222"/>
          <w:sz w:val="22"/>
          <w:szCs w:val="22"/>
        </w:rPr>
        <w:t>. 2nd edn. London: Sage.</w:t>
      </w:r>
      <w:r>
        <w:br/>
      </w:r>
      <w:r>
        <w:br/>
      </w:r>
      <w:r w:rsidRPr="2F5676DA">
        <w:rPr>
          <w:rFonts w:ascii="Arial" w:eastAsia="Arial" w:hAnsi="Arial" w:cs="Arial"/>
          <w:color w:val="222222"/>
          <w:sz w:val="22"/>
          <w:szCs w:val="22"/>
        </w:rPr>
        <w:t>Hall, E. (2019) 'Spaces of social inclusion and belonging for people with intellectual disabilities', *</w:t>
      </w:r>
      <w:r w:rsidRPr="2F5676DA">
        <w:rPr>
          <w:rFonts w:ascii="Arial" w:eastAsia="Arial" w:hAnsi="Arial" w:cs="Arial"/>
          <w:i/>
          <w:iCs/>
          <w:color w:val="222222"/>
          <w:sz w:val="22"/>
          <w:szCs w:val="22"/>
        </w:rPr>
        <w:t>ournal of Intellectual Disability Research</w:t>
      </w:r>
      <w:r w:rsidRPr="2F5676DA">
        <w:rPr>
          <w:rFonts w:ascii="Arial" w:eastAsia="Arial" w:hAnsi="Arial" w:cs="Arial"/>
          <w:color w:val="222222"/>
          <w:sz w:val="22"/>
          <w:szCs w:val="22"/>
        </w:rPr>
        <w:t>, 54(1), pp. 48-57.</w:t>
      </w:r>
      <w:r>
        <w:br/>
      </w:r>
      <w:r>
        <w:br/>
      </w:r>
      <w:r w:rsidRPr="2F5676DA">
        <w:rPr>
          <w:rFonts w:ascii="Arial" w:eastAsia="Arial" w:hAnsi="Arial" w:cs="Arial"/>
          <w:color w:val="222222"/>
          <w:sz w:val="22"/>
          <w:szCs w:val="22"/>
        </w:rPr>
        <w:t xml:space="preserve">Heslop, P., Blair, P., Fleming, P., Hoghton, M., Marriott, A. and Russ, L. (2013) </w:t>
      </w:r>
      <w:r w:rsidRPr="2F5676DA">
        <w:rPr>
          <w:rFonts w:ascii="Arial" w:eastAsia="Arial" w:hAnsi="Arial" w:cs="Arial"/>
          <w:i/>
          <w:iCs/>
          <w:color w:val="222222"/>
          <w:sz w:val="22"/>
          <w:szCs w:val="22"/>
        </w:rPr>
        <w:t>Confidential Inquiry into Premature Deaths of People with Learning Disabilities (CIPOLD)</w:t>
      </w:r>
      <w:r w:rsidRPr="2F5676DA">
        <w:rPr>
          <w:rFonts w:ascii="Arial" w:eastAsia="Arial" w:hAnsi="Arial" w:cs="Arial"/>
          <w:color w:val="222222"/>
          <w:sz w:val="22"/>
          <w:szCs w:val="22"/>
        </w:rPr>
        <w:t>. Bristol: Norah Fry Research Centre.</w:t>
      </w:r>
      <w:r>
        <w:br/>
      </w:r>
      <w:r>
        <w:br/>
      </w:r>
      <w:r w:rsidRPr="2F5676DA">
        <w:rPr>
          <w:rFonts w:ascii="Arial" w:eastAsia="Arial" w:hAnsi="Arial" w:cs="Arial"/>
          <w:color w:val="222222"/>
          <w:sz w:val="22"/>
          <w:szCs w:val="22"/>
        </w:rPr>
        <w:t xml:space="preserve">Needham, C. and Glasby, J. (2014) </w:t>
      </w:r>
      <w:r w:rsidRPr="2F5676DA">
        <w:rPr>
          <w:rFonts w:ascii="Arial" w:eastAsia="Arial" w:hAnsi="Arial" w:cs="Arial"/>
          <w:i/>
          <w:iCs/>
          <w:color w:val="222222"/>
          <w:sz w:val="22"/>
          <w:szCs w:val="22"/>
        </w:rPr>
        <w:t>Debates in Personalisation</w:t>
      </w:r>
      <w:r w:rsidRPr="2F5676DA">
        <w:rPr>
          <w:rFonts w:ascii="Arial" w:eastAsia="Arial" w:hAnsi="Arial" w:cs="Arial"/>
          <w:color w:val="222222"/>
          <w:sz w:val="22"/>
          <w:szCs w:val="22"/>
        </w:rPr>
        <w:t>. Bristol: Policy Press.</w:t>
      </w:r>
      <w:r>
        <w:br/>
      </w:r>
      <w:r>
        <w:br/>
      </w:r>
      <w:r w:rsidRPr="2F5676DA">
        <w:rPr>
          <w:rFonts w:ascii="Arial" w:eastAsia="Arial" w:hAnsi="Arial" w:cs="Arial"/>
          <w:color w:val="222222"/>
          <w:sz w:val="22"/>
          <w:szCs w:val="22"/>
        </w:rPr>
        <w:t xml:space="preserve">NHS England (2017) </w:t>
      </w:r>
      <w:r w:rsidRPr="2F5676DA">
        <w:rPr>
          <w:rFonts w:ascii="Arial" w:eastAsia="Arial" w:hAnsi="Arial" w:cs="Arial"/>
          <w:i/>
          <w:iCs/>
          <w:color w:val="222222"/>
          <w:sz w:val="22"/>
          <w:szCs w:val="22"/>
        </w:rPr>
        <w:t>Accessible Information Standard</w:t>
      </w:r>
      <w:r w:rsidRPr="2F5676DA">
        <w:rPr>
          <w:rFonts w:ascii="Arial" w:eastAsia="Arial" w:hAnsi="Arial" w:cs="Arial"/>
          <w:color w:val="222222"/>
          <w:sz w:val="22"/>
          <w:szCs w:val="22"/>
        </w:rPr>
        <w:t>. London: NHS England.</w:t>
      </w:r>
      <w:r>
        <w:br/>
      </w:r>
      <w:r>
        <w:br/>
      </w:r>
      <w:r w:rsidRPr="2F5676DA">
        <w:rPr>
          <w:rFonts w:ascii="Arial" w:eastAsia="Arial" w:hAnsi="Arial" w:cs="Arial"/>
          <w:color w:val="222222"/>
          <w:sz w:val="22"/>
          <w:szCs w:val="22"/>
        </w:rPr>
        <w:t xml:space="preserve">NHS England (2019) </w:t>
      </w:r>
      <w:r w:rsidRPr="2F5676DA">
        <w:rPr>
          <w:rFonts w:ascii="Arial" w:eastAsia="Arial" w:hAnsi="Arial" w:cs="Arial"/>
          <w:i/>
          <w:iCs/>
          <w:color w:val="222222"/>
          <w:sz w:val="22"/>
          <w:szCs w:val="22"/>
        </w:rPr>
        <w:t>The NHS Long Term Plan</w:t>
      </w:r>
      <w:r w:rsidRPr="2F5676DA">
        <w:rPr>
          <w:rFonts w:ascii="Arial" w:eastAsia="Arial" w:hAnsi="Arial" w:cs="Arial"/>
          <w:color w:val="222222"/>
          <w:sz w:val="22"/>
          <w:szCs w:val="22"/>
        </w:rPr>
        <w:t>. London: NHS England.</w:t>
      </w:r>
      <w:r>
        <w:br/>
      </w:r>
      <w:r>
        <w:br/>
      </w:r>
      <w:r w:rsidRPr="2F5676DA">
        <w:rPr>
          <w:rFonts w:ascii="Arial" w:eastAsia="Arial" w:hAnsi="Arial" w:cs="Arial"/>
          <w:color w:val="222222"/>
          <w:sz w:val="22"/>
          <w:szCs w:val="22"/>
        </w:rPr>
        <w:t xml:space="preserve">Oliver, M. (2013) 'The social model of disability: thirty years on', </w:t>
      </w:r>
      <w:r w:rsidRPr="2F5676DA">
        <w:rPr>
          <w:rFonts w:ascii="Arial" w:eastAsia="Arial" w:hAnsi="Arial" w:cs="Arial"/>
          <w:i/>
          <w:iCs/>
          <w:color w:val="222222"/>
          <w:sz w:val="22"/>
          <w:szCs w:val="22"/>
        </w:rPr>
        <w:t>Disability &amp; Society</w:t>
      </w:r>
      <w:r w:rsidRPr="2F5676DA">
        <w:rPr>
          <w:rFonts w:ascii="Arial" w:eastAsia="Arial" w:hAnsi="Arial" w:cs="Arial"/>
          <w:color w:val="222222"/>
          <w:sz w:val="22"/>
          <w:szCs w:val="22"/>
        </w:rPr>
        <w:t>, 28(7), pp. 1024-1026.</w:t>
      </w:r>
      <w:r>
        <w:br/>
      </w:r>
      <w:r>
        <w:br/>
      </w:r>
      <w:r w:rsidRPr="2F5676DA">
        <w:rPr>
          <w:rFonts w:ascii="Arial" w:eastAsia="Arial" w:hAnsi="Arial" w:cs="Arial"/>
          <w:color w:val="222222"/>
          <w:sz w:val="22"/>
          <w:szCs w:val="22"/>
        </w:rPr>
        <w:t xml:space="preserve">Roulstone, A. and Prideaux, S. (2012) </w:t>
      </w:r>
      <w:r w:rsidRPr="2F5676DA">
        <w:rPr>
          <w:rFonts w:ascii="Arial" w:eastAsia="Arial" w:hAnsi="Arial" w:cs="Arial"/>
          <w:i/>
          <w:iCs/>
          <w:color w:val="222222"/>
          <w:sz w:val="22"/>
          <w:szCs w:val="22"/>
        </w:rPr>
        <w:t xml:space="preserve">Understanding Disability </w:t>
      </w:r>
      <w:r w:rsidR="7E9FF665" w:rsidRPr="2F5676DA">
        <w:rPr>
          <w:rFonts w:ascii="Arial" w:eastAsia="Arial" w:hAnsi="Arial" w:cs="Arial"/>
          <w:i/>
          <w:iCs/>
          <w:color w:val="222222"/>
          <w:sz w:val="22"/>
          <w:szCs w:val="22"/>
        </w:rPr>
        <w:t>Policy. Bristol</w:t>
      </w:r>
      <w:r w:rsidRPr="2F5676DA">
        <w:rPr>
          <w:rFonts w:ascii="Arial" w:eastAsia="Arial" w:hAnsi="Arial" w:cs="Arial"/>
          <w:color w:val="222222"/>
          <w:sz w:val="22"/>
          <w:szCs w:val="22"/>
        </w:rPr>
        <w:t>: Policy Press.</w:t>
      </w:r>
      <w:r>
        <w:br/>
      </w:r>
      <w:r>
        <w:br/>
      </w:r>
      <w:r w:rsidRPr="2F5676DA">
        <w:rPr>
          <w:rFonts w:ascii="Arial" w:eastAsia="Arial" w:hAnsi="Arial" w:cs="Arial"/>
          <w:color w:val="222222"/>
          <w:sz w:val="22"/>
          <w:szCs w:val="22"/>
        </w:rPr>
        <w:t xml:space="preserve">Series, L. (2015) 'Relationships, autonomy and legal capacity: Mental capacity and support paradigms', </w:t>
      </w:r>
      <w:r w:rsidRPr="2F5676DA">
        <w:rPr>
          <w:rFonts w:ascii="Arial" w:eastAsia="Arial" w:hAnsi="Arial" w:cs="Arial"/>
          <w:i/>
          <w:iCs/>
          <w:color w:val="222222"/>
          <w:sz w:val="22"/>
          <w:szCs w:val="22"/>
        </w:rPr>
        <w:t>International Journal of Law and Psychiatry</w:t>
      </w:r>
      <w:r w:rsidRPr="2F5676DA">
        <w:rPr>
          <w:rFonts w:ascii="Arial" w:eastAsia="Arial" w:hAnsi="Arial" w:cs="Arial"/>
          <w:color w:val="222222"/>
          <w:sz w:val="22"/>
          <w:szCs w:val="22"/>
        </w:rPr>
        <w:t>, 40, pp. 80-91.</w:t>
      </w:r>
      <w:r>
        <w:br/>
      </w:r>
      <w:r>
        <w:br/>
      </w:r>
      <w:r w:rsidRPr="2F5676DA">
        <w:rPr>
          <w:rFonts w:ascii="Arial" w:eastAsia="Arial" w:hAnsi="Arial" w:cs="Arial"/>
          <w:color w:val="222222"/>
          <w:sz w:val="22"/>
          <w:szCs w:val="22"/>
        </w:rPr>
        <w:t xml:space="preserve">Shakespeare, T. (2014) </w:t>
      </w:r>
      <w:r w:rsidRPr="2F5676DA">
        <w:rPr>
          <w:rFonts w:ascii="Arial" w:eastAsia="Arial" w:hAnsi="Arial" w:cs="Arial"/>
          <w:i/>
          <w:iCs/>
          <w:color w:val="222222"/>
          <w:sz w:val="22"/>
          <w:szCs w:val="22"/>
        </w:rPr>
        <w:t>Disability Rights and Wrongs Revisited</w:t>
      </w:r>
      <w:r w:rsidRPr="2F5676DA">
        <w:rPr>
          <w:rFonts w:ascii="Arial" w:eastAsia="Arial" w:hAnsi="Arial" w:cs="Arial"/>
          <w:color w:val="222222"/>
          <w:sz w:val="22"/>
          <w:szCs w:val="22"/>
        </w:rPr>
        <w:t>. 2nd edn. Abingdon: Routledge.</w:t>
      </w:r>
      <w:r>
        <w:br/>
      </w:r>
      <w:r>
        <w:br/>
      </w:r>
      <w:r w:rsidRPr="2F5676DA">
        <w:rPr>
          <w:rFonts w:ascii="Arial" w:eastAsia="Arial" w:hAnsi="Arial" w:cs="Arial"/>
          <w:color w:val="222222"/>
          <w:sz w:val="22"/>
          <w:szCs w:val="22"/>
        </w:rPr>
        <w:t xml:space="preserve">Shakespeare, T. (2018) </w:t>
      </w:r>
      <w:r w:rsidRPr="2F5676DA">
        <w:rPr>
          <w:rFonts w:ascii="Arial" w:eastAsia="Arial" w:hAnsi="Arial" w:cs="Arial"/>
          <w:i/>
          <w:iCs/>
          <w:color w:val="222222"/>
          <w:sz w:val="22"/>
          <w:szCs w:val="22"/>
        </w:rPr>
        <w:t>Disability: The Basic</w:t>
      </w:r>
      <w:r w:rsidRPr="2F5676DA">
        <w:rPr>
          <w:rFonts w:ascii="Arial" w:eastAsia="Arial" w:hAnsi="Arial" w:cs="Arial"/>
          <w:color w:val="222222"/>
          <w:sz w:val="22"/>
          <w:szCs w:val="22"/>
        </w:rPr>
        <w:t>. Abingdon: Routledge.</w:t>
      </w:r>
      <w:r>
        <w:br/>
      </w:r>
      <w:r>
        <w:br/>
      </w:r>
      <w:r w:rsidRPr="2F5676DA">
        <w:rPr>
          <w:rFonts w:ascii="Arial" w:eastAsia="Arial" w:hAnsi="Arial" w:cs="Arial"/>
          <w:color w:val="222222"/>
          <w:sz w:val="22"/>
          <w:szCs w:val="22"/>
        </w:rPr>
        <w:t xml:space="preserve">Spandler, H. and Anderson, J. (2015) 'Unreasonable adjustments? Applying disability policy to madness and distress', </w:t>
      </w:r>
      <w:r w:rsidRPr="2F5676DA">
        <w:rPr>
          <w:rFonts w:ascii="Arial" w:eastAsia="Arial" w:hAnsi="Arial" w:cs="Arial"/>
          <w:i/>
          <w:iCs/>
          <w:color w:val="222222"/>
          <w:sz w:val="22"/>
          <w:szCs w:val="22"/>
        </w:rPr>
        <w:t>Social Theory &amp; Health</w:t>
      </w:r>
      <w:r w:rsidRPr="2F5676DA">
        <w:rPr>
          <w:rFonts w:ascii="Arial" w:eastAsia="Arial" w:hAnsi="Arial" w:cs="Arial"/>
          <w:color w:val="222222"/>
          <w:sz w:val="22"/>
          <w:szCs w:val="22"/>
        </w:rPr>
        <w:t>, 13(3-4), pp. 298-319.</w:t>
      </w:r>
      <w:r>
        <w:br/>
      </w:r>
      <w:r>
        <w:br/>
      </w:r>
      <w:r w:rsidRPr="2F5676DA">
        <w:rPr>
          <w:rFonts w:ascii="Arial" w:eastAsia="Arial" w:hAnsi="Arial" w:cs="Arial"/>
          <w:color w:val="222222"/>
          <w:sz w:val="22"/>
          <w:szCs w:val="22"/>
        </w:rPr>
        <w:t xml:space="preserve">Thomas, C. (2016) 'Disability and impairment', in Watson, N., Roulstone, A. and Thomas, C. (eds.) </w:t>
      </w:r>
      <w:r w:rsidRPr="2F5676DA">
        <w:rPr>
          <w:rFonts w:ascii="Arial" w:eastAsia="Arial" w:hAnsi="Arial" w:cs="Arial"/>
          <w:i/>
          <w:iCs/>
          <w:color w:val="222222"/>
          <w:sz w:val="22"/>
          <w:szCs w:val="22"/>
        </w:rPr>
        <w:t>Routledge Handbook of Disability Studies</w:t>
      </w:r>
      <w:r w:rsidRPr="2F5676DA">
        <w:rPr>
          <w:rFonts w:ascii="Arial" w:eastAsia="Arial" w:hAnsi="Arial" w:cs="Arial"/>
          <w:color w:val="222222"/>
          <w:sz w:val="22"/>
          <w:szCs w:val="22"/>
        </w:rPr>
        <w:t>. Abingdon: Routledge, pp. 9-22.</w:t>
      </w:r>
      <w:r>
        <w:br/>
      </w:r>
      <w:r>
        <w:br/>
      </w:r>
      <w:r w:rsidRPr="2F5676DA">
        <w:rPr>
          <w:rFonts w:ascii="Arial" w:eastAsia="Arial" w:hAnsi="Arial" w:cs="Arial"/>
          <w:color w:val="222222"/>
          <w:sz w:val="22"/>
          <w:szCs w:val="22"/>
        </w:rPr>
        <w:t xml:space="preserve">Thomas, C. (2017) </w:t>
      </w:r>
      <w:r w:rsidRPr="2F5676DA">
        <w:rPr>
          <w:rFonts w:ascii="Arial" w:eastAsia="Arial" w:hAnsi="Arial" w:cs="Arial"/>
          <w:i/>
          <w:iCs/>
          <w:color w:val="222222"/>
          <w:sz w:val="22"/>
          <w:szCs w:val="22"/>
        </w:rPr>
        <w:t>Sociologies of Disability and Illness</w:t>
      </w:r>
      <w:r w:rsidRPr="2F5676DA">
        <w:rPr>
          <w:rFonts w:ascii="Arial" w:eastAsia="Arial" w:hAnsi="Arial" w:cs="Arial"/>
          <w:color w:val="222222"/>
          <w:sz w:val="22"/>
          <w:szCs w:val="22"/>
        </w:rPr>
        <w:t>. London: Palgrave Macmillan.</w:t>
      </w:r>
      <w:r>
        <w:br/>
      </w:r>
      <w:r>
        <w:br/>
      </w:r>
      <w:r w:rsidRPr="2F5676DA">
        <w:rPr>
          <w:rFonts w:ascii="Arial" w:eastAsia="Arial" w:hAnsi="Arial" w:cs="Arial"/>
          <w:color w:val="222222"/>
          <w:sz w:val="22"/>
          <w:szCs w:val="22"/>
        </w:rPr>
        <w:t xml:space="preserve">Tuffrey-Wijne, I., Bernal, J., Butler, G., Hollins, S. and Curfs, L. (2014) 'Using Nominal Group Technique to investigate the views of people with intellectual disabilities on end-of-life care provision', </w:t>
      </w:r>
      <w:r w:rsidRPr="2F5676DA">
        <w:rPr>
          <w:rFonts w:ascii="Arial" w:eastAsia="Arial" w:hAnsi="Arial" w:cs="Arial"/>
          <w:i/>
          <w:iCs/>
          <w:color w:val="222222"/>
          <w:sz w:val="22"/>
          <w:szCs w:val="22"/>
        </w:rPr>
        <w:t>Journal of Advanced Nursing</w:t>
      </w:r>
      <w:r w:rsidRPr="2F5676DA">
        <w:rPr>
          <w:rFonts w:ascii="Arial" w:eastAsia="Arial" w:hAnsi="Arial" w:cs="Arial"/>
          <w:color w:val="222222"/>
          <w:sz w:val="22"/>
          <w:szCs w:val="22"/>
        </w:rPr>
        <w:t>, 70(5), pp. 1055-1065.</w:t>
      </w:r>
      <w:r>
        <w:br/>
      </w:r>
      <w:r>
        <w:br/>
      </w:r>
      <w:r w:rsidRPr="2F5676DA">
        <w:rPr>
          <w:rFonts w:ascii="Arial" w:eastAsia="Arial" w:hAnsi="Arial" w:cs="Arial"/>
          <w:color w:val="222222"/>
          <w:sz w:val="22"/>
          <w:szCs w:val="22"/>
        </w:rPr>
        <w:t xml:space="preserve">Watson, N. (2016) 'Theorising disability', in Watson, N., Roulstone, A. and Thomas, C. (eds.) </w:t>
      </w:r>
      <w:r w:rsidRPr="2F5676DA">
        <w:rPr>
          <w:rFonts w:ascii="Arial" w:eastAsia="Arial" w:hAnsi="Arial" w:cs="Arial"/>
          <w:i/>
          <w:iCs/>
          <w:color w:val="222222"/>
          <w:sz w:val="22"/>
          <w:szCs w:val="22"/>
        </w:rPr>
        <w:t>Routledge Handbook of Disability Studies</w:t>
      </w:r>
      <w:r w:rsidRPr="2F5676DA">
        <w:rPr>
          <w:rFonts w:ascii="Arial" w:eastAsia="Arial" w:hAnsi="Arial" w:cs="Arial"/>
          <w:color w:val="222222"/>
          <w:sz w:val="22"/>
          <w:szCs w:val="22"/>
        </w:rPr>
        <w:t>. Abingdon: Routledge, pp. 3-8.</w:t>
      </w:r>
    </w:p>
    <w:sectPr w:rsidR="54EAADC5">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129D2" w14:textId="77777777" w:rsidR="00012CB9" w:rsidRDefault="00012CB9">
      <w:pPr>
        <w:spacing w:after="0" w:line="240" w:lineRule="auto"/>
      </w:pPr>
      <w:r>
        <w:separator/>
      </w:r>
    </w:p>
  </w:endnote>
  <w:endnote w:type="continuationSeparator" w:id="0">
    <w:p w14:paraId="48D733CC" w14:textId="77777777" w:rsidR="00012CB9" w:rsidRDefault="00012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F5676DA" w14:paraId="6E7D3196" w14:textId="77777777" w:rsidTr="2F5676DA">
      <w:trPr>
        <w:trHeight w:val="300"/>
      </w:trPr>
      <w:tc>
        <w:tcPr>
          <w:tcW w:w="3005" w:type="dxa"/>
        </w:tcPr>
        <w:p w14:paraId="481B20D4" w14:textId="1C8B367A" w:rsidR="2F5676DA" w:rsidRDefault="2F5676DA" w:rsidP="2F5676DA">
          <w:pPr>
            <w:pStyle w:val="Header"/>
            <w:ind w:left="-115"/>
          </w:pPr>
        </w:p>
      </w:tc>
      <w:tc>
        <w:tcPr>
          <w:tcW w:w="3005" w:type="dxa"/>
        </w:tcPr>
        <w:p w14:paraId="44913078" w14:textId="457DEAD9" w:rsidR="2F5676DA" w:rsidRDefault="2F5676DA" w:rsidP="2F5676DA">
          <w:pPr>
            <w:pStyle w:val="Header"/>
            <w:jc w:val="center"/>
          </w:pPr>
          <w:r>
            <w:fldChar w:fldCharType="begin"/>
          </w:r>
          <w:r>
            <w:instrText>PAGE</w:instrText>
          </w:r>
          <w:r>
            <w:fldChar w:fldCharType="separate"/>
          </w:r>
          <w:r>
            <w:fldChar w:fldCharType="end"/>
          </w:r>
        </w:p>
      </w:tc>
      <w:tc>
        <w:tcPr>
          <w:tcW w:w="3005" w:type="dxa"/>
        </w:tcPr>
        <w:p w14:paraId="2F97B2C6" w14:textId="31D413F3" w:rsidR="2F5676DA" w:rsidRDefault="2F5676DA" w:rsidP="2F5676DA">
          <w:pPr>
            <w:pStyle w:val="Header"/>
            <w:ind w:right="-115"/>
            <w:jc w:val="right"/>
          </w:pPr>
        </w:p>
      </w:tc>
    </w:tr>
  </w:tbl>
  <w:p w14:paraId="417F4C97" w14:textId="486BC771" w:rsidR="2F5676DA" w:rsidRDefault="2F5676DA" w:rsidP="2F5676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C70A0" w14:textId="77777777" w:rsidR="00012CB9" w:rsidRDefault="00012CB9">
      <w:pPr>
        <w:spacing w:after="0" w:line="240" w:lineRule="auto"/>
      </w:pPr>
      <w:r>
        <w:separator/>
      </w:r>
    </w:p>
  </w:footnote>
  <w:footnote w:type="continuationSeparator" w:id="0">
    <w:p w14:paraId="3BAA57C4" w14:textId="77777777" w:rsidR="00012CB9" w:rsidRDefault="00012C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F5676DA" w14:paraId="1EE6260E" w14:textId="77777777" w:rsidTr="2F5676DA">
      <w:trPr>
        <w:trHeight w:val="300"/>
      </w:trPr>
      <w:tc>
        <w:tcPr>
          <w:tcW w:w="3005" w:type="dxa"/>
        </w:tcPr>
        <w:p w14:paraId="6FA08D69" w14:textId="4EFDBA05" w:rsidR="2F5676DA" w:rsidRDefault="2F5676DA" w:rsidP="2F5676DA">
          <w:pPr>
            <w:pStyle w:val="Header"/>
            <w:ind w:left="-115"/>
          </w:pPr>
        </w:p>
      </w:tc>
      <w:tc>
        <w:tcPr>
          <w:tcW w:w="3005" w:type="dxa"/>
        </w:tcPr>
        <w:p w14:paraId="1118ED4A" w14:textId="2FC28897" w:rsidR="2F5676DA" w:rsidRDefault="2F5676DA" w:rsidP="2F5676DA">
          <w:pPr>
            <w:pStyle w:val="Header"/>
            <w:jc w:val="center"/>
          </w:pPr>
        </w:p>
      </w:tc>
      <w:tc>
        <w:tcPr>
          <w:tcW w:w="3005" w:type="dxa"/>
        </w:tcPr>
        <w:p w14:paraId="71C64029" w14:textId="19036E58" w:rsidR="2F5676DA" w:rsidRDefault="2F5676DA" w:rsidP="2F5676DA">
          <w:pPr>
            <w:pStyle w:val="Header"/>
            <w:ind w:right="-115"/>
            <w:jc w:val="right"/>
          </w:pPr>
        </w:p>
      </w:tc>
    </w:tr>
  </w:tbl>
  <w:p w14:paraId="675CAECC" w14:textId="2501E9F0" w:rsidR="2F5676DA" w:rsidRDefault="2F5676DA" w:rsidP="2F5676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BDB100"/>
    <w:rsid w:val="00004F36"/>
    <w:rsid w:val="00012CB9"/>
    <w:rsid w:val="000135ED"/>
    <w:rsid w:val="00013B27"/>
    <w:rsid w:val="000453F1"/>
    <w:rsid w:val="00052985"/>
    <w:rsid w:val="00073B6B"/>
    <w:rsid w:val="00081D97"/>
    <w:rsid w:val="00082BD7"/>
    <w:rsid w:val="000832A8"/>
    <w:rsid w:val="000B305D"/>
    <w:rsid w:val="000D0317"/>
    <w:rsid w:val="000F1C17"/>
    <w:rsid w:val="000F34C3"/>
    <w:rsid w:val="000F3639"/>
    <w:rsid w:val="0012232A"/>
    <w:rsid w:val="00156D93"/>
    <w:rsid w:val="00181746"/>
    <w:rsid w:val="00182AAB"/>
    <w:rsid w:val="0018687F"/>
    <w:rsid w:val="001D1795"/>
    <w:rsid w:val="001E1278"/>
    <w:rsid w:val="001F120F"/>
    <w:rsid w:val="001F4796"/>
    <w:rsid w:val="0022062C"/>
    <w:rsid w:val="00221A37"/>
    <w:rsid w:val="00222342"/>
    <w:rsid w:val="002344C5"/>
    <w:rsid w:val="0023456E"/>
    <w:rsid w:val="00237164"/>
    <w:rsid w:val="0024799A"/>
    <w:rsid w:val="002670F1"/>
    <w:rsid w:val="002715CE"/>
    <w:rsid w:val="002A19FD"/>
    <w:rsid w:val="002C1BF0"/>
    <w:rsid w:val="002C2743"/>
    <w:rsid w:val="002D05A1"/>
    <w:rsid w:val="002E1053"/>
    <w:rsid w:val="002F2EB6"/>
    <w:rsid w:val="002F58DA"/>
    <w:rsid w:val="00302E7D"/>
    <w:rsid w:val="003258A6"/>
    <w:rsid w:val="00326DDB"/>
    <w:rsid w:val="00327A1C"/>
    <w:rsid w:val="00344199"/>
    <w:rsid w:val="00354644"/>
    <w:rsid w:val="003A17DF"/>
    <w:rsid w:val="003B3B35"/>
    <w:rsid w:val="003C3276"/>
    <w:rsid w:val="003F09AF"/>
    <w:rsid w:val="00405372"/>
    <w:rsid w:val="00422E8E"/>
    <w:rsid w:val="00426E2A"/>
    <w:rsid w:val="00430195"/>
    <w:rsid w:val="00432CE2"/>
    <w:rsid w:val="0045122F"/>
    <w:rsid w:val="00470F06"/>
    <w:rsid w:val="00481494"/>
    <w:rsid w:val="004A1748"/>
    <w:rsid w:val="004A4925"/>
    <w:rsid w:val="004C08E7"/>
    <w:rsid w:val="004C1E75"/>
    <w:rsid w:val="004C203B"/>
    <w:rsid w:val="004C65CD"/>
    <w:rsid w:val="004D1708"/>
    <w:rsid w:val="004D6349"/>
    <w:rsid w:val="004D63E1"/>
    <w:rsid w:val="004E2263"/>
    <w:rsid w:val="00526599"/>
    <w:rsid w:val="005524C7"/>
    <w:rsid w:val="00566CB5"/>
    <w:rsid w:val="005969C1"/>
    <w:rsid w:val="005B308D"/>
    <w:rsid w:val="005C5107"/>
    <w:rsid w:val="005E491B"/>
    <w:rsid w:val="005F5DE7"/>
    <w:rsid w:val="006020AA"/>
    <w:rsid w:val="00603656"/>
    <w:rsid w:val="00607555"/>
    <w:rsid w:val="00611721"/>
    <w:rsid w:val="0062321A"/>
    <w:rsid w:val="00635478"/>
    <w:rsid w:val="00640EFF"/>
    <w:rsid w:val="006550FF"/>
    <w:rsid w:val="0065611B"/>
    <w:rsid w:val="00657C48"/>
    <w:rsid w:val="00687808"/>
    <w:rsid w:val="00690BC4"/>
    <w:rsid w:val="006A54DB"/>
    <w:rsid w:val="006B09A0"/>
    <w:rsid w:val="006B3CF0"/>
    <w:rsid w:val="006B5A0E"/>
    <w:rsid w:val="006C29D6"/>
    <w:rsid w:val="006C2F68"/>
    <w:rsid w:val="006D2253"/>
    <w:rsid w:val="006D3499"/>
    <w:rsid w:val="006D6639"/>
    <w:rsid w:val="006E736B"/>
    <w:rsid w:val="006E7F84"/>
    <w:rsid w:val="006F014C"/>
    <w:rsid w:val="007139AA"/>
    <w:rsid w:val="007413C5"/>
    <w:rsid w:val="00745C21"/>
    <w:rsid w:val="00751497"/>
    <w:rsid w:val="0076398F"/>
    <w:rsid w:val="007825E3"/>
    <w:rsid w:val="007A405C"/>
    <w:rsid w:val="007B6B0C"/>
    <w:rsid w:val="007C0160"/>
    <w:rsid w:val="007E0F3F"/>
    <w:rsid w:val="00803AB0"/>
    <w:rsid w:val="00814794"/>
    <w:rsid w:val="00834101"/>
    <w:rsid w:val="0084329E"/>
    <w:rsid w:val="00850DF9"/>
    <w:rsid w:val="00854B90"/>
    <w:rsid w:val="008604CF"/>
    <w:rsid w:val="008731DE"/>
    <w:rsid w:val="00877987"/>
    <w:rsid w:val="00890C40"/>
    <w:rsid w:val="008B37E9"/>
    <w:rsid w:val="008B5DC3"/>
    <w:rsid w:val="008B75BE"/>
    <w:rsid w:val="008C6504"/>
    <w:rsid w:val="008E3BAB"/>
    <w:rsid w:val="008F019E"/>
    <w:rsid w:val="008F2AA6"/>
    <w:rsid w:val="00910172"/>
    <w:rsid w:val="0097023B"/>
    <w:rsid w:val="00972D79"/>
    <w:rsid w:val="0098108A"/>
    <w:rsid w:val="00990A49"/>
    <w:rsid w:val="009B245B"/>
    <w:rsid w:val="009B31E2"/>
    <w:rsid w:val="009C00BF"/>
    <w:rsid w:val="009C2529"/>
    <w:rsid w:val="009D2A1D"/>
    <w:rsid w:val="009D5C82"/>
    <w:rsid w:val="009F21C4"/>
    <w:rsid w:val="009F67AE"/>
    <w:rsid w:val="00A049A8"/>
    <w:rsid w:val="00A114C6"/>
    <w:rsid w:val="00A12D09"/>
    <w:rsid w:val="00A355F5"/>
    <w:rsid w:val="00A424FD"/>
    <w:rsid w:val="00A52620"/>
    <w:rsid w:val="00A75A9E"/>
    <w:rsid w:val="00A91D3A"/>
    <w:rsid w:val="00A977C7"/>
    <w:rsid w:val="00AA094B"/>
    <w:rsid w:val="00AB22B4"/>
    <w:rsid w:val="00AC0656"/>
    <w:rsid w:val="00AD6869"/>
    <w:rsid w:val="00AE5421"/>
    <w:rsid w:val="00AF2867"/>
    <w:rsid w:val="00AF3799"/>
    <w:rsid w:val="00B145EE"/>
    <w:rsid w:val="00B1622B"/>
    <w:rsid w:val="00B22BFA"/>
    <w:rsid w:val="00B33DE7"/>
    <w:rsid w:val="00B50197"/>
    <w:rsid w:val="00B54242"/>
    <w:rsid w:val="00B566C2"/>
    <w:rsid w:val="00B603E3"/>
    <w:rsid w:val="00B66EC8"/>
    <w:rsid w:val="00B67F55"/>
    <w:rsid w:val="00B714EC"/>
    <w:rsid w:val="00B8031E"/>
    <w:rsid w:val="00B95AC7"/>
    <w:rsid w:val="00BA59E5"/>
    <w:rsid w:val="00BA5C02"/>
    <w:rsid w:val="00BE0ABC"/>
    <w:rsid w:val="00BF2CF4"/>
    <w:rsid w:val="00C00858"/>
    <w:rsid w:val="00C2494E"/>
    <w:rsid w:val="00C3466A"/>
    <w:rsid w:val="00C51721"/>
    <w:rsid w:val="00C5251E"/>
    <w:rsid w:val="00C63100"/>
    <w:rsid w:val="00C720AB"/>
    <w:rsid w:val="00C77497"/>
    <w:rsid w:val="00CA3ED4"/>
    <w:rsid w:val="00CA716F"/>
    <w:rsid w:val="00CB38E1"/>
    <w:rsid w:val="00CB4190"/>
    <w:rsid w:val="00CB7D9D"/>
    <w:rsid w:val="00CE4FFB"/>
    <w:rsid w:val="00D0250B"/>
    <w:rsid w:val="00D12C7F"/>
    <w:rsid w:val="00D1667A"/>
    <w:rsid w:val="00D17987"/>
    <w:rsid w:val="00D21240"/>
    <w:rsid w:val="00D239BC"/>
    <w:rsid w:val="00D2520E"/>
    <w:rsid w:val="00D252A9"/>
    <w:rsid w:val="00D31310"/>
    <w:rsid w:val="00D35BFC"/>
    <w:rsid w:val="00D428F4"/>
    <w:rsid w:val="00D436FD"/>
    <w:rsid w:val="00D56B83"/>
    <w:rsid w:val="00D74651"/>
    <w:rsid w:val="00D84B28"/>
    <w:rsid w:val="00D850C1"/>
    <w:rsid w:val="00D86DDB"/>
    <w:rsid w:val="00D926DE"/>
    <w:rsid w:val="00D9474E"/>
    <w:rsid w:val="00DB5BDC"/>
    <w:rsid w:val="00DC7754"/>
    <w:rsid w:val="00DE0CA8"/>
    <w:rsid w:val="00DE2F89"/>
    <w:rsid w:val="00DE4953"/>
    <w:rsid w:val="00DF031C"/>
    <w:rsid w:val="00E11FB0"/>
    <w:rsid w:val="00E352AC"/>
    <w:rsid w:val="00E40838"/>
    <w:rsid w:val="00E477AD"/>
    <w:rsid w:val="00E54023"/>
    <w:rsid w:val="00E753E1"/>
    <w:rsid w:val="00E8032C"/>
    <w:rsid w:val="00E82B86"/>
    <w:rsid w:val="00EA1FA7"/>
    <w:rsid w:val="00EB7A8A"/>
    <w:rsid w:val="00EC5EA9"/>
    <w:rsid w:val="00ED2550"/>
    <w:rsid w:val="00ED5C69"/>
    <w:rsid w:val="00F038F3"/>
    <w:rsid w:val="00F21423"/>
    <w:rsid w:val="00F27EF9"/>
    <w:rsid w:val="00F34114"/>
    <w:rsid w:val="00F41B4A"/>
    <w:rsid w:val="00F52526"/>
    <w:rsid w:val="00F74A13"/>
    <w:rsid w:val="00FC4612"/>
    <w:rsid w:val="00FD38C0"/>
    <w:rsid w:val="00FE73C3"/>
    <w:rsid w:val="00FF3AA8"/>
    <w:rsid w:val="00FF3F8A"/>
    <w:rsid w:val="00FF7206"/>
    <w:rsid w:val="01D82550"/>
    <w:rsid w:val="02877170"/>
    <w:rsid w:val="028E643E"/>
    <w:rsid w:val="054F6817"/>
    <w:rsid w:val="072640A6"/>
    <w:rsid w:val="073882F2"/>
    <w:rsid w:val="07644192"/>
    <w:rsid w:val="07B7659E"/>
    <w:rsid w:val="082F854B"/>
    <w:rsid w:val="09BC68A8"/>
    <w:rsid w:val="0A28AC04"/>
    <w:rsid w:val="0AD86567"/>
    <w:rsid w:val="0B7A040E"/>
    <w:rsid w:val="0C14B8C6"/>
    <w:rsid w:val="0C1A2B23"/>
    <w:rsid w:val="0C5C8D70"/>
    <w:rsid w:val="0C693950"/>
    <w:rsid w:val="0CE88CCC"/>
    <w:rsid w:val="0DBE7EDF"/>
    <w:rsid w:val="0E2B36C4"/>
    <w:rsid w:val="0E5A97F6"/>
    <w:rsid w:val="0F08EC51"/>
    <w:rsid w:val="0F260C1B"/>
    <w:rsid w:val="1111EC3D"/>
    <w:rsid w:val="12266BC0"/>
    <w:rsid w:val="1277FCD7"/>
    <w:rsid w:val="13BB6A23"/>
    <w:rsid w:val="13C664C8"/>
    <w:rsid w:val="144FA52E"/>
    <w:rsid w:val="147B668D"/>
    <w:rsid w:val="152C2F12"/>
    <w:rsid w:val="1605CD4F"/>
    <w:rsid w:val="16BC3326"/>
    <w:rsid w:val="1740ADD2"/>
    <w:rsid w:val="17D0A3E0"/>
    <w:rsid w:val="18396B4C"/>
    <w:rsid w:val="1846ADDE"/>
    <w:rsid w:val="192884E0"/>
    <w:rsid w:val="1BB15BE1"/>
    <w:rsid w:val="1BEA960B"/>
    <w:rsid w:val="1C153988"/>
    <w:rsid w:val="1CAD41D3"/>
    <w:rsid w:val="1CB1E1C0"/>
    <w:rsid w:val="1CD608DA"/>
    <w:rsid w:val="1F5D0198"/>
    <w:rsid w:val="1FB41EB1"/>
    <w:rsid w:val="200F6F16"/>
    <w:rsid w:val="2063C0A1"/>
    <w:rsid w:val="210681FC"/>
    <w:rsid w:val="2203B936"/>
    <w:rsid w:val="22EA8FE7"/>
    <w:rsid w:val="23087588"/>
    <w:rsid w:val="23241DAC"/>
    <w:rsid w:val="23FF3B14"/>
    <w:rsid w:val="24DF7B29"/>
    <w:rsid w:val="252041B6"/>
    <w:rsid w:val="26A64EA4"/>
    <w:rsid w:val="272C185D"/>
    <w:rsid w:val="29720043"/>
    <w:rsid w:val="29DD6CAC"/>
    <w:rsid w:val="2AE9A024"/>
    <w:rsid w:val="2C95CF34"/>
    <w:rsid w:val="2CF19B8A"/>
    <w:rsid w:val="2DE2F55A"/>
    <w:rsid w:val="2E4AFDCD"/>
    <w:rsid w:val="2ED303C7"/>
    <w:rsid w:val="2F39FD7A"/>
    <w:rsid w:val="2F5676DA"/>
    <w:rsid w:val="2F73FF23"/>
    <w:rsid w:val="2FD7B119"/>
    <w:rsid w:val="30804FC2"/>
    <w:rsid w:val="31EEA5E5"/>
    <w:rsid w:val="324AC918"/>
    <w:rsid w:val="33CDC29D"/>
    <w:rsid w:val="34437D9A"/>
    <w:rsid w:val="352031CF"/>
    <w:rsid w:val="360899FC"/>
    <w:rsid w:val="367803A4"/>
    <w:rsid w:val="38010815"/>
    <w:rsid w:val="3A3C7DF6"/>
    <w:rsid w:val="3B89F742"/>
    <w:rsid w:val="3CAF2829"/>
    <w:rsid w:val="3CEFB397"/>
    <w:rsid w:val="3E2F3D62"/>
    <w:rsid w:val="3EF31E91"/>
    <w:rsid w:val="3F416C44"/>
    <w:rsid w:val="3F5E03B7"/>
    <w:rsid w:val="3F74E662"/>
    <w:rsid w:val="3FD6FA0A"/>
    <w:rsid w:val="410BD400"/>
    <w:rsid w:val="4114FB4B"/>
    <w:rsid w:val="416ABD29"/>
    <w:rsid w:val="416BB9D3"/>
    <w:rsid w:val="42CEF43B"/>
    <w:rsid w:val="431AA70F"/>
    <w:rsid w:val="4344DFA4"/>
    <w:rsid w:val="438B2138"/>
    <w:rsid w:val="43A145A5"/>
    <w:rsid w:val="43B11FF7"/>
    <w:rsid w:val="44055B71"/>
    <w:rsid w:val="44348211"/>
    <w:rsid w:val="44B4F99E"/>
    <w:rsid w:val="44FA3EAD"/>
    <w:rsid w:val="458B3060"/>
    <w:rsid w:val="4617FD48"/>
    <w:rsid w:val="4661D9CC"/>
    <w:rsid w:val="469EA653"/>
    <w:rsid w:val="46D83B78"/>
    <w:rsid w:val="47191801"/>
    <w:rsid w:val="47292E17"/>
    <w:rsid w:val="472BB7F1"/>
    <w:rsid w:val="4766C37E"/>
    <w:rsid w:val="476987DA"/>
    <w:rsid w:val="47CCADAB"/>
    <w:rsid w:val="48B742BD"/>
    <w:rsid w:val="48FABA1E"/>
    <w:rsid w:val="4A174CAA"/>
    <w:rsid w:val="4A772B2F"/>
    <w:rsid w:val="4B5798A4"/>
    <w:rsid w:val="4BA60A5A"/>
    <w:rsid w:val="4CA75CA6"/>
    <w:rsid w:val="4CADC6DA"/>
    <w:rsid w:val="4D80C99D"/>
    <w:rsid w:val="4DE1B957"/>
    <w:rsid w:val="4DEB7EDC"/>
    <w:rsid w:val="515D1E22"/>
    <w:rsid w:val="5316D2B2"/>
    <w:rsid w:val="5316ED21"/>
    <w:rsid w:val="54EAADC5"/>
    <w:rsid w:val="550AA871"/>
    <w:rsid w:val="55C2D5FB"/>
    <w:rsid w:val="5606C785"/>
    <w:rsid w:val="5716A156"/>
    <w:rsid w:val="5721ED04"/>
    <w:rsid w:val="57400F27"/>
    <w:rsid w:val="5851D24B"/>
    <w:rsid w:val="59F0B9C7"/>
    <w:rsid w:val="5B4C6BF0"/>
    <w:rsid w:val="5B671CB1"/>
    <w:rsid w:val="5BB8168B"/>
    <w:rsid w:val="5BEC84BB"/>
    <w:rsid w:val="5BFFA5EA"/>
    <w:rsid w:val="5C0F94B3"/>
    <w:rsid w:val="5C2C1601"/>
    <w:rsid w:val="5C40E087"/>
    <w:rsid w:val="5C810A1E"/>
    <w:rsid w:val="5CD1AD3A"/>
    <w:rsid w:val="5E985533"/>
    <w:rsid w:val="5EFCDE05"/>
    <w:rsid w:val="5F4AB8DD"/>
    <w:rsid w:val="600441A4"/>
    <w:rsid w:val="604D228E"/>
    <w:rsid w:val="605849E3"/>
    <w:rsid w:val="605C9EC3"/>
    <w:rsid w:val="60801137"/>
    <w:rsid w:val="60BF972D"/>
    <w:rsid w:val="6294A4E6"/>
    <w:rsid w:val="629EF7FB"/>
    <w:rsid w:val="62B07215"/>
    <w:rsid w:val="6316A4FD"/>
    <w:rsid w:val="64F34418"/>
    <w:rsid w:val="65B1864F"/>
    <w:rsid w:val="65BDB100"/>
    <w:rsid w:val="663E9676"/>
    <w:rsid w:val="666B5A16"/>
    <w:rsid w:val="668F281F"/>
    <w:rsid w:val="66D6C220"/>
    <w:rsid w:val="6741EB04"/>
    <w:rsid w:val="67645601"/>
    <w:rsid w:val="687B1703"/>
    <w:rsid w:val="6B7EC0A2"/>
    <w:rsid w:val="6BE2A229"/>
    <w:rsid w:val="6C7783A7"/>
    <w:rsid w:val="6C8229E6"/>
    <w:rsid w:val="6D7FF8AF"/>
    <w:rsid w:val="6DF29091"/>
    <w:rsid w:val="6E79F84E"/>
    <w:rsid w:val="6F489281"/>
    <w:rsid w:val="6FFBCAF1"/>
    <w:rsid w:val="7168295D"/>
    <w:rsid w:val="737900BC"/>
    <w:rsid w:val="749AD559"/>
    <w:rsid w:val="74B25617"/>
    <w:rsid w:val="74F8704E"/>
    <w:rsid w:val="76BBFF33"/>
    <w:rsid w:val="76CD2997"/>
    <w:rsid w:val="77A00C21"/>
    <w:rsid w:val="7882F405"/>
    <w:rsid w:val="789A91B7"/>
    <w:rsid w:val="7900E40D"/>
    <w:rsid w:val="7919330F"/>
    <w:rsid w:val="7A1B4916"/>
    <w:rsid w:val="7A89F79E"/>
    <w:rsid w:val="7B90CB6E"/>
    <w:rsid w:val="7BFD6B61"/>
    <w:rsid w:val="7CA53127"/>
    <w:rsid w:val="7D79F038"/>
    <w:rsid w:val="7DAFA571"/>
    <w:rsid w:val="7E9FF665"/>
    <w:rsid w:val="7EAEB106"/>
    <w:rsid w:val="7FDB1AD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3C196E0"/>
  <w15:chartTrackingRefBased/>
  <w15:docId w15:val="{5ADC515F-75BC-457F-AC07-3B8157E73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F5676DA"/>
    <w:pPr>
      <w:tabs>
        <w:tab w:val="center" w:pos="4680"/>
        <w:tab w:val="right" w:pos="9360"/>
      </w:tabs>
      <w:spacing w:after="0" w:line="240" w:lineRule="auto"/>
    </w:pPr>
  </w:style>
  <w:style w:type="paragraph" w:styleId="Footer">
    <w:name w:val="footer"/>
    <w:basedOn w:val="Normal"/>
    <w:uiPriority w:val="99"/>
    <w:unhideWhenUsed/>
    <w:rsid w:val="2F5676D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2485</Words>
  <Characters>14167</Characters>
  <Application>Microsoft Office Word</Application>
  <DocSecurity>4</DocSecurity>
  <Lines>118</Lines>
  <Paragraphs>33</Paragraphs>
  <ScaleCrop>false</ScaleCrop>
  <Company/>
  <LinksUpToDate>false</LinksUpToDate>
  <CharactersWithSpaces>16619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Elena Chiran (2410882)</dc:creator>
  <cp:keywords/>
  <dc:description/>
  <cp:lastModifiedBy>Alexandra Elena Chiran (2410882)</cp:lastModifiedBy>
  <cp:revision>4</cp:revision>
  <dcterms:created xsi:type="dcterms:W3CDTF">2026-04-28T17:37:00Z</dcterms:created>
  <dcterms:modified xsi:type="dcterms:W3CDTF">2026-04-28T23:49:00Z</dcterms:modified>
</cp:coreProperties>
</file>