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315A0286" w:rsidR="000264A1" w:rsidRDefault="000264A1" w:rsidP="000264A1">
      <w:r>
        <w:fldChar w:fldCharType="begin"/>
      </w:r>
      <w:r w:rsidR="00C157F2">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3D08E73F"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 xml:space="preserve">Component 2: </w:t>
      </w:r>
      <w:r w:rsidR="00C157F2">
        <w:rPr>
          <w:rFonts w:ascii="Arial" w:hAnsi="Arial" w:cs="Arial"/>
          <w:b/>
          <w:bCs/>
          <w:color w:val="000000"/>
          <w:sz w:val="32"/>
          <w:szCs w:val="32"/>
        </w:rPr>
        <w:t xml:space="preserve">Catatonia </w:t>
      </w:r>
    </w:p>
    <w:p w14:paraId="3DB89340" w14:textId="5AECE3E0"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C157F2">
        <w:rPr>
          <w:rStyle w:val="Strong"/>
          <w:rFonts w:ascii="Arial" w:hAnsi="Arial" w:cs="Arial"/>
          <w:color w:val="1D2125"/>
          <w:sz w:val="32"/>
          <w:szCs w:val="32"/>
        </w:rPr>
        <w:t>: Katarzyna Gluba</w:t>
      </w:r>
    </w:p>
    <w:p w14:paraId="3F25C99D" w14:textId="73C28ED4" w:rsid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C157F2">
        <w:rPr>
          <w:rStyle w:val="Strong"/>
          <w:rFonts w:ascii="Arial" w:hAnsi="Arial" w:cs="Arial"/>
          <w:color w:val="1D2125"/>
          <w:sz w:val="32"/>
          <w:szCs w:val="32"/>
        </w:rPr>
        <w:t>:  2316845</w:t>
      </w:r>
    </w:p>
    <w:p w14:paraId="3771D8BA" w14:textId="795487A7" w:rsidR="00602D13" w:rsidRDefault="00602D13" w:rsidP="000264A1">
      <w:pPr>
        <w:rPr>
          <w:rStyle w:val="Strong"/>
          <w:rFonts w:ascii="Arial" w:hAnsi="Arial" w:cs="Arial"/>
          <w:color w:val="1D2125"/>
          <w:sz w:val="32"/>
          <w:szCs w:val="32"/>
          <w:lang w:val="nl-NL"/>
        </w:rPr>
      </w:pPr>
      <w:r w:rsidRPr="00441CE2">
        <w:rPr>
          <w:rStyle w:val="Strong"/>
          <w:rFonts w:ascii="Arial" w:hAnsi="Arial" w:cs="Arial"/>
          <w:color w:val="1D2125"/>
          <w:sz w:val="32"/>
          <w:szCs w:val="32"/>
          <w:lang w:val="nl-NL"/>
        </w:rPr>
        <w:t xml:space="preserve">Lecture name: </w:t>
      </w:r>
      <w:r w:rsidR="00441CE2" w:rsidRPr="00441CE2">
        <w:rPr>
          <w:rStyle w:val="Strong"/>
          <w:rFonts w:ascii="Arial" w:hAnsi="Arial" w:cs="Arial"/>
          <w:color w:val="1D2125"/>
          <w:sz w:val="32"/>
          <w:szCs w:val="32"/>
          <w:lang w:val="nl-NL"/>
        </w:rPr>
        <w:t>Lou Angela Wel</w:t>
      </w:r>
      <w:r w:rsidR="00441CE2">
        <w:rPr>
          <w:rStyle w:val="Strong"/>
          <w:rFonts w:ascii="Arial" w:hAnsi="Arial" w:cs="Arial"/>
          <w:color w:val="1D2125"/>
          <w:sz w:val="32"/>
          <w:szCs w:val="32"/>
          <w:lang w:val="nl-NL"/>
        </w:rPr>
        <w:t>ls</w:t>
      </w:r>
    </w:p>
    <w:p w14:paraId="71331DB8" w14:textId="77777777" w:rsidR="00BF210B" w:rsidRDefault="00BF210B" w:rsidP="000264A1">
      <w:pPr>
        <w:rPr>
          <w:rStyle w:val="Strong"/>
          <w:rFonts w:ascii="Arial" w:hAnsi="Arial" w:cs="Arial"/>
          <w:color w:val="1D2125"/>
          <w:sz w:val="32"/>
          <w:szCs w:val="32"/>
          <w:lang w:val="nl-NL"/>
        </w:rPr>
      </w:pPr>
    </w:p>
    <w:p w14:paraId="3DD87950" w14:textId="77777777" w:rsidR="00BF210B" w:rsidRDefault="00BF210B" w:rsidP="000264A1">
      <w:pPr>
        <w:rPr>
          <w:rStyle w:val="Strong"/>
          <w:rFonts w:ascii="Arial" w:hAnsi="Arial" w:cs="Arial"/>
          <w:color w:val="1D2125"/>
          <w:sz w:val="32"/>
          <w:szCs w:val="32"/>
          <w:lang w:val="nl-NL"/>
        </w:rPr>
      </w:pPr>
    </w:p>
    <w:p w14:paraId="49CF53E4" w14:textId="5D16FA47" w:rsidR="00BF210B" w:rsidRPr="00441CE2" w:rsidRDefault="00BF210B" w:rsidP="000264A1">
      <w:pPr>
        <w:rPr>
          <w:rStyle w:val="Strong"/>
          <w:rFonts w:ascii="Arial" w:hAnsi="Arial" w:cs="Arial"/>
          <w:color w:val="1D2125"/>
          <w:sz w:val="32"/>
          <w:szCs w:val="32"/>
          <w:lang w:val="nl-NL"/>
        </w:rPr>
      </w:pPr>
      <w:r>
        <w:rPr>
          <w:rStyle w:val="Strong"/>
          <w:rFonts w:ascii="Arial" w:hAnsi="Arial" w:cs="Arial"/>
          <w:color w:val="1D2125"/>
          <w:sz w:val="32"/>
          <w:szCs w:val="32"/>
          <w:lang w:val="nl-NL"/>
        </w:rPr>
        <w:t>Submission date: 19 December 2025</w:t>
      </w:r>
    </w:p>
    <w:p w14:paraId="7DD82387" w14:textId="77777777" w:rsidR="000264A1" w:rsidRPr="00441CE2" w:rsidRDefault="000264A1" w:rsidP="000264A1">
      <w:pPr>
        <w:rPr>
          <w:rFonts w:ascii="Arial" w:hAnsi="Arial" w:cs="Arial"/>
          <w:sz w:val="36"/>
          <w:szCs w:val="36"/>
          <w:lang w:val="nl-NL"/>
        </w:rPr>
      </w:pPr>
    </w:p>
    <w:p w14:paraId="563A7395" w14:textId="77777777" w:rsidR="000264A1" w:rsidRPr="00441CE2" w:rsidRDefault="000264A1" w:rsidP="000264A1">
      <w:pPr>
        <w:rPr>
          <w:rFonts w:ascii="Arial" w:hAnsi="Arial" w:cs="Arial"/>
          <w:sz w:val="36"/>
          <w:szCs w:val="36"/>
          <w:lang w:val="nl-NL"/>
        </w:rPr>
      </w:pPr>
    </w:p>
    <w:p w14:paraId="5805392B" w14:textId="77777777" w:rsidR="000264A1" w:rsidRPr="00441CE2" w:rsidRDefault="000264A1" w:rsidP="000264A1">
      <w:pPr>
        <w:rPr>
          <w:rFonts w:ascii="Arial" w:hAnsi="Arial" w:cs="Arial"/>
          <w:sz w:val="36"/>
          <w:szCs w:val="36"/>
          <w:lang w:val="nl-NL"/>
        </w:rPr>
      </w:pPr>
    </w:p>
    <w:p w14:paraId="4F5FBEC9" w14:textId="77777777" w:rsidR="000264A1" w:rsidRPr="00441CE2" w:rsidRDefault="000264A1" w:rsidP="000264A1">
      <w:pPr>
        <w:rPr>
          <w:rFonts w:ascii="Arial" w:hAnsi="Arial" w:cs="Arial"/>
          <w:sz w:val="36"/>
          <w:szCs w:val="36"/>
          <w:lang w:val="nl-NL"/>
        </w:rPr>
      </w:pPr>
    </w:p>
    <w:p w14:paraId="1DC432D4" w14:textId="77777777" w:rsidR="000264A1" w:rsidRPr="00441CE2" w:rsidRDefault="000264A1" w:rsidP="000264A1">
      <w:pPr>
        <w:rPr>
          <w:rFonts w:ascii="Arial" w:hAnsi="Arial" w:cs="Arial"/>
          <w:sz w:val="36"/>
          <w:szCs w:val="36"/>
          <w:lang w:val="nl-NL"/>
        </w:rPr>
      </w:pPr>
    </w:p>
    <w:p w14:paraId="6B65CDD9" w14:textId="77777777" w:rsidR="008A6D32" w:rsidRPr="00441CE2" w:rsidRDefault="008A6D32" w:rsidP="000264A1">
      <w:pPr>
        <w:rPr>
          <w:rFonts w:ascii="Arial" w:hAnsi="Arial" w:cs="Arial"/>
          <w:sz w:val="36"/>
          <w:szCs w:val="36"/>
          <w:lang w:val="nl-NL"/>
        </w:rPr>
      </w:pPr>
    </w:p>
    <w:p w14:paraId="1DEC40D5" w14:textId="77777777" w:rsidR="000264A1" w:rsidRPr="00441CE2" w:rsidRDefault="000264A1" w:rsidP="000264A1">
      <w:pPr>
        <w:rPr>
          <w:rFonts w:ascii="Arial" w:hAnsi="Arial" w:cs="Arial"/>
          <w:sz w:val="36"/>
          <w:szCs w:val="36"/>
          <w:lang w:val="nl-NL"/>
        </w:rPr>
      </w:pPr>
    </w:p>
    <w:p w14:paraId="432AEE04" w14:textId="77777777" w:rsidR="000264A1" w:rsidRPr="00441CE2" w:rsidRDefault="000264A1" w:rsidP="000264A1">
      <w:pPr>
        <w:rPr>
          <w:rFonts w:ascii="Arial" w:hAnsi="Arial" w:cs="Arial"/>
          <w:sz w:val="36"/>
          <w:szCs w:val="36"/>
          <w:lang w:val="nl-NL"/>
        </w:rPr>
      </w:pPr>
    </w:p>
    <w:p w14:paraId="079620F2" w14:textId="77777777" w:rsidR="0035787A" w:rsidRPr="00C70647" w:rsidRDefault="008A6D32" w:rsidP="00C70647">
      <w:pPr>
        <w:pStyle w:val="NormalWeb"/>
        <w:spacing w:line="360" w:lineRule="auto"/>
        <w:rPr>
          <w:rFonts w:ascii="Arial" w:hAnsi="Arial" w:cs="Arial"/>
          <w:b/>
          <w:bCs/>
          <w:color w:val="000000"/>
          <w:sz w:val="22"/>
          <w:szCs w:val="22"/>
        </w:rPr>
      </w:pPr>
      <w:r w:rsidRPr="00C70647">
        <w:rPr>
          <w:rFonts w:ascii="Arial" w:hAnsi="Arial" w:cs="Arial"/>
          <w:b/>
          <w:bCs/>
          <w:color w:val="000000"/>
          <w:sz w:val="22"/>
          <w:szCs w:val="22"/>
        </w:rPr>
        <w:t>Classification and Diagnosis</w:t>
      </w:r>
      <w:r w:rsidR="007815C4" w:rsidRPr="00C70647">
        <w:rPr>
          <w:rFonts w:ascii="Arial" w:hAnsi="Arial" w:cs="Arial"/>
          <w:b/>
          <w:bCs/>
          <w:color w:val="000000"/>
          <w:sz w:val="22"/>
          <w:szCs w:val="22"/>
        </w:rPr>
        <w:t xml:space="preserve"> </w:t>
      </w:r>
      <w:r w:rsidR="0035787A" w:rsidRPr="00C70647">
        <w:rPr>
          <w:rFonts w:ascii="Arial" w:hAnsi="Arial" w:cs="Arial"/>
          <w:b/>
          <w:bCs/>
          <w:color w:val="000000"/>
          <w:sz w:val="22"/>
          <w:szCs w:val="22"/>
        </w:rPr>
        <w:t>(Cleveland Clinic, 2022)</w:t>
      </w:r>
    </w:p>
    <w:p w14:paraId="08D5D8EB" w14:textId="77777777" w:rsidR="005E1358" w:rsidRPr="005E1358" w:rsidRDefault="005E1358" w:rsidP="00C70647">
      <w:pPr>
        <w:pStyle w:val="NormalWeb"/>
        <w:spacing w:line="360" w:lineRule="auto"/>
        <w:rPr>
          <w:rFonts w:ascii="Arial" w:hAnsi="Arial" w:cs="Arial"/>
          <w:color w:val="000000"/>
          <w:sz w:val="22"/>
          <w:szCs w:val="22"/>
        </w:rPr>
      </w:pPr>
      <w:r w:rsidRPr="005E1358">
        <w:rPr>
          <w:rFonts w:ascii="Arial" w:hAnsi="Arial" w:cs="Arial"/>
          <w:color w:val="000000"/>
          <w:sz w:val="22"/>
          <w:szCs w:val="22"/>
        </w:rPr>
        <w:t>Unlike ICD-10, which only classifies catatonia as a subtype of schizophrenia, ICD-11 classifies it as a separate syndrome of psychomotor disruption with its own block ("Catatonia") and four specific diagnoses. ICD-11 specifically refers to catatonia as a "syndrome" within the larger chapter of "mental, behavioural or neurodevelopmental disorders," and the diagnosis necessitates distinctive clusters of decreased, increased, or altered psychomotor activity.</w:t>
      </w:r>
    </w:p>
    <w:p w14:paraId="620E5E1E" w14:textId="1D69F397" w:rsidR="00181480" w:rsidRPr="00C70647" w:rsidRDefault="00181480" w:rsidP="00C70647">
      <w:pPr>
        <w:pStyle w:val="NormalWeb"/>
        <w:spacing w:line="360" w:lineRule="auto"/>
        <w:rPr>
          <w:rFonts w:ascii="Arial" w:hAnsi="Arial" w:cs="Arial"/>
          <w:color w:val="000000"/>
          <w:sz w:val="22"/>
          <w:szCs w:val="22"/>
        </w:rPr>
      </w:pPr>
      <w:r w:rsidRPr="00C70647">
        <w:rPr>
          <w:rFonts w:ascii="Arial" w:hAnsi="Arial" w:cs="Arial"/>
          <w:color w:val="000000"/>
          <w:sz w:val="22"/>
          <w:szCs w:val="22"/>
        </w:rPr>
        <w:t>ICD-11 classifies catatonia (block 6A4) as a distinct diagnostic category with a common clinical phenotype across underlying causes, placing it under the chapter "Mental, behavioural or neurodevelopmental disorders." ICD-11 recognises four disorders within this block:</w:t>
      </w:r>
    </w:p>
    <w:p w14:paraId="6A8AC7CD" w14:textId="77777777" w:rsidR="00BA1863" w:rsidRPr="00C70647" w:rsidRDefault="00181480" w:rsidP="00C70647">
      <w:pPr>
        <w:pStyle w:val="NormalWeb"/>
        <w:numPr>
          <w:ilvl w:val="0"/>
          <w:numId w:val="1"/>
        </w:numPr>
        <w:spacing w:line="360" w:lineRule="auto"/>
        <w:rPr>
          <w:rFonts w:ascii="Arial" w:hAnsi="Arial" w:cs="Arial"/>
          <w:color w:val="000000"/>
          <w:sz w:val="22"/>
          <w:szCs w:val="22"/>
        </w:rPr>
      </w:pPr>
      <w:r w:rsidRPr="00C70647">
        <w:rPr>
          <w:rFonts w:ascii="Arial" w:hAnsi="Arial" w:cs="Arial"/>
          <w:color w:val="000000"/>
          <w:sz w:val="22"/>
          <w:szCs w:val="22"/>
        </w:rPr>
        <w:t>The 6A40 Catatonia linked to a different mental illness</w:t>
      </w:r>
    </w:p>
    <w:p w14:paraId="05677008" w14:textId="77777777" w:rsidR="00BA1863" w:rsidRPr="00C70647" w:rsidRDefault="00181480" w:rsidP="00C70647">
      <w:pPr>
        <w:pStyle w:val="NormalWeb"/>
        <w:numPr>
          <w:ilvl w:val="0"/>
          <w:numId w:val="1"/>
        </w:numPr>
        <w:spacing w:line="360" w:lineRule="auto"/>
        <w:rPr>
          <w:rFonts w:ascii="Arial" w:hAnsi="Arial" w:cs="Arial"/>
          <w:color w:val="000000"/>
          <w:sz w:val="22"/>
          <w:szCs w:val="22"/>
        </w:rPr>
      </w:pPr>
      <w:r w:rsidRPr="00C70647">
        <w:rPr>
          <w:rFonts w:ascii="Arial" w:hAnsi="Arial" w:cs="Arial"/>
          <w:color w:val="000000"/>
          <w:sz w:val="22"/>
          <w:szCs w:val="22"/>
        </w:rPr>
        <w:t>6A40 Catatonia brought on by drugs or chemicals</w:t>
      </w:r>
    </w:p>
    <w:p w14:paraId="2E0C4AE7" w14:textId="77777777" w:rsidR="00BA1863" w:rsidRPr="00C70647" w:rsidRDefault="00181480" w:rsidP="00C70647">
      <w:pPr>
        <w:pStyle w:val="NormalWeb"/>
        <w:numPr>
          <w:ilvl w:val="0"/>
          <w:numId w:val="1"/>
        </w:numPr>
        <w:spacing w:line="360" w:lineRule="auto"/>
        <w:rPr>
          <w:rFonts w:ascii="Arial" w:hAnsi="Arial" w:cs="Arial"/>
          <w:color w:val="000000"/>
          <w:sz w:val="22"/>
          <w:szCs w:val="22"/>
        </w:rPr>
      </w:pPr>
      <w:r w:rsidRPr="00C70647">
        <w:rPr>
          <w:rFonts w:ascii="Arial" w:hAnsi="Arial" w:cs="Arial"/>
          <w:color w:val="000000"/>
          <w:sz w:val="22"/>
          <w:szCs w:val="22"/>
        </w:rPr>
        <w:t>Un</w:t>
      </w:r>
      <w:r w:rsidR="00BA1863" w:rsidRPr="00C70647">
        <w:rPr>
          <w:rFonts w:ascii="Arial" w:hAnsi="Arial" w:cs="Arial"/>
          <w:color w:val="000000"/>
          <w:sz w:val="22"/>
          <w:szCs w:val="22"/>
        </w:rPr>
        <w:t xml:space="preserve">der </w:t>
      </w:r>
      <w:r w:rsidRPr="00C70647">
        <w:rPr>
          <w:rFonts w:ascii="Arial" w:hAnsi="Arial" w:cs="Arial"/>
          <w:color w:val="000000"/>
          <w:sz w:val="22"/>
          <w:szCs w:val="22"/>
        </w:rPr>
        <w:t>"secondary mental or behavioural syndromes associated with disorders or diseases classified elsewhere," 6E69 Secondary Catatonia Syndrome</w:t>
      </w:r>
    </w:p>
    <w:p w14:paraId="12CBA632" w14:textId="3F54AA0B" w:rsidR="008A6D32" w:rsidRPr="00C70647" w:rsidRDefault="00181480" w:rsidP="00C70647">
      <w:pPr>
        <w:pStyle w:val="NormalWeb"/>
        <w:numPr>
          <w:ilvl w:val="0"/>
          <w:numId w:val="1"/>
        </w:numPr>
        <w:spacing w:line="360" w:lineRule="auto"/>
        <w:rPr>
          <w:rFonts w:ascii="Arial" w:hAnsi="Arial" w:cs="Arial"/>
          <w:color w:val="000000"/>
          <w:sz w:val="22"/>
          <w:szCs w:val="22"/>
        </w:rPr>
      </w:pPr>
      <w:r w:rsidRPr="00C70647">
        <w:rPr>
          <w:rFonts w:ascii="Arial" w:hAnsi="Arial" w:cs="Arial"/>
          <w:color w:val="000000"/>
          <w:sz w:val="22"/>
          <w:szCs w:val="22"/>
        </w:rPr>
        <w:t>6A4Z. Unspecified catatonia.</w:t>
      </w:r>
    </w:p>
    <w:p w14:paraId="71691B83" w14:textId="77777777" w:rsidR="00621736" w:rsidRPr="00C70647" w:rsidRDefault="00621736" w:rsidP="00C70647">
      <w:pPr>
        <w:pStyle w:val="NormalWeb"/>
        <w:spacing w:line="360" w:lineRule="auto"/>
        <w:rPr>
          <w:rFonts w:ascii="Arial" w:hAnsi="Arial" w:cs="Arial"/>
          <w:b/>
          <w:bCs/>
          <w:color w:val="000000"/>
          <w:sz w:val="22"/>
          <w:szCs w:val="22"/>
        </w:rPr>
      </w:pPr>
      <w:r w:rsidRPr="00C70647">
        <w:rPr>
          <w:rFonts w:ascii="Arial" w:hAnsi="Arial" w:cs="Arial"/>
          <w:b/>
          <w:bCs/>
          <w:color w:val="000000"/>
          <w:sz w:val="22"/>
          <w:szCs w:val="22"/>
        </w:rPr>
        <w:t>Key diagnostic principles and standards</w:t>
      </w:r>
    </w:p>
    <w:p w14:paraId="603A1DF1" w14:textId="68516507" w:rsidR="00A17077" w:rsidRPr="00C70647" w:rsidRDefault="00621736" w:rsidP="00C70647">
      <w:pPr>
        <w:pStyle w:val="NormalWeb"/>
        <w:spacing w:line="360" w:lineRule="auto"/>
        <w:rPr>
          <w:rFonts w:ascii="Arial" w:hAnsi="Arial" w:cs="Arial"/>
          <w:color w:val="000000"/>
          <w:sz w:val="22"/>
          <w:szCs w:val="22"/>
        </w:rPr>
      </w:pPr>
      <w:r w:rsidRPr="00C70647">
        <w:rPr>
          <w:rFonts w:ascii="Arial" w:hAnsi="Arial" w:cs="Arial"/>
          <w:color w:val="000000"/>
          <w:sz w:val="22"/>
          <w:szCs w:val="22"/>
        </w:rPr>
        <w:t>Catatonia is described by ICD-11 as "a syndrome of primarily psychomotor disturbances, characterised by the co-occurrence of several symptoms of decreased, increased, or abnormal psychomotor activity." At least three clinical characteristics from these three domains—such as stupor, mutism, posturing, stereotypies, grimacing, echolalia, or echopraxia—must be present for a diagnosis to be made; however, only one symptom from the increased-activity domain may be counted towards the minimum.</w:t>
      </w:r>
    </w:p>
    <w:p w14:paraId="60680AD5" w14:textId="77777777" w:rsidR="00216D91" w:rsidRPr="00C70647" w:rsidRDefault="00F9719A" w:rsidP="00C70647">
      <w:pPr>
        <w:pStyle w:val="NormalWeb"/>
        <w:spacing w:line="360" w:lineRule="auto"/>
        <w:rPr>
          <w:rFonts w:ascii="Arial" w:hAnsi="Arial" w:cs="Arial"/>
          <w:color w:val="000000"/>
          <w:sz w:val="22"/>
          <w:szCs w:val="22"/>
        </w:rPr>
      </w:pPr>
      <w:r w:rsidRPr="00C70647">
        <w:rPr>
          <w:rFonts w:ascii="Arial" w:hAnsi="Arial" w:cs="Arial"/>
          <w:color w:val="000000"/>
          <w:sz w:val="22"/>
          <w:szCs w:val="22"/>
        </w:rPr>
        <w:t xml:space="preserve">ICD-11 permits shorter durations (about 15 minutes) if the symptoms are especially severe (such as stupor, catalepsy, mutism, or extreme negativism) or if they are accompanied by </w:t>
      </w:r>
      <w:r w:rsidRPr="00C70647">
        <w:rPr>
          <w:rFonts w:ascii="Arial" w:hAnsi="Arial" w:cs="Arial"/>
          <w:color w:val="000000"/>
          <w:sz w:val="22"/>
          <w:szCs w:val="22"/>
        </w:rPr>
        <w:lastRenderedPageBreak/>
        <w:t xml:space="preserve">autonomic instability (such as respiratory or cardiovascular dysregulation). Additionally, ICD-11 underlines that unless they constitute the foundation for a particular catatonia diagnosis (such as substance-induced or secondary catatonia), delirium, a fundamental movement disorder, or the direct effects of </w:t>
      </w:r>
      <w:r w:rsidR="00216D91" w:rsidRPr="00C70647">
        <w:rPr>
          <w:rFonts w:ascii="Arial" w:hAnsi="Arial" w:cs="Arial"/>
          <w:color w:val="000000"/>
          <w:sz w:val="22"/>
          <w:szCs w:val="22"/>
        </w:rPr>
        <w:t>According to ICD-11, catatonia associated with another mental disorder (6A40) must occur in the setting of a diagnosable mental disorder (such as schizophrenia, mood disorder, or autism spectrum disorder), be severe enough to require clinical attention, and not be entirely explained by delirium, substances, or a primary movement disorder. When the symptom is temporally associated with substance intoxication, withdrawal, or medication exposure and cannot be adequately explained by another mental or medical disease, it is characterised as catatonia induced by substances or medications (6A41).</w:t>
      </w:r>
    </w:p>
    <w:p w14:paraId="526CA38A" w14:textId="12748977" w:rsidR="00621736" w:rsidRPr="00C70647" w:rsidRDefault="00F9719A" w:rsidP="00C70647">
      <w:pPr>
        <w:pStyle w:val="NormalWeb"/>
        <w:spacing w:line="360" w:lineRule="auto"/>
        <w:rPr>
          <w:rFonts w:ascii="Arial" w:hAnsi="Arial" w:cs="Arial"/>
          <w:color w:val="000000"/>
          <w:sz w:val="22"/>
          <w:szCs w:val="22"/>
        </w:rPr>
      </w:pPr>
      <w:r w:rsidRPr="00C70647">
        <w:rPr>
          <w:rFonts w:ascii="Arial" w:hAnsi="Arial" w:cs="Arial"/>
          <w:color w:val="000000"/>
          <w:sz w:val="22"/>
          <w:szCs w:val="22"/>
        </w:rPr>
        <w:t>drugs or treatments cannot adequately explain catatonic indications.</w:t>
      </w:r>
    </w:p>
    <w:p w14:paraId="5C64D7E4" w14:textId="68239DD5" w:rsidR="00FD255C" w:rsidRPr="00C70647" w:rsidRDefault="00FD255C" w:rsidP="00C70647">
      <w:pPr>
        <w:pStyle w:val="NormalWeb"/>
        <w:spacing w:line="360" w:lineRule="auto"/>
        <w:rPr>
          <w:rFonts w:ascii="Arial" w:hAnsi="Arial" w:cs="Arial"/>
          <w:color w:val="000000"/>
          <w:sz w:val="22"/>
          <w:szCs w:val="22"/>
        </w:rPr>
      </w:pPr>
      <w:r w:rsidRPr="00C70647">
        <w:rPr>
          <w:rFonts w:ascii="Arial" w:hAnsi="Arial" w:cs="Arial"/>
          <w:b/>
          <w:bCs/>
          <w:color w:val="000000"/>
          <w:sz w:val="22"/>
          <w:szCs w:val="22"/>
        </w:rPr>
        <w:t>D</w:t>
      </w:r>
      <w:r w:rsidRPr="00FD255C">
        <w:rPr>
          <w:rFonts w:ascii="Arial" w:hAnsi="Arial" w:cs="Arial"/>
          <w:b/>
          <w:bCs/>
          <w:color w:val="000000"/>
          <w:sz w:val="22"/>
          <w:szCs w:val="22"/>
        </w:rPr>
        <w:t>iagnostic process</w:t>
      </w:r>
      <w:r w:rsidRPr="00FD255C">
        <w:rPr>
          <w:rFonts w:ascii="Arial" w:hAnsi="Arial" w:cs="Arial"/>
          <w:color w:val="000000"/>
          <w:sz w:val="22"/>
          <w:szCs w:val="22"/>
        </w:rPr>
        <w:t xml:space="preserve"> </w:t>
      </w:r>
      <w:r w:rsidRPr="00FD255C">
        <w:rPr>
          <w:rFonts w:ascii="Arial" w:hAnsi="Arial" w:cs="Arial"/>
          <w:color w:val="000000"/>
          <w:sz w:val="22"/>
          <w:szCs w:val="22"/>
        </w:rPr>
        <w:br/>
        <w:t>According to ICD-11 guidelines, evaluating catatonia is complicated and requires a combination of physical examination, clinical interview, and extended observation to capture psychomotor changes over time and in various circumstances. In order to improve identification, clinicians are recommended to carefully assess symptoms across the reduced, elevated, and abnormal psychomotor domains. They frequently accomplish this by combining ICD-11 criteria with rating instruments (such as the Bush-Francis Catatonia Rating Scale).</w:t>
      </w:r>
    </w:p>
    <w:p w14:paraId="4ADDD9D7" w14:textId="77777777" w:rsidR="0073751B" w:rsidRPr="0073751B" w:rsidRDefault="0073751B" w:rsidP="00C70647">
      <w:pPr>
        <w:pStyle w:val="NormalWeb"/>
        <w:spacing w:line="360" w:lineRule="auto"/>
        <w:rPr>
          <w:rFonts w:ascii="Arial" w:hAnsi="Arial" w:cs="Arial"/>
          <w:color w:val="000000"/>
          <w:sz w:val="22"/>
          <w:szCs w:val="22"/>
        </w:rPr>
      </w:pPr>
      <w:r w:rsidRPr="0073751B">
        <w:rPr>
          <w:rFonts w:ascii="Arial" w:hAnsi="Arial" w:cs="Arial"/>
          <w:color w:val="000000"/>
          <w:sz w:val="22"/>
          <w:szCs w:val="22"/>
        </w:rPr>
        <w:t>Catatonia is most frequently referred to as a "syndrome" and "clinical phenomenon" rather than just a "disorder" in ICD-11 texts and associated explanatory resources. However, because of its formal status in the categorisation system, it is found in the chapter "Mental, behavioural or neurodevelopmental disorders," and articles describing ICD-11 frequently refer to it as a "independent disorder" or "diagnostic category."</w:t>
      </w:r>
    </w:p>
    <w:p w14:paraId="71D934CB" w14:textId="77777777" w:rsidR="0073751B" w:rsidRPr="00FD255C" w:rsidRDefault="0073751B" w:rsidP="00C70647">
      <w:pPr>
        <w:pStyle w:val="NormalWeb"/>
        <w:spacing w:line="360" w:lineRule="auto"/>
        <w:rPr>
          <w:rFonts w:ascii="Arial" w:hAnsi="Arial" w:cs="Arial"/>
          <w:color w:val="000000"/>
          <w:sz w:val="22"/>
          <w:szCs w:val="22"/>
        </w:rPr>
      </w:pPr>
    </w:p>
    <w:p w14:paraId="1C370EDE" w14:textId="77777777" w:rsidR="00FD255C" w:rsidRPr="00C70647" w:rsidRDefault="00FD255C" w:rsidP="00C70647">
      <w:pPr>
        <w:pStyle w:val="NormalWeb"/>
        <w:spacing w:line="360" w:lineRule="auto"/>
        <w:rPr>
          <w:rFonts w:ascii="Arial" w:hAnsi="Arial" w:cs="Arial"/>
          <w:color w:val="000000"/>
          <w:sz w:val="22"/>
          <w:szCs w:val="22"/>
        </w:rPr>
      </w:pPr>
    </w:p>
    <w:p w14:paraId="78034AA6" w14:textId="77777777" w:rsidR="00F9719A" w:rsidRPr="00C70647" w:rsidRDefault="00F9719A" w:rsidP="00C70647">
      <w:pPr>
        <w:pStyle w:val="NormalWeb"/>
        <w:spacing w:line="360" w:lineRule="auto"/>
        <w:rPr>
          <w:rFonts w:ascii="Arial" w:hAnsi="Arial" w:cs="Arial"/>
          <w:color w:val="000000"/>
          <w:sz w:val="22"/>
          <w:szCs w:val="22"/>
        </w:rPr>
      </w:pPr>
    </w:p>
    <w:p w14:paraId="23CCEF70" w14:textId="28AACA52" w:rsidR="008A6D32" w:rsidRPr="00C70647" w:rsidRDefault="008A6D32" w:rsidP="00C70647">
      <w:pPr>
        <w:pStyle w:val="NormalWeb"/>
        <w:spacing w:line="360" w:lineRule="auto"/>
        <w:rPr>
          <w:rFonts w:ascii="Arial" w:hAnsi="Arial" w:cs="Arial"/>
          <w:b/>
          <w:bCs/>
          <w:color w:val="000000"/>
          <w:sz w:val="22"/>
          <w:szCs w:val="22"/>
        </w:rPr>
      </w:pPr>
      <w:r w:rsidRPr="00C70647">
        <w:rPr>
          <w:rFonts w:ascii="Arial" w:hAnsi="Arial" w:cs="Arial"/>
          <w:b/>
          <w:bCs/>
          <w:color w:val="000000"/>
          <w:sz w:val="22"/>
          <w:szCs w:val="22"/>
        </w:rPr>
        <w:t>Treatment and Rehabilitation</w:t>
      </w:r>
      <w:r w:rsidR="008B731D" w:rsidRPr="00C70647">
        <w:rPr>
          <w:rFonts w:ascii="Arial" w:hAnsi="Arial" w:cs="Arial"/>
          <w:b/>
          <w:bCs/>
          <w:color w:val="000000"/>
          <w:sz w:val="22"/>
          <w:szCs w:val="22"/>
        </w:rPr>
        <w:t xml:space="preserve"> </w:t>
      </w:r>
      <w:r w:rsidR="008B731D" w:rsidRPr="00C70647">
        <w:rPr>
          <w:rFonts w:ascii="Arial" w:hAnsi="Arial" w:cs="Arial"/>
          <w:b/>
          <w:bCs/>
          <w:color w:val="000000"/>
          <w:sz w:val="22"/>
          <w:szCs w:val="22"/>
        </w:rPr>
        <w:t>(Sienaert et al., 2014)</w:t>
      </w:r>
    </w:p>
    <w:p w14:paraId="3BCD2A39" w14:textId="77777777" w:rsidR="00AB003E" w:rsidRPr="00AB003E" w:rsidRDefault="00AB003E" w:rsidP="00C70647">
      <w:pPr>
        <w:pStyle w:val="NormalWeb"/>
        <w:spacing w:line="360" w:lineRule="auto"/>
        <w:rPr>
          <w:rFonts w:ascii="Arial" w:hAnsi="Arial" w:cs="Arial"/>
          <w:color w:val="000000"/>
          <w:sz w:val="22"/>
          <w:szCs w:val="22"/>
        </w:rPr>
      </w:pPr>
      <w:r w:rsidRPr="00AB003E">
        <w:rPr>
          <w:rFonts w:ascii="Arial" w:hAnsi="Arial" w:cs="Arial"/>
          <w:color w:val="000000"/>
          <w:sz w:val="22"/>
          <w:szCs w:val="22"/>
        </w:rPr>
        <w:t xml:space="preserve">Rapid, syndrome-focused intervention with benzodiazepines and/or electroconvulsive therapy (ECT) is the standard treatment for catatonia. It also involves treating any underlying </w:t>
      </w:r>
      <w:r w:rsidRPr="00AB003E">
        <w:rPr>
          <w:rFonts w:ascii="Arial" w:hAnsi="Arial" w:cs="Arial"/>
          <w:color w:val="000000"/>
          <w:sz w:val="22"/>
          <w:szCs w:val="22"/>
        </w:rPr>
        <w:lastRenderedPageBreak/>
        <w:t>medical or mental disorders and preventing consequences. Although ICD-11 does not specify a comprehensive treatment plan, it does specifically allow the targeted use of benzodiazepines and electroconvulsive therapy (ECT) without a diagnosis of schizophrenia. This allows for more flexible and early intervention.</w:t>
      </w:r>
    </w:p>
    <w:p w14:paraId="2F714001" w14:textId="77777777" w:rsidR="007D3EA0" w:rsidRPr="00C70647" w:rsidRDefault="007D3EA0" w:rsidP="00C70647">
      <w:pPr>
        <w:pStyle w:val="NormalWeb"/>
        <w:spacing w:line="360" w:lineRule="auto"/>
        <w:rPr>
          <w:rFonts w:ascii="Arial" w:hAnsi="Arial" w:cs="Arial"/>
          <w:color w:val="000000"/>
          <w:sz w:val="22"/>
          <w:szCs w:val="22"/>
        </w:rPr>
      </w:pPr>
      <w:r w:rsidRPr="007D3EA0">
        <w:rPr>
          <w:rFonts w:ascii="Arial" w:hAnsi="Arial" w:cs="Arial"/>
          <w:b/>
          <w:bCs/>
          <w:color w:val="000000"/>
          <w:sz w:val="22"/>
          <w:szCs w:val="22"/>
        </w:rPr>
        <w:t xml:space="preserve">Typical methods of therapy </w:t>
      </w:r>
      <w:r w:rsidRPr="007D3EA0">
        <w:rPr>
          <w:rFonts w:ascii="Arial" w:hAnsi="Arial" w:cs="Arial"/>
          <w:b/>
          <w:bCs/>
          <w:color w:val="000000"/>
          <w:sz w:val="22"/>
          <w:szCs w:val="22"/>
        </w:rPr>
        <w:br/>
      </w:r>
      <w:r w:rsidRPr="007D3EA0">
        <w:rPr>
          <w:rFonts w:ascii="Arial" w:hAnsi="Arial" w:cs="Arial"/>
          <w:color w:val="000000"/>
          <w:sz w:val="22"/>
          <w:szCs w:val="22"/>
        </w:rPr>
        <w:t>For the majority of catatonia presentations, benzodiazepines—particularly lorazepam—are considered first-line specific treatments. Remission rates are frequently reported to be between 70 and 80 percent, and the "lorazepam challenge" (1-2 mg) is used both therapeutically and diagnostically. When benzodiazepines are unsuccessful or only partially effective, ECT is advised as a first-line treatment for malignant or life-threatening catatonia. Systematic evaluations demonstrate good response rates, even in severe and refractory cases.</w:t>
      </w:r>
    </w:p>
    <w:p w14:paraId="3898EA4A" w14:textId="77777777" w:rsidR="008D641D" w:rsidRPr="008D641D" w:rsidRDefault="008D641D" w:rsidP="00C70647">
      <w:pPr>
        <w:pStyle w:val="NormalWeb"/>
        <w:spacing w:line="360" w:lineRule="auto"/>
        <w:rPr>
          <w:rFonts w:ascii="Arial" w:hAnsi="Arial" w:cs="Arial"/>
          <w:color w:val="000000"/>
          <w:sz w:val="22"/>
          <w:szCs w:val="22"/>
        </w:rPr>
      </w:pPr>
      <w:r w:rsidRPr="008D641D">
        <w:rPr>
          <w:rFonts w:ascii="Arial" w:hAnsi="Arial" w:cs="Arial"/>
          <w:color w:val="000000"/>
          <w:sz w:val="22"/>
          <w:szCs w:val="22"/>
        </w:rPr>
        <w:t>By defining catatonia as a stand-alone syndrome across mental and medical disorders, ICD-11 encourages clinicians to identify and treat catatonia promptly and to choose treatment (benzodiazepines, ECT, underlying-disorder management) independently of any schizophrenia label. ICD-11 focusses on diagnostic classification and only provides high-level clinical implications. Although they do not specify specific rehabilitation programs, the ICD-11 clinical descriptions and diagnostic guidelines for mental, behavioural, or neurodevelopmental disorders (CDDG) emphasise the necessity of continuous assessment of psychomotor symptoms, monitoring of medical risk, and coordination with services treating the primary psychiatric or medical condition.</w:t>
      </w:r>
    </w:p>
    <w:p w14:paraId="395E9EB2" w14:textId="77777777" w:rsidR="009247FA" w:rsidRPr="009247FA" w:rsidRDefault="009247FA" w:rsidP="00C70647">
      <w:pPr>
        <w:pStyle w:val="NormalWeb"/>
        <w:spacing w:line="360" w:lineRule="auto"/>
        <w:rPr>
          <w:rFonts w:ascii="Arial" w:hAnsi="Arial" w:cs="Arial"/>
          <w:color w:val="000000"/>
          <w:sz w:val="22"/>
          <w:szCs w:val="22"/>
        </w:rPr>
      </w:pPr>
      <w:r w:rsidRPr="009247FA">
        <w:rPr>
          <w:rFonts w:ascii="Arial" w:hAnsi="Arial" w:cs="Arial"/>
          <w:color w:val="000000"/>
          <w:sz w:val="22"/>
          <w:szCs w:val="22"/>
        </w:rPr>
        <w:t>In reality, rehabilitation is typically integrated into larger mental health or neurorehabilitation pathways and consists of: gradual mobilisation and physiotherapy to reverse stiffness and deconditioning; occupational therapy to restore activities of daily living; speech and language support if mutism or swallowing issues persist; psychoeducation for patients and their families; and structured relapse-prevention planning, particularly when catatonia is recurrent or associated with chronic disorders like mood disorders, schizophrenia, or autism. In order to lower the risk of relapse and promote social and professional recovery, longer-term follow-up frequently entails adjusting maintenance medication for the underlying disorder (such as mood stabilisers, antidepressants, or antipsychotics if appropriate), psychological therapies, and community support.</w:t>
      </w:r>
    </w:p>
    <w:p w14:paraId="7C8C9EF5" w14:textId="77777777" w:rsidR="00A52FDA" w:rsidRPr="00C70647" w:rsidRDefault="00A52FDA" w:rsidP="00C70647">
      <w:pPr>
        <w:pStyle w:val="NormalWeb"/>
        <w:spacing w:line="360" w:lineRule="auto"/>
        <w:rPr>
          <w:rFonts w:ascii="Arial" w:hAnsi="Arial" w:cs="Arial"/>
          <w:color w:val="000000"/>
          <w:sz w:val="22"/>
          <w:szCs w:val="22"/>
        </w:rPr>
      </w:pPr>
      <w:r w:rsidRPr="00A52FDA">
        <w:rPr>
          <w:rFonts w:ascii="Arial" w:hAnsi="Arial" w:cs="Arial"/>
          <w:b/>
          <w:bCs/>
          <w:color w:val="000000"/>
          <w:sz w:val="22"/>
          <w:szCs w:val="22"/>
        </w:rPr>
        <w:t>Limitations and effectiveness</w:t>
      </w:r>
      <w:r w:rsidRPr="00A52FDA">
        <w:rPr>
          <w:rFonts w:ascii="Arial" w:hAnsi="Arial" w:cs="Arial"/>
          <w:color w:val="000000"/>
          <w:sz w:val="22"/>
          <w:szCs w:val="22"/>
        </w:rPr>
        <w:t xml:space="preserve"> </w:t>
      </w:r>
      <w:r w:rsidRPr="00A52FDA">
        <w:rPr>
          <w:rFonts w:ascii="Arial" w:hAnsi="Arial" w:cs="Arial"/>
          <w:color w:val="000000"/>
          <w:sz w:val="22"/>
          <w:szCs w:val="22"/>
        </w:rPr>
        <w:br/>
        <w:t xml:space="preserve">The majority of the time, lorazepam and other benzodiazepines are quickly effective, often resulting in noticeable improvement within hours or days, according to evidence from </w:t>
      </w:r>
      <w:r w:rsidRPr="00A52FDA">
        <w:rPr>
          <w:rFonts w:ascii="Arial" w:hAnsi="Arial" w:cs="Arial"/>
          <w:color w:val="000000"/>
          <w:sz w:val="22"/>
          <w:szCs w:val="22"/>
        </w:rPr>
        <w:lastRenderedPageBreak/>
        <w:t>observational studies and guideline reviews. This quick response can be life-saving, making benzodiazepines a mainstay of contemporary catatonia care. However, there are certain drawbacks, such as the need for high doses in certain situations, the possibility of oversedation or respiratory compromise (particularly in elderly or medically ill patients), non-response or partial response in a significant minority, and uncertainty regarding the best duration and tapering techniques to avoid dependence or relapse.</w:t>
      </w:r>
    </w:p>
    <w:p w14:paraId="5C3E7E54" w14:textId="77777777" w:rsidR="001E57C4" w:rsidRPr="00C70647" w:rsidRDefault="001E57C4" w:rsidP="00C70647">
      <w:pPr>
        <w:pStyle w:val="NormalWeb"/>
        <w:spacing w:line="360" w:lineRule="auto"/>
        <w:rPr>
          <w:rFonts w:ascii="Arial" w:hAnsi="Arial" w:cs="Arial"/>
          <w:color w:val="000000"/>
          <w:sz w:val="22"/>
          <w:szCs w:val="22"/>
        </w:rPr>
      </w:pPr>
      <w:r w:rsidRPr="001E57C4">
        <w:rPr>
          <w:rFonts w:ascii="Arial" w:hAnsi="Arial" w:cs="Arial"/>
          <w:color w:val="000000"/>
          <w:sz w:val="22"/>
          <w:szCs w:val="22"/>
        </w:rPr>
        <w:t>From a systems standpoint, ICD-11's reclassification enhances therapeutic flexibility and diagnostic clarity, allowing catatonia to be identified and treated in affective, psychotic, developmental, and medical contexts rather than being exclusively associated with schizophrenia. However, a lot of current practice depends on expert consensus and extrapolation from general psychiatric and neurorehabilitation principles because catatonia is still underdiagnosed, there are few large randomised controlled trials for most treatments, and there is little high-quality research on structured rehabilitation programs and long-term outcomes.</w:t>
      </w:r>
    </w:p>
    <w:p w14:paraId="330F8F5E" w14:textId="77777777" w:rsidR="00BE23E3" w:rsidRPr="00C70647" w:rsidRDefault="003C1454" w:rsidP="00C70647">
      <w:pPr>
        <w:pStyle w:val="NormalWeb"/>
        <w:spacing w:line="360" w:lineRule="auto"/>
        <w:rPr>
          <w:rFonts w:ascii="Arial" w:hAnsi="Arial" w:cs="Arial"/>
          <w:color w:val="000000"/>
          <w:sz w:val="22"/>
          <w:szCs w:val="22"/>
        </w:rPr>
      </w:pPr>
      <w:r w:rsidRPr="003C1454">
        <w:rPr>
          <w:rFonts w:ascii="Arial" w:hAnsi="Arial" w:cs="Arial"/>
          <w:b/>
          <w:bCs/>
          <w:color w:val="000000"/>
          <w:sz w:val="22"/>
          <w:szCs w:val="22"/>
        </w:rPr>
        <w:t>Autism, reclassification, and neurodiversity</w:t>
      </w:r>
      <w:r w:rsidRPr="003C1454">
        <w:rPr>
          <w:rFonts w:ascii="Arial" w:hAnsi="Arial" w:cs="Arial"/>
          <w:color w:val="000000"/>
          <w:sz w:val="22"/>
          <w:szCs w:val="22"/>
        </w:rPr>
        <w:t xml:space="preserve"> </w:t>
      </w:r>
      <w:r w:rsidR="00BE23E3" w:rsidRPr="00C70647">
        <w:rPr>
          <w:rFonts w:ascii="Arial" w:hAnsi="Arial" w:cs="Arial"/>
          <w:color w:val="000000"/>
          <w:sz w:val="22"/>
          <w:szCs w:val="22"/>
        </w:rPr>
        <w:t>(Hasan et al., 2025)</w:t>
      </w:r>
    </w:p>
    <w:p w14:paraId="21F51E5E" w14:textId="488C9B7B" w:rsidR="003C1454" w:rsidRPr="003C1454" w:rsidRDefault="003C1454" w:rsidP="00C70647">
      <w:pPr>
        <w:pStyle w:val="NormalWeb"/>
        <w:spacing w:line="360" w:lineRule="auto"/>
        <w:rPr>
          <w:rFonts w:ascii="Arial" w:hAnsi="Arial" w:cs="Arial"/>
          <w:color w:val="000000"/>
          <w:sz w:val="22"/>
          <w:szCs w:val="22"/>
        </w:rPr>
      </w:pPr>
      <w:r w:rsidRPr="003C1454">
        <w:rPr>
          <w:rFonts w:ascii="Arial" w:hAnsi="Arial" w:cs="Arial"/>
          <w:color w:val="000000"/>
          <w:sz w:val="22"/>
          <w:szCs w:val="22"/>
        </w:rPr>
        <w:t>According to systematic reviews, approximately 10% of individuals with autism spectrum disorder (ASD) may eventually fit the criteria for catatonia, indicating that catatonia is rather common in ASD and other neurodevelopmental disorders (NDDs). However, authors contend that current diagnostic thresholds and symptom definitions, which are primarily derived from adult psychiatric populations, may not fit neurodivergent groups well because there is significant symptom overlap between catatonic signs and core autistic behaviours (e.g., stereotypies, social withdrawal, mutism).I</w:t>
      </w:r>
    </w:p>
    <w:p w14:paraId="668504A0" w14:textId="77777777" w:rsidR="008A6D32" w:rsidRPr="00C70647" w:rsidRDefault="008A6D32" w:rsidP="00C70647">
      <w:pPr>
        <w:pStyle w:val="NormalWeb"/>
        <w:spacing w:line="360" w:lineRule="auto"/>
        <w:rPr>
          <w:rFonts w:ascii="Arial" w:hAnsi="Arial" w:cs="Arial"/>
          <w:b/>
          <w:bCs/>
          <w:color w:val="000000"/>
          <w:sz w:val="22"/>
          <w:szCs w:val="22"/>
        </w:rPr>
      </w:pPr>
    </w:p>
    <w:p w14:paraId="0D06B3CB" w14:textId="29B381BD" w:rsidR="008A6D32" w:rsidRPr="00C70647" w:rsidRDefault="008A6D32" w:rsidP="00C70647">
      <w:pPr>
        <w:pStyle w:val="NormalWeb"/>
        <w:spacing w:line="360" w:lineRule="auto"/>
        <w:rPr>
          <w:rFonts w:ascii="Arial" w:hAnsi="Arial" w:cs="Arial"/>
          <w:b/>
          <w:bCs/>
          <w:color w:val="000000"/>
          <w:sz w:val="22"/>
          <w:szCs w:val="22"/>
        </w:rPr>
      </w:pPr>
      <w:r w:rsidRPr="00C70647">
        <w:rPr>
          <w:rFonts w:ascii="Arial" w:hAnsi="Arial" w:cs="Arial"/>
          <w:b/>
          <w:bCs/>
          <w:color w:val="000000"/>
          <w:sz w:val="22"/>
          <w:szCs w:val="22"/>
        </w:rPr>
        <w:t>Current Debates and Emerging Issues:</w:t>
      </w:r>
      <w:r w:rsidRPr="00C70647">
        <w:rPr>
          <w:rStyle w:val="apple-converted-space"/>
          <w:rFonts w:ascii="Arial" w:eastAsiaTheme="majorEastAsia" w:hAnsi="Arial" w:cs="Arial"/>
          <w:b/>
          <w:bCs/>
          <w:color w:val="000000"/>
          <w:sz w:val="22"/>
          <w:szCs w:val="22"/>
        </w:rPr>
        <w:t> </w:t>
      </w:r>
    </w:p>
    <w:p w14:paraId="2243DFEB" w14:textId="77777777" w:rsidR="00070AF6" w:rsidRPr="00070AF6" w:rsidRDefault="00070AF6" w:rsidP="00C70647">
      <w:pPr>
        <w:pStyle w:val="NormalWeb"/>
        <w:spacing w:line="360" w:lineRule="auto"/>
        <w:rPr>
          <w:rFonts w:ascii="Arial" w:hAnsi="Arial" w:cs="Arial"/>
          <w:color w:val="000000"/>
          <w:sz w:val="22"/>
          <w:szCs w:val="22"/>
        </w:rPr>
      </w:pPr>
      <w:r w:rsidRPr="00070AF6">
        <w:rPr>
          <w:rFonts w:ascii="Arial" w:hAnsi="Arial" w:cs="Arial"/>
          <w:color w:val="000000"/>
          <w:sz w:val="22"/>
          <w:szCs w:val="22"/>
        </w:rPr>
        <w:t>The current discussions surrounding catatonia centre on how to effectively categorise a very diverse sickness, how to modify treatment to accommodate various underlying problems (such as neurodivergence), and how these modifications should affect policy and services. Though there is still debate on thresholds, subtypes, and how to incorporate autism and other neurodevelopmental disorders into this paradigm, ICD-11's decision to classify catatonia as a cross-diagnostic psychomotor syndrome is generally regarded as progress.</w:t>
      </w:r>
    </w:p>
    <w:p w14:paraId="737643BE" w14:textId="77777777" w:rsidR="000473DB" w:rsidRPr="00C70647" w:rsidRDefault="000473DB" w:rsidP="00C70647">
      <w:pPr>
        <w:pStyle w:val="NormalWeb"/>
        <w:spacing w:line="360" w:lineRule="auto"/>
        <w:rPr>
          <w:rFonts w:ascii="Arial" w:hAnsi="Arial" w:cs="Arial"/>
          <w:b/>
          <w:bCs/>
          <w:color w:val="000000"/>
          <w:sz w:val="22"/>
          <w:szCs w:val="22"/>
        </w:rPr>
      </w:pPr>
      <w:r w:rsidRPr="000473DB">
        <w:rPr>
          <w:rFonts w:ascii="Arial" w:hAnsi="Arial" w:cs="Arial"/>
          <w:b/>
          <w:bCs/>
          <w:color w:val="000000"/>
          <w:sz w:val="22"/>
          <w:szCs w:val="22"/>
        </w:rPr>
        <w:lastRenderedPageBreak/>
        <w:t xml:space="preserve">Discussions about categorisation and handling </w:t>
      </w:r>
      <w:r w:rsidRPr="000473DB">
        <w:rPr>
          <w:rFonts w:ascii="Arial" w:hAnsi="Arial" w:cs="Arial"/>
          <w:b/>
          <w:bCs/>
          <w:color w:val="000000"/>
          <w:sz w:val="22"/>
          <w:szCs w:val="22"/>
        </w:rPr>
        <w:br/>
      </w:r>
      <w:r w:rsidRPr="000473DB">
        <w:rPr>
          <w:rFonts w:ascii="Arial" w:hAnsi="Arial" w:cs="Arial"/>
          <w:color w:val="000000"/>
          <w:sz w:val="22"/>
          <w:szCs w:val="22"/>
        </w:rPr>
        <w:t>Instead of viewing catatonia as a subtype of schizophrenia, ICD-11 explicitly conceptualises it as a "nosologically unspecific" syndrome that can occur across psychotic, mood, neurodevelopmental, and medical disorders. This is hailed as a "paradigmatic shift," but it raises concerns about whether one set of criteria can fit such diverse presentations. ICD-11's relatively wide, mostly cross-sectional criteria may not yet capture unique pathophysiological subgroups (such as chronic or periodic catatonias), according to critics, even though similar psychomotor characteristics support a single diagnosis category</w:t>
      </w:r>
      <w:r w:rsidRPr="000473DB">
        <w:rPr>
          <w:rFonts w:ascii="Arial" w:hAnsi="Arial" w:cs="Arial"/>
          <w:b/>
          <w:bCs/>
          <w:color w:val="000000"/>
          <w:sz w:val="22"/>
          <w:szCs w:val="22"/>
        </w:rPr>
        <w:t>.</w:t>
      </w:r>
    </w:p>
    <w:p w14:paraId="5F04E14C" w14:textId="6724818D" w:rsidR="006819DA" w:rsidRPr="006819DA" w:rsidRDefault="006819DA" w:rsidP="00C70647">
      <w:pPr>
        <w:pStyle w:val="NormalWeb"/>
        <w:spacing w:line="360" w:lineRule="auto"/>
        <w:rPr>
          <w:rFonts w:ascii="Arial" w:hAnsi="Arial" w:cs="Arial"/>
          <w:color w:val="000000"/>
          <w:sz w:val="22"/>
          <w:szCs w:val="22"/>
        </w:rPr>
      </w:pPr>
      <w:r w:rsidRPr="00C70647">
        <w:rPr>
          <w:rFonts w:ascii="Arial" w:hAnsi="Arial" w:cs="Arial"/>
          <w:b/>
          <w:bCs/>
          <w:color w:val="000000"/>
          <w:sz w:val="22"/>
          <w:szCs w:val="22"/>
        </w:rPr>
        <w:t>I</w:t>
      </w:r>
      <w:r w:rsidRPr="006819DA">
        <w:rPr>
          <w:rFonts w:ascii="Arial" w:hAnsi="Arial" w:cs="Arial"/>
          <w:b/>
          <w:bCs/>
          <w:color w:val="000000"/>
          <w:sz w:val="22"/>
          <w:szCs w:val="22"/>
        </w:rPr>
        <w:t xml:space="preserve">nfluence on policy and practice </w:t>
      </w:r>
      <w:r w:rsidRPr="006819DA">
        <w:rPr>
          <w:rFonts w:ascii="Arial" w:hAnsi="Arial" w:cs="Arial"/>
          <w:b/>
          <w:bCs/>
          <w:color w:val="000000"/>
          <w:sz w:val="22"/>
          <w:szCs w:val="22"/>
        </w:rPr>
        <w:br/>
      </w:r>
      <w:r w:rsidRPr="006819DA">
        <w:rPr>
          <w:rFonts w:ascii="Arial" w:hAnsi="Arial" w:cs="Arial"/>
          <w:color w:val="000000"/>
          <w:sz w:val="22"/>
          <w:szCs w:val="22"/>
        </w:rPr>
        <w:t>The ICD-11 reclassification encourages doctors in psychiatry, neurology, intellectual disability, and general hospitals to actively screen for catatonia instead of limiting it to schizophrenia care pathways, pushing services towards "syndrome-oriented diagnostics." This has useful advantages: It encourages the creation of cross-specialty guidelines and training programs and validates the use of benzodiazepines and ECT for catatonia linked to mood disorders, autism, or medical condition.</w:t>
      </w:r>
    </w:p>
    <w:p w14:paraId="1AD9764D" w14:textId="77777777" w:rsidR="006819DA" w:rsidRPr="000473DB" w:rsidRDefault="006819DA" w:rsidP="00C70647">
      <w:pPr>
        <w:pStyle w:val="NormalWeb"/>
        <w:spacing w:line="360" w:lineRule="auto"/>
        <w:rPr>
          <w:rFonts w:ascii="Arial" w:hAnsi="Arial" w:cs="Arial"/>
          <w:b/>
          <w:bCs/>
          <w:color w:val="000000"/>
          <w:sz w:val="22"/>
          <w:szCs w:val="22"/>
        </w:rPr>
      </w:pPr>
    </w:p>
    <w:p w14:paraId="22EB9F7C" w14:textId="77777777" w:rsidR="008A6D32" w:rsidRPr="00C70647" w:rsidRDefault="008A6D32" w:rsidP="00C70647">
      <w:pPr>
        <w:pStyle w:val="NormalWeb"/>
        <w:spacing w:line="360" w:lineRule="auto"/>
        <w:rPr>
          <w:rFonts w:ascii="Arial" w:hAnsi="Arial" w:cs="Arial"/>
          <w:b/>
          <w:bCs/>
          <w:color w:val="000000"/>
          <w:sz w:val="22"/>
          <w:szCs w:val="22"/>
        </w:rPr>
      </w:pPr>
    </w:p>
    <w:p w14:paraId="663F265C" w14:textId="778BD74C" w:rsidR="008A6D32" w:rsidRPr="00C70647" w:rsidRDefault="008A6D32" w:rsidP="00C70647">
      <w:pPr>
        <w:pStyle w:val="NormalWeb"/>
        <w:spacing w:line="360" w:lineRule="auto"/>
        <w:rPr>
          <w:rFonts w:ascii="Arial" w:hAnsi="Arial" w:cs="Arial"/>
          <w:b/>
          <w:bCs/>
          <w:color w:val="000000"/>
          <w:sz w:val="22"/>
          <w:szCs w:val="22"/>
        </w:rPr>
      </w:pPr>
      <w:r w:rsidRPr="00C70647">
        <w:rPr>
          <w:rFonts w:ascii="Arial" w:hAnsi="Arial" w:cs="Arial"/>
          <w:b/>
          <w:bCs/>
          <w:color w:val="000000"/>
          <w:sz w:val="22"/>
          <w:szCs w:val="22"/>
        </w:rPr>
        <w:t>Recommendations</w:t>
      </w:r>
      <w:r w:rsidR="0084578C" w:rsidRPr="00C70647">
        <w:rPr>
          <w:rFonts w:ascii="Arial" w:hAnsi="Arial" w:cs="Arial"/>
          <w:b/>
          <w:bCs/>
          <w:color w:val="000000"/>
          <w:sz w:val="22"/>
          <w:szCs w:val="22"/>
        </w:rPr>
        <w:t xml:space="preserve"> </w:t>
      </w:r>
      <w:r w:rsidR="0084578C" w:rsidRPr="00C70647">
        <w:rPr>
          <w:rFonts w:ascii="Arial" w:hAnsi="Arial" w:cs="Arial"/>
          <w:b/>
          <w:bCs/>
          <w:color w:val="000000"/>
          <w:sz w:val="22"/>
          <w:szCs w:val="22"/>
        </w:rPr>
        <w:t>(Rogers et al., 2023)</w:t>
      </w:r>
    </w:p>
    <w:p w14:paraId="4B92CBAB" w14:textId="7224490D" w:rsidR="007F315D" w:rsidRPr="00C70647" w:rsidRDefault="00EC2415" w:rsidP="00C70647">
      <w:pPr>
        <w:pStyle w:val="NormalWeb"/>
        <w:spacing w:line="360" w:lineRule="auto"/>
        <w:rPr>
          <w:rFonts w:ascii="Arial" w:hAnsi="Arial" w:cs="Arial"/>
          <w:color w:val="000000"/>
          <w:sz w:val="22"/>
          <w:szCs w:val="22"/>
        </w:rPr>
      </w:pPr>
      <w:r w:rsidRPr="00EC2415">
        <w:rPr>
          <w:rFonts w:ascii="Arial" w:hAnsi="Arial" w:cs="Arial"/>
          <w:color w:val="000000"/>
          <w:sz w:val="22"/>
          <w:szCs w:val="22"/>
        </w:rPr>
        <w:t>Clearer, more inclusive criteria, regular screening, better-structured treatment pathways, and explicit rehabilitation frameworks are all necessary for improving catatonia care, particularly for neurodivergent groups. These modifications would promote more equitable access to specialised care across providers, earlier detection, and more consistent application of successful therapies.</w:t>
      </w:r>
      <w:r w:rsidRPr="00EC2415">
        <w:rPr>
          <w:rFonts w:ascii="Arial" w:hAnsi="Arial" w:cs="Arial"/>
          <w:color w:val="000000"/>
          <w:sz w:val="22"/>
          <w:szCs w:val="22"/>
        </w:rPr>
        <w:br/>
      </w:r>
      <w:r w:rsidRPr="00EC2415">
        <w:rPr>
          <w:rFonts w:ascii="Arial" w:hAnsi="Arial" w:cs="Arial"/>
          <w:color w:val="000000"/>
          <w:sz w:val="22"/>
          <w:szCs w:val="22"/>
        </w:rPr>
        <w:br/>
      </w:r>
      <w:r w:rsidRPr="00EC2415">
        <w:rPr>
          <w:rFonts w:ascii="Arial" w:hAnsi="Arial" w:cs="Arial"/>
          <w:b/>
          <w:bCs/>
          <w:color w:val="000000"/>
          <w:sz w:val="22"/>
          <w:szCs w:val="22"/>
        </w:rPr>
        <w:t>Categorisation and diagnosis</w:t>
      </w:r>
      <w:r w:rsidRPr="00EC2415">
        <w:rPr>
          <w:rFonts w:ascii="Arial" w:hAnsi="Arial" w:cs="Arial"/>
          <w:color w:val="000000"/>
          <w:sz w:val="22"/>
          <w:szCs w:val="22"/>
        </w:rPr>
        <w:t xml:space="preserve"> </w:t>
      </w:r>
      <w:r w:rsidRPr="00EC2415">
        <w:rPr>
          <w:rFonts w:ascii="Arial" w:hAnsi="Arial" w:cs="Arial"/>
          <w:color w:val="000000"/>
          <w:sz w:val="22"/>
          <w:szCs w:val="22"/>
        </w:rPr>
        <w:br/>
        <w:t>Improve symptom definitions and thresholds: In order to confirm which combinations and amounts of indicators best differentiate catatonia from other motor and behavioural problems and to refine definitions of individual features, future ICD revisions should make use of empirical work (e.g., cluster analysis and machine-learning studies). This would lessen both overdiagnosis and underdiagnosis, especially in complicated presentations like severe depression or delirium.</w:t>
      </w:r>
      <w:r w:rsidR="00EA357E" w:rsidRPr="00EA357E">
        <w:rPr>
          <w:rFonts w:ascii="Arial" w:hAnsi="Arial" w:cs="Arial"/>
          <w:color w:val="000000"/>
          <w:sz w:val="22"/>
          <w:szCs w:val="22"/>
        </w:rPr>
        <w:br/>
      </w:r>
      <w:r w:rsidR="00EA357E" w:rsidRPr="00EA357E">
        <w:rPr>
          <w:rFonts w:ascii="Arial" w:hAnsi="Arial" w:cs="Arial"/>
          <w:b/>
          <w:bCs/>
          <w:color w:val="000000"/>
          <w:sz w:val="22"/>
          <w:szCs w:val="22"/>
        </w:rPr>
        <w:br/>
        <w:t>Modify criteria for neurodevelopmental disorder</w:t>
      </w:r>
    </w:p>
    <w:p w14:paraId="52D04844" w14:textId="2FAFB384" w:rsidR="00EA357E" w:rsidRPr="00C70647" w:rsidRDefault="00EA357E" w:rsidP="00C70647">
      <w:pPr>
        <w:pStyle w:val="NormalWeb"/>
        <w:spacing w:line="360" w:lineRule="auto"/>
        <w:rPr>
          <w:rFonts w:ascii="Arial" w:hAnsi="Arial" w:cs="Arial"/>
          <w:color w:val="000000"/>
          <w:sz w:val="22"/>
          <w:szCs w:val="22"/>
        </w:rPr>
      </w:pPr>
      <w:r w:rsidRPr="00EA357E">
        <w:rPr>
          <w:rFonts w:ascii="Arial" w:hAnsi="Arial" w:cs="Arial"/>
          <w:color w:val="000000"/>
          <w:sz w:val="22"/>
          <w:szCs w:val="22"/>
        </w:rPr>
        <w:lastRenderedPageBreak/>
        <w:t xml:space="preserve">Reviews of catatonia in neurodevelopmental disorders suggest modifying diagnostic frameworks to take into consideration extreme behaviours like severe self-harm or marked regression that may indicate catatonia in autism and intellectual disability, as well as baseline stereotypies, mutism, and social withdrawal. Clinicians would be better able to differentiate between long-standing neurodivergent features and recent catatonic change if validated, developmentally informed rating scales and specifiers (such as "catatonia with </w:t>
      </w:r>
      <w:r w:rsidR="008801F1" w:rsidRPr="00C70647">
        <w:rPr>
          <w:rFonts w:ascii="Arial" w:hAnsi="Arial" w:cs="Arial"/>
          <w:color w:val="000000"/>
          <w:sz w:val="22"/>
          <w:szCs w:val="22"/>
        </w:rPr>
        <w:t xml:space="preserve">neurodevelopment </w:t>
      </w:r>
      <w:r w:rsidRPr="00EA357E">
        <w:rPr>
          <w:rFonts w:ascii="Arial" w:hAnsi="Arial" w:cs="Arial"/>
          <w:color w:val="000000"/>
          <w:sz w:val="22"/>
          <w:szCs w:val="22"/>
        </w:rPr>
        <w:t>al condition") were developed.</w:t>
      </w:r>
    </w:p>
    <w:p w14:paraId="235CA1E8" w14:textId="77777777" w:rsidR="008801F1" w:rsidRPr="00C70647" w:rsidRDefault="0087420F" w:rsidP="00C70647">
      <w:pPr>
        <w:pStyle w:val="NormalWeb"/>
        <w:spacing w:line="360" w:lineRule="auto"/>
        <w:rPr>
          <w:rFonts w:ascii="Arial" w:hAnsi="Arial" w:cs="Arial"/>
          <w:b/>
          <w:bCs/>
          <w:color w:val="000000"/>
          <w:sz w:val="22"/>
          <w:szCs w:val="22"/>
        </w:rPr>
      </w:pPr>
      <w:r w:rsidRPr="0087420F">
        <w:rPr>
          <w:rFonts w:ascii="Arial" w:hAnsi="Arial" w:cs="Arial"/>
          <w:b/>
          <w:bCs/>
          <w:color w:val="000000"/>
          <w:sz w:val="22"/>
          <w:szCs w:val="22"/>
        </w:rPr>
        <w:t>Establish regular screening procedures</w:t>
      </w:r>
    </w:p>
    <w:p w14:paraId="44066737" w14:textId="7EA537DA" w:rsidR="0087420F" w:rsidRPr="00C70647" w:rsidRDefault="0087420F" w:rsidP="00C70647">
      <w:pPr>
        <w:pStyle w:val="NormalWeb"/>
        <w:spacing w:line="360" w:lineRule="auto"/>
        <w:rPr>
          <w:rFonts w:ascii="Arial" w:hAnsi="Arial" w:cs="Arial"/>
          <w:color w:val="000000"/>
          <w:sz w:val="22"/>
          <w:szCs w:val="22"/>
        </w:rPr>
      </w:pPr>
      <w:r w:rsidRPr="0087420F">
        <w:rPr>
          <w:rFonts w:ascii="Arial" w:hAnsi="Arial" w:cs="Arial"/>
          <w:b/>
          <w:bCs/>
          <w:color w:val="000000"/>
          <w:sz w:val="22"/>
          <w:szCs w:val="22"/>
        </w:rPr>
        <w:t xml:space="preserve"> </w:t>
      </w:r>
      <w:r w:rsidRPr="0087420F">
        <w:rPr>
          <w:rFonts w:ascii="Arial" w:hAnsi="Arial" w:cs="Arial"/>
          <w:color w:val="000000"/>
          <w:sz w:val="22"/>
          <w:szCs w:val="22"/>
        </w:rPr>
        <w:t>Research on underdiagnosis suggests that in high-risk environments including acute psychiatric units, liaison psychiatry, and neurodevelopmental services, providers should implement standardised screening (such as brief catatonia checklists or scales). By integrating these methods into admission evaluations and electronic health records, catatonia assessment would become more common and fewer cases would be missed.</w:t>
      </w:r>
    </w:p>
    <w:p w14:paraId="6B52E498" w14:textId="77777777" w:rsidR="008D1AA7" w:rsidRPr="00C70647" w:rsidRDefault="008D1AA7" w:rsidP="00C70647">
      <w:pPr>
        <w:pStyle w:val="NormalWeb"/>
        <w:spacing w:line="360" w:lineRule="auto"/>
        <w:rPr>
          <w:rFonts w:ascii="Arial" w:hAnsi="Arial" w:cs="Arial"/>
          <w:color w:val="000000"/>
          <w:sz w:val="22"/>
          <w:szCs w:val="22"/>
        </w:rPr>
      </w:pPr>
    </w:p>
    <w:p w14:paraId="0FA85F87" w14:textId="77777777" w:rsidR="008D1AA7" w:rsidRPr="00C70647" w:rsidRDefault="008D1AA7" w:rsidP="00C70647">
      <w:pPr>
        <w:pStyle w:val="NormalWeb"/>
        <w:spacing w:line="360" w:lineRule="auto"/>
        <w:rPr>
          <w:rFonts w:ascii="Arial" w:hAnsi="Arial" w:cs="Arial"/>
          <w:color w:val="000000"/>
          <w:sz w:val="22"/>
          <w:szCs w:val="22"/>
        </w:rPr>
      </w:pPr>
      <w:r w:rsidRPr="008D1AA7">
        <w:rPr>
          <w:rFonts w:ascii="Arial" w:hAnsi="Arial" w:cs="Arial"/>
          <w:b/>
          <w:bCs/>
          <w:color w:val="000000"/>
          <w:sz w:val="22"/>
          <w:szCs w:val="22"/>
        </w:rPr>
        <w:t xml:space="preserve">Treatment routes </w:t>
      </w:r>
      <w:r w:rsidRPr="008D1AA7">
        <w:rPr>
          <w:rFonts w:ascii="Arial" w:hAnsi="Arial" w:cs="Arial"/>
          <w:b/>
          <w:bCs/>
          <w:color w:val="000000"/>
          <w:sz w:val="22"/>
          <w:szCs w:val="22"/>
        </w:rPr>
        <w:br/>
      </w:r>
      <w:r w:rsidRPr="008D1AA7">
        <w:rPr>
          <w:rFonts w:ascii="Arial" w:hAnsi="Arial" w:cs="Arial"/>
          <w:color w:val="000000"/>
          <w:sz w:val="22"/>
          <w:szCs w:val="22"/>
        </w:rPr>
        <w:t>Integrate services with guidelines-based care: There are currently comprehensive recommendations on benzodiazepines, ECT, and alternative or supplementary therapy in the British Association for Psychopharmacology guideline and other consensus texts. Instead of letting individual clinicians decide how to treat catatonia, services should translate them into local guidelines that address first lorazepam trials, indications for ECT, monitoring, and criteria for therapy escalation.</w:t>
      </w:r>
    </w:p>
    <w:p w14:paraId="71CF3257" w14:textId="77777777" w:rsidR="007D1688" w:rsidRPr="00C70647" w:rsidRDefault="007D1688" w:rsidP="00C70647">
      <w:pPr>
        <w:pStyle w:val="NormalWeb"/>
        <w:spacing w:line="360" w:lineRule="auto"/>
        <w:rPr>
          <w:rFonts w:ascii="Arial" w:hAnsi="Arial" w:cs="Arial"/>
          <w:color w:val="000000"/>
          <w:sz w:val="22"/>
          <w:szCs w:val="22"/>
        </w:rPr>
      </w:pPr>
      <w:r w:rsidRPr="007D1688">
        <w:rPr>
          <w:rFonts w:ascii="Arial" w:hAnsi="Arial" w:cs="Arial"/>
          <w:b/>
          <w:bCs/>
          <w:color w:val="000000"/>
          <w:sz w:val="22"/>
          <w:szCs w:val="22"/>
        </w:rPr>
        <w:t>Create neurodivergence-sensitive algorithms</w:t>
      </w:r>
      <w:r w:rsidRPr="007D1688">
        <w:rPr>
          <w:rFonts w:ascii="Arial" w:hAnsi="Arial" w:cs="Arial"/>
          <w:color w:val="000000"/>
          <w:sz w:val="22"/>
          <w:szCs w:val="22"/>
        </w:rPr>
        <w:t>: Reviews of catatonia in autism and other neurodevelopmental disorders emphasise the need for modified treatment algorithms, such as acknowledging that some autistic patients may need higher dosages of benzodiazepines, more careful behavioural monitoring, and a greater focus on environmental modification and carer involvement. It would be beneficial to co-produce these pathways with neurodivergent individuals and their families in order to strike a balance between safety, autonomy, and sensory demands.</w:t>
      </w:r>
    </w:p>
    <w:p w14:paraId="6510C018" w14:textId="77777777" w:rsidR="007A0BCB" w:rsidRPr="00C70647" w:rsidRDefault="007A0BCB" w:rsidP="00C70647">
      <w:pPr>
        <w:pStyle w:val="NormalWeb"/>
        <w:spacing w:line="360" w:lineRule="auto"/>
        <w:rPr>
          <w:rFonts w:ascii="Arial" w:hAnsi="Arial" w:cs="Arial"/>
          <w:color w:val="000000"/>
          <w:sz w:val="22"/>
          <w:szCs w:val="22"/>
        </w:rPr>
      </w:pPr>
      <w:r w:rsidRPr="007A0BCB">
        <w:rPr>
          <w:rFonts w:ascii="Arial" w:hAnsi="Arial" w:cs="Arial"/>
          <w:b/>
          <w:bCs/>
          <w:color w:val="000000"/>
          <w:sz w:val="22"/>
          <w:szCs w:val="22"/>
        </w:rPr>
        <w:t>Boost systems for quick access to ECT:</w:t>
      </w:r>
      <w:r w:rsidRPr="007A0BCB">
        <w:rPr>
          <w:rFonts w:ascii="Arial" w:hAnsi="Arial" w:cs="Arial"/>
          <w:color w:val="000000"/>
          <w:sz w:val="22"/>
          <w:szCs w:val="22"/>
        </w:rPr>
        <w:t xml:space="preserve"> Although guidelines designate benzodiazepine-resistant catatonia and malignant catatonia as emergencies where ECT should be quickly accessible, access is still inconsistent and frequently reliant on local resources and permission processes. Delays and disparities in care would be decreased via regional ECT </w:t>
      </w:r>
      <w:r w:rsidRPr="007A0BCB">
        <w:rPr>
          <w:rFonts w:ascii="Arial" w:hAnsi="Arial" w:cs="Arial"/>
          <w:color w:val="000000"/>
          <w:sz w:val="22"/>
          <w:szCs w:val="22"/>
        </w:rPr>
        <w:lastRenderedPageBreak/>
        <w:t>networks, precise referral standards, and simplified legal frameworks for urgent treatment (with the right protections).</w:t>
      </w:r>
    </w:p>
    <w:p w14:paraId="4CA74C83" w14:textId="77777777" w:rsidR="0002733E" w:rsidRPr="00C70647" w:rsidRDefault="0002733E" w:rsidP="00C70647">
      <w:pPr>
        <w:pStyle w:val="NormalWeb"/>
        <w:spacing w:line="360" w:lineRule="auto"/>
        <w:rPr>
          <w:rFonts w:ascii="Arial" w:hAnsi="Arial" w:cs="Arial"/>
          <w:color w:val="000000"/>
          <w:sz w:val="22"/>
          <w:szCs w:val="22"/>
        </w:rPr>
      </w:pPr>
    </w:p>
    <w:p w14:paraId="1460E88A" w14:textId="77777777" w:rsidR="00556C1F" w:rsidRPr="00C70647" w:rsidRDefault="00556C1F" w:rsidP="00C70647">
      <w:pPr>
        <w:pStyle w:val="NormalWeb"/>
        <w:spacing w:line="360" w:lineRule="auto"/>
        <w:rPr>
          <w:rFonts w:ascii="Arial" w:hAnsi="Arial" w:cs="Arial"/>
          <w:color w:val="000000"/>
          <w:sz w:val="22"/>
          <w:szCs w:val="22"/>
        </w:rPr>
      </w:pPr>
      <w:r w:rsidRPr="00556C1F">
        <w:rPr>
          <w:rFonts w:ascii="Arial" w:hAnsi="Arial" w:cs="Arial"/>
          <w:b/>
          <w:bCs/>
          <w:color w:val="000000"/>
          <w:sz w:val="22"/>
          <w:szCs w:val="22"/>
        </w:rPr>
        <w:t>Longer-term care and rehabilitation</w:t>
      </w:r>
      <w:r w:rsidRPr="00556C1F">
        <w:rPr>
          <w:rFonts w:ascii="Arial" w:hAnsi="Arial" w:cs="Arial"/>
          <w:color w:val="000000"/>
          <w:sz w:val="22"/>
          <w:szCs w:val="22"/>
        </w:rPr>
        <w:t xml:space="preserve"> </w:t>
      </w:r>
      <w:r w:rsidRPr="00556C1F">
        <w:rPr>
          <w:rFonts w:ascii="Arial" w:hAnsi="Arial" w:cs="Arial"/>
          <w:color w:val="000000"/>
          <w:sz w:val="22"/>
          <w:szCs w:val="22"/>
        </w:rPr>
        <w:br/>
      </w:r>
      <w:r w:rsidRPr="00556C1F">
        <w:rPr>
          <w:rFonts w:ascii="Arial" w:hAnsi="Arial" w:cs="Arial"/>
          <w:b/>
          <w:bCs/>
          <w:color w:val="000000"/>
          <w:sz w:val="22"/>
          <w:szCs w:val="22"/>
        </w:rPr>
        <w:t>Include rehabilitation in the treatment of catatonia:</w:t>
      </w:r>
      <w:r w:rsidRPr="00556C1F">
        <w:rPr>
          <w:rFonts w:ascii="Arial" w:hAnsi="Arial" w:cs="Arial"/>
          <w:color w:val="000000"/>
          <w:sz w:val="22"/>
          <w:szCs w:val="22"/>
        </w:rPr>
        <w:t xml:space="preserve"> Reviews and clinical roadmaps advocate for structured follow-up, including physiotherapy, occupational therapy, speech and language therapy, and psychological support to address deconditioning, communication difficulties, and trauma or distress related to the episode. However, the majority of the current literature focusses on acute treatment. Relapse and functional decline could be avoided by include detailed rehabilitation plans in care pathways and discharge summaries.</w:t>
      </w:r>
    </w:p>
    <w:p w14:paraId="41B21651" w14:textId="6C35F79E" w:rsidR="00556C1F" w:rsidRPr="00C70647" w:rsidRDefault="00E72061" w:rsidP="00C70647">
      <w:pPr>
        <w:pStyle w:val="NormalWeb"/>
        <w:spacing w:line="360" w:lineRule="auto"/>
        <w:rPr>
          <w:rFonts w:ascii="Arial" w:hAnsi="Arial" w:cs="Arial"/>
          <w:color w:val="000000"/>
          <w:sz w:val="22"/>
          <w:szCs w:val="22"/>
        </w:rPr>
      </w:pPr>
      <w:r w:rsidRPr="00C70647">
        <w:rPr>
          <w:rFonts w:ascii="Arial" w:hAnsi="Arial" w:cs="Arial"/>
          <w:b/>
          <w:bCs/>
          <w:color w:val="000000"/>
          <w:sz w:val="22"/>
          <w:szCs w:val="22"/>
        </w:rPr>
        <w:t>Integrate with neurodevelopmental and disability services</w:t>
      </w:r>
      <w:r w:rsidRPr="00C70647">
        <w:rPr>
          <w:rFonts w:ascii="Arial" w:hAnsi="Arial" w:cs="Arial"/>
          <w:color w:val="000000"/>
          <w:sz w:val="22"/>
          <w:szCs w:val="22"/>
        </w:rPr>
        <w:t>: In order to sustain improvements following acute therapy, catatonia management for individuals with autism or intellectual disability should interact with current disability frameworks. This will guarantee appropriate modifications, carer education, and community support. Where cases are uncommon yet high-risk, specialised multidisciplinary clinics or networks for "catatonia and complex neurodevelopmental conditions" should concentrate expertise.</w:t>
      </w:r>
    </w:p>
    <w:p w14:paraId="046FCC65" w14:textId="77777777" w:rsidR="009056F1" w:rsidRPr="00C70647" w:rsidRDefault="009056F1" w:rsidP="00C70647">
      <w:pPr>
        <w:pStyle w:val="NormalWeb"/>
        <w:spacing w:line="360" w:lineRule="auto"/>
        <w:rPr>
          <w:rFonts w:ascii="Arial" w:hAnsi="Arial" w:cs="Arial"/>
          <w:color w:val="000000"/>
          <w:sz w:val="22"/>
          <w:szCs w:val="22"/>
        </w:rPr>
      </w:pPr>
    </w:p>
    <w:p w14:paraId="6C7AF8FA" w14:textId="77777777" w:rsidR="009056F1" w:rsidRPr="00C70647" w:rsidRDefault="009056F1" w:rsidP="00C70647">
      <w:pPr>
        <w:pStyle w:val="NormalWeb"/>
        <w:spacing w:line="360" w:lineRule="auto"/>
        <w:rPr>
          <w:rFonts w:ascii="Arial" w:hAnsi="Arial" w:cs="Arial"/>
          <w:color w:val="000000"/>
          <w:sz w:val="22"/>
          <w:szCs w:val="22"/>
        </w:rPr>
      </w:pPr>
      <w:r w:rsidRPr="009056F1">
        <w:rPr>
          <w:rFonts w:ascii="Arial" w:hAnsi="Arial" w:cs="Arial"/>
          <w:b/>
          <w:bCs/>
          <w:color w:val="000000"/>
          <w:sz w:val="22"/>
          <w:szCs w:val="22"/>
        </w:rPr>
        <w:t xml:space="preserve">Governance, education, and awareness </w:t>
      </w:r>
      <w:r w:rsidRPr="009056F1">
        <w:rPr>
          <w:rFonts w:ascii="Arial" w:hAnsi="Arial" w:cs="Arial"/>
          <w:color w:val="000000"/>
          <w:sz w:val="22"/>
          <w:szCs w:val="22"/>
        </w:rPr>
        <w:br/>
      </w:r>
      <w:r w:rsidRPr="009056F1">
        <w:rPr>
          <w:rFonts w:ascii="Arial" w:hAnsi="Arial" w:cs="Arial"/>
          <w:b/>
          <w:bCs/>
          <w:color w:val="000000"/>
          <w:sz w:val="22"/>
          <w:szCs w:val="22"/>
        </w:rPr>
        <w:t>Clinicians' targeted training</w:t>
      </w:r>
      <w:r w:rsidRPr="009056F1">
        <w:rPr>
          <w:rFonts w:ascii="Arial" w:hAnsi="Arial" w:cs="Arial"/>
          <w:color w:val="000000"/>
          <w:sz w:val="22"/>
          <w:szCs w:val="22"/>
        </w:rPr>
        <w:t>: Recent research on underdiagnosis highlights particular symptoms and situations that are frequently overlooked, indicating training priorities including identifying agitated or aroused presentations, catatonia in mood disorders, and presentations in autism and intellectual disability. The identification and initial treatment of catatonia would be enhanced by simulation-based training, case-based learning, and the inclusion of catatonia instruction in psychiatry, neurology, and general medical curriculum.</w:t>
      </w:r>
    </w:p>
    <w:p w14:paraId="4B5DB967" w14:textId="3D82BA7D" w:rsidR="009056F1" w:rsidRPr="009056F1" w:rsidRDefault="00354827" w:rsidP="00C70647">
      <w:pPr>
        <w:pStyle w:val="NormalWeb"/>
        <w:spacing w:line="360" w:lineRule="auto"/>
        <w:rPr>
          <w:rFonts w:ascii="Arial" w:hAnsi="Arial" w:cs="Arial"/>
          <w:color w:val="000000"/>
          <w:sz w:val="22"/>
          <w:szCs w:val="22"/>
        </w:rPr>
      </w:pPr>
      <w:r w:rsidRPr="00C70647">
        <w:rPr>
          <w:rFonts w:ascii="Arial" w:hAnsi="Arial" w:cs="Arial"/>
          <w:b/>
          <w:bCs/>
          <w:color w:val="000000"/>
          <w:sz w:val="22"/>
          <w:szCs w:val="22"/>
        </w:rPr>
        <w:t>Governance frameworks and audits:</w:t>
      </w:r>
      <w:r w:rsidRPr="00C70647">
        <w:rPr>
          <w:rFonts w:ascii="Arial" w:hAnsi="Arial" w:cs="Arial"/>
          <w:color w:val="000000"/>
          <w:sz w:val="22"/>
          <w:szCs w:val="22"/>
        </w:rPr>
        <w:t xml:space="preserve"> Services should implement clinical audits on the diagnosis and treatment of catatonia (e.g., percentage of high-risk admissions screened, time to lorazepam trial, time to ECT for malignant cases, record of consent and capacity evaluations). It would maintain focus and promote progress if catatonia indicators were included in mental health quality standards and inspection systems.</w:t>
      </w:r>
    </w:p>
    <w:p w14:paraId="52090E41" w14:textId="77777777" w:rsidR="009056F1" w:rsidRPr="00C70647" w:rsidRDefault="009056F1" w:rsidP="00C70647">
      <w:pPr>
        <w:pStyle w:val="NormalWeb"/>
        <w:spacing w:line="360" w:lineRule="auto"/>
        <w:rPr>
          <w:rFonts w:ascii="Arial" w:hAnsi="Arial" w:cs="Arial"/>
          <w:color w:val="000000"/>
          <w:sz w:val="22"/>
          <w:szCs w:val="22"/>
        </w:rPr>
      </w:pPr>
    </w:p>
    <w:p w14:paraId="329EF54B" w14:textId="77777777" w:rsidR="00E72061" w:rsidRPr="00556C1F" w:rsidRDefault="00E72061" w:rsidP="00C70647">
      <w:pPr>
        <w:pStyle w:val="NormalWeb"/>
        <w:spacing w:line="360" w:lineRule="auto"/>
        <w:rPr>
          <w:rFonts w:ascii="Arial" w:hAnsi="Arial" w:cs="Arial"/>
          <w:color w:val="000000"/>
          <w:sz w:val="22"/>
          <w:szCs w:val="22"/>
        </w:rPr>
      </w:pPr>
    </w:p>
    <w:p w14:paraId="75C42BB4" w14:textId="71763F0B" w:rsidR="008A6D32" w:rsidRPr="00C70647" w:rsidRDefault="008A6D32" w:rsidP="00C70647">
      <w:pPr>
        <w:pStyle w:val="NormalWeb"/>
        <w:spacing w:line="360" w:lineRule="auto"/>
        <w:rPr>
          <w:rFonts w:ascii="Arial" w:hAnsi="Arial" w:cs="Arial"/>
          <w:b/>
          <w:bCs/>
          <w:color w:val="000000"/>
          <w:sz w:val="22"/>
          <w:szCs w:val="22"/>
        </w:rPr>
      </w:pPr>
      <w:r w:rsidRPr="00C70647">
        <w:rPr>
          <w:rFonts w:ascii="Arial" w:hAnsi="Arial" w:cs="Arial"/>
          <w:b/>
          <w:bCs/>
          <w:color w:val="000000"/>
          <w:sz w:val="22"/>
          <w:szCs w:val="22"/>
        </w:rPr>
        <w:lastRenderedPageBreak/>
        <w:t>Conclusion</w:t>
      </w:r>
    </w:p>
    <w:p w14:paraId="047A8899" w14:textId="77777777" w:rsidR="00844458" w:rsidRPr="00844458" w:rsidRDefault="00844458" w:rsidP="00C70647">
      <w:pPr>
        <w:pStyle w:val="NormalWeb"/>
        <w:spacing w:line="360" w:lineRule="auto"/>
        <w:rPr>
          <w:rFonts w:ascii="Arial" w:hAnsi="Arial" w:cs="Arial"/>
          <w:color w:val="000000"/>
          <w:sz w:val="22"/>
          <w:szCs w:val="22"/>
        </w:rPr>
      </w:pPr>
      <w:r w:rsidRPr="00844458">
        <w:rPr>
          <w:rFonts w:ascii="Arial" w:hAnsi="Arial" w:cs="Arial"/>
          <w:color w:val="000000"/>
          <w:sz w:val="22"/>
          <w:szCs w:val="22"/>
        </w:rPr>
        <w:t>Catatonia is now recognised in ICD</w:t>
      </w:r>
      <w:r w:rsidRPr="00844458">
        <w:rPr>
          <w:rFonts w:ascii="Arial" w:hAnsi="Arial" w:cs="Arial"/>
          <w:color w:val="000000"/>
          <w:sz w:val="22"/>
          <w:szCs w:val="22"/>
        </w:rPr>
        <w:noBreakHyphen/>
        <w:t>11 as a distinct psychomotor syndrome that can occur across many mental and medical disorders, rather than just as a subtype of schizophrenia, which supports earlier and more flexible intervention. Standard treatments such as benzodiazepines and ECT are highly effective for many patients, but access, tailoring to neurodivergent populations, and structured rehabilitation remain uneven and under</w:t>
      </w:r>
      <w:r w:rsidRPr="00844458">
        <w:rPr>
          <w:rFonts w:ascii="Arial" w:hAnsi="Arial" w:cs="Arial"/>
          <w:color w:val="000000"/>
          <w:sz w:val="22"/>
          <w:szCs w:val="22"/>
        </w:rPr>
        <w:noBreakHyphen/>
        <w:t>developed, contributing to ongoing under</w:t>
      </w:r>
      <w:r w:rsidRPr="00844458">
        <w:rPr>
          <w:rFonts w:ascii="Arial" w:hAnsi="Arial" w:cs="Arial"/>
          <w:color w:val="000000"/>
          <w:sz w:val="22"/>
          <w:szCs w:val="22"/>
        </w:rPr>
        <w:noBreakHyphen/>
        <w:t>diagnosis and variable outcomes.​</w:t>
      </w:r>
    </w:p>
    <w:p w14:paraId="6BD7042F" w14:textId="77777777" w:rsidR="00844458" w:rsidRPr="00844458" w:rsidRDefault="00844458" w:rsidP="00C70647">
      <w:pPr>
        <w:pStyle w:val="NormalWeb"/>
        <w:spacing w:line="360" w:lineRule="auto"/>
        <w:rPr>
          <w:rFonts w:ascii="Arial" w:hAnsi="Arial" w:cs="Arial"/>
          <w:color w:val="000000"/>
          <w:sz w:val="22"/>
          <w:szCs w:val="22"/>
        </w:rPr>
      </w:pPr>
      <w:r w:rsidRPr="00844458">
        <w:rPr>
          <w:rFonts w:ascii="Arial" w:hAnsi="Arial" w:cs="Arial"/>
          <w:color w:val="000000"/>
          <w:sz w:val="22"/>
          <w:szCs w:val="22"/>
        </w:rPr>
        <w:t>Current debates highlight the need to refine diagnostic criteria (especially in autism and other neurodevelopmental conditions), embed guideline</w:t>
      </w:r>
      <w:r w:rsidRPr="00844458">
        <w:rPr>
          <w:rFonts w:ascii="Arial" w:hAnsi="Arial" w:cs="Arial"/>
          <w:color w:val="000000"/>
          <w:sz w:val="22"/>
          <w:szCs w:val="22"/>
        </w:rPr>
        <w:noBreakHyphen/>
        <w:t>based treatment pathways, and develop multidisciplinary rehabilitation and follow</w:t>
      </w:r>
      <w:r w:rsidRPr="00844458">
        <w:rPr>
          <w:rFonts w:ascii="Arial" w:hAnsi="Arial" w:cs="Arial"/>
          <w:color w:val="000000"/>
          <w:sz w:val="22"/>
          <w:szCs w:val="22"/>
        </w:rPr>
        <w:noBreakHyphen/>
        <w:t>up, with implications for service design, staff training, legal safeguards, and future research priorities</w:t>
      </w:r>
    </w:p>
    <w:p w14:paraId="583CBBD7" w14:textId="77777777" w:rsidR="00844458" w:rsidRPr="00C70647" w:rsidRDefault="00844458" w:rsidP="00C70647">
      <w:pPr>
        <w:pStyle w:val="NormalWeb"/>
        <w:spacing w:line="360" w:lineRule="auto"/>
        <w:rPr>
          <w:rFonts w:ascii="Arial" w:hAnsi="Arial" w:cs="Arial"/>
          <w:b/>
          <w:bCs/>
          <w:color w:val="000000"/>
          <w:sz w:val="22"/>
          <w:szCs w:val="22"/>
        </w:rPr>
      </w:pPr>
    </w:p>
    <w:p w14:paraId="45A36524" w14:textId="77777777" w:rsidR="008A6D32" w:rsidRPr="00C70647" w:rsidRDefault="008A6D32" w:rsidP="00C70647">
      <w:pPr>
        <w:pStyle w:val="NormalWeb"/>
        <w:spacing w:line="360" w:lineRule="auto"/>
        <w:rPr>
          <w:rFonts w:ascii="Arial" w:hAnsi="Arial" w:cs="Arial"/>
          <w:color w:val="000000"/>
          <w:sz w:val="22"/>
          <w:szCs w:val="22"/>
        </w:rPr>
      </w:pPr>
    </w:p>
    <w:p w14:paraId="4F7597D5" w14:textId="77777777" w:rsidR="008A6D32" w:rsidRPr="00C70647" w:rsidRDefault="008A6D32" w:rsidP="00C70647">
      <w:pPr>
        <w:pStyle w:val="NormalWeb"/>
        <w:spacing w:line="360" w:lineRule="auto"/>
        <w:rPr>
          <w:rFonts w:ascii="Arial" w:hAnsi="Arial" w:cs="Arial"/>
          <w:color w:val="000000"/>
          <w:sz w:val="22"/>
          <w:szCs w:val="22"/>
        </w:rPr>
      </w:pPr>
    </w:p>
    <w:p w14:paraId="464E4062" w14:textId="02CAC658" w:rsidR="008A6D32" w:rsidRPr="00C70647" w:rsidRDefault="008A6D32" w:rsidP="00C70647">
      <w:pPr>
        <w:pStyle w:val="NormalWeb"/>
        <w:spacing w:line="360" w:lineRule="auto"/>
        <w:rPr>
          <w:rFonts w:ascii="Arial" w:hAnsi="Arial" w:cs="Arial"/>
          <w:b/>
          <w:bCs/>
          <w:color w:val="000000"/>
          <w:sz w:val="22"/>
          <w:szCs w:val="22"/>
        </w:rPr>
      </w:pPr>
      <w:r w:rsidRPr="00C70647">
        <w:rPr>
          <w:rFonts w:ascii="Arial" w:hAnsi="Arial" w:cs="Arial"/>
          <w:b/>
          <w:bCs/>
          <w:color w:val="000000"/>
          <w:sz w:val="22"/>
          <w:szCs w:val="22"/>
        </w:rPr>
        <w:t xml:space="preserve">References </w:t>
      </w:r>
    </w:p>
    <w:p w14:paraId="25DF2857" w14:textId="77777777" w:rsidR="00D822FC" w:rsidRPr="00C70647"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lang w:val="nl-NL"/>
        </w:rPr>
        <w:t xml:space="preserve">Gaind, G.S. et al. </w:t>
      </w:r>
      <w:r w:rsidRPr="0013634D">
        <w:rPr>
          <w:rFonts w:ascii="Arial" w:hAnsi="Arial" w:cs="Arial"/>
          <w:color w:val="000000"/>
          <w:sz w:val="22"/>
          <w:szCs w:val="22"/>
        </w:rPr>
        <w:t>(2025) ‘Catatonia in ICD</w:t>
      </w:r>
      <w:r w:rsidRPr="0013634D">
        <w:rPr>
          <w:rFonts w:ascii="Arial" w:hAnsi="Arial" w:cs="Arial"/>
          <w:color w:val="000000"/>
          <w:sz w:val="22"/>
          <w:szCs w:val="22"/>
        </w:rPr>
        <w:noBreakHyphen/>
        <w:t>11’, </w:t>
      </w:r>
      <w:r w:rsidRPr="0013634D">
        <w:rPr>
          <w:rFonts w:ascii="Arial" w:hAnsi="Arial" w:cs="Arial"/>
          <w:i/>
          <w:iCs/>
          <w:color w:val="000000"/>
          <w:sz w:val="22"/>
          <w:szCs w:val="22"/>
        </w:rPr>
        <w:t>Psychiatry and Clinical Neurosciences</w:t>
      </w:r>
      <w:r w:rsidRPr="0013634D">
        <w:rPr>
          <w:rFonts w:ascii="Arial" w:hAnsi="Arial" w:cs="Arial"/>
          <w:color w:val="000000"/>
          <w:sz w:val="22"/>
          <w:szCs w:val="22"/>
        </w:rPr>
        <w:t>, 79(4), pp. xxx–xxx. Available at: </w:t>
      </w:r>
      <w:hyperlink r:id="rId11" w:tgtFrame="_blank" w:history="1">
        <w:r w:rsidRPr="0013634D">
          <w:rPr>
            <w:rStyle w:val="Hyperlink"/>
            <w:rFonts w:ascii="Arial" w:hAnsi="Arial" w:cs="Arial"/>
            <w:sz w:val="22"/>
            <w:szCs w:val="22"/>
          </w:rPr>
          <w:t>https://pubmed.ncbi.nlm.nih.gov/40251508/</w:t>
        </w:r>
      </w:hyperlink>
      <w:r w:rsidRPr="0013634D">
        <w:rPr>
          <w:rFonts w:ascii="Arial" w:hAnsi="Arial" w:cs="Arial"/>
          <w:color w:val="000000"/>
          <w:sz w:val="22"/>
          <w:szCs w:val="22"/>
        </w:rPr>
        <w:t xml:space="preserve"> [Accessed </w:t>
      </w:r>
      <w:r w:rsidR="00646353" w:rsidRPr="00C70647">
        <w:rPr>
          <w:rFonts w:ascii="Arial" w:hAnsi="Arial" w:cs="Arial"/>
          <w:color w:val="000000"/>
          <w:sz w:val="22"/>
          <w:szCs w:val="22"/>
        </w:rPr>
        <w:t>12 December 2025</w:t>
      </w:r>
      <w:r w:rsidR="00E31A2A" w:rsidRPr="00C70647">
        <w:rPr>
          <w:rFonts w:ascii="Arial" w:hAnsi="Arial" w:cs="Arial"/>
          <w:color w:val="000000"/>
          <w:sz w:val="22"/>
          <w:szCs w:val="22"/>
        </w:rPr>
        <w:t>]</w:t>
      </w:r>
    </w:p>
    <w:p w14:paraId="4E49ED69" w14:textId="3C550CF7"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rPr>
        <w:t>Stöcklein, S. et al. (2025) ‘Schizophrenia and catatonia: from ICD</w:t>
      </w:r>
      <w:r w:rsidRPr="0013634D">
        <w:rPr>
          <w:rFonts w:ascii="Arial" w:hAnsi="Arial" w:cs="Arial"/>
          <w:color w:val="000000"/>
          <w:sz w:val="22"/>
          <w:szCs w:val="22"/>
        </w:rPr>
        <w:noBreakHyphen/>
        <w:t>10 to ICD</w:t>
      </w:r>
      <w:r w:rsidRPr="0013634D">
        <w:rPr>
          <w:rFonts w:ascii="Arial" w:hAnsi="Arial" w:cs="Arial"/>
          <w:color w:val="000000"/>
          <w:sz w:val="22"/>
          <w:szCs w:val="22"/>
        </w:rPr>
        <w:noBreakHyphen/>
        <w:t>11’, </w:t>
      </w:r>
      <w:r w:rsidRPr="0013634D">
        <w:rPr>
          <w:rFonts w:ascii="Arial" w:hAnsi="Arial" w:cs="Arial"/>
          <w:i/>
          <w:iCs/>
          <w:color w:val="000000"/>
          <w:sz w:val="22"/>
          <w:szCs w:val="22"/>
        </w:rPr>
        <w:t>European Archives of Psychiatry and Clinical Neuroscience</w:t>
      </w:r>
      <w:r w:rsidRPr="0013634D">
        <w:rPr>
          <w:rFonts w:ascii="Arial" w:hAnsi="Arial" w:cs="Arial"/>
          <w:color w:val="000000"/>
          <w:sz w:val="22"/>
          <w:szCs w:val="22"/>
        </w:rPr>
        <w:t>, 275(5), pp. xxx–xxx. Available at: </w:t>
      </w:r>
      <w:hyperlink r:id="rId12" w:tgtFrame="_blank" w:history="1">
        <w:r w:rsidRPr="0013634D">
          <w:rPr>
            <w:rStyle w:val="Hyperlink"/>
            <w:rFonts w:ascii="Arial" w:hAnsi="Arial" w:cs="Arial"/>
            <w:sz w:val="22"/>
            <w:szCs w:val="22"/>
          </w:rPr>
          <w:t>https://pmc.ncbi.nlm.nih.gov/articles/PMC12638403/</w:t>
        </w:r>
      </w:hyperlink>
      <w:r w:rsidRPr="0013634D">
        <w:rPr>
          <w:rFonts w:ascii="Arial" w:hAnsi="Arial" w:cs="Arial"/>
          <w:color w:val="000000"/>
          <w:sz w:val="22"/>
          <w:szCs w:val="22"/>
        </w:rPr>
        <w:t xml:space="preserve"> [Accessed </w:t>
      </w:r>
      <w:r w:rsidR="00E31A2A" w:rsidRPr="00C70647">
        <w:rPr>
          <w:rFonts w:ascii="Arial" w:hAnsi="Arial" w:cs="Arial"/>
          <w:color w:val="000000"/>
          <w:sz w:val="22"/>
          <w:szCs w:val="22"/>
        </w:rPr>
        <w:t xml:space="preserve">12 </w:t>
      </w:r>
      <w:r w:rsidR="00D822FC" w:rsidRPr="00C70647">
        <w:rPr>
          <w:rFonts w:ascii="Arial" w:hAnsi="Arial" w:cs="Arial"/>
          <w:color w:val="000000"/>
          <w:sz w:val="22"/>
          <w:szCs w:val="22"/>
        </w:rPr>
        <w:t>D</w:t>
      </w:r>
      <w:r w:rsidR="00E31A2A" w:rsidRPr="00C70647">
        <w:rPr>
          <w:rFonts w:ascii="Arial" w:hAnsi="Arial" w:cs="Arial"/>
          <w:color w:val="000000"/>
          <w:sz w:val="22"/>
          <w:szCs w:val="22"/>
        </w:rPr>
        <w:t>ecember 2025]</w:t>
      </w:r>
    </w:p>
    <w:p w14:paraId="0525C757" w14:textId="26510A4C"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rPr>
        <w:t>World Health Organization (2022) </w:t>
      </w:r>
      <w:r w:rsidRPr="0013634D">
        <w:rPr>
          <w:rFonts w:ascii="Arial" w:hAnsi="Arial" w:cs="Arial"/>
          <w:i/>
          <w:iCs/>
          <w:color w:val="000000"/>
          <w:sz w:val="22"/>
          <w:szCs w:val="22"/>
        </w:rPr>
        <w:t>International Classification of Diseases 11th Revision (ICD</w:t>
      </w:r>
      <w:r w:rsidRPr="0013634D">
        <w:rPr>
          <w:rFonts w:ascii="Arial" w:hAnsi="Arial" w:cs="Arial"/>
          <w:i/>
          <w:iCs/>
          <w:color w:val="000000"/>
          <w:sz w:val="22"/>
          <w:szCs w:val="22"/>
        </w:rPr>
        <w:noBreakHyphen/>
        <w:t>11): Catatonia (6A4 block)</w:t>
      </w:r>
      <w:r w:rsidRPr="0013634D">
        <w:rPr>
          <w:rFonts w:ascii="Arial" w:hAnsi="Arial" w:cs="Arial"/>
          <w:color w:val="000000"/>
          <w:sz w:val="22"/>
          <w:szCs w:val="22"/>
        </w:rPr>
        <w:t>. Geneva: WHO. Available at: </w:t>
      </w:r>
      <w:hyperlink r:id="rId13" w:tgtFrame="_blank" w:history="1">
        <w:r w:rsidRPr="0013634D">
          <w:rPr>
            <w:rStyle w:val="Hyperlink"/>
            <w:rFonts w:ascii="Arial" w:hAnsi="Arial" w:cs="Arial"/>
            <w:sz w:val="22"/>
            <w:szCs w:val="22"/>
          </w:rPr>
          <w:t>https://icd.who.int</w:t>
        </w:r>
      </w:hyperlink>
      <w:r w:rsidRPr="0013634D">
        <w:rPr>
          <w:rFonts w:ascii="Arial" w:hAnsi="Arial" w:cs="Arial"/>
          <w:color w:val="000000"/>
          <w:sz w:val="22"/>
          <w:szCs w:val="22"/>
        </w:rPr>
        <w:t xml:space="preserve"> [Accessed </w:t>
      </w:r>
      <w:r w:rsidR="00D822FC" w:rsidRPr="00C70647">
        <w:rPr>
          <w:rFonts w:ascii="Arial" w:hAnsi="Arial" w:cs="Arial"/>
          <w:color w:val="000000"/>
          <w:sz w:val="22"/>
          <w:szCs w:val="22"/>
        </w:rPr>
        <w:t>10 December 2025</w:t>
      </w:r>
      <w:r w:rsidRPr="0013634D">
        <w:rPr>
          <w:rFonts w:ascii="Arial" w:hAnsi="Arial" w:cs="Arial"/>
          <w:color w:val="000000"/>
          <w:sz w:val="22"/>
          <w:szCs w:val="22"/>
        </w:rPr>
        <w:t>].​</w:t>
      </w:r>
    </w:p>
    <w:p w14:paraId="155D0131" w14:textId="7B977069"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rPr>
        <w:t>Rogers, J.P. et al. (2023) ‘Evidence</w:t>
      </w:r>
      <w:r w:rsidRPr="0013634D">
        <w:rPr>
          <w:rFonts w:ascii="Arial" w:hAnsi="Arial" w:cs="Arial"/>
          <w:color w:val="000000"/>
          <w:sz w:val="22"/>
          <w:szCs w:val="22"/>
        </w:rPr>
        <w:noBreakHyphen/>
        <w:t>based consensus guidelines for the management of catatonia: Recommendations from the British Association for Psychopharmacology’, </w:t>
      </w:r>
      <w:r w:rsidRPr="0013634D">
        <w:rPr>
          <w:rFonts w:ascii="Arial" w:hAnsi="Arial" w:cs="Arial"/>
          <w:i/>
          <w:iCs/>
          <w:color w:val="000000"/>
          <w:sz w:val="22"/>
          <w:szCs w:val="22"/>
        </w:rPr>
        <w:t>Journal of Psychopharmacology</w:t>
      </w:r>
      <w:r w:rsidRPr="0013634D">
        <w:rPr>
          <w:rFonts w:ascii="Arial" w:hAnsi="Arial" w:cs="Arial"/>
          <w:color w:val="000000"/>
          <w:sz w:val="22"/>
          <w:szCs w:val="22"/>
        </w:rPr>
        <w:t xml:space="preserve">, 37(7), </w:t>
      </w:r>
    </w:p>
    <w:p w14:paraId="2C036B33" w14:textId="5C3CDA2F"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lang w:val="nl-NL"/>
        </w:rPr>
        <w:t xml:space="preserve">Oldham, M.A. et al. </w:t>
      </w:r>
      <w:r w:rsidRPr="0013634D">
        <w:rPr>
          <w:rFonts w:ascii="Arial" w:hAnsi="Arial" w:cs="Arial"/>
          <w:color w:val="000000"/>
          <w:sz w:val="22"/>
          <w:szCs w:val="22"/>
        </w:rPr>
        <w:t>(2022) ‘Describing the features of catatonia: A comparative analysis of diagnostic criteria and rating scales’, </w:t>
      </w:r>
      <w:r w:rsidRPr="0013634D">
        <w:rPr>
          <w:rFonts w:ascii="Arial" w:hAnsi="Arial" w:cs="Arial"/>
          <w:i/>
          <w:iCs/>
          <w:color w:val="000000"/>
          <w:sz w:val="22"/>
          <w:szCs w:val="22"/>
        </w:rPr>
        <w:t>European Psychiatry</w:t>
      </w:r>
      <w:r w:rsidRPr="0013634D">
        <w:rPr>
          <w:rFonts w:ascii="Arial" w:hAnsi="Arial" w:cs="Arial"/>
          <w:color w:val="000000"/>
          <w:sz w:val="22"/>
          <w:szCs w:val="22"/>
        </w:rPr>
        <w:t xml:space="preserve">, 65(1), exx. </w:t>
      </w:r>
      <w:r w:rsidRPr="0013634D">
        <w:rPr>
          <w:rFonts w:ascii="Arial" w:hAnsi="Arial" w:cs="Arial"/>
          <w:color w:val="000000"/>
          <w:sz w:val="22"/>
          <w:szCs w:val="22"/>
        </w:rPr>
        <w:lastRenderedPageBreak/>
        <w:t>Available at: </w:t>
      </w:r>
      <w:hyperlink r:id="rId14" w:tgtFrame="_blank" w:history="1">
        <w:r w:rsidRPr="0013634D">
          <w:rPr>
            <w:rStyle w:val="Hyperlink"/>
            <w:rFonts w:ascii="Arial" w:hAnsi="Arial" w:cs="Arial"/>
            <w:sz w:val="22"/>
            <w:szCs w:val="22"/>
          </w:rPr>
          <w:t>https://pmc.ncbi.nlm.nih.gov/articles/PMC9938840/</w:t>
        </w:r>
      </w:hyperlink>
      <w:r w:rsidRPr="0013634D">
        <w:rPr>
          <w:rFonts w:ascii="Arial" w:hAnsi="Arial" w:cs="Arial"/>
          <w:color w:val="000000"/>
          <w:sz w:val="22"/>
          <w:szCs w:val="22"/>
        </w:rPr>
        <w:t xml:space="preserve"> [Accessed </w:t>
      </w:r>
      <w:r w:rsidR="002B4122" w:rsidRPr="00C70647">
        <w:rPr>
          <w:rFonts w:ascii="Arial" w:hAnsi="Arial" w:cs="Arial"/>
          <w:color w:val="000000"/>
          <w:sz w:val="22"/>
          <w:szCs w:val="22"/>
        </w:rPr>
        <w:t>04 December2025]</w:t>
      </w:r>
    </w:p>
    <w:p w14:paraId="1A34586C" w14:textId="6A3BA26C"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rPr>
        <w:t>Zeller, A. &amp; colleagues (2023) ‘The diagnosis and treatment of catatonia’, </w:t>
      </w:r>
      <w:r w:rsidRPr="0013634D">
        <w:rPr>
          <w:rFonts w:ascii="Arial" w:hAnsi="Arial" w:cs="Arial"/>
          <w:i/>
          <w:iCs/>
          <w:color w:val="000000"/>
          <w:sz w:val="22"/>
          <w:szCs w:val="22"/>
        </w:rPr>
        <w:t>Progress in Neuro</w:t>
      </w:r>
      <w:r w:rsidRPr="0013634D">
        <w:rPr>
          <w:rFonts w:ascii="Arial" w:hAnsi="Arial" w:cs="Arial"/>
          <w:i/>
          <w:iCs/>
          <w:color w:val="000000"/>
          <w:sz w:val="22"/>
          <w:szCs w:val="22"/>
        </w:rPr>
        <w:noBreakHyphen/>
        <w:t>Psychopharmacology &amp; Biological Psychiatry</w:t>
      </w:r>
      <w:r w:rsidRPr="0013634D">
        <w:rPr>
          <w:rFonts w:ascii="Arial" w:hAnsi="Arial" w:cs="Arial"/>
          <w:color w:val="000000"/>
          <w:sz w:val="22"/>
          <w:szCs w:val="22"/>
        </w:rPr>
        <w:t>, 125, 110xxx. Available at: </w:t>
      </w:r>
      <w:hyperlink r:id="rId15" w:tgtFrame="_blank" w:history="1">
        <w:r w:rsidRPr="0013634D">
          <w:rPr>
            <w:rStyle w:val="Hyperlink"/>
            <w:rFonts w:ascii="Arial" w:hAnsi="Arial" w:cs="Arial"/>
            <w:sz w:val="22"/>
            <w:szCs w:val="22"/>
          </w:rPr>
          <w:t>https://pubmed.ncbi.nlm.nih.gov/37236789/</w:t>
        </w:r>
      </w:hyperlink>
      <w:r w:rsidRPr="0013634D">
        <w:rPr>
          <w:rFonts w:ascii="Arial" w:hAnsi="Arial" w:cs="Arial"/>
          <w:color w:val="000000"/>
          <w:sz w:val="22"/>
          <w:szCs w:val="22"/>
        </w:rPr>
        <w:t xml:space="preserve"> [Accessed </w:t>
      </w:r>
      <w:r w:rsidR="002B4122" w:rsidRPr="00C70647">
        <w:rPr>
          <w:rFonts w:ascii="Arial" w:hAnsi="Arial" w:cs="Arial"/>
          <w:color w:val="000000"/>
          <w:sz w:val="22"/>
          <w:szCs w:val="22"/>
        </w:rPr>
        <w:t>15 Decem</w:t>
      </w:r>
      <w:r w:rsidR="00A43A1B" w:rsidRPr="00C70647">
        <w:rPr>
          <w:rFonts w:ascii="Arial" w:hAnsi="Arial" w:cs="Arial"/>
          <w:color w:val="000000"/>
          <w:sz w:val="22"/>
          <w:szCs w:val="22"/>
        </w:rPr>
        <w:t>ber 2025</w:t>
      </w:r>
      <w:r w:rsidRPr="0013634D">
        <w:rPr>
          <w:rFonts w:ascii="Arial" w:hAnsi="Arial" w:cs="Arial"/>
          <w:color w:val="000000"/>
          <w:sz w:val="22"/>
          <w:szCs w:val="22"/>
        </w:rPr>
        <w:t>].​</w:t>
      </w:r>
    </w:p>
    <w:p w14:paraId="6530F95B" w14:textId="0D80D43C"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rPr>
        <w:t>Sienaert, P. et al. (2014) ‘A clinical review of the treatment of catatonia’, </w:t>
      </w:r>
      <w:r w:rsidRPr="0013634D">
        <w:rPr>
          <w:rFonts w:ascii="Arial" w:hAnsi="Arial" w:cs="Arial"/>
          <w:i/>
          <w:iCs/>
          <w:color w:val="000000"/>
          <w:sz w:val="22"/>
          <w:szCs w:val="22"/>
        </w:rPr>
        <w:t>Frontiers in Psychiatry</w:t>
      </w:r>
      <w:r w:rsidRPr="0013634D">
        <w:rPr>
          <w:rFonts w:ascii="Arial" w:hAnsi="Arial" w:cs="Arial"/>
          <w:color w:val="000000"/>
          <w:sz w:val="22"/>
          <w:szCs w:val="22"/>
        </w:rPr>
        <w:t>, 5, 181. Available at: </w:t>
      </w:r>
      <w:hyperlink r:id="rId16" w:tgtFrame="_blank" w:history="1">
        <w:r w:rsidRPr="0013634D">
          <w:rPr>
            <w:rStyle w:val="Hyperlink"/>
            <w:rFonts w:ascii="Arial" w:hAnsi="Arial" w:cs="Arial"/>
            <w:sz w:val="22"/>
            <w:szCs w:val="22"/>
          </w:rPr>
          <w:t>https://www.frontiersin.org/articles/10.3389/fpsyt.2014.00181/full</w:t>
        </w:r>
      </w:hyperlink>
      <w:r w:rsidRPr="0013634D">
        <w:rPr>
          <w:rFonts w:ascii="Arial" w:hAnsi="Arial" w:cs="Arial"/>
          <w:color w:val="000000"/>
          <w:sz w:val="22"/>
          <w:szCs w:val="22"/>
        </w:rPr>
        <w:t xml:space="preserve"> [Accessed </w:t>
      </w:r>
      <w:r w:rsidR="00A43A1B" w:rsidRPr="00C70647">
        <w:rPr>
          <w:rFonts w:ascii="Arial" w:hAnsi="Arial" w:cs="Arial"/>
          <w:color w:val="000000"/>
          <w:sz w:val="22"/>
          <w:szCs w:val="22"/>
        </w:rPr>
        <w:t>07 December 2025</w:t>
      </w:r>
      <w:r w:rsidRPr="0013634D">
        <w:rPr>
          <w:rFonts w:ascii="Arial" w:hAnsi="Arial" w:cs="Arial"/>
          <w:color w:val="000000"/>
          <w:sz w:val="22"/>
          <w:szCs w:val="22"/>
        </w:rPr>
        <w:t>].​</w:t>
      </w:r>
    </w:p>
    <w:p w14:paraId="22DAF4E6" w14:textId="225AAB9C"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rPr>
        <w:t>Walther, S. et al. (2024) ‘Deciphering white matter microstructural alterations in catatonia according to ICD</w:t>
      </w:r>
      <w:r w:rsidRPr="0013634D">
        <w:rPr>
          <w:rFonts w:ascii="Arial" w:hAnsi="Arial" w:cs="Arial"/>
          <w:color w:val="000000"/>
          <w:sz w:val="22"/>
          <w:szCs w:val="22"/>
        </w:rPr>
        <w:noBreakHyphen/>
        <w:t>11: replication and machine</w:t>
      </w:r>
      <w:r w:rsidRPr="0013634D">
        <w:rPr>
          <w:rFonts w:ascii="Arial" w:hAnsi="Arial" w:cs="Arial"/>
          <w:color w:val="000000"/>
          <w:sz w:val="22"/>
          <w:szCs w:val="22"/>
        </w:rPr>
        <w:noBreakHyphen/>
        <w:t>learning analysis’, </w:t>
      </w:r>
      <w:r w:rsidRPr="0013634D">
        <w:rPr>
          <w:rFonts w:ascii="Arial" w:hAnsi="Arial" w:cs="Arial"/>
          <w:i/>
          <w:iCs/>
          <w:color w:val="000000"/>
          <w:sz w:val="22"/>
          <w:szCs w:val="22"/>
        </w:rPr>
        <w:t>Molecular Psychiatry</w:t>
      </w:r>
      <w:r w:rsidRPr="0013634D">
        <w:rPr>
          <w:rFonts w:ascii="Arial" w:hAnsi="Arial" w:cs="Arial"/>
          <w:color w:val="000000"/>
          <w:sz w:val="22"/>
          <w:szCs w:val="22"/>
        </w:rPr>
        <w:t xml:space="preserve">, 29(xx), </w:t>
      </w:r>
    </w:p>
    <w:p w14:paraId="44F1D10E" w14:textId="0A35FF9F"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rPr>
        <w:t>Brice, S. et al. (2022) ‘Catatonia in autism and other neurodevelopmental disabilities’, </w:t>
      </w:r>
      <w:r w:rsidRPr="0013634D">
        <w:rPr>
          <w:rFonts w:ascii="Arial" w:hAnsi="Arial" w:cs="Arial"/>
          <w:i/>
          <w:iCs/>
          <w:color w:val="000000"/>
          <w:sz w:val="22"/>
          <w:szCs w:val="22"/>
        </w:rPr>
        <w:t>npj Mental Health Research</w:t>
      </w:r>
      <w:r w:rsidRPr="0013634D">
        <w:rPr>
          <w:rFonts w:ascii="Arial" w:hAnsi="Arial" w:cs="Arial"/>
          <w:color w:val="000000"/>
          <w:sz w:val="22"/>
          <w:szCs w:val="22"/>
        </w:rPr>
        <w:t>, 1, 12. Available at: </w:t>
      </w:r>
      <w:hyperlink r:id="rId17" w:tgtFrame="_blank" w:history="1">
        <w:r w:rsidRPr="0013634D">
          <w:rPr>
            <w:rStyle w:val="Hyperlink"/>
            <w:rFonts w:ascii="Arial" w:hAnsi="Arial" w:cs="Arial"/>
            <w:sz w:val="22"/>
            <w:szCs w:val="22"/>
          </w:rPr>
          <w:t>https://pmc.ncbi.nlm.nih.gov/articles/PMC10955936/</w:t>
        </w:r>
      </w:hyperlink>
      <w:r w:rsidRPr="0013634D">
        <w:rPr>
          <w:rFonts w:ascii="Arial" w:hAnsi="Arial" w:cs="Arial"/>
          <w:color w:val="000000"/>
          <w:sz w:val="22"/>
          <w:szCs w:val="22"/>
        </w:rPr>
        <w:t xml:space="preserve"> [Accessed </w:t>
      </w:r>
      <w:r w:rsidR="00F309B4" w:rsidRPr="00C70647">
        <w:rPr>
          <w:rFonts w:ascii="Arial" w:hAnsi="Arial" w:cs="Arial"/>
          <w:color w:val="000000"/>
          <w:sz w:val="22"/>
          <w:szCs w:val="22"/>
        </w:rPr>
        <w:t>15 December 2025]</w:t>
      </w:r>
    </w:p>
    <w:p w14:paraId="0BEDD417" w14:textId="2A5B2D04"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lang w:val="fr-FR"/>
        </w:rPr>
        <w:t>Vaquerizo</w:t>
      </w:r>
      <w:r w:rsidRPr="0013634D">
        <w:rPr>
          <w:rFonts w:ascii="Arial" w:hAnsi="Arial" w:cs="Arial"/>
          <w:color w:val="000000"/>
          <w:sz w:val="22"/>
          <w:szCs w:val="22"/>
          <w:lang w:val="fr-FR"/>
        </w:rPr>
        <w:noBreakHyphen/>
        <w:t xml:space="preserve">Serrano, J. et al. </w:t>
      </w:r>
      <w:r w:rsidRPr="0013634D">
        <w:rPr>
          <w:rFonts w:ascii="Arial" w:hAnsi="Arial" w:cs="Arial"/>
          <w:color w:val="000000"/>
          <w:sz w:val="22"/>
          <w:szCs w:val="22"/>
        </w:rPr>
        <w:t>(2022) ‘Catatonia in autism spectrum disorders: A systematic review and meta</w:t>
      </w:r>
      <w:r w:rsidRPr="0013634D">
        <w:rPr>
          <w:rFonts w:ascii="Arial" w:hAnsi="Arial" w:cs="Arial"/>
          <w:color w:val="000000"/>
          <w:sz w:val="22"/>
          <w:szCs w:val="22"/>
        </w:rPr>
        <w:noBreakHyphen/>
        <w:t>analysis’, </w:t>
      </w:r>
      <w:r w:rsidRPr="0013634D">
        <w:rPr>
          <w:rFonts w:ascii="Arial" w:hAnsi="Arial" w:cs="Arial"/>
          <w:i/>
          <w:iCs/>
          <w:color w:val="000000"/>
          <w:sz w:val="22"/>
          <w:szCs w:val="22"/>
        </w:rPr>
        <w:t>European Child &amp; Adolescent Psychiatry</w:t>
      </w:r>
      <w:r w:rsidRPr="0013634D">
        <w:rPr>
          <w:rFonts w:ascii="Arial" w:hAnsi="Arial" w:cs="Arial"/>
          <w:color w:val="000000"/>
          <w:sz w:val="22"/>
          <w:szCs w:val="22"/>
        </w:rPr>
        <w:t>, 31(xx), Available at: </w:t>
      </w:r>
      <w:hyperlink r:id="rId18" w:tgtFrame="_blank" w:history="1">
        <w:r w:rsidRPr="0013634D">
          <w:rPr>
            <w:rStyle w:val="Hyperlink"/>
            <w:rFonts w:ascii="Arial" w:hAnsi="Arial" w:cs="Arial"/>
            <w:sz w:val="22"/>
            <w:szCs w:val="22"/>
          </w:rPr>
          <w:t>https://pmc.ncbi.nlm.nih.gov/articles/PMC8792870/</w:t>
        </w:r>
      </w:hyperlink>
      <w:r w:rsidRPr="0013634D">
        <w:rPr>
          <w:rFonts w:ascii="Arial" w:hAnsi="Arial" w:cs="Arial"/>
          <w:color w:val="000000"/>
          <w:sz w:val="22"/>
          <w:szCs w:val="22"/>
        </w:rPr>
        <w:t xml:space="preserve"> [Accessed </w:t>
      </w:r>
      <w:r w:rsidR="00B80AEA" w:rsidRPr="00C70647">
        <w:rPr>
          <w:rFonts w:ascii="Arial" w:hAnsi="Arial" w:cs="Arial"/>
          <w:color w:val="000000"/>
          <w:sz w:val="22"/>
          <w:szCs w:val="22"/>
        </w:rPr>
        <w:t>17 December 2025]</w:t>
      </w:r>
    </w:p>
    <w:p w14:paraId="3DEE2D34" w14:textId="7262ADA0"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rPr>
        <w:t>Smith, L. et al. (2025) ‘Systematic review of symptoms of catatonia in autism spectrum disorder’, </w:t>
      </w:r>
      <w:r w:rsidRPr="0013634D">
        <w:rPr>
          <w:rFonts w:ascii="Arial" w:hAnsi="Arial" w:cs="Arial"/>
          <w:i/>
          <w:iCs/>
          <w:color w:val="000000"/>
          <w:sz w:val="22"/>
          <w:szCs w:val="22"/>
        </w:rPr>
        <w:t>Journal of Autism and Developmental Disorders</w:t>
      </w:r>
      <w:r w:rsidRPr="0013634D">
        <w:rPr>
          <w:rFonts w:ascii="Arial" w:hAnsi="Arial" w:cs="Arial"/>
          <w:color w:val="000000"/>
          <w:sz w:val="22"/>
          <w:szCs w:val="22"/>
        </w:rPr>
        <w:t>, 55(xx), pp. xxx–xxx. Available at: </w:t>
      </w:r>
      <w:hyperlink r:id="rId19" w:tgtFrame="_blank" w:history="1">
        <w:r w:rsidRPr="0013634D">
          <w:rPr>
            <w:rStyle w:val="Hyperlink"/>
            <w:rFonts w:ascii="Arial" w:hAnsi="Arial" w:cs="Arial"/>
            <w:sz w:val="22"/>
            <w:szCs w:val="22"/>
          </w:rPr>
          <w:t>https://pubmed.ncbi.nlm.nih.gov/40325288/</w:t>
        </w:r>
      </w:hyperlink>
      <w:r w:rsidRPr="0013634D">
        <w:rPr>
          <w:rFonts w:ascii="Arial" w:hAnsi="Arial" w:cs="Arial"/>
          <w:color w:val="000000"/>
          <w:sz w:val="22"/>
          <w:szCs w:val="22"/>
        </w:rPr>
        <w:t xml:space="preserve"> [Accessed </w:t>
      </w:r>
      <w:r w:rsidR="00B80AEA" w:rsidRPr="00C70647">
        <w:rPr>
          <w:rFonts w:ascii="Arial" w:hAnsi="Arial" w:cs="Arial"/>
          <w:color w:val="000000"/>
          <w:sz w:val="22"/>
          <w:szCs w:val="22"/>
        </w:rPr>
        <w:t>02 December 2025</w:t>
      </w:r>
      <w:r w:rsidRPr="0013634D">
        <w:rPr>
          <w:rFonts w:ascii="Arial" w:hAnsi="Arial" w:cs="Arial"/>
          <w:color w:val="000000"/>
          <w:sz w:val="22"/>
          <w:szCs w:val="22"/>
        </w:rPr>
        <w:t>].​</w:t>
      </w:r>
    </w:p>
    <w:p w14:paraId="7548FC3A" w14:textId="6DCB9901" w:rsidR="0013634D" w:rsidRPr="0013634D" w:rsidRDefault="0013634D" w:rsidP="00C70647">
      <w:pPr>
        <w:pStyle w:val="NormalWeb"/>
        <w:numPr>
          <w:ilvl w:val="0"/>
          <w:numId w:val="2"/>
        </w:numPr>
        <w:spacing w:line="360" w:lineRule="auto"/>
        <w:rPr>
          <w:rFonts w:ascii="Arial" w:hAnsi="Arial" w:cs="Arial"/>
          <w:color w:val="000000"/>
          <w:sz w:val="22"/>
          <w:szCs w:val="22"/>
        </w:rPr>
      </w:pPr>
      <w:r w:rsidRPr="0013634D">
        <w:rPr>
          <w:rFonts w:ascii="Arial" w:hAnsi="Arial" w:cs="Arial"/>
          <w:color w:val="000000"/>
          <w:sz w:val="22"/>
          <w:szCs w:val="22"/>
        </w:rPr>
        <w:t>Cleveland Clinic (2025) ‘Catatonia: Definition, causes, symptoms &amp; treatment’. </w:t>
      </w:r>
      <w:r w:rsidRPr="0013634D">
        <w:rPr>
          <w:rFonts w:ascii="Arial" w:hAnsi="Arial" w:cs="Arial"/>
          <w:i/>
          <w:iCs/>
          <w:color w:val="000000"/>
          <w:sz w:val="22"/>
          <w:szCs w:val="22"/>
        </w:rPr>
        <w:t>Cleveland Clinic Health Library</w:t>
      </w:r>
      <w:r w:rsidRPr="0013634D">
        <w:rPr>
          <w:rFonts w:ascii="Arial" w:hAnsi="Arial" w:cs="Arial"/>
          <w:color w:val="000000"/>
          <w:sz w:val="22"/>
          <w:szCs w:val="22"/>
        </w:rPr>
        <w:t>. Available at: </w:t>
      </w:r>
      <w:hyperlink r:id="rId20" w:tgtFrame="_blank" w:history="1">
        <w:r w:rsidRPr="0013634D">
          <w:rPr>
            <w:rStyle w:val="Hyperlink"/>
            <w:rFonts w:ascii="Arial" w:hAnsi="Arial" w:cs="Arial"/>
            <w:sz w:val="22"/>
            <w:szCs w:val="22"/>
          </w:rPr>
          <w:t>https://my.clevelandclinic.org/healt</w:t>
        </w:r>
        <w:r w:rsidRPr="0013634D">
          <w:rPr>
            <w:rStyle w:val="Hyperlink"/>
            <w:rFonts w:ascii="Arial" w:hAnsi="Arial" w:cs="Arial"/>
            <w:sz w:val="22"/>
            <w:szCs w:val="22"/>
          </w:rPr>
          <w:t>h</w:t>
        </w:r>
        <w:r w:rsidRPr="0013634D">
          <w:rPr>
            <w:rStyle w:val="Hyperlink"/>
            <w:rFonts w:ascii="Arial" w:hAnsi="Arial" w:cs="Arial"/>
            <w:sz w:val="22"/>
            <w:szCs w:val="22"/>
          </w:rPr>
          <w:t>/diseases/23503-catatonia</w:t>
        </w:r>
      </w:hyperlink>
      <w:r w:rsidRPr="0013634D">
        <w:rPr>
          <w:rFonts w:ascii="Arial" w:hAnsi="Arial" w:cs="Arial"/>
          <w:color w:val="000000"/>
          <w:sz w:val="22"/>
          <w:szCs w:val="22"/>
        </w:rPr>
        <w:t xml:space="preserve"> [Accessed </w:t>
      </w:r>
      <w:r w:rsidR="00E01C7E" w:rsidRPr="00C70647">
        <w:rPr>
          <w:rFonts w:ascii="Arial" w:hAnsi="Arial" w:cs="Arial"/>
          <w:color w:val="000000"/>
          <w:sz w:val="22"/>
          <w:szCs w:val="22"/>
        </w:rPr>
        <w:t>13 December 2025</w:t>
      </w:r>
      <w:r w:rsidRPr="0013634D">
        <w:rPr>
          <w:rFonts w:ascii="Arial" w:hAnsi="Arial" w:cs="Arial"/>
          <w:color w:val="000000"/>
          <w:sz w:val="22"/>
          <w:szCs w:val="22"/>
        </w:rPr>
        <w:t>].</w:t>
      </w:r>
    </w:p>
    <w:p w14:paraId="13B95884" w14:textId="77777777" w:rsidR="0013634D" w:rsidRPr="00E01C7E" w:rsidRDefault="0013634D" w:rsidP="008A6D32">
      <w:pPr>
        <w:pStyle w:val="NormalWeb"/>
      </w:pPr>
    </w:p>
    <w:p w14:paraId="41393BD6" w14:textId="77777777" w:rsidR="008A6D32" w:rsidRPr="00E01C7E" w:rsidRDefault="008A6D32" w:rsidP="008A6D32">
      <w:pPr>
        <w:pStyle w:val="NormalWeb"/>
        <w:rPr>
          <w:rFonts w:ascii="Arial" w:hAnsi="Arial" w:cs="Arial"/>
          <w:color w:val="000000"/>
        </w:rPr>
      </w:pPr>
    </w:p>
    <w:p w14:paraId="6E41165F" w14:textId="77777777" w:rsidR="000264A1" w:rsidRPr="00E01C7E" w:rsidRDefault="000264A1" w:rsidP="000264A1">
      <w:pPr>
        <w:rPr>
          <w:rFonts w:ascii="Arial" w:hAnsi="Arial" w:cs="Arial"/>
          <w:sz w:val="36"/>
          <w:szCs w:val="36"/>
        </w:rPr>
      </w:pPr>
    </w:p>
    <w:p w14:paraId="07786E37" w14:textId="77777777" w:rsidR="000264A1" w:rsidRPr="00E01C7E" w:rsidRDefault="000264A1" w:rsidP="000264A1">
      <w:pPr>
        <w:rPr>
          <w:rFonts w:ascii="Arial" w:hAnsi="Arial" w:cs="Arial"/>
          <w:sz w:val="36"/>
          <w:szCs w:val="36"/>
        </w:rPr>
      </w:pPr>
    </w:p>
    <w:sectPr w:rsidR="000264A1" w:rsidRPr="00E01C7E">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9B299F" w14:textId="77777777" w:rsidR="00F8775E" w:rsidRDefault="00F8775E" w:rsidP="000264A1">
      <w:pPr>
        <w:spacing w:after="0" w:line="240" w:lineRule="auto"/>
      </w:pPr>
      <w:r>
        <w:separator/>
      </w:r>
    </w:p>
  </w:endnote>
  <w:endnote w:type="continuationSeparator" w:id="0">
    <w:p w14:paraId="7C60731F" w14:textId="77777777" w:rsidR="00F8775E" w:rsidRDefault="00F8775E"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DE43B" w14:textId="77777777" w:rsidR="00F8775E" w:rsidRDefault="00F8775E" w:rsidP="000264A1">
      <w:pPr>
        <w:spacing w:after="0" w:line="240" w:lineRule="auto"/>
      </w:pPr>
      <w:r>
        <w:separator/>
      </w:r>
    </w:p>
  </w:footnote>
  <w:footnote w:type="continuationSeparator" w:id="0">
    <w:p w14:paraId="490E5DC6" w14:textId="77777777" w:rsidR="00F8775E" w:rsidRDefault="00F8775E"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C4217"/>
    <w:multiLevelType w:val="multilevel"/>
    <w:tmpl w:val="59F208A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E05C4F"/>
    <w:multiLevelType w:val="hybridMultilevel"/>
    <w:tmpl w:val="0BC8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9266158">
    <w:abstractNumId w:val="1"/>
  </w:num>
  <w:num w:numId="2" w16cid:durableId="138263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2733E"/>
    <w:rsid w:val="000473DB"/>
    <w:rsid w:val="00060FB4"/>
    <w:rsid w:val="00070AF6"/>
    <w:rsid w:val="001040EE"/>
    <w:rsid w:val="0013634D"/>
    <w:rsid w:val="00181480"/>
    <w:rsid w:val="001E57C4"/>
    <w:rsid w:val="00216D91"/>
    <w:rsid w:val="002B4122"/>
    <w:rsid w:val="00301013"/>
    <w:rsid w:val="00354827"/>
    <w:rsid w:val="0035787A"/>
    <w:rsid w:val="003C1454"/>
    <w:rsid w:val="0044083A"/>
    <w:rsid w:val="00441CE2"/>
    <w:rsid w:val="00546754"/>
    <w:rsid w:val="00556503"/>
    <w:rsid w:val="00556C1F"/>
    <w:rsid w:val="005E1358"/>
    <w:rsid w:val="005E2383"/>
    <w:rsid w:val="00602D13"/>
    <w:rsid w:val="00621736"/>
    <w:rsid w:val="00637171"/>
    <w:rsid w:val="00646353"/>
    <w:rsid w:val="006819DA"/>
    <w:rsid w:val="00722ABC"/>
    <w:rsid w:val="0073751B"/>
    <w:rsid w:val="007815C4"/>
    <w:rsid w:val="007A0BCB"/>
    <w:rsid w:val="007D1688"/>
    <w:rsid w:val="007D3EA0"/>
    <w:rsid w:val="007F315D"/>
    <w:rsid w:val="00843325"/>
    <w:rsid w:val="00844458"/>
    <w:rsid w:val="0084578C"/>
    <w:rsid w:val="0087420F"/>
    <w:rsid w:val="008801F1"/>
    <w:rsid w:val="008A6D32"/>
    <w:rsid w:val="008B731D"/>
    <w:rsid w:val="008D1AA7"/>
    <w:rsid w:val="008D641D"/>
    <w:rsid w:val="009056F1"/>
    <w:rsid w:val="00911114"/>
    <w:rsid w:val="009247FA"/>
    <w:rsid w:val="009926F1"/>
    <w:rsid w:val="00A17077"/>
    <w:rsid w:val="00A43A1B"/>
    <w:rsid w:val="00A51CD7"/>
    <w:rsid w:val="00A52FDA"/>
    <w:rsid w:val="00AB003E"/>
    <w:rsid w:val="00B47A02"/>
    <w:rsid w:val="00B80AEA"/>
    <w:rsid w:val="00BA1863"/>
    <w:rsid w:val="00BE23E3"/>
    <w:rsid w:val="00BF210B"/>
    <w:rsid w:val="00C157F2"/>
    <w:rsid w:val="00C70647"/>
    <w:rsid w:val="00D73A60"/>
    <w:rsid w:val="00D822FC"/>
    <w:rsid w:val="00DD628F"/>
    <w:rsid w:val="00E01C7E"/>
    <w:rsid w:val="00E31A2A"/>
    <w:rsid w:val="00E72061"/>
    <w:rsid w:val="00EA357E"/>
    <w:rsid w:val="00EC2415"/>
    <w:rsid w:val="00F309B4"/>
    <w:rsid w:val="00F8775E"/>
    <w:rsid w:val="00F9719A"/>
    <w:rsid w:val="00FA0910"/>
    <w:rsid w:val="00FD2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13634D"/>
    <w:rPr>
      <w:color w:val="467886" w:themeColor="hyperlink"/>
      <w:u w:val="single"/>
    </w:rPr>
  </w:style>
  <w:style w:type="character" w:styleId="UnresolvedMention">
    <w:name w:val="Unresolved Mention"/>
    <w:basedOn w:val="DefaultParagraphFont"/>
    <w:uiPriority w:val="99"/>
    <w:semiHidden/>
    <w:unhideWhenUsed/>
    <w:rsid w:val="0013634D"/>
    <w:rPr>
      <w:color w:val="605E5C"/>
      <w:shd w:val="clear" w:color="auto" w:fill="E1DFDD"/>
    </w:rPr>
  </w:style>
  <w:style w:type="character" w:styleId="FollowedHyperlink">
    <w:name w:val="FollowedHyperlink"/>
    <w:basedOn w:val="DefaultParagraphFont"/>
    <w:uiPriority w:val="99"/>
    <w:semiHidden/>
    <w:unhideWhenUsed/>
    <w:rsid w:val="00E01C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cd.who.int/" TargetMode="External"/><Relationship Id="rId18" Type="http://schemas.openxmlformats.org/officeDocument/2006/relationships/hyperlink" Target="https://pmc.ncbi.nlm.nih.gov/articles/PMC8792870/"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pmc.ncbi.nlm.nih.gov/articles/PMC12638403/" TargetMode="External"/><Relationship Id="rId17" Type="http://schemas.openxmlformats.org/officeDocument/2006/relationships/hyperlink" Target="https://pmc.ncbi.nlm.nih.gov/articles/PMC10955936/" TargetMode="External"/><Relationship Id="rId2" Type="http://schemas.openxmlformats.org/officeDocument/2006/relationships/customXml" Target="../customXml/item2.xml"/><Relationship Id="rId16" Type="http://schemas.openxmlformats.org/officeDocument/2006/relationships/hyperlink" Target="https://www.frontiersin.org/articles/10.3389/fpsyt.2014.00181/full" TargetMode="External"/><Relationship Id="rId20" Type="http://schemas.openxmlformats.org/officeDocument/2006/relationships/hyperlink" Target="https://my.clevelandclinic.org/health/diseases/23503-catatoni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ubmed.ncbi.nlm.nih.gov/40251508/"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pubmed.ncbi.nlm.nih.gov/37236789/" TargetMode="Externa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pubmed.ncbi.nlm.nih.gov/4032528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mc.ncbi.nlm.nih.gov/articles/PMC9938840/"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eea76f0dc1a4e622c624153464e57e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bdc020cfb78fa2bfd718498ef897a1c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DD1523A0-0E37-49EB-9DDB-1CF37FD551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10B7E2-8D0A-4776-8722-5238E4B95FB4}">
  <ds:schemaRefs>
    <ds:schemaRef ds:uri="http://schemas.microsoft.com/sharepoint/v3/contenttype/forms"/>
  </ds:schemaRefs>
</ds:datastoreItem>
</file>

<file path=customXml/itemProps3.xml><?xml version="1.0" encoding="utf-8"?>
<ds:datastoreItem xmlns:ds="http://schemas.openxmlformats.org/officeDocument/2006/customXml" ds:itemID="{3EC6C461-B68A-470E-B96B-FD45180EE468}">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10</Pages>
  <Words>3065</Words>
  <Characters>17476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Katarzyna Gluba (2316845)</cp:lastModifiedBy>
  <cp:revision>64</cp:revision>
  <dcterms:created xsi:type="dcterms:W3CDTF">2025-12-18T20:09:00Z</dcterms:created>
  <dcterms:modified xsi:type="dcterms:W3CDTF">2025-12-18T21:45:00Z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