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FE0CD" w14:textId="77777777" w:rsidR="000F7A3E" w:rsidRPr="003365D9" w:rsidRDefault="00AE0219">
      <w:pPr>
        <w:spacing w:line="360" w:lineRule="auto"/>
        <w:rPr>
          <w:rFonts w:ascii="Arial" w:hAnsi="Arial" w:cs="Arial"/>
          <w:szCs w:val="24"/>
        </w:rPr>
      </w:pPr>
      <w:r w:rsidRPr="003365D9">
        <w:rPr>
          <w:rFonts w:ascii="Arial" w:hAnsi="Arial" w:cs="Arial"/>
          <w:noProof/>
          <w:szCs w:val="24"/>
        </w:rPr>
        <w:drawing>
          <wp:anchor distT="0" distB="0" distL="114300" distR="114300" simplePos="0" relativeHeight="251659264" behindDoc="0" locked="0" layoutInCell="1" allowOverlap="1" wp14:anchorId="3F6FE0FE" wp14:editId="3F6FE0FF">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3F6FE0CE" w14:textId="77777777" w:rsidR="000F7A3E" w:rsidRPr="003365D9" w:rsidRDefault="000F7A3E">
      <w:pPr>
        <w:spacing w:line="360" w:lineRule="auto"/>
        <w:rPr>
          <w:rFonts w:ascii="Arial" w:hAnsi="Arial" w:cs="Arial"/>
          <w:szCs w:val="24"/>
        </w:rPr>
      </w:pPr>
    </w:p>
    <w:p w14:paraId="3F6FE0CF" w14:textId="77777777" w:rsidR="000F7A3E" w:rsidRPr="003365D9" w:rsidRDefault="000F7A3E">
      <w:pPr>
        <w:spacing w:line="360" w:lineRule="auto"/>
        <w:rPr>
          <w:rFonts w:ascii="Arial" w:hAnsi="Arial" w:cs="Arial"/>
          <w:szCs w:val="24"/>
        </w:rPr>
      </w:pPr>
    </w:p>
    <w:p w14:paraId="3F6FE0D0" w14:textId="77777777" w:rsidR="000F7A3E" w:rsidRPr="003365D9" w:rsidRDefault="000F7A3E">
      <w:pPr>
        <w:spacing w:line="360" w:lineRule="auto"/>
        <w:rPr>
          <w:rFonts w:ascii="Arial" w:hAnsi="Arial" w:cs="Arial"/>
          <w:szCs w:val="24"/>
        </w:rPr>
      </w:pPr>
    </w:p>
    <w:p w14:paraId="3F6FE0D1" w14:textId="77777777" w:rsidR="000F7A3E" w:rsidRPr="003365D9" w:rsidRDefault="000F7A3E">
      <w:pPr>
        <w:tabs>
          <w:tab w:val="left" w:pos="6540"/>
        </w:tabs>
        <w:spacing w:line="360" w:lineRule="auto"/>
        <w:rPr>
          <w:rFonts w:ascii="Arial" w:hAnsi="Arial" w:cs="Arial"/>
          <w:sz w:val="28"/>
          <w:szCs w:val="28"/>
        </w:rPr>
      </w:pPr>
    </w:p>
    <w:p w14:paraId="73D5F4CD" w14:textId="77777777" w:rsidR="00AE0219" w:rsidRDefault="00AE0219">
      <w:pPr>
        <w:tabs>
          <w:tab w:val="left" w:pos="6540"/>
        </w:tabs>
        <w:spacing w:line="360" w:lineRule="auto"/>
        <w:rPr>
          <w:rFonts w:ascii="Arial" w:hAnsi="Arial" w:cs="Arial"/>
          <w:b/>
          <w:bCs/>
          <w:sz w:val="28"/>
          <w:szCs w:val="28"/>
        </w:rPr>
      </w:pPr>
      <w:bookmarkStart w:id="0" w:name="_Hlk119323191"/>
    </w:p>
    <w:p w14:paraId="6BC6C72D" w14:textId="77777777" w:rsidR="00AE0219" w:rsidRDefault="00AE0219">
      <w:pPr>
        <w:tabs>
          <w:tab w:val="left" w:pos="6540"/>
        </w:tabs>
        <w:spacing w:line="360" w:lineRule="auto"/>
        <w:rPr>
          <w:rFonts w:ascii="Arial" w:hAnsi="Arial" w:cs="Arial"/>
          <w:b/>
          <w:bCs/>
          <w:sz w:val="28"/>
          <w:szCs w:val="28"/>
        </w:rPr>
      </w:pPr>
    </w:p>
    <w:p w14:paraId="355A5C2F" w14:textId="77777777" w:rsidR="00AE0219" w:rsidRDefault="00AE0219">
      <w:pPr>
        <w:tabs>
          <w:tab w:val="left" w:pos="6540"/>
        </w:tabs>
        <w:spacing w:line="360" w:lineRule="auto"/>
        <w:rPr>
          <w:rFonts w:ascii="Arial" w:hAnsi="Arial" w:cs="Arial"/>
          <w:b/>
          <w:bCs/>
          <w:sz w:val="28"/>
          <w:szCs w:val="28"/>
        </w:rPr>
      </w:pPr>
    </w:p>
    <w:p w14:paraId="1ECD4479" w14:textId="77777777" w:rsidR="00AE0219" w:rsidRDefault="00AE0219">
      <w:pPr>
        <w:tabs>
          <w:tab w:val="left" w:pos="6540"/>
        </w:tabs>
        <w:spacing w:line="360" w:lineRule="auto"/>
        <w:rPr>
          <w:rFonts w:ascii="Arial" w:hAnsi="Arial" w:cs="Arial"/>
          <w:b/>
          <w:bCs/>
          <w:sz w:val="28"/>
          <w:szCs w:val="28"/>
        </w:rPr>
      </w:pPr>
    </w:p>
    <w:p w14:paraId="3F6FE0D2" w14:textId="70A81761" w:rsidR="000F7A3E" w:rsidRPr="003365D9" w:rsidRDefault="00AE0219">
      <w:pPr>
        <w:tabs>
          <w:tab w:val="left" w:pos="6540"/>
        </w:tabs>
        <w:spacing w:line="360" w:lineRule="auto"/>
        <w:rPr>
          <w:rFonts w:ascii="Arial" w:hAnsi="Arial" w:cs="Arial"/>
          <w:sz w:val="28"/>
          <w:szCs w:val="28"/>
        </w:rPr>
      </w:pPr>
      <w:r w:rsidRPr="003365D9">
        <w:rPr>
          <w:rFonts w:ascii="Arial" w:hAnsi="Arial" w:cs="Arial"/>
          <w:b/>
          <w:bCs/>
          <w:sz w:val="28"/>
          <w:szCs w:val="28"/>
        </w:rPr>
        <w:t>Student name</w:t>
      </w:r>
      <w:r w:rsidRPr="003365D9">
        <w:rPr>
          <w:rFonts w:ascii="Arial" w:hAnsi="Arial" w:cs="Arial"/>
          <w:sz w:val="28"/>
          <w:szCs w:val="28"/>
        </w:rPr>
        <w:t xml:space="preserve">: </w:t>
      </w:r>
      <w:r w:rsidR="005F174C">
        <w:rPr>
          <w:rFonts w:ascii="Arial" w:hAnsi="Arial" w:cs="Arial"/>
          <w:sz w:val="28"/>
          <w:szCs w:val="28"/>
        </w:rPr>
        <w:t>Ro</w:t>
      </w:r>
      <w:r w:rsidR="000A0524">
        <w:rPr>
          <w:rFonts w:ascii="Arial" w:hAnsi="Arial" w:cs="Arial"/>
          <w:sz w:val="28"/>
          <w:szCs w:val="28"/>
        </w:rPr>
        <w:t>wena Valienti</w:t>
      </w:r>
    </w:p>
    <w:p w14:paraId="3F6FE0D3" w14:textId="0CCA1942" w:rsidR="000F7A3E" w:rsidRPr="003365D9" w:rsidRDefault="00AE0219">
      <w:pPr>
        <w:tabs>
          <w:tab w:val="left" w:pos="6540"/>
        </w:tabs>
        <w:spacing w:line="360" w:lineRule="auto"/>
        <w:rPr>
          <w:rFonts w:ascii="Arial" w:hAnsi="Arial" w:cs="Arial"/>
          <w:sz w:val="28"/>
          <w:szCs w:val="28"/>
        </w:rPr>
      </w:pPr>
      <w:r w:rsidRPr="003365D9">
        <w:rPr>
          <w:rFonts w:ascii="Arial" w:hAnsi="Arial" w:cs="Arial"/>
          <w:b/>
          <w:bCs/>
          <w:sz w:val="28"/>
          <w:szCs w:val="28"/>
        </w:rPr>
        <w:t>Student ID</w:t>
      </w:r>
      <w:r w:rsidRPr="003365D9">
        <w:rPr>
          <w:rFonts w:ascii="Arial" w:hAnsi="Arial" w:cs="Arial"/>
          <w:sz w:val="28"/>
          <w:szCs w:val="28"/>
        </w:rPr>
        <w:t>:</w:t>
      </w:r>
      <w:r w:rsidR="000A0524">
        <w:rPr>
          <w:rFonts w:ascii="Arial" w:hAnsi="Arial" w:cs="Arial"/>
          <w:sz w:val="28"/>
          <w:szCs w:val="28"/>
        </w:rPr>
        <w:t>2442792</w:t>
      </w:r>
    </w:p>
    <w:p w14:paraId="3F6FE0D4" w14:textId="77777777" w:rsidR="000F7A3E" w:rsidRPr="003365D9" w:rsidRDefault="000F7A3E">
      <w:pPr>
        <w:tabs>
          <w:tab w:val="left" w:pos="6540"/>
        </w:tabs>
        <w:spacing w:line="360" w:lineRule="auto"/>
        <w:rPr>
          <w:rFonts w:ascii="Arial" w:hAnsi="Arial" w:cs="Arial"/>
          <w:sz w:val="28"/>
          <w:szCs w:val="28"/>
        </w:rPr>
      </w:pPr>
    </w:p>
    <w:p w14:paraId="3F6FE0D5" w14:textId="07676FCD" w:rsidR="000F7A3E" w:rsidRPr="003365D9" w:rsidRDefault="00AE0219">
      <w:pPr>
        <w:tabs>
          <w:tab w:val="left" w:pos="6540"/>
        </w:tabs>
        <w:spacing w:line="360" w:lineRule="auto"/>
        <w:rPr>
          <w:rFonts w:ascii="Arial" w:hAnsi="Arial" w:cs="Arial"/>
          <w:sz w:val="28"/>
          <w:szCs w:val="28"/>
        </w:rPr>
      </w:pPr>
      <w:r w:rsidRPr="003365D9">
        <w:rPr>
          <w:rFonts w:ascii="Arial" w:hAnsi="Arial" w:cs="Arial"/>
          <w:b/>
          <w:bCs/>
          <w:sz w:val="28"/>
          <w:szCs w:val="28"/>
        </w:rPr>
        <w:t>Module name</w:t>
      </w:r>
      <w:r w:rsidRPr="003365D9">
        <w:rPr>
          <w:rFonts w:ascii="Arial" w:hAnsi="Arial" w:cs="Arial"/>
          <w:sz w:val="28"/>
          <w:szCs w:val="28"/>
        </w:rPr>
        <w:t xml:space="preserve">: </w:t>
      </w:r>
      <w:r w:rsidR="00E05169">
        <w:rPr>
          <w:rFonts w:ascii="Arial" w:hAnsi="Arial" w:cs="Arial"/>
          <w:sz w:val="28"/>
          <w:szCs w:val="28"/>
        </w:rPr>
        <w:t>Introduction to Health and Social Care</w:t>
      </w:r>
    </w:p>
    <w:p w14:paraId="3F6FE0D6" w14:textId="3EE71B24" w:rsidR="000F7A3E" w:rsidRPr="003365D9" w:rsidRDefault="00AE0219">
      <w:pPr>
        <w:tabs>
          <w:tab w:val="left" w:pos="6540"/>
        </w:tabs>
        <w:spacing w:line="360" w:lineRule="auto"/>
        <w:rPr>
          <w:rFonts w:ascii="Arial" w:hAnsi="Arial" w:cs="Arial"/>
          <w:sz w:val="28"/>
          <w:szCs w:val="28"/>
        </w:rPr>
      </w:pPr>
      <w:r w:rsidRPr="003365D9">
        <w:rPr>
          <w:rFonts w:ascii="Arial" w:hAnsi="Arial" w:cs="Arial"/>
          <w:b/>
          <w:bCs/>
          <w:sz w:val="28"/>
          <w:szCs w:val="28"/>
        </w:rPr>
        <w:t>Module code</w:t>
      </w:r>
      <w:r w:rsidRPr="003365D9">
        <w:rPr>
          <w:rFonts w:ascii="Arial" w:hAnsi="Arial" w:cs="Arial"/>
          <w:sz w:val="28"/>
          <w:szCs w:val="28"/>
        </w:rPr>
        <w:t>:</w:t>
      </w:r>
      <w:r w:rsidR="00E05169">
        <w:rPr>
          <w:rFonts w:ascii="Arial" w:hAnsi="Arial" w:cs="Arial"/>
          <w:sz w:val="28"/>
          <w:szCs w:val="28"/>
        </w:rPr>
        <w:t xml:space="preserve"> L</w:t>
      </w:r>
      <w:r w:rsidR="007C4E2C">
        <w:rPr>
          <w:rFonts w:ascii="Arial" w:hAnsi="Arial" w:cs="Arial"/>
          <w:sz w:val="28"/>
          <w:szCs w:val="28"/>
        </w:rPr>
        <w:t>CHS4003</w:t>
      </w:r>
    </w:p>
    <w:p w14:paraId="78E5F6B1" w14:textId="616C198C" w:rsidR="00F12E2F" w:rsidRDefault="00AE0219" w:rsidP="00AE0219">
      <w:pPr>
        <w:sectPr w:rsidR="00F12E2F" w:rsidSect="00F12E2F">
          <w:headerReference w:type="default" r:id="rId9"/>
          <w:footerReference w:type="default" r:id="rId10"/>
          <w:pgSz w:w="11906" w:h="16838"/>
          <w:pgMar w:top="1440" w:right="1440" w:bottom="1440" w:left="1440" w:header="708" w:footer="708" w:gutter="0"/>
          <w:cols w:space="708"/>
          <w:docGrid w:linePitch="360"/>
        </w:sectPr>
      </w:pPr>
      <w:r w:rsidRPr="003365D9">
        <w:rPr>
          <w:rFonts w:ascii="Arial" w:hAnsi="Arial" w:cs="Arial"/>
          <w:b/>
          <w:bCs/>
          <w:sz w:val="28"/>
          <w:szCs w:val="28"/>
        </w:rPr>
        <w:t xml:space="preserve">Lecturer </w:t>
      </w:r>
      <w:r w:rsidRPr="00AE0219">
        <w:rPr>
          <w:rFonts w:ascii="Arial" w:hAnsi="Arial" w:cs="Arial"/>
          <w:b/>
          <w:bCs/>
          <w:sz w:val="24"/>
          <w:szCs w:val="24"/>
        </w:rPr>
        <w:t>na</w:t>
      </w:r>
      <w:bookmarkEnd w:id="0"/>
      <w:r w:rsidR="00F12E2F" w:rsidRPr="00AE0219">
        <w:rPr>
          <w:rFonts w:ascii="Arial" w:hAnsi="Arial" w:cs="Arial"/>
          <w:b/>
          <w:bCs/>
          <w:sz w:val="24"/>
          <w:szCs w:val="24"/>
        </w:rPr>
        <w:t>me:</w:t>
      </w:r>
      <w:r w:rsidRPr="00AE0219">
        <w:rPr>
          <w:rFonts w:ascii="Arial" w:hAnsi="Arial" w:cs="Arial"/>
          <w:b/>
          <w:bCs/>
          <w:sz w:val="24"/>
          <w:szCs w:val="24"/>
        </w:rPr>
        <w:t xml:space="preserve"> </w:t>
      </w:r>
      <w:r w:rsidRPr="00AE0219">
        <w:rPr>
          <w:rFonts w:ascii="Arial" w:hAnsi="Arial" w:cs="Arial"/>
          <w:sz w:val="24"/>
          <w:szCs w:val="24"/>
        </w:rPr>
        <w:t>Dr Patronella Ganza</w:t>
      </w:r>
    </w:p>
    <w:p w14:paraId="49D04D93" w14:textId="0D88F204" w:rsidR="00D64D6E" w:rsidRPr="003365D9" w:rsidRDefault="00806F81" w:rsidP="00D64D6E">
      <w:pPr>
        <w:tabs>
          <w:tab w:val="left" w:pos="1658"/>
        </w:tabs>
      </w:pPr>
      <w:r w:rsidRPr="003365D9">
        <w:rPr>
          <w:noProof/>
        </w:rPr>
        <w:lastRenderedPageBreak/>
        <w:drawing>
          <wp:anchor distT="0" distB="0" distL="114300" distR="114300" simplePos="0" relativeHeight="251660288" behindDoc="1" locked="0" layoutInCell="1" allowOverlap="1" wp14:anchorId="3DA68D8D" wp14:editId="3E8BE7D7">
            <wp:simplePos x="0" y="0"/>
            <wp:positionH relativeFrom="page">
              <wp:align>right</wp:align>
            </wp:positionH>
            <wp:positionV relativeFrom="paragraph">
              <wp:posOffset>-340</wp:posOffset>
            </wp:positionV>
            <wp:extent cx="10685145" cy="6659245"/>
            <wp:effectExtent l="0" t="0" r="1905" b="8255"/>
            <wp:wrapTight wrapText="bothSides">
              <wp:wrapPolygon edited="0">
                <wp:start x="0" y="0"/>
                <wp:lineTo x="0" y="21565"/>
                <wp:lineTo x="21565" y="21565"/>
                <wp:lineTo x="21565" y="0"/>
                <wp:lineTo x="0" y="0"/>
              </wp:wrapPolygon>
            </wp:wrapTight>
            <wp:docPr id="73147049" name="Picture 2" descr="A collage of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7049" name="Picture 2" descr="A collage of medical informati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685145" cy="6659245"/>
                    </a:xfrm>
                    <a:prstGeom prst="rect">
                      <a:avLst/>
                    </a:prstGeom>
                  </pic:spPr>
                </pic:pic>
              </a:graphicData>
            </a:graphic>
            <wp14:sizeRelH relativeFrom="page">
              <wp14:pctWidth>0</wp14:pctWidth>
            </wp14:sizeRelH>
            <wp14:sizeRelV relativeFrom="page">
              <wp14:pctHeight>0</wp14:pctHeight>
            </wp14:sizeRelV>
          </wp:anchor>
        </w:drawing>
      </w:r>
      <w:r w:rsidR="00D64D6E" w:rsidRPr="003365D9">
        <w:tab/>
      </w:r>
    </w:p>
    <w:p w14:paraId="1560C502" w14:textId="77777777" w:rsidR="003365D9" w:rsidRPr="003365D9" w:rsidRDefault="003365D9" w:rsidP="00D64D6E">
      <w:pPr>
        <w:tabs>
          <w:tab w:val="left" w:pos="1658"/>
        </w:tabs>
        <w:sectPr w:rsidR="003365D9" w:rsidRPr="003365D9" w:rsidSect="00F12E2F">
          <w:pgSz w:w="16838" w:h="11906" w:orient="landscape"/>
          <w:pgMar w:top="1440" w:right="1440" w:bottom="1440" w:left="1440" w:header="708" w:footer="708" w:gutter="0"/>
          <w:cols w:space="708"/>
          <w:docGrid w:linePitch="360"/>
        </w:sectPr>
      </w:pPr>
    </w:p>
    <w:p w14:paraId="3F6FE0DF" w14:textId="05DF99CA" w:rsidR="000F7A3E" w:rsidRPr="003365D9" w:rsidRDefault="003365D9">
      <w:pPr>
        <w:rPr>
          <w:rFonts w:ascii="Arial" w:hAnsi="Arial" w:cs="Arial"/>
          <w:b/>
          <w:bCs/>
          <w:sz w:val="24"/>
          <w:szCs w:val="24"/>
        </w:rPr>
      </w:pPr>
      <w:r w:rsidRPr="003365D9">
        <w:rPr>
          <w:rFonts w:ascii="Arial" w:hAnsi="Arial" w:cs="Arial"/>
          <w:b/>
          <w:bCs/>
          <w:sz w:val="24"/>
          <w:szCs w:val="24"/>
        </w:rPr>
        <w:lastRenderedPageBreak/>
        <w:t>Task</w:t>
      </w:r>
      <w:r w:rsidR="00AE0219" w:rsidRPr="003365D9">
        <w:rPr>
          <w:rFonts w:ascii="Arial" w:hAnsi="Arial" w:cs="Arial"/>
          <w:b/>
          <w:bCs/>
          <w:sz w:val="24"/>
          <w:szCs w:val="24"/>
        </w:rPr>
        <w:t xml:space="preserve"> 2</w:t>
      </w:r>
      <w:r w:rsidR="00666770">
        <w:rPr>
          <w:rFonts w:ascii="Arial" w:hAnsi="Arial" w:cs="Arial"/>
          <w:b/>
          <w:bCs/>
          <w:sz w:val="24"/>
          <w:szCs w:val="24"/>
        </w:rPr>
        <w:t>:</w:t>
      </w:r>
    </w:p>
    <w:p w14:paraId="3F6FE0E1" w14:textId="77777777" w:rsidR="000F7A3E" w:rsidRPr="003365D9" w:rsidRDefault="00AE0219">
      <w:pPr>
        <w:spacing w:line="360" w:lineRule="auto"/>
        <w:ind w:hanging="2"/>
        <w:jc w:val="center"/>
        <w:rPr>
          <w:rFonts w:ascii="Arial" w:eastAsia="Times New Roman" w:hAnsi="Arial" w:cs="Arial"/>
          <w:b/>
          <w:bCs/>
          <w:sz w:val="24"/>
          <w:szCs w:val="24"/>
        </w:rPr>
      </w:pPr>
      <w:r w:rsidRPr="003365D9">
        <w:rPr>
          <w:rFonts w:ascii="Arial" w:eastAsia="Times New Roman" w:hAnsi="Arial" w:cs="Arial"/>
          <w:b/>
          <w:bCs/>
          <w:sz w:val="24"/>
          <w:szCs w:val="24"/>
        </w:rPr>
        <w:t>The Origin and Structure of the National Health Service (NHS)</w:t>
      </w:r>
    </w:p>
    <w:p w14:paraId="3F6FE0E2" w14:textId="74393159" w:rsidR="000F7A3E" w:rsidRPr="003365D9" w:rsidRDefault="00AE0219">
      <w:pPr>
        <w:spacing w:line="360" w:lineRule="auto"/>
        <w:ind w:hanging="2"/>
        <w:jc w:val="both"/>
        <w:rPr>
          <w:rFonts w:ascii="Arial" w:eastAsia="Times New Roman" w:hAnsi="Arial" w:cs="Arial"/>
          <w:sz w:val="24"/>
          <w:szCs w:val="24"/>
        </w:rPr>
      </w:pPr>
      <w:r w:rsidRPr="003365D9">
        <w:rPr>
          <w:rFonts w:ascii="Arial" w:eastAsia="Times New Roman" w:hAnsi="Arial" w:cs="Arial"/>
          <w:sz w:val="24"/>
          <w:szCs w:val="24"/>
        </w:rPr>
        <w:t xml:space="preserve">One of the greatest sociological changes in the UK is the emergence of the National Health Service (NHS), which dates back to 1948 </w:t>
      </w:r>
      <w:r w:rsidRPr="003365D9">
        <w:rPr>
          <w:rFonts w:ascii="Arial" w:hAnsi="Arial" w:cs="Arial"/>
          <w:sz w:val="24"/>
          <w:szCs w:val="24"/>
        </w:rPr>
        <w:t>(NHS England, 2024)</w:t>
      </w:r>
      <w:r w:rsidRPr="003365D9">
        <w:rPr>
          <w:rFonts w:ascii="Arial" w:eastAsia="Times New Roman" w:hAnsi="Arial" w:cs="Arial"/>
          <w:sz w:val="24"/>
          <w:szCs w:val="24"/>
        </w:rPr>
        <w:t xml:space="preserve">. The initial vision and objective stem from the public's concern and inequitable access to health care services. Access to services during the early 20th century was determined largely by one's ability to pay </w:t>
      </w:r>
      <w:r w:rsidRPr="003365D9">
        <w:rPr>
          <w:rFonts w:ascii="Arial" w:hAnsi="Arial" w:cs="Arial"/>
          <w:sz w:val="24"/>
          <w:szCs w:val="24"/>
        </w:rPr>
        <w:t>(Powell, 2023)</w:t>
      </w:r>
      <w:r w:rsidRPr="003365D9">
        <w:rPr>
          <w:rFonts w:ascii="Arial" w:eastAsia="Times New Roman" w:hAnsi="Arial" w:cs="Arial"/>
          <w:sz w:val="24"/>
          <w:szCs w:val="24"/>
        </w:rPr>
        <w:t xml:space="preserve">. Prior to the establishment of the NHS, health care services were provided by a patchwork of voluntary hospitals, private doctors, municipal services, and charitable organisations. This fragmented system of health care services resulted in major inequities, particularly in the working class, where families were either unable to afford to seek treatment, and where some limited insurance schemes were available, i.e. National Insurance Act of 1911 which only covered some beneficiaries of that legislation </w:t>
      </w:r>
      <w:r w:rsidRPr="003365D9">
        <w:rPr>
          <w:rFonts w:ascii="Arial" w:hAnsi="Arial" w:cs="Arial"/>
          <w:sz w:val="24"/>
          <w:szCs w:val="24"/>
        </w:rPr>
        <w:t>(NHS England, 2024)</w:t>
      </w:r>
      <w:r w:rsidRPr="003365D9">
        <w:rPr>
          <w:rFonts w:ascii="Arial" w:eastAsia="Times New Roman" w:hAnsi="Arial" w:cs="Arial"/>
          <w:sz w:val="24"/>
          <w:szCs w:val="24"/>
        </w:rPr>
        <w:t xml:space="preserve">. The inadequacies in this system, especially in the provision of health, were pronounced with the advent of the Second World War. The change in the social welfare systems was intensified by the publication of </w:t>
      </w:r>
      <w:r w:rsidR="003365D9" w:rsidRPr="003365D9">
        <w:rPr>
          <w:rFonts w:ascii="Arial" w:eastAsia="Times New Roman" w:hAnsi="Arial" w:cs="Arial"/>
          <w:sz w:val="24"/>
          <w:szCs w:val="24"/>
        </w:rPr>
        <w:t>the Beveridge</w:t>
      </w:r>
      <w:r w:rsidRPr="003365D9">
        <w:rPr>
          <w:rFonts w:ascii="Arial" w:eastAsia="Times New Roman" w:hAnsi="Arial" w:cs="Arial"/>
          <w:sz w:val="24"/>
          <w:szCs w:val="24"/>
        </w:rPr>
        <w:t xml:space="preserve"> Report in 1942, which recognised disease as a major impediment that needed to be addressed (RCN, 2023 and furthered by Aneurin Bevan, the Health Minister who provided the foundation of the vision of a universal health service supported by the state.  (Bayliss, 2022). </w:t>
      </w:r>
    </w:p>
    <w:p w14:paraId="3F6FE0E3" w14:textId="77777777" w:rsidR="000F7A3E" w:rsidRPr="003365D9" w:rsidRDefault="00AE0219">
      <w:pPr>
        <w:spacing w:line="360" w:lineRule="auto"/>
        <w:ind w:hanging="2"/>
        <w:jc w:val="both"/>
        <w:rPr>
          <w:rFonts w:ascii="Arial" w:eastAsia="Times New Roman" w:hAnsi="Arial" w:cs="Arial"/>
          <w:sz w:val="24"/>
          <w:szCs w:val="24"/>
        </w:rPr>
      </w:pPr>
      <w:r w:rsidRPr="003365D9">
        <w:rPr>
          <w:rFonts w:ascii="Arial" w:eastAsia="Times New Roman" w:hAnsi="Arial" w:cs="Arial"/>
          <w:sz w:val="24"/>
          <w:szCs w:val="24"/>
        </w:rPr>
        <w:t xml:space="preserve">The current design of the NHS emerges from the attempts at reforms directed towards enhancing the efficiency, accountability, and patient care of the organisation. In England, the NHS is organised under the Department of Health and Social Care (DHSC), where NHS England maintains responsibilities pertaining to the strategic direction and oversight of the national priorities and delivery of the services </w:t>
      </w:r>
      <w:r w:rsidRPr="003365D9">
        <w:rPr>
          <w:rFonts w:ascii="Arial" w:hAnsi="Arial" w:cs="Arial"/>
          <w:sz w:val="24"/>
          <w:szCs w:val="24"/>
        </w:rPr>
        <w:t>(NHS England, 2024)</w:t>
      </w:r>
      <w:r w:rsidRPr="003365D9">
        <w:rPr>
          <w:rFonts w:ascii="Arial" w:eastAsia="Times New Roman" w:hAnsi="Arial" w:cs="Arial"/>
          <w:sz w:val="24"/>
          <w:szCs w:val="24"/>
        </w:rPr>
        <w:t xml:space="preserve">. In the integrated care (IC) system health and social care policy of England, framed by the Health and Social Care Act of 2012, the commissioning of health services is jointly held by NHS England and the Integrated Care Boards (ICBs), which are responsible for the planning, purchasing, and coordination of local services </w:t>
      </w:r>
      <w:r w:rsidRPr="003365D9">
        <w:rPr>
          <w:rFonts w:ascii="Arial" w:hAnsi="Arial" w:cs="Arial"/>
          <w:sz w:val="24"/>
          <w:szCs w:val="24"/>
        </w:rPr>
        <w:t>(Powell, 2023)</w:t>
      </w:r>
      <w:r w:rsidRPr="003365D9">
        <w:rPr>
          <w:rFonts w:ascii="Arial" w:eastAsia="Times New Roman" w:hAnsi="Arial" w:cs="Arial"/>
          <w:sz w:val="24"/>
          <w:szCs w:val="24"/>
        </w:rPr>
        <w:t xml:space="preserve">. As of 2022, Integrated Care Systems (ICSs) focus on the collaboration of NHS units with a local authority and other relevant entities to deliver organised care for a defined population (NHS England, 2022). Although the rest of the UK, comprising Scotland, Wales, and Northern Ireland, poses some minor operational variations in </w:t>
      </w:r>
      <w:r w:rsidRPr="003365D9">
        <w:rPr>
          <w:rFonts w:ascii="Arial" w:eastAsia="Times New Roman" w:hAnsi="Arial" w:cs="Arial"/>
          <w:sz w:val="24"/>
          <w:szCs w:val="24"/>
        </w:rPr>
        <w:lastRenderedPageBreak/>
        <w:t>governance, these geographical regions also employ the operational model of universalism and public funding.</w:t>
      </w:r>
    </w:p>
    <w:p w14:paraId="3F6FE0E4" w14:textId="77777777" w:rsidR="000F7A3E" w:rsidRPr="003365D9" w:rsidRDefault="00AE0219">
      <w:pPr>
        <w:spacing w:line="360" w:lineRule="auto"/>
        <w:ind w:hanging="2"/>
        <w:jc w:val="both"/>
        <w:rPr>
          <w:rFonts w:ascii="Arial" w:eastAsia="Times New Roman" w:hAnsi="Arial" w:cs="Arial"/>
          <w:sz w:val="24"/>
          <w:szCs w:val="24"/>
        </w:rPr>
      </w:pPr>
      <w:r w:rsidRPr="003365D9">
        <w:rPr>
          <w:rFonts w:ascii="Arial" w:eastAsia="Times New Roman" w:hAnsi="Arial" w:cs="Arial"/>
          <w:sz w:val="24"/>
          <w:szCs w:val="24"/>
        </w:rPr>
        <w:t xml:space="preserve">Coordinated care delivery across primary, secondary, community, and mental health services defines the structure and operation of the NHS today (Bayliss, 2022). Primary care, and more specifically general practices, is the first point of contact for the majority of patients and is of utmost importance for protective health care, early-stage diagnosis, and ongoing management of chronic illnesses. NHS Trusts and Foundation Trusts provide secondary care, which includes specialised hospital services </w:t>
      </w:r>
      <w:r w:rsidRPr="003365D9">
        <w:rPr>
          <w:rFonts w:ascii="Arial" w:hAnsi="Arial" w:cs="Arial"/>
          <w:sz w:val="24"/>
          <w:szCs w:val="24"/>
        </w:rPr>
        <w:t>(Roderick and Pollock, 2022)</w:t>
      </w:r>
      <w:r w:rsidRPr="003365D9">
        <w:rPr>
          <w:rFonts w:ascii="Arial" w:eastAsia="Times New Roman" w:hAnsi="Arial" w:cs="Arial"/>
          <w:sz w:val="24"/>
          <w:szCs w:val="24"/>
        </w:rPr>
        <w:t>. Since 2013, public health functions have changed considerably, with many of the public health functions being devolved to local government, and more recently to UKHSA and OHID. Notwithstanding this structural organisation, the service delivery systems have been under extreme pressure due to increasing demand for services, diminishing numbers of health care workers, and lack of sufficient funding (RCN, 2023). There are lengthened waiting lists, difficulties with accessing appointments at the GP level, and more staffing gaps affecting the quality of services provided and the continuity of care at the service delivery point (Roderick and Pollock, 2022).</w:t>
      </w:r>
    </w:p>
    <w:p w14:paraId="3F6FE0E5" w14:textId="77777777" w:rsidR="000F7A3E" w:rsidRPr="003365D9" w:rsidRDefault="00AE0219">
      <w:pPr>
        <w:spacing w:line="360" w:lineRule="auto"/>
        <w:ind w:hanging="2"/>
        <w:jc w:val="both"/>
        <w:rPr>
          <w:rFonts w:ascii="Arial" w:eastAsia="Times New Roman" w:hAnsi="Arial" w:cs="Arial"/>
          <w:sz w:val="24"/>
          <w:szCs w:val="24"/>
        </w:rPr>
      </w:pPr>
      <w:r w:rsidRPr="003365D9">
        <w:rPr>
          <w:rFonts w:ascii="Arial" w:eastAsia="Times New Roman" w:hAnsi="Arial" w:cs="Arial"/>
          <w:sz w:val="24"/>
          <w:szCs w:val="24"/>
        </w:rPr>
        <w:t>Finally, the NHS has its strengths and positive points as well as its own challenges and issues. A key strength is the public supports of the universality principle and free access to care, which has been essential in developing trust. Nonetheless, the consolidation model of the NHS makes it vulnerable to financial and phenomenological issues (Bayliss, 2022). Reforms like the introduction of competition from the market in the 1990s and early 2000s made little improvement and increased administrative burden instead of improving outcome consistency, and such improvements have received heavy criticism (Gorsky, 2015). The newest reforms around promoting integrated care have increased hopes of improving fragmentation. Nonetheless, the coordination improvement will have to be assessed over time.</w:t>
      </w:r>
    </w:p>
    <w:p w14:paraId="3F6FE0E6" w14:textId="77777777" w:rsidR="000F7A3E" w:rsidRPr="003365D9" w:rsidRDefault="000F7A3E">
      <w:pPr>
        <w:spacing w:after="0" w:line="360" w:lineRule="auto"/>
        <w:jc w:val="both"/>
        <w:rPr>
          <w:rFonts w:ascii="Arial" w:eastAsia="Times New Roman" w:hAnsi="Arial" w:cs="Arial"/>
          <w:sz w:val="24"/>
          <w:szCs w:val="24"/>
        </w:rPr>
      </w:pPr>
    </w:p>
    <w:p w14:paraId="3F6FE0E7" w14:textId="77777777" w:rsidR="000F7A3E" w:rsidRPr="003365D9" w:rsidRDefault="000F7A3E">
      <w:pPr>
        <w:spacing w:after="0" w:line="360" w:lineRule="auto"/>
        <w:jc w:val="both"/>
        <w:rPr>
          <w:rFonts w:ascii="Arial" w:eastAsia="Times New Roman" w:hAnsi="Arial" w:cs="Arial"/>
          <w:sz w:val="24"/>
          <w:szCs w:val="24"/>
        </w:rPr>
      </w:pPr>
    </w:p>
    <w:p w14:paraId="3F6FE0E8" w14:textId="77777777" w:rsidR="000F7A3E" w:rsidRPr="003365D9" w:rsidRDefault="000F7A3E">
      <w:pPr>
        <w:spacing w:after="0" w:line="360" w:lineRule="auto"/>
        <w:jc w:val="both"/>
        <w:rPr>
          <w:rFonts w:ascii="Arial" w:eastAsia="Times New Roman" w:hAnsi="Arial" w:cs="Arial"/>
          <w:sz w:val="24"/>
          <w:szCs w:val="24"/>
        </w:rPr>
      </w:pPr>
    </w:p>
    <w:p w14:paraId="3F6FE0E9" w14:textId="77777777" w:rsidR="000F7A3E" w:rsidRPr="003365D9" w:rsidRDefault="000F7A3E">
      <w:pPr>
        <w:spacing w:after="0" w:line="360" w:lineRule="auto"/>
        <w:jc w:val="both"/>
        <w:rPr>
          <w:rFonts w:ascii="Arial" w:eastAsia="Times New Roman" w:hAnsi="Arial" w:cs="Arial"/>
          <w:sz w:val="24"/>
          <w:szCs w:val="24"/>
        </w:rPr>
      </w:pPr>
    </w:p>
    <w:p w14:paraId="3F6FE0EA" w14:textId="77777777" w:rsidR="000F7A3E" w:rsidRPr="003365D9" w:rsidRDefault="000F7A3E">
      <w:pPr>
        <w:spacing w:after="0" w:line="360" w:lineRule="auto"/>
        <w:jc w:val="both"/>
        <w:rPr>
          <w:rFonts w:ascii="Arial" w:eastAsia="Times New Roman" w:hAnsi="Arial" w:cs="Arial"/>
          <w:sz w:val="24"/>
          <w:szCs w:val="24"/>
        </w:rPr>
      </w:pPr>
    </w:p>
    <w:p w14:paraId="3F6FE0F0" w14:textId="77777777" w:rsidR="000F7A3E" w:rsidRPr="003365D9" w:rsidRDefault="00AE0219" w:rsidP="00011BCD">
      <w:pPr>
        <w:spacing w:line="360" w:lineRule="auto"/>
        <w:jc w:val="center"/>
        <w:rPr>
          <w:rFonts w:ascii="Arial" w:hAnsi="Arial" w:cs="Arial"/>
          <w:sz w:val="24"/>
          <w:szCs w:val="24"/>
        </w:rPr>
      </w:pPr>
      <w:r w:rsidRPr="00F12E2F">
        <w:rPr>
          <w:rFonts w:ascii="Arial" w:hAnsi="Arial" w:cs="Arial"/>
          <w:b/>
          <w:bCs/>
          <w:sz w:val="24"/>
          <w:szCs w:val="24"/>
        </w:rPr>
        <w:lastRenderedPageBreak/>
        <w:t>References</w:t>
      </w:r>
    </w:p>
    <w:p w14:paraId="3F6FE0F1" w14:textId="77777777" w:rsidR="000F7A3E" w:rsidRPr="003365D9" w:rsidRDefault="00AE0219">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Bayliss, K. (2022) “Can ENGLAND’S national health system reforms overcome the neoliberal legacy?,” International Journal of Health Services, 52(4), pp. 480–491. Available at: https://doi.org/10.1177/00207314221115945.</w:t>
      </w:r>
    </w:p>
    <w:p w14:paraId="3F6FE0F2" w14:textId="77777777" w:rsidR="000F7A3E" w:rsidRPr="003365D9" w:rsidRDefault="00AE0219">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 xml:space="preserve">Gorsky, M. (2015) </w:t>
      </w:r>
      <w:r w:rsidRPr="003365D9">
        <w:rPr>
          <w:rFonts w:ascii="Arial" w:hAnsi="Arial" w:cs="Arial"/>
          <w:i/>
          <w:iCs/>
        </w:rPr>
        <w:t>The NHS in Britain: Any Lesson from History for Universal Health Coverage?</w:t>
      </w:r>
      <w:r w:rsidRPr="003365D9">
        <w:rPr>
          <w:rFonts w:ascii="Arial" w:hAnsi="Arial" w:cs="Arial"/>
        </w:rPr>
        <w:t xml:space="preserve">, </w:t>
      </w:r>
      <w:r w:rsidRPr="003365D9">
        <w:rPr>
          <w:rFonts w:ascii="Arial" w:hAnsi="Arial" w:cs="Arial"/>
          <w:i/>
          <w:iCs/>
        </w:rPr>
        <w:t>Health for All - NCBI Bookshelf</w:t>
      </w:r>
      <w:r w:rsidRPr="003365D9">
        <w:rPr>
          <w:rFonts w:ascii="Arial" w:hAnsi="Arial" w:cs="Arial"/>
        </w:rPr>
        <w:t xml:space="preserve">. Available at: </w:t>
      </w:r>
      <w:r w:rsidRPr="003365D9">
        <w:rPr>
          <w:rStyle w:val="url"/>
          <w:rFonts w:ascii="Arial" w:hAnsi="Arial" w:cs="Arial"/>
        </w:rPr>
        <w:t>https://www.ncbi.nlm.nih.gov/books/NBK316274/</w:t>
      </w:r>
      <w:r w:rsidRPr="003365D9">
        <w:rPr>
          <w:rFonts w:ascii="Arial" w:hAnsi="Arial" w:cs="Arial"/>
        </w:rPr>
        <w:t>.</w:t>
      </w:r>
    </w:p>
    <w:p w14:paraId="3F6FE0F3" w14:textId="77777777" w:rsidR="000F7A3E" w:rsidRPr="003365D9" w:rsidRDefault="00AE0219">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 xml:space="preserve">NHS England (2024) </w:t>
      </w:r>
      <w:r w:rsidRPr="003365D9">
        <w:rPr>
          <w:rFonts w:ascii="Arial" w:hAnsi="Arial" w:cs="Arial"/>
          <w:i/>
          <w:iCs/>
        </w:rPr>
        <w:t>Healthcare hits the High Street, with rollout of enhanced pharmacy services</w:t>
      </w:r>
      <w:r w:rsidRPr="003365D9">
        <w:rPr>
          <w:rFonts w:ascii="Arial" w:hAnsi="Arial" w:cs="Arial"/>
        </w:rPr>
        <w:t xml:space="preserve">. Available at: </w:t>
      </w:r>
      <w:r w:rsidRPr="003365D9">
        <w:rPr>
          <w:rStyle w:val="url"/>
          <w:rFonts w:ascii="Arial" w:hAnsi="Arial" w:cs="Arial"/>
        </w:rPr>
        <w:t>https://www.england.nhs.uk/london/2024/01/31/healthcare-hits-the-high-street-with-rollout-of-enhanced-pharmacy-services/</w:t>
      </w:r>
      <w:r w:rsidRPr="003365D9">
        <w:rPr>
          <w:rFonts w:ascii="Arial" w:hAnsi="Arial" w:cs="Arial"/>
        </w:rPr>
        <w:t xml:space="preserve"> [Accessed: 16 November 2025].</w:t>
      </w:r>
    </w:p>
    <w:p w14:paraId="3F6FE0F4" w14:textId="77777777" w:rsidR="000F7A3E" w:rsidRPr="003365D9" w:rsidRDefault="00AE0219">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 xml:space="preserve">NHS England (2022) </w:t>
      </w:r>
      <w:r w:rsidRPr="003365D9">
        <w:rPr>
          <w:rFonts w:ascii="Arial" w:hAnsi="Arial" w:cs="Arial"/>
          <w:i/>
          <w:iCs/>
        </w:rPr>
        <w:t>Milestones of the NHS</w:t>
      </w:r>
      <w:r w:rsidRPr="003365D9">
        <w:rPr>
          <w:rFonts w:ascii="Arial" w:hAnsi="Arial" w:cs="Arial"/>
        </w:rPr>
        <w:t xml:space="preserve">. Available at: </w:t>
      </w:r>
      <w:r w:rsidRPr="003365D9">
        <w:rPr>
          <w:rStyle w:val="url"/>
          <w:rFonts w:ascii="Arial" w:hAnsi="Arial" w:cs="Arial"/>
        </w:rPr>
        <w:t>https://www.england.nhs.uk/about/nhs-history/</w:t>
      </w:r>
      <w:r w:rsidRPr="003365D9">
        <w:rPr>
          <w:rFonts w:ascii="Arial" w:hAnsi="Arial" w:cs="Arial"/>
        </w:rPr>
        <w:t xml:space="preserve"> (Accessed: October 15, 2025).</w:t>
      </w:r>
    </w:p>
    <w:p w14:paraId="3F6FE0F5" w14:textId="77777777" w:rsidR="000F7A3E" w:rsidRPr="003365D9" w:rsidRDefault="00AE0219">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 xml:space="preserve">Powell, T. (2023) </w:t>
      </w:r>
      <w:r w:rsidRPr="003365D9">
        <w:rPr>
          <w:rFonts w:ascii="Arial" w:hAnsi="Arial" w:cs="Arial"/>
          <w:i/>
          <w:iCs/>
        </w:rPr>
        <w:t>The structure of the NHS in England</w:t>
      </w:r>
      <w:r w:rsidRPr="003365D9">
        <w:rPr>
          <w:rFonts w:ascii="Arial" w:hAnsi="Arial" w:cs="Arial"/>
        </w:rPr>
        <w:t xml:space="preserve">, </w:t>
      </w:r>
      <w:r w:rsidRPr="003365D9">
        <w:rPr>
          <w:rFonts w:ascii="Arial" w:hAnsi="Arial" w:cs="Arial"/>
          <w:i/>
          <w:iCs/>
        </w:rPr>
        <w:t>House of Commons Library</w:t>
      </w:r>
      <w:r w:rsidRPr="003365D9">
        <w:rPr>
          <w:rFonts w:ascii="Arial" w:hAnsi="Arial" w:cs="Arial"/>
        </w:rPr>
        <w:t xml:space="preserve">. Available at: </w:t>
      </w:r>
      <w:r w:rsidRPr="003365D9">
        <w:rPr>
          <w:rStyle w:val="url"/>
          <w:rFonts w:ascii="Arial" w:hAnsi="Arial" w:cs="Arial"/>
        </w:rPr>
        <w:t>https://researchbriefings.files.parliament.uk/documents/CBP-7206/CBP-7206.pdf</w:t>
      </w:r>
      <w:r w:rsidRPr="003365D9">
        <w:rPr>
          <w:rFonts w:ascii="Arial" w:hAnsi="Arial" w:cs="Arial"/>
        </w:rPr>
        <w:t xml:space="preserve"> [Accessed: 16 November 2025].</w:t>
      </w:r>
    </w:p>
    <w:p w14:paraId="3F6FE0F6" w14:textId="77777777" w:rsidR="000F7A3E" w:rsidRPr="003365D9" w:rsidRDefault="00AE0219">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 xml:space="preserve">Roderick, P. and Pollock, A.M. (2022) “Dismantling the National Health Service in England,” </w:t>
      </w:r>
      <w:r w:rsidRPr="003365D9">
        <w:rPr>
          <w:rFonts w:ascii="Arial" w:hAnsi="Arial" w:cs="Arial"/>
          <w:i/>
          <w:iCs/>
        </w:rPr>
        <w:t>International Journal of Health Services</w:t>
      </w:r>
      <w:r w:rsidRPr="003365D9">
        <w:rPr>
          <w:rFonts w:ascii="Arial" w:hAnsi="Arial" w:cs="Arial"/>
        </w:rPr>
        <w:t xml:space="preserve">, 52(4), pp. 470–479. Available at: </w:t>
      </w:r>
      <w:r w:rsidRPr="003365D9">
        <w:rPr>
          <w:rStyle w:val="url"/>
          <w:rFonts w:ascii="Arial" w:hAnsi="Arial" w:cs="Arial"/>
        </w:rPr>
        <w:t>https://doi.org/10.1177/00207314221114540</w:t>
      </w:r>
      <w:r w:rsidRPr="003365D9">
        <w:rPr>
          <w:rFonts w:ascii="Arial" w:hAnsi="Arial" w:cs="Arial"/>
        </w:rPr>
        <w:t>.</w:t>
      </w:r>
    </w:p>
    <w:p w14:paraId="3F6FE0FD" w14:textId="6EC149D7" w:rsidR="000F7A3E" w:rsidRPr="003365D9" w:rsidRDefault="00AE0219" w:rsidP="00F727E6">
      <w:pPr>
        <w:pStyle w:val="NormalWeb"/>
        <w:spacing w:before="0" w:beforeAutospacing="0" w:after="0" w:afterAutospacing="0" w:line="360" w:lineRule="auto"/>
        <w:ind w:left="720" w:hanging="720"/>
        <w:jc w:val="both"/>
        <w:rPr>
          <w:rFonts w:ascii="Arial" w:hAnsi="Arial" w:cs="Arial"/>
        </w:rPr>
      </w:pPr>
      <w:r w:rsidRPr="003365D9">
        <w:rPr>
          <w:rFonts w:ascii="Arial" w:hAnsi="Arial" w:cs="Arial"/>
        </w:rPr>
        <w:t xml:space="preserve">Royal College of Nursing (RCN) (2023) </w:t>
      </w:r>
      <w:r w:rsidRPr="003365D9">
        <w:rPr>
          <w:rFonts w:ascii="Arial" w:hAnsi="Arial" w:cs="Arial"/>
          <w:i/>
          <w:iCs/>
        </w:rPr>
        <w:t>NHS 75: the history of our National Health Service | RCN Magazine | Royal College of Nursing</w:t>
      </w:r>
      <w:r w:rsidRPr="003365D9">
        <w:rPr>
          <w:rFonts w:ascii="Arial" w:hAnsi="Arial" w:cs="Arial"/>
        </w:rPr>
        <w:t xml:space="preserve">, </w:t>
      </w:r>
      <w:r w:rsidRPr="003365D9">
        <w:rPr>
          <w:rFonts w:ascii="Arial" w:hAnsi="Arial" w:cs="Arial"/>
          <w:i/>
          <w:iCs/>
        </w:rPr>
        <w:t>The Royal College of Nursing</w:t>
      </w:r>
      <w:r w:rsidRPr="003365D9">
        <w:rPr>
          <w:rFonts w:ascii="Arial" w:hAnsi="Arial" w:cs="Arial"/>
        </w:rPr>
        <w:t xml:space="preserve">. Available at: </w:t>
      </w:r>
      <w:r w:rsidRPr="003365D9">
        <w:rPr>
          <w:rStyle w:val="url"/>
          <w:rFonts w:ascii="Arial" w:hAnsi="Arial" w:cs="Arial"/>
        </w:rPr>
        <w:t xml:space="preserve">https://www.rcn.org.uk/magazines/History/2023/July/NHS-75-anniversary-history-of-the-National-Health-Service </w:t>
      </w:r>
      <w:r w:rsidRPr="003365D9">
        <w:rPr>
          <w:rFonts w:ascii="Arial" w:hAnsi="Arial" w:cs="Arial"/>
        </w:rPr>
        <w:t>[Accessed: 16 November 2025]</w:t>
      </w:r>
    </w:p>
    <w:sectPr w:rsidR="000F7A3E" w:rsidRPr="003365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FE104" w14:textId="77777777" w:rsidR="000F7A3E" w:rsidRDefault="00AE0219">
      <w:pPr>
        <w:spacing w:line="240" w:lineRule="auto"/>
      </w:pPr>
      <w:r>
        <w:separator/>
      </w:r>
    </w:p>
  </w:endnote>
  <w:endnote w:type="continuationSeparator" w:id="0">
    <w:p w14:paraId="3F6FE105" w14:textId="77777777" w:rsidR="000F7A3E" w:rsidRDefault="00AE02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FE107" w14:textId="77777777" w:rsidR="000F7A3E" w:rsidRDefault="000F7A3E">
    <w:pPr>
      <w:pStyle w:val="Footer"/>
      <w:jc w:val="right"/>
    </w:pPr>
  </w:p>
  <w:p w14:paraId="3F6FE108" w14:textId="18822960" w:rsidR="000F7A3E" w:rsidRDefault="000F7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FE102" w14:textId="77777777" w:rsidR="000F7A3E" w:rsidRDefault="00AE0219">
      <w:pPr>
        <w:spacing w:after="0"/>
      </w:pPr>
      <w:r>
        <w:separator/>
      </w:r>
    </w:p>
  </w:footnote>
  <w:footnote w:type="continuationSeparator" w:id="0">
    <w:p w14:paraId="3F6FE103" w14:textId="77777777" w:rsidR="000F7A3E" w:rsidRDefault="00AE021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A7F6A" w14:textId="43BCCBE1" w:rsidR="00EE608B" w:rsidRDefault="00F12E2F">
    <w:pPr>
      <w:pStyle w:val="Header"/>
    </w:pPr>
    <w:r w:rsidRPr="003365D9">
      <w:rPr>
        <w:rFonts w:ascii="Arial" w:hAnsi="Arial" w:cs="Arial"/>
        <w:noProof/>
        <w:szCs w:val="24"/>
      </w:rPr>
      <w:drawing>
        <wp:anchor distT="0" distB="0" distL="114300" distR="114300" simplePos="0" relativeHeight="251659264" behindDoc="0" locked="0" layoutInCell="1" allowOverlap="1" wp14:anchorId="42A23065" wp14:editId="08601EB7">
          <wp:simplePos x="0" y="0"/>
          <wp:positionH relativeFrom="column">
            <wp:posOffset>7721600</wp:posOffset>
          </wp:positionH>
          <wp:positionV relativeFrom="paragraph">
            <wp:posOffset>-292735</wp:posOffset>
          </wp:positionV>
          <wp:extent cx="1809750" cy="723900"/>
          <wp:effectExtent l="0" t="0" r="0" b="0"/>
          <wp:wrapSquare wrapText="bothSides"/>
          <wp:docPr id="622054973" name="Picture 62205497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11BCD"/>
    <w:rsid w:val="000464A0"/>
    <w:rsid w:val="000512BF"/>
    <w:rsid w:val="00056EB1"/>
    <w:rsid w:val="000A0524"/>
    <w:rsid w:val="000F7A3E"/>
    <w:rsid w:val="0018139A"/>
    <w:rsid w:val="002767BF"/>
    <w:rsid w:val="002A644E"/>
    <w:rsid w:val="002D3187"/>
    <w:rsid w:val="003365D9"/>
    <w:rsid w:val="003A000F"/>
    <w:rsid w:val="003B5882"/>
    <w:rsid w:val="004A66EB"/>
    <w:rsid w:val="00592F36"/>
    <w:rsid w:val="005F174C"/>
    <w:rsid w:val="00666770"/>
    <w:rsid w:val="006A517B"/>
    <w:rsid w:val="006A6816"/>
    <w:rsid w:val="006B7A52"/>
    <w:rsid w:val="00756D18"/>
    <w:rsid w:val="007C4E2C"/>
    <w:rsid w:val="00804A7F"/>
    <w:rsid w:val="00806F81"/>
    <w:rsid w:val="00825420"/>
    <w:rsid w:val="00833470"/>
    <w:rsid w:val="00925D5E"/>
    <w:rsid w:val="00990939"/>
    <w:rsid w:val="009E257B"/>
    <w:rsid w:val="00A166E9"/>
    <w:rsid w:val="00A6165E"/>
    <w:rsid w:val="00A82690"/>
    <w:rsid w:val="00AE0219"/>
    <w:rsid w:val="00B642EF"/>
    <w:rsid w:val="00B86DF0"/>
    <w:rsid w:val="00BE6BE0"/>
    <w:rsid w:val="00C70E60"/>
    <w:rsid w:val="00C83A82"/>
    <w:rsid w:val="00C94B11"/>
    <w:rsid w:val="00D06E40"/>
    <w:rsid w:val="00D50A14"/>
    <w:rsid w:val="00D64D6E"/>
    <w:rsid w:val="00E05169"/>
    <w:rsid w:val="00ED0D33"/>
    <w:rsid w:val="00EE608B"/>
    <w:rsid w:val="00EF3E35"/>
    <w:rsid w:val="00F12E2F"/>
    <w:rsid w:val="00F36D02"/>
    <w:rsid w:val="00F64FBC"/>
    <w:rsid w:val="00F727E6"/>
    <w:rsid w:val="00F74533"/>
    <w:rsid w:val="14E86F37"/>
    <w:rsid w:val="42883191"/>
    <w:rsid w:val="4587657B"/>
    <w:rsid w:val="47DC52F2"/>
    <w:rsid w:val="5A1C50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3F6FE0CD"/>
  <w15:docId w15:val="{77C46F44-794E-445C-BF9F-FA6311E81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url">
    <w:name w:val="url"/>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5</Pages>
  <Words>889</Words>
  <Characters>5482</Characters>
  <DocSecurity>0</DocSecurity>
  <Lines>109</Lines>
  <Paragraphs>22</Paragraphs>
  <ScaleCrop>false</ScaleCrop>
  <Company/>
  <LinksUpToDate>false</LinksUpToDate>
  <CharactersWithSpaces>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2023-07-06T11:47:00Z</dcterms:created>
  <dcterms:modified xsi:type="dcterms:W3CDTF">2025-11-17T13:57:00Z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0354ca5-015e-47ab-9fdb-c0a8323bc23e_Enabled">
    <vt:lpwstr>true</vt:lpwstr>
  </property>
  <property fmtid="{D5CDD505-2E9C-101B-9397-08002B2CF9AE}" pid="3" name="MSIP_Label_d0354ca5-015e-47ab-9fdb-c0a8323bc23e_SetDate">
    <vt:lpwstr>2025-11-16T18:31:11Z</vt:lpwstr>
  </property>
  <property fmtid="{D5CDD505-2E9C-101B-9397-08002B2CF9AE}" pid="4" name="MSIP_Label_d0354ca5-015e-47ab-9fdb-c0a8323bc23e_Method">
    <vt:lpwstr>Privileged</vt:lpwstr>
  </property>
  <property fmtid="{D5CDD505-2E9C-101B-9397-08002B2CF9AE}" pid="5" name="MSIP_Label_d0354ca5-015e-47ab-9fdb-c0a8323bc23e_Name">
    <vt:lpwstr>d0354ca5-015e-47ab-9fdb-c0a8323bc23e</vt:lpwstr>
  </property>
  <property fmtid="{D5CDD505-2E9C-101B-9397-08002B2CF9AE}" pid="6" name="MSIP_Label_d0354ca5-015e-47ab-9fdb-c0a8323bc23e_SiteId">
    <vt:lpwstr>07ebc6c3-7074-4387-a625-b9d918ba4a97</vt:lpwstr>
  </property>
  <property fmtid="{D5CDD505-2E9C-101B-9397-08002B2CF9AE}" pid="7" name="MSIP_Label_d0354ca5-015e-47ab-9fdb-c0a8323bc23e_ActionId">
    <vt:lpwstr>f57b9bcd-4e9f-4575-bd32-9c769c1c5fdb</vt:lpwstr>
  </property>
  <property fmtid="{D5CDD505-2E9C-101B-9397-08002B2CF9AE}" pid="8" name="MSIP_Label_d0354ca5-015e-47ab-9fdb-c0a8323bc23e_ContentBits">
    <vt:lpwstr>0</vt:lpwstr>
  </property>
  <property fmtid="{D5CDD505-2E9C-101B-9397-08002B2CF9AE}" pid="9" name="MSIP_Label_d0354ca5-015e-47ab-9fdb-c0a8323bc23e_Tag">
    <vt:lpwstr>10, 0, 1, 1</vt:lpwstr>
  </property>
  <property fmtid="{D5CDD505-2E9C-101B-9397-08002B2CF9AE}" pid="10" name="KSOProductBuildVer">
    <vt:lpwstr>2057-12.2.0.23149</vt:lpwstr>
  </property>
  <property fmtid="{D5CDD505-2E9C-101B-9397-08002B2CF9AE}" pid="11" name="ICV">
    <vt:lpwstr>460C400C85104DB2910B62627D60A503_13</vt:lpwstr>
  </property>
</Properties>
</file>