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2A33A5" w:rsidRPr="005D2730" w14:paraId="44D109E1" w14:textId="77777777">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3FC9BB3E" w14:textId="77777777" w:rsidR="002A33A5" w:rsidRPr="005D2730" w:rsidRDefault="002A33A5" w:rsidP="002A33A5">
            <w:pPr>
              <w:spacing w:after="0" w:line="240" w:lineRule="auto"/>
              <w:jc w:val="center"/>
              <w:rPr>
                <w:rFonts w:ascii="Times New Roman" w:eastAsia="Times New Roman" w:hAnsi="Times New Roman" w:cs="Times New Roman"/>
                <w:b/>
                <w:caps/>
                <w:kern w:val="0"/>
                <w14:ligatures w14:val="none"/>
              </w:rPr>
            </w:pPr>
            <w:r w:rsidRPr="005D2730">
              <w:rPr>
                <w:rFonts w:ascii="Times New Roman" w:eastAsia="Times New Roman" w:hAnsi="Times New Roman" w:cs="Times New Roman"/>
                <w:b/>
                <w:caps/>
                <w:kern w:val="0"/>
                <w14:ligatures w14:val="none"/>
              </w:rPr>
              <w:t xml:space="preserve">Student acknowledgement of </w:t>
            </w:r>
          </w:p>
          <w:p w14:paraId="3921128A" w14:textId="77777777" w:rsidR="002A33A5" w:rsidRPr="005D2730" w:rsidRDefault="002A33A5" w:rsidP="002A33A5">
            <w:pPr>
              <w:spacing w:after="0" w:line="240" w:lineRule="auto"/>
              <w:jc w:val="center"/>
              <w:rPr>
                <w:rFonts w:ascii="Times New Roman" w:eastAsia="Times New Roman" w:hAnsi="Times New Roman" w:cs="Times New Roman"/>
                <w:b/>
                <w:caps/>
                <w:kern w:val="0"/>
                <w14:ligatures w14:val="none"/>
              </w:rPr>
            </w:pPr>
            <w:r w:rsidRPr="005D2730">
              <w:rPr>
                <w:rFonts w:ascii="Times New Roman" w:eastAsia="Times New Roman" w:hAnsi="Times New Roman" w:cs="Times New Roman"/>
                <w:b/>
                <w:caps/>
                <w:kern w:val="0"/>
                <w14:ligatures w14:val="none"/>
              </w:rPr>
              <w:t>ai use</w:t>
            </w:r>
          </w:p>
        </w:tc>
      </w:tr>
    </w:tbl>
    <w:p w14:paraId="2274DD19" w14:textId="77777777" w:rsidR="002A33A5" w:rsidRPr="005D2730" w:rsidRDefault="002A33A5" w:rsidP="002A33A5">
      <w:pPr>
        <w:spacing w:after="0" w:line="240" w:lineRule="auto"/>
        <w:jc w:val="both"/>
        <w:rPr>
          <w:rFonts w:ascii="Times New Roman" w:eastAsia="Times New Roman" w:hAnsi="Times New Roman" w:cs="Times New Roman"/>
          <w:b/>
          <w:kern w:val="0"/>
          <w:lang w:eastAsia="en-GB"/>
          <w14:ligatures w14:val="none"/>
        </w:rPr>
      </w:pPr>
    </w:p>
    <w:p w14:paraId="5B204B8B" w14:textId="77777777" w:rsidR="002A33A5" w:rsidRPr="005D2730" w:rsidRDefault="002A33A5" w:rsidP="002A33A5">
      <w:pPr>
        <w:shd w:val="clear" w:color="auto" w:fill="FFFFFF"/>
        <w:spacing w:after="0" w:line="276" w:lineRule="auto"/>
        <w:rPr>
          <w:rFonts w:ascii="Times New Roman" w:eastAsia="Arial" w:hAnsi="Times New Roman" w:cs="Times New Roman"/>
          <w:color w:val="242424"/>
          <w:kern w:val="0"/>
          <w:lang w:eastAsia="en-GB"/>
          <w14:ligatures w14:val="none"/>
        </w:rPr>
      </w:pPr>
      <w:r w:rsidRPr="005D2730">
        <w:rPr>
          <w:rFonts w:ascii="Times New Roman" w:eastAsia="Arial" w:hAnsi="Times New Roman" w:cs="Times New Roman"/>
          <w:color w:val="242424"/>
          <w:kern w:val="0"/>
          <w:lang w:eastAsia="en-GB"/>
          <w14:ligatures w14:val="none"/>
        </w:rPr>
        <w:t>   </w:t>
      </w:r>
    </w:p>
    <w:p w14:paraId="00FF0AB6" w14:textId="77777777" w:rsidR="002A33A5" w:rsidRPr="005D2730" w:rsidRDefault="002A33A5" w:rsidP="005D2730">
      <w:pPr>
        <w:shd w:val="clear" w:color="auto" w:fill="FFFFFF"/>
        <w:spacing w:after="30" w:line="276" w:lineRule="auto"/>
        <w:rPr>
          <w:rFonts w:ascii="Times New Roman" w:eastAsia="Arial" w:hAnsi="Times New Roman" w:cs="Times New Roman"/>
          <w:color w:val="242424"/>
          <w:kern w:val="0"/>
          <w:lang w:eastAsia="en-GB"/>
          <w14:ligatures w14:val="none"/>
        </w:rPr>
      </w:pPr>
      <w:r w:rsidRPr="005D2730">
        <w:rPr>
          <w:rFonts w:ascii="Times New Roman" w:eastAsia="Arial" w:hAnsi="Times New Roman" w:cs="Times New Roman"/>
          <w:color w:val="242424"/>
          <w:kern w:val="0"/>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534A9B38" w14:textId="77777777" w:rsidR="002A33A5" w:rsidRPr="005D2730" w:rsidRDefault="002A33A5" w:rsidP="005D2730">
      <w:pPr>
        <w:shd w:val="clear" w:color="auto" w:fill="FFFFFF"/>
        <w:spacing w:after="30" w:line="276" w:lineRule="auto"/>
        <w:rPr>
          <w:rFonts w:ascii="Times New Roman" w:eastAsia="Arial" w:hAnsi="Times New Roman" w:cs="Times New Roman"/>
          <w:color w:val="242424"/>
          <w:kern w:val="0"/>
          <w:lang w:eastAsia="en-GB"/>
          <w14:ligatures w14:val="none"/>
        </w:rPr>
      </w:pPr>
      <w:r w:rsidRPr="005D2730">
        <w:rPr>
          <w:rFonts w:ascii="Times New Roman" w:eastAsia="Arial" w:hAnsi="Times New Roman" w:cs="Times New Roman"/>
          <w:color w:val="242424"/>
          <w:kern w:val="0"/>
          <w:lang w:eastAsia="en-GB"/>
          <w14:ligatures w14:val="none"/>
        </w:rPr>
        <w:t> </w:t>
      </w:r>
    </w:p>
    <w:p w14:paraId="70318889" w14:textId="77777777" w:rsidR="002A33A5" w:rsidRPr="005D2730" w:rsidRDefault="002A33A5" w:rsidP="005D2730">
      <w:pPr>
        <w:shd w:val="clear" w:color="auto" w:fill="FFFFFF"/>
        <w:spacing w:after="30" w:line="276" w:lineRule="auto"/>
        <w:rPr>
          <w:rFonts w:ascii="Times New Roman" w:eastAsia="Arial" w:hAnsi="Times New Roman" w:cs="Times New Roman"/>
          <w:color w:val="242424"/>
          <w:kern w:val="0"/>
          <w:lang w:eastAsia="en-GB"/>
          <w14:ligatures w14:val="none"/>
        </w:rPr>
      </w:pPr>
      <w:r w:rsidRPr="005D2730">
        <w:rPr>
          <w:rFonts w:ascii="Times New Roman" w:eastAsia="Arial" w:hAnsi="Times New Roman" w:cs="Times New Roman"/>
          <w:b/>
          <w:bCs/>
          <w:color w:val="242424"/>
          <w:kern w:val="0"/>
          <w:lang w:eastAsia="en-GB"/>
          <w14:ligatures w14:val="none"/>
        </w:rPr>
        <w:t>Signed:</w:t>
      </w:r>
      <w:r w:rsidRPr="005D2730">
        <w:rPr>
          <w:rFonts w:ascii="Times New Roman" w:eastAsia="Arial" w:hAnsi="Times New Roman" w:cs="Times New Roman"/>
          <w:color w:val="242424"/>
          <w:kern w:val="0"/>
          <w:lang w:eastAsia="en-GB"/>
          <w14:ligatures w14:val="none"/>
        </w:rPr>
        <w:t> </w:t>
      </w:r>
    </w:p>
    <w:p w14:paraId="374FE93B" w14:textId="31C81C8E" w:rsidR="002A33A5" w:rsidRPr="005D2730" w:rsidRDefault="002A33A5" w:rsidP="005D2730">
      <w:pPr>
        <w:shd w:val="clear" w:color="auto" w:fill="FFFFFF"/>
        <w:spacing w:after="30" w:line="276" w:lineRule="auto"/>
        <w:rPr>
          <w:rFonts w:ascii="Times New Roman" w:eastAsia="Arial" w:hAnsi="Times New Roman" w:cs="Times New Roman"/>
          <w:color w:val="242424"/>
          <w:kern w:val="0"/>
          <w:lang w:eastAsia="en-GB"/>
          <w14:ligatures w14:val="none"/>
        </w:rPr>
      </w:pPr>
      <w:r w:rsidRPr="005D2730">
        <w:rPr>
          <w:rFonts w:ascii="Times New Roman" w:eastAsia="Arial" w:hAnsi="Times New Roman" w:cs="Times New Roman"/>
          <w:color w:val="242424"/>
          <w:kern w:val="0"/>
          <w:lang w:eastAsia="en-GB"/>
          <w14:ligatures w14:val="none"/>
        </w:rPr>
        <w:t>   </w:t>
      </w:r>
      <w:r w:rsidR="005D2730" w:rsidRPr="005D2730">
        <w:rPr>
          <w:rFonts w:ascii="Times New Roman" w:eastAsia="Arial" w:hAnsi="Times New Roman" w:cs="Times New Roman"/>
          <w:color w:val="242424"/>
          <w:kern w:val="0"/>
          <w:lang w:eastAsia="en-GB"/>
          <w14:ligatures w14:val="none"/>
        </w:rPr>
        <w:t>Holly Walker</w:t>
      </w:r>
    </w:p>
    <w:p w14:paraId="7BE7E5DA" w14:textId="77777777" w:rsidR="002A33A5" w:rsidRPr="00D12DCC" w:rsidRDefault="002A33A5" w:rsidP="005D2730">
      <w:pPr>
        <w:spacing w:after="30"/>
        <w:rPr>
          <w:rFonts w:ascii="Times New Roman" w:hAnsi="Times New Roman" w:cs="Times New Roman"/>
          <w:sz w:val="28"/>
          <w:szCs w:val="28"/>
        </w:rPr>
      </w:pPr>
    </w:p>
    <w:p w14:paraId="7D0C8E41" w14:textId="26C9B8AC" w:rsidR="005D2730" w:rsidRPr="00D12DCC" w:rsidRDefault="005D2730" w:rsidP="00D12DCC">
      <w:pPr>
        <w:spacing w:after="30"/>
        <w:jc w:val="center"/>
        <w:rPr>
          <w:rFonts w:ascii="Times New Roman" w:hAnsi="Times New Roman" w:cs="Times New Roman"/>
          <w:sz w:val="32"/>
          <w:szCs w:val="32"/>
        </w:rPr>
      </w:pPr>
      <w:r w:rsidRPr="00D12DCC">
        <w:rPr>
          <w:rFonts w:ascii="Times New Roman" w:hAnsi="Times New Roman" w:cs="Times New Roman"/>
          <w:sz w:val="32"/>
          <w:szCs w:val="32"/>
        </w:rPr>
        <w:t xml:space="preserve">Applied Project Proposal: Designing a </w:t>
      </w:r>
      <w:r w:rsidR="00D12DCC" w:rsidRPr="00D12DCC">
        <w:rPr>
          <w:rFonts w:ascii="Times New Roman" w:hAnsi="Times New Roman" w:cs="Times New Roman"/>
          <w:sz w:val="32"/>
          <w:szCs w:val="32"/>
        </w:rPr>
        <w:t>L</w:t>
      </w:r>
      <w:r w:rsidRPr="00D12DCC">
        <w:rPr>
          <w:rFonts w:ascii="Times New Roman" w:hAnsi="Times New Roman" w:cs="Times New Roman"/>
          <w:sz w:val="32"/>
          <w:szCs w:val="32"/>
        </w:rPr>
        <w:t xml:space="preserve">earning </w:t>
      </w:r>
      <w:r w:rsidR="00D12DCC" w:rsidRPr="00D12DCC">
        <w:rPr>
          <w:rFonts w:ascii="Times New Roman" w:hAnsi="Times New Roman" w:cs="Times New Roman"/>
          <w:sz w:val="32"/>
          <w:szCs w:val="32"/>
        </w:rPr>
        <w:t>C</w:t>
      </w:r>
      <w:r w:rsidRPr="00D12DCC">
        <w:rPr>
          <w:rFonts w:ascii="Times New Roman" w:hAnsi="Times New Roman" w:cs="Times New Roman"/>
          <w:sz w:val="32"/>
          <w:szCs w:val="32"/>
        </w:rPr>
        <w:t>ycle</w:t>
      </w:r>
      <w:r w:rsidR="00D12DCC" w:rsidRPr="00D12DCC">
        <w:rPr>
          <w:rFonts w:ascii="Times New Roman" w:hAnsi="Times New Roman" w:cs="Times New Roman"/>
          <w:sz w:val="32"/>
          <w:szCs w:val="32"/>
        </w:rPr>
        <w:t xml:space="preserve"> Based on the Needs of Neurodiverse Learners</w:t>
      </w:r>
    </w:p>
    <w:p w14:paraId="349C33CD" w14:textId="77777777" w:rsidR="005D2730" w:rsidRPr="005D2730" w:rsidRDefault="005D2730" w:rsidP="005D2730">
      <w:pPr>
        <w:spacing w:after="30"/>
        <w:rPr>
          <w:rFonts w:ascii="Times New Roman" w:hAnsi="Times New Roman" w:cs="Times New Roman"/>
        </w:rPr>
      </w:pPr>
    </w:p>
    <w:p w14:paraId="5F48F4C7" w14:textId="21781E93" w:rsidR="005D2730" w:rsidRPr="005D2730" w:rsidRDefault="005D2730" w:rsidP="005D2730">
      <w:pPr>
        <w:spacing w:after="30"/>
        <w:jc w:val="center"/>
        <w:rPr>
          <w:rFonts w:ascii="Times New Roman" w:hAnsi="Times New Roman" w:cs="Times New Roman"/>
          <w:lang w:val="en-US"/>
        </w:rPr>
      </w:pPr>
      <w:r w:rsidRPr="005D2730">
        <w:rPr>
          <w:rFonts w:ascii="Times New Roman" w:hAnsi="Times New Roman" w:cs="Times New Roman"/>
        </w:rPr>
        <w:t>Introduction</w:t>
      </w:r>
    </w:p>
    <w:p w14:paraId="0CE35CB9"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This research topic is derived through first-hand experience on this degree course. During my first year of study especially, learning cycles such as Kolb's (Kolb, 1984) were given significant and consistent attention. However, being autistic, I experience the issue of alexithymia, a word which literally translates to 'no words for emotions' (Oakley </w:t>
      </w:r>
      <w:r w:rsidRPr="005D2730">
        <w:rPr>
          <w:rFonts w:ascii="Times New Roman" w:hAnsi="Times New Roman" w:cs="Times New Roman"/>
          <w:i/>
          <w:iCs/>
        </w:rPr>
        <w:t>et al</w:t>
      </w:r>
      <w:r w:rsidRPr="005D2730">
        <w:rPr>
          <w:rFonts w:ascii="Times New Roman" w:hAnsi="Times New Roman" w:cs="Times New Roman"/>
        </w:rPr>
        <w:t xml:space="preserve">, 2022). Alexithymia is a state of disrupted emotional awareness, characterised by a struggle for an individual to internally identify feelings, a struggle to outwardly describe feelings, and a preference for externally oriented thinking which focuses away from emotions (Hogeveen and Grafman, 2021; Oakley </w:t>
      </w:r>
      <w:r w:rsidRPr="005D2730">
        <w:rPr>
          <w:rFonts w:ascii="Times New Roman" w:hAnsi="Times New Roman" w:cs="Times New Roman"/>
          <w:i/>
          <w:iCs/>
        </w:rPr>
        <w:t>et al</w:t>
      </w:r>
      <w:r w:rsidRPr="005D2730">
        <w:rPr>
          <w:rFonts w:ascii="Times New Roman" w:hAnsi="Times New Roman" w:cs="Times New Roman"/>
        </w:rPr>
        <w:t>, 2022). This proved to be an issue for me when trying to use certain stages of Kolb's learning cycle, something which was consistent with alternative structures. Having direct experience in how experiential learning cycles can be insufficient tools means I can be confident that this project is justified and could be useful both for other outdoor educators and neurodivergent adventurers.</w:t>
      </w:r>
      <w:r w:rsidRPr="005D2730">
        <w:rPr>
          <w:rFonts w:ascii="Times New Roman" w:hAnsi="Times New Roman" w:cs="Times New Roman"/>
          <w:lang w:val="en-US"/>
        </w:rPr>
        <w:t> </w:t>
      </w:r>
    </w:p>
    <w:p w14:paraId="0968E44D"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180B0F34"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A foundational voice in the background of outdoor adventure is John Dewey, whose work argued that the most valuable learning does not occur through simply receiving information, but instead by active engagement and experience (Fuller, 2002). Meaningful experiential learning occurs in the process of learners re-examining their own experience and considering them in comparison to past and possible future scenarios (Kolb, 1984). Experiential learning uses direct experience to instil lasting learning into participants, using a flexible set of principals which outdoor educators use to support various groups and contexts while utilising learning cycles to maintain a structured learning process that can solidify outcomes (</w:t>
      </w:r>
      <w:proofErr w:type="spellStart"/>
      <w:r w:rsidRPr="005D2730">
        <w:rPr>
          <w:rFonts w:ascii="Times New Roman" w:hAnsi="Times New Roman" w:cs="Times New Roman"/>
        </w:rPr>
        <w:t>Veletsianos</w:t>
      </w:r>
      <w:proofErr w:type="spellEnd"/>
      <w:r w:rsidRPr="005D2730">
        <w:rPr>
          <w:rFonts w:ascii="Times New Roman" w:hAnsi="Times New Roman" w:cs="Times New Roman"/>
        </w:rPr>
        <w:t xml:space="preserve"> and </w:t>
      </w:r>
      <w:proofErr w:type="spellStart"/>
      <w:r w:rsidRPr="005D2730">
        <w:rPr>
          <w:rFonts w:ascii="Times New Roman" w:hAnsi="Times New Roman" w:cs="Times New Roman"/>
        </w:rPr>
        <w:t>Kleanthous</w:t>
      </w:r>
      <w:proofErr w:type="spellEnd"/>
      <w:r w:rsidRPr="005D2730">
        <w:rPr>
          <w:rFonts w:ascii="Times New Roman" w:hAnsi="Times New Roman" w:cs="Times New Roman"/>
        </w:rPr>
        <w:t xml:space="preserve">, 2009, </w:t>
      </w:r>
      <w:proofErr w:type="spellStart"/>
      <w:r w:rsidRPr="005D2730">
        <w:rPr>
          <w:rFonts w:ascii="Times New Roman" w:hAnsi="Times New Roman" w:cs="Times New Roman"/>
        </w:rPr>
        <w:t>Hanuscin</w:t>
      </w:r>
      <w:proofErr w:type="spellEnd"/>
      <w:r w:rsidRPr="005D2730">
        <w:rPr>
          <w:rFonts w:ascii="Times New Roman" w:hAnsi="Times New Roman" w:cs="Times New Roman"/>
        </w:rPr>
        <w:t xml:space="preserve"> and Rogers, 2013). Learning cycles provide a practical framework through which experiential learning can be encouraged via a staged process of learning, understanding, reflection, and applying knowledge from new physical and emotional experiences (Marek, 2008). These tools are widely used in outdoor adventure practices because participants frequently encounter new and challenging experiences which </w:t>
      </w:r>
      <w:r w:rsidRPr="005D2730">
        <w:rPr>
          <w:rFonts w:ascii="Times New Roman" w:hAnsi="Times New Roman" w:cs="Times New Roman"/>
        </w:rPr>
        <w:lastRenderedPageBreak/>
        <w:t>require them to learn and develop their understanding of broader concepts (Marek, 2008; Fuller, 2002). </w:t>
      </w:r>
    </w:p>
    <w:p w14:paraId="7B52FE5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39F3BE7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There is a wide basis of research supporting the idea that outdoor adventure activities can be specifically beneficial to neurodiverse individuals, with the potential to support wellbeing, develop self-concept, encourage a sense of belonging, and develop skills (</w:t>
      </w:r>
      <w:proofErr w:type="spellStart"/>
      <w:r w:rsidRPr="005D2730">
        <w:rPr>
          <w:rFonts w:ascii="Times New Roman" w:hAnsi="Times New Roman" w:cs="Times New Roman"/>
        </w:rPr>
        <w:t>Padesky</w:t>
      </w:r>
      <w:proofErr w:type="spellEnd"/>
      <w:r w:rsidRPr="005D2730">
        <w:rPr>
          <w:rFonts w:ascii="Times New Roman" w:hAnsi="Times New Roman" w:cs="Times New Roman"/>
        </w:rPr>
        <w:t xml:space="preserve"> and Padesky, 2026).  Research by (Adams, 2025) found that some autistic adults described nature as being a "safe space" separate from the usual sensory and social demands that can be overwhelming in everyday life. The outdoors could instead provide opportunities for calmness, restoration, and making meaningful connections with both nature itself and fellow adventurers, improving mental health and wellbeing (Adams, 2025). Furthermore, overcoming challenges in an adventure setting can create a sense of achievement that develops positive self-perceptions and refutes internalised negative stigma around neurodiversity (Groen-Sylvester, 2025). This is especially valuable for underrepresented groups, such as autistic girls, who are given an opportunity to recognise their strengths and capability rather than focusing on perceived deficits. The frequent need for teamwork, group problem solving, and collective experiences in adventure activities can also help to develop positive social relationships to neurodiverse participants, creating a sense of inclusion and community which is often hard to attain for these groups (Groen-Sylvester, 2025). The natural occurrence of cooperation and communication in the outdoors around shared tasks makes this process much easier and more streamlined than in typical life (Groen-Sylvester, 2025). </w:t>
      </w:r>
    </w:p>
    <w:p w14:paraId="56DE04D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1E6C756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Existing research argues that there is a need for outdoor educators to receive specific training to better support neurodiverse participants in accessing the natural benefits of outdoor adventurous activities (Kenigsberg and Cole, 2024). This includes understanding different communication styles, sensory needs, and learning preferences so that this knowledge can be applied to intentionally create the most beneficial environments for participants (Kenigsberg and Cole, 2024). This suggests that there is an active need for tools which help outdoor educators cater the existing adventure experience to the unique needs of neurodiverse participants. Using the issues identified through personal experience, combined with further research into both the essential nature of learning cycles, and the value of outdoor adventure for neurodiverse individuals, this leads me to propose an applied project aimed at designing a new, alternative learning cycle. </w:t>
      </w:r>
    </w:p>
    <w:p w14:paraId="41E0232B"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4EB1F80B" w14:textId="21D8845D" w:rsidR="005D2730" w:rsidRPr="005D2730" w:rsidRDefault="005D2730" w:rsidP="005D2730">
      <w:pPr>
        <w:spacing w:after="30"/>
        <w:jc w:val="center"/>
        <w:rPr>
          <w:rFonts w:ascii="Times New Roman" w:hAnsi="Times New Roman" w:cs="Times New Roman"/>
        </w:rPr>
      </w:pPr>
      <w:r w:rsidRPr="005D2730">
        <w:rPr>
          <w:rFonts w:ascii="Times New Roman" w:hAnsi="Times New Roman" w:cs="Times New Roman"/>
        </w:rPr>
        <w:t>Aims</w:t>
      </w:r>
    </w:p>
    <w:p w14:paraId="1C85AC85"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My first aim for this project is to examine the various experiential learning cycles in detail to determine what each of them have in common and the areas in which they may fail to accommodate the thought process of neurodivergent adventurers. This will allow me to determine what is most important in the structure of an effective learning cycle and expose where changes need to be made. My second aim will then be to use this understanding to design an alternative structure for a learning cycle which is adapted to put the unique needs of neurodiverse adventurers at the forefront of the model. </w:t>
      </w:r>
    </w:p>
    <w:p w14:paraId="4F381AB8"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lastRenderedPageBreak/>
        <w:t> </w:t>
      </w:r>
    </w:p>
    <w:p w14:paraId="3665EBB9" w14:textId="0391A910" w:rsidR="005D2730" w:rsidRPr="005D2730" w:rsidRDefault="005D2730" w:rsidP="005D2730">
      <w:pPr>
        <w:spacing w:after="30"/>
        <w:jc w:val="center"/>
        <w:rPr>
          <w:rFonts w:ascii="Times New Roman" w:hAnsi="Times New Roman" w:cs="Times New Roman"/>
          <w:lang w:val="en-US"/>
        </w:rPr>
      </w:pPr>
      <w:r w:rsidRPr="005D2730">
        <w:rPr>
          <w:rFonts w:ascii="Times New Roman" w:hAnsi="Times New Roman" w:cs="Times New Roman"/>
        </w:rPr>
        <w:t>Literature Review</w:t>
      </w:r>
    </w:p>
    <w:p w14:paraId="7F10DABD"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When considering the use of learning cycles for neurodiverse adventurers, unique issues can arise. (Mason, 2023) highlights how the unique ways of thinking for autistic individuals make working through the predetermined stages of classic learning cycles difficult, especially considering the highly individual ways they may interact with the outdoors. This challenges the assumption that existing learning cycle structures are appropriate to accommodate all adventurers. </w:t>
      </w:r>
    </w:p>
    <w:p w14:paraId="44A49040"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783ED05F"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Existing learning cycles are designed on the assumption that learners broadly move through similar stages of learning and share certain inherent understandings and were generally designed based on the needs of neurotypical learners rather than having a neurodiversity-informed basis (Dantas and Cunha, 2020). Consequently, these structures may not adequately support the varied thinking, learning, and issues of neurodiverse individuals, causing them to lose out on valuable learning where these cycles are in place. Neurodiversity-informed teaching practices prioritise flexibility, autonomy, and personalised support, which contrasts with the fixed nature of most learning cycle models which, although they can be adapted somewhat by educators, are not designed to be inherently changeable (Bartle, 2015). Neurodiverse adventurers may instead benefit from a guide which allows them to explore and learn from experiences in ways which feel more natural to them, possibly moving through stages in a different order or focusing differently on steps which they find more difficult or influential (Bartle, 2015). </w:t>
      </w:r>
    </w:p>
    <w:p w14:paraId="1CCCC6A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76ED84C6" w14:textId="0BE2FE66" w:rsidR="005D2730" w:rsidRPr="005D2730" w:rsidRDefault="005D2730" w:rsidP="005D2730">
      <w:pPr>
        <w:spacing w:after="30"/>
        <w:jc w:val="center"/>
        <w:rPr>
          <w:rFonts w:ascii="Times New Roman" w:hAnsi="Times New Roman" w:cs="Times New Roman"/>
          <w:lang w:val="en-US"/>
        </w:rPr>
      </w:pPr>
      <w:r w:rsidRPr="005D2730">
        <w:rPr>
          <w:rFonts w:ascii="Times New Roman" w:hAnsi="Times New Roman" w:cs="Times New Roman"/>
        </w:rPr>
        <w:t>Project Design</w:t>
      </w:r>
    </w:p>
    <w:p w14:paraId="110BA229"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xml:space="preserve">Using the research and conclusions gathered from my literature review, I can then move on to the practical aspect of my applied project. This will be a process of developing a final design for my alternative learning cycle based on the issues and essential factors identified in the previous section. The final design will be accompanied by guidance on how it should be used and the way the cycle can benefit neurodiverse individuals in the areas that other cycles fail. This will be presented in a useful format for others to learn and use, either a video guide or a leaflet format will be used depending on what seems like the most appropriate format for teaching the final cycle design. This will also include an evaluation of the strengths and limitations of the project, as well as the potential for further development. This process would be followed by a final written conclusion, summarising the </w:t>
      </w:r>
      <w:proofErr w:type="gramStart"/>
      <w:r w:rsidRPr="005D2730">
        <w:rPr>
          <w:rFonts w:ascii="Times New Roman" w:hAnsi="Times New Roman" w:cs="Times New Roman"/>
        </w:rPr>
        <w:t>project as a whole</w:t>
      </w:r>
      <w:proofErr w:type="gramEnd"/>
      <w:r w:rsidRPr="005D2730">
        <w:rPr>
          <w:rFonts w:ascii="Times New Roman" w:hAnsi="Times New Roman" w:cs="Times New Roman"/>
        </w:rPr>
        <w:t>. </w:t>
      </w:r>
    </w:p>
    <w:p w14:paraId="0658A6AF"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11FF4C5D" w14:textId="0923216F" w:rsidR="005D2730" w:rsidRPr="005D2730" w:rsidRDefault="005D2730" w:rsidP="005D2730">
      <w:pPr>
        <w:spacing w:after="30"/>
        <w:jc w:val="center"/>
        <w:rPr>
          <w:rFonts w:ascii="Times New Roman" w:hAnsi="Times New Roman" w:cs="Times New Roman"/>
        </w:rPr>
      </w:pPr>
      <w:r w:rsidRPr="005D2730">
        <w:rPr>
          <w:rFonts w:ascii="Times New Roman" w:hAnsi="Times New Roman" w:cs="Times New Roman"/>
        </w:rPr>
        <w:t>Timeline</w:t>
      </w:r>
    </w:p>
    <w:p w14:paraId="0A21358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xml:space="preserve"> For the first semester preceding the winter break, my timetable includes extra modules which require significant focus, such as a weekly practical out doing adventurous activities. Consequently, for this semester I will take a day where I have no scheduled lectures, Thursday, and use this to focus on progressing my applied project. This will not be intensive work, rather taking a few hours to progress the work and ensure the project stays fresh in my mind. After winter break, during semester 2, this practical module will be complete. </w:t>
      </w:r>
      <w:r w:rsidRPr="005D2730">
        <w:rPr>
          <w:rFonts w:ascii="Times New Roman" w:hAnsi="Times New Roman" w:cs="Times New Roman"/>
        </w:rPr>
        <w:lastRenderedPageBreak/>
        <w:t>Therefore, from that point on I will take a more active work structure for progressing this project, which will be determined closer to that time. </w:t>
      </w:r>
    </w:p>
    <w:p w14:paraId="370F0FD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57DEE9B1"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xml:space="preserve">Ideally </w:t>
      </w:r>
      <w:proofErr w:type="gramStart"/>
      <w:r w:rsidRPr="005D2730">
        <w:rPr>
          <w:rFonts w:ascii="Times New Roman" w:hAnsi="Times New Roman" w:cs="Times New Roman"/>
        </w:rPr>
        <w:t>a majority of</w:t>
      </w:r>
      <w:proofErr w:type="gramEnd"/>
      <w:r w:rsidRPr="005D2730">
        <w:rPr>
          <w:rFonts w:ascii="Times New Roman" w:hAnsi="Times New Roman" w:cs="Times New Roman"/>
        </w:rPr>
        <w:t xml:space="preserve"> the work should be complete by the beginning of April to allow a month for revisions and changes, so that my Applied project will be complete for the due date on the 2</w:t>
      </w:r>
      <w:proofErr w:type="gramStart"/>
      <w:r w:rsidRPr="005D2730">
        <w:rPr>
          <w:rFonts w:ascii="Times New Roman" w:hAnsi="Times New Roman" w:cs="Times New Roman"/>
          <w:vertAlign w:val="superscript"/>
        </w:rPr>
        <w:t>nd  </w:t>
      </w:r>
      <w:r w:rsidRPr="005D2730">
        <w:rPr>
          <w:rFonts w:ascii="Times New Roman" w:hAnsi="Times New Roman" w:cs="Times New Roman"/>
        </w:rPr>
        <w:t>May</w:t>
      </w:r>
      <w:proofErr w:type="gramEnd"/>
      <w:r w:rsidRPr="005D2730">
        <w:rPr>
          <w:rFonts w:ascii="Times New Roman" w:hAnsi="Times New Roman" w:cs="Times New Roman"/>
        </w:rPr>
        <w:t>. </w:t>
      </w:r>
    </w:p>
    <w:p w14:paraId="1DB8158D"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3A1F8B6E"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This table outlines my planned timeline to complete the project under this structure.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601"/>
        <w:gridCol w:w="703"/>
        <w:gridCol w:w="1118"/>
        <w:gridCol w:w="1207"/>
        <w:gridCol w:w="1206"/>
        <w:gridCol w:w="1177"/>
        <w:gridCol w:w="1044"/>
        <w:gridCol w:w="954"/>
      </w:tblGrid>
      <w:tr w:rsidR="005D2730" w:rsidRPr="005D2730" w14:paraId="1D183CC3"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6734C031"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6DBE11B5"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Size </w:t>
            </w:r>
          </w:p>
        </w:tc>
        <w:tc>
          <w:tcPr>
            <w:tcW w:w="1125" w:type="dxa"/>
            <w:tcBorders>
              <w:top w:val="single" w:sz="6" w:space="0" w:color="000000"/>
              <w:left w:val="single" w:sz="6" w:space="0" w:color="000000"/>
              <w:bottom w:val="single" w:sz="6" w:space="0" w:color="000000"/>
              <w:right w:val="single" w:sz="6" w:space="0" w:color="000000"/>
            </w:tcBorders>
            <w:shd w:val="clear" w:color="auto" w:fill="A5C9EB"/>
            <w:hideMark/>
          </w:tcPr>
          <w:p w14:paraId="2FBA3AE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Nov </w:t>
            </w:r>
          </w:p>
        </w:tc>
        <w:tc>
          <w:tcPr>
            <w:tcW w:w="1215" w:type="dxa"/>
            <w:tcBorders>
              <w:top w:val="single" w:sz="6" w:space="0" w:color="000000"/>
              <w:left w:val="single" w:sz="6" w:space="0" w:color="000000"/>
              <w:bottom w:val="single" w:sz="6" w:space="0" w:color="000000"/>
              <w:right w:val="single" w:sz="6" w:space="0" w:color="000000"/>
            </w:tcBorders>
            <w:shd w:val="clear" w:color="auto" w:fill="A5C9EB"/>
            <w:hideMark/>
          </w:tcPr>
          <w:p w14:paraId="167263FF"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Dec </w:t>
            </w:r>
          </w:p>
        </w:tc>
        <w:tc>
          <w:tcPr>
            <w:tcW w:w="1215" w:type="dxa"/>
            <w:tcBorders>
              <w:top w:val="single" w:sz="6" w:space="0" w:color="000000"/>
              <w:left w:val="single" w:sz="6" w:space="0" w:color="000000"/>
              <w:bottom w:val="single" w:sz="6" w:space="0" w:color="000000"/>
              <w:right w:val="single" w:sz="6" w:space="0" w:color="000000"/>
            </w:tcBorders>
            <w:shd w:val="clear" w:color="auto" w:fill="A5C9EB"/>
            <w:hideMark/>
          </w:tcPr>
          <w:p w14:paraId="3D72EA54"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Jan </w:t>
            </w:r>
          </w:p>
        </w:tc>
        <w:tc>
          <w:tcPr>
            <w:tcW w:w="1185" w:type="dxa"/>
            <w:tcBorders>
              <w:top w:val="single" w:sz="6" w:space="0" w:color="000000"/>
              <w:left w:val="single" w:sz="6" w:space="0" w:color="000000"/>
              <w:bottom w:val="single" w:sz="6" w:space="0" w:color="000000"/>
              <w:right w:val="single" w:sz="6" w:space="0" w:color="000000"/>
            </w:tcBorders>
            <w:shd w:val="clear" w:color="auto" w:fill="A5C9EB"/>
            <w:hideMark/>
          </w:tcPr>
          <w:p w14:paraId="7C94774C"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Feb </w:t>
            </w:r>
          </w:p>
        </w:tc>
        <w:tc>
          <w:tcPr>
            <w:tcW w:w="1050" w:type="dxa"/>
            <w:tcBorders>
              <w:top w:val="single" w:sz="6" w:space="0" w:color="000000"/>
              <w:left w:val="single" w:sz="6" w:space="0" w:color="000000"/>
              <w:bottom w:val="single" w:sz="6" w:space="0" w:color="000000"/>
              <w:right w:val="single" w:sz="6" w:space="0" w:color="000000"/>
            </w:tcBorders>
            <w:shd w:val="clear" w:color="auto" w:fill="A5C9EB"/>
            <w:hideMark/>
          </w:tcPr>
          <w:p w14:paraId="66B19631"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Mar </w:t>
            </w:r>
          </w:p>
        </w:tc>
        <w:tc>
          <w:tcPr>
            <w:tcW w:w="960" w:type="dxa"/>
            <w:tcBorders>
              <w:top w:val="single" w:sz="6" w:space="0" w:color="000000"/>
              <w:left w:val="single" w:sz="6" w:space="0" w:color="000000"/>
              <w:bottom w:val="single" w:sz="6" w:space="0" w:color="000000"/>
              <w:right w:val="single" w:sz="6" w:space="0" w:color="000000"/>
            </w:tcBorders>
            <w:shd w:val="clear" w:color="auto" w:fill="A5C9EB"/>
            <w:hideMark/>
          </w:tcPr>
          <w:p w14:paraId="45DBD21B"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Apr </w:t>
            </w:r>
          </w:p>
        </w:tc>
      </w:tr>
      <w:tr w:rsidR="005D2730" w:rsidRPr="005D2730" w14:paraId="04674035"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45DFCE58"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b/>
                <w:bCs/>
                <w:i/>
                <w:iCs/>
              </w:rPr>
              <w:t>Introduction and Rationale</w:t>
            </w: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35FBE714"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20% </w:t>
            </w:r>
          </w:p>
        </w:tc>
        <w:tc>
          <w:tcPr>
            <w:tcW w:w="1125" w:type="dxa"/>
            <w:tcBorders>
              <w:top w:val="single" w:sz="6" w:space="0" w:color="000000"/>
              <w:left w:val="single" w:sz="6" w:space="0" w:color="000000"/>
              <w:bottom w:val="single" w:sz="6" w:space="0" w:color="000000"/>
              <w:right w:val="single" w:sz="6" w:space="0" w:color="000000"/>
            </w:tcBorders>
            <w:shd w:val="clear" w:color="auto" w:fill="8DD873"/>
            <w:hideMark/>
          </w:tcPr>
          <w:p w14:paraId="1BDCAD54"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shd w:val="clear" w:color="auto" w:fill="8DD873"/>
            <w:hideMark/>
          </w:tcPr>
          <w:p w14:paraId="7BF238CB"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1679B650"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185" w:type="dxa"/>
            <w:tcBorders>
              <w:top w:val="single" w:sz="6" w:space="0" w:color="000000"/>
              <w:left w:val="single" w:sz="6" w:space="0" w:color="000000"/>
              <w:bottom w:val="single" w:sz="6" w:space="0" w:color="000000"/>
              <w:right w:val="single" w:sz="6" w:space="0" w:color="000000"/>
            </w:tcBorders>
            <w:hideMark/>
          </w:tcPr>
          <w:p w14:paraId="5653EA8F"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050" w:type="dxa"/>
            <w:tcBorders>
              <w:top w:val="single" w:sz="6" w:space="0" w:color="000000"/>
              <w:left w:val="single" w:sz="6" w:space="0" w:color="000000"/>
              <w:bottom w:val="single" w:sz="6" w:space="0" w:color="000000"/>
              <w:right w:val="single" w:sz="6" w:space="0" w:color="000000"/>
            </w:tcBorders>
            <w:hideMark/>
          </w:tcPr>
          <w:p w14:paraId="6C5A656F"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960" w:type="dxa"/>
            <w:tcBorders>
              <w:top w:val="single" w:sz="6" w:space="0" w:color="000000"/>
              <w:left w:val="single" w:sz="6" w:space="0" w:color="000000"/>
              <w:bottom w:val="single" w:sz="6" w:space="0" w:color="000000"/>
              <w:right w:val="single" w:sz="6" w:space="0" w:color="000000"/>
            </w:tcBorders>
            <w:shd w:val="clear" w:color="auto" w:fill="F1A983"/>
            <w:hideMark/>
          </w:tcPr>
          <w:p w14:paraId="62F24C55"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r>
      <w:tr w:rsidR="005D2730" w:rsidRPr="005D2730" w14:paraId="01131E19"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0816F73E"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b/>
                <w:bCs/>
                <w:i/>
                <w:iCs/>
              </w:rPr>
              <w:t>Aims</w:t>
            </w: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7417ABA9"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5% </w:t>
            </w:r>
          </w:p>
        </w:tc>
        <w:tc>
          <w:tcPr>
            <w:tcW w:w="1125" w:type="dxa"/>
            <w:tcBorders>
              <w:top w:val="single" w:sz="6" w:space="0" w:color="000000"/>
              <w:left w:val="single" w:sz="6" w:space="0" w:color="000000"/>
              <w:bottom w:val="single" w:sz="6" w:space="0" w:color="000000"/>
              <w:right w:val="single" w:sz="6" w:space="0" w:color="000000"/>
            </w:tcBorders>
            <w:hideMark/>
          </w:tcPr>
          <w:p w14:paraId="4B215DB1"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5A142D5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531C1482"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185" w:type="dxa"/>
            <w:tcBorders>
              <w:top w:val="single" w:sz="6" w:space="0" w:color="000000"/>
              <w:left w:val="single" w:sz="6" w:space="0" w:color="000000"/>
              <w:bottom w:val="single" w:sz="6" w:space="0" w:color="000000"/>
              <w:right w:val="single" w:sz="6" w:space="0" w:color="000000"/>
            </w:tcBorders>
            <w:shd w:val="clear" w:color="auto" w:fill="8DD873"/>
            <w:hideMark/>
          </w:tcPr>
          <w:p w14:paraId="774B980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050" w:type="dxa"/>
            <w:tcBorders>
              <w:top w:val="single" w:sz="6" w:space="0" w:color="000000"/>
              <w:left w:val="single" w:sz="6" w:space="0" w:color="000000"/>
              <w:bottom w:val="single" w:sz="6" w:space="0" w:color="000000"/>
              <w:right w:val="single" w:sz="6" w:space="0" w:color="000000"/>
            </w:tcBorders>
            <w:hideMark/>
          </w:tcPr>
          <w:p w14:paraId="2A13B4A9"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960" w:type="dxa"/>
            <w:tcBorders>
              <w:top w:val="single" w:sz="6" w:space="0" w:color="000000"/>
              <w:left w:val="single" w:sz="6" w:space="0" w:color="000000"/>
              <w:bottom w:val="single" w:sz="6" w:space="0" w:color="000000"/>
              <w:right w:val="single" w:sz="6" w:space="0" w:color="000000"/>
            </w:tcBorders>
            <w:shd w:val="clear" w:color="auto" w:fill="F1A983"/>
            <w:hideMark/>
          </w:tcPr>
          <w:p w14:paraId="51067DC0"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r>
      <w:tr w:rsidR="005D2730" w:rsidRPr="005D2730" w14:paraId="3311427B"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55765569"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b/>
                <w:bCs/>
                <w:i/>
                <w:iCs/>
              </w:rPr>
              <w:t>Literature</w:t>
            </w:r>
            <w:r w:rsidRPr="005D2730">
              <w:rPr>
                <w:rFonts w:ascii="Times New Roman" w:hAnsi="Times New Roman" w:cs="Times New Roman"/>
                <w:i/>
                <w:iCs/>
              </w:rPr>
              <w:t xml:space="preserve"> </w:t>
            </w:r>
            <w:r w:rsidRPr="005D2730">
              <w:rPr>
                <w:rFonts w:ascii="Times New Roman" w:hAnsi="Times New Roman" w:cs="Times New Roman"/>
                <w:b/>
                <w:bCs/>
                <w:i/>
                <w:iCs/>
              </w:rPr>
              <w:t>review</w:t>
            </w: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37B77D0E"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20% </w:t>
            </w:r>
          </w:p>
        </w:tc>
        <w:tc>
          <w:tcPr>
            <w:tcW w:w="1125" w:type="dxa"/>
            <w:tcBorders>
              <w:top w:val="single" w:sz="6" w:space="0" w:color="000000"/>
              <w:left w:val="single" w:sz="6" w:space="0" w:color="000000"/>
              <w:bottom w:val="single" w:sz="6" w:space="0" w:color="000000"/>
              <w:right w:val="single" w:sz="6" w:space="0" w:color="000000"/>
            </w:tcBorders>
            <w:hideMark/>
          </w:tcPr>
          <w:p w14:paraId="1545543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shd w:val="clear" w:color="auto" w:fill="8DD873"/>
            <w:hideMark/>
          </w:tcPr>
          <w:p w14:paraId="1FBC5218"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shd w:val="clear" w:color="auto" w:fill="8DD873"/>
            <w:hideMark/>
          </w:tcPr>
          <w:p w14:paraId="16A61838"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185" w:type="dxa"/>
            <w:tcBorders>
              <w:top w:val="single" w:sz="6" w:space="0" w:color="000000"/>
              <w:left w:val="single" w:sz="6" w:space="0" w:color="000000"/>
              <w:bottom w:val="single" w:sz="6" w:space="0" w:color="000000"/>
              <w:right w:val="single" w:sz="6" w:space="0" w:color="000000"/>
            </w:tcBorders>
            <w:hideMark/>
          </w:tcPr>
          <w:p w14:paraId="7CFBEA57"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050" w:type="dxa"/>
            <w:tcBorders>
              <w:top w:val="single" w:sz="6" w:space="0" w:color="000000"/>
              <w:left w:val="single" w:sz="6" w:space="0" w:color="000000"/>
              <w:bottom w:val="single" w:sz="6" w:space="0" w:color="000000"/>
              <w:right w:val="single" w:sz="6" w:space="0" w:color="000000"/>
            </w:tcBorders>
            <w:hideMark/>
          </w:tcPr>
          <w:p w14:paraId="675A0F2D"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960" w:type="dxa"/>
            <w:tcBorders>
              <w:top w:val="single" w:sz="6" w:space="0" w:color="000000"/>
              <w:left w:val="single" w:sz="6" w:space="0" w:color="000000"/>
              <w:bottom w:val="single" w:sz="6" w:space="0" w:color="000000"/>
              <w:right w:val="single" w:sz="6" w:space="0" w:color="000000"/>
            </w:tcBorders>
            <w:shd w:val="clear" w:color="auto" w:fill="F1A983"/>
            <w:hideMark/>
          </w:tcPr>
          <w:p w14:paraId="0505300E"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r>
      <w:tr w:rsidR="005D2730" w:rsidRPr="005D2730" w14:paraId="0DC42F4A"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383047C5"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b/>
                <w:bCs/>
                <w:i/>
                <w:iCs/>
              </w:rPr>
              <w:t>Project</w:t>
            </w:r>
            <w:r w:rsidRPr="005D2730">
              <w:rPr>
                <w:rFonts w:ascii="Times New Roman" w:hAnsi="Times New Roman" w:cs="Times New Roman"/>
                <w:i/>
                <w:iCs/>
              </w:rPr>
              <w:t xml:space="preserve"> </w:t>
            </w:r>
            <w:r w:rsidRPr="005D2730">
              <w:rPr>
                <w:rFonts w:ascii="Times New Roman" w:hAnsi="Times New Roman" w:cs="Times New Roman"/>
                <w:b/>
                <w:bCs/>
                <w:i/>
                <w:iCs/>
              </w:rPr>
              <w:t>design</w:t>
            </w: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2F3E174D"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35% </w:t>
            </w:r>
          </w:p>
        </w:tc>
        <w:tc>
          <w:tcPr>
            <w:tcW w:w="1125" w:type="dxa"/>
            <w:tcBorders>
              <w:top w:val="single" w:sz="6" w:space="0" w:color="000000"/>
              <w:left w:val="single" w:sz="6" w:space="0" w:color="000000"/>
              <w:bottom w:val="single" w:sz="6" w:space="0" w:color="000000"/>
              <w:right w:val="single" w:sz="6" w:space="0" w:color="000000"/>
            </w:tcBorders>
            <w:hideMark/>
          </w:tcPr>
          <w:p w14:paraId="7C10AA6E"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2667266A"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shd w:val="clear" w:color="auto" w:fill="8DD873"/>
            <w:hideMark/>
          </w:tcPr>
          <w:p w14:paraId="5E396C1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185" w:type="dxa"/>
            <w:tcBorders>
              <w:top w:val="single" w:sz="6" w:space="0" w:color="000000"/>
              <w:left w:val="single" w:sz="6" w:space="0" w:color="000000"/>
              <w:bottom w:val="single" w:sz="6" w:space="0" w:color="000000"/>
              <w:right w:val="single" w:sz="6" w:space="0" w:color="000000"/>
            </w:tcBorders>
            <w:shd w:val="clear" w:color="auto" w:fill="8DD873"/>
            <w:hideMark/>
          </w:tcPr>
          <w:p w14:paraId="5BF3FE40"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050" w:type="dxa"/>
            <w:tcBorders>
              <w:top w:val="single" w:sz="6" w:space="0" w:color="000000"/>
              <w:left w:val="single" w:sz="6" w:space="0" w:color="000000"/>
              <w:bottom w:val="single" w:sz="6" w:space="0" w:color="000000"/>
              <w:right w:val="single" w:sz="6" w:space="0" w:color="000000"/>
            </w:tcBorders>
            <w:hideMark/>
          </w:tcPr>
          <w:p w14:paraId="3A6DC5ED"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960" w:type="dxa"/>
            <w:tcBorders>
              <w:top w:val="single" w:sz="6" w:space="0" w:color="000000"/>
              <w:left w:val="single" w:sz="6" w:space="0" w:color="000000"/>
              <w:bottom w:val="single" w:sz="6" w:space="0" w:color="000000"/>
              <w:right w:val="single" w:sz="6" w:space="0" w:color="000000"/>
            </w:tcBorders>
            <w:shd w:val="clear" w:color="auto" w:fill="F1A983"/>
            <w:hideMark/>
          </w:tcPr>
          <w:p w14:paraId="204EE56C"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r>
      <w:tr w:rsidR="005D2730" w:rsidRPr="005D2730" w14:paraId="05D7F37F"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3A56CF3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b/>
                <w:bCs/>
                <w:i/>
                <w:iCs/>
              </w:rPr>
              <w:t>Evaluation</w:t>
            </w: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2F579C8A"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10% </w:t>
            </w:r>
          </w:p>
        </w:tc>
        <w:tc>
          <w:tcPr>
            <w:tcW w:w="1125" w:type="dxa"/>
            <w:tcBorders>
              <w:top w:val="single" w:sz="6" w:space="0" w:color="000000"/>
              <w:left w:val="single" w:sz="6" w:space="0" w:color="000000"/>
              <w:bottom w:val="single" w:sz="6" w:space="0" w:color="000000"/>
              <w:right w:val="single" w:sz="6" w:space="0" w:color="000000"/>
            </w:tcBorders>
            <w:hideMark/>
          </w:tcPr>
          <w:p w14:paraId="4F1D18C6"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2A4C3813"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49100A11"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185" w:type="dxa"/>
            <w:tcBorders>
              <w:top w:val="single" w:sz="6" w:space="0" w:color="000000"/>
              <w:left w:val="single" w:sz="6" w:space="0" w:color="000000"/>
              <w:bottom w:val="single" w:sz="6" w:space="0" w:color="000000"/>
              <w:right w:val="single" w:sz="6" w:space="0" w:color="000000"/>
            </w:tcBorders>
            <w:hideMark/>
          </w:tcPr>
          <w:p w14:paraId="075F0DDD"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050" w:type="dxa"/>
            <w:tcBorders>
              <w:top w:val="single" w:sz="6" w:space="0" w:color="000000"/>
              <w:left w:val="single" w:sz="6" w:space="0" w:color="000000"/>
              <w:bottom w:val="single" w:sz="6" w:space="0" w:color="000000"/>
              <w:right w:val="single" w:sz="6" w:space="0" w:color="000000"/>
            </w:tcBorders>
            <w:shd w:val="clear" w:color="auto" w:fill="8DD873"/>
            <w:hideMark/>
          </w:tcPr>
          <w:p w14:paraId="64A38909"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960" w:type="dxa"/>
            <w:tcBorders>
              <w:top w:val="single" w:sz="6" w:space="0" w:color="000000"/>
              <w:left w:val="single" w:sz="6" w:space="0" w:color="000000"/>
              <w:bottom w:val="single" w:sz="6" w:space="0" w:color="000000"/>
              <w:right w:val="single" w:sz="6" w:space="0" w:color="000000"/>
            </w:tcBorders>
            <w:shd w:val="clear" w:color="auto" w:fill="F1A983"/>
            <w:hideMark/>
          </w:tcPr>
          <w:p w14:paraId="70CD0F7C"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r>
      <w:tr w:rsidR="005D2730" w:rsidRPr="005D2730" w14:paraId="51572255" w14:textId="77777777">
        <w:trPr>
          <w:trHeight w:val="285"/>
        </w:trPr>
        <w:tc>
          <w:tcPr>
            <w:tcW w:w="1605" w:type="dxa"/>
            <w:tcBorders>
              <w:top w:val="single" w:sz="6" w:space="0" w:color="000000"/>
              <w:left w:val="single" w:sz="6" w:space="0" w:color="000000"/>
              <w:bottom w:val="single" w:sz="6" w:space="0" w:color="000000"/>
              <w:right w:val="single" w:sz="6" w:space="0" w:color="000000"/>
            </w:tcBorders>
            <w:shd w:val="clear" w:color="auto" w:fill="A5C9EB"/>
            <w:hideMark/>
          </w:tcPr>
          <w:p w14:paraId="48A514E5"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b/>
                <w:bCs/>
                <w:i/>
                <w:iCs/>
              </w:rPr>
              <w:t>Conclusion</w:t>
            </w:r>
            <w:r w:rsidRPr="005D2730">
              <w:rPr>
                <w:rFonts w:ascii="Times New Roman" w:hAnsi="Times New Roman" w:cs="Times New Roman"/>
              </w:rPr>
              <w:t> </w:t>
            </w:r>
          </w:p>
        </w:tc>
        <w:tc>
          <w:tcPr>
            <w:tcW w:w="705" w:type="dxa"/>
            <w:tcBorders>
              <w:top w:val="single" w:sz="6" w:space="0" w:color="000000"/>
              <w:left w:val="single" w:sz="6" w:space="0" w:color="000000"/>
              <w:bottom w:val="single" w:sz="6" w:space="0" w:color="000000"/>
              <w:right w:val="single" w:sz="6" w:space="0" w:color="000000"/>
            </w:tcBorders>
            <w:shd w:val="clear" w:color="auto" w:fill="A5C9EB"/>
            <w:hideMark/>
          </w:tcPr>
          <w:p w14:paraId="001F7328"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10% </w:t>
            </w:r>
          </w:p>
        </w:tc>
        <w:tc>
          <w:tcPr>
            <w:tcW w:w="1125" w:type="dxa"/>
            <w:tcBorders>
              <w:top w:val="single" w:sz="6" w:space="0" w:color="000000"/>
              <w:left w:val="single" w:sz="6" w:space="0" w:color="000000"/>
              <w:bottom w:val="single" w:sz="6" w:space="0" w:color="000000"/>
              <w:right w:val="single" w:sz="6" w:space="0" w:color="000000"/>
            </w:tcBorders>
            <w:hideMark/>
          </w:tcPr>
          <w:p w14:paraId="51917077"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53946224"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215" w:type="dxa"/>
            <w:tcBorders>
              <w:top w:val="single" w:sz="6" w:space="0" w:color="000000"/>
              <w:left w:val="single" w:sz="6" w:space="0" w:color="000000"/>
              <w:bottom w:val="single" w:sz="6" w:space="0" w:color="000000"/>
              <w:right w:val="single" w:sz="6" w:space="0" w:color="000000"/>
            </w:tcBorders>
            <w:hideMark/>
          </w:tcPr>
          <w:p w14:paraId="7E85F04B"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185" w:type="dxa"/>
            <w:tcBorders>
              <w:top w:val="single" w:sz="6" w:space="0" w:color="000000"/>
              <w:left w:val="single" w:sz="6" w:space="0" w:color="000000"/>
              <w:bottom w:val="single" w:sz="6" w:space="0" w:color="000000"/>
              <w:right w:val="single" w:sz="6" w:space="0" w:color="000000"/>
            </w:tcBorders>
            <w:hideMark/>
          </w:tcPr>
          <w:p w14:paraId="736058B1"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1050" w:type="dxa"/>
            <w:tcBorders>
              <w:top w:val="single" w:sz="6" w:space="0" w:color="000000"/>
              <w:left w:val="single" w:sz="6" w:space="0" w:color="000000"/>
              <w:bottom w:val="single" w:sz="6" w:space="0" w:color="000000"/>
              <w:right w:val="single" w:sz="6" w:space="0" w:color="000000"/>
            </w:tcBorders>
            <w:shd w:val="clear" w:color="auto" w:fill="8DD873"/>
            <w:hideMark/>
          </w:tcPr>
          <w:p w14:paraId="52376A6C"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c>
          <w:tcPr>
            <w:tcW w:w="960" w:type="dxa"/>
            <w:tcBorders>
              <w:top w:val="single" w:sz="6" w:space="0" w:color="000000"/>
              <w:left w:val="single" w:sz="6" w:space="0" w:color="000000"/>
              <w:bottom w:val="single" w:sz="6" w:space="0" w:color="000000"/>
              <w:right w:val="single" w:sz="6" w:space="0" w:color="000000"/>
            </w:tcBorders>
            <w:shd w:val="clear" w:color="auto" w:fill="F1A983"/>
            <w:hideMark/>
          </w:tcPr>
          <w:p w14:paraId="32FA8F45" w14:textId="77777777"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tc>
      </w:tr>
    </w:tbl>
    <w:p w14:paraId="51E02E73" w14:textId="2062C21A" w:rsidR="005D2730" w:rsidRPr="005D2730" w:rsidRDefault="005D2730" w:rsidP="005D2730">
      <w:pPr>
        <w:spacing w:after="30"/>
        <w:rPr>
          <w:rFonts w:ascii="Times New Roman" w:hAnsi="Times New Roman" w:cs="Times New Roman"/>
        </w:rPr>
      </w:pPr>
      <w:r w:rsidRPr="005D2730">
        <w:rPr>
          <w:rFonts w:ascii="Times New Roman" w:hAnsi="Times New Roman" w:cs="Times New Roman"/>
        </w:rPr>
        <w:t> </w:t>
      </w:r>
    </w:p>
    <w:p w14:paraId="33E39AE0" w14:textId="33445B6A" w:rsidR="005D2730" w:rsidRPr="005D2730" w:rsidRDefault="005D2730" w:rsidP="005D2730">
      <w:pPr>
        <w:spacing w:after="30"/>
        <w:jc w:val="center"/>
        <w:rPr>
          <w:rFonts w:ascii="Times New Roman" w:hAnsi="Times New Roman" w:cs="Times New Roman"/>
          <w:lang w:val="en-US"/>
        </w:rPr>
      </w:pPr>
      <w:r w:rsidRPr="005D2730">
        <w:rPr>
          <w:rFonts w:ascii="Times New Roman" w:hAnsi="Times New Roman" w:cs="Times New Roman"/>
        </w:rPr>
        <w:t>References</w:t>
      </w:r>
    </w:p>
    <w:p w14:paraId="08B315C1" w14:textId="7DF140A9"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Adams, S.L. (2025). </w:t>
      </w:r>
      <w:r w:rsidRPr="005D2730">
        <w:rPr>
          <w:rFonts w:ascii="Times New Roman" w:hAnsi="Times New Roman" w:cs="Times New Roman"/>
          <w:i/>
          <w:iCs/>
        </w:rPr>
        <w:t>“It’s my Safe Place”: Autistic Adults’ Experiences of Nature and its Connection to Wellbeing</w:t>
      </w:r>
      <w:r w:rsidRPr="005D2730">
        <w:rPr>
          <w:rFonts w:ascii="Times New Roman" w:hAnsi="Times New Roman" w:cs="Times New Roman"/>
        </w:rPr>
        <w:t>.</w:t>
      </w:r>
      <w:r w:rsidRPr="005D2730">
        <w:rPr>
          <w:rFonts w:ascii="Times New Roman" w:hAnsi="Times New Roman" w:cs="Times New Roman"/>
          <w:lang w:val="en-US"/>
        </w:rPr>
        <w:t> </w:t>
      </w:r>
      <w:r w:rsidRPr="005D2730">
        <w:rPr>
          <w:rFonts w:ascii="Times New Roman" w:hAnsi="Times New Roman" w:cs="Times New Roman"/>
        </w:rPr>
        <w:t>Doctoral thesis</w:t>
      </w:r>
      <w:r>
        <w:rPr>
          <w:rFonts w:ascii="Times New Roman" w:hAnsi="Times New Roman" w:cs="Times New Roman"/>
          <w:lang w:val="en-US"/>
        </w:rPr>
        <w:t xml:space="preserve">, </w:t>
      </w:r>
      <w:r w:rsidRPr="005D2730">
        <w:rPr>
          <w:rFonts w:ascii="Times New Roman" w:hAnsi="Times New Roman" w:cs="Times New Roman"/>
        </w:rPr>
        <w:t>University College London</w:t>
      </w:r>
      <w:r>
        <w:rPr>
          <w:rFonts w:ascii="Times New Roman" w:hAnsi="Times New Roman" w:cs="Times New Roman"/>
        </w:rPr>
        <w:t>.</w:t>
      </w:r>
    </w:p>
    <w:p w14:paraId="6B9B1214" w14:textId="77777777" w:rsidR="005D2730" w:rsidRPr="005D2730" w:rsidRDefault="005D2730" w:rsidP="005D2730">
      <w:pPr>
        <w:spacing w:after="30"/>
        <w:rPr>
          <w:rFonts w:ascii="Times New Roman" w:hAnsi="Times New Roman" w:cs="Times New Roman"/>
          <w:lang w:val="en-US"/>
        </w:rPr>
      </w:pPr>
    </w:p>
    <w:p w14:paraId="595646A8"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Bartle, E. (2015). </w:t>
      </w:r>
      <w:r w:rsidRPr="005D2730">
        <w:rPr>
          <w:rFonts w:ascii="Times New Roman" w:hAnsi="Times New Roman" w:cs="Times New Roman"/>
          <w:i/>
          <w:iCs/>
        </w:rPr>
        <w:t>EXPERIENTIAL LEARNING: AN OVERVIEW</w:t>
      </w:r>
      <w:r w:rsidRPr="005D2730">
        <w:rPr>
          <w:rFonts w:ascii="Times New Roman" w:hAnsi="Times New Roman" w:cs="Times New Roman"/>
        </w:rPr>
        <w:t>. Queensland: Institute for Teaching and Learning Innovation.</w:t>
      </w:r>
      <w:r w:rsidRPr="005D2730">
        <w:rPr>
          <w:rFonts w:ascii="Times New Roman" w:hAnsi="Times New Roman" w:cs="Times New Roman"/>
          <w:lang w:val="en-US"/>
        </w:rPr>
        <w:t> </w:t>
      </w:r>
    </w:p>
    <w:p w14:paraId="5DE1880D"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302D3F94"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Dantas, L.A. and Cunha, A. (2020). An integrative debate on learning styles and the learning process. </w:t>
      </w:r>
      <w:r w:rsidRPr="005D2730">
        <w:rPr>
          <w:rFonts w:ascii="Times New Roman" w:hAnsi="Times New Roman" w:cs="Times New Roman"/>
          <w:i/>
          <w:iCs/>
        </w:rPr>
        <w:t>Social Sciences &amp; Humanities Open</w:t>
      </w:r>
      <w:r w:rsidRPr="005D2730">
        <w:rPr>
          <w:rFonts w:ascii="Times New Roman" w:hAnsi="Times New Roman" w:cs="Times New Roman"/>
        </w:rPr>
        <w:t xml:space="preserve">, </w:t>
      </w:r>
      <w:r w:rsidRPr="005D2730">
        <w:rPr>
          <w:rFonts w:ascii="Times New Roman" w:hAnsi="Times New Roman" w:cs="Times New Roman"/>
          <w:i/>
          <w:iCs/>
        </w:rPr>
        <w:t>2</w:t>
      </w:r>
      <w:r w:rsidRPr="005D2730">
        <w:rPr>
          <w:rFonts w:ascii="Times New Roman" w:hAnsi="Times New Roman" w:cs="Times New Roman"/>
        </w:rPr>
        <w:t>(1), p.100017.</w:t>
      </w:r>
      <w:r w:rsidRPr="005D2730">
        <w:rPr>
          <w:rFonts w:ascii="Times New Roman" w:hAnsi="Times New Roman" w:cs="Times New Roman"/>
          <w:lang w:val="en-US"/>
        </w:rPr>
        <w:t> </w:t>
      </w:r>
    </w:p>
    <w:p w14:paraId="52ECD6F9"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62FFEFDD"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Fuller, R.G. (2002). </w:t>
      </w:r>
      <w:r w:rsidRPr="005D2730">
        <w:rPr>
          <w:rFonts w:ascii="Times New Roman" w:hAnsi="Times New Roman" w:cs="Times New Roman"/>
          <w:i/>
          <w:iCs/>
        </w:rPr>
        <w:t>A love of discovery: Science education, the second career of Robert Karplus</w:t>
      </w:r>
      <w:r w:rsidRPr="005D2730">
        <w:rPr>
          <w:rFonts w:ascii="Times New Roman" w:hAnsi="Times New Roman" w:cs="Times New Roman"/>
        </w:rPr>
        <w:t>. New York, NY: Kluwer Academic/Plenum Publishers.</w:t>
      </w:r>
      <w:r w:rsidRPr="005D2730">
        <w:rPr>
          <w:rFonts w:ascii="Times New Roman" w:hAnsi="Times New Roman" w:cs="Times New Roman"/>
          <w:lang w:val="en-US"/>
        </w:rPr>
        <w:t> </w:t>
      </w:r>
    </w:p>
    <w:p w14:paraId="0FA1D039"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4DBDD381"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Groen-Sylvester, E. (2025). The potential of outdoor education experiences for autistic girls: a narrative literature review. </w:t>
      </w:r>
      <w:r w:rsidRPr="005D2730">
        <w:rPr>
          <w:rFonts w:ascii="Times New Roman" w:hAnsi="Times New Roman" w:cs="Times New Roman"/>
          <w:i/>
          <w:iCs/>
        </w:rPr>
        <w:t>Journal of Adventure Education and Outdoor Learning</w:t>
      </w:r>
      <w:r w:rsidRPr="005D2730">
        <w:rPr>
          <w:rFonts w:ascii="Times New Roman" w:hAnsi="Times New Roman" w:cs="Times New Roman"/>
        </w:rPr>
        <w:t>, pp.1-20.</w:t>
      </w:r>
      <w:r w:rsidRPr="005D2730">
        <w:rPr>
          <w:rFonts w:ascii="Times New Roman" w:hAnsi="Times New Roman" w:cs="Times New Roman"/>
          <w:lang w:val="en-US"/>
        </w:rPr>
        <w:t> </w:t>
      </w:r>
    </w:p>
    <w:p w14:paraId="0667C991"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56AC8103" w14:textId="77777777" w:rsidR="005D2730" w:rsidRPr="005D2730" w:rsidRDefault="005D2730" w:rsidP="005D2730">
      <w:pPr>
        <w:spacing w:after="30"/>
        <w:rPr>
          <w:rFonts w:ascii="Times New Roman" w:hAnsi="Times New Roman" w:cs="Times New Roman"/>
          <w:lang w:val="en-US"/>
        </w:rPr>
      </w:pPr>
      <w:proofErr w:type="spellStart"/>
      <w:r w:rsidRPr="005D2730">
        <w:rPr>
          <w:rFonts w:ascii="Times New Roman" w:hAnsi="Times New Roman" w:cs="Times New Roman"/>
        </w:rPr>
        <w:t>Hanuscin</w:t>
      </w:r>
      <w:proofErr w:type="spellEnd"/>
      <w:r w:rsidRPr="005D2730">
        <w:rPr>
          <w:rFonts w:ascii="Times New Roman" w:hAnsi="Times New Roman" w:cs="Times New Roman"/>
        </w:rPr>
        <w:t xml:space="preserve">, D.L. and Rogers, M.P. (2013). </w:t>
      </w:r>
      <w:r w:rsidRPr="005D2730">
        <w:rPr>
          <w:rFonts w:ascii="Times New Roman" w:hAnsi="Times New Roman" w:cs="Times New Roman"/>
          <w:i/>
          <w:iCs/>
        </w:rPr>
        <w:t>Perspectives: Research &amp; tips to support science education, K-6</w:t>
      </w:r>
      <w:r w:rsidRPr="005D2730">
        <w:rPr>
          <w:rFonts w:ascii="Times New Roman" w:hAnsi="Times New Roman" w:cs="Times New Roman"/>
        </w:rPr>
        <w:t>. NSTA Press.</w:t>
      </w:r>
      <w:r w:rsidRPr="005D2730">
        <w:rPr>
          <w:rFonts w:ascii="Times New Roman" w:hAnsi="Times New Roman" w:cs="Times New Roman"/>
          <w:lang w:val="en-US"/>
        </w:rPr>
        <w:t> </w:t>
      </w:r>
    </w:p>
    <w:p w14:paraId="32DE38EA"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123A4745"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Hogeveen, J. and Grafman, J. (2021). Alexithymia. </w:t>
      </w:r>
      <w:r w:rsidRPr="005D2730">
        <w:rPr>
          <w:rFonts w:ascii="Times New Roman" w:hAnsi="Times New Roman" w:cs="Times New Roman"/>
          <w:i/>
          <w:iCs/>
        </w:rPr>
        <w:t>Handbook of clinical neurology</w:t>
      </w:r>
      <w:r w:rsidRPr="005D2730">
        <w:rPr>
          <w:rFonts w:ascii="Times New Roman" w:hAnsi="Times New Roman" w:cs="Times New Roman"/>
        </w:rPr>
        <w:t xml:space="preserve">, </w:t>
      </w:r>
      <w:r w:rsidRPr="005D2730">
        <w:rPr>
          <w:rFonts w:ascii="Times New Roman" w:hAnsi="Times New Roman" w:cs="Times New Roman"/>
          <w:i/>
          <w:iCs/>
        </w:rPr>
        <w:t>183</w:t>
      </w:r>
      <w:r w:rsidRPr="005D2730">
        <w:rPr>
          <w:rFonts w:ascii="Times New Roman" w:hAnsi="Times New Roman" w:cs="Times New Roman"/>
        </w:rPr>
        <w:t>, p.47.</w:t>
      </w:r>
      <w:r w:rsidRPr="005D2730">
        <w:rPr>
          <w:rFonts w:ascii="Times New Roman" w:hAnsi="Times New Roman" w:cs="Times New Roman"/>
          <w:lang w:val="en-US"/>
        </w:rPr>
        <w:t> </w:t>
      </w:r>
    </w:p>
    <w:p w14:paraId="60CCE8DF"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lastRenderedPageBreak/>
        <w:t> </w:t>
      </w:r>
    </w:p>
    <w:p w14:paraId="300EA5CE"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Kenigsberg, C. and Cole, J. (2024). Accessible, adaptive, and inclusive outdoor recreation. </w:t>
      </w:r>
      <w:r w:rsidRPr="005D2730">
        <w:rPr>
          <w:rFonts w:ascii="Times New Roman" w:hAnsi="Times New Roman" w:cs="Times New Roman"/>
          <w:i/>
          <w:iCs/>
        </w:rPr>
        <w:t>Outdoor learning in Canada</w:t>
      </w:r>
      <w:r w:rsidRPr="005D2730">
        <w:rPr>
          <w:rFonts w:ascii="Times New Roman" w:hAnsi="Times New Roman" w:cs="Times New Roman"/>
        </w:rPr>
        <w:t>.</w:t>
      </w:r>
      <w:r w:rsidRPr="005D2730">
        <w:rPr>
          <w:rFonts w:ascii="Times New Roman" w:hAnsi="Times New Roman" w:cs="Times New Roman"/>
          <w:lang w:val="en-US"/>
        </w:rPr>
        <w:t> </w:t>
      </w:r>
    </w:p>
    <w:p w14:paraId="3CFB8DCD"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197BD3A2"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Kolb, D.A. (1984). Experiential learning: Experience as the source of learning and development. </w:t>
      </w:r>
      <w:r w:rsidRPr="005D2730">
        <w:rPr>
          <w:rFonts w:ascii="Times New Roman" w:hAnsi="Times New Roman" w:cs="Times New Roman"/>
          <w:i/>
          <w:iCs/>
        </w:rPr>
        <w:t>EC.: Prentice Hall</w:t>
      </w:r>
      <w:r w:rsidRPr="005D2730">
        <w:rPr>
          <w:rFonts w:ascii="Times New Roman" w:hAnsi="Times New Roman" w:cs="Times New Roman"/>
        </w:rPr>
        <w:t>.</w:t>
      </w:r>
      <w:r w:rsidRPr="005D2730">
        <w:rPr>
          <w:rFonts w:ascii="Times New Roman" w:hAnsi="Times New Roman" w:cs="Times New Roman"/>
          <w:lang w:val="en-US"/>
        </w:rPr>
        <w:t> </w:t>
      </w:r>
    </w:p>
    <w:p w14:paraId="3E729F61"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4E59288D"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Marek, E.A. (2008). ‘Why the Learning Cycle?’. </w:t>
      </w:r>
      <w:r w:rsidRPr="005D2730">
        <w:rPr>
          <w:rFonts w:ascii="Times New Roman" w:hAnsi="Times New Roman" w:cs="Times New Roman"/>
          <w:i/>
          <w:iCs/>
        </w:rPr>
        <w:t>Journal of Elementary Science Education</w:t>
      </w:r>
      <w:r w:rsidRPr="005D2730">
        <w:rPr>
          <w:rFonts w:ascii="Times New Roman" w:hAnsi="Times New Roman" w:cs="Times New Roman"/>
        </w:rPr>
        <w:t xml:space="preserve">, 20(3), pp. 63-69. Available at: </w:t>
      </w:r>
      <w:hyperlink r:id="rId6" w:tgtFrame="_blank" w:history="1">
        <w:r w:rsidRPr="005D2730">
          <w:rPr>
            <w:rStyle w:val="Hyperlink"/>
            <w:rFonts w:ascii="Times New Roman" w:hAnsi="Times New Roman" w:cs="Times New Roman"/>
            <w:color w:val="auto"/>
          </w:rPr>
          <w:t>https://files.eric.ed.gov/fulltext/EJ849833.pdf</w:t>
        </w:r>
      </w:hyperlink>
      <w:r w:rsidRPr="005D2730">
        <w:rPr>
          <w:rFonts w:ascii="Times New Roman" w:hAnsi="Times New Roman" w:cs="Times New Roman"/>
        </w:rPr>
        <w:t xml:space="preserve"> (Accessed: 22 October 2026)</w:t>
      </w:r>
      <w:r w:rsidRPr="005D2730">
        <w:rPr>
          <w:rFonts w:ascii="Times New Roman" w:hAnsi="Times New Roman" w:cs="Times New Roman"/>
          <w:lang w:val="en-US"/>
        </w:rPr>
        <w:t> </w:t>
      </w:r>
    </w:p>
    <w:p w14:paraId="4D757AAB"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2EEFDCF8"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Mason, A. (2023). </w:t>
      </w:r>
      <w:r w:rsidRPr="005D2730">
        <w:rPr>
          <w:rFonts w:ascii="Times New Roman" w:hAnsi="Times New Roman" w:cs="Times New Roman"/>
          <w:i/>
          <w:iCs/>
        </w:rPr>
        <w:t>The Autistic Guide to Adventure: Active Pursuits from Archery to Wild Swimming for Tweens and Teens</w:t>
      </w:r>
      <w:r w:rsidRPr="005D2730">
        <w:rPr>
          <w:rFonts w:ascii="Times New Roman" w:hAnsi="Times New Roman" w:cs="Times New Roman"/>
        </w:rPr>
        <w:t>. Jessica Kingsley Publishers.</w:t>
      </w:r>
      <w:r w:rsidRPr="005D2730">
        <w:rPr>
          <w:rFonts w:ascii="Times New Roman" w:hAnsi="Times New Roman" w:cs="Times New Roman"/>
          <w:lang w:val="en-US"/>
        </w:rPr>
        <w:t> </w:t>
      </w:r>
    </w:p>
    <w:p w14:paraId="42FCF0AF"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7CAA3433"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Oakley, B.F., Jones, E.J., Crawley, D., Charman, T., </w:t>
      </w:r>
      <w:proofErr w:type="spellStart"/>
      <w:r w:rsidRPr="005D2730">
        <w:rPr>
          <w:rFonts w:ascii="Times New Roman" w:hAnsi="Times New Roman" w:cs="Times New Roman"/>
        </w:rPr>
        <w:t>Buitelaar</w:t>
      </w:r>
      <w:proofErr w:type="spellEnd"/>
      <w:r w:rsidRPr="005D2730">
        <w:rPr>
          <w:rFonts w:ascii="Times New Roman" w:hAnsi="Times New Roman" w:cs="Times New Roman"/>
        </w:rPr>
        <w:t xml:space="preserve">, J., Tillmann, J., Murphy, D.G. and Loth, E. (2022). Alexithymia in autism: cross-sectional and longitudinal associations with social-communication difficulties, anxiety and depression symptoms. </w:t>
      </w:r>
      <w:r w:rsidRPr="005D2730">
        <w:rPr>
          <w:rFonts w:ascii="Times New Roman" w:hAnsi="Times New Roman" w:cs="Times New Roman"/>
          <w:i/>
          <w:iCs/>
        </w:rPr>
        <w:t>Psychological medicine</w:t>
      </w:r>
      <w:r w:rsidRPr="005D2730">
        <w:rPr>
          <w:rFonts w:ascii="Times New Roman" w:hAnsi="Times New Roman" w:cs="Times New Roman"/>
        </w:rPr>
        <w:t xml:space="preserve">, </w:t>
      </w:r>
      <w:r w:rsidRPr="005D2730">
        <w:rPr>
          <w:rFonts w:ascii="Times New Roman" w:hAnsi="Times New Roman" w:cs="Times New Roman"/>
          <w:i/>
          <w:iCs/>
        </w:rPr>
        <w:t>52</w:t>
      </w:r>
      <w:r w:rsidRPr="005D2730">
        <w:rPr>
          <w:rFonts w:ascii="Times New Roman" w:hAnsi="Times New Roman" w:cs="Times New Roman"/>
        </w:rPr>
        <w:t>(8), pp.1458-1470.</w:t>
      </w:r>
      <w:r w:rsidRPr="005D2730">
        <w:rPr>
          <w:rFonts w:ascii="Times New Roman" w:hAnsi="Times New Roman" w:cs="Times New Roman"/>
          <w:lang w:val="en-US"/>
        </w:rPr>
        <w:t> </w:t>
      </w:r>
    </w:p>
    <w:p w14:paraId="28A1856F"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5788C55F"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rPr>
        <w:t xml:space="preserve">Padesky, C. and Padesky, L. (2026). Bridging neurodiversity and nature: a case study on inclusive training for outdoor educators. </w:t>
      </w:r>
      <w:r w:rsidRPr="005D2730">
        <w:rPr>
          <w:rFonts w:ascii="Times New Roman" w:hAnsi="Times New Roman" w:cs="Times New Roman"/>
          <w:i/>
          <w:iCs/>
        </w:rPr>
        <w:t>Journal of Outdoor and Environmental Education</w:t>
      </w:r>
      <w:r w:rsidRPr="005D2730">
        <w:rPr>
          <w:rFonts w:ascii="Times New Roman" w:hAnsi="Times New Roman" w:cs="Times New Roman"/>
        </w:rPr>
        <w:t>, pp.1-24.</w:t>
      </w:r>
      <w:r w:rsidRPr="005D2730">
        <w:rPr>
          <w:rFonts w:ascii="Times New Roman" w:hAnsi="Times New Roman" w:cs="Times New Roman"/>
          <w:lang w:val="en-US"/>
        </w:rPr>
        <w:t> </w:t>
      </w:r>
    </w:p>
    <w:p w14:paraId="3508A361" w14:textId="77777777" w:rsidR="005D2730" w:rsidRPr="005D2730" w:rsidRDefault="005D2730" w:rsidP="005D2730">
      <w:pPr>
        <w:spacing w:after="30"/>
        <w:rPr>
          <w:rFonts w:ascii="Times New Roman" w:hAnsi="Times New Roman" w:cs="Times New Roman"/>
          <w:lang w:val="en-US"/>
        </w:rPr>
      </w:pPr>
      <w:r w:rsidRPr="005D2730">
        <w:rPr>
          <w:rFonts w:ascii="Times New Roman" w:hAnsi="Times New Roman" w:cs="Times New Roman"/>
          <w:lang w:val="en-US"/>
        </w:rPr>
        <w:t> </w:t>
      </w:r>
    </w:p>
    <w:p w14:paraId="2770A039" w14:textId="77777777" w:rsidR="005D2730" w:rsidRPr="005D2730" w:rsidRDefault="005D2730" w:rsidP="005D2730">
      <w:pPr>
        <w:spacing w:after="30"/>
        <w:rPr>
          <w:rFonts w:ascii="Times New Roman" w:hAnsi="Times New Roman" w:cs="Times New Roman"/>
          <w:lang w:val="en-US"/>
        </w:rPr>
      </w:pPr>
      <w:proofErr w:type="spellStart"/>
      <w:r w:rsidRPr="005D2730">
        <w:rPr>
          <w:rFonts w:ascii="Times New Roman" w:hAnsi="Times New Roman" w:cs="Times New Roman"/>
        </w:rPr>
        <w:t>Veletsianos</w:t>
      </w:r>
      <w:proofErr w:type="spellEnd"/>
      <w:r w:rsidRPr="005D2730">
        <w:rPr>
          <w:rFonts w:ascii="Times New Roman" w:hAnsi="Times New Roman" w:cs="Times New Roman"/>
        </w:rPr>
        <w:t xml:space="preserve">, G. and </w:t>
      </w:r>
      <w:proofErr w:type="spellStart"/>
      <w:r w:rsidRPr="005D2730">
        <w:rPr>
          <w:rFonts w:ascii="Times New Roman" w:hAnsi="Times New Roman" w:cs="Times New Roman"/>
        </w:rPr>
        <w:t>Kleanthous</w:t>
      </w:r>
      <w:proofErr w:type="spellEnd"/>
      <w:r w:rsidRPr="005D2730">
        <w:rPr>
          <w:rFonts w:ascii="Times New Roman" w:hAnsi="Times New Roman" w:cs="Times New Roman"/>
        </w:rPr>
        <w:t xml:space="preserve">, I. (2009). A review of adventure learning. </w:t>
      </w:r>
      <w:r w:rsidRPr="005D2730">
        <w:rPr>
          <w:rFonts w:ascii="Times New Roman" w:hAnsi="Times New Roman" w:cs="Times New Roman"/>
          <w:i/>
          <w:iCs/>
        </w:rPr>
        <w:t>International Review of Research in Open and Distributed Learning</w:t>
      </w:r>
      <w:r w:rsidRPr="005D2730">
        <w:rPr>
          <w:rFonts w:ascii="Times New Roman" w:hAnsi="Times New Roman" w:cs="Times New Roman"/>
        </w:rPr>
        <w:t xml:space="preserve">, </w:t>
      </w:r>
      <w:r w:rsidRPr="005D2730">
        <w:rPr>
          <w:rFonts w:ascii="Times New Roman" w:hAnsi="Times New Roman" w:cs="Times New Roman"/>
          <w:i/>
          <w:iCs/>
        </w:rPr>
        <w:t>10</w:t>
      </w:r>
      <w:r w:rsidRPr="005D2730">
        <w:rPr>
          <w:rFonts w:ascii="Times New Roman" w:hAnsi="Times New Roman" w:cs="Times New Roman"/>
        </w:rPr>
        <w:t>(6), pp.84-105.</w:t>
      </w:r>
      <w:r w:rsidRPr="005D2730">
        <w:rPr>
          <w:rFonts w:ascii="Times New Roman" w:hAnsi="Times New Roman" w:cs="Times New Roman"/>
          <w:lang w:val="en-US"/>
        </w:rPr>
        <w:t> </w:t>
      </w:r>
    </w:p>
    <w:p w14:paraId="3F1915EC" w14:textId="77777777" w:rsidR="005D2730" w:rsidRPr="005D2730" w:rsidRDefault="005D2730" w:rsidP="005D2730">
      <w:pPr>
        <w:spacing w:after="30"/>
        <w:rPr>
          <w:rFonts w:ascii="Times New Roman" w:hAnsi="Times New Roman" w:cs="Times New Roman"/>
        </w:rPr>
      </w:pPr>
    </w:p>
    <w:sectPr w:rsidR="005D2730" w:rsidRPr="005D27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A752F"/>
    <w:multiLevelType w:val="multilevel"/>
    <w:tmpl w:val="42BA5F9E"/>
    <w:lvl w:ilvl="0">
      <w:start w:val="2"/>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5967C42"/>
    <w:multiLevelType w:val="multilevel"/>
    <w:tmpl w:val="8A788CC4"/>
    <w:lvl w:ilvl="0">
      <w:start w:val="3"/>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7D3421E8"/>
    <w:multiLevelType w:val="multilevel"/>
    <w:tmpl w:val="4E3CDD58"/>
    <w:lvl w:ilvl="0">
      <w:start w:val="1"/>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7220375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2156810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18719725">
    <w:abstractNumId w:val="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3A5"/>
    <w:rsid w:val="002A33A5"/>
    <w:rsid w:val="005D2730"/>
    <w:rsid w:val="00BA0E4B"/>
    <w:rsid w:val="00D12DCC"/>
    <w:rsid w:val="00D71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0CF3E"/>
  <w15:chartTrackingRefBased/>
  <w15:docId w15:val="{D119F61A-D682-4732-A666-1FD24DDAAA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33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3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3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3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3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3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3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3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3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3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3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3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3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3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3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3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3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3A5"/>
    <w:rPr>
      <w:rFonts w:eastAsiaTheme="majorEastAsia" w:cstheme="majorBidi"/>
      <w:color w:val="272727" w:themeColor="text1" w:themeTint="D8"/>
    </w:rPr>
  </w:style>
  <w:style w:type="paragraph" w:styleId="Title">
    <w:name w:val="Title"/>
    <w:basedOn w:val="Normal"/>
    <w:next w:val="Normal"/>
    <w:link w:val="TitleChar"/>
    <w:uiPriority w:val="10"/>
    <w:qFormat/>
    <w:rsid w:val="002A33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3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3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3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3A5"/>
    <w:pPr>
      <w:spacing w:before="160"/>
      <w:jc w:val="center"/>
    </w:pPr>
    <w:rPr>
      <w:i/>
      <w:iCs/>
      <w:color w:val="404040" w:themeColor="text1" w:themeTint="BF"/>
    </w:rPr>
  </w:style>
  <w:style w:type="character" w:customStyle="1" w:styleId="QuoteChar">
    <w:name w:val="Quote Char"/>
    <w:basedOn w:val="DefaultParagraphFont"/>
    <w:link w:val="Quote"/>
    <w:uiPriority w:val="29"/>
    <w:rsid w:val="002A33A5"/>
    <w:rPr>
      <w:i/>
      <w:iCs/>
      <w:color w:val="404040" w:themeColor="text1" w:themeTint="BF"/>
    </w:rPr>
  </w:style>
  <w:style w:type="paragraph" w:styleId="ListParagraph">
    <w:name w:val="List Paragraph"/>
    <w:basedOn w:val="Normal"/>
    <w:uiPriority w:val="34"/>
    <w:qFormat/>
    <w:rsid w:val="002A33A5"/>
    <w:pPr>
      <w:ind w:left="720"/>
      <w:contextualSpacing/>
    </w:pPr>
  </w:style>
  <w:style w:type="character" w:styleId="IntenseEmphasis">
    <w:name w:val="Intense Emphasis"/>
    <w:basedOn w:val="DefaultParagraphFont"/>
    <w:uiPriority w:val="21"/>
    <w:qFormat/>
    <w:rsid w:val="002A33A5"/>
    <w:rPr>
      <w:i/>
      <w:iCs/>
      <w:color w:val="0F4761" w:themeColor="accent1" w:themeShade="BF"/>
    </w:rPr>
  </w:style>
  <w:style w:type="paragraph" w:styleId="IntenseQuote">
    <w:name w:val="Intense Quote"/>
    <w:basedOn w:val="Normal"/>
    <w:next w:val="Normal"/>
    <w:link w:val="IntenseQuoteChar"/>
    <w:uiPriority w:val="30"/>
    <w:qFormat/>
    <w:rsid w:val="002A33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3A5"/>
    <w:rPr>
      <w:i/>
      <w:iCs/>
      <w:color w:val="0F4761" w:themeColor="accent1" w:themeShade="BF"/>
    </w:rPr>
  </w:style>
  <w:style w:type="character" w:styleId="IntenseReference">
    <w:name w:val="Intense Reference"/>
    <w:basedOn w:val="DefaultParagraphFont"/>
    <w:uiPriority w:val="32"/>
    <w:qFormat/>
    <w:rsid w:val="002A33A5"/>
    <w:rPr>
      <w:b/>
      <w:bCs/>
      <w:smallCaps/>
      <w:color w:val="0F4761" w:themeColor="accent1" w:themeShade="BF"/>
      <w:spacing w:val="5"/>
    </w:rPr>
  </w:style>
  <w:style w:type="character" w:styleId="Hyperlink">
    <w:name w:val="Hyperlink"/>
    <w:basedOn w:val="DefaultParagraphFont"/>
    <w:uiPriority w:val="99"/>
    <w:unhideWhenUsed/>
    <w:rsid w:val="005D2730"/>
    <w:rPr>
      <w:color w:val="467886" w:themeColor="hyperlink"/>
      <w:u w:val="single"/>
    </w:rPr>
  </w:style>
  <w:style w:type="character" w:styleId="UnresolvedMention">
    <w:name w:val="Unresolved Mention"/>
    <w:basedOn w:val="DefaultParagraphFont"/>
    <w:uiPriority w:val="99"/>
    <w:semiHidden/>
    <w:unhideWhenUsed/>
    <w:rsid w:val="005D27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files.eric.ed.gov/fulltext/EJ849833.pdf"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59F652-E072-47AD-A061-F9552E0DF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1804</Words>
  <Characters>10284</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Walker (2406212)</dc:creator>
  <cp:keywords/>
  <dc:description/>
  <cp:lastModifiedBy>Holly Walker (2406212)</cp:lastModifiedBy>
  <cp:revision>2</cp:revision>
  <dcterms:created xsi:type="dcterms:W3CDTF">2026-10-23T17:09:00Z</dcterms:created>
  <dcterms:modified xsi:type="dcterms:W3CDTF">2026-10-23T17:09:00Z</dcterms:modified>
</cp:coreProperties>
</file>