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colors2.xml" ContentType="application/vnd.openxmlformats-officedocument.drawingml.diagramColors+xml"/>
  <Override PartName="/word/diagrams/data1.xml" ContentType="application/vnd.openxmlformats-officedocument.drawingml.diagramData+xml"/>
  <Override PartName="/word/diagrams/data2.xml" ContentType="application/vnd.openxmlformats-officedocument.drawingml.diagramData+xml"/>
  <Override PartName="/word/diagrams/drawing1.xml" ContentType="application/vnd.ms-office.drawingml.diagramDrawing+xml"/>
  <Override PartName="/word/diagrams/drawing2.xml" ContentType="application/vnd.ms-office.drawingml.diagramDrawing+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1.xml" ContentType="application/vnd.openxmlformats-officedocument.drawingml.diagramStyle+xml"/>
  <Override PartName="/word/diagrams/quickStyle2.xml" ContentType="application/vnd.openxmlformats-officedocument.drawingml.diagram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rPr>
      </w:pPr>
    </w:p>
    <w:p>
      <w:pPr>
        <w:rPr>
          <w:b/>
        </w:rPr>
      </w:pPr>
      <w:r>
        <w:rPr>
          <w:b/>
        </w:rPr>
        <w:t xml:space="preserve">Programe :  </w:t>
      </w:r>
      <w:r>
        <w:rPr>
          <w:b w:val="0"/>
          <w:bCs/>
        </w:rPr>
        <w:t xml:space="preserve">BA (Hons) Leadership and Management Skills for the Workplace </w:t>
      </w:r>
    </w:p>
    <w:p>
      <w:pPr>
        <w:rPr>
          <w:b/>
        </w:rPr>
      </w:pPr>
      <w:r>
        <w:rPr>
          <w:b/>
        </w:rPr>
        <w:t xml:space="preserve">Module Name : </w:t>
      </w:r>
      <w:r>
        <w:rPr>
          <w:b w:val="0"/>
          <w:bCs/>
        </w:rPr>
        <w:t xml:space="preserve"> Developing workplace critical thinking </w:t>
      </w:r>
    </w:p>
    <w:p>
      <w:pPr>
        <w:rPr>
          <w:b w:val="0"/>
          <w:bCs/>
        </w:rPr>
      </w:pPr>
      <w:r>
        <w:rPr>
          <w:b/>
        </w:rPr>
        <w:t xml:space="preserve">Module code : </w:t>
      </w:r>
      <w:r>
        <w:rPr>
          <w:b w:val="0"/>
          <w:bCs/>
        </w:rPr>
        <w:t>BMSW5101</w:t>
      </w:r>
    </w:p>
    <w:p>
      <w:pPr>
        <w:rPr>
          <w:rFonts w:hint="default" w:ascii="Arial Bold" w:hAnsi="Arial Bold" w:cs="Arial Bold"/>
          <w:b/>
          <w:bCs w:val="0"/>
        </w:rPr>
      </w:pPr>
      <w:r>
        <w:rPr>
          <w:rFonts w:hint="default" w:ascii="Arial Bold" w:hAnsi="Arial Bold" w:cs="Arial Bold"/>
          <w:b/>
          <w:bCs w:val="0"/>
        </w:rPr>
        <w:t xml:space="preserve">Module Lecturer : </w:t>
      </w:r>
      <w:r>
        <w:rPr>
          <w:rFonts w:hint="default" w:cs="Arial"/>
          <w:b w:val="0"/>
          <w:bCs/>
        </w:rPr>
        <w:t xml:space="preserve">Akinseye Aluko </w:t>
      </w:r>
    </w:p>
    <w:p>
      <w:r>
        <w:rPr>
          <w:b/>
        </w:rPr>
        <w:t xml:space="preserve">Assignment Title:  </w:t>
      </w:r>
      <w:r>
        <w:t>Part 1- Individual Business Report and Part 2- Reflective Journal</w:t>
      </w:r>
    </w:p>
    <w:p>
      <w:r>
        <w:rPr>
          <w:b/>
        </w:rPr>
        <w:t xml:space="preserve">Student Name: </w:t>
      </w:r>
      <w:r>
        <w:t>Iosif Tcaciu</w:t>
      </w:r>
    </w:p>
    <w:p>
      <w:pPr>
        <w:rPr>
          <w:b/>
        </w:rPr>
      </w:pPr>
      <w:r>
        <w:rPr>
          <w:b/>
        </w:rPr>
        <w:t xml:space="preserve">Student ID : </w:t>
      </w:r>
      <w:r>
        <w:rPr>
          <w:b w:val="0"/>
          <w:bCs/>
        </w:rPr>
        <w:t>2022775</w:t>
      </w:r>
    </w:p>
    <w:p>
      <w:pPr>
        <w:spacing w:line="259" w:lineRule="auto"/>
        <w:jc w:val="left"/>
      </w:pPr>
      <w:r>
        <w:br w:type="page"/>
      </w:r>
    </w:p>
    <w:sdt>
      <w:sdtPr>
        <w:id w:val="337425811"/>
      </w:sdtPr>
      <w:sdtEndPr>
        <w:rPr>
          <w:rFonts w:ascii="Arial" w:hAnsi="Arial" w:eastAsiaTheme="minorHAnsi" w:cstheme="minorBidi"/>
          <w:b/>
          <w:bCs/>
          <w:color w:val="auto"/>
          <w:sz w:val="22"/>
          <w:szCs w:val="22"/>
          <w:lang w:val="en-GB"/>
        </w:rPr>
      </w:sdtEndPr>
      <w:sdtContent>
        <w:p>
          <w:pPr>
            <w:pStyle w:val="24"/>
          </w:pPr>
          <w:r>
            <w:t>Table of Contents</w:t>
          </w:r>
        </w:p>
        <w:p>
          <w:pPr>
            <w:pStyle w:val="9"/>
            <w:tabs>
              <w:tab w:val="right" w:leader="dot" w:pos="9350"/>
            </w:tabs>
          </w:pPr>
          <w:r>
            <w:fldChar w:fldCharType="begin"/>
          </w:r>
          <w:r>
            <w:instrText xml:space="preserve"> TOC \o "1-3" \h \z \u </w:instrText>
          </w:r>
          <w:r>
            <w:fldChar w:fldCharType="separate"/>
          </w:r>
          <w:r>
            <w:fldChar w:fldCharType="begin"/>
          </w:r>
          <w:r>
            <w:instrText xml:space="preserve"> HYPERLINK \l "_Toc97956668" </w:instrText>
          </w:r>
          <w:r>
            <w:fldChar w:fldCharType="separate"/>
          </w:r>
          <w:r>
            <w:rPr>
              <w:rStyle w:val="13"/>
            </w:rPr>
            <w:t>Introduction</w:t>
          </w:r>
          <w:r>
            <w:tab/>
          </w:r>
          <w:r>
            <w:fldChar w:fldCharType="begin"/>
          </w:r>
          <w:r>
            <w:instrText xml:space="preserve"> PAGEREF _Toc97956668 \h </w:instrText>
          </w:r>
          <w:r>
            <w:fldChar w:fldCharType="separate"/>
          </w:r>
          <w:r>
            <w:t>3</w:t>
          </w:r>
          <w:r>
            <w:fldChar w:fldCharType="end"/>
          </w:r>
          <w:r>
            <w:fldChar w:fldCharType="end"/>
          </w:r>
        </w:p>
        <w:p>
          <w:pPr>
            <w:pStyle w:val="9"/>
            <w:tabs>
              <w:tab w:val="right" w:leader="dot" w:pos="9350"/>
            </w:tabs>
          </w:pPr>
          <w:r>
            <w:fldChar w:fldCharType="begin"/>
          </w:r>
          <w:r>
            <w:instrText xml:space="preserve"> HYPERLINK \l "_Toc97956669" </w:instrText>
          </w:r>
          <w:r>
            <w:fldChar w:fldCharType="separate"/>
          </w:r>
          <w:r>
            <w:rPr>
              <w:rStyle w:val="13"/>
            </w:rPr>
            <w:t>Part 1</w:t>
          </w:r>
          <w:r>
            <w:tab/>
          </w:r>
          <w:r>
            <w:fldChar w:fldCharType="begin"/>
          </w:r>
          <w:r>
            <w:instrText xml:space="preserve"> PAGEREF _Toc97956669 \h </w:instrText>
          </w:r>
          <w:r>
            <w:fldChar w:fldCharType="separate"/>
          </w:r>
          <w:r>
            <w:t>4</w:t>
          </w:r>
          <w:r>
            <w:fldChar w:fldCharType="end"/>
          </w:r>
          <w:r>
            <w:fldChar w:fldCharType="end"/>
          </w:r>
        </w:p>
        <w:p>
          <w:pPr>
            <w:pStyle w:val="10"/>
            <w:tabs>
              <w:tab w:val="right" w:leader="dot" w:pos="9350"/>
            </w:tabs>
          </w:pPr>
          <w:r>
            <w:fldChar w:fldCharType="begin"/>
          </w:r>
          <w:r>
            <w:instrText xml:space="preserve"> HYPERLINK \l "_Toc97956670" </w:instrText>
          </w:r>
          <w:r>
            <w:fldChar w:fldCharType="separate"/>
          </w:r>
          <w:r>
            <w:rPr>
              <w:rStyle w:val="13"/>
            </w:rPr>
            <w:t>Amazon</w:t>
          </w:r>
          <w:r>
            <w:tab/>
          </w:r>
          <w:r>
            <w:fldChar w:fldCharType="begin"/>
          </w:r>
          <w:r>
            <w:instrText xml:space="preserve"> PAGEREF _Toc97956670 \h </w:instrText>
          </w:r>
          <w:r>
            <w:fldChar w:fldCharType="separate"/>
          </w:r>
          <w:r>
            <w:t>4</w:t>
          </w:r>
          <w:r>
            <w:fldChar w:fldCharType="end"/>
          </w:r>
          <w:r>
            <w:fldChar w:fldCharType="end"/>
          </w:r>
        </w:p>
        <w:p>
          <w:pPr>
            <w:pStyle w:val="10"/>
            <w:tabs>
              <w:tab w:val="right" w:leader="dot" w:pos="9350"/>
            </w:tabs>
          </w:pPr>
          <w:r>
            <w:fldChar w:fldCharType="begin"/>
          </w:r>
          <w:r>
            <w:instrText xml:space="preserve"> HYPERLINK \l "_Toc97956671" </w:instrText>
          </w:r>
          <w:r>
            <w:fldChar w:fldCharType="separate"/>
          </w:r>
          <w:r>
            <w:rPr>
              <w:rStyle w:val="13"/>
            </w:rPr>
            <w:t>Key management theories</w:t>
          </w:r>
          <w:r>
            <w:tab/>
          </w:r>
          <w:r>
            <w:fldChar w:fldCharType="begin"/>
          </w:r>
          <w:r>
            <w:instrText xml:space="preserve"> PAGEREF _Toc97956671 \h </w:instrText>
          </w:r>
          <w:r>
            <w:fldChar w:fldCharType="separate"/>
          </w:r>
          <w:r>
            <w:t>4</w:t>
          </w:r>
          <w:r>
            <w:fldChar w:fldCharType="end"/>
          </w:r>
          <w:r>
            <w:fldChar w:fldCharType="end"/>
          </w:r>
        </w:p>
        <w:p>
          <w:pPr>
            <w:pStyle w:val="10"/>
            <w:tabs>
              <w:tab w:val="right" w:leader="dot" w:pos="9350"/>
            </w:tabs>
          </w:pPr>
          <w:r>
            <w:fldChar w:fldCharType="begin"/>
          </w:r>
          <w:r>
            <w:instrText xml:space="preserve"> HYPERLINK \l "_Toc97956672" </w:instrText>
          </w:r>
          <w:r>
            <w:fldChar w:fldCharType="separate"/>
          </w:r>
          <w:r>
            <w:rPr>
              <w:rStyle w:val="13"/>
            </w:rPr>
            <w:t>Application of the theories to Amazon</w:t>
          </w:r>
          <w:r>
            <w:tab/>
          </w:r>
          <w:r>
            <w:fldChar w:fldCharType="begin"/>
          </w:r>
          <w:r>
            <w:instrText xml:space="preserve"> PAGEREF _Toc97956672 \h </w:instrText>
          </w:r>
          <w:r>
            <w:fldChar w:fldCharType="separate"/>
          </w:r>
          <w:r>
            <w:t>6</w:t>
          </w:r>
          <w:r>
            <w:fldChar w:fldCharType="end"/>
          </w:r>
          <w:r>
            <w:fldChar w:fldCharType="end"/>
          </w:r>
        </w:p>
        <w:p>
          <w:pPr>
            <w:pStyle w:val="11"/>
            <w:tabs>
              <w:tab w:val="right" w:leader="dot" w:pos="9350"/>
            </w:tabs>
          </w:pPr>
          <w:r>
            <w:fldChar w:fldCharType="begin"/>
          </w:r>
          <w:r>
            <w:instrText xml:space="preserve"> HYPERLINK \l "_Toc97956673" </w:instrText>
          </w:r>
          <w:r>
            <w:fldChar w:fldCharType="separate"/>
          </w:r>
          <w:r>
            <w:rPr>
              <w:rStyle w:val="13"/>
            </w:rPr>
            <w:t>Taylor’s scientific management theory</w:t>
          </w:r>
          <w:r>
            <w:tab/>
          </w:r>
          <w:r>
            <w:fldChar w:fldCharType="begin"/>
          </w:r>
          <w:r>
            <w:instrText xml:space="preserve"> PAGEREF _Toc97956673 \h </w:instrText>
          </w:r>
          <w:r>
            <w:fldChar w:fldCharType="separate"/>
          </w:r>
          <w:r>
            <w:t>6</w:t>
          </w:r>
          <w:r>
            <w:fldChar w:fldCharType="end"/>
          </w:r>
          <w:r>
            <w:fldChar w:fldCharType="end"/>
          </w:r>
        </w:p>
        <w:p>
          <w:pPr>
            <w:pStyle w:val="11"/>
            <w:tabs>
              <w:tab w:val="right" w:leader="dot" w:pos="9350"/>
            </w:tabs>
          </w:pPr>
          <w:r>
            <w:fldChar w:fldCharType="begin"/>
          </w:r>
          <w:r>
            <w:instrText xml:space="preserve"> HYPERLINK \l "_Toc97956674" </w:instrText>
          </w:r>
          <w:r>
            <w:fldChar w:fldCharType="separate"/>
          </w:r>
          <w:r>
            <w:rPr>
              <w:rStyle w:val="13"/>
            </w:rPr>
            <w:t>McGregor’s Theory X and Y</w:t>
          </w:r>
          <w:r>
            <w:tab/>
          </w:r>
          <w:r>
            <w:fldChar w:fldCharType="begin"/>
          </w:r>
          <w:r>
            <w:instrText xml:space="preserve"> PAGEREF _Toc97956674 \h </w:instrText>
          </w:r>
          <w:r>
            <w:fldChar w:fldCharType="separate"/>
          </w:r>
          <w:r>
            <w:t>7</w:t>
          </w:r>
          <w:r>
            <w:fldChar w:fldCharType="end"/>
          </w:r>
          <w:r>
            <w:fldChar w:fldCharType="end"/>
          </w:r>
        </w:p>
        <w:p>
          <w:pPr>
            <w:pStyle w:val="10"/>
            <w:tabs>
              <w:tab w:val="right" w:leader="dot" w:pos="9350"/>
            </w:tabs>
          </w:pPr>
          <w:r>
            <w:fldChar w:fldCharType="begin"/>
          </w:r>
          <w:r>
            <w:instrText xml:space="preserve"> HYPERLINK \l "_Toc97956675" </w:instrText>
          </w:r>
          <w:r>
            <w:fldChar w:fldCharType="separate"/>
          </w:r>
          <w:r>
            <w:rPr>
              <w:rStyle w:val="13"/>
            </w:rPr>
            <w:t>Critical evaluation of how someone with different beliefs, attitudes and values can interpret the theory differently</w:t>
          </w:r>
          <w:r>
            <w:tab/>
          </w:r>
          <w:r>
            <w:fldChar w:fldCharType="begin"/>
          </w:r>
          <w:r>
            <w:instrText xml:space="preserve"> PAGEREF _Toc97956675 \h </w:instrText>
          </w:r>
          <w:r>
            <w:fldChar w:fldCharType="separate"/>
          </w:r>
          <w:r>
            <w:t>7</w:t>
          </w:r>
          <w:r>
            <w:fldChar w:fldCharType="end"/>
          </w:r>
          <w:r>
            <w:fldChar w:fldCharType="end"/>
          </w:r>
        </w:p>
        <w:p>
          <w:pPr>
            <w:pStyle w:val="10"/>
            <w:tabs>
              <w:tab w:val="right" w:leader="dot" w:pos="9350"/>
            </w:tabs>
          </w:pPr>
          <w:r>
            <w:fldChar w:fldCharType="begin"/>
          </w:r>
          <w:r>
            <w:instrText xml:space="preserve"> HYPERLINK \l "_Toc97956676" </w:instrText>
          </w:r>
          <w:r>
            <w:fldChar w:fldCharType="separate"/>
          </w:r>
          <w:r>
            <w:rPr>
              <w:rStyle w:val="13"/>
            </w:rPr>
            <w:t>Recommendations</w:t>
          </w:r>
          <w:r>
            <w:tab/>
          </w:r>
          <w:r>
            <w:fldChar w:fldCharType="begin"/>
          </w:r>
          <w:r>
            <w:instrText xml:space="preserve"> PAGEREF _Toc97956676 \h </w:instrText>
          </w:r>
          <w:r>
            <w:fldChar w:fldCharType="separate"/>
          </w:r>
          <w:r>
            <w:t>8</w:t>
          </w:r>
          <w:r>
            <w:fldChar w:fldCharType="end"/>
          </w:r>
          <w:r>
            <w:fldChar w:fldCharType="end"/>
          </w:r>
        </w:p>
        <w:p>
          <w:pPr>
            <w:pStyle w:val="9"/>
            <w:tabs>
              <w:tab w:val="right" w:leader="dot" w:pos="9350"/>
            </w:tabs>
          </w:pPr>
          <w:r>
            <w:fldChar w:fldCharType="begin"/>
          </w:r>
          <w:r>
            <w:instrText xml:space="preserve"> HYPERLINK \l "_Toc97956677" </w:instrText>
          </w:r>
          <w:r>
            <w:fldChar w:fldCharType="separate"/>
          </w:r>
          <w:r>
            <w:rPr>
              <w:rStyle w:val="13"/>
            </w:rPr>
            <w:t>Part 2</w:t>
          </w:r>
          <w:r>
            <w:tab/>
          </w:r>
          <w:r>
            <w:fldChar w:fldCharType="begin"/>
          </w:r>
          <w:r>
            <w:instrText xml:space="preserve"> PAGEREF _Toc97956677 \h </w:instrText>
          </w:r>
          <w:r>
            <w:fldChar w:fldCharType="separate"/>
          </w:r>
          <w:r>
            <w:t>10</w:t>
          </w:r>
          <w:r>
            <w:fldChar w:fldCharType="end"/>
          </w:r>
          <w:r>
            <w:fldChar w:fldCharType="end"/>
          </w:r>
        </w:p>
        <w:p>
          <w:pPr>
            <w:pStyle w:val="10"/>
            <w:tabs>
              <w:tab w:val="right" w:leader="dot" w:pos="9350"/>
            </w:tabs>
          </w:pPr>
          <w:r>
            <w:fldChar w:fldCharType="begin"/>
          </w:r>
          <w:r>
            <w:instrText xml:space="preserve"> HYPERLINK \l "_Toc97956678" </w:instrText>
          </w:r>
          <w:r>
            <w:fldChar w:fldCharType="separate"/>
          </w:r>
          <w:r>
            <w:rPr>
              <w:rStyle w:val="13"/>
            </w:rPr>
            <w:t>Week 1</w:t>
          </w:r>
          <w:r>
            <w:tab/>
          </w:r>
          <w:r>
            <w:fldChar w:fldCharType="begin"/>
          </w:r>
          <w:r>
            <w:instrText xml:space="preserve"> PAGEREF _Toc97956678 \h </w:instrText>
          </w:r>
          <w:r>
            <w:fldChar w:fldCharType="separate"/>
          </w:r>
          <w:r>
            <w:t>10</w:t>
          </w:r>
          <w:r>
            <w:fldChar w:fldCharType="end"/>
          </w:r>
          <w:r>
            <w:fldChar w:fldCharType="end"/>
          </w:r>
        </w:p>
        <w:p>
          <w:pPr>
            <w:pStyle w:val="10"/>
            <w:tabs>
              <w:tab w:val="right" w:leader="dot" w:pos="9350"/>
            </w:tabs>
          </w:pPr>
          <w:r>
            <w:fldChar w:fldCharType="begin"/>
          </w:r>
          <w:r>
            <w:instrText xml:space="preserve"> HYPERLINK \l "_Toc97956679" </w:instrText>
          </w:r>
          <w:r>
            <w:fldChar w:fldCharType="separate"/>
          </w:r>
          <w:r>
            <w:rPr>
              <w:rStyle w:val="13"/>
            </w:rPr>
            <w:t>Week 2</w:t>
          </w:r>
          <w:r>
            <w:tab/>
          </w:r>
          <w:r>
            <w:fldChar w:fldCharType="begin"/>
          </w:r>
          <w:r>
            <w:instrText xml:space="preserve"> PAGEREF _Toc97956679 \h </w:instrText>
          </w:r>
          <w:r>
            <w:fldChar w:fldCharType="separate"/>
          </w:r>
          <w:r>
            <w:t>10</w:t>
          </w:r>
          <w:r>
            <w:fldChar w:fldCharType="end"/>
          </w:r>
          <w:r>
            <w:fldChar w:fldCharType="end"/>
          </w:r>
        </w:p>
        <w:p>
          <w:pPr>
            <w:pStyle w:val="10"/>
            <w:tabs>
              <w:tab w:val="right" w:leader="dot" w:pos="9350"/>
            </w:tabs>
          </w:pPr>
          <w:r>
            <w:fldChar w:fldCharType="begin"/>
          </w:r>
          <w:r>
            <w:instrText xml:space="preserve"> HYPERLINK \l "_Toc97956680" </w:instrText>
          </w:r>
          <w:r>
            <w:fldChar w:fldCharType="separate"/>
          </w:r>
          <w:r>
            <w:rPr>
              <w:rStyle w:val="13"/>
            </w:rPr>
            <w:t>Weak 3</w:t>
          </w:r>
          <w:r>
            <w:tab/>
          </w:r>
          <w:r>
            <w:fldChar w:fldCharType="begin"/>
          </w:r>
          <w:r>
            <w:instrText xml:space="preserve"> PAGEREF _Toc97956680 \h </w:instrText>
          </w:r>
          <w:r>
            <w:fldChar w:fldCharType="separate"/>
          </w:r>
          <w:r>
            <w:t>11</w:t>
          </w:r>
          <w:r>
            <w:fldChar w:fldCharType="end"/>
          </w:r>
          <w:r>
            <w:fldChar w:fldCharType="end"/>
          </w:r>
        </w:p>
        <w:p>
          <w:pPr>
            <w:pStyle w:val="10"/>
            <w:tabs>
              <w:tab w:val="right" w:leader="dot" w:pos="9350"/>
            </w:tabs>
          </w:pPr>
          <w:r>
            <w:fldChar w:fldCharType="begin"/>
          </w:r>
          <w:r>
            <w:instrText xml:space="preserve"> HYPERLINK \l "_Toc97956681" </w:instrText>
          </w:r>
          <w:r>
            <w:fldChar w:fldCharType="separate"/>
          </w:r>
          <w:r>
            <w:rPr>
              <w:rStyle w:val="13"/>
            </w:rPr>
            <w:t>Weak 4</w:t>
          </w:r>
          <w:r>
            <w:tab/>
          </w:r>
          <w:r>
            <w:fldChar w:fldCharType="begin"/>
          </w:r>
          <w:r>
            <w:instrText xml:space="preserve"> PAGEREF _Toc97956681 \h </w:instrText>
          </w:r>
          <w:r>
            <w:fldChar w:fldCharType="separate"/>
          </w:r>
          <w:r>
            <w:t>11</w:t>
          </w:r>
          <w:r>
            <w:fldChar w:fldCharType="end"/>
          </w:r>
          <w:r>
            <w:fldChar w:fldCharType="end"/>
          </w:r>
        </w:p>
        <w:p>
          <w:pPr>
            <w:pStyle w:val="10"/>
            <w:tabs>
              <w:tab w:val="right" w:leader="dot" w:pos="9350"/>
            </w:tabs>
          </w:pPr>
          <w:r>
            <w:fldChar w:fldCharType="begin"/>
          </w:r>
          <w:r>
            <w:instrText xml:space="preserve"> HYPERLINK \l "_Toc97956682" </w:instrText>
          </w:r>
          <w:r>
            <w:fldChar w:fldCharType="separate"/>
          </w:r>
          <w:r>
            <w:rPr>
              <w:rStyle w:val="13"/>
            </w:rPr>
            <w:t>Week 5</w:t>
          </w:r>
          <w:r>
            <w:tab/>
          </w:r>
          <w:r>
            <w:fldChar w:fldCharType="begin"/>
          </w:r>
          <w:r>
            <w:instrText xml:space="preserve"> PAGEREF _Toc97956682 \h </w:instrText>
          </w:r>
          <w:r>
            <w:fldChar w:fldCharType="separate"/>
          </w:r>
          <w:r>
            <w:t>11</w:t>
          </w:r>
          <w:r>
            <w:fldChar w:fldCharType="end"/>
          </w:r>
          <w:r>
            <w:fldChar w:fldCharType="end"/>
          </w:r>
        </w:p>
        <w:p>
          <w:pPr>
            <w:pStyle w:val="10"/>
            <w:tabs>
              <w:tab w:val="right" w:leader="dot" w:pos="9350"/>
            </w:tabs>
          </w:pPr>
          <w:r>
            <w:fldChar w:fldCharType="begin"/>
          </w:r>
          <w:r>
            <w:instrText xml:space="preserve"> HYPERLINK \l "_Toc97956683" </w:instrText>
          </w:r>
          <w:r>
            <w:fldChar w:fldCharType="separate"/>
          </w:r>
          <w:r>
            <w:rPr>
              <w:rStyle w:val="13"/>
            </w:rPr>
            <w:t>Week 6</w:t>
          </w:r>
          <w:r>
            <w:tab/>
          </w:r>
          <w:r>
            <w:fldChar w:fldCharType="begin"/>
          </w:r>
          <w:r>
            <w:instrText xml:space="preserve"> PAGEREF _Toc97956683 \h </w:instrText>
          </w:r>
          <w:r>
            <w:fldChar w:fldCharType="separate"/>
          </w:r>
          <w:r>
            <w:t>12</w:t>
          </w:r>
          <w:r>
            <w:fldChar w:fldCharType="end"/>
          </w:r>
          <w:r>
            <w:fldChar w:fldCharType="end"/>
          </w:r>
        </w:p>
        <w:p>
          <w:pPr>
            <w:pStyle w:val="10"/>
            <w:tabs>
              <w:tab w:val="right" w:leader="dot" w:pos="9350"/>
            </w:tabs>
          </w:pPr>
          <w:r>
            <w:fldChar w:fldCharType="begin"/>
          </w:r>
          <w:r>
            <w:instrText xml:space="preserve"> HYPERLINK \l "_Toc97956684" </w:instrText>
          </w:r>
          <w:r>
            <w:fldChar w:fldCharType="separate"/>
          </w:r>
          <w:r>
            <w:rPr>
              <w:rStyle w:val="13"/>
            </w:rPr>
            <w:t>Week 7</w:t>
          </w:r>
          <w:r>
            <w:tab/>
          </w:r>
          <w:r>
            <w:fldChar w:fldCharType="begin"/>
          </w:r>
          <w:r>
            <w:instrText xml:space="preserve"> PAGEREF _Toc97956684 \h </w:instrText>
          </w:r>
          <w:r>
            <w:fldChar w:fldCharType="separate"/>
          </w:r>
          <w:r>
            <w:t>12</w:t>
          </w:r>
          <w:r>
            <w:fldChar w:fldCharType="end"/>
          </w:r>
          <w:r>
            <w:fldChar w:fldCharType="end"/>
          </w:r>
        </w:p>
        <w:p>
          <w:pPr>
            <w:pStyle w:val="10"/>
            <w:tabs>
              <w:tab w:val="right" w:leader="dot" w:pos="9350"/>
            </w:tabs>
          </w:pPr>
          <w:r>
            <w:fldChar w:fldCharType="begin"/>
          </w:r>
          <w:r>
            <w:instrText xml:space="preserve"> HYPERLINK \l "_Toc97956685" </w:instrText>
          </w:r>
          <w:r>
            <w:fldChar w:fldCharType="separate"/>
          </w:r>
          <w:r>
            <w:rPr>
              <w:rStyle w:val="13"/>
            </w:rPr>
            <w:t>Week 8</w:t>
          </w:r>
          <w:r>
            <w:tab/>
          </w:r>
          <w:r>
            <w:fldChar w:fldCharType="begin"/>
          </w:r>
          <w:r>
            <w:instrText xml:space="preserve"> PAGEREF _Toc97956685 \h </w:instrText>
          </w:r>
          <w:r>
            <w:fldChar w:fldCharType="separate"/>
          </w:r>
          <w:r>
            <w:t>13</w:t>
          </w:r>
          <w:r>
            <w:fldChar w:fldCharType="end"/>
          </w:r>
          <w:r>
            <w:fldChar w:fldCharType="end"/>
          </w:r>
        </w:p>
        <w:p>
          <w:pPr>
            <w:pStyle w:val="10"/>
            <w:tabs>
              <w:tab w:val="right" w:leader="dot" w:pos="9350"/>
            </w:tabs>
          </w:pPr>
          <w:r>
            <w:fldChar w:fldCharType="begin"/>
          </w:r>
          <w:r>
            <w:instrText xml:space="preserve"> HYPERLINK \l "_Toc97956686" </w:instrText>
          </w:r>
          <w:r>
            <w:fldChar w:fldCharType="separate"/>
          </w:r>
          <w:r>
            <w:rPr>
              <w:rStyle w:val="13"/>
            </w:rPr>
            <w:t>Week 9</w:t>
          </w:r>
          <w:r>
            <w:tab/>
          </w:r>
          <w:r>
            <w:fldChar w:fldCharType="begin"/>
          </w:r>
          <w:r>
            <w:instrText xml:space="preserve"> PAGEREF _Toc97956686 \h </w:instrText>
          </w:r>
          <w:r>
            <w:fldChar w:fldCharType="separate"/>
          </w:r>
          <w:r>
            <w:t>13</w:t>
          </w:r>
          <w:r>
            <w:fldChar w:fldCharType="end"/>
          </w:r>
          <w:r>
            <w:fldChar w:fldCharType="end"/>
          </w:r>
        </w:p>
        <w:p>
          <w:pPr>
            <w:pStyle w:val="9"/>
            <w:tabs>
              <w:tab w:val="right" w:leader="dot" w:pos="9350"/>
            </w:tabs>
          </w:pPr>
          <w:r>
            <w:fldChar w:fldCharType="begin"/>
          </w:r>
          <w:r>
            <w:instrText xml:space="preserve"> HYPERLINK \l "_Toc97956687" </w:instrText>
          </w:r>
          <w:r>
            <w:fldChar w:fldCharType="separate"/>
          </w:r>
          <w:r>
            <w:rPr>
              <w:rStyle w:val="13"/>
            </w:rPr>
            <w:t>Conclusion</w:t>
          </w:r>
          <w:r>
            <w:tab/>
          </w:r>
          <w:r>
            <w:fldChar w:fldCharType="begin"/>
          </w:r>
          <w:r>
            <w:instrText xml:space="preserve"> PAGEREF _Toc97956687 \h </w:instrText>
          </w:r>
          <w:r>
            <w:fldChar w:fldCharType="separate"/>
          </w:r>
          <w:r>
            <w:t>14</w:t>
          </w:r>
          <w:r>
            <w:fldChar w:fldCharType="end"/>
          </w:r>
          <w:r>
            <w:fldChar w:fldCharType="end"/>
          </w:r>
        </w:p>
        <w:p>
          <w:pPr>
            <w:pStyle w:val="9"/>
            <w:tabs>
              <w:tab w:val="right" w:leader="dot" w:pos="9350"/>
            </w:tabs>
          </w:pPr>
          <w:r>
            <w:fldChar w:fldCharType="begin"/>
          </w:r>
          <w:r>
            <w:instrText xml:space="preserve"> HYPERLINK \l "_Toc97956688" </w:instrText>
          </w:r>
          <w:r>
            <w:fldChar w:fldCharType="separate"/>
          </w:r>
          <w:r>
            <w:rPr>
              <w:rStyle w:val="13"/>
            </w:rPr>
            <w:t>References</w:t>
          </w:r>
          <w:r>
            <w:tab/>
          </w:r>
          <w:r>
            <w:fldChar w:fldCharType="begin"/>
          </w:r>
          <w:r>
            <w:instrText xml:space="preserve"> PAGEREF _Toc97956688 \h </w:instrText>
          </w:r>
          <w:r>
            <w:fldChar w:fldCharType="separate"/>
          </w:r>
          <w:r>
            <w:t>15</w:t>
          </w:r>
          <w:r>
            <w:fldChar w:fldCharType="end"/>
          </w:r>
          <w:r>
            <w:fldChar w:fldCharType="end"/>
          </w:r>
        </w:p>
        <w:p>
          <w:r>
            <w:rPr>
              <w:b/>
              <w:bCs/>
            </w:rPr>
            <w:fldChar w:fldCharType="end"/>
          </w:r>
        </w:p>
      </w:sdtContent>
    </w:sdt>
    <w:p>
      <w:pPr>
        <w:spacing w:line="259" w:lineRule="auto"/>
        <w:jc w:val="left"/>
      </w:pPr>
      <w:r>
        <w:br w:type="page"/>
      </w:r>
    </w:p>
    <w:p>
      <w:pPr>
        <w:pStyle w:val="2"/>
      </w:pPr>
      <w:bookmarkStart w:id="0" w:name="_Toc97956668"/>
      <w:r>
        <w:t>Introduction</w:t>
      </w:r>
      <w:bookmarkEnd w:id="0"/>
      <w:r>
        <w:t xml:space="preserve"> </w:t>
      </w:r>
    </w:p>
    <w:p>
      <w:r>
        <w:t xml:space="preserve">An effective workplace can be one of the most important aspects that can be helpful for a business to have success in the market. The beliefs, attitudes, values etc. are the factors that can have an impact on the workplace of an organisation. This report has 2 parts. The first is about developing a business report on how organisational behaviour, attitude and beliefs can affect workplaces. This will also include a recommendation on how a business can make changes to deal with the pandemic. The second part of this report will be a reflection on each of the 9 weeks. In there, I will focus on the things which I have learned from those weeks. That means, by using the reflective practice I can assess the things which I have learned.    </w:t>
      </w:r>
    </w:p>
    <w:p/>
    <w:p/>
    <w:p/>
    <w:p/>
    <w:p/>
    <w:p/>
    <w:p/>
    <w:p/>
    <w:p/>
    <w:p/>
    <w:p/>
    <w:p/>
    <w:p/>
    <w:p/>
    <w:p/>
    <w:p/>
    <w:p>
      <w:r>
        <w:t xml:space="preserve">   </w:t>
      </w:r>
    </w:p>
    <w:p>
      <w:pPr>
        <w:pStyle w:val="2"/>
        <w:jc w:val="center"/>
      </w:pPr>
      <w:bookmarkStart w:id="1" w:name="_Toc97956669"/>
      <w:r>
        <w:t>Part 1</w:t>
      </w:r>
      <w:bookmarkEnd w:id="1"/>
    </w:p>
    <w:p>
      <w:pPr>
        <w:pStyle w:val="3"/>
      </w:pPr>
      <w:bookmarkStart w:id="2" w:name="_Toc97956670"/>
      <w:r>
        <w:t>Amazon</w:t>
      </w:r>
      <w:bookmarkEnd w:id="2"/>
      <w:r>
        <w:t xml:space="preserve"> </w:t>
      </w:r>
    </w:p>
    <w:p>
      <w:r>
        <w:t xml:space="preserve">Amazon is a USA based multinational technology company that was established in 1994 by Jeff Bezos (Amazon, 2022). This is among the best companies in the world both in terms of providing quality service to its customers and earning revenue. During the pandemic most of the businesses faces problems but it was a great year for the business. In 2021, the net income of the business is $33.365 billion which was more than $20 billion in 2020 (Sec.gov, 2022). That means, over the years the performance of the business in the market has been improved. There are more than 1608000 employees who work with the business. The author has a plan to develop a career in this organisation in the future and that is why this business has been chosen.    </w:t>
      </w:r>
    </w:p>
    <w:p>
      <w:pPr>
        <w:pStyle w:val="3"/>
      </w:pPr>
      <w:bookmarkStart w:id="3" w:name="_Toc97956671"/>
      <w:r>
        <w:t>Key management theories</w:t>
      </w:r>
      <w:bookmarkEnd w:id="3"/>
    </w:p>
    <w:p>
      <w:r>
        <w:t xml:space="preserve">The two management theories which will be applied here are Taylor’s scientific management theory and McGregor’s theory X and Y. In this part both the theories which have been selected will be briefly analysed so that an effective understanding. </w:t>
      </w:r>
    </w:p>
    <w:p>
      <w:r>
        <w:rPr>
          <w:b/>
        </w:rPr>
        <w:t>Taylor’s scientific management theory:</w:t>
      </w:r>
      <w:r>
        <w:t xml:space="preserve"> The main aspect of this theory is that there is no one right way to do a task (Turan, 2015). That means a single task can be done with effectiveness in multiple ways. Because of this reason this theory has been considered as one of the most effective theories which a business can use for the purpose of making sure that the best action has been taken to manage a business. There are four main principles on which theory is based. The first one is about developing a science for each of the work which a business will have to do. Then the training and selection process of a business has been selected scientifically as well. Cooperating with the employees of the business is the third principle of this process (Awofeso, 2019). The last principle which needs to be followed in here is the divide the work and the responsibility among the employees. The effective use of this theory can ensure the success of a business. </w:t>
      </w:r>
    </w:p>
    <w:p>
      <w:r>
        <w:rPr>
          <w:lang w:val="en-US"/>
        </w:rPr>
        <w:drawing>
          <wp:inline distT="0" distB="0" distL="0" distR="0">
            <wp:extent cx="5486400" cy="2371725"/>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pPr>
        <w:jc w:val="center"/>
      </w:pPr>
      <w:r>
        <w:t>Figure: Principles</w:t>
      </w:r>
    </w:p>
    <w:p>
      <w:pPr>
        <w:jc w:val="center"/>
      </w:pPr>
      <w:r>
        <w:t>Source: (Turan, 2015)</w:t>
      </w:r>
    </w:p>
    <w:p>
      <w:r>
        <w:rPr>
          <w:b/>
        </w:rPr>
        <w:t>McGregor’s Theory X and Y:</w:t>
      </w:r>
      <w:r>
        <w:t xml:space="preserve"> This theory is related to employee motivation and management of a business (Bojadziev et al., 2016). There are two parts to this theory. The first part is known as theory X. In this theory, the management of a business assumes that employees dislike to work and for that action like supervision, control etc. has to be developed. On the other hand theory, Y is based on the aspect employees likes to work and willingly try to provide the best. That is why rewarding employees is important (Gannon and Boguszak, 2013). Based on the mind-set of the management of a business like Amazon the theory which will be used by a business has been determined. But the theory that business management will use must have to be focused on making sure that it is best for its employees.     </w:t>
      </w:r>
    </w:p>
    <w:p>
      <w:r>
        <w:rPr>
          <w:lang w:val="en-US"/>
        </w:rPr>
        <w:drawing>
          <wp:inline distT="0" distB="0" distL="0" distR="0">
            <wp:extent cx="5943600" cy="1933575"/>
            <wp:effectExtent l="0" t="0" r="0" b="9525"/>
            <wp:docPr id="3" name="Picture 3" descr="CIMA E2 Theory - McGregor's Theory X and Y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IMA E2 Theory - McGregor's Theory X and Y - YouTub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943600" cy="1933575"/>
                    </a:xfrm>
                    <a:prstGeom prst="rect">
                      <a:avLst/>
                    </a:prstGeom>
                    <a:noFill/>
                    <a:ln>
                      <a:noFill/>
                    </a:ln>
                  </pic:spPr>
                </pic:pic>
              </a:graphicData>
            </a:graphic>
          </wp:inline>
        </w:drawing>
      </w:r>
      <w:r>
        <w:t xml:space="preserve"> </w:t>
      </w:r>
    </w:p>
    <w:p>
      <w:pPr>
        <w:jc w:val="center"/>
      </w:pPr>
      <w:r>
        <w:t>Figure: McGregor’s Theory X and Y</w:t>
      </w:r>
    </w:p>
    <w:p>
      <w:pPr>
        <w:jc w:val="center"/>
      </w:pPr>
      <w:r>
        <w:t>Source: (Bojadziev et al., 2016)</w:t>
      </w:r>
    </w:p>
    <w:p>
      <w:pPr>
        <w:pStyle w:val="3"/>
      </w:pPr>
      <w:bookmarkStart w:id="4" w:name="_Toc97956672"/>
      <w:r>
        <w:t>Application of the theories to Amazon</w:t>
      </w:r>
      <w:bookmarkEnd w:id="4"/>
      <w:r>
        <w:t xml:space="preserve">   </w:t>
      </w:r>
    </w:p>
    <w:p>
      <w:pPr>
        <w:pStyle w:val="4"/>
      </w:pPr>
      <w:bookmarkStart w:id="5" w:name="_Toc97956673"/>
      <w:r>
        <w:t>Taylor’s scientific management theory</w:t>
      </w:r>
      <w:bookmarkEnd w:id="5"/>
    </w:p>
    <w:p>
      <w:r>
        <w:t xml:space="preserve">By analysing the ways in which Amazon operates in the market it can be seen that the business uses this theory in this warehouse facilities to make sure that the ways in which the business is operating in the market are effective (Kantar, 2019). The main point of the business while using this is to find out the most effective ways to make sure the best use of the storage facility. An important aspect related to the business is that the business changes the strategies frequently to make sure that the best one has been used. A complex digital system has been used by the business to make sure that the movement of each of the employees has been tracked. This has been done by the business to make sure that the coordination and handling process of inventory in the organisation (Guevara, 2021). This is also effective to assess the number of output which the business should shift in each hour. This is also effective for determining the management and leadership approach to make sure that the logistic process that the business is using is effective. That means this scientific management theory has also been used for the purpose of determining the best strategy which the business should use to ensure that the best ways of working has been determined and applied in the business. The effectiveness of those actions has been determined by means of assessing that with the aim and objectives of the business. </w:t>
      </w:r>
    </w:p>
    <w:p>
      <w:r>
        <w:t xml:space="preserve">In Amazon, time and motion study has been used to assess the efficiency of the employees while working. This is related to the theory as well because ensuring the most effective ways of study is part of this theory (Bylund, 2017). Any task that the employees of Amazon conducted has been monitored by a centralised computer system. Apart from that, a wristband has been used to monitor the movement of the employees in each of the stages. The haptic feedback process has been used for the purpose of making sure that instant feedback has been offered to the employees.  For Amazon monitoring, the inventory is one of the most important aspects because the business offers parcel service to the customers. To that technology has been used. There is different tacking process that the business uses for making sure that the performance of the business in the market has been improved (Aggarwal, 2019). A constant process has been used for making sure that the productivity of the employees has been monitored. This has been done by the business to determine the piece rate so that compensation which an employee is getting and the work which the employees are conducting can be similar. From this, it can be clearly seen that Taylor’s scientific management theory has been applied in Amazon’s warehouse management process and it was helpful for the organisation to ensure success. </w:t>
      </w:r>
    </w:p>
    <w:p>
      <w:pPr>
        <w:pStyle w:val="4"/>
      </w:pPr>
      <w:bookmarkStart w:id="6" w:name="_Toc97956674"/>
      <w:r>
        <w:t>McGregor’s Theory X and Y</w:t>
      </w:r>
      <w:bookmarkEnd w:id="6"/>
      <w:r>
        <w:t xml:space="preserve"> </w:t>
      </w:r>
    </w:p>
    <w:p>
      <w:pPr>
        <w:pStyle w:val="19"/>
        <w:bidi w:val="0"/>
      </w:pPr>
      <w:r>
        <w:t xml:space="preserve">The ways in which Amazon operates in the market is helpful to assess that the business uses both theory X and Y (Amazon, 2022). The management of the business thinks that it has both types of employees. There are some employees in the organisation who needs supervision, external rewards along with other things. An effective computerised system has been used in the business to make sure that each movement of the employees in the business. Because of that, employees of Amazon know that they are being watched and for that, the employees will try to give their best. The business has a reward system for the employees who are working with effectiveness in the organisation. This has been used to motivate employees so that they work hard to achieve the goal of the business (Kantar, 2019). A number of employees of Amazon was punished because of the poor quality which has been provided. The business gets success because of this belief of the management. This is true as well because not all the employees who are working in a business might be motivated enough. This can be for the beliefs which the employees have and others aspects. The use of theory X will be helpful in that type of situation. </w:t>
      </w:r>
    </w:p>
    <w:p>
      <w:r>
        <w:t xml:space="preserve">But the management of Amazon mostly believes that the employees who are working with the organisation are motivated and for that, in most cases use of action like employee supervision has not been used (Guevara, 2021). The business is supervised its employees to check the productivity of the employees not to caught mistakes because the management of Amazon believes that its employees are satisfied with their job. There is a chance for each of the employees to have growth in career and this is part of the business management belief. An effective example of how Amazon management is following theory Y is using transformational and democratic leadership to run the business (Bylund, 2017). By this, the business is trying to ensure that the employees of the business will have the chance to take part in the decision-making process and contribute to the success of the business. This is clearly showing that this theory has been fully used by Amazon to ensure that its employees have been motivated. </w:t>
      </w:r>
    </w:p>
    <w:p>
      <w:pPr>
        <w:pStyle w:val="3"/>
      </w:pPr>
      <w:bookmarkStart w:id="7" w:name="_Toc97956675"/>
      <w:r>
        <w:t>Critical evaluation of how someone with different beliefs, attitudes and values can interpret the theory differently</w:t>
      </w:r>
      <w:bookmarkEnd w:id="7"/>
    </w:p>
    <w:p>
      <w:r>
        <w:t xml:space="preserve">The belief, attitude and values of someone are some of the most important factors which will determine how someone interprets the theory. One of the most important aspects of the use of scientific management theory is that there can be multiple ways to ensure that the task that a business is conducting can be done with effectiveness (Turan, 2015). Amazon believes that continuous monitoring of how the employees in the business are working and the process of tracking the inventory is the best way which a business can use to make sure that the effectiveness of the warehouse management process in the business has been ensured. But if a business thinks otherwise then the action of storage management for that business might be different. For example, if the management of a business thinks that employees can work effectively without the monitoring of the management then the best action will be focusing on the output (Bojadziev et al., 2016). That means a change in belief is changing the process in which a business will interpret the theory. </w:t>
      </w:r>
    </w:p>
    <w:p>
      <w:r>
        <w:t xml:space="preserve">McGregor’s theories X and Y express two different sets of beliefs for the management of a business. That means the ways in which the follower of theory X will try to motivate its employees will be different than the follower of theory Y (Gannon and Boguszak, 2013). The belief, attitudes and values which the management of a business has will determine the types of a theory which will be used and that will determine the action which will be taken as well. For example, followers of theory X will be strict and do not believe that employees like work. That is why the action which will be taken by this manager will be different as well. But the follower of theory Y will follow a different approach. This manager believes that employees like to work and act like supervision will not be necessary (Aggarwal, 2019). This is clearly indicating that the belief attitude and values which an individual has will determine how these theories will be interpreted. The process of interpretation to determine the action which will be taken as well.      </w:t>
      </w:r>
    </w:p>
    <w:p>
      <w:pPr>
        <w:pStyle w:val="3"/>
      </w:pPr>
      <w:bookmarkStart w:id="8" w:name="_Toc97956676"/>
      <w:r>
        <w:t>Recommendations</w:t>
      </w:r>
      <w:bookmarkEnd w:id="8"/>
    </w:p>
    <w:p>
      <w:r>
        <w:t xml:space="preserve">The ways in which Amazon managed its workplaces before the pandemic has to be changed to make sure that the effectiveness of the business to deal with the problem will be improved. Because of that belief, attitudes and values related to the process have to be changed. Here are some of the recommendations for the organisation. </w:t>
      </w:r>
    </w:p>
    <w:p>
      <w:pPr>
        <w:pStyle w:val="19"/>
        <w:numPr>
          <w:ilvl w:val="0"/>
          <w:numId w:val="1"/>
        </w:numPr>
      </w:pPr>
      <w:r>
        <w:rPr>
          <w:b/>
        </w:rPr>
        <w:t>The belief about space and surface use has to be changed:</w:t>
      </w:r>
      <w:r>
        <w:t xml:space="preserve"> Warehouse management is one of the most important aspects for Amazon to have success in the market. For that, the business must have to ensure the effectiveness of this process (Cerutti and Grodoski, 2020). The ways in which the business was working before the pandemic has to be changed because this might not be effective. The reason behind that is the new rules and regulation which has been approved by the UK government will not allow an employee to work in close proximity. That is why the business has not to think critically about how to use its space and surface. The scientific management theory of management suggests that there might be more than one way to ensure the effectiveness of a task. This will be helpful for the business to make sure that space and surface have been used by following the established rules. </w:t>
      </w:r>
    </w:p>
    <w:p>
      <w:pPr>
        <w:pStyle w:val="19"/>
        <w:numPr>
          <w:ilvl w:val="0"/>
          <w:numId w:val="1"/>
        </w:numPr>
      </w:pPr>
      <w:r>
        <w:rPr>
          <w:b/>
        </w:rPr>
        <w:t>Focus on employee safety:</w:t>
      </w:r>
      <w:r>
        <w:t xml:space="preserve"> The attitude, belief and value of Amazon about the safety of the employees have to be changed. Ensuring employees’ safety is important for the business to ensure that the employees are motivated and at the same time it is not a one-time process. That means, in each stage of the operation, Amazon will have to focus on employee safety (Kantar, 2019). This situation has been created because of a pandemic. The mind-set of the employees about employee safety has been changed and for that employees might want that Amazon will try to ensure employee safety at all times. The level of employee motivation and the ability of a business to have success in the market will be increased because this is in the post-COVID-19 era. </w:t>
      </w:r>
    </w:p>
    <w:p>
      <w:pPr>
        <w:pStyle w:val="19"/>
        <w:numPr>
          <w:ilvl w:val="0"/>
          <w:numId w:val="1"/>
        </w:numPr>
      </w:pPr>
      <w:r>
        <w:rPr>
          <w:b/>
        </w:rPr>
        <w:t>Focus on employee mental health and wellbeing:</w:t>
      </w:r>
      <w:r>
        <w:t xml:space="preserve"> In the workplace, this is among the most important aspect which has been neglected for a longer period of time. But COVID-19 changed that. This pandemic opens the eyes of both the employees and the management of a business that employee mental health has a direct connection with the productivity of the employees (Bylund, 2017). If a business is able to ensure that the mental health of its employees has been ensured then the business will have the chance to achieve a competitive advantage. Amazon’s ability to deal with the pandemic will be improved and the sustainability of the business in the market will be ensured as well.        </w:t>
      </w:r>
    </w:p>
    <w:p>
      <w:r>
        <w:rPr>
          <w:lang w:val="en-US"/>
        </w:rPr>
        <w:drawing>
          <wp:inline distT="0" distB="0" distL="0" distR="0">
            <wp:extent cx="5486400" cy="2362200"/>
            <wp:effectExtent l="19050" t="19050" r="19050" b="381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pPr>
        <w:jc w:val="center"/>
      </w:pPr>
      <w:r>
        <w:t>Figure: Recommendations</w:t>
      </w:r>
    </w:p>
    <w:p>
      <w:pPr>
        <w:jc w:val="center"/>
      </w:pPr>
      <w:r>
        <w:t>Source: (Cerutti and Grodoski, 2020)</w:t>
      </w:r>
    </w:p>
    <w:p>
      <w:pPr>
        <w:pStyle w:val="2"/>
        <w:jc w:val="center"/>
      </w:pPr>
      <w:bookmarkStart w:id="9" w:name="_Toc97956677"/>
      <w:r>
        <w:t>Part 2</w:t>
      </w:r>
      <w:bookmarkEnd w:id="9"/>
    </w:p>
    <w:p>
      <w:r>
        <w:t xml:space="preserve">In this part of this report, I will focus on the learning which has been taking place during the 9 weeks and the exercises which I have completed. This will be helpful for me to develop an effective understanding of developing workplace critical thinking. </w:t>
      </w:r>
    </w:p>
    <w:p>
      <w:pPr>
        <w:pStyle w:val="3"/>
      </w:pPr>
      <w:bookmarkStart w:id="10" w:name="_Toc97956678"/>
      <w:r>
        <w:t>Week 1</w:t>
      </w:r>
      <w:bookmarkEnd w:id="10"/>
    </w:p>
    <w:p>
      <w:r>
        <w:t xml:space="preserve">This week started with the rights and responsibilities which a student has. Knowing about that was helpful for me to assess what I will get from this module and the things which I will have to follow. After that, the aim of this session has been communicated and this was important to make sure that I have knowledge which I will do in this session. The assessment in which I will have to take part was an important aspect of this week. From this week I have learned that there is four contexts in the workplace on which focus should be given. Those are beliefs, attitudes, values and emotions (Brookfield, 2012). The management theories which I can to do this task has been analysed as well. From this, I get the idea that I can use scientific management theory (Jensen, 2017). Because of this session now I know that there are two types of reasoning inductive and deductive the use of these in the workplace has been analysed as well. The process which can be used for the purpose of using the Harvard referencing system has been analysed there as well.  </w:t>
      </w:r>
    </w:p>
    <w:p>
      <w:pPr>
        <w:pStyle w:val="3"/>
      </w:pPr>
      <w:bookmarkStart w:id="11" w:name="_Toc97956679"/>
      <w:r>
        <w:t>Week 2</w:t>
      </w:r>
      <w:bookmarkEnd w:id="11"/>
    </w:p>
    <w:p>
      <w:r>
        <w:t xml:space="preserve">I have also developed knowledge about each of the four contexts of workplace critical thinking from this week. Know I know that belief is an internal feeling of an individual which is true regardless of its unproven nature (Anderson and De Silva, 2009). The same author defines value as the process of measuring the importance of something like freedom. The ways in which an individual express values through words and behaviour is attitudes. The feelings which are intense and short-lived are known as emotion (Clay-Warner and Robinson, 2008). All of these are important to make sure that an effective understanding of the workplace has been developed. The importance of critical thinking has been analysed in her as well because without achieving success might not be possible. Five themes of critical thinking have been analysed here and four components. An individual by analysing this will have the chance to have success in critical thinking. The exercise on reading the article and the group discussion on that was helpful for me to develop critical thinking about the workplace. </w:t>
      </w:r>
    </w:p>
    <w:p>
      <w:pPr>
        <w:pStyle w:val="3"/>
      </w:pPr>
      <w:bookmarkStart w:id="12" w:name="_Toc97956680"/>
      <w:r>
        <w:t>Weak 3</w:t>
      </w:r>
      <w:bookmarkEnd w:id="12"/>
      <w:r>
        <w:t xml:space="preserve"> </w:t>
      </w:r>
    </w:p>
    <w:p>
      <w:r>
        <w:t xml:space="preserve">In this week, creative thinking skills which a leader should have been analysed. The mind map which has been presented here is help to assess which part of the brain will work to do what. Creative thinking is important to make sure that a leader will have the chance to make sure that an effective workplace has been developed. Some of the most effective creative thinking skills include suspending judgement, subjective, divergence, abstract, generative, associative, visual and cooperative (Cottrell, 2017). The individual who will have these might be able to make sure that the process of leading is effective. Critical thinking enables a leader to recognise problems, realise the importance of prioritisation and ensure that the most effective solution has been identified (Root, 2017). There are ways in which critical thinking can be practised. Systems thinking and strategic thinking are important in this case. This was also helpful to assess the common failures. D.A.T.T is the tool that can be used for critical thinking. As per this theory, the key to success is focus, objectivity and comprehensiveness. The P Wheel, SWOT and gap analysis can also be used here. </w:t>
      </w:r>
    </w:p>
    <w:p>
      <w:pPr>
        <w:pStyle w:val="3"/>
      </w:pPr>
      <w:bookmarkStart w:id="13" w:name="_Toc97956681"/>
      <w:r>
        <w:t>Weak 4</w:t>
      </w:r>
      <w:bookmarkEnd w:id="13"/>
    </w:p>
    <w:p>
      <w:r>
        <w:t xml:space="preserve">This week analyses the changing business environment. Different characteristics of changing business environment have been analysed so that the ways in which the business environment is changing can be analysed. There is some aspect that determines whether an individual will be successful or not. Communication skills, interpersonal skills and intellectual skills are the three most important attributes which an accountant should have. Creative thinking is the centre of all of these. There are some questions that need to be asked to think critically and asking those is important (Becker, 2015). A YouTube link has been shared which can be used to learn about critical thinking. Inductive and deductive are the two logic of critical thinking. There are five stages that should be followed for problem solving and decision makes purposes. Scientific management has been described as one of the most effective theories of management which a business can use. The Gantt chart has been analysed so that the timetable for a task can be determined. I have taken part in an exercise that includes 6 students where we have assessed the process on which scientific management theory can be applied.                </w:t>
      </w:r>
    </w:p>
    <w:p>
      <w:pPr>
        <w:pStyle w:val="3"/>
      </w:pPr>
      <w:bookmarkStart w:id="14" w:name="_Toc97956682"/>
      <w:r>
        <w:t>Week 5</w:t>
      </w:r>
      <w:bookmarkEnd w:id="14"/>
    </w:p>
    <w:p>
      <w:r>
        <w:t xml:space="preserve">The aim of this week was </w:t>
      </w:r>
      <w:r>
        <w:t>De Bono</w:t>
      </w:r>
      <w:r>
        <w:rPr>
          <w:rFonts w:hint="default"/>
        </w:rPr>
        <w:t xml:space="preserve">’s 6 tkinking Hats </w:t>
      </w:r>
      <w:r>
        <w:t xml:space="preserve">to summarise critical thinking and analyse system theory. All the four components of CT has been analysed here in detail again and the definition of belief, value, attitude and emotion has been communicated. The main focus of this week was the system theory which has been given by Ludwig von Bertalanffy in the 1940s (Beven, 2006). A system is a set of objects which are related to one another. There are different aspect of this theory which has to be considered in detail. The main task of a system is to convert information or materials within a product that can be used (Choudhury, 2014). A system can be an open or a closed system. Communication, subsystems, interface and goal directness are the characteristics of system theory that I have learned from this. An organisation and the employees who are working in the business will have the benefit of this. There are some limitations of this which can be seen from the case analysis of General Motors. This week was very helpful for me to know about the system theory. The exercise which we have done this week was about analysing a business case study. </w:t>
      </w:r>
      <w:r>
        <w:t>Also we have discus about the Management and Bureaucracy Experience .</w:t>
      </w:r>
    </w:p>
    <w:p>
      <w:pPr>
        <w:pStyle w:val="3"/>
      </w:pPr>
      <w:bookmarkStart w:id="15" w:name="_Toc97956683"/>
      <w:r>
        <w:t>Week 6</w:t>
      </w:r>
      <w:bookmarkEnd w:id="15"/>
    </w:p>
    <w:p>
      <w:r>
        <w:t>Four things have been analysed this week. Those were CT poles, skills required for decision making and CT, contingency management theory and the process which can be used to put theory into practice. The process of making important choices is known as decision making (Cambridge, 2018). From this, I now know that in the workplace decision making is among the most important aspect on which focus should be given. There are stages of decision making on which I will have to focus on. The examples which have been shared was helpful for me to make sure that I will have a good understanding of the decision-making process (Doyle, 2011). I have learned that contingency</w:t>
      </w:r>
      <w:bookmarkStart w:id="21" w:name="_GoBack"/>
      <w:bookmarkEnd w:id="21"/>
      <w:r>
        <w:t xml:space="preserve"> theory is among the most effective theories which the leaders of a business can use for making sure that an effective decision has been developed. There is some key characteristic of this theory on which focus should be given to have success. The exercise this week was about the feedback on the formative work which has been submitted.     </w:t>
      </w:r>
    </w:p>
    <w:p>
      <w:pPr>
        <w:pStyle w:val="3"/>
      </w:pPr>
      <w:bookmarkStart w:id="16" w:name="_Toc97956684"/>
      <w:r>
        <w:t>Week 7</w:t>
      </w:r>
      <w:bookmarkEnd w:id="16"/>
    </w:p>
    <w:p>
      <w:r>
        <w:t xml:space="preserve">From this week I have learned different aspects about the business environment and the things which can have an impact on this. Managing innovation and creativity is important to make sure that the working process will be effective. This was helpful for me to develop knowledge about the aspect that strategy and planning, marketing, technological process, quality management, logistics and HR are the 6 most important areas related to the innovation potential of a business (Cottrell, 2017). There are lots of things that are related to these 6 areas as well and I was able to develop a clear understanding of those forms this week. A diagram has been used here to show the objectives of the process model. R&amp;D, production and marketing are the three things that can be used for the purpose of conducting innovation (Root, 2017). There are things that I have to do and not do to make sure that the process of innovation which I am using is effective. I had the chance to learn about different case studies which I can use for the purpose of developing my understanding further on which topic. Overall my knowledge about innovation has been developed further because of this week.         </w:t>
      </w:r>
    </w:p>
    <w:p>
      <w:pPr>
        <w:pStyle w:val="3"/>
      </w:pPr>
      <w:bookmarkStart w:id="17" w:name="_Toc97956685"/>
      <w:r>
        <w:t>Week 8</w:t>
      </w:r>
      <w:bookmarkEnd w:id="17"/>
    </w:p>
    <w:p>
      <w:r>
        <w:t xml:space="preserve">Managing change and stakeholder analysis are the two most important things which the management of a business should consider while taking decisions and these are important. ADKAR is among the most effective theories which can be used for the purpose of managing change (Czichos, 2014). This was helpful for me to develop knowledge about the fact that change management is the process of making sure that the need for change has been identified and the areas in which change should be made has been assessed. Current, transition and future state have to be considered here. I now know that there are lots of benefits that a business can have for effective change management in the business. The ways in which the ADKAR model can be applied has been analysed here as well. A business must need to have a clear knowledge about who are the stakeholders of a business and the process in which the business can deal with these people (Freeman, 1984). My knowledge about this aspect has been developed because of this week. This was helpful for me to make sure that I will have the ability to conduct stakeholder analysis with effectiveness in the future. </w:t>
      </w:r>
    </w:p>
    <w:p>
      <w:pPr>
        <w:pStyle w:val="3"/>
      </w:pPr>
      <w:bookmarkStart w:id="18" w:name="_Toc97956686"/>
      <w:r>
        <w:t>Week 9</w:t>
      </w:r>
      <w:bookmarkEnd w:id="18"/>
    </w:p>
    <w:p>
      <w:r>
        <w:t xml:space="preserve">Controlling an organisation is an important aspect that can be helpful for a business to ensure that the business is going on the right path to achieve the aim and objectives of a business. Now I know that organisational control is the process in which the performance of the employees has been monitored so that the effectiveness of the employee performance can be evaluated and if there is any problem then action can be developed to solve that (Sutcliffe and McNamara, 2021). I might not have an effective idea about it without taking part in this class. There are different aspect which has to be considered to make sure that the process in which a business is trying to establish control is effective. There are some KPIs that can be used for the purpose of making sure that the performance has been evaluated with effectiveness. Those are profit ratio, ROI, operation margin, liquidity ratio and leverage ratios (Jones and George, 2007). Output control is an effective way of making sure that the process of controlling will be effective. There is some problem with the process of controlling which needs to be considered as well. The use of an effective theory is also important here.      </w:t>
      </w:r>
    </w:p>
    <w:p>
      <w:pPr>
        <w:pStyle w:val="2"/>
      </w:pPr>
      <w:bookmarkStart w:id="19" w:name="_Toc97956687"/>
      <w:r>
        <w:t>Conclusion</w:t>
      </w:r>
      <w:bookmarkEnd w:id="19"/>
      <w:r>
        <w:t xml:space="preserve"> </w:t>
      </w:r>
    </w:p>
    <w:p>
      <w:r>
        <w:t xml:space="preserve">The workplace behaviour of Amazon has been affected greatly because of beliefs, values and attitudes. The use of the scientific management theory of Taylor and McGregor's Theory X and Y was helpful in this aspect. The application of both theories was helpful to analyse the process in which the business uses its beliefs, values and attitude to make sure that the ways in which the business is working will be effective. Several recommendations have been provided so that Amazon can improve its performance. Each of the 9 weeks I have learned different things. I will be to use this in my future career of mine.           </w:t>
      </w:r>
    </w:p>
    <w:p/>
    <w:p/>
    <w:p/>
    <w:p/>
    <w:p/>
    <w:p/>
    <w:p/>
    <w:p/>
    <w:p/>
    <w:p/>
    <w:p/>
    <w:p/>
    <w:p/>
    <w:p/>
    <w:p/>
    <w:p/>
    <w:p/>
    <w:p/>
    <w:p>
      <w:pPr>
        <w:pStyle w:val="2"/>
      </w:pPr>
      <w:bookmarkStart w:id="20" w:name="_Toc97956688"/>
      <w:r>
        <w:t>References</w:t>
      </w:r>
      <w:bookmarkEnd w:id="20"/>
    </w:p>
    <w:p>
      <w:pPr>
        <w:pStyle w:val="7"/>
        <w:spacing w:before="0" w:beforeAutospacing="0" w:after="240" w:afterAutospacing="0" w:line="360" w:lineRule="auto"/>
        <w:rPr>
          <w:sz w:val="24"/>
        </w:rPr>
      </w:pPr>
      <w:r>
        <w:t xml:space="preserve">Aggarwal, M. (2019). The Cost and Benefits of Platforms: Study of Amazon Inc. </w:t>
      </w:r>
      <w:r>
        <w:rPr>
          <w:i/>
          <w:iCs/>
        </w:rPr>
        <w:t>Academy of Management Proceedings</w:t>
      </w:r>
      <w:r>
        <w:t>, 2019(1), p.13302.</w:t>
      </w:r>
    </w:p>
    <w:p>
      <w:pPr>
        <w:pStyle w:val="7"/>
        <w:spacing w:before="0" w:beforeAutospacing="0" w:after="240" w:afterAutospacing="0" w:line="360" w:lineRule="auto"/>
      </w:pPr>
      <w:r>
        <w:t xml:space="preserve">Amazon (2022). </w:t>
      </w:r>
      <w:r>
        <w:rPr>
          <w:i/>
          <w:iCs/>
        </w:rPr>
        <w:t>Amazon.com</w:t>
      </w:r>
      <w:r>
        <w:t>. [online] Amazon.com. Available at: https://www.amazon.com/s?i=merchant-items&amp;me=A3V0BPV3DNW6U4 [Accessed 11 Mar. 2022].</w:t>
      </w:r>
    </w:p>
    <w:p>
      <w:r>
        <w:t>Anderson, M., De Silva, S., (2009).  Believes, Values, Attitudes, Me and us Ltd.</w:t>
      </w:r>
    </w:p>
    <w:p>
      <w:pPr>
        <w:pStyle w:val="7"/>
        <w:spacing w:before="0" w:beforeAutospacing="0" w:after="240" w:afterAutospacing="0" w:line="360" w:lineRule="auto"/>
      </w:pPr>
      <w:r>
        <w:t xml:space="preserve">Awofeso, O. (2019). Managing Formal Organizations in the 21st Century: A Critique of Fredrick Taylor’s Scientific Management Theory. </w:t>
      </w:r>
      <w:r>
        <w:rPr>
          <w:i/>
          <w:iCs/>
        </w:rPr>
        <w:t>Journal of Public Management Research</w:t>
      </w:r>
      <w:r>
        <w:t>, 5(2), p.1.</w:t>
      </w:r>
    </w:p>
    <w:p>
      <w:r>
        <w:t>Becker, J., (2015). Nursing summit</w:t>
      </w:r>
    </w:p>
    <w:p>
      <w:r>
        <w:t>Beven, K. (2006). A manifesto for the equifinality thesis. Journal of hydrology, 320(1), 18-36.</w:t>
      </w:r>
    </w:p>
    <w:p>
      <w:pPr>
        <w:pStyle w:val="7"/>
        <w:spacing w:before="0" w:beforeAutospacing="0" w:after="240" w:afterAutospacing="0" w:line="360" w:lineRule="auto"/>
      </w:pPr>
      <w:r>
        <w:t xml:space="preserve">Bojadziev, M., Stefanovska-Petkovska, M., Handziski, V. and Barlakoska, G. (2016). Age Related Preferences of Leadership Style: Testing McGregor’s Theory X and Y. </w:t>
      </w:r>
      <w:r>
        <w:rPr>
          <w:i/>
          <w:iCs/>
        </w:rPr>
        <w:t>Journal of Management Research</w:t>
      </w:r>
      <w:r>
        <w:t>, 8(4), p.187.</w:t>
      </w:r>
    </w:p>
    <w:p>
      <w:r>
        <w:t>Brookfield. S., (2012). Teaching for critical thinking : tools and techniques to help students question their assumptions.</w:t>
      </w:r>
    </w:p>
    <w:p>
      <w:pPr>
        <w:pStyle w:val="7"/>
        <w:spacing w:before="0" w:beforeAutospacing="0" w:after="240" w:afterAutospacing="0" w:line="360" w:lineRule="auto"/>
      </w:pPr>
      <w:r>
        <w:t xml:space="preserve">Bylund, P. (2017). </w:t>
      </w:r>
      <w:r>
        <w:rPr>
          <w:i/>
          <w:iCs/>
        </w:rPr>
        <w:t>Amazon’s Lesson About Disruption: Rattle Any Market You Can</w:t>
      </w:r>
      <w:r>
        <w:t>. [online] Entrepreneur. Available at: https://www.entrepreneur.com/article/299129.</w:t>
      </w:r>
    </w:p>
    <w:p>
      <w:pPr>
        <w:pStyle w:val="7"/>
        <w:spacing w:before="0" w:beforeAutospacing="0" w:after="240" w:afterAutospacing="0" w:line="360" w:lineRule="auto"/>
      </w:pPr>
      <w:r>
        <w:t xml:space="preserve">Cerutti, K. and Grodoski, L. (2020). </w:t>
      </w:r>
      <w:r>
        <w:rPr>
          <w:i/>
          <w:iCs/>
        </w:rPr>
        <w:t>Reshape the Workplace: Five Post-COVID Behaviors and Attitudes</w:t>
      </w:r>
      <w:r>
        <w:t>. [online] Work Design Magazine. Available at: https://www.workdesign.com/2020/06/five-post-covid-behaviors-and-attitudes-that-will-reshape-the-workplace/.</w:t>
      </w:r>
    </w:p>
    <w:p>
      <w:r>
        <w:t>Clay-Warner, J, Robinson, T., W., (2008). Social Structure and Emotion, Elsevier.</w:t>
      </w:r>
    </w:p>
    <w:p>
      <w:pPr>
        <w:pStyle w:val="7"/>
        <w:spacing w:before="0" w:beforeAutospacing="0" w:after="240" w:afterAutospacing="0" w:line="360" w:lineRule="auto"/>
      </w:pPr>
      <w:r>
        <w:t xml:space="preserve">Cottrell, S. (2017). </w:t>
      </w:r>
      <w:r>
        <w:rPr>
          <w:i/>
          <w:iCs/>
        </w:rPr>
        <w:t>Critical thinking skills : developing effective analysis and argument</w:t>
      </w:r>
      <w:r>
        <w:t>. 3rd ed. Basingstoke: Palgrave Macmillan.</w:t>
      </w:r>
    </w:p>
    <w:p>
      <w:pPr>
        <w:pStyle w:val="7"/>
        <w:spacing w:before="0" w:beforeAutospacing="0" w:after="240" w:afterAutospacing="0" w:line="360" w:lineRule="auto"/>
      </w:pPr>
      <w:r>
        <w:t xml:space="preserve">Czichos, R. (2014). </w:t>
      </w:r>
      <w:r>
        <w:rPr>
          <w:i/>
          <w:iCs/>
        </w:rPr>
        <w:t>Change Management</w:t>
      </w:r>
      <w:r>
        <w:t>. Freiburg Im Breisgau Haufe-Lexware.</w:t>
      </w:r>
    </w:p>
    <w:p>
      <w:r>
        <w:t>Doyle, A., (2018). Decision making skills with examples, accessed on 25.03.2018 at https://www.thebalance.com/decision-making-skills-with-examples-2063748.</w:t>
      </w:r>
    </w:p>
    <w:p>
      <w:pPr>
        <w:pStyle w:val="7"/>
        <w:spacing w:before="0" w:beforeAutospacing="0" w:after="240" w:afterAutospacing="0" w:line="360" w:lineRule="auto"/>
      </w:pPr>
      <w:r>
        <w:t xml:space="preserve">Gannon, D. and Boguszak, A. (2013). DOUGLAS MCGREGOR’S THEORY X AND THEORY Y. </w:t>
      </w:r>
      <w:r>
        <w:rPr>
          <w:i/>
          <w:iCs/>
        </w:rPr>
        <w:t>CRIS - Bulletin of the Centre for Research and Interdisciplinary Study</w:t>
      </w:r>
      <w:r>
        <w:t>, 2013(2), pp.85–93.</w:t>
      </w:r>
    </w:p>
    <w:p>
      <w:pPr>
        <w:pStyle w:val="7"/>
        <w:spacing w:before="0" w:beforeAutospacing="0" w:after="240" w:afterAutospacing="0" w:line="360" w:lineRule="auto"/>
      </w:pPr>
      <w:r>
        <w:t xml:space="preserve">Guevara, N. (2021). </w:t>
      </w:r>
      <w:r>
        <w:rPr>
          <w:i/>
          <w:iCs/>
        </w:rPr>
        <w:t>Amazon’s John Schoettler has helped change how we think of corporate campuses</w:t>
      </w:r>
      <w:r>
        <w:t>. [online] Bizjournals.com. Available at: https://www.bizjournals.com/seattle/news/2020/11/17/skyline-shaper-john-schoettler.html [Accessed 21 Mar. 2021].</w:t>
      </w:r>
    </w:p>
    <w:p>
      <w:r>
        <w:t>Jensen, K., (2017). Changes That May Occur in the Workplace That May Affect Employees on http://smallbusiness.chron.com/changes-may-occur-workplace-may-affect-employees-18601.html</w:t>
      </w:r>
    </w:p>
    <w:p>
      <w:r>
        <w:t>Jones, G. and George, J. (2007).Contemporary management. 5th ed. Boston: McGraw-Hill/Irwin.</w:t>
      </w:r>
    </w:p>
    <w:p>
      <w:pPr>
        <w:pStyle w:val="7"/>
        <w:spacing w:before="0" w:beforeAutospacing="0" w:after="240" w:afterAutospacing="0" w:line="360" w:lineRule="auto"/>
      </w:pPr>
      <w:r>
        <w:t xml:space="preserve">Kantar (2019). </w:t>
      </w:r>
      <w:r>
        <w:rPr>
          <w:i/>
          <w:iCs/>
        </w:rPr>
        <w:t>Accelerated Growth Sees Amazon Crowned 2019’s BrandZ</w:t>
      </w:r>
      <w:r>
        <w:rPr>
          <w:i/>
          <w:iCs/>
          <w:vertAlign w:val="superscript"/>
        </w:rPr>
        <w:t>TM</w:t>
      </w:r>
      <w:r>
        <w:rPr>
          <w:i/>
          <w:iCs/>
        </w:rPr>
        <w:t xml:space="preserve"> Top 100 Most Valuable Global Brand</w:t>
      </w:r>
      <w:r>
        <w:t>. [online] www.prnewswire.com. Available at: https://www.prnewswire.com/news-releases/accelerated-growth-sees-amazon-crowned-2019s-brandz-top-100-most-valuable-global-brand-300863486.html.</w:t>
      </w:r>
    </w:p>
    <w:p>
      <w:r>
        <w:t>Root, G., (2017). Examples of Organization Change on http://smallbusiness.chron.com/examples-organization-change-11694.html</w:t>
      </w:r>
    </w:p>
    <w:p>
      <w:pPr>
        <w:pStyle w:val="7"/>
        <w:spacing w:before="0" w:beforeAutospacing="0" w:after="240" w:afterAutospacing="0" w:line="360" w:lineRule="auto"/>
      </w:pPr>
      <w:r>
        <w:t xml:space="preserve">Sec.gov (2022). </w:t>
      </w:r>
      <w:r>
        <w:rPr>
          <w:i/>
          <w:iCs/>
        </w:rPr>
        <w:t>Inline XBRL Viewer</w:t>
      </w:r>
      <w:r>
        <w:t>. [online] www.sec.gov. Available at: https://www.sec.gov/ix?doc=/Archives/edgar/data/1018724/000101872421000004/amzn-20201231.htm.</w:t>
      </w:r>
    </w:p>
    <w:p>
      <w:r>
        <w:t>Soumya Choudhary., (2014). Systems Approach Theory (With Case Study) accessed on https://www.slideshare.net/SoumyaChoudhary/systems-approach-theory-with-case-study on 1 April 2018.</w:t>
      </w:r>
    </w:p>
    <w:p>
      <w:pPr>
        <w:pStyle w:val="7"/>
        <w:spacing w:before="0" w:beforeAutospacing="0" w:after="240" w:afterAutospacing="0" w:line="360" w:lineRule="auto"/>
      </w:pPr>
      <w:r>
        <w:t xml:space="preserve">Sutcliffe, K.M. and McNamara, G., (2021). Controlling Decision-Making Practice in Organizations. </w:t>
      </w:r>
      <w:r>
        <w:rPr>
          <w:i/>
          <w:iCs/>
        </w:rPr>
        <w:t>Organization Science</w:t>
      </w:r>
      <w:r>
        <w:t>, 12(4), pp.484–501.</w:t>
      </w:r>
    </w:p>
    <w:p>
      <w:pPr>
        <w:pStyle w:val="7"/>
        <w:spacing w:before="0" w:beforeAutospacing="0" w:after="240" w:afterAutospacing="0" w:line="360" w:lineRule="auto"/>
      </w:pPr>
      <w:r>
        <w:t xml:space="preserve">Turan, H. (2015). Taylor’s “Scientific Management Principles”: Contemporary Issues in Personnel Selection Period. </w:t>
      </w:r>
      <w:r>
        <w:rPr>
          <w:i/>
          <w:iCs/>
        </w:rPr>
        <w:t>Journal of Economics, Business and Management</w:t>
      </w:r>
      <w:r>
        <w:t xml:space="preserve">, [online] 3(11). Available at: </w:t>
      </w:r>
      <w:r>
        <w:fldChar w:fldCharType="begin"/>
      </w:r>
      <w:r>
        <w:instrText xml:space="preserve"> HYPERLINK "http://www.joebm.com/papers/342-M031.pdf" </w:instrText>
      </w:r>
      <w:r>
        <w:fldChar w:fldCharType="separate"/>
      </w:r>
      <w:r>
        <w:rPr>
          <w:rStyle w:val="13"/>
        </w:rPr>
        <w:t>http://www.joebm.com/papers/342-M031.pdf</w:t>
      </w:r>
      <w:r>
        <w:rPr>
          <w:rStyle w:val="13"/>
        </w:rPr>
        <w:fldChar w:fldCharType="end"/>
      </w:r>
      <w:r>
        <w:t>.</w:t>
      </w:r>
    </w:p>
    <w:sectPr>
      <w:footerReference r:id="rId3" w:type="default"/>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Calibri">
    <w:altName w:val="Helvetica Neue"/>
    <w:panose1 w:val="020F0502020204030204"/>
    <w:charset w:val="86"/>
    <w:family w:val="swiss"/>
    <w:pitch w:val="default"/>
    <w:sig w:usb0="00000000" w:usb1="00000000" w:usb2="00000001" w:usb3="00000000" w:csb0="0000019F" w:csb1="00000000"/>
  </w:font>
  <w:font w:name="Segoe UI">
    <w:altName w:val="苹方-简"/>
    <w:panose1 w:val="020B0502040204020203"/>
    <w:charset w:val="00"/>
    <w:family w:val="swiss"/>
    <w:pitch w:val="default"/>
    <w:sig w:usb0="00000000" w:usb1="00000000" w:usb2="00000009" w:usb3="00000000" w:csb0="000001FF" w:csb1="00000000"/>
  </w:font>
  <w:font w:name="Calibri Light">
    <w:altName w:val="Helvetica Neue"/>
    <w:panose1 w:val="020F0302020204030204"/>
    <w:charset w:val="00"/>
    <w:family w:val="swiss"/>
    <w:pitch w:val="default"/>
    <w:sig w:usb0="00000000" w:usb1="00000000" w:usb2="00000009" w:usb3="00000000" w:csb0="000001FF" w:csb1="00000000"/>
  </w:font>
  <w:font w:name="Hiragino Sans GB">
    <w:panose1 w:val="020B0300000000000000"/>
    <w:charset w:val="86"/>
    <w:family w:val="auto"/>
    <w:pitch w:val="default"/>
    <w:sig w:usb0="A00002BF" w:usb1="1ACF7CFA" w:usb2="00000016" w:usb3="00000000" w:csb0="00060007" w:csb1="00000000"/>
  </w:font>
  <w:font w:name="Arial Bold">
    <w:panose1 w:val="020B0604020202090204"/>
    <w:charset w:val="00"/>
    <w:family w:val="auto"/>
    <w:pitch w:val="default"/>
    <w:sig w:usb0="E0000AFF" w:usb1="00007843" w:usb2="00000001" w:usb3="00000000" w:csb0="400001BF" w:csb1="DFF70000"/>
  </w:font>
  <w:font w:name="Calibri">
    <w:altName w:val="Helvetica Neue"/>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0"/>
    </w:sdtPr>
    <w:sdtContent>
      <w:p>
        <w:pPr>
          <w:pStyle w:val="5"/>
          <w:jc w:val="center"/>
        </w:pPr>
        <w:r>
          <w:fldChar w:fldCharType="begin"/>
        </w:r>
        <w:r>
          <w:instrText xml:space="preserve"> PAGE   \* MERGEFORMAT </w:instrText>
        </w:r>
        <w:r>
          <w:fldChar w:fldCharType="separate"/>
        </w:r>
        <w:r>
          <w:t>15</w:t>
        </w:r>
        <w:r>
          <w:fldChar w:fldCharType="end"/>
        </w:r>
      </w:p>
    </w:sdtContent>
  </w:sdt>
  <w:p>
    <w:pPr>
      <w:pStyle w:val="5"/>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52508E6"/>
    <w:multiLevelType w:val="multilevel"/>
    <w:tmpl w:val="652508E6"/>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QxMTEwNTIwMjI1sbBQ0lEKTi0uzszPAykwrgUAJQkP8iwAAAA="/>
  </w:docVars>
  <w:rsids>
    <w:rsidRoot w:val="002D29F8"/>
    <w:rsid w:val="00042B90"/>
    <w:rsid w:val="0006656C"/>
    <w:rsid w:val="00190C36"/>
    <w:rsid w:val="00194D97"/>
    <w:rsid w:val="001F5F69"/>
    <w:rsid w:val="00222F22"/>
    <w:rsid w:val="002D29F8"/>
    <w:rsid w:val="00300E16"/>
    <w:rsid w:val="00344697"/>
    <w:rsid w:val="004135CC"/>
    <w:rsid w:val="00485FED"/>
    <w:rsid w:val="004A57DF"/>
    <w:rsid w:val="004B2DAB"/>
    <w:rsid w:val="0050177B"/>
    <w:rsid w:val="00510FF3"/>
    <w:rsid w:val="0051413A"/>
    <w:rsid w:val="00522DE6"/>
    <w:rsid w:val="005C608A"/>
    <w:rsid w:val="0064649E"/>
    <w:rsid w:val="006B373B"/>
    <w:rsid w:val="006F42DF"/>
    <w:rsid w:val="0074368A"/>
    <w:rsid w:val="00772C8B"/>
    <w:rsid w:val="007F104B"/>
    <w:rsid w:val="008E1D8E"/>
    <w:rsid w:val="00920DDF"/>
    <w:rsid w:val="009A4C9A"/>
    <w:rsid w:val="00A67FD5"/>
    <w:rsid w:val="00B376F6"/>
    <w:rsid w:val="00C82067"/>
    <w:rsid w:val="00CE06D8"/>
    <w:rsid w:val="00D16576"/>
    <w:rsid w:val="00DA034D"/>
    <w:rsid w:val="00E30CD7"/>
    <w:rsid w:val="00E45AC4"/>
    <w:rsid w:val="00EA00FD"/>
    <w:rsid w:val="00EB1E98"/>
    <w:rsid w:val="3B2FDA3A"/>
    <w:rsid w:val="3E6F6FF1"/>
    <w:rsid w:val="77FFCD7E"/>
    <w:rsid w:val="BCFE8D93"/>
    <w:rsid w:val="FF3F81C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Arial" w:hAnsi="Arial" w:eastAsiaTheme="minorHAnsi" w:cstheme="minorBidi"/>
      <w:sz w:val="22"/>
      <w:szCs w:val="22"/>
      <w:lang w:val="en-GB" w:eastAsia="en-US" w:bidi="ar-SA"/>
    </w:rPr>
  </w:style>
  <w:style w:type="paragraph" w:styleId="2">
    <w:name w:val="heading 1"/>
    <w:basedOn w:val="1"/>
    <w:next w:val="1"/>
    <w:link w:val="15"/>
    <w:qFormat/>
    <w:uiPriority w:val="9"/>
    <w:pPr>
      <w:keepNext/>
      <w:keepLines/>
      <w:spacing w:before="240" w:after="0"/>
      <w:outlineLvl w:val="0"/>
    </w:pPr>
    <w:rPr>
      <w:rFonts w:eastAsiaTheme="majorEastAsia" w:cstheme="majorBidi"/>
      <w:b/>
      <w:sz w:val="32"/>
      <w:szCs w:val="32"/>
    </w:rPr>
  </w:style>
  <w:style w:type="paragraph" w:styleId="3">
    <w:name w:val="heading 2"/>
    <w:basedOn w:val="1"/>
    <w:next w:val="1"/>
    <w:link w:val="16"/>
    <w:unhideWhenUsed/>
    <w:qFormat/>
    <w:uiPriority w:val="9"/>
    <w:pPr>
      <w:keepNext/>
      <w:keepLines/>
      <w:spacing w:before="40" w:after="0"/>
      <w:outlineLvl w:val="1"/>
    </w:pPr>
    <w:rPr>
      <w:rFonts w:eastAsiaTheme="majorEastAsia" w:cstheme="majorBidi"/>
      <w:b/>
      <w:sz w:val="28"/>
      <w:szCs w:val="26"/>
    </w:rPr>
  </w:style>
  <w:style w:type="paragraph" w:styleId="4">
    <w:name w:val="heading 3"/>
    <w:basedOn w:val="1"/>
    <w:next w:val="1"/>
    <w:link w:val="23"/>
    <w:unhideWhenUsed/>
    <w:qFormat/>
    <w:uiPriority w:val="9"/>
    <w:pPr>
      <w:keepNext/>
      <w:keepLines/>
      <w:spacing w:before="40" w:after="0"/>
      <w:outlineLvl w:val="2"/>
    </w:pPr>
    <w:rPr>
      <w:rFonts w:eastAsiaTheme="majorEastAsia" w:cstheme="majorBidi"/>
      <w:b/>
      <w:sz w:val="24"/>
      <w:szCs w:val="24"/>
    </w:rPr>
  </w:style>
  <w:style w:type="character" w:default="1" w:styleId="12">
    <w:name w:val="Default Paragraph Font"/>
    <w:unhideWhenUsed/>
    <w:qFormat/>
    <w:uiPriority w:val="1"/>
  </w:style>
  <w:style w:type="table" w:default="1" w:styleId="14">
    <w:name w:val="Normal Table"/>
    <w:unhideWhenUsed/>
    <w:qFormat/>
    <w:uiPriority w:val="99"/>
    <w:tblPr>
      <w:tblCellMar>
        <w:top w:w="0" w:type="dxa"/>
        <w:left w:w="108" w:type="dxa"/>
        <w:bottom w:w="0" w:type="dxa"/>
        <w:right w:w="108" w:type="dxa"/>
      </w:tblCellMar>
    </w:tblPr>
  </w:style>
  <w:style w:type="paragraph" w:styleId="5">
    <w:name w:val="footer"/>
    <w:basedOn w:val="1"/>
    <w:link w:val="22"/>
    <w:unhideWhenUsed/>
    <w:qFormat/>
    <w:uiPriority w:val="99"/>
    <w:pPr>
      <w:tabs>
        <w:tab w:val="center" w:pos="4680"/>
        <w:tab w:val="right" w:pos="9360"/>
      </w:tabs>
      <w:spacing w:after="0" w:line="240" w:lineRule="auto"/>
    </w:pPr>
  </w:style>
  <w:style w:type="paragraph" w:styleId="6">
    <w:name w:val="header"/>
    <w:basedOn w:val="1"/>
    <w:link w:val="21"/>
    <w:unhideWhenUsed/>
    <w:qFormat/>
    <w:uiPriority w:val="99"/>
    <w:pPr>
      <w:tabs>
        <w:tab w:val="center" w:pos="4680"/>
        <w:tab w:val="right" w:pos="9360"/>
      </w:tabs>
      <w:spacing w:after="0" w:line="240" w:lineRule="auto"/>
    </w:pPr>
  </w:style>
  <w:style w:type="paragraph" w:styleId="7">
    <w:name w:val="Normal (Web)"/>
    <w:basedOn w:val="1"/>
    <w:unhideWhenUsed/>
    <w:qFormat/>
    <w:uiPriority w:val="99"/>
    <w:pPr>
      <w:spacing w:before="100" w:beforeAutospacing="1" w:after="100" w:afterAutospacing="1" w:line="240" w:lineRule="auto"/>
      <w:jc w:val="left"/>
    </w:pPr>
    <w:rPr>
      <w:rFonts w:eastAsia="Times New Roman" w:cs="Times New Roman"/>
      <w:szCs w:val="24"/>
      <w:lang w:val="en-US"/>
    </w:rPr>
  </w:style>
  <w:style w:type="paragraph" w:styleId="8">
    <w:name w:val="Title"/>
    <w:basedOn w:val="1"/>
    <w:next w:val="1"/>
    <w:link w:val="17"/>
    <w:qFormat/>
    <w:uiPriority w:val="10"/>
    <w:pPr>
      <w:spacing w:after="0"/>
      <w:contextualSpacing/>
    </w:pPr>
    <w:rPr>
      <w:rFonts w:eastAsiaTheme="majorEastAsia" w:cstheme="majorBidi"/>
      <w:b/>
      <w:spacing w:val="-10"/>
      <w:kern w:val="28"/>
      <w:sz w:val="48"/>
      <w:szCs w:val="56"/>
    </w:rPr>
  </w:style>
  <w:style w:type="paragraph" w:styleId="9">
    <w:name w:val="toc 1"/>
    <w:basedOn w:val="1"/>
    <w:next w:val="1"/>
    <w:unhideWhenUsed/>
    <w:qFormat/>
    <w:uiPriority w:val="39"/>
    <w:pPr>
      <w:spacing w:after="100"/>
    </w:pPr>
  </w:style>
  <w:style w:type="paragraph" w:styleId="10">
    <w:name w:val="toc 2"/>
    <w:basedOn w:val="1"/>
    <w:next w:val="1"/>
    <w:unhideWhenUsed/>
    <w:qFormat/>
    <w:uiPriority w:val="39"/>
    <w:pPr>
      <w:spacing w:after="100"/>
      <w:ind w:left="220"/>
    </w:pPr>
  </w:style>
  <w:style w:type="paragraph" w:styleId="11">
    <w:name w:val="toc 3"/>
    <w:basedOn w:val="1"/>
    <w:next w:val="1"/>
    <w:unhideWhenUsed/>
    <w:qFormat/>
    <w:uiPriority w:val="39"/>
    <w:pPr>
      <w:spacing w:after="100"/>
      <w:ind w:left="440"/>
    </w:pPr>
  </w:style>
  <w:style w:type="character" w:styleId="13">
    <w:name w:val="Hyperlink"/>
    <w:basedOn w:val="12"/>
    <w:unhideWhenUsed/>
    <w:qFormat/>
    <w:uiPriority w:val="99"/>
    <w:rPr>
      <w:color w:val="0563C1" w:themeColor="hyperlink"/>
      <w:u w:val="single"/>
      <w14:textFill>
        <w14:solidFill>
          <w14:schemeClr w14:val="hlink"/>
        </w14:solidFill>
      </w14:textFill>
    </w:rPr>
  </w:style>
  <w:style w:type="character" w:customStyle="1" w:styleId="15">
    <w:name w:val="Heading 1 Char"/>
    <w:basedOn w:val="12"/>
    <w:link w:val="2"/>
    <w:qFormat/>
    <w:uiPriority w:val="9"/>
    <w:rPr>
      <w:rFonts w:ascii="Times New Roman" w:hAnsi="Times New Roman" w:eastAsiaTheme="majorEastAsia" w:cstheme="majorBidi"/>
      <w:b/>
      <w:sz w:val="32"/>
      <w:szCs w:val="32"/>
      <w:lang w:val="en-GB"/>
    </w:rPr>
  </w:style>
  <w:style w:type="character" w:customStyle="1" w:styleId="16">
    <w:name w:val="Heading 2 Char"/>
    <w:basedOn w:val="12"/>
    <w:link w:val="3"/>
    <w:qFormat/>
    <w:uiPriority w:val="9"/>
    <w:rPr>
      <w:rFonts w:ascii="Times New Roman" w:hAnsi="Times New Roman" w:eastAsiaTheme="majorEastAsia" w:cstheme="majorBidi"/>
      <w:b/>
      <w:sz w:val="28"/>
      <w:szCs w:val="26"/>
      <w:lang w:val="en-GB"/>
    </w:rPr>
  </w:style>
  <w:style w:type="character" w:customStyle="1" w:styleId="17">
    <w:name w:val="Title Char"/>
    <w:basedOn w:val="12"/>
    <w:link w:val="8"/>
    <w:qFormat/>
    <w:uiPriority w:val="10"/>
    <w:rPr>
      <w:rFonts w:ascii="Times New Roman" w:hAnsi="Times New Roman" w:eastAsiaTheme="majorEastAsia" w:cstheme="majorBidi"/>
      <w:b/>
      <w:spacing w:val="-10"/>
      <w:kern w:val="28"/>
      <w:sz w:val="48"/>
      <w:szCs w:val="56"/>
      <w:lang w:val="en-GB"/>
    </w:rPr>
  </w:style>
  <w:style w:type="paragraph" w:customStyle="1" w:styleId="18">
    <w:name w:val="Default"/>
    <w:qFormat/>
    <w:uiPriority w:val="0"/>
    <w:pPr>
      <w:autoSpaceDE w:val="0"/>
      <w:autoSpaceDN w:val="0"/>
      <w:adjustRightInd w:val="0"/>
      <w:spacing w:after="0" w:line="240" w:lineRule="auto"/>
    </w:pPr>
    <w:rPr>
      <w:rFonts w:ascii="Segoe UI" w:hAnsi="Segoe UI" w:cs="Segoe UI" w:eastAsiaTheme="minorHAnsi"/>
      <w:color w:val="000000"/>
      <w:sz w:val="24"/>
      <w:szCs w:val="24"/>
      <w:lang w:val="en-GB" w:eastAsia="en-US" w:bidi="ar-SA"/>
    </w:rPr>
  </w:style>
  <w:style w:type="paragraph" w:customStyle="1" w:styleId="19">
    <w:name w:val="List Paragraph"/>
    <w:basedOn w:val="1"/>
    <w:qFormat/>
    <w:uiPriority w:val="34"/>
    <w:pPr>
      <w:ind w:left="720"/>
      <w:contextualSpacing/>
    </w:pPr>
  </w:style>
  <w:style w:type="character" w:customStyle="1" w:styleId="20">
    <w:name w:val="il"/>
    <w:basedOn w:val="12"/>
    <w:qFormat/>
    <w:uiPriority w:val="0"/>
  </w:style>
  <w:style w:type="character" w:customStyle="1" w:styleId="21">
    <w:name w:val="Header Char"/>
    <w:basedOn w:val="12"/>
    <w:link w:val="6"/>
    <w:qFormat/>
    <w:uiPriority w:val="99"/>
    <w:rPr>
      <w:rFonts w:ascii="Arial" w:hAnsi="Arial"/>
      <w:lang w:val="en-GB"/>
    </w:rPr>
  </w:style>
  <w:style w:type="character" w:customStyle="1" w:styleId="22">
    <w:name w:val="Footer Char"/>
    <w:basedOn w:val="12"/>
    <w:link w:val="5"/>
    <w:qFormat/>
    <w:uiPriority w:val="99"/>
    <w:rPr>
      <w:rFonts w:ascii="Arial" w:hAnsi="Arial"/>
      <w:lang w:val="en-GB"/>
    </w:rPr>
  </w:style>
  <w:style w:type="character" w:customStyle="1" w:styleId="23">
    <w:name w:val="Heading 3 Char"/>
    <w:basedOn w:val="12"/>
    <w:link w:val="4"/>
    <w:qFormat/>
    <w:uiPriority w:val="9"/>
    <w:rPr>
      <w:rFonts w:ascii="Arial" w:hAnsi="Arial" w:eastAsiaTheme="majorEastAsia" w:cstheme="majorBidi"/>
      <w:b/>
      <w:sz w:val="24"/>
      <w:szCs w:val="24"/>
      <w:lang w:val="en-GB"/>
    </w:rPr>
  </w:style>
  <w:style w:type="paragraph" w:customStyle="1" w:styleId="24">
    <w:name w:val="TOC Heading"/>
    <w:basedOn w:val="2"/>
    <w:next w:val="1"/>
    <w:unhideWhenUsed/>
    <w:qFormat/>
    <w:uiPriority w:val="39"/>
    <w:pPr>
      <w:spacing w:line="259" w:lineRule="auto"/>
      <w:jc w:val="left"/>
      <w:outlineLvl w:val="9"/>
    </w:pPr>
    <w:rPr>
      <w:rFonts w:asciiTheme="majorHAnsi" w:hAnsiTheme="majorHAnsi"/>
      <w:b w:val="0"/>
      <w:color w:val="2E75B6" w:themeColor="accent1" w:themeShade="BF"/>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1.jpeg"/><Relationship Id="rId8" Type="http://schemas.openxmlformats.org/officeDocument/2006/relationships/diagramColors" Target="diagrams/colors1.xml"/><Relationship Id="rId7" Type="http://schemas.openxmlformats.org/officeDocument/2006/relationships/diagramQuickStyle" Target="diagrams/quickStyle1.xml"/><Relationship Id="rId6" Type="http://schemas.openxmlformats.org/officeDocument/2006/relationships/diagramLayout" Target="diagrams/layout1.xml"/><Relationship Id="rId5" Type="http://schemas.openxmlformats.org/officeDocument/2006/relationships/diagramData" Target="diagrams/data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numbering" Target="numbering.xml"/><Relationship Id="rId14" Type="http://schemas.openxmlformats.org/officeDocument/2006/relationships/customXml" Target="../customXml/item1.xml"/><Relationship Id="rId13" Type="http://schemas.openxmlformats.org/officeDocument/2006/relationships/diagramColors" Target="diagrams/colors2.xml"/><Relationship Id="rId12" Type="http://schemas.openxmlformats.org/officeDocument/2006/relationships/diagramQuickStyle" Target="diagrams/quickStyle2.xml"/><Relationship Id="rId11" Type="http://schemas.openxmlformats.org/officeDocument/2006/relationships/diagramLayout" Target="diagrams/layout2.xml"/><Relationship Id="rId10" Type="http://schemas.openxmlformats.org/officeDocument/2006/relationships/diagramData" Target="diagrams/data2.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B05FDFB7-8184-4ABF-A6A3-35B784282030}" type="doc">
      <dgm:prSet loTypeId="urn:microsoft.com/office/officeart/2005/8/layout/list1" loCatId="list" qsTypeId="urn:microsoft.com/office/officeart/2005/8/quickstyle/simple5" qsCatId="simple" csTypeId="urn:microsoft.com/office/officeart/2005/8/colors/colorful5" csCatId="colorful" phldr="1"/>
      <dgm:spPr/>
      <dgm:t>
        <a:bodyPr/>
        <a:p>
          <a:endParaRPr lang="en-US"/>
        </a:p>
      </dgm:t>
    </dgm:pt>
    <dgm:pt modelId="{F1B64E94-1DF2-4B89-98D8-34EDFCAC12AF}">
      <dgm:prSet phldrT="[Text]" custT="1"/>
      <dgm:spPr/>
      <dgm:t>
        <a:bodyPr/>
        <a:p>
          <a:pPr algn="just"/>
          <a:r>
            <a:rPr lang="en-US" sz="1200" b="1" i="0">
              <a:latin typeface="Arial" panose="020B0604020202090204" pitchFamily="2" charset="0"/>
              <a:cs typeface="Arial" panose="020B0604020202090204" pitchFamily="2" charset="0"/>
            </a:rPr>
            <a:t>Develop a science for each element of work</a:t>
          </a:r>
          <a:endParaRPr lang="en-US" sz="1200">
            <a:latin typeface="Arial" panose="020B0604020202090204" pitchFamily="2" charset="0"/>
            <a:cs typeface="Arial" panose="020B0604020202090204" pitchFamily="2" charset="0"/>
          </a:endParaRPr>
        </a:p>
      </dgm:t>
    </dgm:pt>
    <dgm:pt modelId="{D88F1981-3347-4A20-B3CB-5D50D635984F}" cxnId="{78ED50FB-5452-4D7A-9213-58F643E962DE}" type="parTrans">
      <dgm:prSet/>
      <dgm:spPr/>
      <dgm:t>
        <a:bodyPr/>
        <a:p>
          <a:endParaRPr lang="en-US"/>
        </a:p>
      </dgm:t>
    </dgm:pt>
    <dgm:pt modelId="{569E36B1-303D-47FA-B3C1-1E527552E9FB}" cxnId="{78ED50FB-5452-4D7A-9213-58F643E962DE}" type="sibTrans">
      <dgm:prSet/>
      <dgm:spPr/>
      <dgm:t>
        <a:bodyPr/>
        <a:p>
          <a:endParaRPr lang="en-US"/>
        </a:p>
      </dgm:t>
    </dgm:pt>
    <dgm:pt modelId="{1C531463-DB5E-41E1-8668-3D9AD79B3F1D}">
      <dgm:prSet phldrT="[Text]" custT="1"/>
      <dgm:spPr/>
      <dgm:t>
        <a:bodyPr/>
        <a:p>
          <a:pPr algn="just"/>
          <a:r>
            <a:rPr lang="en-US" sz="1200" b="1" i="0">
              <a:latin typeface="Arial" panose="020B0604020202090204" pitchFamily="2" charset="0"/>
              <a:cs typeface="Arial" panose="020B0604020202090204" pitchFamily="2" charset="0"/>
            </a:rPr>
            <a:t>Scientifically Select, Train, Teach, and Develop the worker</a:t>
          </a:r>
          <a:endParaRPr lang="en-US" sz="1200">
            <a:latin typeface="Arial" panose="020B0604020202090204" pitchFamily="2" charset="0"/>
            <a:cs typeface="Arial" panose="020B0604020202090204" pitchFamily="2" charset="0"/>
          </a:endParaRPr>
        </a:p>
      </dgm:t>
    </dgm:pt>
    <dgm:pt modelId="{24BDC3F5-1E86-4841-9BDF-DCEBC47A5936}" cxnId="{9754E866-7C8D-488E-B60F-2A66E1F0D9EE}" type="parTrans">
      <dgm:prSet/>
      <dgm:spPr/>
      <dgm:t>
        <a:bodyPr/>
        <a:p>
          <a:endParaRPr lang="en-US"/>
        </a:p>
      </dgm:t>
    </dgm:pt>
    <dgm:pt modelId="{C301AE21-B8DA-42AD-8AE6-A19104DBD015}" cxnId="{9754E866-7C8D-488E-B60F-2A66E1F0D9EE}" type="sibTrans">
      <dgm:prSet/>
      <dgm:spPr/>
      <dgm:t>
        <a:bodyPr/>
        <a:p>
          <a:endParaRPr lang="en-US"/>
        </a:p>
      </dgm:t>
    </dgm:pt>
    <dgm:pt modelId="{414D9CBD-3099-4E7D-8238-5CE2FE8BE224}">
      <dgm:prSet phldrT="[Text]" custT="1"/>
      <dgm:spPr/>
      <dgm:t>
        <a:bodyPr/>
        <a:p>
          <a:pPr algn="just"/>
          <a:r>
            <a:rPr lang="en-US" sz="1200" b="1" i="0">
              <a:latin typeface="Arial" panose="020B0604020202090204" pitchFamily="2" charset="0"/>
              <a:cs typeface="Arial" panose="020B0604020202090204" pitchFamily="2" charset="0"/>
            </a:rPr>
            <a:t>Cooperate with the Worker</a:t>
          </a:r>
          <a:endParaRPr lang="en-US" sz="1200">
            <a:latin typeface="Arial" panose="020B0604020202090204" pitchFamily="2" charset="0"/>
            <a:cs typeface="Arial" panose="020B0604020202090204" pitchFamily="2" charset="0"/>
          </a:endParaRPr>
        </a:p>
      </dgm:t>
    </dgm:pt>
    <dgm:pt modelId="{7772A629-6282-4196-B56C-08774608D83E}" cxnId="{C9CD0B2B-CF45-4239-8697-125DEF5087B7}" type="parTrans">
      <dgm:prSet/>
      <dgm:spPr/>
      <dgm:t>
        <a:bodyPr/>
        <a:p>
          <a:endParaRPr lang="en-US"/>
        </a:p>
      </dgm:t>
    </dgm:pt>
    <dgm:pt modelId="{CC90474B-4705-4CD8-B0A6-2CA5F7F92FA3}" cxnId="{C9CD0B2B-CF45-4239-8697-125DEF5087B7}" type="sibTrans">
      <dgm:prSet/>
      <dgm:spPr/>
      <dgm:t>
        <a:bodyPr/>
        <a:p>
          <a:endParaRPr lang="en-US"/>
        </a:p>
      </dgm:t>
    </dgm:pt>
    <dgm:pt modelId="{56E54815-72C6-4C2E-9D86-36EB37C0F852}">
      <dgm:prSet custT="1"/>
      <dgm:spPr/>
      <dgm:t>
        <a:bodyPr/>
        <a:p>
          <a:pPr algn="just"/>
          <a:r>
            <a:rPr lang="en-US" sz="1200" b="1" i="0">
              <a:latin typeface="Arial" panose="020B0604020202090204" pitchFamily="2" charset="0"/>
              <a:cs typeface="Arial" panose="020B0604020202090204" pitchFamily="2" charset="0"/>
            </a:rPr>
            <a:t>Divide the Work and Responsibility</a:t>
          </a:r>
          <a:endParaRPr lang="en-US" sz="1200">
            <a:latin typeface="Arial" panose="020B0604020202090204" pitchFamily="2" charset="0"/>
            <a:cs typeface="Arial" panose="020B0604020202090204" pitchFamily="2" charset="0"/>
          </a:endParaRPr>
        </a:p>
      </dgm:t>
    </dgm:pt>
    <dgm:pt modelId="{0F57C3B8-AB54-48F7-A955-4EAC78E2C99F}" cxnId="{4555085C-969E-45F6-ABCE-405378BC0FAC}" type="parTrans">
      <dgm:prSet/>
      <dgm:spPr/>
      <dgm:t>
        <a:bodyPr/>
        <a:p>
          <a:endParaRPr lang="en-US"/>
        </a:p>
      </dgm:t>
    </dgm:pt>
    <dgm:pt modelId="{E3DA0C01-B840-43CD-B325-9935BCC89E97}" cxnId="{4555085C-969E-45F6-ABCE-405378BC0FAC}" type="sibTrans">
      <dgm:prSet/>
      <dgm:spPr/>
      <dgm:t>
        <a:bodyPr/>
        <a:p>
          <a:endParaRPr lang="en-US"/>
        </a:p>
      </dgm:t>
    </dgm:pt>
    <dgm:pt modelId="{408D34E2-66F1-46A9-9997-E1853B05B16B}" type="pres">
      <dgm:prSet presAssocID="{B05FDFB7-8184-4ABF-A6A3-35B784282030}" presName="linear" presStyleCnt="0">
        <dgm:presLayoutVars>
          <dgm:dir/>
          <dgm:animLvl val="lvl"/>
          <dgm:resizeHandles val="exact"/>
        </dgm:presLayoutVars>
      </dgm:prSet>
      <dgm:spPr/>
    </dgm:pt>
    <dgm:pt modelId="{3B52EE36-B922-400D-B381-6BF5C4307724}" type="pres">
      <dgm:prSet presAssocID="{F1B64E94-1DF2-4B89-98D8-34EDFCAC12AF}" presName="parentLin" presStyleCnt="0"/>
      <dgm:spPr/>
    </dgm:pt>
    <dgm:pt modelId="{93D9A7BB-9BF3-4851-8CB5-F8F8B4232051}" type="pres">
      <dgm:prSet presAssocID="{F1B64E94-1DF2-4B89-98D8-34EDFCAC12AF}" presName="parentLeftMargin" presStyleLbl="node1" presStyleIdx="0" presStyleCnt="4"/>
      <dgm:spPr/>
    </dgm:pt>
    <dgm:pt modelId="{49CE9308-2BE3-4FB9-90AC-990DB57B23CE}" type="pres">
      <dgm:prSet presAssocID="{F1B64E94-1DF2-4B89-98D8-34EDFCAC12AF}" presName="parentText" presStyleLbl="node1" presStyleIdx="0" presStyleCnt="4">
        <dgm:presLayoutVars>
          <dgm:chMax val="0"/>
          <dgm:bulletEnabled val="1"/>
        </dgm:presLayoutVars>
      </dgm:prSet>
      <dgm:spPr/>
      <dgm:t>
        <a:bodyPr/>
        <a:p>
          <a:endParaRPr lang="en-US"/>
        </a:p>
      </dgm:t>
    </dgm:pt>
    <dgm:pt modelId="{32A6A1CB-A024-48AA-A78B-0CCA609100D3}" type="pres">
      <dgm:prSet presAssocID="{F1B64E94-1DF2-4B89-98D8-34EDFCAC12AF}" presName="negativeSpace" presStyleCnt="0"/>
      <dgm:spPr/>
    </dgm:pt>
    <dgm:pt modelId="{22E55E2E-D842-4104-8E77-6259E00DC740}" type="pres">
      <dgm:prSet presAssocID="{F1B64E94-1DF2-4B89-98D8-34EDFCAC12AF}" presName="childText" presStyleLbl="conFgAcc1" presStyleIdx="0" presStyleCnt="4">
        <dgm:presLayoutVars>
          <dgm:bulletEnabled val="1"/>
        </dgm:presLayoutVars>
      </dgm:prSet>
      <dgm:spPr/>
    </dgm:pt>
    <dgm:pt modelId="{28408C84-1B14-4818-ABD8-67073E953DE5}" type="pres">
      <dgm:prSet presAssocID="{569E36B1-303D-47FA-B3C1-1E527552E9FB}" presName="spaceBetweenRectangles" presStyleCnt="0"/>
      <dgm:spPr/>
    </dgm:pt>
    <dgm:pt modelId="{AD2BC8E0-597F-483C-9E40-A94AE669AC73}" type="pres">
      <dgm:prSet presAssocID="{1C531463-DB5E-41E1-8668-3D9AD79B3F1D}" presName="parentLin" presStyleCnt="0"/>
      <dgm:spPr/>
    </dgm:pt>
    <dgm:pt modelId="{7A25953B-27F4-4E92-B68F-F07C58A98706}" type="pres">
      <dgm:prSet presAssocID="{1C531463-DB5E-41E1-8668-3D9AD79B3F1D}" presName="parentLeftMargin" presStyleLbl="node1" presStyleIdx="0" presStyleCnt="4"/>
      <dgm:spPr/>
    </dgm:pt>
    <dgm:pt modelId="{32C51CE6-7EBE-4D09-B09C-B25D225A2519}" type="pres">
      <dgm:prSet presAssocID="{1C531463-DB5E-41E1-8668-3D9AD79B3F1D}" presName="parentText" presStyleLbl="node1" presStyleIdx="1" presStyleCnt="4">
        <dgm:presLayoutVars>
          <dgm:chMax val="0"/>
          <dgm:bulletEnabled val="1"/>
        </dgm:presLayoutVars>
      </dgm:prSet>
      <dgm:spPr/>
      <dgm:t>
        <a:bodyPr/>
        <a:p>
          <a:endParaRPr lang="en-US"/>
        </a:p>
      </dgm:t>
    </dgm:pt>
    <dgm:pt modelId="{10EAEE35-B230-4D0F-BC47-337F1DA7CCEB}" type="pres">
      <dgm:prSet presAssocID="{1C531463-DB5E-41E1-8668-3D9AD79B3F1D}" presName="negativeSpace" presStyleCnt="0"/>
      <dgm:spPr/>
    </dgm:pt>
    <dgm:pt modelId="{C1FA87A2-6920-4B16-8B6D-952D1CA50223}" type="pres">
      <dgm:prSet presAssocID="{1C531463-DB5E-41E1-8668-3D9AD79B3F1D}" presName="childText" presStyleLbl="conFgAcc1" presStyleIdx="1" presStyleCnt="4">
        <dgm:presLayoutVars>
          <dgm:bulletEnabled val="1"/>
        </dgm:presLayoutVars>
      </dgm:prSet>
      <dgm:spPr/>
    </dgm:pt>
    <dgm:pt modelId="{28950A61-FF28-4590-AEDA-5755CF5A30FD}" type="pres">
      <dgm:prSet presAssocID="{C301AE21-B8DA-42AD-8AE6-A19104DBD015}" presName="spaceBetweenRectangles" presStyleCnt="0"/>
      <dgm:spPr/>
    </dgm:pt>
    <dgm:pt modelId="{35A0EFF1-761D-40BA-9205-9CCF1F45CB54}" type="pres">
      <dgm:prSet presAssocID="{414D9CBD-3099-4E7D-8238-5CE2FE8BE224}" presName="parentLin" presStyleCnt="0"/>
      <dgm:spPr/>
    </dgm:pt>
    <dgm:pt modelId="{CDD7E310-7A05-44F2-B4A0-A9DBBB59C3EC}" type="pres">
      <dgm:prSet presAssocID="{414D9CBD-3099-4E7D-8238-5CE2FE8BE224}" presName="parentLeftMargin" presStyleLbl="node1" presStyleIdx="1" presStyleCnt="4"/>
      <dgm:spPr/>
    </dgm:pt>
    <dgm:pt modelId="{38425BC2-5494-4C58-8F07-CE2674A2098A}" type="pres">
      <dgm:prSet presAssocID="{414D9CBD-3099-4E7D-8238-5CE2FE8BE224}" presName="parentText" presStyleLbl="node1" presStyleIdx="2" presStyleCnt="4">
        <dgm:presLayoutVars>
          <dgm:chMax val="0"/>
          <dgm:bulletEnabled val="1"/>
        </dgm:presLayoutVars>
      </dgm:prSet>
      <dgm:spPr/>
      <dgm:t>
        <a:bodyPr/>
        <a:p>
          <a:endParaRPr lang="en-US"/>
        </a:p>
      </dgm:t>
    </dgm:pt>
    <dgm:pt modelId="{4F489CBE-C13F-4ABD-AE06-749234E2FA5A}" type="pres">
      <dgm:prSet presAssocID="{414D9CBD-3099-4E7D-8238-5CE2FE8BE224}" presName="negativeSpace" presStyleCnt="0"/>
      <dgm:spPr/>
    </dgm:pt>
    <dgm:pt modelId="{2348BC2C-4D73-4869-B544-F39AA54A9DAE}" type="pres">
      <dgm:prSet presAssocID="{414D9CBD-3099-4E7D-8238-5CE2FE8BE224}" presName="childText" presStyleLbl="conFgAcc1" presStyleIdx="2" presStyleCnt="4">
        <dgm:presLayoutVars>
          <dgm:bulletEnabled val="1"/>
        </dgm:presLayoutVars>
      </dgm:prSet>
      <dgm:spPr/>
    </dgm:pt>
    <dgm:pt modelId="{0478CEBE-A8F1-42AD-AF4A-914CBB5F37B4}" type="pres">
      <dgm:prSet presAssocID="{CC90474B-4705-4CD8-B0A6-2CA5F7F92FA3}" presName="spaceBetweenRectangles" presStyleCnt="0"/>
      <dgm:spPr/>
    </dgm:pt>
    <dgm:pt modelId="{ACAB1364-4213-4344-97F1-52E6A4B7AD51}" type="pres">
      <dgm:prSet presAssocID="{56E54815-72C6-4C2E-9D86-36EB37C0F852}" presName="parentLin" presStyleCnt="0"/>
      <dgm:spPr/>
    </dgm:pt>
    <dgm:pt modelId="{4D29FC7E-5AF4-48F8-8FF4-21F6A0F16A04}" type="pres">
      <dgm:prSet presAssocID="{56E54815-72C6-4C2E-9D86-36EB37C0F852}" presName="parentLeftMargin" presStyleLbl="node1" presStyleIdx="2" presStyleCnt="4"/>
      <dgm:spPr/>
    </dgm:pt>
    <dgm:pt modelId="{8613E27A-FA81-414A-940E-A8A05CB72A60}" type="pres">
      <dgm:prSet presAssocID="{56E54815-72C6-4C2E-9D86-36EB37C0F852}" presName="parentText" presStyleLbl="node1" presStyleIdx="3" presStyleCnt="4">
        <dgm:presLayoutVars>
          <dgm:chMax val="0"/>
          <dgm:bulletEnabled val="1"/>
        </dgm:presLayoutVars>
      </dgm:prSet>
      <dgm:spPr/>
    </dgm:pt>
    <dgm:pt modelId="{BD5BC82F-D574-4152-AF57-FB881EF135BD}" type="pres">
      <dgm:prSet presAssocID="{56E54815-72C6-4C2E-9D86-36EB37C0F852}" presName="negativeSpace" presStyleCnt="0"/>
      <dgm:spPr/>
    </dgm:pt>
    <dgm:pt modelId="{FA6085C2-A231-4252-AC9B-4382D6F25C77}" type="pres">
      <dgm:prSet presAssocID="{56E54815-72C6-4C2E-9D86-36EB37C0F852}" presName="childText" presStyleLbl="conFgAcc1" presStyleIdx="3" presStyleCnt="4">
        <dgm:presLayoutVars>
          <dgm:bulletEnabled val="1"/>
        </dgm:presLayoutVars>
      </dgm:prSet>
      <dgm:spPr/>
    </dgm:pt>
  </dgm:ptLst>
  <dgm:cxnLst>
    <dgm:cxn modelId="{F4EAB3AB-0902-4C5C-B7D4-4FDC53EB44CC}" type="presOf" srcId="{56E54815-72C6-4C2E-9D86-36EB37C0F852}" destId="{8613E27A-FA81-414A-940E-A8A05CB72A60}" srcOrd="1" destOrd="0" presId="urn:microsoft.com/office/officeart/2005/8/layout/list1"/>
    <dgm:cxn modelId="{C9CD0B2B-CF45-4239-8697-125DEF5087B7}" srcId="{B05FDFB7-8184-4ABF-A6A3-35B784282030}" destId="{414D9CBD-3099-4E7D-8238-5CE2FE8BE224}" srcOrd="2" destOrd="0" parTransId="{7772A629-6282-4196-B56C-08774608D83E}" sibTransId="{CC90474B-4705-4CD8-B0A6-2CA5F7F92FA3}"/>
    <dgm:cxn modelId="{7902A536-FF0F-4702-9C67-244603EA06FC}" type="presOf" srcId="{1C531463-DB5E-41E1-8668-3D9AD79B3F1D}" destId="{7A25953B-27F4-4E92-B68F-F07C58A98706}" srcOrd="0" destOrd="0" presId="urn:microsoft.com/office/officeart/2005/8/layout/list1"/>
    <dgm:cxn modelId="{9754E866-7C8D-488E-B60F-2A66E1F0D9EE}" srcId="{B05FDFB7-8184-4ABF-A6A3-35B784282030}" destId="{1C531463-DB5E-41E1-8668-3D9AD79B3F1D}" srcOrd="1" destOrd="0" parTransId="{24BDC3F5-1E86-4841-9BDF-DCEBC47A5936}" sibTransId="{C301AE21-B8DA-42AD-8AE6-A19104DBD015}"/>
    <dgm:cxn modelId="{E6CADD70-8872-4ABC-AC7B-A2121BEC6028}" type="presOf" srcId="{F1B64E94-1DF2-4B89-98D8-34EDFCAC12AF}" destId="{93D9A7BB-9BF3-4851-8CB5-F8F8B4232051}" srcOrd="0" destOrd="0" presId="urn:microsoft.com/office/officeart/2005/8/layout/list1"/>
    <dgm:cxn modelId="{6F637B99-7CF5-40FE-B7F0-BFAF126D4815}" type="presOf" srcId="{F1B64E94-1DF2-4B89-98D8-34EDFCAC12AF}" destId="{49CE9308-2BE3-4FB9-90AC-990DB57B23CE}" srcOrd="1" destOrd="0" presId="urn:microsoft.com/office/officeart/2005/8/layout/list1"/>
    <dgm:cxn modelId="{4A693B8A-1F07-4774-8D1D-18D5B9C8A510}" type="presOf" srcId="{1C531463-DB5E-41E1-8668-3D9AD79B3F1D}" destId="{32C51CE6-7EBE-4D09-B09C-B25D225A2519}" srcOrd="1" destOrd="0" presId="urn:microsoft.com/office/officeart/2005/8/layout/list1"/>
    <dgm:cxn modelId="{AE666255-353C-48B4-A66F-767435F93008}" type="presOf" srcId="{56E54815-72C6-4C2E-9D86-36EB37C0F852}" destId="{4D29FC7E-5AF4-48F8-8FF4-21F6A0F16A04}" srcOrd="0" destOrd="0" presId="urn:microsoft.com/office/officeart/2005/8/layout/list1"/>
    <dgm:cxn modelId="{2626A0CA-D491-4BA8-8682-6B23EA617937}" type="presOf" srcId="{414D9CBD-3099-4E7D-8238-5CE2FE8BE224}" destId="{38425BC2-5494-4C58-8F07-CE2674A2098A}" srcOrd="1" destOrd="0" presId="urn:microsoft.com/office/officeart/2005/8/layout/list1"/>
    <dgm:cxn modelId="{4555085C-969E-45F6-ABCE-405378BC0FAC}" srcId="{B05FDFB7-8184-4ABF-A6A3-35B784282030}" destId="{56E54815-72C6-4C2E-9D86-36EB37C0F852}" srcOrd="3" destOrd="0" parTransId="{0F57C3B8-AB54-48F7-A955-4EAC78E2C99F}" sibTransId="{E3DA0C01-B840-43CD-B325-9935BCC89E97}"/>
    <dgm:cxn modelId="{78ED50FB-5452-4D7A-9213-58F643E962DE}" srcId="{B05FDFB7-8184-4ABF-A6A3-35B784282030}" destId="{F1B64E94-1DF2-4B89-98D8-34EDFCAC12AF}" srcOrd="0" destOrd="0" parTransId="{D88F1981-3347-4A20-B3CB-5D50D635984F}" sibTransId="{569E36B1-303D-47FA-B3C1-1E527552E9FB}"/>
    <dgm:cxn modelId="{9C7C1A1B-EFB5-461D-9940-92A2811812BB}" type="presOf" srcId="{B05FDFB7-8184-4ABF-A6A3-35B784282030}" destId="{408D34E2-66F1-46A9-9997-E1853B05B16B}" srcOrd="0" destOrd="0" presId="urn:microsoft.com/office/officeart/2005/8/layout/list1"/>
    <dgm:cxn modelId="{333B4405-406A-4F07-B7F2-723B71954434}" type="presOf" srcId="{414D9CBD-3099-4E7D-8238-5CE2FE8BE224}" destId="{CDD7E310-7A05-44F2-B4A0-A9DBBB59C3EC}" srcOrd="0" destOrd="0" presId="urn:microsoft.com/office/officeart/2005/8/layout/list1"/>
    <dgm:cxn modelId="{D4292BE3-E676-4C00-AF85-93484EBF7E30}" type="presParOf" srcId="{408D34E2-66F1-46A9-9997-E1853B05B16B}" destId="{3B52EE36-B922-400D-B381-6BF5C4307724}" srcOrd="0" destOrd="0" presId="urn:microsoft.com/office/officeart/2005/8/layout/list1"/>
    <dgm:cxn modelId="{5612785A-E989-421D-941A-3AF82F81763A}" type="presParOf" srcId="{3B52EE36-B922-400D-B381-6BF5C4307724}" destId="{93D9A7BB-9BF3-4851-8CB5-F8F8B4232051}" srcOrd="0" destOrd="0" presId="urn:microsoft.com/office/officeart/2005/8/layout/list1"/>
    <dgm:cxn modelId="{04FDF1FD-8A02-4F1C-890A-8593641B0F5A}" type="presParOf" srcId="{3B52EE36-B922-400D-B381-6BF5C4307724}" destId="{49CE9308-2BE3-4FB9-90AC-990DB57B23CE}" srcOrd="1" destOrd="0" presId="urn:microsoft.com/office/officeart/2005/8/layout/list1"/>
    <dgm:cxn modelId="{5FBC849A-3160-4CBF-89C6-F98ABA090E32}" type="presParOf" srcId="{408D34E2-66F1-46A9-9997-E1853B05B16B}" destId="{32A6A1CB-A024-48AA-A78B-0CCA609100D3}" srcOrd="1" destOrd="0" presId="urn:microsoft.com/office/officeart/2005/8/layout/list1"/>
    <dgm:cxn modelId="{32BE19A9-D9D4-4896-9FC4-917A9FCE18A6}" type="presParOf" srcId="{408D34E2-66F1-46A9-9997-E1853B05B16B}" destId="{22E55E2E-D842-4104-8E77-6259E00DC740}" srcOrd="2" destOrd="0" presId="urn:microsoft.com/office/officeart/2005/8/layout/list1"/>
    <dgm:cxn modelId="{363B2407-952D-4393-89E8-020FF98EC9ED}" type="presParOf" srcId="{408D34E2-66F1-46A9-9997-E1853B05B16B}" destId="{28408C84-1B14-4818-ABD8-67073E953DE5}" srcOrd="3" destOrd="0" presId="urn:microsoft.com/office/officeart/2005/8/layout/list1"/>
    <dgm:cxn modelId="{C26CAC48-7DBD-4ED3-9D22-CFA6F1675CE6}" type="presParOf" srcId="{408D34E2-66F1-46A9-9997-E1853B05B16B}" destId="{AD2BC8E0-597F-483C-9E40-A94AE669AC73}" srcOrd="4" destOrd="0" presId="urn:microsoft.com/office/officeart/2005/8/layout/list1"/>
    <dgm:cxn modelId="{4734779B-91C9-493D-9058-B284B892B0AF}" type="presParOf" srcId="{AD2BC8E0-597F-483C-9E40-A94AE669AC73}" destId="{7A25953B-27F4-4E92-B68F-F07C58A98706}" srcOrd="0" destOrd="0" presId="urn:microsoft.com/office/officeart/2005/8/layout/list1"/>
    <dgm:cxn modelId="{F9049CFF-CF6B-4AD0-8F68-3327684366E0}" type="presParOf" srcId="{AD2BC8E0-597F-483C-9E40-A94AE669AC73}" destId="{32C51CE6-7EBE-4D09-B09C-B25D225A2519}" srcOrd="1" destOrd="0" presId="urn:microsoft.com/office/officeart/2005/8/layout/list1"/>
    <dgm:cxn modelId="{CE5CAF33-C804-4C80-AF69-ED3EFC689B7E}" type="presParOf" srcId="{408D34E2-66F1-46A9-9997-E1853B05B16B}" destId="{10EAEE35-B230-4D0F-BC47-337F1DA7CCEB}" srcOrd="5" destOrd="0" presId="urn:microsoft.com/office/officeart/2005/8/layout/list1"/>
    <dgm:cxn modelId="{D55BA2CA-06ED-42F1-961E-026715AFFECF}" type="presParOf" srcId="{408D34E2-66F1-46A9-9997-E1853B05B16B}" destId="{C1FA87A2-6920-4B16-8B6D-952D1CA50223}" srcOrd="6" destOrd="0" presId="urn:microsoft.com/office/officeart/2005/8/layout/list1"/>
    <dgm:cxn modelId="{62130717-FFD2-4F2B-8F5C-C7C8525617F9}" type="presParOf" srcId="{408D34E2-66F1-46A9-9997-E1853B05B16B}" destId="{28950A61-FF28-4590-AEDA-5755CF5A30FD}" srcOrd="7" destOrd="0" presId="urn:microsoft.com/office/officeart/2005/8/layout/list1"/>
    <dgm:cxn modelId="{F3B89E71-9C27-4976-9BD5-AFDC5DFA374E}" type="presParOf" srcId="{408D34E2-66F1-46A9-9997-E1853B05B16B}" destId="{35A0EFF1-761D-40BA-9205-9CCF1F45CB54}" srcOrd="8" destOrd="0" presId="urn:microsoft.com/office/officeart/2005/8/layout/list1"/>
    <dgm:cxn modelId="{FFDF5ADA-F141-4048-9265-FFB322A0F8DF}" type="presParOf" srcId="{35A0EFF1-761D-40BA-9205-9CCF1F45CB54}" destId="{CDD7E310-7A05-44F2-B4A0-A9DBBB59C3EC}" srcOrd="0" destOrd="0" presId="urn:microsoft.com/office/officeart/2005/8/layout/list1"/>
    <dgm:cxn modelId="{0B04C40F-F27B-46AB-B11C-FA76690D581E}" type="presParOf" srcId="{35A0EFF1-761D-40BA-9205-9CCF1F45CB54}" destId="{38425BC2-5494-4C58-8F07-CE2674A2098A}" srcOrd="1" destOrd="0" presId="urn:microsoft.com/office/officeart/2005/8/layout/list1"/>
    <dgm:cxn modelId="{9580DF45-3BCD-4B00-958D-3C35ED6E2D1D}" type="presParOf" srcId="{408D34E2-66F1-46A9-9997-E1853B05B16B}" destId="{4F489CBE-C13F-4ABD-AE06-749234E2FA5A}" srcOrd="9" destOrd="0" presId="urn:microsoft.com/office/officeart/2005/8/layout/list1"/>
    <dgm:cxn modelId="{1CEC58D2-6404-4A6A-8003-8ABA330044AE}" type="presParOf" srcId="{408D34E2-66F1-46A9-9997-E1853B05B16B}" destId="{2348BC2C-4D73-4869-B544-F39AA54A9DAE}" srcOrd="10" destOrd="0" presId="urn:microsoft.com/office/officeart/2005/8/layout/list1"/>
    <dgm:cxn modelId="{B9C4B1CC-03BA-4A77-AD33-42CFC26EC9B3}" type="presParOf" srcId="{408D34E2-66F1-46A9-9997-E1853B05B16B}" destId="{0478CEBE-A8F1-42AD-AF4A-914CBB5F37B4}" srcOrd="11" destOrd="0" presId="urn:microsoft.com/office/officeart/2005/8/layout/list1"/>
    <dgm:cxn modelId="{F96BFAA5-03DD-464B-A063-8EDC06F5737C}" type="presParOf" srcId="{408D34E2-66F1-46A9-9997-E1853B05B16B}" destId="{ACAB1364-4213-4344-97F1-52E6A4B7AD51}" srcOrd="12" destOrd="0" presId="urn:microsoft.com/office/officeart/2005/8/layout/list1"/>
    <dgm:cxn modelId="{3162D58D-6DDC-43A5-BB2B-561A87C30262}" type="presParOf" srcId="{ACAB1364-4213-4344-97F1-52E6A4B7AD51}" destId="{4D29FC7E-5AF4-48F8-8FF4-21F6A0F16A04}" srcOrd="0" destOrd="0" presId="urn:microsoft.com/office/officeart/2005/8/layout/list1"/>
    <dgm:cxn modelId="{C04DF9B6-8D34-4D44-91A9-7853F5398F59}" type="presParOf" srcId="{ACAB1364-4213-4344-97F1-52E6A4B7AD51}" destId="{8613E27A-FA81-414A-940E-A8A05CB72A60}" srcOrd="1" destOrd="0" presId="urn:microsoft.com/office/officeart/2005/8/layout/list1"/>
    <dgm:cxn modelId="{F3E2526A-482F-409B-AD60-B9EA040C4357}" type="presParOf" srcId="{408D34E2-66F1-46A9-9997-E1853B05B16B}" destId="{BD5BC82F-D574-4152-AF57-FB881EF135BD}" srcOrd="13" destOrd="0" presId="urn:microsoft.com/office/officeart/2005/8/layout/list1"/>
    <dgm:cxn modelId="{FA74BD7C-39ED-45D0-86F4-2A3805F66195}" type="presParOf" srcId="{408D34E2-66F1-46A9-9997-E1853B05B16B}" destId="{FA6085C2-A231-4252-AC9B-4382D6F25C77}" srcOrd="14" destOrd="0" presId="urn:microsoft.com/office/officeart/2005/8/layout/list1"/>
  </dgm:cxnLst>
  <dgm:bg/>
  <dgm:whole/>
</dgm:dataModel>
</file>

<file path=word/diagrams/data2.xml><?xml version="1.0" encoding="utf-8"?>
<dgm:dataModel xmlns:dgm="http://schemas.openxmlformats.org/drawingml/2006/diagram" xmlns:a="http://schemas.openxmlformats.org/drawingml/2006/main">
  <dgm:ptLst>
    <dgm:pt modelId="{2588221F-84D0-40A4-9E74-C2D742122ACE}" type="doc">
      <dgm:prSet loTypeId="urn:microsoft.com/office/officeart/2005/8/layout/hList6" loCatId="list" qsTypeId="urn:microsoft.com/office/officeart/2005/8/quickstyle/simple1" qsCatId="simple" csTypeId="urn:microsoft.com/office/officeart/2005/8/colors/colorful3" csCatId="colorful" phldr="1"/>
      <dgm:spPr/>
      <dgm:t>
        <a:bodyPr/>
        <a:p>
          <a:endParaRPr lang="en-US"/>
        </a:p>
      </dgm:t>
    </dgm:pt>
    <dgm:pt modelId="{2319EA85-2DA6-4637-B7EA-827AF1066173}">
      <dgm:prSet phldrT="[Text]" custT="1"/>
      <dgm:spPr/>
      <dgm:t>
        <a:bodyPr/>
        <a:p>
          <a:pPr algn="ctr"/>
          <a:r>
            <a:rPr lang="en-GB" sz="1400" b="1">
              <a:latin typeface="Arial" panose="020B0604020202090204" pitchFamily="2" charset="0"/>
              <a:cs typeface="Arial" panose="020B0604020202090204" pitchFamily="2" charset="0"/>
            </a:rPr>
            <a:t>The belief about space and surface use has to be changed</a:t>
          </a:r>
          <a:endParaRPr lang="en-US" sz="1400">
            <a:latin typeface="Arial" panose="020B0604020202090204" pitchFamily="2" charset="0"/>
            <a:cs typeface="Arial" panose="020B0604020202090204" pitchFamily="2" charset="0"/>
          </a:endParaRPr>
        </a:p>
      </dgm:t>
    </dgm:pt>
    <dgm:pt modelId="{B58A6130-2FC5-4D03-98AA-44062F066734}" cxnId="{EB941E5A-2A05-463B-BFE6-ECF40E368539}" type="parTrans">
      <dgm:prSet/>
      <dgm:spPr/>
      <dgm:t>
        <a:bodyPr/>
        <a:p>
          <a:pPr algn="ctr"/>
          <a:endParaRPr lang="en-US"/>
        </a:p>
      </dgm:t>
    </dgm:pt>
    <dgm:pt modelId="{CC1D5F79-3415-4041-98D0-668C62C650CA}" cxnId="{EB941E5A-2A05-463B-BFE6-ECF40E368539}" type="sibTrans">
      <dgm:prSet/>
      <dgm:spPr/>
      <dgm:t>
        <a:bodyPr/>
        <a:p>
          <a:pPr algn="ctr"/>
          <a:endParaRPr lang="en-US"/>
        </a:p>
      </dgm:t>
    </dgm:pt>
    <dgm:pt modelId="{B42C09C1-3BFD-4AE1-A645-F611B4EDDBAB}">
      <dgm:prSet phldrT="[Text]" custT="1"/>
      <dgm:spPr/>
      <dgm:t>
        <a:bodyPr/>
        <a:p>
          <a:pPr algn="ctr"/>
          <a:r>
            <a:rPr lang="en-GB" sz="1400" b="1">
              <a:latin typeface="Arial" panose="020B0604020202090204" pitchFamily="2" charset="0"/>
              <a:cs typeface="Arial" panose="020B0604020202090204" pitchFamily="2" charset="0"/>
            </a:rPr>
            <a:t>Focus on employee safety</a:t>
          </a:r>
          <a:endParaRPr lang="en-US" sz="1400">
            <a:latin typeface="Arial" panose="020B0604020202090204" pitchFamily="2" charset="0"/>
            <a:cs typeface="Arial" panose="020B0604020202090204" pitchFamily="2" charset="0"/>
          </a:endParaRPr>
        </a:p>
      </dgm:t>
    </dgm:pt>
    <dgm:pt modelId="{255F4309-F4D5-44A2-9C02-1EF6F6D2B843}" cxnId="{4030F3F6-0F61-43FC-9862-40C838D5BB00}" type="parTrans">
      <dgm:prSet/>
      <dgm:spPr/>
      <dgm:t>
        <a:bodyPr/>
        <a:p>
          <a:pPr algn="ctr"/>
          <a:endParaRPr lang="en-US"/>
        </a:p>
      </dgm:t>
    </dgm:pt>
    <dgm:pt modelId="{5293C835-961F-4DD8-AC5E-A9D142D13F3A}" cxnId="{4030F3F6-0F61-43FC-9862-40C838D5BB00}" type="sibTrans">
      <dgm:prSet/>
      <dgm:spPr/>
      <dgm:t>
        <a:bodyPr/>
        <a:p>
          <a:pPr algn="ctr"/>
          <a:endParaRPr lang="en-US"/>
        </a:p>
      </dgm:t>
    </dgm:pt>
    <dgm:pt modelId="{EEB0369B-B391-422D-912E-C9E4C6ADDB91}">
      <dgm:prSet phldrT="[Text]" custT="1"/>
      <dgm:spPr/>
      <dgm:t>
        <a:bodyPr/>
        <a:p>
          <a:pPr algn="ctr"/>
          <a:r>
            <a:rPr lang="en-GB" sz="1400" b="1">
              <a:latin typeface="Arial" panose="020B0604020202090204" pitchFamily="2" charset="0"/>
              <a:cs typeface="Arial" panose="020B0604020202090204" pitchFamily="2" charset="0"/>
            </a:rPr>
            <a:t>Focus on employee mental health and wellbeing</a:t>
          </a:r>
          <a:endParaRPr lang="en-US" sz="1400">
            <a:latin typeface="Arial" panose="020B0604020202090204" pitchFamily="2" charset="0"/>
            <a:cs typeface="Arial" panose="020B0604020202090204" pitchFamily="2" charset="0"/>
          </a:endParaRPr>
        </a:p>
      </dgm:t>
    </dgm:pt>
    <dgm:pt modelId="{BD29A860-DB15-4A18-85B8-C02D8682FA10}" cxnId="{0684FEC7-73D5-4750-A9AC-F232563C6C1B}" type="parTrans">
      <dgm:prSet/>
      <dgm:spPr/>
      <dgm:t>
        <a:bodyPr/>
        <a:p>
          <a:pPr algn="ctr"/>
          <a:endParaRPr lang="en-US"/>
        </a:p>
      </dgm:t>
    </dgm:pt>
    <dgm:pt modelId="{97DD2E9F-0B92-4A5D-9EC4-AB1B1553C813}" cxnId="{0684FEC7-73D5-4750-A9AC-F232563C6C1B}" type="sibTrans">
      <dgm:prSet/>
      <dgm:spPr/>
      <dgm:t>
        <a:bodyPr/>
        <a:p>
          <a:pPr algn="ctr"/>
          <a:endParaRPr lang="en-US"/>
        </a:p>
      </dgm:t>
    </dgm:pt>
    <dgm:pt modelId="{8EED3804-3F71-4C20-ADA4-6AA8656DCCBD}" type="pres">
      <dgm:prSet presAssocID="{2588221F-84D0-40A4-9E74-C2D742122ACE}" presName="Name0" presStyleCnt="0">
        <dgm:presLayoutVars>
          <dgm:dir/>
          <dgm:resizeHandles val="exact"/>
        </dgm:presLayoutVars>
      </dgm:prSet>
      <dgm:spPr/>
    </dgm:pt>
    <dgm:pt modelId="{B36B7697-B943-43AE-AE24-EECD91F8E07A}" type="pres">
      <dgm:prSet presAssocID="{2319EA85-2DA6-4637-B7EA-827AF1066173}" presName="node" presStyleLbl="node1" presStyleIdx="0" presStyleCnt="3">
        <dgm:presLayoutVars>
          <dgm:bulletEnabled val="1"/>
        </dgm:presLayoutVars>
      </dgm:prSet>
      <dgm:spPr/>
    </dgm:pt>
    <dgm:pt modelId="{EC50E8E0-071A-4958-95AA-139E2E92862D}" type="pres">
      <dgm:prSet presAssocID="{CC1D5F79-3415-4041-98D0-668C62C650CA}" presName="sibTrans" presStyleCnt="0"/>
      <dgm:spPr/>
    </dgm:pt>
    <dgm:pt modelId="{8A95EBE9-0DA6-4036-A5AA-E42EA198D1E2}" type="pres">
      <dgm:prSet presAssocID="{B42C09C1-3BFD-4AE1-A645-F611B4EDDBAB}" presName="node" presStyleLbl="node1" presStyleIdx="1" presStyleCnt="3">
        <dgm:presLayoutVars>
          <dgm:bulletEnabled val="1"/>
        </dgm:presLayoutVars>
      </dgm:prSet>
      <dgm:spPr/>
    </dgm:pt>
    <dgm:pt modelId="{464B2726-88B3-4487-860E-30216CE0CFA6}" type="pres">
      <dgm:prSet presAssocID="{5293C835-961F-4DD8-AC5E-A9D142D13F3A}" presName="sibTrans" presStyleCnt="0"/>
      <dgm:spPr/>
    </dgm:pt>
    <dgm:pt modelId="{ABDE2AC9-45C7-4634-86C9-4B21936A406E}" type="pres">
      <dgm:prSet presAssocID="{EEB0369B-B391-422D-912E-C9E4C6ADDB91}" presName="node" presStyleLbl="node1" presStyleIdx="2" presStyleCnt="3">
        <dgm:presLayoutVars>
          <dgm:bulletEnabled val="1"/>
        </dgm:presLayoutVars>
      </dgm:prSet>
      <dgm:spPr/>
    </dgm:pt>
  </dgm:ptLst>
  <dgm:cxnLst>
    <dgm:cxn modelId="{0684FEC7-73D5-4750-A9AC-F232563C6C1B}" srcId="{2588221F-84D0-40A4-9E74-C2D742122ACE}" destId="{EEB0369B-B391-422D-912E-C9E4C6ADDB91}" srcOrd="2" destOrd="0" parTransId="{BD29A860-DB15-4A18-85B8-C02D8682FA10}" sibTransId="{97DD2E9F-0B92-4A5D-9EC4-AB1B1553C813}"/>
    <dgm:cxn modelId="{4030F3F6-0F61-43FC-9862-40C838D5BB00}" srcId="{2588221F-84D0-40A4-9E74-C2D742122ACE}" destId="{B42C09C1-3BFD-4AE1-A645-F611B4EDDBAB}" srcOrd="1" destOrd="0" parTransId="{255F4309-F4D5-44A2-9C02-1EF6F6D2B843}" sibTransId="{5293C835-961F-4DD8-AC5E-A9D142D13F3A}"/>
    <dgm:cxn modelId="{EB941E5A-2A05-463B-BFE6-ECF40E368539}" srcId="{2588221F-84D0-40A4-9E74-C2D742122ACE}" destId="{2319EA85-2DA6-4637-B7EA-827AF1066173}" srcOrd="0" destOrd="0" parTransId="{B58A6130-2FC5-4D03-98AA-44062F066734}" sibTransId="{CC1D5F79-3415-4041-98D0-668C62C650CA}"/>
    <dgm:cxn modelId="{6923F8E2-1AC0-4F40-9D1C-ECD5991D125B}" type="presOf" srcId="{2319EA85-2DA6-4637-B7EA-827AF1066173}" destId="{B36B7697-B943-43AE-AE24-EECD91F8E07A}" srcOrd="0" destOrd="0" presId="urn:microsoft.com/office/officeart/2005/8/layout/hList6"/>
    <dgm:cxn modelId="{48F31BD3-987D-469F-8792-85CDB9DEDD0E}" type="presOf" srcId="{2588221F-84D0-40A4-9E74-C2D742122ACE}" destId="{8EED3804-3F71-4C20-ADA4-6AA8656DCCBD}" srcOrd="0" destOrd="0" presId="urn:microsoft.com/office/officeart/2005/8/layout/hList6"/>
    <dgm:cxn modelId="{1A811C2E-B1F7-4309-B554-E9B1C5994575}" type="presOf" srcId="{B42C09C1-3BFD-4AE1-A645-F611B4EDDBAB}" destId="{8A95EBE9-0DA6-4036-A5AA-E42EA198D1E2}" srcOrd="0" destOrd="0" presId="urn:microsoft.com/office/officeart/2005/8/layout/hList6"/>
    <dgm:cxn modelId="{814AA530-2382-4B47-BA3A-0E4266709D63}" type="presOf" srcId="{EEB0369B-B391-422D-912E-C9E4C6ADDB91}" destId="{ABDE2AC9-45C7-4634-86C9-4B21936A406E}" srcOrd="0" destOrd="0" presId="urn:microsoft.com/office/officeart/2005/8/layout/hList6"/>
    <dgm:cxn modelId="{0486A125-227A-4CC0-8189-593B28F335E0}" type="presParOf" srcId="{8EED3804-3F71-4C20-ADA4-6AA8656DCCBD}" destId="{B36B7697-B943-43AE-AE24-EECD91F8E07A}" srcOrd="0" destOrd="0" presId="urn:microsoft.com/office/officeart/2005/8/layout/hList6"/>
    <dgm:cxn modelId="{DC95F329-11C1-4D61-9E9E-0529FBA24845}" type="presParOf" srcId="{8EED3804-3F71-4C20-ADA4-6AA8656DCCBD}" destId="{EC50E8E0-071A-4958-95AA-139E2E92862D}" srcOrd="1" destOrd="0" presId="urn:microsoft.com/office/officeart/2005/8/layout/hList6"/>
    <dgm:cxn modelId="{8131EF0C-4956-4C5D-ABF2-35438BFA5F7E}" type="presParOf" srcId="{8EED3804-3F71-4C20-ADA4-6AA8656DCCBD}" destId="{8A95EBE9-0DA6-4036-A5AA-E42EA198D1E2}" srcOrd="2" destOrd="0" presId="urn:microsoft.com/office/officeart/2005/8/layout/hList6"/>
    <dgm:cxn modelId="{3417E58B-3164-4196-A8C1-2D409DAD564F}" type="presParOf" srcId="{8EED3804-3F71-4C20-ADA4-6AA8656DCCBD}" destId="{464B2726-88B3-4487-860E-30216CE0CFA6}" srcOrd="3" destOrd="0" presId="urn:microsoft.com/office/officeart/2005/8/layout/hList6"/>
    <dgm:cxn modelId="{93627AB8-5157-4AA4-8466-DA06FF69E495}" type="presParOf" srcId="{8EED3804-3F71-4C20-ADA4-6AA8656DCCBD}" destId="{ABDE2AC9-45C7-4634-86C9-4B21936A406E}" srcOrd="4" destOrd="0" presId="urn:microsoft.com/office/officeart/2005/8/layout/hList6"/>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E55E2E-D842-4104-8E77-6259E00DC740}">
      <dsp:nvSpPr>
        <dsp:cNvPr id="0" name=""/>
        <dsp:cNvSpPr/>
      </dsp:nvSpPr>
      <dsp:spPr>
        <a:xfrm>
          <a:off x="0" y="233482"/>
          <a:ext cx="5486400" cy="327600"/>
        </a:xfrm>
        <a:prstGeom prst="rect">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49CE9308-2BE3-4FB9-90AC-990DB57B23CE}">
      <dsp:nvSpPr>
        <dsp:cNvPr id="0" name=""/>
        <dsp:cNvSpPr/>
      </dsp:nvSpPr>
      <dsp:spPr>
        <a:xfrm>
          <a:off x="274320" y="41602"/>
          <a:ext cx="3840480" cy="383760"/>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lvl="0" algn="just" defTabSz="533400">
            <a:lnSpc>
              <a:spcPct val="90000"/>
            </a:lnSpc>
            <a:spcBef>
              <a:spcPct val="0"/>
            </a:spcBef>
            <a:spcAft>
              <a:spcPct val="35000"/>
            </a:spcAft>
          </a:pPr>
          <a:r>
            <a:rPr lang="en-US" sz="1200" b="1" i="0" kern="1200">
              <a:latin typeface="Arial" panose="020B0604020202020204" pitchFamily="34" charset="0"/>
              <a:cs typeface="Arial" panose="020B0604020202020204" pitchFamily="34" charset="0"/>
            </a:rPr>
            <a:t>Develop a science for each element of work</a:t>
          </a:r>
          <a:endParaRPr lang="en-US" sz="1200" kern="1200">
            <a:latin typeface="Arial" panose="020B0604020202020204" pitchFamily="34" charset="0"/>
            <a:cs typeface="Arial" panose="020B0604020202020204" pitchFamily="34" charset="0"/>
          </a:endParaRPr>
        </a:p>
      </dsp:txBody>
      <dsp:txXfrm>
        <a:off x="293054" y="60336"/>
        <a:ext cx="3803012" cy="346292"/>
      </dsp:txXfrm>
    </dsp:sp>
    <dsp:sp modelId="{C1FA87A2-6920-4B16-8B6D-952D1CA50223}">
      <dsp:nvSpPr>
        <dsp:cNvPr id="0" name=""/>
        <dsp:cNvSpPr/>
      </dsp:nvSpPr>
      <dsp:spPr>
        <a:xfrm>
          <a:off x="0" y="823162"/>
          <a:ext cx="5486400" cy="327600"/>
        </a:xfrm>
        <a:prstGeom prst="rect">
          <a:avLst/>
        </a:prstGeom>
        <a:solidFill>
          <a:schemeClr val="lt1">
            <a:alpha val="90000"/>
            <a:hueOff val="0"/>
            <a:satOff val="0"/>
            <a:lumOff val="0"/>
            <a:alphaOff val="0"/>
          </a:schemeClr>
        </a:solidFill>
        <a:ln w="6350" cap="flat" cmpd="sng" algn="ctr">
          <a:solidFill>
            <a:schemeClr val="accent5">
              <a:hueOff val="-2451115"/>
              <a:satOff val="-3409"/>
              <a:lumOff val="-1307"/>
              <a:alphaOff val="0"/>
            </a:schemeClr>
          </a:solidFill>
          <a:prstDash val="solid"/>
          <a:miter lim="800000"/>
        </a:ln>
        <a:effectLst/>
      </dsp:spPr>
      <dsp:style>
        <a:lnRef idx="1">
          <a:scrgbClr r="0" g="0" b="0"/>
        </a:lnRef>
        <a:fillRef idx="1">
          <a:scrgbClr r="0" g="0" b="0"/>
        </a:fillRef>
        <a:effectRef idx="2">
          <a:scrgbClr r="0" g="0" b="0"/>
        </a:effectRef>
        <a:fontRef idx="minor"/>
      </dsp:style>
    </dsp:sp>
    <dsp:sp modelId="{32C51CE6-7EBE-4D09-B09C-B25D225A2519}">
      <dsp:nvSpPr>
        <dsp:cNvPr id="0" name=""/>
        <dsp:cNvSpPr/>
      </dsp:nvSpPr>
      <dsp:spPr>
        <a:xfrm>
          <a:off x="274320" y="631282"/>
          <a:ext cx="3840480" cy="383760"/>
        </a:xfrm>
        <a:prstGeom prst="roundRect">
          <a:avLst/>
        </a:prstGeom>
        <a:gradFill rotWithShape="0">
          <a:gsLst>
            <a:gs pos="0">
              <a:schemeClr val="accent5">
                <a:hueOff val="-2451115"/>
                <a:satOff val="-3409"/>
                <a:lumOff val="-1307"/>
                <a:alphaOff val="0"/>
                <a:satMod val="103000"/>
                <a:lumMod val="102000"/>
                <a:tint val="94000"/>
              </a:schemeClr>
            </a:gs>
            <a:gs pos="50000">
              <a:schemeClr val="accent5">
                <a:hueOff val="-2451115"/>
                <a:satOff val="-3409"/>
                <a:lumOff val="-1307"/>
                <a:alphaOff val="0"/>
                <a:satMod val="110000"/>
                <a:lumMod val="100000"/>
                <a:shade val="100000"/>
              </a:schemeClr>
            </a:gs>
            <a:gs pos="100000">
              <a:schemeClr val="accent5">
                <a:hueOff val="-2451115"/>
                <a:satOff val="-3409"/>
                <a:lumOff val="-130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lvl="0" algn="just" defTabSz="533400">
            <a:lnSpc>
              <a:spcPct val="90000"/>
            </a:lnSpc>
            <a:spcBef>
              <a:spcPct val="0"/>
            </a:spcBef>
            <a:spcAft>
              <a:spcPct val="35000"/>
            </a:spcAft>
          </a:pPr>
          <a:r>
            <a:rPr lang="en-US" sz="1200" b="1" i="0" kern="1200">
              <a:latin typeface="Arial" panose="020B0604020202020204" pitchFamily="34" charset="0"/>
              <a:cs typeface="Arial" panose="020B0604020202020204" pitchFamily="34" charset="0"/>
            </a:rPr>
            <a:t>Scientifically Select, Train, Teach, and Develop the worker</a:t>
          </a:r>
          <a:endParaRPr lang="en-US" sz="1200" kern="1200">
            <a:latin typeface="Arial" panose="020B0604020202020204" pitchFamily="34" charset="0"/>
            <a:cs typeface="Arial" panose="020B0604020202020204" pitchFamily="34" charset="0"/>
          </a:endParaRPr>
        </a:p>
      </dsp:txBody>
      <dsp:txXfrm>
        <a:off x="293054" y="650016"/>
        <a:ext cx="3803012" cy="346292"/>
      </dsp:txXfrm>
    </dsp:sp>
    <dsp:sp modelId="{2348BC2C-4D73-4869-B544-F39AA54A9DAE}">
      <dsp:nvSpPr>
        <dsp:cNvPr id="0" name=""/>
        <dsp:cNvSpPr/>
      </dsp:nvSpPr>
      <dsp:spPr>
        <a:xfrm>
          <a:off x="0" y="1412842"/>
          <a:ext cx="5486400" cy="327600"/>
        </a:xfrm>
        <a:prstGeom prst="rect">
          <a:avLst/>
        </a:prstGeom>
        <a:solidFill>
          <a:schemeClr val="lt1">
            <a:alpha val="90000"/>
            <a:hueOff val="0"/>
            <a:satOff val="0"/>
            <a:lumOff val="0"/>
            <a:alphaOff val="0"/>
          </a:schemeClr>
        </a:solidFill>
        <a:ln w="6350" cap="flat" cmpd="sng" algn="ctr">
          <a:solidFill>
            <a:schemeClr val="accent5">
              <a:hueOff val="-4902230"/>
              <a:satOff val="-6819"/>
              <a:lumOff val="-2615"/>
              <a:alphaOff val="0"/>
            </a:schemeClr>
          </a:solidFill>
          <a:prstDash val="solid"/>
          <a:miter lim="800000"/>
        </a:ln>
        <a:effectLst/>
      </dsp:spPr>
      <dsp:style>
        <a:lnRef idx="1">
          <a:scrgbClr r="0" g="0" b="0"/>
        </a:lnRef>
        <a:fillRef idx="1">
          <a:scrgbClr r="0" g="0" b="0"/>
        </a:fillRef>
        <a:effectRef idx="2">
          <a:scrgbClr r="0" g="0" b="0"/>
        </a:effectRef>
        <a:fontRef idx="minor"/>
      </dsp:style>
    </dsp:sp>
    <dsp:sp modelId="{38425BC2-5494-4C58-8F07-CE2674A2098A}">
      <dsp:nvSpPr>
        <dsp:cNvPr id="0" name=""/>
        <dsp:cNvSpPr/>
      </dsp:nvSpPr>
      <dsp:spPr>
        <a:xfrm>
          <a:off x="274320" y="1220962"/>
          <a:ext cx="3840480" cy="383760"/>
        </a:xfrm>
        <a:prstGeom prst="roundRect">
          <a:avLst/>
        </a:prstGeom>
        <a:gradFill rotWithShape="0">
          <a:gsLst>
            <a:gs pos="0">
              <a:schemeClr val="accent5">
                <a:hueOff val="-4902230"/>
                <a:satOff val="-6819"/>
                <a:lumOff val="-2615"/>
                <a:alphaOff val="0"/>
                <a:satMod val="103000"/>
                <a:lumMod val="102000"/>
                <a:tint val="94000"/>
              </a:schemeClr>
            </a:gs>
            <a:gs pos="50000">
              <a:schemeClr val="accent5">
                <a:hueOff val="-4902230"/>
                <a:satOff val="-6819"/>
                <a:lumOff val="-2615"/>
                <a:alphaOff val="0"/>
                <a:satMod val="110000"/>
                <a:lumMod val="100000"/>
                <a:shade val="100000"/>
              </a:schemeClr>
            </a:gs>
            <a:gs pos="100000">
              <a:schemeClr val="accent5">
                <a:hueOff val="-4902230"/>
                <a:satOff val="-6819"/>
                <a:lumOff val="-261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lvl="0" algn="just" defTabSz="533400">
            <a:lnSpc>
              <a:spcPct val="90000"/>
            </a:lnSpc>
            <a:spcBef>
              <a:spcPct val="0"/>
            </a:spcBef>
            <a:spcAft>
              <a:spcPct val="35000"/>
            </a:spcAft>
          </a:pPr>
          <a:r>
            <a:rPr lang="en-US" sz="1200" b="1" i="0" kern="1200">
              <a:latin typeface="Arial" panose="020B0604020202020204" pitchFamily="34" charset="0"/>
              <a:cs typeface="Arial" panose="020B0604020202020204" pitchFamily="34" charset="0"/>
            </a:rPr>
            <a:t>Cooperate with the Worker</a:t>
          </a:r>
          <a:endParaRPr lang="en-US" sz="1200" kern="1200">
            <a:latin typeface="Arial" panose="020B0604020202020204" pitchFamily="34" charset="0"/>
            <a:cs typeface="Arial" panose="020B0604020202020204" pitchFamily="34" charset="0"/>
          </a:endParaRPr>
        </a:p>
      </dsp:txBody>
      <dsp:txXfrm>
        <a:off x="293054" y="1239696"/>
        <a:ext cx="3803012" cy="346292"/>
      </dsp:txXfrm>
    </dsp:sp>
    <dsp:sp modelId="{FA6085C2-A231-4252-AC9B-4382D6F25C77}">
      <dsp:nvSpPr>
        <dsp:cNvPr id="0" name=""/>
        <dsp:cNvSpPr/>
      </dsp:nvSpPr>
      <dsp:spPr>
        <a:xfrm>
          <a:off x="0" y="2002522"/>
          <a:ext cx="5486400" cy="327600"/>
        </a:xfrm>
        <a:prstGeom prst="rect">
          <a:avLst/>
        </a:prstGeom>
        <a:solidFill>
          <a:schemeClr val="lt1">
            <a:alpha val="90000"/>
            <a:hueOff val="0"/>
            <a:satOff val="0"/>
            <a:lumOff val="0"/>
            <a:alphaOff val="0"/>
          </a:schemeClr>
        </a:solidFill>
        <a:ln w="6350" cap="flat" cmpd="sng" algn="ctr">
          <a:solidFill>
            <a:schemeClr val="accent5">
              <a:hueOff val="-7353344"/>
              <a:satOff val="-10228"/>
              <a:lumOff val="-3922"/>
              <a:alphaOff val="0"/>
            </a:schemeClr>
          </a:solidFill>
          <a:prstDash val="solid"/>
          <a:miter lim="800000"/>
        </a:ln>
        <a:effectLst/>
      </dsp:spPr>
      <dsp:style>
        <a:lnRef idx="1">
          <a:scrgbClr r="0" g="0" b="0"/>
        </a:lnRef>
        <a:fillRef idx="1">
          <a:scrgbClr r="0" g="0" b="0"/>
        </a:fillRef>
        <a:effectRef idx="2">
          <a:scrgbClr r="0" g="0" b="0"/>
        </a:effectRef>
        <a:fontRef idx="minor"/>
      </dsp:style>
    </dsp:sp>
    <dsp:sp modelId="{8613E27A-FA81-414A-940E-A8A05CB72A60}">
      <dsp:nvSpPr>
        <dsp:cNvPr id="0" name=""/>
        <dsp:cNvSpPr/>
      </dsp:nvSpPr>
      <dsp:spPr>
        <a:xfrm>
          <a:off x="274320" y="1810642"/>
          <a:ext cx="3840480" cy="383760"/>
        </a:xfrm>
        <a:prstGeom prst="roundRect">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lvl="0" algn="just" defTabSz="533400">
            <a:lnSpc>
              <a:spcPct val="90000"/>
            </a:lnSpc>
            <a:spcBef>
              <a:spcPct val="0"/>
            </a:spcBef>
            <a:spcAft>
              <a:spcPct val="35000"/>
            </a:spcAft>
          </a:pPr>
          <a:r>
            <a:rPr lang="en-US" sz="1200" b="1" i="0" kern="1200">
              <a:latin typeface="Arial" panose="020B0604020202020204" pitchFamily="34" charset="0"/>
              <a:cs typeface="Arial" panose="020B0604020202020204" pitchFamily="34" charset="0"/>
            </a:rPr>
            <a:t>Divide the Work and Responsibility</a:t>
          </a:r>
          <a:endParaRPr lang="en-US" sz="1200" kern="1200">
            <a:latin typeface="Arial" panose="020B0604020202020204" pitchFamily="34" charset="0"/>
            <a:cs typeface="Arial" panose="020B0604020202020204" pitchFamily="34" charset="0"/>
          </a:endParaRPr>
        </a:p>
      </dsp:txBody>
      <dsp:txXfrm>
        <a:off x="293054" y="1829376"/>
        <a:ext cx="3803012" cy="34629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6B7697-B943-43AE-AE24-EECD91F8E07A}">
      <dsp:nvSpPr>
        <dsp:cNvPr id="0" name=""/>
        <dsp:cNvSpPr/>
      </dsp:nvSpPr>
      <dsp:spPr>
        <a:xfrm rot="16200000">
          <a:off x="-309785" y="310455"/>
          <a:ext cx="2362199" cy="1741289"/>
        </a:xfrm>
        <a:prstGeom prst="flowChartManualOperation">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0" tIns="0" rIns="88900" bIns="0" numCol="1" spcCol="1270" anchor="ctr" anchorCtr="0">
          <a:noAutofit/>
        </a:bodyPr>
        <a:lstStyle/>
        <a:p>
          <a:pPr lvl="0" algn="ctr" defTabSz="622300">
            <a:lnSpc>
              <a:spcPct val="90000"/>
            </a:lnSpc>
            <a:spcBef>
              <a:spcPct val="0"/>
            </a:spcBef>
            <a:spcAft>
              <a:spcPct val="35000"/>
            </a:spcAft>
          </a:pPr>
          <a:r>
            <a:rPr lang="en-GB" sz="1400" b="1" kern="1200">
              <a:latin typeface="Arial" panose="020B0604020202020204" pitchFamily="34" charset="0"/>
              <a:cs typeface="Arial" panose="020B0604020202020204" pitchFamily="34" charset="0"/>
            </a:rPr>
            <a:t>The belief about space and surface use has to be changed</a:t>
          </a:r>
          <a:endParaRPr lang="en-US" sz="1400" kern="1200">
            <a:latin typeface="Arial" panose="020B0604020202020204" pitchFamily="34" charset="0"/>
            <a:cs typeface="Arial" panose="020B0604020202020204" pitchFamily="34" charset="0"/>
          </a:endParaRPr>
        </a:p>
      </dsp:txBody>
      <dsp:txXfrm rot="5400000">
        <a:off x="670" y="472440"/>
        <a:ext cx="1741289" cy="1417319"/>
      </dsp:txXfrm>
    </dsp:sp>
    <dsp:sp modelId="{8A95EBE9-0DA6-4036-A5AA-E42EA198D1E2}">
      <dsp:nvSpPr>
        <dsp:cNvPr id="0" name=""/>
        <dsp:cNvSpPr/>
      </dsp:nvSpPr>
      <dsp:spPr>
        <a:xfrm rot="16200000">
          <a:off x="1562100" y="310455"/>
          <a:ext cx="2362199" cy="1741289"/>
        </a:xfrm>
        <a:prstGeom prst="flowChartManualOperation">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0" tIns="0" rIns="88900" bIns="0" numCol="1" spcCol="1270" anchor="ctr" anchorCtr="0">
          <a:noAutofit/>
        </a:bodyPr>
        <a:lstStyle/>
        <a:p>
          <a:pPr lvl="0" algn="ctr" defTabSz="622300">
            <a:lnSpc>
              <a:spcPct val="90000"/>
            </a:lnSpc>
            <a:spcBef>
              <a:spcPct val="0"/>
            </a:spcBef>
            <a:spcAft>
              <a:spcPct val="35000"/>
            </a:spcAft>
          </a:pPr>
          <a:r>
            <a:rPr lang="en-GB" sz="1400" b="1" kern="1200">
              <a:latin typeface="Arial" panose="020B0604020202020204" pitchFamily="34" charset="0"/>
              <a:cs typeface="Arial" panose="020B0604020202020204" pitchFamily="34" charset="0"/>
            </a:rPr>
            <a:t>Focus on employee safety</a:t>
          </a:r>
          <a:endParaRPr lang="en-US" sz="1400" kern="1200">
            <a:latin typeface="Arial" panose="020B0604020202020204" pitchFamily="34" charset="0"/>
            <a:cs typeface="Arial" panose="020B0604020202020204" pitchFamily="34" charset="0"/>
          </a:endParaRPr>
        </a:p>
      </dsp:txBody>
      <dsp:txXfrm rot="5400000">
        <a:off x="1872555" y="472440"/>
        <a:ext cx="1741289" cy="1417319"/>
      </dsp:txXfrm>
    </dsp:sp>
    <dsp:sp modelId="{ABDE2AC9-45C7-4634-86C9-4B21936A406E}">
      <dsp:nvSpPr>
        <dsp:cNvPr id="0" name=""/>
        <dsp:cNvSpPr/>
      </dsp:nvSpPr>
      <dsp:spPr>
        <a:xfrm rot="16200000">
          <a:off x="3433985" y="310455"/>
          <a:ext cx="2362199" cy="1741289"/>
        </a:xfrm>
        <a:prstGeom prst="flowChartManualOperation">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0" tIns="0" rIns="88900" bIns="0" numCol="1" spcCol="1270" anchor="ctr" anchorCtr="0">
          <a:noAutofit/>
        </a:bodyPr>
        <a:lstStyle/>
        <a:p>
          <a:pPr lvl="0" algn="ctr" defTabSz="622300">
            <a:lnSpc>
              <a:spcPct val="90000"/>
            </a:lnSpc>
            <a:spcBef>
              <a:spcPct val="0"/>
            </a:spcBef>
            <a:spcAft>
              <a:spcPct val="35000"/>
            </a:spcAft>
          </a:pPr>
          <a:r>
            <a:rPr lang="en-GB" sz="1400" b="1" kern="1200">
              <a:latin typeface="Arial" panose="020B0604020202020204" pitchFamily="34" charset="0"/>
              <a:cs typeface="Arial" panose="020B0604020202020204" pitchFamily="34" charset="0"/>
            </a:rPr>
            <a:t>Focus on employee mental health and wellbeing</a:t>
          </a:r>
          <a:endParaRPr lang="en-US" sz="1400" kern="1200">
            <a:latin typeface="Arial" panose="020B0604020202020204" pitchFamily="34" charset="0"/>
            <a:cs typeface="Arial" panose="020B0604020202020204" pitchFamily="34" charset="0"/>
          </a:endParaRPr>
        </a:p>
      </dsp:txBody>
      <dsp:txXfrm rot="5400000">
        <a:off x="3744440" y="472440"/>
        <a:ext cx="1741289" cy="1417319"/>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nodeHorzAlign" val="l"/>
          <dgm:param type="horzAlign" val="l"/>
        </dgm:alg>
      </dgm:if>
      <dgm:else name="Name2">
        <dgm:alg type="lin">
          <dgm:param type="linDir" val="fromT"/>
          <dgm:param type="vertAlign" val="mid"/>
          <dgm:param type="nodeHorzAlign" val="r"/>
          <dgm:param typ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nodeHorzAlign" val="l"/>
              <dgm:param type="horzAlign" val="l"/>
            </dgm:alg>
          </dgm:if>
          <dgm:else name="Name6">
            <dgm:alg type="lin">
              <dgm:param type="linDir" val="fromR"/>
              <dgm:param type="nodeHorzAlign" val="r"/>
              <dgm:param typ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type="flowChartManualOperation" r:blip="" rot="-90">
              <dgm:adjLst/>
            </dgm:shape>
          </dgm:if>
          <dgm:else name="Name6">
            <dgm:shape xmlns:r="http://schemas.openxmlformats.org/officeDocument/2006/relationships" type="flowChartManualOperation" r:blip="" rot="90">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alignAcc1">
    <dgm:scene3d>
      <a:camera prst="orthographicFront"/>
      <a:lightRig rig="threePt" dir="t"/>
    </dgm:scene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txPr/>
    <dgm:style>
      <a:lnRef idx="1">
        <a:scrgbClr r="0" g="0" b="0"/>
      </a:lnRef>
      <a:fillRef idx="1">
        <a:scrgbClr r="0" g="0" b="0"/>
      </a:fillRef>
      <a:effectRef idx="2">
        <a:scrgbClr r="0" g="0" b="0"/>
      </a:effectRef>
      <a:fontRef idx="minor"/>
    </dgm:style>
  </dgm:styleLbl>
  <dgm:styleLbl name="alignImgPlace1">
    <dgm:scene3d>
      <a:camera prst="orthographicFront"/>
      <a:lightRig rig="threePt" dir="t"/>
    </dgm:scene3d>
    <dgm:txPr/>
    <dgm:style>
      <a:lnRef idx="0">
        <a:scrgbClr r="0" g="0" b="0"/>
      </a:lnRef>
      <a:fillRef idx="1">
        <a:scrgbClr r="0" g="0" b="0"/>
      </a:fillRef>
      <a:effectRef idx="3">
        <a:scrgbClr r="0" g="0" b="0"/>
      </a:effectRef>
      <a:fontRef idx="minor"/>
    </dgm:style>
  </dgm:styleLbl>
  <dgm:styleLbl name="alignNode1">
    <dgm:scene3d>
      <a:camera prst="orthographicFront"/>
      <a:lightRig rig="threePt" dir="t"/>
    </dgm:scene3d>
    <dgm:txPr/>
    <dgm:style>
      <a:lnRef idx="1">
        <a:scrgbClr r="0" g="0" b="0"/>
      </a:lnRef>
      <a:fillRef idx="3">
        <a:scrgbClr r="0" g="0" b="0"/>
      </a:fillRef>
      <a:effectRef idx="3">
        <a:scrgbClr r="0" g="0" b="0"/>
      </a:effectRef>
      <a:fontRef idx="minor">
        <a:schemeClr val="lt1"/>
      </a:fontRef>
    </dgm:style>
  </dgm:styleLbl>
  <dgm:styleLbl name="asst0">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bgAcc1">
    <dgm:scene3d>
      <a:camera prst="orthographicFront"/>
      <a:lightRig rig="threePt" dir="t"/>
    </dgm:scene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txPr/>
    <dgm:style>
      <a:lnRef idx="1">
        <a:scrgbClr r="0" g="0" b="0"/>
      </a:lnRef>
      <a:fillRef idx="1">
        <a:scrgbClr r="0" g="0" b="0"/>
      </a:fillRef>
      <a:effectRef idx="2">
        <a:scrgbClr r="0" g="0" b="0"/>
      </a:effectRef>
      <a:fontRef idx="minor"/>
    </dgm:style>
  </dgm:styleLbl>
  <dgm:styleLbl name="bgImgPlace1">
    <dgm:scene3d>
      <a:camera prst="orthographicFront"/>
      <a:lightRig rig="threePt" dir="t"/>
    </dgm:scene3d>
    <dgm:txPr/>
    <dgm:style>
      <a:lnRef idx="0">
        <a:scrgbClr r="0" g="0" b="0"/>
      </a:lnRef>
      <a:fillRef idx="1">
        <a:scrgbClr r="0" g="0" b="0"/>
      </a:fillRef>
      <a:effectRef idx="3">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callout">
    <dgm:scene3d>
      <a:camera prst="orthographicFront"/>
      <a:lightRig rig="threePt" dir="t"/>
    </dgm:scene3d>
    <dgm:txPr/>
    <dgm:style>
      <a:lnRef idx="1">
        <a:scrgbClr r="0" g="0" b="0"/>
      </a:lnRef>
      <a:fillRef idx="0">
        <a:scrgbClr r="0" g="0" b="0"/>
      </a:fillRef>
      <a:effectRef idx="1">
        <a:scrgbClr r="0" g="0" b="0"/>
      </a:effectRef>
      <a:fontRef idx="minor"/>
    </dgm:style>
  </dgm:styleLbl>
  <dgm:styleLbl name="conFgAcc1">
    <dgm:scene3d>
      <a:camera prst="orthographicFront"/>
      <a:lightRig rig="threePt" dir="t"/>
    </dgm:scene3d>
    <dgm:txPr/>
    <dgm:style>
      <a:lnRef idx="1">
        <a:scrgbClr r="0" g="0" b="0"/>
      </a:lnRef>
      <a:fillRef idx="1">
        <a:scrgbClr r="0" g="0" b="0"/>
      </a:fillRef>
      <a:effectRef idx="2">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3">
        <a:scrgbClr r="0" g="0" b="0"/>
      </a:effectRef>
      <a:fontRef idx="minor"/>
    </dgm:style>
  </dgm:styleLbl>
  <dgm:styleLbl name="fgAcc0">
    <dgm:scene3d>
      <a:camera prst="orthographicFront"/>
      <a:lightRig rig="threePt" dir="t"/>
    </dgm:scene3d>
    <dgm:txPr/>
    <dgm:style>
      <a:lnRef idx="1">
        <a:scrgbClr r="0" g="0" b="0"/>
      </a:lnRef>
      <a:fillRef idx="1">
        <a:scrgbClr r="0" g="0" b="0"/>
      </a:fillRef>
      <a:effectRef idx="2">
        <a:scrgbClr r="0" g="0" b="0"/>
      </a:effectRef>
      <a:fontRef idx="minor"/>
    </dgm:style>
  </dgm:styleLbl>
  <dgm:styleLbl name="fgAcc1">
    <dgm:scene3d>
      <a:camera prst="orthographicFront"/>
      <a:lightRig rig="threePt" dir="t"/>
    </dgm:scene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txPr/>
    <dgm:style>
      <a:lnRef idx="1">
        <a:scrgbClr r="0" g="0" b="0"/>
      </a:lnRef>
      <a:fillRef idx="1">
        <a:scrgbClr r="0" g="0" b="0"/>
      </a:fillRef>
      <a:effectRef idx="2">
        <a:scrgbClr r="0" g="0" b="0"/>
      </a:effectRef>
      <a:fontRef idx="minor"/>
    </dgm:style>
  </dgm:styleLbl>
  <dgm:styleLbl name="fgAccFollowNode1">
    <dgm:scene3d>
      <a:camera prst="orthographicFront"/>
      <a:lightRig rig="threePt" dir="t"/>
    </dgm:scene3d>
    <dgm:txPr/>
    <dgm:style>
      <a:lnRef idx="1">
        <a:scrgbClr r="0" g="0" b="0"/>
      </a:lnRef>
      <a:fillRef idx="1">
        <a:scrgbClr r="0" g="0" b="0"/>
      </a:fillRef>
      <a:effectRef idx="2">
        <a:scrgbClr r="0" g="0" b="0"/>
      </a:effectRef>
      <a:fontRef idx="minor"/>
    </dgm:style>
  </dgm:styleLbl>
  <dgm:styleLbl name="fgImgPlace1">
    <dgm:scene3d>
      <a:camera prst="orthographicFront"/>
      <a:lightRig rig="threePt" dir="t"/>
    </dgm:scene3d>
    <dgm:txPr/>
    <dgm:style>
      <a:lnRef idx="0">
        <a:scrgbClr r="0" g="0" b="0"/>
      </a:lnRef>
      <a:fillRef idx="1">
        <a:scrgbClr r="0" g="0" b="0"/>
      </a:fillRef>
      <a:effectRef idx="3">
        <a:scrgbClr r="0" g="0" b="0"/>
      </a:effectRef>
      <a:fontRef idx="minor"/>
    </dgm:style>
  </dgm:styleLbl>
  <dgm:styleLbl name="fgShp">
    <dgm:scene3d>
      <a:camera prst="orthographicFront"/>
      <a:lightRig rig="threePt" dir="t"/>
    </dgm:scene3d>
    <dgm:txPr/>
    <dgm:style>
      <a:lnRef idx="0">
        <a:scrgbClr r="0" g="0" b="0"/>
      </a:lnRef>
      <a:fillRef idx="3">
        <a:scrgbClr r="0" g="0" b="0"/>
      </a:fillRef>
      <a:effectRef idx="3">
        <a:scrgbClr r="0" g="0" b="0"/>
      </a:effectRef>
      <a:fontRef idx="minor"/>
    </dgm:style>
  </dgm:styleLbl>
  <dgm:styleLbl name="fgSibTrans2D1">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node0">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3">
        <a:scrgbClr r="0" g="0" b="0"/>
      </a:fillRef>
      <a:effectRef idx="3">
        <a:scrgbClr r="0" g="0" b="0"/>
      </a:effectRef>
      <a:fontRef idx="minor">
        <a:schemeClr val="lt1"/>
      </a:fontRef>
    </dgm:style>
  </dgm:styleLbl>
  <dgm:styleLbl name="solidAlignAcc1">
    <dgm:scene3d>
      <a:camera prst="orthographicFront"/>
      <a:lightRig rig="threePt" dir="t"/>
    </dgm:scene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txPr/>
    <dgm:style>
      <a:lnRef idx="1">
        <a:scrgbClr r="0" g="0" b="0"/>
      </a:lnRef>
      <a:fillRef idx="1">
        <a:scrgbClr r="0" g="0" b="0"/>
      </a:fillRef>
      <a:effectRef idx="3">
        <a:scrgbClr r="0" g="0" b="0"/>
      </a:effectRef>
      <a:fontRef idx="minor"/>
    </dgm:style>
  </dgm:styleLbl>
  <dgm:styleLbl name="solidFgAcc1">
    <dgm:scene3d>
      <a:camera prst="orthographicFront"/>
      <a:lightRig rig="threePt" dir="t"/>
    </dgm:scene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0">
        <a:scrgbClr r="0" g="0" b="0"/>
      </a:lnRef>
      <a:fillRef idx="3">
        <a:scrgbClr r="0" g="0" b="0"/>
      </a:fillRef>
      <a:effectRef idx="3">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16</Pages>
  <Words>4581</Words>
  <Characters>26117</Characters>
  <Lines>217</Lines>
  <Paragraphs>61</Paragraphs>
  <ScaleCrop>false</ScaleCrop>
  <LinksUpToDate>false</LinksUpToDate>
  <CharactersWithSpaces>30637</CharactersWithSpaces>
  <Application>WPS Office_3.2.0.6370_F1E327BC-269C-435d-A152-05C5408002CA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2022-03-11T06:47:00Z</dcterms:created>
  <dc:creator>USER</dc:creator>
  <cp:lastModifiedBy>iosiftcaciu</cp:lastModifiedBy>
  <dcterms:modified xsi:type="dcterms:W3CDTF">2022-03-26T08:59:52Z</dcterms:modified>
  <cp:revision>13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