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4018299"/>
        <w:docPartObj>
          <w:docPartGallery w:val="Cover Pages"/>
          <w:docPartUnique/>
        </w:docPartObj>
      </w:sdtPr>
      <w:sdtEndPr>
        <w:rPr>
          <w:lang w:val="en-US"/>
        </w:rPr>
      </w:sdtEndPr>
      <w:sdtContent>
        <w:p w14:paraId="71DC4777" w14:textId="55115F10" w:rsidR="002B29C1" w:rsidRDefault="002B29C1">
          <w:r>
            <w:rPr>
              <w:noProof/>
            </w:rPr>
            <mc:AlternateContent>
              <mc:Choice Requires="wpg">
                <w:drawing>
                  <wp:anchor distT="0" distB="0" distL="114300" distR="114300" simplePos="0" relativeHeight="251662336" behindDoc="0" locked="0" layoutInCell="1" allowOverlap="1" wp14:anchorId="2AAE8E60" wp14:editId="0598D3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8DE7B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EF871E" wp14:editId="4A1F68A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CE1738" w14:textId="1BC4353B" w:rsidR="002B29C1" w:rsidRDefault="00E56619">
                                    <w:pPr>
                                      <w:pStyle w:val="NoSpacing"/>
                                      <w:jc w:val="right"/>
                                      <w:rPr>
                                        <w:color w:val="595959" w:themeColor="text1" w:themeTint="A6"/>
                                        <w:sz w:val="28"/>
                                        <w:szCs w:val="28"/>
                                      </w:rPr>
                                    </w:pPr>
                                    <w:r>
                                      <w:rPr>
                                        <w:color w:val="595959" w:themeColor="text1" w:themeTint="A6"/>
                                        <w:sz w:val="28"/>
                                        <w:szCs w:val="28"/>
                                      </w:rPr>
                                      <w:t>BY NAZIM AMIN</w:t>
                                    </w:r>
                                  </w:p>
                                </w:sdtContent>
                              </w:sdt>
                              <w:p w14:paraId="095DB463" w14:textId="59DB393B" w:rsidR="002B29C1" w:rsidRDefault="002B29C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5661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EF871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CE1738" w14:textId="1BC4353B" w:rsidR="002B29C1" w:rsidRDefault="00E56619">
                              <w:pPr>
                                <w:pStyle w:val="NoSpacing"/>
                                <w:jc w:val="right"/>
                                <w:rPr>
                                  <w:color w:val="595959" w:themeColor="text1" w:themeTint="A6"/>
                                  <w:sz w:val="28"/>
                                  <w:szCs w:val="28"/>
                                </w:rPr>
                              </w:pPr>
                              <w:r>
                                <w:rPr>
                                  <w:color w:val="595959" w:themeColor="text1" w:themeTint="A6"/>
                                  <w:sz w:val="28"/>
                                  <w:szCs w:val="28"/>
                                </w:rPr>
                                <w:t>BY NAZIM AMIN</w:t>
                              </w:r>
                            </w:p>
                          </w:sdtContent>
                        </w:sdt>
                        <w:p w14:paraId="095DB463" w14:textId="59DB393B" w:rsidR="002B29C1" w:rsidRDefault="002B29C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5661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1FFD2CC" wp14:editId="3E46B20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D7F0E" w14:textId="5BC57EAD" w:rsidR="002B29C1" w:rsidRPr="00E56619" w:rsidRDefault="002B29C1" w:rsidP="00E56619">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FFD2C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42D7F0E" w14:textId="5BC57EAD" w:rsidR="002B29C1" w:rsidRPr="00E56619" w:rsidRDefault="002B29C1" w:rsidP="00E56619">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2983AD" wp14:editId="08AD4D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2AB12" w14:textId="5048D1D8" w:rsidR="002B29C1" w:rsidRDefault="002B29C1" w:rsidP="00E5661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6619">
                                      <w:rPr>
                                        <w:caps/>
                                        <w:color w:val="4472C4" w:themeColor="accent1"/>
                                        <w:sz w:val="64"/>
                                        <w:szCs w:val="64"/>
                                      </w:rPr>
                                      <w:t xml:space="preserve">  law &amp; legal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A9CC1F" w14:textId="78324591" w:rsidR="002B29C1" w:rsidRDefault="00E56619" w:rsidP="00E56619">
                                    <w:pPr>
                                      <w:jc w:val="center"/>
                                      <w:rPr>
                                        <w:smallCaps/>
                                        <w:color w:val="404040" w:themeColor="text1" w:themeTint="BF"/>
                                        <w:sz w:val="36"/>
                                        <w:szCs w:val="36"/>
                                      </w:rPr>
                                    </w:pPr>
                                    <w:r>
                                      <w:rPr>
                                        <w:color w:val="404040" w:themeColor="text1" w:themeTint="BF"/>
                                        <w:sz w:val="36"/>
                                        <w:szCs w:val="36"/>
                                      </w:rPr>
                                      <w:t>DIVERSITY IN THE JUDICIARY (SUPREME COURT) BMPL4005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2983A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42AB12" w14:textId="5048D1D8" w:rsidR="002B29C1" w:rsidRDefault="002B29C1" w:rsidP="00E5661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6619">
                                <w:rPr>
                                  <w:caps/>
                                  <w:color w:val="4472C4" w:themeColor="accent1"/>
                                  <w:sz w:val="64"/>
                                  <w:szCs w:val="64"/>
                                </w:rPr>
                                <w:t xml:space="preserve">  law &amp; legal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A9CC1F" w14:textId="78324591" w:rsidR="002B29C1" w:rsidRDefault="00E56619" w:rsidP="00E56619">
                              <w:pPr>
                                <w:jc w:val="center"/>
                                <w:rPr>
                                  <w:smallCaps/>
                                  <w:color w:val="404040" w:themeColor="text1" w:themeTint="BF"/>
                                  <w:sz w:val="36"/>
                                  <w:szCs w:val="36"/>
                                </w:rPr>
                              </w:pPr>
                              <w:r>
                                <w:rPr>
                                  <w:color w:val="404040" w:themeColor="text1" w:themeTint="BF"/>
                                  <w:sz w:val="36"/>
                                  <w:szCs w:val="36"/>
                                </w:rPr>
                                <w:t>DIVERSITY IN THE JUDICIARY (SUPREME COURT) BMPL4005</w:t>
                              </w:r>
                            </w:p>
                          </w:sdtContent>
                        </w:sdt>
                      </w:txbxContent>
                    </v:textbox>
                    <w10:wrap type="square" anchorx="page" anchory="page"/>
                  </v:shape>
                </w:pict>
              </mc:Fallback>
            </mc:AlternateContent>
          </w:r>
        </w:p>
        <w:p w14:paraId="4224523F" w14:textId="7B7D56CD" w:rsidR="002B29C1" w:rsidRDefault="002B29C1">
          <w:pPr>
            <w:rPr>
              <w:lang w:val="en-US"/>
            </w:rPr>
          </w:pPr>
          <w:r>
            <w:rPr>
              <w:lang w:val="en-US"/>
            </w:rPr>
            <w:br w:type="page"/>
          </w:r>
        </w:p>
      </w:sdtContent>
    </w:sdt>
    <w:p w14:paraId="2A146271" w14:textId="5D0FDA2C" w:rsidR="008164E8" w:rsidRPr="00812EBD" w:rsidRDefault="008164E8" w:rsidP="008164E8">
      <w:pPr>
        <w:jc w:val="center"/>
        <w:rPr>
          <w:rFonts w:ascii="Arial" w:hAnsi="Arial" w:cs="Arial"/>
          <w:b/>
          <w:bCs/>
          <w:sz w:val="24"/>
          <w:szCs w:val="24"/>
          <w:u w:val="single"/>
        </w:rPr>
      </w:pPr>
      <w:r w:rsidRPr="00812EBD">
        <w:rPr>
          <w:rFonts w:ascii="Arial" w:hAnsi="Arial" w:cs="Arial"/>
          <w:b/>
          <w:bCs/>
          <w:sz w:val="24"/>
          <w:szCs w:val="24"/>
          <w:u w:val="single"/>
        </w:rPr>
        <w:lastRenderedPageBreak/>
        <w:t>The Importance of Judicial Diversity: Focus on the UK</w:t>
      </w:r>
      <w:r w:rsidRPr="00812EBD">
        <w:rPr>
          <w:rFonts w:ascii="Arial" w:hAnsi="Arial" w:cs="Arial"/>
          <w:b/>
          <w:bCs/>
          <w:sz w:val="24"/>
          <w:szCs w:val="24"/>
          <w:u w:val="single"/>
        </w:rPr>
        <w:t>/Wales</w:t>
      </w:r>
      <w:r w:rsidRPr="00812EBD">
        <w:rPr>
          <w:rFonts w:ascii="Arial" w:hAnsi="Arial" w:cs="Arial"/>
          <w:b/>
          <w:bCs/>
          <w:sz w:val="24"/>
          <w:szCs w:val="24"/>
          <w:u w:val="single"/>
        </w:rPr>
        <w:t xml:space="preserve"> Supreme Court</w:t>
      </w:r>
    </w:p>
    <w:p w14:paraId="4431A53F" w14:textId="77777777" w:rsidR="008164E8" w:rsidRPr="00812EBD" w:rsidRDefault="008164E8" w:rsidP="008164E8">
      <w:pPr>
        <w:jc w:val="center"/>
        <w:rPr>
          <w:rFonts w:ascii="Arial" w:hAnsi="Arial" w:cs="Arial"/>
          <w:b/>
          <w:bCs/>
          <w:sz w:val="24"/>
          <w:szCs w:val="24"/>
          <w:u w:val="single"/>
        </w:rPr>
      </w:pPr>
    </w:p>
    <w:p w14:paraId="6B114A29" w14:textId="77777777" w:rsidR="008164E8" w:rsidRPr="00812EBD" w:rsidRDefault="008164E8" w:rsidP="008164E8">
      <w:pPr>
        <w:jc w:val="center"/>
        <w:rPr>
          <w:rFonts w:ascii="Arial" w:hAnsi="Arial" w:cs="Arial"/>
          <w:b/>
          <w:bCs/>
          <w:sz w:val="24"/>
          <w:szCs w:val="24"/>
          <w:u w:val="single"/>
        </w:rPr>
      </w:pPr>
      <w:r w:rsidRPr="00812EBD">
        <w:rPr>
          <w:rFonts w:ascii="Arial" w:hAnsi="Arial" w:cs="Arial"/>
          <w:b/>
          <w:bCs/>
          <w:sz w:val="24"/>
          <w:szCs w:val="24"/>
          <w:u w:val="single"/>
        </w:rPr>
        <w:t>Introduction</w:t>
      </w:r>
    </w:p>
    <w:p w14:paraId="1157012E" w14:textId="152E74C1" w:rsidR="008164E8" w:rsidRDefault="008164E8" w:rsidP="008164E8">
      <w:pPr>
        <w:rPr>
          <w:rFonts w:ascii="Arial" w:hAnsi="Arial" w:cs="Arial"/>
          <w:sz w:val="24"/>
          <w:szCs w:val="24"/>
        </w:rPr>
      </w:pPr>
      <w:r w:rsidRPr="008164E8">
        <w:rPr>
          <w:rFonts w:ascii="Arial" w:hAnsi="Arial" w:cs="Arial"/>
          <w:sz w:val="24"/>
          <w:szCs w:val="24"/>
        </w:rPr>
        <w:t>In recent years, heightened judicial diversity has been widely discussed in England and Wales. As of 2006, a Judicial Appointments Commission was established to increase diversity in the judicial application process (</w:t>
      </w:r>
      <w:proofErr w:type="spellStart"/>
      <w:r w:rsidRPr="008164E8">
        <w:rPr>
          <w:rFonts w:ascii="Arial" w:hAnsi="Arial" w:cs="Arial"/>
          <w:sz w:val="24"/>
          <w:szCs w:val="24"/>
        </w:rPr>
        <w:t>Malleson</w:t>
      </w:r>
      <w:proofErr w:type="spellEnd"/>
      <w:r w:rsidRPr="008164E8">
        <w:rPr>
          <w:rFonts w:ascii="Arial" w:hAnsi="Arial" w:cs="Arial"/>
          <w:sz w:val="24"/>
          <w:szCs w:val="24"/>
        </w:rPr>
        <w:t>, 2022). However, the relevance of judicial diversity has also been debated, with some saying that it is irrelevant. However, judges have significant constitutional and societal authority to make important decisions. This essay argues that diversity is critical for the courts and plays a key role in promoting equality in decision-making.</w:t>
      </w:r>
    </w:p>
    <w:p w14:paraId="4C55FBDC" w14:textId="77777777" w:rsidR="00812EBD" w:rsidRDefault="00812EBD" w:rsidP="00381726">
      <w:pPr>
        <w:rPr>
          <w:rFonts w:ascii="Arial" w:hAnsi="Arial" w:cs="Arial"/>
          <w:b/>
          <w:bCs/>
          <w:sz w:val="24"/>
          <w:szCs w:val="24"/>
          <w:u w:val="single"/>
        </w:rPr>
      </w:pPr>
    </w:p>
    <w:p w14:paraId="747C987C" w14:textId="255F1930" w:rsidR="00381726" w:rsidRPr="00812EBD" w:rsidRDefault="00381726" w:rsidP="00381726">
      <w:pPr>
        <w:rPr>
          <w:rFonts w:ascii="Arial" w:hAnsi="Arial" w:cs="Arial"/>
          <w:b/>
          <w:bCs/>
          <w:sz w:val="24"/>
          <w:szCs w:val="24"/>
          <w:u w:val="single"/>
        </w:rPr>
      </w:pPr>
      <w:r w:rsidRPr="00812EBD">
        <w:rPr>
          <w:rFonts w:ascii="Arial" w:hAnsi="Arial" w:cs="Arial"/>
          <w:b/>
          <w:bCs/>
          <w:sz w:val="24"/>
          <w:szCs w:val="24"/>
          <w:u w:val="single"/>
        </w:rPr>
        <w:t xml:space="preserve"> </w:t>
      </w:r>
      <w:r w:rsidRPr="00812EBD">
        <w:rPr>
          <w:rFonts w:ascii="Arial" w:hAnsi="Arial" w:cs="Arial"/>
          <w:b/>
          <w:bCs/>
          <w:sz w:val="24"/>
          <w:szCs w:val="24"/>
          <w:u w:val="single"/>
        </w:rPr>
        <w:t>Diversity in the UK Supreme Court Today</w:t>
      </w:r>
    </w:p>
    <w:p w14:paraId="3A5427CA" w14:textId="3A056612" w:rsidR="00812EBD" w:rsidRDefault="00381726" w:rsidP="00812EBD">
      <w:pPr>
        <w:rPr>
          <w:rFonts w:ascii="Arial" w:hAnsi="Arial" w:cs="Arial"/>
          <w:sz w:val="24"/>
          <w:szCs w:val="24"/>
        </w:rPr>
      </w:pPr>
      <w:r w:rsidRPr="00381726">
        <w:rPr>
          <w:rFonts w:ascii="Arial" w:hAnsi="Arial" w:cs="Arial"/>
          <w:sz w:val="24"/>
          <w:szCs w:val="24"/>
        </w:rPr>
        <w:t>Diversity is the belief that every individual is unique and has a function in society (Hunt, Layton, and Prince, 2015). A person’s distinctions shape their worldview, viewpoint, and attitude. Diversity is about recognizing, understanding, and appreciating distinctions caused by factors such as race, gender, culture, and religion (Hunt, Layton, and Prince, 2015). The UK Supreme Court Justices have the ability to make final decisions and judgments concerning debatable matters of the law of wide public interest arising from civil and criminal proceedings (The Supreme Court, n.d.). The Justices also consider matters involving devolved governments, parliaments, and assemblies.</w:t>
      </w:r>
      <w:r w:rsidR="001624F2">
        <w:rPr>
          <w:rFonts w:ascii="Arial" w:hAnsi="Arial" w:cs="Arial"/>
          <w:sz w:val="24"/>
          <w:szCs w:val="24"/>
        </w:rPr>
        <w:t xml:space="preserve"> </w:t>
      </w:r>
      <w:r w:rsidR="00812EBD" w:rsidRPr="00812EBD">
        <w:rPr>
          <w:rFonts w:ascii="Arial" w:hAnsi="Arial" w:cs="Arial"/>
          <w:sz w:val="24"/>
          <w:szCs w:val="24"/>
        </w:rPr>
        <w:t>The Supreme Court justices make decisions when the law is vague, ambiguous, or contradictory (</w:t>
      </w:r>
      <w:proofErr w:type="spellStart"/>
      <w:r w:rsidR="00812EBD" w:rsidRPr="00812EBD">
        <w:rPr>
          <w:rFonts w:ascii="Arial" w:hAnsi="Arial" w:cs="Arial"/>
          <w:sz w:val="24"/>
          <w:szCs w:val="24"/>
        </w:rPr>
        <w:t>Malleson</w:t>
      </w:r>
      <w:proofErr w:type="spellEnd"/>
      <w:r w:rsidR="00812EBD" w:rsidRPr="00812EBD">
        <w:rPr>
          <w:rFonts w:ascii="Arial" w:hAnsi="Arial" w:cs="Arial"/>
          <w:sz w:val="24"/>
          <w:szCs w:val="24"/>
        </w:rPr>
        <w:t xml:space="preserve">, 2022). Almost every case considered by the UK Supreme Court is one where no clear legal rule governs the conclusion. Most of the Court’s cases involve “difficult problems of principle”. In other circumstances, the Justices’ options are limited to narrow or technical legal concerns, even if they are significant within a particular legal sector. These challenging cases force the Justices to select between legally viable opposing arguments based on their personal convictions, either explicitly or indirectly. Thus, a deeper level of principle usually steers the approach, and this is where diversity comes in. Individual variations among the Justices may directly affect a case’s </w:t>
      </w:r>
      <w:r w:rsidR="00812EBD" w:rsidRPr="00812EBD">
        <w:rPr>
          <w:rFonts w:ascii="Arial" w:hAnsi="Arial" w:cs="Arial"/>
          <w:sz w:val="24"/>
          <w:szCs w:val="24"/>
        </w:rPr>
        <w:t>outcome. The</w:t>
      </w:r>
      <w:r w:rsidR="00812EBD" w:rsidRPr="00812EBD">
        <w:rPr>
          <w:rFonts w:ascii="Arial" w:hAnsi="Arial" w:cs="Arial"/>
          <w:sz w:val="24"/>
          <w:szCs w:val="24"/>
        </w:rPr>
        <w:t xml:space="preserve"> current composition of the UK Supreme Court does not reflect an adequate level of diversity. The Court has had 10 justices since Lord </w:t>
      </w:r>
      <w:proofErr w:type="gramStart"/>
      <w:r w:rsidR="00812EBD" w:rsidRPr="00812EBD">
        <w:rPr>
          <w:rFonts w:ascii="Arial" w:hAnsi="Arial" w:cs="Arial"/>
          <w:sz w:val="24"/>
          <w:szCs w:val="24"/>
        </w:rPr>
        <w:t>Lloyd-Jones</w:t>
      </w:r>
      <w:proofErr w:type="gramEnd"/>
      <w:r w:rsidR="00812EBD" w:rsidRPr="00812EBD">
        <w:rPr>
          <w:rFonts w:ascii="Arial" w:hAnsi="Arial" w:cs="Arial"/>
          <w:sz w:val="24"/>
          <w:szCs w:val="24"/>
        </w:rPr>
        <w:t xml:space="preserve"> retired on January 13, 2022, while Lady Arden of Heswall retired on January 24, 2022, leaving two vacancies (The Supreme Court, 2022). Only one of the ten justices are female (namely, Lady Rose of </w:t>
      </w:r>
      <w:r w:rsidR="00812EBD" w:rsidRPr="00812EBD">
        <w:rPr>
          <w:rFonts w:ascii="Arial" w:hAnsi="Arial" w:cs="Arial"/>
          <w:sz w:val="24"/>
          <w:szCs w:val="24"/>
        </w:rPr>
        <w:t>Colm worth</w:t>
      </w:r>
      <w:r w:rsidR="00812EBD" w:rsidRPr="00812EBD">
        <w:rPr>
          <w:rFonts w:ascii="Arial" w:hAnsi="Arial" w:cs="Arial"/>
          <w:sz w:val="24"/>
          <w:szCs w:val="24"/>
        </w:rPr>
        <w:t>), and none is BAME (BAME is an umbrella word used in the UK to designate non-White races). This composition issue points to a difficulty with diversity influencing the selection process.</w:t>
      </w:r>
    </w:p>
    <w:p w14:paraId="717C365A" w14:textId="099A3838" w:rsidR="00812EBD" w:rsidRDefault="00812EBD" w:rsidP="00812EBD">
      <w:pPr>
        <w:rPr>
          <w:rFonts w:ascii="Arial" w:hAnsi="Arial" w:cs="Arial"/>
          <w:sz w:val="24"/>
          <w:szCs w:val="24"/>
        </w:rPr>
      </w:pPr>
      <w:r w:rsidRPr="00812EBD">
        <w:rPr>
          <w:rFonts w:ascii="Arial" w:hAnsi="Arial" w:cs="Arial"/>
          <w:sz w:val="24"/>
          <w:szCs w:val="24"/>
        </w:rPr>
        <w:t xml:space="preserve">The nomination of Justices is governed by the Constitutional Reform Act 2005 (Supreme Court, n.d.). The selection procedure comprises multiple steps, and when there is a vacancy among the Justices, an impartial selection committee is introduced to fill the position. The committee comprises the Court’s President, a top UK justice who is not a judge at the Supreme Court, and representatives from England, Wales, and Northern Ireland. Even though it is not required by law, </w:t>
      </w:r>
      <w:r w:rsidRPr="00812EBD">
        <w:rPr>
          <w:rFonts w:ascii="Arial" w:hAnsi="Arial" w:cs="Arial"/>
          <w:sz w:val="24"/>
          <w:szCs w:val="24"/>
        </w:rPr>
        <w:lastRenderedPageBreak/>
        <w:t>selection commissions have routinely announced job openings and solicited written answers from applicants. According to Section 25 of the 2005 Act, candidates for justice appointments must have held a high judicial post for 2 years, satisfied the judicial appointment eligibility criterion for 15 years, or been a certified practitioner for 15 years before being considered (The Supreme Court, n.d.</w:t>
      </w:r>
      <w:r w:rsidRPr="00812EBD">
        <w:rPr>
          <w:rFonts w:ascii="Arial" w:hAnsi="Arial" w:cs="Arial"/>
          <w:sz w:val="24"/>
          <w:szCs w:val="24"/>
        </w:rPr>
        <w:t>). The</w:t>
      </w:r>
      <w:r w:rsidRPr="00812EBD">
        <w:rPr>
          <w:rFonts w:ascii="Arial" w:hAnsi="Arial" w:cs="Arial"/>
          <w:sz w:val="24"/>
          <w:szCs w:val="24"/>
        </w:rPr>
        <w:t xml:space="preserve"> process of deliberations begins with the selection committee contacting top politicians and judges throughout the UK before shortlisting applicants based on merit (The Supreme Court, n.d.). Following the interviews with the selected applicants, a proposal for the justice to fill the vacancy is delivered to the Lord Chancellor. The latter has the power to accept, deny, or urge the commission to review its decision. The Prime Minister sends a proposition to the Queen as soon as the Lord Chancellor approves it. Finally, the Prime Minister’s office announces an official approval by Her Majesty (The Supreme Court, n.d.).</w:t>
      </w:r>
      <w:r>
        <w:rPr>
          <w:rFonts w:ascii="Arial" w:hAnsi="Arial" w:cs="Arial"/>
          <w:sz w:val="24"/>
          <w:szCs w:val="24"/>
        </w:rPr>
        <w:t xml:space="preserve"> </w:t>
      </w:r>
    </w:p>
    <w:p w14:paraId="04EDA38F" w14:textId="0D213865" w:rsidR="007027F8" w:rsidRDefault="007027F8" w:rsidP="007027F8">
      <w:pPr>
        <w:rPr>
          <w:rFonts w:ascii="Arial" w:hAnsi="Arial" w:cs="Arial"/>
          <w:sz w:val="24"/>
          <w:szCs w:val="24"/>
        </w:rPr>
      </w:pPr>
      <w:r w:rsidRPr="007027F8">
        <w:rPr>
          <w:rFonts w:ascii="Arial" w:hAnsi="Arial" w:cs="Arial"/>
          <w:sz w:val="24"/>
          <w:szCs w:val="24"/>
        </w:rPr>
        <w:t>As described above, individual judges and politicians have a significant influence on the Supreme Court’s selection procedure. Their attitude on diversity in the judiciary affects who is shortlisted and chosen for these jobs. Leaving this procedure up to the judges and politicians opens a gap that may generate a negative bias towards achieving the Supreme Court justice diversity. Amending the selection process to include a specific law or statutory requirement stating that a certain percentage of the justices include women would ensure more diversity. In the same manner, including justices from the BAME communities would yield similar results.</w:t>
      </w:r>
    </w:p>
    <w:p w14:paraId="5629407E" w14:textId="77777777" w:rsidR="007027F8" w:rsidRPr="007027F8" w:rsidRDefault="007027F8" w:rsidP="007027F8">
      <w:pPr>
        <w:rPr>
          <w:rFonts w:ascii="Arial" w:hAnsi="Arial" w:cs="Arial"/>
          <w:b/>
          <w:bCs/>
          <w:sz w:val="24"/>
          <w:szCs w:val="24"/>
          <w:u w:val="single"/>
        </w:rPr>
      </w:pPr>
      <w:r w:rsidRPr="007027F8">
        <w:rPr>
          <w:rFonts w:ascii="Arial" w:hAnsi="Arial" w:cs="Arial"/>
          <w:b/>
          <w:bCs/>
          <w:sz w:val="24"/>
          <w:szCs w:val="24"/>
          <w:u w:val="single"/>
        </w:rPr>
        <w:t>The Impact of Diversity on How Decisions Are Reached</w:t>
      </w:r>
    </w:p>
    <w:p w14:paraId="13C376CF" w14:textId="305902A4" w:rsidR="007027F8" w:rsidRDefault="007027F8" w:rsidP="007027F8">
      <w:pPr>
        <w:ind w:firstLine="720"/>
        <w:rPr>
          <w:rFonts w:ascii="Arial" w:hAnsi="Arial" w:cs="Arial"/>
          <w:sz w:val="24"/>
          <w:szCs w:val="24"/>
        </w:rPr>
      </w:pPr>
      <w:r w:rsidRPr="007027F8">
        <w:rPr>
          <w:rFonts w:ascii="Arial" w:hAnsi="Arial" w:cs="Arial"/>
          <w:sz w:val="24"/>
          <w:szCs w:val="24"/>
        </w:rPr>
        <w:t xml:space="preserve">It is vital to recognize the value of a diverse supreme court. First, such an institution helps underrepresented populations trust the legal system, and the Supreme Court’s job is to deliver justice fairly and evenly. According to a 2010 study by Scherer and Curry, having more Black judges on the bench improved Black Americans’ perceptions of the courts’ trustworthiness. The public cannot have faith in the institution if the communities it is meant to protect are excluded from its bench </w:t>
      </w:r>
      <w:r w:rsidRPr="007027F8">
        <w:rPr>
          <w:rFonts w:ascii="Arial" w:hAnsi="Arial" w:cs="Arial"/>
          <w:sz w:val="24"/>
          <w:szCs w:val="24"/>
        </w:rPr>
        <w:t>composition. Having</w:t>
      </w:r>
      <w:r w:rsidRPr="007027F8">
        <w:rPr>
          <w:rFonts w:ascii="Arial" w:hAnsi="Arial" w:cs="Arial"/>
          <w:sz w:val="24"/>
          <w:szCs w:val="24"/>
        </w:rPr>
        <w:t xml:space="preserve"> </w:t>
      </w:r>
      <w:proofErr w:type="gramStart"/>
      <w:r w:rsidRPr="007027F8">
        <w:rPr>
          <w:rFonts w:ascii="Arial" w:hAnsi="Arial" w:cs="Arial"/>
          <w:sz w:val="24"/>
          <w:szCs w:val="24"/>
        </w:rPr>
        <w:t>a number of</w:t>
      </w:r>
      <w:proofErr w:type="gramEnd"/>
      <w:r w:rsidRPr="007027F8">
        <w:rPr>
          <w:rFonts w:ascii="Arial" w:hAnsi="Arial" w:cs="Arial"/>
          <w:sz w:val="24"/>
          <w:szCs w:val="24"/>
        </w:rPr>
        <w:t xml:space="preserve"> female justices has been found to symbolize diversity. A paper by Rosemary Hunter attempted to explore the relevance of female judges in the judiciary and how this affects decision-making. The paper found that having female judges strengthens the judiciary’s democratic legitimacy since a female bench represents more of the society it serves than a male court (Hunter, 2015). Second, female adjudicators are more likely to sympathize with same-sex petitioners, witnesses, and especially crime victims compared to male colleagues. Another study found that feminine judges are far more likely to recognize and deal with gender bias during a trial than male counterparts, even if they do not know about it (Lonsway, 2002).</w:t>
      </w:r>
      <w:r>
        <w:rPr>
          <w:rFonts w:ascii="Arial" w:hAnsi="Arial" w:cs="Arial"/>
          <w:sz w:val="24"/>
          <w:szCs w:val="24"/>
        </w:rPr>
        <w:t xml:space="preserve"> </w:t>
      </w:r>
      <w:r w:rsidRPr="007027F8">
        <w:rPr>
          <w:rFonts w:ascii="Arial" w:hAnsi="Arial" w:cs="Arial"/>
          <w:sz w:val="24"/>
          <w:szCs w:val="24"/>
        </w:rPr>
        <w:t>An equally diverse court also creates a richer jurisprudence. Diversity on the bench ensures ongoing feedback from judges (including those from the Supreme Court) who have seen challenges from many perspectives. For example, recent research indicated that White federal district court judges imposed more restrictions on pretrial release than Black judges (Boldt et al., 2021). Another recent research indicated that former corporate attorneys and prosecutors, who make up nearly 70% of current federal judges in the US, were more likely to rule against supposed victims in employment discrimination complaint</w:t>
      </w:r>
      <w:r>
        <w:rPr>
          <w:rFonts w:ascii="Arial" w:hAnsi="Arial" w:cs="Arial"/>
          <w:sz w:val="24"/>
          <w:szCs w:val="24"/>
        </w:rPr>
        <w:t xml:space="preserve"> </w:t>
      </w:r>
      <w:r w:rsidRPr="007027F8">
        <w:rPr>
          <w:rFonts w:ascii="Arial" w:hAnsi="Arial" w:cs="Arial"/>
          <w:sz w:val="24"/>
          <w:szCs w:val="24"/>
        </w:rPr>
        <w:lastRenderedPageBreak/>
        <w:t>(Shepherd, 2021). During civil rights cases, when a female judge or someone of colour is on an appellate court, their male or White counterparts are more likely to back the plaintiffs</w:t>
      </w:r>
      <w:sdt>
        <w:sdtPr>
          <w:rPr>
            <w:rFonts w:ascii="Arial" w:hAnsi="Arial" w:cs="Arial"/>
            <w:sz w:val="24"/>
            <w:szCs w:val="24"/>
          </w:rPr>
          <w:id w:val="-268244595"/>
          <w:citation/>
        </w:sdtPr>
        <w:sdtContent>
          <w:r w:rsidRPr="007027F8">
            <w:rPr>
              <w:rFonts w:ascii="Arial" w:hAnsi="Arial" w:cs="Arial"/>
              <w:sz w:val="24"/>
              <w:szCs w:val="24"/>
            </w:rPr>
            <w:fldChar w:fldCharType="begin"/>
          </w:r>
          <w:r w:rsidRPr="007027F8">
            <w:rPr>
              <w:rFonts w:ascii="Arial" w:hAnsi="Arial" w:cs="Arial"/>
              <w:sz w:val="24"/>
              <w:szCs w:val="24"/>
            </w:rPr>
            <w:instrText xml:space="preserve"> CITATION Kas13 \l 1033 </w:instrText>
          </w:r>
          <w:r w:rsidRPr="007027F8">
            <w:rPr>
              <w:rFonts w:ascii="Arial" w:hAnsi="Arial" w:cs="Arial"/>
              <w:sz w:val="24"/>
              <w:szCs w:val="24"/>
            </w:rPr>
            <w:fldChar w:fldCharType="separate"/>
          </w:r>
          <w:r w:rsidRPr="007027F8">
            <w:rPr>
              <w:rFonts w:ascii="Arial" w:hAnsi="Arial" w:cs="Arial"/>
              <w:noProof/>
              <w:sz w:val="24"/>
              <w:szCs w:val="24"/>
            </w:rPr>
            <w:t xml:space="preserve"> (Kastellec, 2013)</w:t>
          </w:r>
          <w:r w:rsidRPr="007027F8">
            <w:rPr>
              <w:rFonts w:ascii="Arial" w:hAnsi="Arial" w:cs="Arial"/>
              <w:sz w:val="24"/>
              <w:szCs w:val="24"/>
            </w:rPr>
            <w:fldChar w:fldCharType="end"/>
          </w:r>
        </w:sdtContent>
      </w:sdt>
      <w:r w:rsidRPr="007027F8">
        <w:rPr>
          <w:rFonts w:ascii="Arial" w:hAnsi="Arial" w:cs="Arial"/>
          <w:sz w:val="24"/>
          <w:szCs w:val="24"/>
        </w:rPr>
        <w:t>.</w:t>
      </w:r>
    </w:p>
    <w:p w14:paraId="351AFE94" w14:textId="29D0236B" w:rsidR="007027F8" w:rsidRDefault="007027F8" w:rsidP="007027F8">
      <w:pPr>
        <w:rPr>
          <w:rFonts w:ascii="Arial" w:hAnsi="Arial" w:cs="Arial"/>
          <w:b/>
          <w:bCs/>
          <w:sz w:val="24"/>
          <w:szCs w:val="24"/>
          <w:u w:val="single"/>
        </w:rPr>
      </w:pPr>
      <w:r w:rsidRPr="007027F8">
        <w:rPr>
          <w:rFonts w:ascii="Arial" w:hAnsi="Arial" w:cs="Arial"/>
          <w:b/>
          <w:bCs/>
          <w:sz w:val="24"/>
          <w:szCs w:val="24"/>
          <w:u w:val="single"/>
        </w:rPr>
        <w:t>What Has Been Done to Tackle the Problem of Diversity in the UK Supreme Court?</w:t>
      </w:r>
    </w:p>
    <w:p w14:paraId="2BB6EBD9" w14:textId="3BA3CEE0" w:rsidR="00E545F2" w:rsidRDefault="007027F8" w:rsidP="00E545F2">
      <w:pPr>
        <w:rPr>
          <w:rFonts w:ascii="Arial" w:hAnsi="Arial" w:cs="Arial"/>
          <w:sz w:val="24"/>
          <w:szCs w:val="24"/>
        </w:rPr>
      </w:pPr>
      <w:r w:rsidRPr="007027F8">
        <w:rPr>
          <w:rFonts w:ascii="Arial" w:hAnsi="Arial" w:cs="Arial"/>
          <w:sz w:val="24"/>
          <w:szCs w:val="24"/>
        </w:rPr>
        <w:t>Various attempts have been taken in the past to ensure judicial diversity. According to Neuberger (2010), the Advisory Panel on Judicial Diversity released 53 suggestions to make the court more diverse in the year of publishing the report. A Judicial Diversity Task</w:t>
      </w:r>
      <w:r w:rsidR="00E56619">
        <w:rPr>
          <w:rFonts w:ascii="Arial" w:hAnsi="Arial" w:cs="Arial"/>
          <w:sz w:val="24"/>
          <w:szCs w:val="24"/>
        </w:rPr>
        <w:t xml:space="preserve"> </w:t>
      </w:r>
      <w:r w:rsidRPr="007027F8">
        <w:rPr>
          <w:rFonts w:ascii="Arial" w:hAnsi="Arial" w:cs="Arial"/>
          <w:sz w:val="24"/>
          <w:szCs w:val="24"/>
        </w:rPr>
        <w:t xml:space="preserve">force was in charge of the recommendations, and it issued three annual status reports (Rackley, 2012). The House of Lords Constitution Committee examined judicial nominations in 2011 while focusing on judicial diversity as part of its investigation (Delaney, 2016). As a result, the Chief Justice and Chancellor are now required by law to support judicial diversity. Also, in 2014, one of the suggestions made in a statement issued by the Justice Secretary was to expedite progress towards a more diverse judiciary (Bindman and Monaghan, 2014). Similarly, the Supreme Court </w:t>
      </w:r>
      <w:r w:rsidR="00E545F2" w:rsidRPr="007027F8">
        <w:rPr>
          <w:rFonts w:ascii="Arial" w:hAnsi="Arial" w:cs="Arial"/>
          <w:sz w:val="24"/>
          <w:szCs w:val="24"/>
        </w:rPr>
        <w:t>adopted</w:t>
      </w:r>
      <w:r w:rsidR="00E545F2" w:rsidRPr="00E545F2">
        <w:rPr>
          <w:rFonts w:ascii="Arial" w:hAnsi="Arial" w:cs="Arial"/>
          <w:sz w:val="24"/>
          <w:szCs w:val="24"/>
        </w:rPr>
        <w:t xml:space="preserve"> four-year strategy in 2016 to incorporate fairness and diversity into all its processes (The Supreme Court, n.d.).</w:t>
      </w:r>
      <w:r w:rsidR="00E545F2">
        <w:rPr>
          <w:rFonts w:ascii="Arial" w:hAnsi="Arial" w:cs="Arial"/>
          <w:sz w:val="24"/>
          <w:szCs w:val="24"/>
        </w:rPr>
        <w:t xml:space="preserve"> </w:t>
      </w:r>
      <w:r w:rsidR="00E545F2" w:rsidRPr="00E545F2">
        <w:rPr>
          <w:rFonts w:ascii="Arial" w:hAnsi="Arial" w:cs="Arial"/>
          <w:sz w:val="24"/>
          <w:szCs w:val="24"/>
        </w:rPr>
        <w:t>Today, the Supreme Court (2021) acknowledges that diversity enriches the court to serve the public better, which is why it introduced the Judicial Diversity and Inclusion Strategy 2021-2025. This strategy aims to help underrepresented groups advance into judicial jobs and provide an inclusive and courteous workplace for justices. The primary goal is to foster an inclusive and courteous culture at the Court where all judges support the strategy. The policy also intends to help underrepresented groups advance in the court. It also aims to increase the number of eligible applications from underrepresented groups to the UK Supreme Court and aims to actively promote diversity and inclusion among lawyers and the public. Finally, it aims to guarantee that the court upholds the Equality Act 2010 to eradicate all forms of illegal discrimination, harassment, and victimisation. The strategy also outlines how each goal will be attained by introducing a plan with specific action dates.</w:t>
      </w:r>
    </w:p>
    <w:p w14:paraId="11C41CE9" w14:textId="77777777" w:rsidR="00E545F2" w:rsidRDefault="00E545F2" w:rsidP="00E545F2">
      <w:pPr>
        <w:rPr>
          <w:rFonts w:ascii="Arial" w:hAnsi="Arial" w:cs="Arial"/>
          <w:b/>
          <w:bCs/>
          <w:sz w:val="24"/>
          <w:szCs w:val="24"/>
          <w:u w:val="single"/>
        </w:rPr>
      </w:pPr>
    </w:p>
    <w:p w14:paraId="4CE9507C" w14:textId="2B95BF08" w:rsidR="00E545F2" w:rsidRDefault="00E545F2" w:rsidP="00E545F2">
      <w:pPr>
        <w:rPr>
          <w:rFonts w:ascii="Arial" w:hAnsi="Arial" w:cs="Arial"/>
          <w:b/>
          <w:bCs/>
          <w:sz w:val="24"/>
          <w:szCs w:val="24"/>
          <w:u w:val="single"/>
        </w:rPr>
      </w:pPr>
      <w:r w:rsidRPr="00E545F2">
        <w:rPr>
          <w:rFonts w:ascii="Arial" w:hAnsi="Arial" w:cs="Arial"/>
          <w:b/>
          <w:bCs/>
          <w:sz w:val="24"/>
          <w:szCs w:val="24"/>
          <w:u w:val="single"/>
        </w:rPr>
        <w:t>Conclusion</w:t>
      </w:r>
    </w:p>
    <w:p w14:paraId="58C73773" w14:textId="3A725C7F" w:rsidR="00E545F2" w:rsidRDefault="00E545F2" w:rsidP="00E545F2">
      <w:pPr>
        <w:rPr>
          <w:rFonts w:ascii="Arial" w:hAnsi="Arial" w:cs="Arial"/>
          <w:sz w:val="24"/>
          <w:szCs w:val="24"/>
        </w:rPr>
      </w:pPr>
      <w:r w:rsidRPr="00E545F2">
        <w:rPr>
          <w:rFonts w:ascii="Arial" w:hAnsi="Arial" w:cs="Arial"/>
          <w:sz w:val="24"/>
          <w:szCs w:val="24"/>
        </w:rPr>
        <w:t>Diversity is an important factor in Supreme Court decision-making. Research suggests that such judiciary improves public trust in the Supreme Court’s legitimacy. Additionally, having a diverse bench reduces prejudice and leads to better decisions. While the present Supreme Court lacks diversity, the Court intends on improving this factor, with the latest action being the introduction of the judicial diversity and inclusion strategy.</w:t>
      </w:r>
    </w:p>
    <w:p w14:paraId="505352B2" w14:textId="27985959" w:rsidR="00E545F2" w:rsidRDefault="00E545F2" w:rsidP="00E545F2">
      <w:pPr>
        <w:rPr>
          <w:rFonts w:ascii="Arial" w:hAnsi="Arial" w:cs="Arial"/>
          <w:sz w:val="24"/>
          <w:szCs w:val="24"/>
        </w:rPr>
      </w:pPr>
    </w:p>
    <w:p w14:paraId="1D004BEB" w14:textId="1CD379D7" w:rsidR="00E545F2" w:rsidRDefault="00E545F2" w:rsidP="00E545F2">
      <w:pPr>
        <w:rPr>
          <w:rFonts w:ascii="Arial" w:hAnsi="Arial" w:cs="Arial"/>
          <w:b/>
          <w:bCs/>
          <w:sz w:val="24"/>
          <w:szCs w:val="24"/>
          <w:u w:val="single"/>
        </w:rPr>
      </w:pPr>
      <w:r w:rsidRPr="00E545F2">
        <w:rPr>
          <w:rFonts w:ascii="Arial" w:hAnsi="Arial" w:cs="Arial"/>
          <w:b/>
          <w:bCs/>
          <w:sz w:val="24"/>
          <w:szCs w:val="24"/>
          <w:u w:val="single"/>
        </w:rPr>
        <w:t>References</w:t>
      </w:r>
    </w:p>
    <w:p w14:paraId="107A71E4" w14:textId="77777777" w:rsidR="00E545F2" w:rsidRPr="00E545F2" w:rsidRDefault="00E545F2" w:rsidP="00E545F2">
      <w:pPr>
        <w:rPr>
          <w:rFonts w:ascii="Arial" w:hAnsi="Arial" w:cs="Arial"/>
          <w:sz w:val="24"/>
          <w:szCs w:val="24"/>
        </w:rPr>
      </w:pPr>
      <w:r w:rsidRPr="00E545F2">
        <w:rPr>
          <w:rFonts w:ascii="Arial" w:hAnsi="Arial" w:cs="Arial"/>
          <w:sz w:val="24"/>
          <w:szCs w:val="24"/>
        </w:rPr>
        <w:t xml:space="preserve">Bindman, G. and Monaghan, K., 2014. </w:t>
      </w:r>
      <w:r w:rsidRPr="00E545F2">
        <w:rPr>
          <w:rFonts w:ascii="Arial" w:hAnsi="Arial" w:cs="Arial"/>
          <w:i/>
          <w:iCs/>
          <w:sz w:val="24"/>
          <w:szCs w:val="24"/>
        </w:rPr>
        <w:t>Judicial diversity: accelerating change</w:t>
      </w:r>
      <w:r w:rsidRPr="00E545F2">
        <w:rPr>
          <w:rFonts w:ascii="Arial" w:hAnsi="Arial" w:cs="Arial"/>
          <w:sz w:val="24"/>
          <w:szCs w:val="24"/>
        </w:rPr>
        <w:t xml:space="preserve">. [Online] Available at: </w:t>
      </w:r>
      <w:hyperlink r:id="rId6" w:history="1">
        <w:r w:rsidRPr="00E545F2">
          <w:rPr>
            <w:rStyle w:val="Hyperlink"/>
            <w:rFonts w:ascii="Arial" w:hAnsi="Arial" w:cs="Arial"/>
            <w:sz w:val="24"/>
            <w:szCs w:val="24"/>
          </w:rPr>
          <w:t>https://www.familylaw.co.uk/docs/pdf-files/Accelerating_Change_judicial_diversity.pdf</w:t>
        </w:r>
      </w:hyperlink>
      <w:r w:rsidRPr="00E545F2">
        <w:rPr>
          <w:rFonts w:ascii="Arial" w:hAnsi="Arial" w:cs="Arial"/>
          <w:sz w:val="24"/>
          <w:szCs w:val="24"/>
        </w:rPr>
        <w:t xml:space="preserve"> [Accessed 17/02/2022]</w:t>
      </w:r>
    </w:p>
    <w:p w14:paraId="446FF040"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lastRenderedPageBreak/>
        <w:t xml:space="preserve">Boldt, E., Boyd, C, Carlos, R. and Baker, M., 2021. </w:t>
      </w:r>
      <w:r w:rsidRPr="00E545F2">
        <w:rPr>
          <w:rFonts w:ascii="Arial" w:hAnsi="Arial" w:cs="Arial"/>
          <w:i/>
          <w:iCs/>
          <w:sz w:val="24"/>
          <w:szCs w:val="24"/>
        </w:rPr>
        <w:t>The effects of judge race and sex on pretrial detention decisions</w:t>
      </w:r>
      <w:r w:rsidRPr="00E545F2">
        <w:rPr>
          <w:rFonts w:ascii="Arial" w:hAnsi="Arial" w:cs="Arial"/>
          <w:sz w:val="24"/>
          <w:szCs w:val="24"/>
        </w:rPr>
        <w:t>. Justice System Journal, pp.1-39.</w:t>
      </w:r>
    </w:p>
    <w:p w14:paraId="1560987A"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Delaney, E., 2016. Searching for constitutional meaning in institutional design: The debate over judicial appointments in the United Kingdom. </w:t>
      </w:r>
      <w:r w:rsidRPr="00E545F2">
        <w:rPr>
          <w:rFonts w:ascii="Arial" w:hAnsi="Arial" w:cs="Arial"/>
          <w:i/>
          <w:iCs/>
          <w:sz w:val="24"/>
          <w:szCs w:val="24"/>
        </w:rPr>
        <w:t>International Journal of Constitutional Law</w:t>
      </w:r>
      <w:r w:rsidRPr="00E545F2">
        <w:rPr>
          <w:rFonts w:ascii="Arial" w:hAnsi="Arial" w:cs="Arial"/>
          <w:sz w:val="24"/>
          <w:szCs w:val="24"/>
        </w:rPr>
        <w:t xml:space="preserve">, </w:t>
      </w:r>
      <w:r w:rsidRPr="00E545F2">
        <w:rPr>
          <w:rFonts w:ascii="Arial" w:hAnsi="Arial" w:cs="Arial"/>
          <w:b/>
          <w:bCs/>
          <w:sz w:val="24"/>
          <w:szCs w:val="24"/>
        </w:rPr>
        <w:t>14</w:t>
      </w:r>
      <w:r w:rsidRPr="00E545F2">
        <w:rPr>
          <w:rFonts w:ascii="Arial" w:hAnsi="Arial" w:cs="Arial"/>
          <w:sz w:val="24"/>
          <w:szCs w:val="24"/>
        </w:rPr>
        <w:t>(3), pp.752-768.</w:t>
      </w:r>
    </w:p>
    <w:p w14:paraId="35C62FE7"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Hunt, V., Layton, D. and Prince, S., 2015. </w:t>
      </w:r>
      <w:r w:rsidRPr="00E545F2">
        <w:rPr>
          <w:rFonts w:ascii="Arial" w:hAnsi="Arial" w:cs="Arial"/>
          <w:i/>
          <w:iCs/>
          <w:sz w:val="24"/>
          <w:szCs w:val="24"/>
        </w:rPr>
        <w:t>Diversity matters</w:t>
      </w:r>
      <w:r w:rsidRPr="00E545F2">
        <w:rPr>
          <w:rFonts w:ascii="Arial" w:hAnsi="Arial" w:cs="Arial"/>
          <w:sz w:val="24"/>
          <w:szCs w:val="24"/>
        </w:rPr>
        <w:t xml:space="preserve">. McKinsey &amp; Company, </w:t>
      </w:r>
      <w:r w:rsidRPr="00E545F2">
        <w:rPr>
          <w:rFonts w:ascii="Arial" w:hAnsi="Arial" w:cs="Arial"/>
          <w:b/>
          <w:bCs/>
          <w:sz w:val="24"/>
          <w:szCs w:val="24"/>
        </w:rPr>
        <w:t>1</w:t>
      </w:r>
      <w:r w:rsidRPr="00E545F2">
        <w:rPr>
          <w:rFonts w:ascii="Arial" w:hAnsi="Arial" w:cs="Arial"/>
          <w:sz w:val="24"/>
          <w:szCs w:val="24"/>
        </w:rPr>
        <w:t>(1), pp.15-29.</w:t>
      </w:r>
    </w:p>
    <w:p w14:paraId="0F287182"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Hunter, R., 2015. More than just a different face? Judicial diversity and decision-making. </w:t>
      </w:r>
      <w:r w:rsidRPr="00E545F2">
        <w:rPr>
          <w:rFonts w:ascii="Arial" w:hAnsi="Arial" w:cs="Arial"/>
          <w:i/>
          <w:iCs/>
          <w:sz w:val="24"/>
          <w:szCs w:val="24"/>
        </w:rPr>
        <w:t>Current Legal Problems</w:t>
      </w:r>
      <w:r w:rsidRPr="00E545F2">
        <w:rPr>
          <w:rFonts w:ascii="Arial" w:hAnsi="Arial" w:cs="Arial"/>
          <w:sz w:val="24"/>
          <w:szCs w:val="24"/>
        </w:rPr>
        <w:t xml:space="preserve">, </w:t>
      </w:r>
      <w:r w:rsidRPr="00E545F2">
        <w:rPr>
          <w:rFonts w:ascii="Arial" w:hAnsi="Arial" w:cs="Arial"/>
          <w:b/>
          <w:bCs/>
          <w:sz w:val="24"/>
          <w:szCs w:val="24"/>
        </w:rPr>
        <w:t>68</w:t>
      </w:r>
      <w:r w:rsidRPr="00E545F2">
        <w:rPr>
          <w:rFonts w:ascii="Arial" w:hAnsi="Arial" w:cs="Arial"/>
          <w:sz w:val="24"/>
          <w:szCs w:val="24"/>
        </w:rPr>
        <w:t>(1), pp.119-141.</w:t>
      </w:r>
    </w:p>
    <w:p w14:paraId="1D9751BC" w14:textId="77777777" w:rsidR="00E545F2" w:rsidRPr="00E545F2" w:rsidRDefault="00E545F2" w:rsidP="00E545F2">
      <w:pPr>
        <w:ind w:left="720" w:hanging="720"/>
        <w:rPr>
          <w:rFonts w:ascii="Arial" w:hAnsi="Arial" w:cs="Arial"/>
          <w:sz w:val="24"/>
          <w:szCs w:val="24"/>
        </w:rPr>
      </w:pPr>
      <w:proofErr w:type="spellStart"/>
      <w:r w:rsidRPr="00E545F2">
        <w:rPr>
          <w:rFonts w:ascii="Arial" w:hAnsi="Arial" w:cs="Arial"/>
          <w:sz w:val="24"/>
          <w:szCs w:val="24"/>
        </w:rPr>
        <w:t>Kastellec</w:t>
      </w:r>
      <w:proofErr w:type="spellEnd"/>
      <w:r w:rsidRPr="00E545F2">
        <w:rPr>
          <w:rFonts w:ascii="Arial" w:hAnsi="Arial" w:cs="Arial"/>
          <w:sz w:val="24"/>
          <w:szCs w:val="24"/>
        </w:rPr>
        <w:t xml:space="preserve">, J.P., 2013. Racial diversity and judicial influence on appellate courts. </w:t>
      </w:r>
      <w:r w:rsidRPr="00E545F2">
        <w:rPr>
          <w:rFonts w:ascii="Arial" w:hAnsi="Arial" w:cs="Arial"/>
          <w:i/>
          <w:iCs/>
          <w:sz w:val="24"/>
          <w:szCs w:val="24"/>
        </w:rPr>
        <w:t>American Journal of Political Science</w:t>
      </w:r>
      <w:r w:rsidRPr="00E545F2">
        <w:rPr>
          <w:rFonts w:ascii="Arial" w:hAnsi="Arial" w:cs="Arial"/>
          <w:sz w:val="24"/>
          <w:szCs w:val="24"/>
        </w:rPr>
        <w:t xml:space="preserve">, </w:t>
      </w:r>
      <w:r w:rsidRPr="00E545F2">
        <w:rPr>
          <w:rFonts w:ascii="Arial" w:hAnsi="Arial" w:cs="Arial"/>
          <w:b/>
          <w:bCs/>
          <w:sz w:val="24"/>
          <w:szCs w:val="24"/>
        </w:rPr>
        <w:t>57</w:t>
      </w:r>
      <w:r w:rsidRPr="00E545F2">
        <w:rPr>
          <w:rFonts w:ascii="Arial" w:hAnsi="Arial" w:cs="Arial"/>
          <w:sz w:val="24"/>
          <w:szCs w:val="24"/>
        </w:rPr>
        <w:t>(1), pp.167-183.</w:t>
      </w:r>
    </w:p>
    <w:p w14:paraId="5127540A"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Lonsway, K, Freeman, L, Cortina, L., Magley, V. and Fitzgerald, L., 2002. Understanding the judicial role in addressing gender bias: a view from the Eighth Circuit Federal Court System. </w:t>
      </w:r>
      <w:r w:rsidRPr="00E545F2">
        <w:rPr>
          <w:rFonts w:ascii="Arial" w:hAnsi="Arial" w:cs="Arial"/>
          <w:i/>
          <w:iCs/>
          <w:sz w:val="24"/>
          <w:szCs w:val="24"/>
        </w:rPr>
        <w:t>Law &amp; Social Inquiry</w:t>
      </w:r>
      <w:r w:rsidRPr="00E545F2">
        <w:rPr>
          <w:rFonts w:ascii="Arial" w:hAnsi="Arial" w:cs="Arial"/>
          <w:sz w:val="24"/>
          <w:szCs w:val="24"/>
        </w:rPr>
        <w:t xml:space="preserve">, </w:t>
      </w:r>
      <w:r w:rsidRPr="00E545F2">
        <w:rPr>
          <w:rFonts w:ascii="Arial" w:hAnsi="Arial" w:cs="Arial"/>
          <w:b/>
          <w:bCs/>
          <w:sz w:val="24"/>
          <w:szCs w:val="24"/>
        </w:rPr>
        <w:t>27</w:t>
      </w:r>
      <w:r w:rsidRPr="00E545F2">
        <w:rPr>
          <w:rFonts w:ascii="Arial" w:hAnsi="Arial" w:cs="Arial"/>
          <w:sz w:val="24"/>
          <w:szCs w:val="24"/>
        </w:rPr>
        <w:t>(2), pp.205-234.</w:t>
      </w:r>
    </w:p>
    <w:p w14:paraId="6CCFED0E" w14:textId="77777777" w:rsidR="00E545F2" w:rsidRPr="00E545F2" w:rsidRDefault="00E545F2" w:rsidP="00E545F2">
      <w:pPr>
        <w:ind w:left="720" w:hanging="720"/>
        <w:rPr>
          <w:rFonts w:ascii="Arial" w:hAnsi="Arial" w:cs="Arial"/>
          <w:sz w:val="24"/>
          <w:szCs w:val="24"/>
        </w:rPr>
      </w:pPr>
      <w:proofErr w:type="spellStart"/>
      <w:r w:rsidRPr="00E545F2">
        <w:rPr>
          <w:rFonts w:ascii="Arial" w:hAnsi="Arial" w:cs="Arial"/>
          <w:sz w:val="24"/>
          <w:szCs w:val="24"/>
        </w:rPr>
        <w:t>Malleson</w:t>
      </w:r>
      <w:proofErr w:type="spellEnd"/>
      <w:r w:rsidRPr="00E545F2">
        <w:rPr>
          <w:rFonts w:ascii="Arial" w:hAnsi="Arial" w:cs="Arial"/>
          <w:sz w:val="24"/>
          <w:szCs w:val="24"/>
        </w:rPr>
        <w:t xml:space="preserve">, K., 2022. Values diversity in the United Kingdom Supreme Court: abandoning the ‘don’t-ask-don’t-tell’ policy. </w:t>
      </w:r>
      <w:r w:rsidRPr="00E545F2">
        <w:rPr>
          <w:rFonts w:ascii="Arial" w:hAnsi="Arial" w:cs="Arial"/>
          <w:i/>
          <w:iCs/>
          <w:sz w:val="24"/>
          <w:szCs w:val="24"/>
        </w:rPr>
        <w:t>Journal of Law and Society</w:t>
      </w:r>
      <w:r w:rsidRPr="00E545F2">
        <w:rPr>
          <w:rFonts w:ascii="Arial" w:hAnsi="Arial" w:cs="Arial"/>
          <w:sz w:val="24"/>
          <w:szCs w:val="24"/>
        </w:rPr>
        <w:t>.</w:t>
      </w:r>
    </w:p>
    <w:p w14:paraId="788441F4" w14:textId="77777777" w:rsidR="00E545F2" w:rsidRPr="00E545F2" w:rsidRDefault="00E545F2" w:rsidP="00E545F2">
      <w:pPr>
        <w:rPr>
          <w:rFonts w:ascii="Arial" w:hAnsi="Arial" w:cs="Arial"/>
          <w:sz w:val="24"/>
          <w:szCs w:val="24"/>
        </w:rPr>
      </w:pPr>
      <w:r w:rsidRPr="00E545F2">
        <w:rPr>
          <w:rFonts w:ascii="Arial" w:hAnsi="Arial" w:cs="Arial"/>
          <w:sz w:val="24"/>
          <w:szCs w:val="24"/>
        </w:rPr>
        <w:t xml:space="preserve">Neuberger, B., 2010. </w:t>
      </w:r>
      <w:r w:rsidRPr="00E545F2">
        <w:rPr>
          <w:rFonts w:ascii="Arial" w:hAnsi="Arial" w:cs="Arial"/>
          <w:i/>
          <w:iCs/>
          <w:sz w:val="24"/>
          <w:szCs w:val="24"/>
        </w:rPr>
        <w:t>The report of the advisory panel on judicial diversity</w:t>
      </w:r>
      <w:r w:rsidRPr="00E545F2">
        <w:rPr>
          <w:rFonts w:ascii="Arial" w:hAnsi="Arial" w:cs="Arial"/>
          <w:sz w:val="24"/>
          <w:szCs w:val="24"/>
        </w:rPr>
        <w:t xml:space="preserve">. [Online] Available at: </w:t>
      </w:r>
      <w:hyperlink r:id="rId7" w:history="1">
        <w:r w:rsidRPr="00E545F2">
          <w:rPr>
            <w:rStyle w:val="Hyperlink"/>
            <w:rFonts w:ascii="Arial" w:hAnsi="Arial" w:cs="Arial"/>
            <w:sz w:val="24"/>
            <w:szCs w:val="24"/>
          </w:rPr>
          <w:t>https://www.judiciary.uk/wp-content/uploads/JCO/Documents/Reports/advisory-panel-judicial-diversity-2010.pdf</w:t>
        </w:r>
      </w:hyperlink>
      <w:r w:rsidRPr="00E545F2">
        <w:rPr>
          <w:rFonts w:ascii="Arial" w:hAnsi="Arial" w:cs="Arial"/>
          <w:sz w:val="24"/>
          <w:szCs w:val="24"/>
        </w:rPr>
        <w:t xml:space="preserve"> [Accessed 17/02/2022]</w:t>
      </w:r>
    </w:p>
    <w:p w14:paraId="04E31A37"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Rackley, E., 2012. </w:t>
      </w:r>
      <w:r w:rsidRPr="00E545F2">
        <w:rPr>
          <w:rFonts w:ascii="Arial" w:hAnsi="Arial" w:cs="Arial"/>
          <w:i/>
          <w:iCs/>
          <w:sz w:val="24"/>
          <w:szCs w:val="24"/>
        </w:rPr>
        <w:t>Women, judging and the judiciary: from difference to diversity</w:t>
      </w:r>
      <w:r w:rsidRPr="00E545F2">
        <w:rPr>
          <w:rFonts w:ascii="Arial" w:hAnsi="Arial" w:cs="Arial"/>
          <w:sz w:val="24"/>
          <w:szCs w:val="24"/>
        </w:rPr>
        <w:t>. London: Routledge-Cavendish.</w:t>
      </w:r>
    </w:p>
    <w:p w14:paraId="17716B1A"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Scherer, N. and Curry, B., 2010. Does descriptive race representation enhance institutional legitimacy? The case of the US courts. </w:t>
      </w:r>
      <w:r w:rsidRPr="00E545F2">
        <w:rPr>
          <w:rFonts w:ascii="Arial" w:hAnsi="Arial" w:cs="Arial"/>
          <w:i/>
          <w:iCs/>
          <w:sz w:val="24"/>
          <w:szCs w:val="24"/>
        </w:rPr>
        <w:t>The Journal of Politics</w:t>
      </w:r>
      <w:r w:rsidRPr="00E545F2">
        <w:rPr>
          <w:rFonts w:ascii="Arial" w:hAnsi="Arial" w:cs="Arial"/>
          <w:sz w:val="24"/>
          <w:szCs w:val="24"/>
        </w:rPr>
        <w:t xml:space="preserve">, </w:t>
      </w:r>
      <w:r w:rsidRPr="00E545F2">
        <w:rPr>
          <w:rFonts w:ascii="Arial" w:hAnsi="Arial" w:cs="Arial"/>
          <w:b/>
          <w:bCs/>
          <w:sz w:val="24"/>
          <w:szCs w:val="24"/>
        </w:rPr>
        <w:t>72</w:t>
      </w:r>
      <w:r w:rsidRPr="00E545F2">
        <w:rPr>
          <w:rFonts w:ascii="Arial" w:hAnsi="Arial" w:cs="Arial"/>
          <w:sz w:val="24"/>
          <w:szCs w:val="24"/>
        </w:rPr>
        <w:t>(1), pp.90-104.</w:t>
      </w:r>
    </w:p>
    <w:p w14:paraId="752683FB"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Shepherd, J., 2021. </w:t>
      </w:r>
      <w:r w:rsidRPr="00E545F2">
        <w:rPr>
          <w:rFonts w:ascii="Arial" w:hAnsi="Arial" w:cs="Arial"/>
          <w:i/>
          <w:iCs/>
          <w:sz w:val="24"/>
          <w:szCs w:val="24"/>
        </w:rPr>
        <w:t>The relationship between professional diversity and judicial decisions. demand justice</w:t>
      </w:r>
      <w:r w:rsidRPr="00E545F2">
        <w:rPr>
          <w:rFonts w:ascii="Arial" w:hAnsi="Arial" w:cs="Arial"/>
          <w:sz w:val="24"/>
          <w:szCs w:val="24"/>
        </w:rPr>
        <w:t xml:space="preserve">. [Online] Available at: </w:t>
      </w:r>
      <w:hyperlink r:id="rId8" w:history="1">
        <w:r w:rsidRPr="00E545F2">
          <w:rPr>
            <w:rStyle w:val="Hyperlink"/>
            <w:rFonts w:ascii="Arial" w:hAnsi="Arial" w:cs="Arial"/>
            <w:sz w:val="24"/>
            <w:szCs w:val="24"/>
          </w:rPr>
          <w:t>https://demandjustice.org/report/</w:t>
        </w:r>
      </w:hyperlink>
      <w:r w:rsidRPr="00E545F2">
        <w:rPr>
          <w:rFonts w:ascii="Arial" w:hAnsi="Arial" w:cs="Arial"/>
          <w:sz w:val="24"/>
          <w:szCs w:val="24"/>
        </w:rPr>
        <w:t xml:space="preserve"> [Accessed 17/02/2022]</w:t>
      </w:r>
    </w:p>
    <w:p w14:paraId="61A23595"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The Supreme Court, 2021. </w:t>
      </w:r>
      <w:r w:rsidRPr="00E545F2">
        <w:rPr>
          <w:rFonts w:ascii="Arial" w:hAnsi="Arial" w:cs="Arial"/>
          <w:i/>
          <w:iCs/>
          <w:sz w:val="24"/>
          <w:szCs w:val="24"/>
        </w:rPr>
        <w:t>Judicial diversity and inclusion strategy 2021-2025</w:t>
      </w:r>
      <w:r w:rsidRPr="00E545F2">
        <w:rPr>
          <w:rFonts w:ascii="Arial" w:hAnsi="Arial" w:cs="Arial"/>
          <w:sz w:val="24"/>
          <w:szCs w:val="24"/>
        </w:rPr>
        <w:t xml:space="preserve">. [Online] Available at: </w:t>
      </w:r>
      <w:hyperlink r:id="rId9" w:history="1">
        <w:r w:rsidRPr="00E545F2">
          <w:rPr>
            <w:rStyle w:val="Hyperlink"/>
            <w:rFonts w:ascii="Arial" w:hAnsi="Arial" w:cs="Arial"/>
            <w:sz w:val="24"/>
            <w:szCs w:val="24"/>
          </w:rPr>
          <w:t>https://www.supremecourt.uk/docs/uksc-judicial-diversity-and-inclusion-strategy.pdf</w:t>
        </w:r>
      </w:hyperlink>
      <w:r w:rsidRPr="00E545F2">
        <w:rPr>
          <w:rStyle w:val="Hyperlink"/>
          <w:rFonts w:ascii="Arial" w:hAnsi="Arial" w:cs="Arial"/>
          <w:sz w:val="24"/>
          <w:szCs w:val="24"/>
        </w:rPr>
        <w:t xml:space="preserve"> </w:t>
      </w:r>
      <w:r w:rsidRPr="00E545F2">
        <w:rPr>
          <w:rFonts w:ascii="Arial" w:hAnsi="Arial" w:cs="Arial"/>
          <w:sz w:val="24"/>
          <w:szCs w:val="24"/>
        </w:rPr>
        <w:t>[Accessed 17/02/2022]</w:t>
      </w:r>
    </w:p>
    <w:p w14:paraId="26EE89A5"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The Supreme Court, 2022. </w:t>
      </w:r>
      <w:r w:rsidRPr="00E545F2">
        <w:rPr>
          <w:rFonts w:ascii="Arial" w:hAnsi="Arial" w:cs="Arial"/>
          <w:i/>
          <w:iCs/>
          <w:sz w:val="24"/>
          <w:szCs w:val="24"/>
        </w:rPr>
        <w:t>Biographies of the justices</w:t>
      </w:r>
      <w:r w:rsidRPr="00E545F2">
        <w:rPr>
          <w:rFonts w:ascii="Arial" w:hAnsi="Arial" w:cs="Arial"/>
          <w:sz w:val="24"/>
          <w:szCs w:val="24"/>
        </w:rPr>
        <w:t xml:space="preserve">. [Online] Available at: </w:t>
      </w:r>
      <w:hyperlink r:id="rId10" w:history="1">
        <w:r w:rsidRPr="00E545F2">
          <w:rPr>
            <w:rStyle w:val="Hyperlink"/>
            <w:rFonts w:ascii="Arial" w:hAnsi="Arial" w:cs="Arial"/>
            <w:sz w:val="24"/>
            <w:szCs w:val="24"/>
          </w:rPr>
          <w:t>https://www.supremecourt.uk/about/biographies-of-the-justices.html</w:t>
        </w:r>
      </w:hyperlink>
      <w:r w:rsidRPr="00E545F2">
        <w:rPr>
          <w:rStyle w:val="Hyperlink"/>
          <w:rFonts w:ascii="Arial" w:hAnsi="Arial" w:cs="Arial"/>
          <w:sz w:val="24"/>
          <w:szCs w:val="24"/>
        </w:rPr>
        <w:t xml:space="preserve"> </w:t>
      </w:r>
      <w:r w:rsidRPr="00E545F2">
        <w:rPr>
          <w:rFonts w:ascii="Arial" w:hAnsi="Arial" w:cs="Arial"/>
          <w:sz w:val="24"/>
          <w:szCs w:val="24"/>
        </w:rPr>
        <w:t>[Accessed 17/02/2022]</w:t>
      </w:r>
    </w:p>
    <w:p w14:paraId="282343BA" w14:textId="5E583D02" w:rsidR="00E545F2" w:rsidRDefault="00E545F2" w:rsidP="00E545F2">
      <w:pPr>
        <w:ind w:left="720" w:hanging="720"/>
        <w:rPr>
          <w:rFonts w:ascii="Arial" w:hAnsi="Arial" w:cs="Arial"/>
          <w:sz w:val="24"/>
          <w:szCs w:val="24"/>
        </w:rPr>
      </w:pPr>
      <w:r w:rsidRPr="00E545F2">
        <w:rPr>
          <w:rFonts w:ascii="Arial" w:hAnsi="Arial" w:cs="Arial"/>
          <w:sz w:val="24"/>
          <w:szCs w:val="24"/>
        </w:rPr>
        <w:t xml:space="preserve">The Supreme Court, n.d. </w:t>
      </w:r>
      <w:r w:rsidRPr="00E545F2">
        <w:rPr>
          <w:rFonts w:ascii="Arial" w:hAnsi="Arial" w:cs="Arial"/>
          <w:i/>
          <w:iCs/>
          <w:sz w:val="24"/>
          <w:szCs w:val="24"/>
        </w:rPr>
        <w:t>Appointments of justices</w:t>
      </w:r>
      <w:r w:rsidRPr="00E545F2">
        <w:rPr>
          <w:rFonts w:ascii="Arial" w:hAnsi="Arial" w:cs="Arial"/>
          <w:sz w:val="24"/>
          <w:szCs w:val="24"/>
        </w:rPr>
        <w:t xml:space="preserve">. [Online] Available at: </w:t>
      </w:r>
      <w:hyperlink r:id="rId11" w:history="1">
        <w:r w:rsidRPr="00E545F2">
          <w:rPr>
            <w:rStyle w:val="Hyperlink"/>
            <w:rFonts w:ascii="Arial" w:hAnsi="Arial" w:cs="Arial"/>
            <w:sz w:val="24"/>
            <w:szCs w:val="24"/>
          </w:rPr>
          <w:t>https://www.supremecourt.uk/about/appointments-of-justices.html</w:t>
        </w:r>
      </w:hyperlink>
      <w:r w:rsidRPr="00E545F2">
        <w:rPr>
          <w:rStyle w:val="Hyperlink"/>
          <w:rFonts w:ascii="Arial" w:hAnsi="Arial" w:cs="Arial"/>
          <w:sz w:val="24"/>
          <w:szCs w:val="24"/>
        </w:rPr>
        <w:t xml:space="preserve"> </w:t>
      </w:r>
      <w:r w:rsidRPr="00E545F2">
        <w:rPr>
          <w:rFonts w:ascii="Arial" w:hAnsi="Arial" w:cs="Arial"/>
          <w:sz w:val="24"/>
          <w:szCs w:val="24"/>
        </w:rPr>
        <w:t>[Accessed 17/02/2022]</w:t>
      </w:r>
    </w:p>
    <w:p w14:paraId="67F2D246" w14:textId="3FABFF71" w:rsidR="00E545F2" w:rsidRDefault="00E545F2" w:rsidP="00E545F2">
      <w:pPr>
        <w:ind w:left="720" w:hanging="720"/>
        <w:rPr>
          <w:rFonts w:ascii="Arial" w:hAnsi="Arial" w:cs="Arial"/>
          <w:sz w:val="24"/>
          <w:szCs w:val="24"/>
        </w:rPr>
      </w:pPr>
      <w:r w:rsidRPr="00E545F2">
        <w:rPr>
          <w:rFonts w:ascii="Arial" w:hAnsi="Arial" w:cs="Arial"/>
          <w:sz w:val="24"/>
          <w:szCs w:val="24"/>
        </w:rPr>
        <w:lastRenderedPageBreak/>
        <w:t xml:space="preserve">The Supreme Court, n.d. </w:t>
      </w:r>
      <w:r w:rsidRPr="00E545F2">
        <w:rPr>
          <w:rFonts w:ascii="Arial" w:hAnsi="Arial" w:cs="Arial"/>
          <w:i/>
          <w:iCs/>
          <w:sz w:val="24"/>
          <w:szCs w:val="24"/>
        </w:rPr>
        <w:t>Equality and diversity</w:t>
      </w:r>
      <w:r w:rsidRPr="00E545F2">
        <w:rPr>
          <w:rFonts w:ascii="Arial" w:hAnsi="Arial" w:cs="Arial"/>
          <w:sz w:val="24"/>
          <w:szCs w:val="24"/>
        </w:rPr>
        <w:t xml:space="preserve">. [Online] Available at: </w:t>
      </w:r>
      <w:hyperlink r:id="rId12" w:history="1">
        <w:r w:rsidRPr="00E545F2">
          <w:rPr>
            <w:rStyle w:val="Hyperlink"/>
            <w:rFonts w:ascii="Arial" w:hAnsi="Arial" w:cs="Arial"/>
            <w:sz w:val="24"/>
            <w:szCs w:val="24"/>
          </w:rPr>
          <w:t>https://www.supremecourt.uk/about/equality-and-diversity.html</w:t>
        </w:r>
      </w:hyperlink>
      <w:r w:rsidRPr="00E545F2">
        <w:rPr>
          <w:rStyle w:val="Hyperlink"/>
          <w:rFonts w:ascii="Arial" w:hAnsi="Arial" w:cs="Arial"/>
          <w:sz w:val="24"/>
          <w:szCs w:val="24"/>
        </w:rPr>
        <w:t xml:space="preserve"> </w:t>
      </w:r>
      <w:r w:rsidRPr="00E545F2">
        <w:rPr>
          <w:rFonts w:ascii="Arial" w:hAnsi="Arial" w:cs="Arial"/>
          <w:sz w:val="24"/>
          <w:szCs w:val="24"/>
        </w:rPr>
        <w:t>[Accessed 17/02/2022]</w:t>
      </w:r>
    </w:p>
    <w:p w14:paraId="51A1CB04" w14:textId="77777777" w:rsidR="00E545F2" w:rsidRPr="00E545F2" w:rsidRDefault="00E545F2" w:rsidP="00E545F2">
      <w:pPr>
        <w:ind w:left="720" w:hanging="720"/>
        <w:rPr>
          <w:rFonts w:ascii="Arial" w:hAnsi="Arial" w:cs="Arial"/>
          <w:sz w:val="24"/>
          <w:szCs w:val="24"/>
        </w:rPr>
      </w:pPr>
      <w:r w:rsidRPr="00E545F2">
        <w:rPr>
          <w:rFonts w:ascii="Arial" w:hAnsi="Arial" w:cs="Arial"/>
          <w:sz w:val="24"/>
          <w:szCs w:val="24"/>
        </w:rPr>
        <w:t xml:space="preserve">The Supreme Court, n.d. Role of the Supreme Court. [Online] Available at: </w:t>
      </w:r>
      <w:hyperlink r:id="rId13" w:history="1">
        <w:r w:rsidRPr="00E545F2">
          <w:rPr>
            <w:rStyle w:val="Hyperlink"/>
            <w:rFonts w:ascii="Arial" w:hAnsi="Arial" w:cs="Arial"/>
            <w:sz w:val="24"/>
            <w:szCs w:val="24"/>
          </w:rPr>
          <w:t>https://www.supremecourt.uk/about/role-of-the-supreme-court.html</w:t>
        </w:r>
      </w:hyperlink>
      <w:r w:rsidRPr="00E545F2">
        <w:rPr>
          <w:rStyle w:val="Hyperlink"/>
          <w:rFonts w:ascii="Arial" w:hAnsi="Arial" w:cs="Arial"/>
          <w:sz w:val="24"/>
          <w:szCs w:val="24"/>
        </w:rPr>
        <w:t xml:space="preserve"> </w:t>
      </w:r>
      <w:r w:rsidRPr="00E545F2">
        <w:rPr>
          <w:rFonts w:ascii="Arial" w:hAnsi="Arial" w:cs="Arial"/>
          <w:sz w:val="24"/>
          <w:szCs w:val="24"/>
        </w:rPr>
        <w:t>[Accessed 17/02/2022]</w:t>
      </w:r>
    </w:p>
    <w:p w14:paraId="43EC4315" w14:textId="77777777" w:rsidR="00E545F2" w:rsidRPr="00E545F2" w:rsidRDefault="00E545F2" w:rsidP="00E545F2">
      <w:pPr>
        <w:ind w:left="720" w:hanging="720"/>
        <w:rPr>
          <w:rFonts w:ascii="Arial" w:hAnsi="Arial" w:cs="Arial"/>
          <w:sz w:val="24"/>
          <w:szCs w:val="24"/>
        </w:rPr>
      </w:pPr>
    </w:p>
    <w:p w14:paraId="7A295DE0" w14:textId="77777777" w:rsidR="00E545F2" w:rsidRPr="00E545F2" w:rsidRDefault="00E545F2" w:rsidP="00E545F2">
      <w:pPr>
        <w:ind w:left="720" w:hanging="720"/>
        <w:rPr>
          <w:rFonts w:ascii="Arial" w:hAnsi="Arial" w:cs="Arial"/>
          <w:sz w:val="24"/>
          <w:szCs w:val="24"/>
        </w:rPr>
      </w:pPr>
    </w:p>
    <w:p w14:paraId="1AA86747" w14:textId="77777777" w:rsidR="00E545F2" w:rsidRPr="00E545F2" w:rsidRDefault="00E545F2" w:rsidP="00E545F2">
      <w:pPr>
        <w:rPr>
          <w:rFonts w:ascii="Arial" w:hAnsi="Arial" w:cs="Arial"/>
          <w:sz w:val="24"/>
          <w:szCs w:val="24"/>
        </w:rPr>
      </w:pPr>
    </w:p>
    <w:p w14:paraId="59710832" w14:textId="77777777" w:rsidR="00E545F2" w:rsidRPr="00E545F2" w:rsidRDefault="00E545F2" w:rsidP="00E545F2">
      <w:pPr>
        <w:rPr>
          <w:rFonts w:ascii="Arial" w:hAnsi="Arial" w:cs="Arial"/>
          <w:b/>
          <w:bCs/>
          <w:sz w:val="24"/>
          <w:szCs w:val="24"/>
          <w:u w:val="single"/>
        </w:rPr>
      </w:pPr>
    </w:p>
    <w:p w14:paraId="47695B94" w14:textId="77777777" w:rsidR="00E545F2" w:rsidRPr="00E545F2" w:rsidRDefault="00E545F2" w:rsidP="00E545F2">
      <w:pPr>
        <w:rPr>
          <w:rFonts w:ascii="Arial" w:hAnsi="Arial" w:cs="Arial"/>
          <w:sz w:val="24"/>
          <w:szCs w:val="24"/>
        </w:rPr>
      </w:pPr>
    </w:p>
    <w:p w14:paraId="037955E3" w14:textId="77777777" w:rsidR="007027F8" w:rsidRPr="007027F8" w:rsidRDefault="007027F8" w:rsidP="007027F8">
      <w:pPr>
        <w:rPr>
          <w:rFonts w:ascii="Arial" w:hAnsi="Arial" w:cs="Arial"/>
          <w:b/>
          <w:bCs/>
          <w:sz w:val="24"/>
          <w:szCs w:val="24"/>
          <w:u w:val="single"/>
        </w:rPr>
      </w:pPr>
    </w:p>
    <w:p w14:paraId="5786231E" w14:textId="77777777" w:rsidR="007027F8" w:rsidRPr="007027F8" w:rsidRDefault="007027F8" w:rsidP="007027F8">
      <w:pPr>
        <w:rPr>
          <w:rFonts w:ascii="Arial" w:hAnsi="Arial" w:cs="Arial"/>
          <w:sz w:val="24"/>
          <w:szCs w:val="24"/>
        </w:rPr>
      </w:pPr>
    </w:p>
    <w:p w14:paraId="51A114C4" w14:textId="77777777" w:rsidR="007027F8" w:rsidRPr="007027F8" w:rsidRDefault="007027F8" w:rsidP="007027F8">
      <w:pPr>
        <w:rPr>
          <w:rFonts w:ascii="Arial" w:hAnsi="Arial" w:cs="Arial"/>
          <w:sz w:val="24"/>
          <w:szCs w:val="24"/>
        </w:rPr>
      </w:pPr>
    </w:p>
    <w:p w14:paraId="7C6B6C25" w14:textId="77777777" w:rsidR="007027F8" w:rsidRPr="00812EBD" w:rsidRDefault="007027F8" w:rsidP="00812EBD">
      <w:pPr>
        <w:rPr>
          <w:rFonts w:ascii="Arial" w:hAnsi="Arial" w:cs="Arial"/>
          <w:sz w:val="24"/>
          <w:szCs w:val="24"/>
        </w:rPr>
      </w:pPr>
    </w:p>
    <w:p w14:paraId="7C29961B" w14:textId="77777777" w:rsidR="00812EBD" w:rsidRPr="00812EBD" w:rsidRDefault="00812EBD" w:rsidP="00812EBD">
      <w:pPr>
        <w:rPr>
          <w:rFonts w:ascii="Arial" w:hAnsi="Arial" w:cs="Arial"/>
          <w:sz w:val="24"/>
          <w:szCs w:val="24"/>
        </w:rPr>
      </w:pPr>
    </w:p>
    <w:p w14:paraId="78DF802B" w14:textId="77777777" w:rsidR="00812EBD" w:rsidRPr="00381726" w:rsidRDefault="00812EBD" w:rsidP="00381726">
      <w:pPr>
        <w:rPr>
          <w:rFonts w:ascii="Arial" w:hAnsi="Arial" w:cs="Arial"/>
          <w:sz w:val="24"/>
          <w:szCs w:val="24"/>
        </w:rPr>
      </w:pPr>
    </w:p>
    <w:p w14:paraId="202D6FEC" w14:textId="77777777" w:rsidR="00381726" w:rsidRPr="008164E8" w:rsidRDefault="00381726">
      <w:pPr>
        <w:rPr>
          <w:rFonts w:ascii="Arial" w:hAnsi="Arial" w:cs="Arial"/>
          <w:sz w:val="24"/>
          <w:szCs w:val="24"/>
          <w:lang w:val="en-US"/>
        </w:rPr>
      </w:pPr>
    </w:p>
    <w:sectPr w:rsidR="00381726" w:rsidRPr="008164E8" w:rsidSect="002B29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9C1"/>
    <w:rsid w:val="001624F2"/>
    <w:rsid w:val="002B29C1"/>
    <w:rsid w:val="00381726"/>
    <w:rsid w:val="00533418"/>
    <w:rsid w:val="007027F8"/>
    <w:rsid w:val="008011E1"/>
    <w:rsid w:val="00812EBD"/>
    <w:rsid w:val="008164E8"/>
    <w:rsid w:val="00E545F2"/>
    <w:rsid w:val="00E56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D4F6D"/>
  <w15:chartTrackingRefBased/>
  <w15:docId w15:val="{A2092BA9-E7D1-4F20-9072-34894E9D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29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29C1"/>
    <w:rPr>
      <w:rFonts w:eastAsiaTheme="minorEastAsia"/>
      <w:lang w:val="en-US"/>
    </w:rPr>
  </w:style>
  <w:style w:type="character" w:styleId="Hyperlink">
    <w:name w:val="Hyperlink"/>
    <w:basedOn w:val="DefaultParagraphFont"/>
    <w:uiPriority w:val="99"/>
    <w:semiHidden/>
    <w:unhideWhenUsed/>
    <w:rsid w:val="00E545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439732">
      <w:bodyDiv w:val="1"/>
      <w:marLeft w:val="0"/>
      <w:marRight w:val="0"/>
      <w:marTop w:val="0"/>
      <w:marBottom w:val="0"/>
      <w:divBdr>
        <w:top w:val="none" w:sz="0" w:space="0" w:color="auto"/>
        <w:left w:val="none" w:sz="0" w:space="0" w:color="auto"/>
        <w:bottom w:val="none" w:sz="0" w:space="0" w:color="auto"/>
        <w:right w:val="none" w:sz="0" w:space="0" w:color="auto"/>
      </w:divBdr>
    </w:div>
    <w:div w:id="337586885">
      <w:bodyDiv w:val="1"/>
      <w:marLeft w:val="0"/>
      <w:marRight w:val="0"/>
      <w:marTop w:val="0"/>
      <w:marBottom w:val="0"/>
      <w:divBdr>
        <w:top w:val="none" w:sz="0" w:space="0" w:color="auto"/>
        <w:left w:val="none" w:sz="0" w:space="0" w:color="auto"/>
        <w:bottom w:val="none" w:sz="0" w:space="0" w:color="auto"/>
        <w:right w:val="none" w:sz="0" w:space="0" w:color="auto"/>
      </w:divBdr>
    </w:div>
    <w:div w:id="460617890">
      <w:bodyDiv w:val="1"/>
      <w:marLeft w:val="0"/>
      <w:marRight w:val="0"/>
      <w:marTop w:val="0"/>
      <w:marBottom w:val="0"/>
      <w:divBdr>
        <w:top w:val="none" w:sz="0" w:space="0" w:color="auto"/>
        <w:left w:val="none" w:sz="0" w:space="0" w:color="auto"/>
        <w:bottom w:val="none" w:sz="0" w:space="0" w:color="auto"/>
        <w:right w:val="none" w:sz="0" w:space="0" w:color="auto"/>
      </w:divBdr>
    </w:div>
    <w:div w:id="680400589">
      <w:bodyDiv w:val="1"/>
      <w:marLeft w:val="0"/>
      <w:marRight w:val="0"/>
      <w:marTop w:val="0"/>
      <w:marBottom w:val="0"/>
      <w:divBdr>
        <w:top w:val="none" w:sz="0" w:space="0" w:color="auto"/>
        <w:left w:val="none" w:sz="0" w:space="0" w:color="auto"/>
        <w:bottom w:val="none" w:sz="0" w:space="0" w:color="auto"/>
        <w:right w:val="none" w:sz="0" w:space="0" w:color="auto"/>
      </w:divBdr>
    </w:div>
    <w:div w:id="801654793">
      <w:bodyDiv w:val="1"/>
      <w:marLeft w:val="0"/>
      <w:marRight w:val="0"/>
      <w:marTop w:val="0"/>
      <w:marBottom w:val="0"/>
      <w:divBdr>
        <w:top w:val="none" w:sz="0" w:space="0" w:color="auto"/>
        <w:left w:val="none" w:sz="0" w:space="0" w:color="auto"/>
        <w:bottom w:val="none" w:sz="0" w:space="0" w:color="auto"/>
        <w:right w:val="none" w:sz="0" w:space="0" w:color="auto"/>
      </w:divBdr>
    </w:div>
    <w:div w:id="852768846">
      <w:bodyDiv w:val="1"/>
      <w:marLeft w:val="0"/>
      <w:marRight w:val="0"/>
      <w:marTop w:val="0"/>
      <w:marBottom w:val="0"/>
      <w:divBdr>
        <w:top w:val="none" w:sz="0" w:space="0" w:color="auto"/>
        <w:left w:val="none" w:sz="0" w:space="0" w:color="auto"/>
        <w:bottom w:val="none" w:sz="0" w:space="0" w:color="auto"/>
        <w:right w:val="none" w:sz="0" w:space="0" w:color="auto"/>
      </w:divBdr>
    </w:div>
    <w:div w:id="876309318">
      <w:bodyDiv w:val="1"/>
      <w:marLeft w:val="0"/>
      <w:marRight w:val="0"/>
      <w:marTop w:val="0"/>
      <w:marBottom w:val="0"/>
      <w:divBdr>
        <w:top w:val="none" w:sz="0" w:space="0" w:color="auto"/>
        <w:left w:val="none" w:sz="0" w:space="0" w:color="auto"/>
        <w:bottom w:val="none" w:sz="0" w:space="0" w:color="auto"/>
        <w:right w:val="none" w:sz="0" w:space="0" w:color="auto"/>
      </w:divBdr>
    </w:div>
    <w:div w:id="941493144">
      <w:bodyDiv w:val="1"/>
      <w:marLeft w:val="0"/>
      <w:marRight w:val="0"/>
      <w:marTop w:val="0"/>
      <w:marBottom w:val="0"/>
      <w:divBdr>
        <w:top w:val="none" w:sz="0" w:space="0" w:color="auto"/>
        <w:left w:val="none" w:sz="0" w:space="0" w:color="auto"/>
        <w:bottom w:val="none" w:sz="0" w:space="0" w:color="auto"/>
        <w:right w:val="none" w:sz="0" w:space="0" w:color="auto"/>
      </w:divBdr>
    </w:div>
    <w:div w:id="945769610">
      <w:bodyDiv w:val="1"/>
      <w:marLeft w:val="0"/>
      <w:marRight w:val="0"/>
      <w:marTop w:val="0"/>
      <w:marBottom w:val="0"/>
      <w:divBdr>
        <w:top w:val="none" w:sz="0" w:space="0" w:color="auto"/>
        <w:left w:val="none" w:sz="0" w:space="0" w:color="auto"/>
        <w:bottom w:val="none" w:sz="0" w:space="0" w:color="auto"/>
        <w:right w:val="none" w:sz="0" w:space="0" w:color="auto"/>
      </w:divBdr>
    </w:div>
    <w:div w:id="1417939848">
      <w:bodyDiv w:val="1"/>
      <w:marLeft w:val="0"/>
      <w:marRight w:val="0"/>
      <w:marTop w:val="0"/>
      <w:marBottom w:val="0"/>
      <w:divBdr>
        <w:top w:val="none" w:sz="0" w:space="0" w:color="auto"/>
        <w:left w:val="none" w:sz="0" w:space="0" w:color="auto"/>
        <w:bottom w:val="none" w:sz="0" w:space="0" w:color="auto"/>
        <w:right w:val="none" w:sz="0" w:space="0" w:color="auto"/>
      </w:divBdr>
    </w:div>
    <w:div w:id="1436167673">
      <w:bodyDiv w:val="1"/>
      <w:marLeft w:val="0"/>
      <w:marRight w:val="0"/>
      <w:marTop w:val="0"/>
      <w:marBottom w:val="0"/>
      <w:divBdr>
        <w:top w:val="none" w:sz="0" w:space="0" w:color="auto"/>
        <w:left w:val="none" w:sz="0" w:space="0" w:color="auto"/>
        <w:bottom w:val="none" w:sz="0" w:space="0" w:color="auto"/>
        <w:right w:val="none" w:sz="0" w:space="0" w:color="auto"/>
      </w:divBdr>
    </w:div>
    <w:div w:id="1543253107">
      <w:bodyDiv w:val="1"/>
      <w:marLeft w:val="0"/>
      <w:marRight w:val="0"/>
      <w:marTop w:val="0"/>
      <w:marBottom w:val="0"/>
      <w:divBdr>
        <w:top w:val="none" w:sz="0" w:space="0" w:color="auto"/>
        <w:left w:val="none" w:sz="0" w:space="0" w:color="auto"/>
        <w:bottom w:val="none" w:sz="0" w:space="0" w:color="auto"/>
        <w:right w:val="none" w:sz="0" w:space="0" w:color="auto"/>
      </w:divBdr>
    </w:div>
    <w:div w:id="1559706965">
      <w:bodyDiv w:val="1"/>
      <w:marLeft w:val="0"/>
      <w:marRight w:val="0"/>
      <w:marTop w:val="0"/>
      <w:marBottom w:val="0"/>
      <w:divBdr>
        <w:top w:val="none" w:sz="0" w:space="0" w:color="auto"/>
        <w:left w:val="none" w:sz="0" w:space="0" w:color="auto"/>
        <w:bottom w:val="none" w:sz="0" w:space="0" w:color="auto"/>
        <w:right w:val="none" w:sz="0" w:space="0" w:color="auto"/>
      </w:divBdr>
    </w:div>
    <w:div w:id="1609846288">
      <w:bodyDiv w:val="1"/>
      <w:marLeft w:val="0"/>
      <w:marRight w:val="0"/>
      <w:marTop w:val="0"/>
      <w:marBottom w:val="0"/>
      <w:divBdr>
        <w:top w:val="none" w:sz="0" w:space="0" w:color="auto"/>
        <w:left w:val="none" w:sz="0" w:space="0" w:color="auto"/>
        <w:bottom w:val="none" w:sz="0" w:space="0" w:color="auto"/>
        <w:right w:val="none" w:sz="0" w:space="0" w:color="auto"/>
      </w:divBdr>
    </w:div>
    <w:div w:id="1633443968">
      <w:bodyDiv w:val="1"/>
      <w:marLeft w:val="0"/>
      <w:marRight w:val="0"/>
      <w:marTop w:val="0"/>
      <w:marBottom w:val="0"/>
      <w:divBdr>
        <w:top w:val="none" w:sz="0" w:space="0" w:color="auto"/>
        <w:left w:val="none" w:sz="0" w:space="0" w:color="auto"/>
        <w:bottom w:val="none" w:sz="0" w:space="0" w:color="auto"/>
        <w:right w:val="none" w:sz="0" w:space="0" w:color="auto"/>
      </w:divBdr>
    </w:div>
    <w:div w:id="168763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andjustice.org/report/" TargetMode="External"/><Relationship Id="rId13" Type="http://schemas.openxmlformats.org/officeDocument/2006/relationships/hyperlink" Target="https://www.supremecourt.uk/about/role-of-the-supreme-court.html" TargetMode="External"/><Relationship Id="rId3" Type="http://schemas.openxmlformats.org/officeDocument/2006/relationships/webSettings" Target="webSettings.xml"/><Relationship Id="rId7" Type="http://schemas.openxmlformats.org/officeDocument/2006/relationships/hyperlink" Target="https://www.judiciary.uk/wp-content/uploads/JCO/Documents/Reports/advisory-panel-judicial-diversity-2010.pdf" TargetMode="External"/><Relationship Id="rId12" Type="http://schemas.openxmlformats.org/officeDocument/2006/relationships/hyperlink" Target="https://www.supremecourt.uk/about/equality-and-diversit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milylaw.co.uk/docs/pdf-files/Accelerating_Change_judicial_diversity.pdf" TargetMode="External"/><Relationship Id="rId11" Type="http://schemas.openxmlformats.org/officeDocument/2006/relationships/hyperlink" Target="https://www.supremecourt.uk/about/appointments-of-justices.html"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supremecourt.uk/about/biographies-of-the-justices.html" TargetMode="External"/><Relationship Id="rId4" Type="http://schemas.openxmlformats.org/officeDocument/2006/relationships/image" Target="media/image1.png"/><Relationship Id="rId9" Type="http://schemas.openxmlformats.org/officeDocument/2006/relationships/hyperlink" Target="https://www.supremecourt.uk/docs/uksc-judicial-diversity-and-inclusion-strateg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6</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&amp; legal practice.</dc:title>
  <dc:subject>DIVERSITY IN THE JUDICIARY (SUPREME COURT) BMPL4005</dc:subject>
  <dc:creator>BY NAZIM AMIN</dc:creator>
  <cp:keywords/>
  <dc:description/>
  <cp:lastModifiedBy>na5imamin1@outlook.com</cp:lastModifiedBy>
  <cp:revision>1</cp:revision>
  <dcterms:created xsi:type="dcterms:W3CDTF">2022-02-24T11:27:00Z</dcterms:created>
  <dcterms:modified xsi:type="dcterms:W3CDTF">2022-02-24T15:10:00Z</dcterms:modified>
</cp:coreProperties>
</file>