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893EA8" w14:textId="77777777" w:rsidR="00E73F14" w:rsidRDefault="00E73F14">
      <w:pPr>
        <w:rPr>
          <w:b/>
          <w:bCs/>
          <w:lang w:val="en-US"/>
        </w:rPr>
      </w:pPr>
    </w:p>
    <w:p w14:paraId="27193845" w14:textId="5DD6D94A" w:rsidR="00E73F14" w:rsidRDefault="00E73F14" w:rsidP="00E73F14">
      <w:pPr>
        <w:rPr>
          <w:rFonts w:cs="Arial"/>
          <w:sz w:val="36"/>
          <w:szCs w:val="36"/>
        </w:rPr>
      </w:pPr>
      <w:r w:rsidRPr="0028464B">
        <w:rPr>
          <w:rFonts w:cs="Arial"/>
          <w:sz w:val="36"/>
          <w:szCs w:val="36"/>
        </w:rPr>
        <w:t>Qualification: CIPD Diploma in Applied Human Resources</w:t>
      </w:r>
    </w:p>
    <w:p w14:paraId="0D907F9E" w14:textId="77777777" w:rsidR="00E73F14" w:rsidRPr="0028464B" w:rsidRDefault="00E73F14" w:rsidP="00E73F14">
      <w:pPr>
        <w:rPr>
          <w:rFonts w:cs="Arial"/>
          <w:sz w:val="36"/>
          <w:szCs w:val="36"/>
        </w:rPr>
      </w:pPr>
    </w:p>
    <w:p w14:paraId="7B7C8DFC" w14:textId="77777777" w:rsidR="00E73F14" w:rsidRDefault="00E73F14" w:rsidP="00E73F14">
      <w:pPr>
        <w:rPr>
          <w:rFonts w:cs="Arial"/>
          <w:sz w:val="36"/>
          <w:szCs w:val="36"/>
        </w:rPr>
      </w:pPr>
      <w:r w:rsidRPr="0028464B">
        <w:rPr>
          <w:rFonts w:cs="Arial"/>
          <w:sz w:val="36"/>
          <w:szCs w:val="36"/>
        </w:rPr>
        <w:t>Module Name:</w:t>
      </w:r>
      <w:r>
        <w:rPr>
          <w:rFonts w:cs="Arial"/>
          <w:sz w:val="36"/>
          <w:szCs w:val="36"/>
        </w:rPr>
        <w:t xml:space="preserve"> 5KEEG Understanding Employee Engagement </w:t>
      </w:r>
    </w:p>
    <w:p w14:paraId="23364F11" w14:textId="77777777" w:rsidR="00E73F14" w:rsidRDefault="00E73F14" w:rsidP="00E73F14">
      <w:pPr>
        <w:rPr>
          <w:rFonts w:cs="Arial"/>
          <w:sz w:val="36"/>
          <w:szCs w:val="36"/>
        </w:rPr>
      </w:pPr>
    </w:p>
    <w:p w14:paraId="7583FA4B" w14:textId="77777777" w:rsidR="00E73F14" w:rsidRPr="00BB29C4" w:rsidRDefault="00E73F14" w:rsidP="00E73F14">
      <w:pPr>
        <w:rPr>
          <w:rFonts w:cs="Arial"/>
          <w:sz w:val="36"/>
          <w:szCs w:val="36"/>
        </w:rPr>
      </w:pPr>
      <w:r w:rsidRPr="00BB29C4">
        <w:rPr>
          <w:rFonts w:cs="Arial"/>
          <w:sz w:val="36"/>
          <w:szCs w:val="36"/>
        </w:rPr>
        <w:t>Word Count</w:t>
      </w:r>
      <w:r>
        <w:rPr>
          <w:rFonts w:cs="Arial"/>
          <w:sz w:val="36"/>
          <w:szCs w:val="36"/>
        </w:rPr>
        <w:t>: 2586</w:t>
      </w:r>
    </w:p>
    <w:p w14:paraId="5B60658B" w14:textId="77777777" w:rsidR="00E73F14" w:rsidRDefault="00E73F14" w:rsidP="00E73F14">
      <w:pPr>
        <w:rPr>
          <w:rFonts w:cs="Arial"/>
          <w:sz w:val="36"/>
          <w:szCs w:val="36"/>
        </w:rPr>
      </w:pPr>
    </w:p>
    <w:p w14:paraId="1C2469AD" w14:textId="77777777" w:rsidR="00E73F14" w:rsidRPr="0028464B" w:rsidRDefault="00E73F14" w:rsidP="00E73F14">
      <w:pPr>
        <w:rPr>
          <w:rFonts w:cs="Arial"/>
          <w:sz w:val="36"/>
          <w:szCs w:val="36"/>
        </w:rPr>
      </w:pPr>
    </w:p>
    <w:p w14:paraId="3BF6E611" w14:textId="77777777" w:rsidR="00E73F14" w:rsidRPr="0028464B" w:rsidRDefault="00E73F14" w:rsidP="00E73F14">
      <w:pPr>
        <w:rPr>
          <w:rFonts w:cs="Arial"/>
          <w:sz w:val="36"/>
          <w:szCs w:val="36"/>
        </w:rPr>
      </w:pPr>
      <w:r w:rsidRPr="0028464B">
        <w:rPr>
          <w:rFonts w:cs="Arial"/>
          <w:sz w:val="36"/>
          <w:szCs w:val="36"/>
        </w:rPr>
        <w:t>Student Name: Katy Barron</w:t>
      </w:r>
    </w:p>
    <w:p w14:paraId="09E4FA50" w14:textId="77777777" w:rsidR="00E73F14" w:rsidRPr="0028464B" w:rsidRDefault="00E73F14" w:rsidP="00E73F14">
      <w:pPr>
        <w:rPr>
          <w:rFonts w:cs="Arial"/>
          <w:sz w:val="36"/>
          <w:szCs w:val="36"/>
        </w:rPr>
      </w:pPr>
      <w:r w:rsidRPr="0028464B">
        <w:rPr>
          <w:rFonts w:cs="Arial"/>
          <w:sz w:val="36"/>
          <w:szCs w:val="36"/>
        </w:rPr>
        <w:t xml:space="preserve">Student Number: 1811083 </w:t>
      </w:r>
    </w:p>
    <w:p w14:paraId="30638443" w14:textId="77777777" w:rsidR="00E73F14" w:rsidRPr="0028464B" w:rsidRDefault="00E73F14" w:rsidP="00E73F14">
      <w:pPr>
        <w:rPr>
          <w:rFonts w:cs="Arial"/>
          <w:sz w:val="36"/>
          <w:szCs w:val="36"/>
        </w:rPr>
      </w:pPr>
      <w:r w:rsidRPr="0028464B">
        <w:rPr>
          <w:rFonts w:cs="Arial"/>
          <w:sz w:val="36"/>
          <w:szCs w:val="36"/>
        </w:rPr>
        <w:t>CIPD Membership Number: 5339341X</w:t>
      </w:r>
    </w:p>
    <w:p w14:paraId="74D5D6D4" w14:textId="77777777" w:rsidR="00E73F14" w:rsidRPr="0028464B" w:rsidRDefault="00E73F14" w:rsidP="00E73F14">
      <w:pPr>
        <w:rPr>
          <w:rFonts w:cs="Arial"/>
          <w:sz w:val="36"/>
          <w:szCs w:val="36"/>
        </w:rPr>
      </w:pPr>
    </w:p>
    <w:p w14:paraId="4A9F70B6" w14:textId="77777777" w:rsidR="00E73F14" w:rsidRPr="0028464B" w:rsidRDefault="00E73F14" w:rsidP="00E73F14">
      <w:pPr>
        <w:rPr>
          <w:rFonts w:cs="Arial"/>
          <w:sz w:val="36"/>
          <w:szCs w:val="36"/>
        </w:rPr>
      </w:pPr>
    </w:p>
    <w:p w14:paraId="61B3CCF5" w14:textId="77777777" w:rsidR="00E73F14" w:rsidRPr="0028464B" w:rsidRDefault="00E73F14" w:rsidP="00E73F14">
      <w:pPr>
        <w:rPr>
          <w:rFonts w:cs="Arial"/>
          <w:sz w:val="36"/>
          <w:szCs w:val="36"/>
        </w:rPr>
      </w:pPr>
    </w:p>
    <w:p w14:paraId="49CAC0D9" w14:textId="77777777" w:rsidR="00E73F14" w:rsidRPr="0028464B" w:rsidRDefault="00E73F14" w:rsidP="00E73F14">
      <w:pPr>
        <w:rPr>
          <w:rFonts w:cs="Arial"/>
          <w:sz w:val="36"/>
          <w:szCs w:val="36"/>
        </w:rPr>
      </w:pPr>
      <w:r w:rsidRPr="0028464B">
        <w:rPr>
          <w:rFonts w:cs="Arial"/>
          <w:sz w:val="36"/>
          <w:szCs w:val="36"/>
        </w:rPr>
        <w:t>By signing below, I confirm that the work/evidence presented is my own, unaided work. I understand the regulations pertaining to candidate malpractice and the action that may be taken as a result.</w:t>
      </w:r>
    </w:p>
    <w:p w14:paraId="0255299D" w14:textId="77777777" w:rsidR="00E73F14" w:rsidRPr="0028464B" w:rsidRDefault="00E73F14" w:rsidP="00E73F14">
      <w:pPr>
        <w:rPr>
          <w:rFonts w:cs="Arial"/>
          <w:sz w:val="36"/>
          <w:szCs w:val="36"/>
        </w:rPr>
      </w:pPr>
    </w:p>
    <w:p w14:paraId="182A2B47" w14:textId="77777777" w:rsidR="00E73F14" w:rsidRPr="0028464B" w:rsidRDefault="00E73F14" w:rsidP="00E73F14">
      <w:pPr>
        <w:rPr>
          <w:rFonts w:cs="Arial"/>
          <w:sz w:val="36"/>
          <w:szCs w:val="36"/>
        </w:rPr>
      </w:pPr>
      <w:r w:rsidRPr="0028464B">
        <w:rPr>
          <w:rFonts w:cs="Arial"/>
          <w:sz w:val="36"/>
          <w:szCs w:val="36"/>
        </w:rPr>
        <w:t>Signed: K.L.Barron</w:t>
      </w:r>
    </w:p>
    <w:p w14:paraId="24CB01F6" w14:textId="77777777" w:rsidR="00E73F14" w:rsidRPr="0028464B" w:rsidRDefault="00E73F14" w:rsidP="00E73F14">
      <w:pPr>
        <w:rPr>
          <w:rFonts w:cs="Arial"/>
          <w:sz w:val="36"/>
          <w:szCs w:val="36"/>
        </w:rPr>
      </w:pPr>
      <w:r w:rsidRPr="0028464B">
        <w:rPr>
          <w:rFonts w:cs="Arial"/>
          <w:sz w:val="36"/>
          <w:szCs w:val="36"/>
        </w:rPr>
        <w:t xml:space="preserve">Date: </w:t>
      </w:r>
      <w:r>
        <w:rPr>
          <w:rFonts w:cs="Arial"/>
          <w:sz w:val="36"/>
          <w:szCs w:val="36"/>
        </w:rPr>
        <w:t>17/09/2019</w:t>
      </w:r>
    </w:p>
    <w:p w14:paraId="16C6400F" w14:textId="165ACF04" w:rsidR="00E73F14" w:rsidRDefault="00E73F14">
      <w:pPr>
        <w:rPr>
          <w:b/>
          <w:bCs/>
          <w:lang w:val="en-US"/>
        </w:rPr>
      </w:pPr>
    </w:p>
    <w:p w14:paraId="34C48BD8" w14:textId="7335AA91" w:rsidR="00E73F14" w:rsidRDefault="00E73F14">
      <w:pPr>
        <w:rPr>
          <w:b/>
          <w:bCs/>
          <w:lang w:val="en-US"/>
        </w:rPr>
      </w:pPr>
    </w:p>
    <w:p w14:paraId="6CDD795B" w14:textId="77777777" w:rsidR="00E73F14" w:rsidRDefault="00E73F14">
      <w:pPr>
        <w:rPr>
          <w:b/>
          <w:bCs/>
          <w:lang w:val="en-US"/>
        </w:rPr>
      </w:pPr>
    </w:p>
    <w:p w14:paraId="32C9F945" w14:textId="6E358899" w:rsidR="009C247E" w:rsidRPr="00262A02" w:rsidRDefault="00262A02">
      <w:pPr>
        <w:rPr>
          <w:b/>
          <w:bCs/>
          <w:lang w:val="en-US"/>
        </w:rPr>
      </w:pPr>
      <w:r w:rsidRPr="00262A02">
        <w:rPr>
          <w:b/>
          <w:bCs/>
          <w:lang w:val="en-US"/>
        </w:rPr>
        <w:lastRenderedPageBreak/>
        <w:t>Question 1</w:t>
      </w:r>
    </w:p>
    <w:p w14:paraId="096CABFA" w14:textId="3E8F4F34" w:rsidR="00327DBC" w:rsidRDefault="007C1C24">
      <w:pPr>
        <w:rPr>
          <w:lang w:val="en-US"/>
        </w:rPr>
      </w:pPr>
      <w:r>
        <w:rPr>
          <w:lang w:val="en-US"/>
        </w:rPr>
        <w:t>There are various nondefinitive definitions of Employee Engagement. Kahn (1990) define</w:t>
      </w:r>
      <w:r w:rsidR="00444844">
        <w:rPr>
          <w:lang w:val="en-US"/>
        </w:rPr>
        <w:t>s</w:t>
      </w:r>
      <w:r>
        <w:rPr>
          <w:lang w:val="en-US"/>
        </w:rPr>
        <w:t xml:space="preserve"> Employee </w:t>
      </w:r>
      <w:r w:rsidR="00444844">
        <w:rPr>
          <w:lang w:val="en-US"/>
        </w:rPr>
        <w:t>E</w:t>
      </w:r>
      <w:r>
        <w:rPr>
          <w:lang w:val="en-US"/>
        </w:rPr>
        <w:t xml:space="preserve">ngagement as a </w:t>
      </w:r>
      <w:r w:rsidR="001F1374">
        <w:rPr>
          <w:lang w:val="en-US"/>
        </w:rPr>
        <w:t>3-dimensional</w:t>
      </w:r>
      <w:r>
        <w:rPr>
          <w:lang w:val="en-US"/>
        </w:rPr>
        <w:t xml:space="preserve"> idea, claiming employees “express themselves, physically, cognitively and emotionally”. Expressing engagement </w:t>
      </w:r>
      <w:r w:rsidRPr="001F1374">
        <w:rPr>
          <w:b/>
          <w:bCs/>
          <w:lang w:val="en-US"/>
        </w:rPr>
        <w:t>physically</w:t>
      </w:r>
      <w:r>
        <w:rPr>
          <w:lang w:val="en-US"/>
        </w:rPr>
        <w:t xml:space="preserve"> is executed through energy and mental flexibility. </w:t>
      </w:r>
      <w:r w:rsidRPr="001F1374">
        <w:rPr>
          <w:b/>
          <w:bCs/>
          <w:lang w:val="en-US"/>
        </w:rPr>
        <w:t>Cognitive</w:t>
      </w:r>
      <w:r>
        <w:rPr>
          <w:lang w:val="en-US"/>
        </w:rPr>
        <w:t xml:space="preserve"> engagement is expressed through concentrating on the job; struggling to detach from it</w:t>
      </w:r>
      <w:r w:rsidR="00F80A60">
        <w:rPr>
          <w:lang w:val="en-US"/>
        </w:rPr>
        <w:t>;</w:t>
      </w:r>
      <w:r>
        <w:rPr>
          <w:lang w:val="en-US"/>
        </w:rPr>
        <w:t xml:space="preserve"> and finally</w:t>
      </w:r>
      <w:r w:rsidR="00F80A60">
        <w:rPr>
          <w:lang w:val="en-US"/>
        </w:rPr>
        <w:t>,</w:t>
      </w:r>
      <w:r>
        <w:rPr>
          <w:lang w:val="en-US"/>
        </w:rPr>
        <w:t xml:space="preserve"> </w:t>
      </w:r>
      <w:r w:rsidRPr="001F1374">
        <w:rPr>
          <w:b/>
          <w:bCs/>
          <w:lang w:val="en-US"/>
        </w:rPr>
        <w:t>emotional</w:t>
      </w:r>
      <w:r>
        <w:rPr>
          <w:lang w:val="en-US"/>
        </w:rPr>
        <w:t xml:space="preserve"> engagement is having great enthusiasm and pride in your work. </w:t>
      </w:r>
    </w:p>
    <w:p w14:paraId="290E5C7B" w14:textId="2C76485D" w:rsidR="007C1C24" w:rsidRDefault="00444844">
      <w:pPr>
        <w:rPr>
          <w:lang w:val="en-US"/>
        </w:rPr>
      </w:pPr>
      <w:r>
        <w:rPr>
          <w:lang w:val="en-US"/>
        </w:rPr>
        <w:t xml:space="preserve">In contrast, </w:t>
      </w:r>
      <w:r w:rsidR="007C1C24">
        <w:rPr>
          <w:lang w:val="en-US"/>
        </w:rPr>
        <w:t xml:space="preserve">the CIPD (2014) </w:t>
      </w:r>
      <w:r>
        <w:rPr>
          <w:lang w:val="en-US"/>
        </w:rPr>
        <w:t>describe</w:t>
      </w:r>
      <w:r w:rsidR="007C1C24">
        <w:rPr>
          <w:lang w:val="en-US"/>
        </w:rPr>
        <w:t xml:space="preserve"> Employee Engagement as a mixture of “commitment and willingness to the organization, values and colleagues”.</w:t>
      </w:r>
      <w:r w:rsidR="001F1374">
        <w:rPr>
          <w:lang w:val="en-US"/>
        </w:rPr>
        <w:t xml:space="preserve"> </w:t>
      </w:r>
      <w:r>
        <w:rPr>
          <w:lang w:val="en-US"/>
        </w:rPr>
        <w:t>However, si</w:t>
      </w:r>
      <w:r w:rsidR="001F1374">
        <w:rPr>
          <w:lang w:val="en-US"/>
        </w:rPr>
        <w:t xml:space="preserve">milarly to Kahn, the CIPD claim that there are 2 levels of Employee Engagement; </w:t>
      </w:r>
      <w:r w:rsidR="001F1374" w:rsidRPr="001F1374">
        <w:rPr>
          <w:b/>
          <w:bCs/>
          <w:lang w:val="en-US"/>
        </w:rPr>
        <w:t>emotional</w:t>
      </w:r>
      <w:r w:rsidR="001F1374">
        <w:rPr>
          <w:lang w:val="en-US"/>
        </w:rPr>
        <w:t xml:space="preserve"> engagement, where someone is emotionally attached to their work and </w:t>
      </w:r>
      <w:r w:rsidR="001F1374" w:rsidRPr="001F1374">
        <w:rPr>
          <w:b/>
          <w:bCs/>
          <w:lang w:val="en-US"/>
        </w:rPr>
        <w:t>transactional</w:t>
      </w:r>
      <w:r w:rsidR="001F1374">
        <w:rPr>
          <w:lang w:val="en-US"/>
        </w:rPr>
        <w:t xml:space="preserve"> engagement; someone who shows their uncommitted engagement and therefore open to leave the organization if better opportunities arise. According to the CIPD (2014) ‘Employee Engagement is more than job </w:t>
      </w:r>
      <w:r w:rsidR="00853F32">
        <w:rPr>
          <w:lang w:val="en-US"/>
        </w:rPr>
        <w:t>satisfaction;</w:t>
      </w:r>
      <w:r w:rsidR="001F1374">
        <w:rPr>
          <w:lang w:val="en-US"/>
        </w:rPr>
        <w:t xml:space="preserve"> the level of engagement is at the employee’s discretion and can’t be a requirement of the contract of employment’. </w:t>
      </w:r>
    </w:p>
    <w:p w14:paraId="26FE992D" w14:textId="1E89B835" w:rsidR="001F1374" w:rsidRDefault="001F1374">
      <w:pPr>
        <w:rPr>
          <w:lang w:val="en-US"/>
        </w:rPr>
      </w:pPr>
      <w:r>
        <w:rPr>
          <w:lang w:val="en-US"/>
        </w:rPr>
        <w:t xml:space="preserve">Organisational commitment (also referred as the psychological </w:t>
      </w:r>
      <w:r w:rsidR="00853F32">
        <w:rPr>
          <w:lang w:val="en-US"/>
        </w:rPr>
        <w:t>attachment</w:t>
      </w:r>
      <w:r>
        <w:rPr>
          <w:lang w:val="en-US"/>
        </w:rPr>
        <w:t>)</w:t>
      </w:r>
      <w:r w:rsidR="00853F32">
        <w:rPr>
          <w:lang w:val="en-US"/>
        </w:rPr>
        <w:t xml:space="preserve"> can be broken down into 3 subcategories; </w:t>
      </w:r>
      <w:r w:rsidR="00853F32" w:rsidRPr="00853F32">
        <w:rPr>
          <w:b/>
          <w:bCs/>
          <w:lang w:val="en-US"/>
        </w:rPr>
        <w:t>affective commitment</w:t>
      </w:r>
      <w:r w:rsidR="00853F32">
        <w:rPr>
          <w:lang w:val="en-US"/>
        </w:rPr>
        <w:t xml:space="preserve">, </w:t>
      </w:r>
      <w:r w:rsidR="00853F32" w:rsidRPr="00853F32">
        <w:rPr>
          <w:b/>
          <w:bCs/>
          <w:lang w:val="en-US"/>
        </w:rPr>
        <w:t>continuance</w:t>
      </w:r>
      <w:r w:rsidR="00853F32">
        <w:rPr>
          <w:lang w:val="en-US"/>
        </w:rPr>
        <w:t xml:space="preserve"> </w:t>
      </w:r>
      <w:r w:rsidR="00853F32" w:rsidRPr="00853F32">
        <w:rPr>
          <w:b/>
          <w:bCs/>
          <w:lang w:val="en-US"/>
        </w:rPr>
        <w:t>commitment</w:t>
      </w:r>
      <w:r w:rsidR="00853F32">
        <w:rPr>
          <w:lang w:val="en-US"/>
        </w:rPr>
        <w:t xml:space="preserve"> and </w:t>
      </w:r>
      <w:r w:rsidR="00853F32" w:rsidRPr="00853F32">
        <w:rPr>
          <w:b/>
          <w:bCs/>
          <w:lang w:val="en-US"/>
        </w:rPr>
        <w:t>normative</w:t>
      </w:r>
      <w:r w:rsidR="00853F32">
        <w:rPr>
          <w:lang w:val="en-US"/>
        </w:rPr>
        <w:t xml:space="preserve"> </w:t>
      </w:r>
      <w:r w:rsidR="00853F32" w:rsidRPr="00853F32">
        <w:rPr>
          <w:b/>
          <w:bCs/>
          <w:lang w:val="en-US"/>
        </w:rPr>
        <w:t>commitment</w:t>
      </w:r>
      <w:r w:rsidR="00853F32">
        <w:rPr>
          <w:lang w:val="en-US"/>
        </w:rPr>
        <w:t xml:space="preserve"> (Johns and Ellis, 2016). Affective commitment is a positive way that an employee is emotionally attached to an organization; identifying themselves with the organisational values and commit</w:t>
      </w:r>
      <w:r w:rsidR="00444844">
        <w:rPr>
          <w:lang w:val="en-US"/>
        </w:rPr>
        <w:t>s</w:t>
      </w:r>
      <w:r w:rsidR="00853F32">
        <w:rPr>
          <w:lang w:val="en-US"/>
        </w:rPr>
        <w:t xml:space="preserve"> to the </w:t>
      </w:r>
      <w:r w:rsidR="00E73F14">
        <w:rPr>
          <w:lang w:val="en-US"/>
        </w:rPr>
        <w:t>organization</w:t>
      </w:r>
      <w:r w:rsidR="00853F32">
        <w:rPr>
          <w:lang w:val="en-US"/>
        </w:rPr>
        <w:t xml:space="preserve"> on their own choosing. Continuance commitment is marginally more negative as employees within this subcategory stay employed at the organization as they feel obliged to because of the perceived departure </w:t>
      </w:r>
      <w:r w:rsidR="007753F3">
        <w:rPr>
          <w:lang w:val="en-US"/>
        </w:rPr>
        <w:t>costs</w:t>
      </w:r>
      <w:r w:rsidR="00853F32">
        <w:rPr>
          <w:lang w:val="en-US"/>
        </w:rPr>
        <w:t xml:space="preserve">. Employees with normative commitment stay at the organization </w:t>
      </w:r>
      <w:r w:rsidR="00733C39">
        <w:rPr>
          <w:lang w:val="en-US"/>
        </w:rPr>
        <w:t>as</w:t>
      </w:r>
      <w:r w:rsidR="00853F32">
        <w:rPr>
          <w:lang w:val="en-US"/>
        </w:rPr>
        <w:t xml:space="preserve"> they feel morally obliged to do so because of investment provided by the organization. </w:t>
      </w:r>
      <w:r w:rsidR="00444844">
        <w:rPr>
          <w:lang w:val="en-US"/>
        </w:rPr>
        <w:t xml:space="preserve">For example, the </w:t>
      </w:r>
      <w:r w:rsidR="00E73F14">
        <w:rPr>
          <w:lang w:val="en-US"/>
        </w:rPr>
        <w:t>organization</w:t>
      </w:r>
      <w:r w:rsidR="00444844">
        <w:rPr>
          <w:lang w:val="en-US"/>
        </w:rPr>
        <w:t xml:space="preserve"> has </w:t>
      </w:r>
      <w:r w:rsidR="00E73F14">
        <w:rPr>
          <w:lang w:val="en-US"/>
        </w:rPr>
        <w:t>paid</w:t>
      </w:r>
      <w:r w:rsidR="00444844">
        <w:rPr>
          <w:lang w:val="en-US"/>
        </w:rPr>
        <w:t xml:space="preserve"> for relevant training to fulfil their learning and development needs.</w:t>
      </w:r>
    </w:p>
    <w:p w14:paraId="1F35F377" w14:textId="718F5CE1" w:rsidR="008B424E" w:rsidRDefault="008B424E" w:rsidP="008B424E">
      <w:pPr>
        <w:rPr>
          <w:lang w:val="en-US"/>
        </w:rPr>
      </w:pPr>
      <w:r>
        <w:rPr>
          <w:lang w:val="en-US"/>
        </w:rPr>
        <w:t xml:space="preserve">Disengaged employee can </w:t>
      </w:r>
      <w:r w:rsidR="00E73F14">
        <w:rPr>
          <w:lang w:val="en-US"/>
        </w:rPr>
        <w:t>influence</w:t>
      </w:r>
      <w:r>
        <w:rPr>
          <w:lang w:val="en-US"/>
        </w:rPr>
        <w:t xml:space="preserve"> attracting talent, workplace wellbeing, absence levels, productivity/motivation, presenteeism and safety. The 7 dimensions that influence job quality are seen in Figure 1.1.</w:t>
      </w:r>
    </w:p>
    <w:p w14:paraId="6EA027B4" w14:textId="77777777" w:rsidR="000262A3" w:rsidRDefault="000262A3" w:rsidP="008B424E">
      <w:pPr>
        <w:rPr>
          <w:lang w:val="en-US"/>
        </w:rPr>
      </w:pPr>
    </w:p>
    <w:p w14:paraId="4E77B3F7" w14:textId="2B2968A4" w:rsidR="008B424E" w:rsidRDefault="008B424E" w:rsidP="008B424E">
      <w:pPr>
        <w:rPr>
          <w:lang w:val="en-US"/>
        </w:rPr>
      </w:pPr>
      <w:r w:rsidRPr="008B424E">
        <w:rPr>
          <w:noProof/>
        </w:rPr>
        <w:drawing>
          <wp:inline distT="0" distB="0" distL="0" distR="0" wp14:anchorId="1F35E061" wp14:editId="3BF08082">
            <wp:extent cx="5730240" cy="194310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0240" cy="1943100"/>
                    </a:xfrm>
                    <a:prstGeom prst="rect">
                      <a:avLst/>
                    </a:prstGeom>
                    <a:noFill/>
                    <a:ln>
                      <a:noFill/>
                    </a:ln>
                  </pic:spPr>
                </pic:pic>
              </a:graphicData>
            </a:graphic>
          </wp:inline>
        </w:drawing>
      </w:r>
    </w:p>
    <w:p w14:paraId="168DCAF9" w14:textId="77777777" w:rsidR="000262A3" w:rsidRDefault="000262A3" w:rsidP="008B424E">
      <w:pPr>
        <w:rPr>
          <w:lang w:val="en-US"/>
        </w:rPr>
      </w:pPr>
    </w:p>
    <w:p w14:paraId="02CA6D6C" w14:textId="147ECDE0" w:rsidR="000262A3" w:rsidRDefault="000262A3" w:rsidP="008B424E">
      <w:pPr>
        <w:rPr>
          <w:lang w:val="en-US"/>
        </w:rPr>
      </w:pPr>
    </w:p>
    <w:p w14:paraId="5FACCB43" w14:textId="77777777" w:rsidR="00262A02" w:rsidRDefault="00262A02" w:rsidP="008B424E">
      <w:pPr>
        <w:rPr>
          <w:lang w:val="en-US"/>
        </w:rPr>
      </w:pPr>
    </w:p>
    <w:p w14:paraId="0AC238A6" w14:textId="77777777" w:rsidR="000262A3" w:rsidRDefault="000262A3" w:rsidP="008B424E">
      <w:pPr>
        <w:rPr>
          <w:lang w:val="en-US"/>
        </w:rPr>
      </w:pPr>
    </w:p>
    <w:p w14:paraId="347D874A" w14:textId="684A7047" w:rsidR="008B424E" w:rsidRDefault="008B424E" w:rsidP="008B424E">
      <w:pPr>
        <w:rPr>
          <w:lang w:val="en-US"/>
        </w:rPr>
      </w:pPr>
      <w:r>
        <w:rPr>
          <w:lang w:val="en-US"/>
        </w:rPr>
        <w:lastRenderedPageBreak/>
        <w:t>The 7 dimensions link with Maslow’s Hierarchy of Needs (1954) and Adams’ Equity Theory (1963).</w:t>
      </w:r>
    </w:p>
    <w:p w14:paraId="1B216EA0" w14:textId="6C9DB522" w:rsidR="000262A3" w:rsidRDefault="000262A3" w:rsidP="008B424E">
      <w:pPr>
        <w:rPr>
          <w:lang w:val="en-US"/>
        </w:rPr>
      </w:pPr>
      <w:r>
        <w:rPr>
          <w:noProof/>
        </w:rPr>
        <w:drawing>
          <wp:inline distT="0" distB="0" distL="0" distR="0" wp14:anchorId="793ABE5A" wp14:editId="5DA57D34">
            <wp:extent cx="5486400" cy="3200400"/>
            <wp:effectExtent l="0" t="1905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1A468A57" w14:textId="77777777" w:rsidR="008B424E" w:rsidRDefault="008B424E">
      <w:pPr>
        <w:rPr>
          <w:lang w:val="en-US"/>
        </w:rPr>
      </w:pPr>
    </w:p>
    <w:p w14:paraId="2C47C900" w14:textId="612FD2F4" w:rsidR="000262A3" w:rsidRDefault="000262A3">
      <w:pPr>
        <w:rPr>
          <w:lang w:val="en-US"/>
        </w:rPr>
      </w:pPr>
      <w:r>
        <w:rPr>
          <w:lang w:val="en-US"/>
        </w:rPr>
        <w:t>Psychological needs are the basic needs of an employee such as knowing the location of the toilet, staff room and fire exits and procedures. Safety needs are abiding by health and safety laws, policies and procedure, correct and serviced equipment, job security and a positive culture. Love and belongingness are friendships with peers and sense of connection. Esteem needs are where employees have recognition, responsibilities and status and finally the self-actualization is personal growth; the desire to be the best (Maslow’s Hierarchy of Needs, 1954).</w:t>
      </w:r>
    </w:p>
    <w:p w14:paraId="0CD36934" w14:textId="640C9ACE" w:rsidR="000262A3" w:rsidRDefault="000262A3">
      <w:pPr>
        <w:rPr>
          <w:lang w:val="en-US"/>
        </w:rPr>
      </w:pPr>
      <w:r>
        <w:rPr>
          <w:lang w:val="en-US"/>
        </w:rPr>
        <w:t>Adams’ Equity Theory (1963) is where employees are demotivated by the lack of output; if their own or others input is greater than their output. Adams shows the importance of fairness with performance and rewards.</w:t>
      </w:r>
    </w:p>
    <w:p w14:paraId="1047198F" w14:textId="0891D4E9" w:rsidR="00733C39" w:rsidRDefault="00733C39">
      <w:pPr>
        <w:rPr>
          <w:lang w:val="en-US"/>
        </w:rPr>
      </w:pPr>
      <w:r>
        <w:rPr>
          <w:lang w:val="en-US"/>
        </w:rPr>
        <w:t>Johns and Ellis (20</w:t>
      </w:r>
      <w:r w:rsidR="004321ED">
        <w:rPr>
          <w:lang w:val="en-US"/>
        </w:rPr>
        <w:t>1</w:t>
      </w:r>
      <w:r>
        <w:rPr>
          <w:lang w:val="en-US"/>
        </w:rPr>
        <w:t xml:space="preserve">6) claim that engaged employees lead to decrease levels of burnout and neuroticism and increase levels of extraversion in comparison with ‘typical’ workforces. Importantly, employee engagement is about the overall performance and outcomes of the </w:t>
      </w:r>
      <w:r w:rsidR="00E73F14">
        <w:rPr>
          <w:lang w:val="en-US"/>
        </w:rPr>
        <w:t>organization</w:t>
      </w:r>
      <w:r w:rsidR="006E28FB">
        <w:rPr>
          <w:lang w:val="en-US"/>
        </w:rPr>
        <w:t xml:space="preserve">; it is the </w:t>
      </w:r>
      <w:r w:rsidR="00F80A60">
        <w:rPr>
          <w:lang w:val="en-US"/>
        </w:rPr>
        <w:t>employees’</w:t>
      </w:r>
      <w:r w:rsidR="006E28FB">
        <w:rPr>
          <w:lang w:val="en-US"/>
        </w:rPr>
        <w:t xml:space="preserve"> discretion on how much more they are giving the </w:t>
      </w:r>
      <w:r w:rsidR="00E73F14">
        <w:rPr>
          <w:lang w:val="en-US"/>
        </w:rPr>
        <w:t>organization</w:t>
      </w:r>
      <w:r w:rsidR="006E28FB">
        <w:rPr>
          <w:lang w:val="en-US"/>
        </w:rPr>
        <w:t xml:space="preserve"> outside of their written job description. Employers must understand that engaged employees aren’t a product of job satisfaction; employees may be happy with their work, but the standard of work produced may not be meaningful. In conclusion, job satisfaction doesn’t automatically lead to high performance. </w:t>
      </w:r>
    </w:p>
    <w:p w14:paraId="12AC3DFF" w14:textId="77777777" w:rsidR="006E28FB" w:rsidRDefault="006E28FB">
      <w:pPr>
        <w:rPr>
          <w:lang w:val="en-US"/>
        </w:rPr>
      </w:pPr>
      <w:r>
        <w:rPr>
          <w:lang w:val="en-US"/>
        </w:rPr>
        <w:t>Purcell (2010) claims that the “building blocks of engagement” are common factors relating to employee engagement. The building blocks can be seen in figure 1.1.</w:t>
      </w:r>
    </w:p>
    <w:p w14:paraId="74D31834" w14:textId="44655AB6" w:rsidR="006E28FB" w:rsidRPr="006E28FB" w:rsidRDefault="008B424E">
      <w:pPr>
        <w:rPr>
          <w:noProof/>
        </w:rPr>
      </w:pPr>
      <w:r w:rsidRPr="008B424E">
        <w:rPr>
          <w:noProof/>
        </w:rPr>
        <w:lastRenderedPageBreak/>
        <w:drawing>
          <wp:inline distT="0" distB="0" distL="0" distR="0" wp14:anchorId="7BD3123F" wp14:editId="7BB6939C">
            <wp:extent cx="5730240" cy="187452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0240" cy="1874520"/>
                    </a:xfrm>
                    <a:prstGeom prst="rect">
                      <a:avLst/>
                    </a:prstGeom>
                    <a:noFill/>
                    <a:ln>
                      <a:noFill/>
                    </a:ln>
                  </pic:spPr>
                </pic:pic>
              </a:graphicData>
            </a:graphic>
          </wp:inline>
        </w:drawing>
      </w:r>
    </w:p>
    <w:p w14:paraId="61548869" w14:textId="1BAA5E63" w:rsidR="00C541F9" w:rsidRDefault="006B2C62">
      <w:pPr>
        <w:rPr>
          <w:lang w:val="en-US"/>
        </w:rPr>
      </w:pPr>
      <w:r>
        <w:rPr>
          <w:lang w:val="en-US"/>
        </w:rPr>
        <w:t xml:space="preserve">The above factors support the importance of HRM policies and practices and ensure good management and employee relationships in the </w:t>
      </w:r>
      <w:r w:rsidR="00E73F14">
        <w:rPr>
          <w:lang w:val="en-US"/>
        </w:rPr>
        <w:t>organization</w:t>
      </w:r>
      <w:r>
        <w:rPr>
          <w:lang w:val="en-US"/>
        </w:rPr>
        <w:t xml:space="preserve">; supported by trust and contribution to the contractual terms and conditions. </w:t>
      </w:r>
    </w:p>
    <w:p w14:paraId="0302185D" w14:textId="77777777" w:rsidR="006B2C62" w:rsidRDefault="006B2C62" w:rsidP="006B2C62">
      <w:pPr>
        <w:rPr>
          <w:lang w:val="en-US"/>
        </w:rPr>
      </w:pPr>
      <w:r>
        <w:rPr>
          <w:lang w:val="en-US"/>
        </w:rPr>
        <w:t>In 2009 the MacLeod report was published; identifying 4 enablers of engagement. These enablers, with Purcell’s (2009) research indicates the role managers have in ensuring engagement culture in the workplace. Figure 1.2 outline the 4 enablers of employee engagement.</w:t>
      </w:r>
    </w:p>
    <w:p w14:paraId="026D50B3" w14:textId="0FDA8E1A" w:rsidR="006B2C62" w:rsidRDefault="008B424E" w:rsidP="006B2C62">
      <w:pPr>
        <w:rPr>
          <w:lang w:val="en-US"/>
        </w:rPr>
      </w:pPr>
      <w:r w:rsidRPr="008B424E">
        <w:rPr>
          <w:noProof/>
        </w:rPr>
        <w:drawing>
          <wp:inline distT="0" distB="0" distL="0" distR="0" wp14:anchorId="00EAA52E" wp14:editId="06280A9F">
            <wp:extent cx="5730240" cy="337566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0240" cy="3375660"/>
                    </a:xfrm>
                    <a:prstGeom prst="rect">
                      <a:avLst/>
                    </a:prstGeom>
                    <a:noFill/>
                    <a:ln>
                      <a:noFill/>
                    </a:ln>
                  </pic:spPr>
                </pic:pic>
              </a:graphicData>
            </a:graphic>
          </wp:inline>
        </w:drawing>
      </w:r>
    </w:p>
    <w:p w14:paraId="7E293234" w14:textId="48E1D1AA" w:rsidR="006B2C62" w:rsidRDefault="00AA75A6" w:rsidP="006B2C62">
      <w:pPr>
        <w:rPr>
          <w:lang w:val="en-US"/>
        </w:rPr>
      </w:pPr>
      <w:r>
        <w:rPr>
          <w:lang w:val="en-US"/>
        </w:rPr>
        <w:t xml:space="preserve">Robert and Hayday (2009) reported for the Institute of Employment Studies (IES) that 25 managers from 7 </w:t>
      </w:r>
      <w:r w:rsidR="00262A02">
        <w:rPr>
          <w:lang w:val="en-US"/>
        </w:rPr>
        <w:t>organizations</w:t>
      </w:r>
      <w:r>
        <w:rPr>
          <w:lang w:val="en-US"/>
        </w:rPr>
        <w:t xml:space="preserve"> identified as ‘engaging managers’</w:t>
      </w:r>
      <w:r w:rsidR="004321ED">
        <w:rPr>
          <w:lang w:val="en-US"/>
        </w:rPr>
        <w:t xml:space="preserve"> during research om how managers get their staff to engage and perform. However, </w:t>
      </w:r>
      <w:r>
        <w:rPr>
          <w:lang w:val="en-US"/>
        </w:rPr>
        <w:t xml:space="preserve">with </w:t>
      </w:r>
      <w:r w:rsidR="004321ED">
        <w:rPr>
          <w:lang w:val="en-US"/>
        </w:rPr>
        <w:t xml:space="preserve">various factor such as job roles, training and personalities they all had similar </w:t>
      </w:r>
      <w:r w:rsidR="00262A02">
        <w:rPr>
          <w:lang w:val="en-US"/>
        </w:rPr>
        <w:t>behaviors</w:t>
      </w:r>
      <w:r w:rsidR="004321ED">
        <w:rPr>
          <w:lang w:val="en-US"/>
        </w:rPr>
        <w:t xml:space="preserve"> of engaging employees. </w:t>
      </w:r>
      <w:r w:rsidR="00262A02">
        <w:rPr>
          <w:lang w:val="en-US"/>
        </w:rPr>
        <w:t>Behaviors</w:t>
      </w:r>
      <w:r w:rsidR="004321ED">
        <w:rPr>
          <w:lang w:val="en-US"/>
        </w:rPr>
        <w:t xml:space="preserve"> such as, communication and clarity, listening and involving staff, target focuses, respecting and trusting and acting as good role models to their employees. The managers involved in this study were shown to have high-performing and highly engaged teams. Therefore, the more engaged the managers, the more engaged the employees (John and Ellis, 2016).</w:t>
      </w:r>
    </w:p>
    <w:p w14:paraId="0D78019C" w14:textId="77777777" w:rsidR="006B2C62" w:rsidRDefault="006B2C62" w:rsidP="006B2C62">
      <w:pPr>
        <w:rPr>
          <w:lang w:val="en-US"/>
        </w:rPr>
      </w:pPr>
    </w:p>
    <w:p w14:paraId="60CDE599" w14:textId="77777777" w:rsidR="00262A02" w:rsidRDefault="00262A02" w:rsidP="00283217">
      <w:pPr>
        <w:rPr>
          <w:lang w:val="en-US"/>
        </w:rPr>
      </w:pPr>
    </w:p>
    <w:p w14:paraId="1EF2F6B5" w14:textId="33AF2291" w:rsidR="00283217" w:rsidRDefault="00262A02" w:rsidP="00283217">
      <w:pPr>
        <w:rPr>
          <w:lang w:val="en-US"/>
        </w:rPr>
      </w:pPr>
      <w:r>
        <w:rPr>
          <w:lang w:val="en-US"/>
        </w:rPr>
        <w:lastRenderedPageBreak/>
        <w:t>Question 2</w:t>
      </w:r>
    </w:p>
    <w:p w14:paraId="7F244150" w14:textId="6594A16F" w:rsidR="00283217" w:rsidRDefault="00283217" w:rsidP="00283217">
      <w:pPr>
        <w:rPr>
          <w:lang w:val="en-US"/>
        </w:rPr>
      </w:pPr>
      <w:r>
        <w:rPr>
          <w:lang w:val="en-US"/>
        </w:rPr>
        <w:t xml:space="preserve">The 4 factors stated in the MacLeod (2009) report are enhanced by the contribution of effective performance management (PM) (ACAS, 2014). Particularly, the leadership factor as this controls how employees contribute to the </w:t>
      </w:r>
      <w:r w:rsidR="00E73F14">
        <w:rPr>
          <w:lang w:val="en-US"/>
        </w:rPr>
        <w:t>organizations</w:t>
      </w:r>
      <w:r>
        <w:rPr>
          <w:lang w:val="en-US"/>
        </w:rPr>
        <w:t xml:space="preserve"> vision and values. PM reviews and meetings such as probation and appraisals allow managers to work with their employers to ensure that their individual goals align with the departmental goal and the organisation</w:t>
      </w:r>
      <w:r w:rsidR="00444844">
        <w:rPr>
          <w:lang w:val="en-US"/>
        </w:rPr>
        <w:t>al</w:t>
      </w:r>
      <w:r>
        <w:rPr>
          <w:lang w:val="en-US"/>
        </w:rPr>
        <w:t xml:space="preserve"> goals, values and </w:t>
      </w:r>
      <w:r w:rsidR="00E73F14">
        <w:rPr>
          <w:lang w:val="en-US"/>
        </w:rPr>
        <w:t>behaviors</w:t>
      </w:r>
      <w:r>
        <w:rPr>
          <w:lang w:val="en-US"/>
        </w:rPr>
        <w:t>.</w:t>
      </w:r>
      <w:r w:rsidR="00B475EA">
        <w:rPr>
          <w:lang w:val="en-US"/>
        </w:rPr>
        <w:t xml:space="preserve"> Line </w:t>
      </w:r>
    </w:p>
    <w:p w14:paraId="7BC47F8F" w14:textId="2F60EDC9" w:rsidR="00E86FDC" w:rsidRDefault="00E86FDC" w:rsidP="00283217">
      <w:pPr>
        <w:rPr>
          <w:lang w:val="en-US"/>
        </w:rPr>
      </w:pPr>
      <w:r>
        <w:rPr>
          <w:lang w:val="en-US"/>
        </w:rPr>
        <w:t xml:space="preserve">ACAS (2012) that the current climate has a low culture of trust in employers. However, high levels of trust have been seen to be beneficial within </w:t>
      </w:r>
      <w:r w:rsidR="00E73F14">
        <w:rPr>
          <w:lang w:val="en-US"/>
        </w:rPr>
        <w:t>organizations</w:t>
      </w:r>
      <w:r>
        <w:rPr>
          <w:lang w:val="en-US"/>
        </w:rPr>
        <w:t xml:space="preserve"> and is therefore important that employers develop the trust within. Employees who trust their </w:t>
      </w:r>
      <w:r w:rsidR="00E73F14">
        <w:rPr>
          <w:lang w:val="en-US"/>
        </w:rPr>
        <w:t>organizations</w:t>
      </w:r>
      <w:r>
        <w:rPr>
          <w:lang w:val="en-US"/>
        </w:rPr>
        <w:t xml:space="preserve"> result in working well as teams and sharing information; leading to greater job satisfaction (CIPD, 2012). </w:t>
      </w:r>
    </w:p>
    <w:p w14:paraId="7A67494C" w14:textId="1EC8AFE2" w:rsidR="00B475EA" w:rsidRDefault="00B475EA" w:rsidP="00283217">
      <w:pPr>
        <w:rPr>
          <w:lang w:val="en-US"/>
        </w:rPr>
      </w:pPr>
      <w:r>
        <w:rPr>
          <w:lang w:val="en-US"/>
        </w:rPr>
        <w:t xml:space="preserve">Leaders of an </w:t>
      </w:r>
      <w:r w:rsidR="00E73F14">
        <w:rPr>
          <w:lang w:val="en-US"/>
        </w:rPr>
        <w:t>organization</w:t>
      </w:r>
      <w:r>
        <w:rPr>
          <w:lang w:val="en-US"/>
        </w:rPr>
        <w:t xml:space="preserve"> set the climate of trust through their actions and </w:t>
      </w:r>
      <w:r w:rsidR="00E73F14">
        <w:rPr>
          <w:lang w:val="en-US"/>
        </w:rPr>
        <w:t>behaviors</w:t>
      </w:r>
      <w:r>
        <w:rPr>
          <w:lang w:val="en-US"/>
        </w:rPr>
        <w:t xml:space="preserve">. </w:t>
      </w:r>
      <w:r w:rsidR="00CC2152">
        <w:rPr>
          <w:lang w:val="en-US"/>
        </w:rPr>
        <w:t>Staff at leadership level</w:t>
      </w:r>
      <w:r>
        <w:rPr>
          <w:lang w:val="en-US"/>
        </w:rPr>
        <w:t xml:space="preserve"> are role model for how their employees should behave in the workplace and </w:t>
      </w:r>
      <w:r w:rsidR="00CC2152">
        <w:rPr>
          <w:lang w:val="en-US"/>
        </w:rPr>
        <w:t>they set the standard of trust (ACAS, 2012).</w:t>
      </w:r>
    </w:p>
    <w:p w14:paraId="1BC538B3" w14:textId="58A3FF6C" w:rsidR="00B475EA" w:rsidRDefault="00E92D25" w:rsidP="00283217">
      <w:pPr>
        <w:rPr>
          <w:lang w:val="en-US"/>
        </w:rPr>
      </w:pPr>
      <w:r>
        <w:rPr>
          <w:lang w:val="en-US"/>
        </w:rPr>
        <w:t xml:space="preserve">Line managers can increase trust when providing feedback and setting goals </w:t>
      </w:r>
      <w:r w:rsidR="00E73F14">
        <w:rPr>
          <w:lang w:val="en-US"/>
        </w:rPr>
        <w:t>and</w:t>
      </w:r>
      <w:r>
        <w:rPr>
          <w:lang w:val="en-US"/>
        </w:rPr>
        <w:t xml:space="preserve"> objectives during PM and showing interest in the employees through supporting their health and wellbeing and trusting them with responsibilities (ACAS, 2012).</w:t>
      </w:r>
      <w:r w:rsidR="00E86FDC">
        <w:rPr>
          <w:lang w:val="en-US"/>
        </w:rPr>
        <w:t xml:space="preserve"> Managers are also able to reinforce, motivate and acknowledge the work and commitment of their staff (ACAS, 2014).</w:t>
      </w:r>
    </w:p>
    <w:p w14:paraId="15DABAD9" w14:textId="0BF234D7" w:rsidR="00E92D25" w:rsidRDefault="00E92D25" w:rsidP="00283217">
      <w:pPr>
        <w:rPr>
          <w:lang w:val="en-US"/>
        </w:rPr>
      </w:pPr>
      <w:r>
        <w:rPr>
          <w:lang w:val="en-US"/>
        </w:rPr>
        <w:t>Employees can voice their views and opinions and trust is crucial for honest employee voice (ACAS, 2014). If there is no trust, employees struggle in being open and honest and makes the likelihood for managers to be honest and open about organisational change and information unlikely (ACAS, 2012).</w:t>
      </w:r>
    </w:p>
    <w:p w14:paraId="2227A157" w14:textId="0B0C5A77" w:rsidR="00E92D25" w:rsidRDefault="00E92D25" w:rsidP="00283217">
      <w:r>
        <w:t xml:space="preserve">ACAS (2012) say that the final essential factor to an engaged workforce is </w:t>
      </w:r>
      <w:r w:rsidR="00E86FDC">
        <w:t xml:space="preserve">integrity. </w:t>
      </w:r>
      <w:r w:rsidR="00E73F14">
        <w:t>Leadership</w:t>
      </w:r>
      <w:r w:rsidR="00E86FDC">
        <w:t xml:space="preserve"> behaviours and organisation values must align to ensure increase of trust; this allows employees to decide on trusting leaders and management or not (MacLeod and Clarke, 2009).</w:t>
      </w:r>
    </w:p>
    <w:p w14:paraId="63547B07" w14:textId="4D49318E" w:rsidR="00283217" w:rsidRDefault="007650D3" w:rsidP="00283217">
      <w:pPr>
        <w:rPr>
          <w:lang w:val="en-US"/>
        </w:rPr>
      </w:pPr>
      <w:r>
        <w:rPr>
          <w:lang w:val="en-US"/>
        </w:rPr>
        <w:t xml:space="preserve">Organisational culture impacts </w:t>
      </w:r>
      <w:r w:rsidR="00444844">
        <w:rPr>
          <w:lang w:val="en-US"/>
        </w:rPr>
        <w:t>on</w:t>
      </w:r>
      <w:r>
        <w:rPr>
          <w:lang w:val="en-US"/>
        </w:rPr>
        <w:t xml:space="preserve"> how </w:t>
      </w:r>
      <w:r w:rsidR="00E73F14">
        <w:rPr>
          <w:lang w:val="en-US"/>
        </w:rPr>
        <w:t>organizations</w:t>
      </w:r>
      <w:r>
        <w:rPr>
          <w:lang w:val="en-US"/>
        </w:rPr>
        <w:t xml:space="preserve"> work. Good organisational culture is crucial for organisational performance and is often a priority in workplaces (CIPD, 2011).</w:t>
      </w:r>
    </w:p>
    <w:p w14:paraId="7FCA1AF0" w14:textId="4D27A79D" w:rsidR="007650D3" w:rsidRDefault="007650D3" w:rsidP="00283217">
      <w:pPr>
        <w:rPr>
          <w:lang w:val="en-US"/>
        </w:rPr>
      </w:pPr>
      <w:r>
        <w:rPr>
          <w:lang w:val="en-US"/>
        </w:rPr>
        <w:t xml:space="preserve">The culture within an </w:t>
      </w:r>
      <w:r w:rsidR="00E73F14">
        <w:rPr>
          <w:lang w:val="en-US"/>
        </w:rPr>
        <w:t>organization</w:t>
      </w:r>
      <w:r>
        <w:rPr>
          <w:lang w:val="en-US"/>
        </w:rPr>
        <w:t xml:space="preserve"> is influenced by management; how information if shared (e.g.  using the top-down or bottom-up approach), when meetings are held (e.g. not eating into staff breaks) all effect the </w:t>
      </w:r>
      <w:r w:rsidR="00DC6E15">
        <w:rPr>
          <w:lang w:val="en-US"/>
        </w:rPr>
        <w:t>general atmosphere of the workplace (ACAS, 2014).</w:t>
      </w:r>
    </w:p>
    <w:p w14:paraId="5F616504" w14:textId="03EF7F2F" w:rsidR="00DC6E15" w:rsidRDefault="00DC6E15" w:rsidP="00283217">
      <w:pPr>
        <w:rPr>
          <w:lang w:val="en-US"/>
        </w:rPr>
      </w:pPr>
      <w:r>
        <w:rPr>
          <w:lang w:val="en-US"/>
        </w:rPr>
        <w:t>According to ACAS (2011), introducing policies and practices to manage and prevent problems can work, however managers who use their own initiative has better effect. Employers who make themselves accessible and encourage informal conversations has a positive effect on the organisational culture.</w:t>
      </w:r>
    </w:p>
    <w:p w14:paraId="7919A355" w14:textId="546AFB82" w:rsidR="004329CC" w:rsidRDefault="00E86FDC" w:rsidP="00283217">
      <w:pPr>
        <w:rPr>
          <w:lang w:val="en-US"/>
        </w:rPr>
      </w:pPr>
      <w:r>
        <w:rPr>
          <w:lang w:val="en-US"/>
        </w:rPr>
        <w:t xml:space="preserve">In ACAS (2012) report on Placing Trust in Employee Engagement, it is said that certain </w:t>
      </w:r>
      <w:r w:rsidR="00E73F14">
        <w:rPr>
          <w:lang w:val="en-US"/>
        </w:rPr>
        <w:t>behaviors</w:t>
      </w:r>
      <w:r>
        <w:rPr>
          <w:lang w:val="en-US"/>
        </w:rPr>
        <w:t xml:space="preserve"> and activities lead to trust lead culture. Workplaces with high trust levels should be consciously informing employees of organisational strategies, changes and information, enfor</w:t>
      </w:r>
      <w:r w:rsidR="00C33477">
        <w:rPr>
          <w:lang w:val="en-US"/>
        </w:rPr>
        <w:t>c</w:t>
      </w:r>
      <w:r>
        <w:rPr>
          <w:lang w:val="en-US"/>
        </w:rPr>
        <w:t xml:space="preserve">e employee influenced decision making </w:t>
      </w:r>
      <w:r w:rsidR="00C33477">
        <w:rPr>
          <w:lang w:val="en-US"/>
        </w:rPr>
        <w:t>and</w:t>
      </w:r>
      <w:r>
        <w:rPr>
          <w:lang w:val="en-US"/>
        </w:rPr>
        <w:t xml:space="preserve"> develop</w:t>
      </w:r>
      <w:r w:rsidR="00C33477">
        <w:rPr>
          <w:lang w:val="en-US"/>
        </w:rPr>
        <w:t>ing</w:t>
      </w:r>
      <w:r>
        <w:rPr>
          <w:lang w:val="en-US"/>
        </w:rPr>
        <w:t xml:space="preserve"> management and team skills</w:t>
      </w:r>
      <w:r w:rsidR="00C33477">
        <w:rPr>
          <w:lang w:val="en-US"/>
        </w:rPr>
        <w:t>.</w:t>
      </w:r>
    </w:p>
    <w:p w14:paraId="04D6E710" w14:textId="1E5BB971" w:rsidR="002C53AB" w:rsidRDefault="002C53AB" w:rsidP="00283217">
      <w:pPr>
        <w:rPr>
          <w:lang w:val="en-US"/>
        </w:rPr>
      </w:pPr>
      <w:r>
        <w:rPr>
          <w:lang w:val="en-US"/>
        </w:rPr>
        <w:t xml:space="preserve">Guest (2015) suggests that </w:t>
      </w:r>
      <w:r w:rsidRPr="002C53AB">
        <w:t>organisations</w:t>
      </w:r>
      <w:r>
        <w:rPr>
          <w:lang w:val="en-US"/>
        </w:rPr>
        <w:t xml:space="preserve"> must have a clear strategy in order increase engagement in the workplace. The strategy must reinforce the importance of managers involvement with promoting engaging values, ensure all employees are treated fairly and with trust, reinforcing engagement through recruitment processes; embedding the </w:t>
      </w:r>
      <w:r w:rsidRPr="002C53AB">
        <w:t>organisations</w:t>
      </w:r>
      <w:r>
        <w:rPr>
          <w:lang w:val="en-US"/>
        </w:rPr>
        <w:t xml:space="preserve"> values and behaviors in </w:t>
      </w:r>
      <w:r>
        <w:rPr>
          <w:lang w:val="en-US"/>
        </w:rPr>
        <w:lastRenderedPageBreak/>
        <w:t>job descriptions and throughout employment, and finally, continuously monitoring the levels of engagement, through surveys and feedback.</w:t>
      </w:r>
    </w:p>
    <w:p w14:paraId="3FE5EB4F" w14:textId="100329C7" w:rsidR="002C53AB" w:rsidRDefault="002C53AB" w:rsidP="00283217">
      <w:pPr>
        <w:rPr>
          <w:lang w:val="en-US"/>
        </w:rPr>
      </w:pPr>
      <w:r>
        <w:rPr>
          <w:lang w:val="en-US"/>
        </w:rPr>
        <w:t xml:space="preserve">The Sunday Times released an article of the top 100 companies to work for. One of which is </w:t>
      </w:r>
      <w:r w:rsidR="00896136">
        <w:rPr>
          <w:lang w:val="en-US"/>
        </w:rPr>
        <w:t>Postcode Lottery. Postcode Lottery concentrate on employee’s wellbeing; providing them with private healthcare and access to counselling and CBT focusing on mental and physical health. 99% of staff agreed that the company encourages charitable events. Every year employees participate in charitable activities in order to raise money for children’s charities. As well as those, the charity aims for sustainability in all aspects of their work. Their values surround how they “treat the earth, nature and people”. 96% of their employees are proud to work for their organization. This strategy is proven to encourage engagement within Postcode Lottery.</w:t>
      </w:r>
    </w:p>
    <w:p w14:paraId="6466728F" w14:textId="77777777" w:rsidR="00262A02" w:rsidRDefault="00262A02" w:rsidP="00283217">
      <w:pPr>
        <w:rPr>
          <w:lang w:val="en-US"/>
        </w:rPr>
      </w:pPr>
    </w:p>
    <w:p w14:paraId="0278BB4C" w14:textId="12B04992" w:rsidR="00DC6E15" w:rsidRPr="00262A02" w:rsidRDefault="00262A02" w:rsidP="00262A02">
      <w:pPr>
        <w:rPr>
          <w:b/>
          <w:bCs/>
          <w:lang w:val="en-US"/>
        </w:rPr>
      </w:pPr>
      <w:r>
        <w:rPr>
          <w:b/>
          <w:bCs/>
          <w:lang w:val="en-US"/>
        </w:rPr>
        <w:t>Question 3</w:t>
      </w:r>
    </w:p>
    <w:p w14:paraId="0FE6CDEE" w14:textId="68C928A5" w:rsidR="00DC6E15" w:rsidRDefault="00DC6E15" w:rsidP="00DC6E15">
      <w:pPr>
        <w:rPr>
          <w:lang w:val="en-US"/>
        </w:rPr>
      </w:pPr>
    </w:p>
    <w:p w14:paraId="08293B07" w14:textId="6C8DBF28" w:rsidR="00DC6E15" w:rsidRDefault="00DC6E15" w:rsidP="00DC6E15">
      <w:pPr>
        <w:rPr>
          <w:lang w:val="en-US"/>
        </w:rPr>
      </w:pPr>
      <w:r>
        <w:rPr>
          <w:lang w:val="en-US"/>
        </w:rPr>
        <w:t>The CIPD (2019)</w:t>
      </w:r>
      <w:r w:rsidR="00880B50">
        <w:rPr>
          <w:lang w:val="en-US"/>
        </w:rPr>
        <w:t xml:space="preserve"> describe employee communication as a vital factor for HR. Successful internal communication enhances the trust between employees and employers and has greater results on the employee engagement, organisational culture, PM and productivity; which leads to good operation, leadership, strategy and values.</w:t>
      </w:r>
    </w:p>
    <w:p w14:paraId="14EB5BD1" w14:textId="7F9F4726" w:rsidR="00880B50" w:rsidRDefault="00880B50" w:rsidP="00DC6E15">
      <w:pPr>
        <w:rPr>
          <w:lang w:val="en-US"/>
        </w:rPr>
      </w:pPr>
      <w:r>
        <w:rPr>
          <w:lang w:val="en-US"/>
        </w:rPr>
        <w:t xml:space="preserve">Internal employee communication strategies </w:t>
      </w:r>
      <w:r w:rsidR="00094821">
        <w:rPr>
          <w:lang w:val="en-US"/>
        </w:rPr>
        <w:t xml:space="preserve">help with the organisational culture as it’s supported by senior leadership, regularly reviewed for its’ effectiveness and aligns with the </w:t>
      </w:r>
      <w:r w:rsidR="004A3AB3">
        <w:rPr>
          <w:lang w:val="en-US"/>
        </w:rPr>
        <w:t>organisational</w:t>
      </w:r>
      <w:r w:rsidR="00094821">
        <w:rPr>
          <w:lang w:val="en-US"/>
        </w:rPr>
        <w:t xml:space="preserve"> strategy.</w:t>
      </w:r>
    </w:p>
    <w:p w14:paraId="3F2EFA10" w14:textId="3AB0D842" w:rsidR="00094821" w:rsidRDefault="00094821" w:rsidP="00DC6E15">
      <w:pPr>
        <w:rPr>
          <w:lang w:val="en-US"/>
        </w:rPr>
      </w:pPr>
      <w:r>
        <w:rPr>
          <w:lang w:val="en-US"/>
        </w:rPr>
        <w:t xml:space="preserve">Employee engagement is </w:t>
      </w:r>
      <w:r w:rsidR="00A245A8">
        <w:rPr>
          <w:lang w:val="en-US"/>
        </w:rPr>
        <w:t>an important HR factor and results in high performance and competitive advantage. Engaged employees have higher levels of productivity, satisfaction and commitment (Effectory, 2019).</w:t>
      </w:r>
    </w:p>
    <w:p w14:paraId="2D6525DB" w14:textId="48E8057B" w:rsidR="004A3AB3" w:rsidRDefault="004A3AB3" w:rsidP="00DC6E15">
      <w:pPr>
        <w:rPr>
          <w:lang w:val="en-US"/>
        </w:rPr>
      </w:pPr>
      <w:r>
        <w:rPr>
          <w:lang w:val="en-US"/>
        </w:rPr>
        <w:t>Research has shown that employee engagement leads to greater organisational performance. Ensuring that employees’ work stays fresh and exciting, working in positive environments and concentrating on retention statistics contribute to the engagement of staff (Patro, 2013).</w:t>
      </w:r>
    </w:p>
    <w:p w14:paraId="41731CFA" w14:textId="4A97D366" w:rsidR="00880B50" w:rsidRDefault="007262DE" w:rsidP="00DC6E15">
      <w:pPr>
        <w:rPr>
          <w:lang w:val="en-US"/>
        </w:rPr>
      </w:pPr>
      <w:r>
        <w:rPr>
          <w:lang w:val="en-US"/>
        </w:rPr>
        <w:t xml:space="preserve">Schaufeli and Baker (2004) say that being engaged gives the feeling of fulfillment and positive state if mind towards work, this is supported by (Sonnetang (2003) who claims engagement leads to good health and positive attitudes which lead to positive organisational outcomes. The happier and engaged an employee, the less likely they are to leave the </w:t>
      </w:r>
      <w:r w:rsidR="00E73F14">
        <w:rPr>
          <w:lang w:val="en-US"/>
        </w:rPr>
        <w:t>organization</w:t>
      </w:r>
      <w:r>
        <w:rPr>
          <w:lang w:val="en-US"/>
        </w:rPr>
        <w:t xml:space="preserve"> which improves retention rates (Kular et al, 2008).</w:t>
      </w:r>
    </w:p>
    <w:p w14:paraId="65C04D71" w14:textId="67A4151D" w:rsidR="007262DE" w:rsidRDefault="007262DE" w:rsidP="00DC6E15">
      <w:pPr>
        <w:rPr>
          <w:lang w:val="en-US"/>
        </w:rPr>
      </w:pPr>
      <w:r>
        <w:rPr>
          <w:lang w:val="en-US"/>
        </w:rPr>
        <w:t xml:space="preserve">In 2012, West and Dawson were commissioned by The King’s Trust to research and report into employee engagement and performance in the NHS. The report concluded with the importance of employee engagement and performance; positive staff experience </w:t>
      </w:r>
      <w:r w:rsidR="00A26DE2">
        <w:rPr>
          <w:lang w:val="en-US"/>
        </w:rPr>
        <w:t xml:space="preserve">generated better outcomes; absenteeism and turnover rates </w:t>
      </w:r>
      <w:r w:rsidR="00E73F14">
        <w:rPr>
          <w:lang w:val="en-US"/>
        </w:rPr>
        <w:t>reduced,</w:t>
      </w:r>
      <w:r w:rsidR="00A26DE2">
        <w:rPr>
          <w:lang w:val="en-US"/>
        </w:rPr>
        <w:t xml:space="preserve"> and high engagement levels resulted in satisfied patients and the </w:t>
      </w:r>
      <w:r w:rsidR="00262A02">
        <w:rPr>
          <w:lang w:val="en-US"/>
        </w:rPr>
        <w:t>organization</w:t>
      </w:r>
      <w:r w:rsidR="00A26DE2">
        <w:rPr>
          <w:lang w:val="en-US"/>
        </w:rPr>
        <w:t>, which are great outcomes for the trust (West and Dawson, 2012).</w:t>
      </w:r>
    </w:p>
    <w:p w14:paraId="2C0B4EC2" w14:textId="3226B461" w:rsidR="009723D5" w:rsidRDefault="00896136" w:rsidP="00DC6E15">
      <w:pPr>
        <w:rPr>
          <w:lang w:val="en-US"/>
        </w:rPr>
      </w:pPr>
      <w:r>
        <w:rPr>
          <w:lang w:val="en-US"/>
        </w:rPr>
        <w:t xml:space="preserve">The CIPD (2014) suggest that the more engaged the employer, the happier and healthier they will be; contributing to organisational performance. </w:t>
      </w:r>
      <w:r w:rsidR="001A5C28">
        <w:rPr>
          <w:lang w:val="en-US"/>
        </w:rPr>
        <w:t xml:space="preserve">A strong report supporting the positivity of employee engagement in the Towers Perrin 2007/2008 Global Workforce study (2009). This report clearly stated the link between high performance and engagement; </w:t>
      </w:r>
      <w:r w:rsidR="009723D5">
        <w:rPr>
          <w:lang w:val="en-US"/>
        </w:rPr>
        <w:t>organizations</w:t>
      </w:r>
      <w:r w:rsidR="001A5C28">
        <w:rPr>
          <w:lang w:val="en-US"/>
        </w:rPr>
        <w:t xml:space="preserve"> with high levels of engagement saw an 19% increase in income. Saks (2006) also supports this research as it was </w:t>
      </w:r>
      <w:r w:rsidR="001A5C28">
        <w:rPr>
          <w:lang w:val="en-US"/>
        </w:rPr>
        <w:lastRenderedPageBreak/>
        <w:t xml:space="preserve">discovered that </w:t>
      </w:r>
      <w:r w:rsidR="009723D5">
        <w:rPr>
          <w:lang w:val="en-US"/>
        </w:rPr>
        <w:t>high engagement levels are associated with “organisational commitment, customer satisfaction, employee loyalty, profitability, productivity and safety” (Harter et al, 2002).</w:t>
      </w:r>
    </w:p>
    <w:p w14:paraId="1E7DC140" w14:textId="4F83A9CE" w:rsidR="009723D5" w:rsidRDefault="009723D5" w:rsidP="00DC6E15">
      <w:pPr>
        <w:rPr>
          <w:lang w:val="en-US"/>
        </w:rPr>
      </w:pPr>
      <w:r>
        <w:rPr>
          <w:lang w:val="en-US"/>
        </w:rPr>
        <w:t xml:space="preserve">The Gallup organization discovered, based on a study on 8,000 businesses of 36 companies that units in the top 25% on “work engagement” revealed 1%-4% higher profitability (Johns and Ellis, 2016). </w:t>
      </w:r>
    </w:p>
    <w:p w14:paraId="291DE5F0" w14:textId="0A6FA68D" w:rsidR="009723D5" w:rsidRDefault="009723D5" w:rsidP="00DC6E15">
      <w:pPr>
        <w:rPr>
          <w:lang w:val="en-US"/>
        </w:rPr>
      </w:pPr>
      <w:r>
        <w:rPr>
          <w:lang w:val="en-US"/>
        </w:rPr>
        <w:t>Hutchinson and Purcell (2003) discovered benefits for employee and customer when studying 4 Tesco stored in the UK. One manager decided to shift the top-down approach and allow employees to use their own initiatives on the shop floor, delegating their own tasks. It was proven that this new approached increased customer satisfaction as queues were shorter and employees gained satisfaction as they believed to be making a difference (Fleming and Harter, 2001).</w:t>
      </w:r>
    </w:p>
    <w:p w14:paraId="78552851" w14:textId="36F5C0E1" w:rsidR="009723D5" w:rsidRDefault="009723D5" w:rsidP="00DC6E15">
      <w:pPr>
        <w:rPr>
          <w:lang w:val="en-US"/>
        </w:rPr>
      </w:pPr>
      <w:r>
        <w:rPr>
          <w:lang w:val="en-US"/>
        </w:rPr>
        <w:t xml:space="preserve">High engagement has also proven to be beneficial to line managers; increase in levels reduced grievances, disciplinaries and </w:t>
      </w:r>
      <w:r w:rsidR="00B27E42">
        <w:rPr>
          <w:lang w:val="en-US"/>
        </w:rPr>
        <w:t>staff turnover (Johns and Ellis, 2016).</w:t>
      </w:r>
    </w:p>
    <w:p w14:paraId="0CF54C7C" w14:textId="77777777" w:rsidR="00262A02" w:rsidRDefault="00262A02" w:rsidP="00DC6E15">
      <w:pPr>
        <w:rPr>
          <w:lang w:val="en-US"/>
        </w:rPr>
      </w:pPr>
    </w:p>
    <w:p w14:paraId="5B124C79" w14:textId="389F40C4" w:rsidR="00B6039E" w:rsidRPr="00262A02" w:rsidRDefault="00262A02" w:rsidP="00262A02">
      <w:pPr>
        <w:rPr>
          <w:b/>
          <w:bCs/>
          <w:lang w:val="en-US"/>
        </w:rPr>
      </w:pPr>
      <w:r w:rsidRPr="00262A02">
        <w:rPr>
          <w:b/>
          <w:bCs/>
          <w:lang w:val="en-US"/>
        </w:rPr>
        <w:t>Question 4</w:t>
      </w:r>
    </w:p>
    <w:p w14:paraId="2C09E2E1" w14:textId="07E891DF" w:rsidR="003013D8" w:rsidRDefault="003013D8" w:rsidP="003013D8">
      <w:pPr>
        <w:rPr>
          <w:lang w:val="en-US"/>
        </w:rPr>
      </w:pPr>
      <w:r>
        <w:rPr>
          <w:lang w:val="en-US"/>
        </w:rPr>
        <w:t xml:space="preserve">The NHS monitor employee engagement annually with engagement </w:t>
      </w:r>
      <w:r w:rsidR="00E73F14">
        <w:rPr>
          <w:lang w:val="en-US"/>
        </w:rPr>
        <w:t>surveys</w:t>
      </w:r>
      <w:r>
        <w:rPr>
          <w:lang w:val="en-US"/>
        </w:rPr>
        <w:t xml:space="preserve">. In 2018, the research into employee engagement and sickness absence rates showed, as engagement levels rose, sickness absence rates dropped; rates decreased from 4.3% to 4.1%. In a ‘typical’ sized </w:t>
      </w:r>
      <w:r w:rsidR="00E73F14">
        <w:rPr>
          <w:lang w:val="en-US"/>
        </w:rPr>
        <w:t>organization</w:t>
      </w:r>
      <w:r>
        <w:rPr>
          <w:lang w:val="en-US"/>
        </w:rPr>
        <w:t xml:space="preserve"> this would total to around 2,000 sick days saved due to engagement (West and Dawson, 2018).</w:t>
      </w:r>
    </w:p>
    <w:p w14:paraId="5D77B2DF" w14:textId="4240D259" w:rsidR="005457EB" w:rsidRDefault="005457EB" w:rsidP="003013D8">
      <w:pPr>
        <w:rPr>
          <w:lang w:val="en-US"/>
        </w:rPr>
      </w:pPr>
      <w:r>
        <w:rPr>
          <w:lang w:val="en-US"/>
        </w:rPr>
        <w:t xml:space="preserve">Human Resources Today (2018) state employee turnover is an increasing problem and relates to disengaged employees. Often </w:t>
      </w:r>
      <w:r w:rsidR="00E73F14">
        <w:rPr>
          <w:lang w:val="en-US"/>
        </w:rPr>
        <w:t>organizations</w:t>
      </w:r>
      <w:r>
        <w:rPr>
          <w:lang w:val="en-US"/>
        </w:rPr>
        <w:t xml:space="preserve"> use perks and benefits to draw recruits to the </w:t>
      </w:r>
      <w:r w:rsidR="00E73F14">
        <w:rPr>
          <w:lang w:val="en-US"/>
        </w:rPr>
        <w:t>organization</w:t>
      </w:r>
      <w:r>
        <w:rPr>
          <w:lang w:val="en-US"/>
        </w:rPr>
        <w:t xml:space="preserve">, but those benefits tire once an employee has been at the </w:t>
      </w:r>
      <w:r w:rsidR="00E73F14">
        <w:rPr>
          <w:lang w:val="en-US"/>
        </w:rPr>
        <w:t>organization</w:t>
      </w:r>
      <w:r>
        <w:rPr>
          <w:lang w:val="en-US"/>
        </w:rPr>
        <w:t xml:space="preserve"> for some time. Therefore, it’s important to have a strong foundation and strategy for long-term engagement and retention over </w:t>
      </w:r>
      <w:r w:rsidR="00E73F14">
        <w:rPr>
          <w:lang w:val="en-US"/>
        </w:rPr>
        <w:t>organizational</w:t>
      </w:r>
      <w:r>
        <w:rPr>
          <w:lang w:val="en-US"/>
        </w:rPr>
        <w:t xml:space="preserve"> benefits. </w:t>
      </w:r>
    </w:p>
    <w:p w14:paraId="44B382D3" w14:textId="66810570" w:rsidR="006A1FE0" w:rsidRDefault="006A1FE0" w:rsidP="003013D8">
      <w:pPr>
        <w:rPr>
          <w:lang w:val="en-US"/>
        </w:rPr>
      </w:pPr>
      <w:r>
        <w:rPr>
          <w:lang w:val="en-US"/>
        </w:rPr>
        <w:t xml:space="preserve">Employee retention strategies such as managers providing constructive feedback, setting targets and goals and adopting an </w:t>
      </w:r>
      <w:r w:rsidR="00E36FC3">
        <w:rPr>
          <w:lang w:val="en-US"/>
        </w:rPr>
        <w:t>open-door</w:t>
      </w:r>
      <w:r>
        <w:rPr>
          <w:lang w:val="en-US"/>
        </w:rPr>
        <w:t xml:space="preserve"> policy set </w:t>
      </w:r>
      <w:r w:rsidR="00E36FC3">
        <w:rPr>
          <w:lang w:val="en-US"/>
        </w:rPr>
        <w:t>a solid foundation for organisational culture. (HRT, 2018)</w:t>
      </w:r>
    </w:p>
    <w:p w14:paraId="3186C89C" w14:textId="76792616" w:rsidR="00E36FC3" w:rsidRDefault="00E36FC3" w:rsidP="003013D8">
      <w:pPr>
        <w:rPr>
          <w:lang w:val="en-US"/>
        </w:rPr>
      </w:pPr>
      <w:r>
        <w:rPr>
          <w:lang w:val="en-US"/>
        </w:rPr>
        <w:t xml:space="preserve">Employee Satisfaction Surveys such as ACAS’ Employee Feedback Survey (2019) monitors employee issues and performance. These surveys show that engaged and enthusiastic employees are the most productive and proactive and brings alight any workload, unfairness, management and communication issues which could be impacting on engagement and workplace performance. </w:t>
      </w:r>
    </w:p>
    <w:p w14:paraId="2DC7A019" w14:textId="450DB5C7" w:rsidR="003013D8" w:rsidRDefault="00E36FC3" w:rsidP="003013D8">
      <w:pPr>
        <w:rPr>
          <w:lang w:val="en-US"/>
        </w:rPr>
      </w:pPr>
      <w:r>
        <w:rPr>
          <w:lang w:val="en-US"/>
        </w:rPr>
        <w:t>A Scottish Charity undertook an ACAS employee survey aiming to measure employee engagement, get feedback on current issues</w:t>
      </w:r>
      <w:r w:rsidR="00573236">
        <w:rPr>
          <w:lang w:val="en-US"/>
        </w:rPr>
        <w:t xml:space="preserve"> and opinions on how the charity could better employee wellbeing. Through the survey and focus groups, the outcomes were mainly positive but highlighted any satisfactory and dissatisfactory areas. Employees were able to express their views honestly and comfortably. With the results, </w:t>
      </w:r>
      <w:r w:rsidR="00E73F14">
        <w:rPr>
          <w:lang w:val="en-US"/>
        </w:rPr>
        <w:t>the</w:t>
      </w:r>
      <w:r w:rsidR="00573236">
        <w:rPr>
          <w:lang w:val="en-US"/>
        </w:rPr>
        <w:t xml:space="preserve"> Charity have been able to maintain ongoing engagement with their staff and intend on using surveys regularly (ACAS, 2017).</w:t>
      </w:r>
    </w:p>
    <w:p w14:paraId="0B3EC3B5" w14:textId="01E6BD0A" w:rsidR="00573236" w:rsidRPr="007753F3" w:rsidRDefault="00573236" w:rsidP="003013D8">
      <w:pPr>
        <w:rPr>
          <w:b/>
          <w:bCs/>
          <w:lang w:val="en-US"/>
        </w:rPr>
      </w:pPr>
    </w:p>
    <w:p w14:paraId="5C083EBF" w14:textId="77777777" w:rsidR="00262A02" w:rsidRPr="00262A02" w:rsidRDefault="00262A02" w:rsidP="0084397A">
      <w:pPr>
        <w:rPr>
          <w:b/>
          <w:bCs/>
          <w:lang w:val="en-US"/>
        </w:rPr>
      </w:pPr>
      <w:r w:rsidRPr="00262A02">
        <w:rPr>
          <w:b/>
          <w:bCs/>
          <w:lang w:val="en-US"/>
        </w:rPr>
        <w:t>Question 5</w:t>
      </w:r>
    </w:p>
    <w:p w14:paraId="26FDA549" w14:textId="37D40673" w:rsidR="0084397A" w:rsidRDefault="00DE35FB" w:rsidP="0084397A">
      <w:pPr>
        <w:rPr>
          <w:lang w:val="en-US"/>
        </w:rPr>
      </w:pPr>
      <w:r>
        <w:rPr>
          <w:lang w:val="en-US"/>
        </w:rPr>
        <w:t>According to the CIPD Employee Outlook Survey and Johns and Ellis (2016) around 39% of UK employees are engaged</w:t>
      </w:r>
      <w:r w:rsidR="00773294">
        <w:rPr>
          <w:lang w:val="en-US"/>
        </w:rPr>
        <w:t xml:space="preserve"> and the CIPD (2009) go on to say that there is a gap between UK engagement levels and high performance.</w:t>
      </w:r>
      <w:r>
        <w:rPr>
          <w:lang w:val="en-US"/>
        </w:rPr>
        <w:t xml:space="preserve"> </w:t>
      </w:r>
    </w:p>
    <w:p w14:paraId="6F9D6408" w14:textId="36E8FD86" w:rsidR="00773294" w:rsidRDefault="00773294" w:rsidP="0084397A">
      <w:pPr>
        <w:rPr>
          <w:lang w:val="en-US"/>
        </w:rPr>
      </w:pPr>
      <w:r>
        <w:rPr>
          <w:lang w:val="en-US"/>
        </w:rPr>
        <w:lastRenderedPageBreak/>
        <w:t xml:space="preserve">The research found that women are more engaged at work over men, 40% of over-35 years </w:t>
      </w:r>
      <w:proofErr w:type="spellStart"/>
      <w:r w:rsidR="00E73F14">
        <w:rPr>
          <w:lang w:val="en-US"/>
        </w:rPr>
        <w:t>olds</w:t>
      </w:r>
      <w:proofErr w:type="spellEnd"/>
      <w:r>
        <w:rPr>
          <w:lang w:val="en-US"/>
        </w:rPr>
        <w:t xml:space="preserve"> are engaged whereas only 25% of under-35’s do. The CIPD (2009) also reported that managers are more engaged in comparison to non-managers</w:t>
      </w:r>
      <w:r w:rsidR="00752CD7">
        <w:rPr>
          <w:lang w:val="en-US"/>
        </w:rPr>
        <w:t xml:space="preserve">, employees who have flexible contracts of employments were happier and motivated and </w:t>
      </w:r>
      <w:r w:rsidR="00E73F14">
        <w:rPr>
          <w:lang w:val="en-US"/>
        </w:rPr>
        <w:t>less</w:t>
      </w:r>
      <w:r w:rsidR="00752CD7">
        <w:rPr>
          <w:lang w:val="en-US"/>
        </w:rPr>
        <w:t xml:space="preserve"> likely to leave the </w:t>
      </w:r>
      <w:r w:rsidR="00E73F14">
        <w:rPr>
          <w:lang w:val="en-US"/>
        </w:rPr>
        <w:t>organization</w:t>
      </w:r>
      <w:r w:rsidR="00752CD7">
        <w:rPr>
          <w:lang w:val="en-US"/>
        </w:rPr>
        <w:t xml:space="preserve">. </w:t>
      </w:r>
    </w:p>
    <w:p w14:paraId="5DBDE8B4" w14:textId="3D07157D" w:rsidR="00752CD7" w:rsidRDefault="00752CD7" w:rsidP="0084397A">
      <w:pPr>
        <w:rPr>
          <w:lang w:val="en-US"/>
        </w:rPr>
      </w:pPr>
      <w:r>
        <w:rPr>
          <w:lang w:val="en-US"/>
        </w:rPr>
        <w:t xml:space="preserve">In the CIPD (2019) </w:t>
      </w:r>
      <w:r w:rsidR="00E73F14">
        <w:rPr>
          <w:lang w:val="en-US"/>
        </w:rPr>
        <w:t>Labor</w:t>
      </w:r>
      <w:r>
        <w:rPr>
          <w:lang w:val="en-US"/>
        </w:rPr>
        <w:t xml:space="preserve"> Market Outlook Report, it has been found that employment levels will increase in public and private sectors although it has been recorded that recruiting in public sector is more difficult than private and third sector. Overall, 41% find it challenging to recruit and then find it as difficult to retain the staff. </w:t>
      </w:r>
    </w:p>
    <w:p w14:paraId="044280BC" w14:textId="08CC28AE" w:rsidR="00773294" w:rsidRDefault="007753F3" w:rsidP="0084397A">
      <w:pPr>
        <w:rPr>
          <w:lang w:val="en-US"/>
        </w:rPr>
      </w:pPr>
      <w:r>
        <w:rPr>
          <w:lang w:val="en-US"/>
        </w:rPr>
        <w:t xml:space="preserve">The statistics above support the statement that different demographics impact on the amount of engagement found in </w:t>
      </w:r>
      <w:r w:rsidR="00E73F14">
        <w:rPr>
          <w:lang w:val="en-US"/>
        </w:rPr>
        <w:t>organizations</w:t>
      </w:r>
      <w:r>
        <w:rPr>
          <w:lang w:val="en-US"/>
        </w:rPr>
        <w:t>. Women are more engaged than men, over-35’s are more engaged than those younger than 35 years of age and managerial jobs are more difficult to fill although they are deemed to be more engaged than non-managerial posts (Johns and Ellis, 2016).</w:t>
      </w:r>
    </w:p>
    <w:p w14:paraId="3B3E6709" w14:textId="77777777" w:rsidR="00262A02" w:rsidRDefault="00262A02" w:rsidP="00262A02">
      <w:pPr>
        <w:rPr>
          <w:b/>
          <w:bCs/>
          <w:lang w:val="en-US"/>
        </w:rPr>
      </w:pPr>
    </w:p>
    <w:p w14:paraId="05795C98" w14:textId="77777777" w:rsidR="00262A02" w:rsidRDefault="00262A02" w:rsidP="00262A02">
      <w:pPr>
        <w:rPr>
          <w:b/>
          <w:bCs/>
          <w:lang w:val="en-US"/>
        </w:rPr>
      </w:pPr>
      <w:r>
        <w:rPr>
          <w:b/>
          <w:bCs/>
          <w:lang w:val="en-US"/>
        </w:rPr>
        <w:t>Question 6</w:t>
      </w:r>
    </w:p>
    <w:p w14:paraId="38B548E4" w14:textId="58B3D182" w:rsidR="00B6039E" w:rsidRDefault="00B6039E" w:rsidP="00262A02">
      <w:pPr>
        <w:rPr>
          <w:lang w:val="en-US"/>
        </w:rPr>
      </w:pPr>
      <w:r>
        <w:rPr>
          <w:lang w:val="en-US"/>
        </w:rPr>
        <w:t xml:space="preserve">The future of employee engagement is uncertain because of the high levels of unemployment due to the current economic state. Although the levels of unemployment haven’t risen over the past 3 years (ONS, 2019) there has been very little drop in figures, as seen in Figure 6.1. </w:t>
      </w:r>
      <w:r w:rsidR="003D33C5">
        <w:rPr>
          <w:lang w:val="en-US"/>
        </w:rPr>
        <w:t>Therefore,</w:t>
      </w:r>
      <w:r>
        <w:rPr>
          <w:lang w:val="en-US"/>
        </w:rPr>
        <w:t xml:space="preserve"> it remain</w:t>
      </w:r>
      <w:r w:rsidR="003D33C5">
        <w:rPr>
          <w:lang w:val="en-US"/>
        </w:rPr>
        <w:t xml:space="preserve">s </w:t>
      </w:r>
      <w:r>
        <w:rPr>
          <w:lang w:val="en-US"/>
        </w:rPr>
        <w:t>uncertain that the number of unemployment could rise again.</w:t>
      </w:r>
      <w:r w:rsidR="003D33C5">
        <w:rPr>
          <w:lang w:val="en-US"/>
        </w:rPr>
        <w:t xml:space="preserve"> </w:t>
      </w:r>
    </w:p>
    <w:p w14:paraId="68366A27" w14:textId="0A933702" w:rsidR="00F80A60" w:rsidRDefault="00F80A60" w:rsidP="00B6039E">
      <w:pPr>
        <w:ind w:left="360"/>
        <w:rPr>
          <w:lang w:val="en-US"/>
        </w:rPr>
      </w:pPr>
    </w:p>
    <w:p w14:paraId="4CB1FD3A" w14:textId="77777777" w:rsidR="00F80A60" w:rsidRDefault="00F80A60" w:rsidP="00B6039E">
      <w:pPr>
        <w:ind w:left="360"/>
        <w:rPr>
          <w:lang w:val="en-US"/>
        </w:rPr>
      </w:pPr>
    </w:p>
    <w:p w14:paraId="09DF94C1" w14:textId="1CA9FE7C" w:rsidR="00455E24" w:rsidRPr="00455E24" w:rsidRDefault="00455E24" w:rsidP="00B6039E">
      <w:pPr>
        <w:ind w:left="360"/>
        <w:rPr>
          <w:b/>
          <w:bCs/>
          <w:lang w:val="en-US"/>
        </w:rPr>
      </w:pPr>
      <w:r w:rsidRPr="00455E24">
        <w:rPr>
          <w:b/>
          <w:bCs/>
          <w:lang w:val="en-US"/>
        </w:rPr>
        <w:t>Figure 6.1.</w:t>
      </w:r>
    </w:p>
    <w:p w14:paraId="4094A719" w14:textId="3727780A" w:rsidR="00455E24" w:rsidRDefault="00455E24" w:rsidP="00B6039E">
      <w:pPr>
        <w:ind w:left="360"/>
        <w:rPr>
          <w:lang w:val="en-US"/>
        </w:rPr>
      </w:pPr>
      <w:r>
        <w:rPr>
          <w:noProof/>
        </w:rPr>
        <w:drawing>
          <wp:inline distT="0" distB="0" distL="0" distR="0" wp14:anchorId="22A576BA" wp14:editId="0DE88ECB">
            <wp:extent cx="5731510" cy="38227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822700"/>
                    </a:xfrm>
                    <a:prstGeom prst="rect">
                      <a:avLst/>
                    </a:prstGeom>
                    <a:noFill/>
                    <a:ln>
                      <a:noFill/>
                    </a:ln>
                  </pic:spPr>
                </pic:pic>
              </a:graphicData>
            </a:graphic>
          </wp:inline>
        </w:drawing>
      </w:r>
    </w:p>
    <w:p w14:paraId="27A334DA" w14:textId="38BBE22D" w:rsidR="003D33C5" w:rsidRDefault="003D33C5" w:rsidP="00B6039E">
      <w:pPr>
        <w:ind w:left="360"/>
        <w:rPr>
          <w:lang w:val="en-US"/>
        </w:rPr>
      </w:pPr>
      <w:r>
        <w:rPr>
          <w:lang w:val="en-US"/>
        </w:rPr>
        <w:lastRenderedPageBreak/>
        <w:t>It</w:t>
      </w:r>
      <w:r w:rsidR="00114858">
        <w:rPr>
          <w:lang w:val="en-US"/>
        </w:rPr>
        <w:t xml:space="preserve"> could be considered </w:t>
      </w:r>
      <w:r>
        <w:rPr>
          <w:lang w:val="en-US"/>
        </w:rPr>
        <w:t xml:space="preserve">that those who have jobs will be more engaged as they are ‘lucky’ to have remained in employment however Johns and Ellis (2016) claim that it could be the opposite; their priorities will then lie with the insecurity and anxious feeling of </w:t>
      </w:r>
      <w:r w:rsidR="00E73F14">
        <w:rPr>
          <w:lang w:val="en-US"/>
        </w:rPr>
        <w:t>losing</w:t>
      </w:r>
      <w:r>
        <w:rPr>
          <w:lang w:val="en-US"/>
        </w:rPr>
        <w:t xml:space="preserve"> their own and engagement is not on their radar. </w:t>
      </w:r>
    </w:p>
    <w:p w14:paraId="1E06F390" w14:textId="3C65490C" w:rsidR="003D33C5" w:rsidRDefault="003D33C5" w:rsidP="00B6039E">
      <w:pPr>
        <w:ind w:left="360"/>
        <w:rPr>
          <w:lang w:val="en-US"/>
        </w:rPr>
      </w:pPr>
      <w:r>
        <w:rPr>
          <w:lang w:val="en-US"/>
        </w:rPr>
        <w:t>Purcell (2014) and Truss et al (2014) go on to say that this supports the need to research into engagement further to ensure that those who are employed are as motivated, productive and performing as well as possible. 7 questions have been devised to enable further research which is seen in Figure 6.2.</w:t>
      </w:r>
    </w:p>
    <w:p w14:paraId="14B016D2" w14:textId="448E29D7" w:rsidR="00455E24" w:rsidRDefault="00455E24" w:rsidP="00B6039E">
      <w:pPr>
        <w:ind w:left="360"/>
        <w:rPr>
          <w:lang w:val="en-US"/>
        </w:rPr>
      </w:pPr>
      <w:r w:rsidRPr="00455E24">
        <w:rPr>
          <w:noProof/>
        </w:rPr>
        <w:drawing>
          <wp:inline distT="0" distB="0" distL="0" distR="0" wp14:anchorId="2BC4AE51" wp14:editId="271532C2">
            <wp:extent cx="5730240" cy="224790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0240" cy="2247900"/>
                    </a:xfrm>
                    <a:prstGeom prst="rect">
                      <a:avLst/>
                    </a:prstGeom>
                    <a:noFill/>
                    <a:ln>
                      <a:noFill/>
                    </a:ln>
                  </pic:spPr>
                </pic:pic>
              </a:graphicData>
            </a:graphic>
          </wp:inline>
        </w:drawing>
      </w:r>
    </w:p>
    <w:p w14:paraId="199DDF83" w14:textId="4C9049C7" w:rsidR="003D33C5" w:rsidRPr="00B6039E" w:rsidRDefault="00455E24" w:rsidP="00B6039E">
      <w:pPr>
        <w:ind w:left="360"/>
        <w:rPr>
          <w:lang w:val="en-US"/>
        </w:rPr>
      </w:pPr>
      <w:r>
        <w:rPr>
          <w:lang w:val="en-US"/>
        </w:rPr>
        <w:t xml:space="preserve">Although there are numerous definitions of employee engagement, the need and importance of employee engagement is not questioned. Managers and leadership are key in developing employee engagement as a priority with their people managing skills (Johns and Ellis, 2016). </w:t>
      </w:r>
    </w:p>
    <w:p w14:paraId="2A914247" w14:textId="77777777" w:rsidR="00B6039E" w:rsidRDefault="00B6039E" w:rsidP="00B6039E">
      <w:pPr>
        <w:rPr>
          <w:lang w:val="en-US"/>
        </w:rPr>
      </w:pPr>
    </w:p>
    <w:p w14:paraId="2B652E52" w14:textId="48A6F1EE" w:rsidR="007C1C24" w:rsidRPr="00B6039E" w:rsidRDefault="007C1C24" w:rsidP="00B6039E">
      <w:pPr>
        <w:pStyle w:val="ListParagraph"/>
        <w:numPr>
          <w:ilvl w:val="0"/>
          <w:numId w:val="1"/>
        </w:numPr>
        <w:rPr>
          <w:lang w:val="en-US"/>
        </w:rPr>
      </w:pPr>
      <w:r w:rsidRPr="00B6039E">
        <w:rPr>
          <w:lang w:val="en-US"/>
        </w:rPr>
        <w:br w:type="page"/>
      </w:r>
    </w:p>
    <w:p w14:paraId="63AED056" w14:textId="77777777" w:rsidR="007C1C24" w:rsidRPr="00076320" w:rsidRDefault="001F1374">
      <w:pPr>
        <w:rPr>
          <w:b/>
          <w:bCs/>
          <w:lang w:val="en-US"/>
        </w:rPr>
      </w:pPr>
      <w:r w:rsidRPr="00076320">
        <w:rPr>
          <w:b/>
          <w:bCs/>
          <w:lang w:val="en-US"/>
        </w:rPr>
        <w:lastRenderedPageBreak/>
        <w:t>Bibliography</w:t>
      </w:r>
    </w:p>
    <w:p w14:paraId="37391289" w14:textId="77777777" w:rsidR="006D77AF" w:rsidRDefault="006D77AF">
      <w:bookmarkStart w:id="0" w:name="_GoBack"/>
      <w:r>
        <w:t xml:space="preserve">ACAS (2012) </w:t>
      </w:r>
      <w:r w:rsidRPr="004329CC">
        <w:rPr>
          <w:i/>
          <w:iCs/>
        </w:rPr>
        <w:t>Employment Relations Comment</w:t>
      </w:r>
      <w:r>
        <w:t xml:space="preserve">. Available at: </w:t>
      </w:r>
      <w:hyperlink r:id="rId16" w:history="1">
        <w:r>
          <w:rPr>
            <w:rStyle w:val="Hyperlink"/>
          </w:rPr>
          <w:t>https://moodle.uwtsd.ac.uk/pluginfile.php/255716/mod_resource/content/1/Placing-Trust-in-Employee-Engagement.pdf</w:t>
        </w:r>
      </w:hyperlink>
      <w:r>
        <w:t xml:space="preserve"> [Accessed: 22 August 2019]</w:t>
      </w:r>
    </w:p>
    <w:p w14:paraId="2388DEB9" w14:textId="77777777" w:rsidR="006D77AF" w:rsidRDefault="006D77AF">
      <w:r>
        <w:rPr>
          <w:lang w:val="en-US"/>
        </w:rPr>
        <w:t xml:space="preserve">ACAS (2014) </w:t>
      </w:r>
      <w:r>
        <w:rPr>
          <w:i/>
          <w:iCs/>
          <w:lang w:val="en-US"/>
        </w:rPr>
        <w:t xml:space="preserve">The People Factor. </w:t>
      </w:r>
      <w:r>
        <w:rPr>
          <w:lang w:val="en-US"/>
        </w:rPr>
        <w:t xml:space="preserve">Available at: </w:t>
      </w:r>
      <w:hyperlink r:id="rId17" w:history="1">
        <w:r>
          <w:rPr>
            <w:rStyle w:val="Hyperlink"/>
          </w:rPr>
          <w:t>https://moodle.uwtsd.ac.uk/pluginfile.php/255715/mod_resource/content/1/Advisory-booklet-The-People-Factor.pdf</w:t>
        </w:r>
      </w:hyperlink>
      <w:r>
        <w:t xml:space="preserve"> [Accessed: 16 August 2019]</w:t>
      </w:r>
    </w:p>
    <w:p w14:paraId="54D52796" w14:textId="77777777" w:rsidR="006D77AF" w:rsidRDefault="006D77AF">
      <w:r>
        <w:rPr>
          <w:lang w:val="en-US"/>
        </w:rPr>
        <w:t xml:space="preserve">ACAS (2017) </w:t>
      </w:r>
      <w:r w:rsidRPr="00573236">
        <w:rPr>
          <w:i/>
          <w:iCs/>
          <w:lang w:val="en-US"/>
        </w:rPr>
        <w:t>Measuring staff attitudes: a case study in the impact of ACAS’ employee feedback survey tool.</w:t>
      </w:r>
      <w:r>
        <w:rPr>
          <w:lang w:val="en-US"/>
        </w:rPr>
        <w:t xml:space="preserve"> Available at: </w:t>
      </w:r>
      <w:hyperlink r:id="rId18" w:history="1">
        <w:r>
          <w:rPr>
            <w:rStyle w:val="Hyperlink"/>
          </w:rPr>
          <w:t>https://www.acas.org.uk/media/4917/A-case-study-on-the-impact-of-Acas-employee-feedback-survey-tool/pdf/EFST_Case_Study.pdf</w:t>
        </w:r>
      </w:hyperlink>
      <w:r>
        <w:t xml:space="preserve"> [Accessed: 22 August 2019]</w:t>
      </w:r>
    </w:p>
    <w:p w14:paraId="105C912B" w14:textId="77777777" w:rsidR="006D77AF" w:rsidRDefault="006D77AF">
      <w:pPr>
        <w:rPr>
          <w:lang w:val="en-US"/>
        </w:rPr>
      </w:pPr>
      <w:r>
        <w:rPr>
          <w:lang w:val="en-US"/>
        </w:rPr>
        <w:t xml:space="preserve">ACAS (2019) </w:t>
      </w:r>
      <w:r w:rsidRPr="00573236">
        <w:rPr>
          <w:i/>
          <w:iCs/>
          <w:lang w:val="en-US"/>
        </w:rPr>
        <w:t>The ACAS Employee Feedback Survey</w:t>
      </w:r>
      <w:r>
        <w:rPr>
          <w:lang w:val="en-US"/>
        </w:rPr>
        <w:t xml:space="preserve">. Available at: </w:t>
      </w:r>
      <w:hyperlink r:id="rId19" w:history="1">
        <w:r>
          <w:rPr>
            <w:rStyle w:val="Hyperlink"/>
          </w:rPr>
          <w:t>https://www.acas.org.uk/feedbacksurvey</w:t>
        </w:r>
      </w:hyperlink>
      <w:r>
        <w:t xml:space="preserve"> [Accessed: 2 August 2019]</w:t>
      </w:r>
    </w:p>
    <w:p w14:paraId="4A39D2C5" w14:textId="77777777" w:rsidR="006D77AF" w:rsidRPr="00283217" w:rsidRDefault="006D77AF">
      <w:pPr>
        <w:rPr>
          <w:lang w:val="en-US"/>
        </w:rPr>
      </w:pPr>
      <w:r>
        <w:t xml:space="preserve">Adam’s Equity Theory (1963) in </w:t>
      </w:r>
      <w:r w:rsidRPr="00EC4CCC">
        <w:rPr>
          <w:i/>
          <w:iCs/>
        </w:rPr>
        <w:t>Mindtools Balancing Employee Inputs and Outputs</w:t>
      </w:r>
      <w:r>
        <w:t xml:space="preserve">. Available at </w:t>
      </w:r>
      <w:hyperlink r:id="rId20" w:history="1">
        <w:r>
          <w:rPr>
            <w:rStyle w:val="Hyperlink"/>
          </w:rPr>
          <w:t>https://www.mindtools.com/pages/article/newLDR_96.htm</w:t>
        </w:r>
      </w:hyperlink>
      <w:r>
        <w:t xml:space="preserve"> [Accessed: 22 August 2019]</w:t>
      </w:r>
    </w:p>
    <w:p w14:paraId="2757B997" w14:textId="77777777" w:rsidR="006D77AF" w:rsidRDefault="006D77AF">
      <w:r>
        <w:rPr>
          <w:lang w:val="en-US"/>
        </w:rPr>
        <w:t xml:space="preserve">CIPD (2009) Employee Engagement. Available at: </w:t>
      </w:r>
      <w:hyperlink r:id="rId21" w:history="1">
        <w:r>
          <w:rPr>
            <w:rStyle w:val="Hyperlink"/>
          </w:rPr>
          <w:t>https://www.cipd.co.uk/knowledge/fundamentals/relations/engagement</w:t>
        </w:r>
      </w:hyperlink>
      <w:r>
        <w:t xml:space="preserve"> [Accessed: 22 August 2019]</w:t>
      </w:r>
    </w:p>
    <w:p w14:paraId="6B77B084" w14:textId="77777777" w:rsidR="006D77AF" w:rsidRDefault="006D77AF">
      <w:r>
        <w:t xml:space="preserve">CIPD (2011) </w:t>
      </w:r>
      <w:r w:rsidRPr="007650D3">
        <w:rPr>
          <w:i/>
          <w:iCs/>
        </w:rPr>
        <w:t>Developing organisation culture: six case studies</w:t>
      </w:r>
      <w:r>
        <w:t xml:space="preserve">. </w:t>
      </w:r>
      <w:r w:rsidRPr="006D77AF">
        <w:t>Available</w:t>
      </w:r>
      <w:r>
        <w:t xml:space="preserve">: </w:t>
      </w:r>
      <w:hyperlink r:id="rId22" w:history="1">
        <w:r>
          <w:rPr>
            <w:rStyle w:val="Hyperlink"/>
          </w:rPr>
          <w:t>https://www.cipd.co.uk/knowledge/culture/working-environment/organisational-culture-report</w:t>
        </w:r>
      </w:hyperlink>
      <w:r>
        <w:t xml:space="preserve"> [Accessed 16 August 2019]</w:t>
      </w:r>
    </w:p>
    <w:p w14:paraId="69BBAFE9" w14:textId="77777777" w:rsidR="006D77AF" w:rsidRDefault="006D77AF">
      <w:r>
        <w:t xml:space="preserve">CIPD (2012a) </w:t>
      </w:r>
      <w:r w:rsidRPr="004329CC">
        <w:rPr>
          <w:i/>
          <w:iCs/>
        </w:rPr>
        <w:t>Where has all the trust gone?</w:t>
      </w:r>
      <w:r>
        <w:t xml:space="preserve"> Available at: </w:t>
      </w:r>
      <w:hyperlink r:id="rId23" w:history="1">
        <w:r>
          <w:rPr>
            <w:rStyle w:val="Hyperlink"/>
          </w:rPr>
          <w:t>https://www.cipd.co.uk/search?q=where+has+all+the+trust+gone</w:t>
        </w:r>
      </w:hyperlink>
      <w:r>
        <w:t xml:space="preserve"> [Accessed: 22 August 2019]</w:t>
      </w:r>
    </w:p>
    <w:p w14:paraId="60587681" w14:textId="77777777" w:rsidR="006D77AF" w:rsidRDefault="006D77AF">
      <w:pPr>
        <w:rPr>
          <w:lang w:val="en-US"/>
        </w:rPr>
      </w:pPr>
      <w:r>
        <w:rPr>
          <w:lang w:val="en-US"/>
        </w:rPr>
        <w:t xml:space="preserve">CIPD (2017) </w:t>
      </w:r>
      <w:r w:rsidRPr="0064284C">
        <w:rPr>
          <w:i/>
          <w:iCs/>
          <w:lang w:val="en-US"/>
        </w:rPr>
        <w:t>Developing Managers to manage sustainable employee engagement, health and well-being.</w:t>
      </w:r>
      <w:r>
        <w:rPr>
          <w:lang w:val="en-US"/>
        </w:rPr>
        <w:t xml:space="preserve"> Research Report. Available at: </w:t>
      </w:r>
      <w:hyperlink r:id="rId24" w:history="1">
        <w:r>
          <w:rPr>
            <w:rStyle w:val="Hyperlink"/>
          </w:rPr>
          <w:t>https://www.cipd.co.uk/knowledge/culture/well-being/developing-managers-report</w:t>
        </w:r>
      </w:hyperlink>
      <w:r>
        <w:t xml:space="preserve"> [Accessed: 16 August 2019]</w:t>
      </w:r>
    </w:p>
    <w:p w14:paraId="3CC70C2E" w14:textId="77777777" w:rsidR="006D77AF" w:rsidRDefault="006D77AF">
      <w:pPr>
        <w:rPr>
          <w:lang w:val="en-US"/>
        </w:rPr>
      </w:pPr>
      <w:r>
        <w:rPr>
          <w:lang w:val="en-US"/>
        </w:rPr>
        <w:t xml:space="preserve">CIPD (2018) </w:t>
      </w:r>
      <w:r w:rsidRPr="0064284C">
        <w:rPr>
          <w:i/>
          <w:iCs/>
          <w:lang w:val="en-US"/>
        </w:rPr>
        <w:t xml:space="preserve">Employee Engagement </w:t>
      </w:r>
      <w:r>
        <w:rPr>
          <w:i/>
          <w:iCs/>
          <w:lang w:val="en-US"/>
        </w:rPr>
        <w:t>and Motivation</w:t>
      </w:r>
      <w:r>
        <w:rPr>
          <w:lang w:val="en-US"/>
        </w:rPr>
        <w:t xml:space="preserve">. Available at: </w:t>
      </w:r>
      <w:hyperlink r:id="rId25" w:history="1">
        <w:r>
          <w:rPr>
            <w:rStyle w:val="Hyperlink"/>
          </w:rPr>
          <w:t>https://www.cipd.co.uk/knowledge/fundamentals/relations/engagement/factsheet</w:t>
        </w:r>
      </w:hyperlink>
      <w:r>
        <w:t xml:space="preserve"> [Accessed: 16 August 2019]</w:t>
      </w:r>
    </w:p>
    <w:p w14:paraId="3B2B07F8" w14:textId="77777777" w:rsidR="006D77AF" w:rsidRDefault="006D77AF">
      <w:r>
        <w:t xml:space="preserve">CIPD (2019) </w:t>
      </w:r>
      <w:r w:rsidRPr="00880B50">
        <w:rPr>
          <w:i/>
          <w:iCs/>
        </w:rPr>
        <w:t>Employee Communication</w:t>
      </w:r>
      <w:r>
        <w:t xml:space="preserve">. Available at: </w:t>
      </w:r>
      <w:hyperlink r:id="rId26" w:history="1">
        <w:r>
          <w:rPr>
            <w:rStyle w:val="Hyperlink"/>
          </w:rPr>
          <w:t>https://www.cipd.co.uk/knowledge/fundamentals/relations/communication/factsheet</w:t>
        </w:r>
      </w:hyperlink>
      <w:r>
        <w:t xml:space="preserve"> [Accessed: 16 August 2019]</w:t>
      </w:r>
    </w:p>
    <w:p w14:paraId="7CDD84F7" w14:textId="77777777" w:rsidR="006D77AF" w:rsidRDefault="006D77AF">
      <w:r>
        <w:t xml:space="preserve">Effectory (2018) </w:t>
      </w:r>
      <w:r w:rsidRPr="00A245A8">
        <w:rPr>
          <w:i/>
          <w:iCs/>
        </w:rPr>
        <w:t xml:space="preserve">What is employee engagement and why is it important? </w:t>
      </w:r>
      <w:r>
        <w:t xml:space="preserve">Available at: </w:t>
      </w:r>
      <w:hyperlink r:id="rId27" w:history="1">
        <w:r>
          <w:rPr>
            <w:rStyle w:val="Hyperlink"/>
          </w:rPr>
          <w:t>https://www.effectory.com/knowledge/themes/what-is-employee-engagement/</w:t>
        </w:r>
      </w:hyperlink>
      <w:r>
        <w:t xml:space="preserve"> [Accessed: 16 June 2019]</w:t>
      </w:r>
    </w:p>
    <w:p w14:paraId="5942E9B2" w14:textId="77777777" w:rsidR="006D77AF" w:rsidRDefault="006D77AF">
      <w:r>
        <w:t>Fleming, J. H. and Harter, J. K. (2001) Optimize. Gallup Management Journal. Vol 1, No 4.</w:t>
      </w:r>
    </w:p>
    <w:p w14:paraId="770C3624" w14:textId="77777777" w:rsidR="006D77AF" w:rsidRDefault="006D77AF">
      <w:pPr>
        <w:rPr>
          <w:i/>
          <w:iCs/>
        </w:rPr>
      </w:pPr>
      <w:r>
        <w:t xml:space="preserve">Guest, D. (2015) </w:t>
      </w:r>
      <w:r w:rsidRPr="002C53AB">
        <w:rPr>
          <w:i/>
          <w:iCs/>
        </w:rPr>
        <w:t>Presentation on “Employee Engagement: A Path to Organisational Success?” made at the Lead, Engage, Perform expert meeting on public sector leadership, OECD, 21-22 January 2015</w:t>
      </w:r>
      <w:r>
        <w:rPr>
          <w:i/>
          <w:iCs/>
        </w:rPr>
        <w:t xml:space="preserve">. </w:t>
      </w:r>
    </w:p>
    <w:p w14:paraId="2A85F32C" w14:textId="77777777" w:rsidR="006D77AF" w:rsidRPr="00B27E42" w:rsidRDefault="006D77AF">
      <w:r>
        <w:lastRenderedPageBreak/>
        <w:t>Harter, J. K., Schmidt, F. L. and Hayes, T. L. (2002)</w:t>
      </w:r>
      <w:r>
        <w:rPr>
          <w:i/>
          <w:iCs/>
        </w:rPr>
        <w:t xml:space="preserve"> Business-unit level relationship between employee satisfaction, employee engagement, and business outcomes: a meta-analysis. </w:t>
      </w:r>
      <w:r>
        <w:t>Journal of Applied Psychology. Vol 87.</w:t>
      </w:r>
    </w:p>
    <w:p w14:paraId="6FCEAEA1" w14:textId="77777777" w:rsidR="006D77AF" w:rsidRPr="007262DE" w:rsidRDefault="006D77AF">
      <w:r>
        <w:t xml:space="preserve">Human Resources Today (2018) Strategies to Reduce Employee Turnover Available at: </w:t>
      </w:r>
      <w:hyperlink r:id="rId28" w:history="1">
        <w:r>
          <w:rPr>
            <w:rStyle w:val="Hyperlink"/>
          </w:rPr>
          <w:t>http://www.humanresourcestoday.com/employee-engagement/retention-and-turnover/?open-article-id=8097150&amp;article-title=strategies-to-reduce-employee-turnover&amp;blog-domain=reflektive.com&amp;blog-title=reflektive</w:t>
        </w:r>
      </w:hyperlink>
      <w:r>
        <w:t xml:space="preserve"> [Accessed: 22 August 2019]</w:t>
      </w:r>
    </w:p>
    <w:p w14:paraId="670E59E9" w14:textId="77777777" w:rsidR="006D77AF" w:rsidRDefault="006D77AF">
      <w:pPr>
        <w:rPr>
          <w:lang w:val="en-US"/>
        </w:rPr>
      </w:pPr>
      <w:r>
        <w:rPr>
          <w:lang w:val="en-US"/>
        </w:rPr>
        <w:t xml:space="preserve">Johns, T. and Ellis, C. (2016) </w:t>
      </w:r>
      <w:r w:rsidRPr="00853F32">
        <w:rPr>
          <w:i/>
          <w:iCs/>
          <w:lang w:val="en-US"/>
        </w:rPr>
        <w:t>Employee Engagement</w:t>
      </w:r>
      <w:r>
        <w:rPr>
          <w:lang w:val="en-US"/>
        </w:rPr>
        <w:t xml:space="preserve"> in Taylor, S. and Woodhams, C. (2016) Human Resource Management: People and Organization. 2</w:t>
      </w:r>
      <w:r w:rsidRPr="00853F32">
        <w:rPr>
          <w:vertAlign w:val="superscript"/>
          <w:lang w:val="en-US"/>
        </w:rPr>
        <w:t>nd</w:t>
      </w:r>
      <w:r>
        <w:rPr>
          <w:lang w:val="en-US"/>
        </w:rPr>
        <w:t xml:space="preserve"> Ed. London: Chartered Institute of Personnel and Development. </w:t>
      </w:r>
    </w:p>
    <w:p w14:paraId="2C9C3090" w14:textId="77777777" w:rsidR="006D77AF" w:rsidRDefault="006D77AF">
      <w:pPr>
        <w:rPr>
          <w:lang w:val="en-US"/>
        </w:rPr>
      </w:pPr>
      <w:r>
        <w:rPr>
          <w:lang w:val="en-US"/>
        </w:rPr>
        <w:t xml:space="preserve">Kahn, W. A. (1990) </w:t>
      </w:r>
      <w:r w:rsidRPr="001F1374">
        <w:rPr>
          <w:i/>
          <w:iCs/>
          <w:lang w:val="en-US"/>
        </w:rPr>
        <w:t>The Psychological Conditions of Personal Engagement and Disengagement at Work</w:t>
      </w:r>
      <w:r>
        <w:rPr>
          <w:lang w:val="en-US"/>
        </w:rPr>
        <w:t xml:space="preserve">. Academy of Management Journal. Vol 33. </w:t>
      </w:r>
    </w:p>
    <w:p w14:paraId="7EFFD3E2" w14:textId="77777777" w:rsidR="006D77AF" w:rsidRDefault="006D77AF">
      <w:proofErr w:type="spellStart"/>
      <w:r>
        <w:t>Kular</w:t>
      </w:r>
      <w:proofErr w:type="spellEnd"/>
      <w:r>
        <w:t xml:space="preserve">, S., Gatenby, M., Rees, C., Soane, E. and Truss, K. (2008) </w:t>
      </w:r>
      <w:r w:rsidRPr="007262DE">
        <w:rPr>
          <w:i/>
          <w:iCs/>
        </w:rPr>
        <w:t>Employee Engagement: A Literature Review.</w:t>
      </w:r>
      <w:r>
        <w:rPr>
          <w:i/>
          <w:iCs/>
        </w:rPr>
        <w:t xml:space="preserve"> </w:t>
      </w:r>
      <w:r>
        <w:t xml:space="preserve">Available at: </w:t>
      </w:r>
      <w:hyperlink r:id="rId29" w:history="1">
        <w:r>
          <w:rPr>
            <w:rStyle w:val="Hyperlink"/>
          </w:rPr>
          <w:t>https://eprints.kingston.ac.uk/4192/1/19wempen.pdf</w:t>
        </w:r>
      </w:hyperlink>
      <w:r>
        <w:t xml:space="preserve"> [Accessed: 22 august 2019]</w:t>
      </w:r>
    </w:p>
    <w:p w14:paraId="3770818F" w14:textId="77777777" w:rsidR="006D77AF" w:rsidRDefault="006D77AF">
      <w:pPr>
        <w:rPr>
          <w:lang w:val="en-US"/>
        </w:rPr>
      </w:pPr>
      <w:r>
        <w:rPr>
          <w:lang w:val="en-US"/>
        </w:rPr>
        <w:t xml:space="preserve">MacLeod, D. and Clarke, N. (2009) </w:t>
      </w:r>
      <w:r w:rsidRPr="00AA75A6">
        <w:rPr>
          <w:i/>
          <w:iCs/>
          <w:lang w:val="en-US"/>
        </w:rPr>
        <w:t>Engaging for success: enhancing performance through employee engagement. A report to government</w:t>
      </w:r>
      <w:r>
        <w:rPr>
          <w:lang w:val="en-US"/>
        </w:rPr>
        <w:t>. London: Department for Business, Innovation and Skills.</w:t>
      </w:r>
    </w:p>
    <w:p w14:paraId="7227198C" w14:textId="77777777" w:rsidR="006D77AF" w:rsidRDefault="006D77AF">
      <w:r>
        <w:rPr>
          <w:lang w:val="en-US"/>
        </w:rPr>
        <w:t xml:space="preserve">Maslow’s Hierarchy of Needs (1954) in </w:t>
      </w:r>
      <w:r w:rsidRPr="000262A3">
        <w:rPr>
          <w:i/>
          <w:iCs/>
          <w:lang w:val="en-US"/>
        </w:rPr>
        <w:t>MacLeod, S.A (2007) CT2 Paper 1 – Maslow’s Hierarchy of Needs</w:t>
      </w:r>
      <w:r>
        <w:rPr>
          <w:lang w:val="en-US"/>
        </w:rPr>
        <w:t xml:space="preserve">. Available at: </w:t>
      </w:r>
      <w:hyperlink r:id="rId30" w:history="1">
        <w:r>
          <w:rPr>
            <w:rStyle w:val="Hyperlink"/>
          </w:rPr>
          <w:t>http://highgatecounselling.org.uk/members/certificate/CT2%20Paper%201.pdf</w:t>
        </w:r>
      </w:hyperlink>
      <w:r>
        <w:t xml:space="preserve"> [Accessed: 22 August 2019]</w:t>
      </w:r>
    </w:p>
    <w:p w14:paraId="610BFE74" w14:textId="77777777" w:rsidR="006D77AF" w:rsidRDefault="006D77AF">
      <w:r>
        <w:t xml:space="preserve">ONS (2019) </w:t>
      </w:r>
      <w:r>
        <w:rPr>
          <w:i/>
          <w:iCs/>
        </w:rPr>
        <w:t xml:space="preserve">Unemployment level by nationality (16+) – UK national: Thousands. </w:t>
      </w:r>
      <w:r>
        <w:t xml:space="preserve">Available at: </w:t>
      </w:r>
      <w:hyperlink r:id="rId31" w:history="1">
        <w:r>
          <w:rPr>
            <w:rStyle w:val="Hyperlink"/>
          </w:rPr>
          <w:t>https://www.ons.gov.uk/employmentandlabourmarket/peopleinwork/employmentandemployeetypes/timeseries/dswe/lms</w:t>
        </w:r>
      </w:hyperlink>
      <w:r>
        <w:t xml:space="preserve"> [Accessed: 16 August 2019] </w:t>
      </w:r>
    </w:p>
    <w:p w14:paraId="242D85E1" w14:textId="77777777" w:rsidR="006D77AF" w:rsidRDefault="006D77AF">
      <w:proofErr w:type="spellStart"/>
      <w:r>
        <w:t>Patro</w:t>
      </w:r>
      <w:proofErr w:type="spellEnd"/>
      <w:r>
        <w:t xml:space="preserve">, C.S. (2013) </w:t>
      </w:r>
      <w:r>
        <w:rPr>
          <w:i/>
          <w:iCs/>
        </w:rPr>
        <w:t xml:space="preserve">The impact of Employee Engagement on Organization’s Outcome. </w:t>
      </w:r>
      <w:r>
        <w:t xml:space="preserve">Available at: </w:t>
      </w:r>
      <w:hyperlink r:id="rId32" w:history="1">
        <w:r>
          <w:rPr>
            <w:rStyle w:val="Hyperlink"/>
          </w:rPr>
          <w:t>https://www.researchgate.net/publication/281967834_The_Impact_of_Employee_Engagement_on_Organization's_Productivity</w:t>
        </w:r>
      </w:hyperlink>
      <w:r>
        <w:t xml:space="preserve"> [Accessed: 21 August 2019]</w:t>
      </w:r>
    </w:p>
    <w:p w14:paraId="0175C522" w14:textId="77777777" w:rsidR="006D77AF" w:rsidRDefault="006D77AF">
      <w:r>
        <w:t xml:space="preserve">Purcell (2014) </w:t>
      </w:r>
      <w:r w:rsidRPr="003D33C5">
        <w:rPr>
          <w:i/>
          <w:iCs/>
        </w:rPr>
        <w:t>Disengaging from engagement</w:t>
      </w:r>
      <w:r>
        <w:t>. Human Resource Management Journal.  Vol 24, No.3. pp241-254.</w:t>
      </w:r>
    </w:p>
    <w:p w14:paraId="1E186C44" w14:textId="77777777" w:rsidR="006D77AF" w:rsidRDefault="006D77AF">
      <w:pPr>
        <w:rPr>
          <w:lang w:val="en-US"/>
        </w:rPr>
      </w:pPr>
      <w:r w:rsidRPr="006D77AF">
        <w:rPr>
          <w:lang w:val="en-US"/>
        </w:rPr>
        <w:t xml:space="preserve">Purcell, J. (2010) Building Employee Engagement. ACAS Policy Discussion Paper. </w:t>
      </w:r>
    </w:p>
    <w:p w14:paraId="29FE280D" w14:textId="77777777" w:rsidR="006D77AF" w:rsidRDefault="006D77AF">
      <w:r>
        <w:t xml:space="preserve">Purcell, J., Hutchinson, S., Kinnie, N., Rayton, B. and Swart, J. (2003) </w:t>
      </w:r>
      <w:r>
        <w:rPr>
          <w:i/>
          <w:iCs/>
        </w:rPr>
        <w:t xml:space="preserve">Understanding the peoplea nd performance link: unlocking the black box. </w:t>
      </w:r>
      <w:r>
        <w:t>London: Chartered Institute of Personnel and Development.</w:t>
      </w:r>
    </w:p>
    <w:p w14:paraId="1653344F" w14:textId="77777777" w:rsidR="006D77AF" w:rsidRDefault="006D77AF">
      <w:r>
        <w:t>Saks, A.M. (2006)</w:t>
      </w:r>
      <w:r>
        <w:rPr>
          <w:i/>
          <w:iCs/>
        </w:rPr>
        <w:t xml:space="preserve"> The antecendents and consequences of employee engagement. </w:t>
      </w:r>
      <w:r>
        <w:t xml:space="preserve">Journal of Managerial Psychology. Vol 21, No 7. </w:t>
      </w:r>
    </w:p>
    <w:p w14:paraId="110A71AA" w14:textId="77777777" w:rsidR="006D77AF" w:rsidRDefault="006D77AF">
      <w:r>
        <w:t xml:space="preserve">Truss, C. Alfes, K., Delbridge, R. and Soane, E. (2014) </w:t>
      </w:r>
      <w:r w:rsidRPr="003D33C5">
        <w:rPr>
          <w:i/>
          <w:iCs/>
        </w:rPr>
        <w:t>Employee engagement in theory and practice.</w:t>
      </w:r>
      <w:r>
        <w:t xml:space="preserve"> London: Routledge.</w:t>
      </w:r>
    </w:p>
    <w:p w14:paraId="58B73001" w14:textId="77777777" w:rsidR="006D77AF" w:rsidRDefault="006D77AF">
      <w:r>
        <w:t xml:space="preserve">West, M.A. and Dawson, J.F. (2012) </w:t>
      </w:r>
      <w:r w:rsidRPr="002C53AB">
        <w:rPr>
          <w:i/>
          <w:iCs/>
        </w:rPr>
        <w:t>Employee engagement and NHS performance</w:t>
      </w:r>
      <w:r>
        <w:t xml:space="preserve">. Available at: </w:t>
      </w:r>
      <w:hyperlink r:id="rId33" w:history="1">
        <w:r>
          <w:rPr>
            <w:rStyle w:val="Hyperlink"/>
          </w:rPr>
          <w:t>https://www.researchgate.net/profile/Jeremy_Dawson3/publication/266868148_Employee_engagement_and_NHS_performance/links/550036cc0cf260c99e8f884e.pdf</w:t>
        </w:r>
      </w:hyperlink>
      <w:r>
        <w:t>. [Accessed: 22 August 2019]</w:t>
      </w:r>
    </w:p>
    <w:p w14:paraId="06B98320" w14:textId="77777777" w:rsidR="006D77AF" w:rsidRDefault="006D77AF">
      <w:r>
        <w:lastRenderedPageBreak/>
        <w:t xml:space="preserve">West, M.A. and Dawson, J.F. (2018) </w:t>
      </w:r>
      <w:r w:rsidRPr="002C53AB">
        <w:rPr>
          <w:i/>
          <w:iCs/>
        </w:rPr>
        <w:t>Employee engagement, sickness absence and agency spend in NHS trusts</w:t>
      </w:r>
      <w:r>
        <w:t xml:space="preserve">. Available at: </w:t>
      </w:r>
      <w:hyperlink r:id="rId34" w:history="1">
        <w:r>
          <w:rPr>
            <w:rStyle w:val="Hyperlink"/>
          </w:rPr>
          <w:t>https://www.england.nhs.uk/wp-content/uploads/2018/03/wres-engagement-absence-agency-spend.pdf</w:t>
        </w:r>
      </w:hyperlink>
      <w:r>
        <w:t xml:space="preserve"> [Accessed: 22 August 2019]</w:t>
      </w:r>
      <w:bookmarkEnd w:id="0"/>
    </w:p>
    <w:sectPr w:rsidR="006D77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3D244D"/>
    <w:multiLevelType w:val="hybridMultilevel"/>
    <w:tmpl w:val="6178D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4F4D40"/>
    <w:multiLevelType w:val="hybridMultilevel"/>
    <w:tmpl w:val="A510F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CE2132"/>
    <w:multiLevelType w:val="hybridMultilevel"/>
    <w:tmpl w:val="4D74DB5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68B420C2"/>
    <w:multiLevelType w:val="hybridMultilevel"/>
    <w:tmpl w:val="DE723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072892"/>
    <w:multiLevelType w:val="multilevel"/>
    <w:tmpl w:val="5240F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C24"/>
    <w:rsid w:val="000262A3"/>
    <w:rsid w:val="00076320"/>
    <w:rsid w:val="00094821"/>
    <w:rsid w:val="00114858"/>
    <w:rsid w:val="001A5C28"/>
    <w:rsid w:val="001F1374"/>
    <w:rsid w:val="00262A02"/>
    <w:rsid w:val="00283217"/>
    <w:rsid w:val="002C53AB"/>
    <w:rsid w:val="003013D8"/>
    <w:rsid w:val="00327DBC"/>
    <w:rsid w:val="003D33C5"/>
    <w:rsid w:val="004321ED"/>
    <w:rsid w:val="004329CC"/>
    <w:rsid w:val="00444844"/>
    <w:rsid w:val="00455E24"/>
    <w:rsid w:val="004A3AB3"/>
    <w:rsid w:val="004B1787"/>
    <w:rsid w:val="005457EB"/>
    <w:rsid w:val="00573236"/>
    <w:rsid w:val="0064284C"/>
    <w:rsid w:val="006A1FE0"/>
    <w:rsid w:val="006B2C62"/>
    <w:rsid w:val="006D77AF"/>
    <w:rsid w:val="006E28FB"/>
    <w:rsid w:val="007262DE"/>
    <w:rsid w:val="00733C39"/>
    <w:rsid w:val="00744768"/>
    <w:rsid w:val="00752CD7"/>
    <w:rsid w:val="007650D3"/>
    <w:rsid w:val="00773294"/>
    <w:rsid w:val="007753F3"/>
    <w:rsid w:val="007C1C24"/>
    <w:rsid w:val="0084397A"/>
    <w:rsid w:val="00853F32"/>
    <w:rsid w:val="00880B50"/>
    <w:rsid w:val="00896136"/>
    <w:rsid w:val="008B424E"/>
    <w:rsid w:val="009723D5"/>
    <w:rsid w:val="009C247E"/>
    <w:rsid w:val="00A245A8"/>
    <w:rsid w:val="00A26DE2"/>
    <w:rsid w:val="00AA75A6"/>
    <w:rsid w:val="00B27E42"/>
    <w:rsid w:val="00B475EA"/>
    <w:rsid w:val="00B6039E"/>
    <w:rsid w:val="00BC3282"/>
    <w:rsid w:val="00C33477"/>
    <w:rsid w:val="00C541F9"/>
    <w:rsid w:val="00CC2152"/>
    <w:rsid w:val="00CC4F95"/>
    <w:rsid w:val="00DC6E15"/>
    <w:rsid w:val="00DE35FB"/>
    <w:rsid w:val="00E36FC3"/>
    <w:rsid w:val="00E73F14"/>
    <w:rsid w:val="00E86FDC"/>
    <w:rsid w:val="00E92D25"/>
    <w:rsid w:val="00EC4CCC"/>
    <w:rsid w:val="00F80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CD2BE"/>
  <w15:chartTrackingRefBased/>
  <w15:docId w15:val="{7479AC74-0C25-4447-BB01-04EC0A219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B603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E36F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47E"/>
    <w:pPr>
      <w:ind w:left="720"/>
      <w:contextualSpacing/>
    </w:pPr>
  </w:style>
  <w:style w:type="character" w:styleId="Hyperlink">
    <w:name w:val="Hyperlink"/>
    <w:basedOn w:val="DefaultParagraphFont"/>
    <w:uiPriority w:val="99"/>
    <w:semiHidden/>
    <w:unhideWhenUsed/>
    <w:rsid w:val="00283217"/>
    <w:rPr>
      <w:color w:val="0000FF"/>
      <w:u w:val="single"/>
    </w:rPr>
  </w:style>
  <w:style w:type="paragraph" w:styleId="NormalWeb">
    <w:name w:val="Normal (Web)"/>
    <w:basedOn w:val="Normal"/>
    <w:uiPriority w:val="99"/>
    <w:semiHidden/>
    <w:unhideWhenUsed/>
    <w:rsid w:val="000948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6039E"/>
    <w:rPr>
      <w:rFonts w:ascii="Times New Roman" w:eastAsia="Times New Roman" w:hAnsi="Times New Roman" w:cs="Times New Roman"/>
      <w:b/>
      <w:bCs/>
      <w:kern w:val="36"/>
      <w:sz w:val="48"/>
      <w:szCs w:val="48"/>
      <w:lang w:eastAsia="en-GB"/>
    </w:rPr>
  </w:style>
  <w:style w:type="character" w:customStyle="1" w:styleId="a">
    <w:name w:val="_"/>
    <w:basedOn w:val="DefaultParagraphFont"/>
    <w:rsid w:val="004A3AB3"/>
  </w:style>
  <w:style w:type="character" w:customStyle="1" w:styleId="Heading2Char">
    <w:name w:val="Heading 2 Char"/>
    <w:basedOn w:val="DefaultParagraphFont"/>
    <w:link w:val="Heading2"/>
    <w:uiPriority w:val="9"/>
    <w:semiHidden/>
    <w:rsid w:val="00E36FC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27213">
      <w:bodyDiv w:val="1"/>
      <w:marLeft w:val="0"/>
      <w:marRight w:val="0"/>
      <w:marTop w:val="0"/>
      <w:marBottom w:val="0"/>
      <w:divBdr>
        <w:top w:val="none" w:sz="0" w:space="0" w:color="auto"/>
        <w:left w:val="none" w:sz="0" w:space="0" w:color="auto"/>
        <w:bottom w:val="none" w:sz="0" w:space="0" w:color="auto"/>
        <w:right w:val="none" w:sz="0" w:space="0" w:color="auto"/>
      </w:divBdr>
      <w:divsChild>
        <w:div w:id="1221792618">
          <w:marLeft w:val="0"/>
          <w:marRight w:val="0"/>
          <w:marTop w:val="0"/>
          <w:marBottom w:val="0"/>
          <w:divBdr>
            <w:top w:val="none" w:sz="0" w:space="0" w:color="auto"/>
            <w:left w:val="none" w:sz="0" w:space="0" w:color="auto"/>
            <w:bottom w:val="none" w:sz="0" w:space="0" w:color="auto"/>
            <w:right w:val="none" w:sz="0" w:space="0" w:color="auto"/>
          </w:divBdr>
        </w:div>
        <w:div w:id="1637686791">
          <w:marLeft w:val="0"/>
          <w:marRight w:val="0"/>
          <w:marTop w:val="0"/>
          <w:marBottom w:val="0"/>
          <w:divBdr>
            <w:top w:val="none" w:sz="0" w:space="0" w:color="auto"/>
            <w:left w:val="none" w:sz="0" w:space="0" w:color="auto"/>
            <w:bottom w:val="none" w:sz="0" w:space="0" w:color="auto"/>
            <w:right w:val="none" w:sz="0" w:space="0" w:color="auto"/>
          </w:divBdr>
          <w:divsChild>
            <w:div w:id="428813654">
              <w:marLeft w:val="150"/>
              <w:marRight w:val="-675"/>
              <w:marTop w:val="0"/>
              <w:marBottom w:val="75"/>
              <w:divBdr>
                <w:top w:val="none" w:sz="0" w:space="0" w:color="auto"/>
                <w:left w:val="none" w:sz="0" w:space="0" w:color="auto"/>
                <w:bottom w:val="none" w:sz="0" w:space="0" w:color="auto"/>
                <w:right w:val="none" w:sz="0" w:space="0" w:color="auto"/>
              </w:divBdr>
              <w:divsChild>
                <w:div w:id="17699833">
                  <w:marLeft w:val="0"/>
                  <w:marRight w:val="0"/>
                  <w:marTop w:val="0"/>
                  <w:marBottom w:val="0"/>
                  <w:divBdr>
                    <w:top w:val="none" w:sz="0" w:space="0" w:color="auto"/>
                    <w:left w:val="none" w:sz="0" w:space="0" w:color="auto"/>
                    <w:bottom w:val="none" w:sz="0" w:space="0" w:color="auto"/>
                    <w:right w:val="none" w:sz="0" w:space="0" w:color="auto"/>
                  </w:divBdr>
                  <w:divsChild>
                    <w:div w:id="1460338858">
                      <w:marLeft w:val="0"/>
                      <w:marRight w:val="0"/>
                      <w:marTop w:val="0"/>
                      <w:marBottom w:val="0"/>
                      <w:divBdr>
                        <w:top w:val="none" w:sz="0" w:space="0" w:color="auto"/>
                        <w:left w:val="none" w:sz="0" w:space="0" w:color="auto"/>
                        <w:bottom w:val="none" w:sz="0" w:space="0" w:color="auto"/>
                        <w:right w:val="none" w:sz="0" w:space="0" w:color="auto"/>
                      </w:divBdr>
                    </w:div>
                    <w:div w:id="2035887627">
                      <w:marLeft w:val="0"/>
                      <w:marRight w:val="0"/>
                      <w:marTop w:val="0"/>
                      <w:marBottom w:val="720"/>
                      <w:divBdr>
                        <w:top w:val="none" w:sz="0" w:space="0" w:color="auto"/>
                        <w:left w:val="none" w:sz="0" w:space="0" w:color="auto"/>
                        <w:bottom w:val="none" w:sz="0" w:space="0" w:color="auto"/>
                        <w:right w:val="none" w:sz="0" w:space="0" w:color="auto"/>
                      </w:divBdr>
                    </w:div>
                  </w:divsChild>
                </w:div>
                <w:div w:id="1374765081">
                  <w:marLeft w:val="150"/>
                  <w:marRight w:val="675"/>
                  <w:marTop w:val="225"/>
                  <w:marBottom w:val="0"/>
                  <w:divBdr>
                    <w:top w:val="none" w:sz="0" w:space="0" w:color="auto"/>
                    <w:left w:val="none" w:sz="0" w:space="0" w:color="auto"/>
                    <w:bottom w:val="single" w:sz="6" w:space="15" w:color="999999"/>
                    <w:right w:val="none" w:sz="0" w:space="0" w:color="auto"/>
                  </w:divBdr>
                </w:div>
              </w:divsChild>
            </w:div>
          </w:divsChild>
        </w:div>
      </w:divsChild>
    </w:div>
    <w:div w:id="411239464">
      <w:bodyDiv w:val="1"/>
      <w:marLeft w:val="0"/>
      <w:marRight w:val="0"/>
      <w:marTop w:val="0"/>
      <w:marBottom w:val="0"/>
      <w:divBdr>
        <w:top w:val="none" w:sz="0" w:space="0" w:color="auto"/>
        <w:left w:val="none" w:sz="0" w:space="0" w:color="auto"/>
        <w:bottom w:val="none" w:sz="0" w:space="0" w:color="auto"/>
        <w:right w:val="none" w:sz="0" w:space="0" w:color="auto"/>
      </w:divBdr>
    </w:div>
    <w:div w:id="470637416">
      <w:bodyDiv w:val="1"/>
      <w:marLeft w:val="0"/>
      <w:marRight w:val="0"/>
      <w:marTop w:val="0"/>
      <w:marBottom w:val="0"/>
      <w:divBdr>
        <w:top w:val="none" w:sz="0" w:space="0" w:color="auto"/>
        <w:left w:val="none" w:sz="0" w:space="0" w:color="auto"/>
        <w:bottom w:val="none" w:sz="0" w:space="0" w:color="auto"/>
        <w:right w:val="none" w:sz="0" w:space="0" w:color="auto"/>
      </w:divBdr>
    </w:div>
    <w:div w:id="725228679">
      <w:bodyDiv w:val="1"/>
      <w:marLeft w:val="0"/>
      <w:marRight w:val="0"/>
      <w:marTop w:val="0"/>
      <w:marBottom w:val="0"/>
      <w:divBdr>
        <w:top w:val="none" w:sz="0" w:space="0" w:color="auto"/>
        <w:left w:val="none" w:sz="0" w:space="0" w:color="auto"/>
        <w:bottom w:val="none" w:sz="0" w:space="0" w:color="auto"/>
        <w:right w:val="none" w:sz="0" w:space="0" w:color="auto"/>
      </w:divBdr>
    </w:div>
    <w:div w:id="858935863">
      <w:bodyDiv w:val="1"/>
      <w:marLeft w:val="0"/>
      <w:marRight w:val="0"/>
      <w:marTop w:val="0"/>
      <w:marBottom w:val="0"/>
      <w:divBdr>
        <w:top w:val="none" w:sz="0" w:space="0" w:color="auto"/>
        <w:left w:val="none" w:sz="0" w:space="0" w:color="auto"/>
        <w:bottom w:val="none" w:sz="0" w:space="0" w:color="auto"/>
        <w:right w:val="none" w:sz="0" w:space="0" w:color="auto"/>
      </w:divBdr>
    </w:div>
    <w:div w:id="931402136">
      <w:bodyDiv w:val="1"/>
      <w:marLeft w:val="0"/>
      <w:marRight w:val="0"/>
      <w:marTop w:val="0"/>
      <w:marBottom w:val="0"/>
      <w:divBdr>
        <w:top w:val="none" w:sz="0" w:space="0" w:color="auto"/>
        <w:left w:val="none" w:sz="0" w:space="0" w:color="auto"/>
        <w:bottom w:val="none" w:sz="0" w:space="0" w:color="auto"/>
        <w:right w:val="none" w:sz="0" w:space="0" w:color="auto"/>
      </w:divBdr>
    </w:div>
    <w:div w:id="1203596332">
      <w:bodyDiv w:val="1"/>
      <w:marLeft w:val="0"/>
      <w:marRight w:val="0"/>
      <w:marTop w:val="0"/>
      <w:marBottom w:val="0"/>
      <w:divBdr>
        <w:top w:val="none" w:sz="0" w:space="0" w:color="auto"/>
        <w:left w:val="none" w:sz="0" w:space="0" w:color="auto"/>
        <w:bottom w:val="none" w:sz="0" w:space="0" w:color="auto"/>
        <w:right w:val="none" w:sz="0" w:space="0" w:color="auto"/>
      </w:divBdr>
    </w:div>
    <w:div w:id="1509446687">
      <w:bodyDiv w:val="1"/>
      <w:marLeft w:val="0"/>
      <w:marRight w:val="0"/>
      <w:marTop w:val="0"/>
      <w:marBottom w:val="0"/>
      <w:divBdr>
        <w:top w:val="none" w:sz="0" w:space="0" w:color="auto"/>
        <w:left w:val="none" w:sz="0" w:space="0" w:color="auto"/>
        <w:bottom w:val="none" w:sz="0" w:space="0" w:color="auto"/>
        <w:right w:val="none" w:sz="0" w:space="0" w:color="auto"/>
      </w:divBdr>
      <w:divsChild>
        <w:div w:id="2114742407">
          <w:marLeft w:val="0"/>
          <w:marRight w:val="0"/>
          <w:marTop w:val="0"/>
          <w:marBottom w:val="0"/>
          <w:divBdr>
            <w:top w:val="none" w:sz="0" w:space="0" w:color="auto"/>
            <w:left w:val="none" w:sz="0" w:space="0" w:color="auto"/>
            <w:bottom w:val="none" w:sz="0" w:space="0" w:color="auto"/>
            <w:right w:val="none" w:sz="0" w:space="0" w:color="auto"/>
          </w:divBdr>
        </w:div>
        <w:div w:id="1431119183">
          <w:marLeft w:val="0"/>
          <w:marRight w:val="0"/>
          <w:marTop w:val="0"/>
          <w:marBottom w:val="0"/>
          <w:divBdr>
            <w:top w:val="none" w:sz="0" w:space="0" w:color="auto"/>
            <w:left w:val="none" w:sz="0" w:space="0" w:color="auto"/>
            <w:bottom w:val="none" w:sz="0" w:space="0" w:color="auto"/>
            <w:right w:val="none" w:sz="0" w:space="0" w:color="auto"/>
          </w:divBdr>
          <w:divsChild>
            <w:div w:id="1571427235">
              <w:marLeft w:val="150"/>
              <w:marRight w:val="-675"/>
              <w:marTop w:val="0"/>
              <w:marBottom w:val="75"/>
              <w:divBdr>
                <w:top w:val="none" w:sz="0" w:space="0" w:color="auto"/>
                <w:left w:val="none" w:sz="0" w:space="0" w:color="auto"/>
                <w:bottom w:val="none" w:sz="0" w:space="0" w:color="auto"/>
                <w:right w:val="none" w:sz="0" w:space="0" w:color="auto"/>
              </w:divBdr>
              <w:divsChild>
                <w:div w:id="693068935">
                  <w:marLeft w:val="0"/>
                  <w:marRight w:val="0"/>
                  <w:marTop w:val="0"/>
                  <w:marBottom w:val="0"/>
                  <w:divBdr>
                    <w:top w:val="none" w:sz="0" w:space="0" w:color="auto"/>
                    <w:left w:val="none" w:sz="0" w:space="0" w:color="auto"/>
                    <w:bottom w:val="none" w:sz="0" w:space="0" w:color="auto"/>
                    <w:right w:val="none" w:sz="0" w:space="0" w:color="auto"/>
                  </w:divBdr>
                  <w:divsChild>
                    <w:div w:id="693774492">
                      <w:marLeft w:val="0"/>
                      <w:marRight w:val="0"/>
                      <w:marTop w:val="0"/>
                      <w:marBottom w:val="0"/>
                      <w:divBdr>
                        <w:top w:val="none" w:sz="0" w:space="0" w:color="auto"/>
                        <w:left w:val="none" w:sz="0" w:space="0" w:color="auto"/>
                        <w:bottom w:val="none" w:sz="0" w:space="0" w:color="auto"/>
                        <w:right w:val="none" w:sz="0" w:space="0" w:color="auto"/>
                      </w:divBdr>
                    </w:div>
                    <w:div w:id="108089748">
                      <w:marLeft w:val="0"/>
                      <w:marRight w:val="0"/>
                      <w:marTop w:val="0"/>
                      <w:marBottom w:val="720"/>
                      <w:divBdr>
                        <w:top w:val="none" w:sz="0" w:space="0" w:color="auto"/>
                        <w:left w:val="none" w:sz="0" w:space="0" w:color="auto"/>
                        <w:bottom w:val="none" w:sz="0" w:space="0" w:color="auto"/>
                        <w:right w:val="none" w:sz="0" w:space="0" w:color="auto"/>
                      </w:divBdr>
                    </w:div>
                  </w:divsChild>
                </w:div>
                <w:div w:id="628978181">
                  <w:marLeft w:val="150"/>
                  <w:marRight w:val="675"/>
                  <w:marTop w:val="225"/>
                  <w:marBottom w:val="0"/>
                  <w:divBdr>
                    <w:top w:val="none" w:sz="0" w:space="0" w:color="auto"/>
                    <w:left w:val="none" w:sz="0" w:space="0" w:color="auto"/>
                    <w:bottom w:val="single" w:sz="6" w:space="15" w:color="999999"/>
                    <w:right w:val="none" w:sz="0" w:space="0" w:color="auto"/>
                  </w:divBdr>
                </w:div>
              </w:divsChild>
            </w:div>
          </w:divsChild>
        </w:div>
      </w:divsChild>
    </w:div>
    <w:div w:id="1802724049">
      <w:bodyDiv w:val="1"/>
      <w:marLeft w:val="0"/>
      <w:marRight w:val="0"/>
      <w:marTop w:val="0"/>
      <w:marBottom w:val="0"/>
      <w:divBdr>
        <w:top w:val="none" w:sz="0" w:space="0" w:color="auto"/>
        <w:left w:val="none" w:sz="0" w:space="0" w:color="auto"/>
        <w:bottom w:val="none" w:sz="0" w:space="0" w:color="auto"/>
        <w:right w:val="none" w:sz="0" w:space="0" w:color="auto"/>
      </w:divBdr>
      <w:divsChild>
        <w:div w:id="1591084612">
          <w:marLeft w:val="0"/>
          <w:marRight w:val="0"/>
          <w:marTop w:val="0"/>
          <w:marBottom w:val="360"/>
          <w:divBdr>
            <w:top w:val="none" w:sz="0" w:space="0" w:color="auto"/>
            <w:left w:val="none" w:sz="0" w:space="0" w:color="auto"/>
            <w:bottom w:val="none" w:sz="0" w:space="0" w:color="auto"/>
            <w:right w:val="none" w:sz="0" w:space="0" w:color="auto"/>
          </w:divBdr>
          <w:divsChild>
            <w:div w:id="2057313448">
              <w:marLeft w:val="1500"/>
              <w:marRight w:val="0"/>
              <w:marTop w:val="0"/>
              <w:marBottom w:val="0"/>
              <w:divBdr>
                <w:top w:val="none" w:sz="0" w:space="0" w:color="auto"/>
                <w:left w:val="none" w:sz="0" w:space="0" w:color="auto"/>
                <w:bottom w:val="single" w:sz="6" w:space="15" w:color="999999"/>
                <w:right w:val="none" w:sz="0" w:space="0" w:color="auto"/>
              </w:divBdr>
              <w:divsChild>
                <w:div w:id="416823987">
                  <w:marLeft w:val="-225"/>
                  <w:marRight w:val="-225"/>
                  <w:marTop w:val="0"/>
                  <w:marBottom w:val="0"/>
                  <w:divBdr>
                    <w:top w:val="none" w:sz="0" w:space="0" w:color="auto"/>
                    <w:left w:val="none" w:sz="0" w:space="0" w:color="auto"/>
                    <w:bottom w:val="none" w:sz="0" w:space="0" w:color="auto"/>
                    <w:right w:val="none" w:sz="0" w:space="0" w:color="auto"/>
                  </w:divBdr>
                  <w:divsChild>
                    <w:div w:id="2001538039">
                      <w:marLeft w:val="0"/>
                      <w:marRight w:val="0"/>
                      <w:marTop w:val="0"/>
                      <w:marBottom w:val="0"/>
                      <w:divBdr>
                        <w:top w:val="none" w:sz="0" w:space="0" w:color="auto"/>
                        <w:left w:val="none" w:sz="0" w:space="0" w:color="auto"/>
                        <w:bottom w:val="none" w:sz="0" w:space="0" w:color="auto"/>
                        <w:right w:val="none" w:sz="0" w:space="0" w:color="auto"/>
                      </w:divBdr>
                      <w:divsChild>
                        <w:div w:id="1925800397">
                          <w:marLeft w:val="0"/>
                          <w:marRight w:val="0"/>
                          <w:marTop w:val="0"/>
                          <w:marBottom w:val="0"/>
                          <w:divBdr>
                            <w:top w:val="none" w:sz="0" w:space="0" w:color="auto"/>
                            <w:left w:val="none" w:sz="0" w:space="0" w:color="auto"/>
                            <w:bottom w:val="none" w:sz="0" w:space="0" w:color="auto"/>
                            <w:right w:val="none" w:sz="0" w:space="0" w:color="auto"/>
                          </w:divBdr>
                        </w:div>
                        <w:div w:id="1889409629">
                          <w:marLeft w:val="0"/>
                          <w:marRight w:val="0"/>
                          <w:marTop w:val="0"/>
                          <w:marBottom w:val="0"/>
                          <w:divBdr>
                            <w:top w:val="none" w:sz="0" w:space="0" w:color="auto"/>
                            <w:left w:val="none" w:sz="0" w:space="0" w:color="auto"/>
                            <w:bottom w:val="none" w:sz="0" w:space="0" w:color="auto"/>
                            <w:right w:val="none" w:sz="0" w:space="0" w:color="auto"/>
                          </w:divBdr>
                          <w:divsChild>
                            <w:div w:id="1301619610">
                              <w:marLeft w:val="150"/>
                              <w:marRight w:val="-675"/>
                              <w:marTop w:val="0"/>
                              <w:marBottom w:val="75"/>
                              <w:divBdr>
                                <w:top w:val="none" w:sz="0" w:space="0" w:color="auto"/>
                                <w:left w:val="none" w:sz="0" w:space="0" w:color="auto"/>
                                <w:bottom w:val="none" w:sz="0" w:space="0" w:color="auto"/>
                                <w:right w:val="none" w:sz="0" w:space="0" w:color="auto"/>
                              </w:divBdr>
                              <w:divsChild>
                                <w:div w:id="635186228">
                                  <w:marLeft w:val="0"/>
                                  <w:marRight w:val="0"/>
                                  <w:marTop w:val="0"/>
                                  <w:marBottom w:val="0"/>
                                  <w:divBdr>
                                    <w:top w:val="none" w:sz="0" w:space="0" w:color="auto"/>
                                    <w:left w:val="none" w:sz="0" w:space="0" w:color="auto"/>
                                    <w:bottom w:val="none" w:sz="0" w:space="0" w:color="auto"/>
                                    <w:right w:val="none" w:sz="0" w:space="0" w:color="auto"/>
                                  </w:divBdr>
                                  <w:divsChild>
                                    <w:div w:id="466972747">
                                      <w:marLeft w:val="0"/>
                                      <w:marRight w:val="0"/>
                                      <w:marTop w:val="0"/>
                                      <w:marBottom w:val="0"/>
                                      <w:divBdr>
                                        <w:top w:val="none" w:sz="0" w:space="0" w:color="auto"/>
                                        <w:left w:val="none" w:sz="0" w:space="0" w:color="auto"/>
                                        <w:bottom w:val="none" w:sz="0" w:space="0" w:color="auto"/>
                                        <w:right w:val="none" w:sz="0" w:space="0" w:color="auto"/>
                                      </w:divBdr>
                                    </w:div>
                                    <w:div w:id="556086467">
                                      <w:marLeft w:val="0"/>
                                      <w:marRight w:val="0"/>
                                      <w:marTop w:val="0"/>
                                      <w:marBottom w:val="720"/>
                                      <w:divBdr>
                                        <w:top w:val="none" w:sz="0" w:space="0" w:color="auto"/>
                                        <w:left w:val="none" w:sz="0" w:space="0" w:color="auto"/>
                                        <w:bottom w:val="none" w:sz="0" w:space="0" w:color="auto"/>
                                        <w:right w:val="none" w:sz="0" w:space="0" w:color="auto"/>
                                      </w:divBdr>
                                    </w:div>
                                  </w:divsChild>
                                </w:div>
                                <w:div w:id="1560937130">
                                  <w:marLeft w:val="150"/>
                                  <w:marRight w:val="675"/>
                                  <w:marTop w:val="225"/>
                                  <w:marBottom w:val="0"/>
                                  <w:divBdr>
                                    <w:top w:val="none" w:sz="0" w:space="0" w:color="auto"/>
                                    <w:left w:val="none" w:sz="0" w:space="0" w:color="auto"/>
                                    <w:bottom w:val="single" w:sz="6" w:space="15" w:color="999999"/>
                                    <w:right w:val="none" w:sz="0" w:space="0" w:color="auto"/>
                                  </w:divBdr>
                                </w:div>
                              </w:divsChild>
                            </w:div>
                          </w:divsChild>
                        </w:div>
                      </w:divsChild>
                    </w:div>
                  </w:divsChild>
                </w:div>
              </w:divsChild>
            </w:div>
          </w:divsChild>
        </w:div>
        <w:div w:id="1566453305">
          <w:marLeft w:val="0"/>
          <w:marRight w:val="0"/>
          <w:marTop w:val="0"/>
          <w:marBottom w:val="360"/>
          <w:divBdr>
            <w:top w:val="none" w:sz="0" w:space="0" w:color="auto"/>
            <w:left w:val="none" w:sz="0" w:space="0" w:color="auto"/>
            <w:bottom w:val="none" w:sz="0" w:space="0" w:color="auto"/>
            <w:right w:val="none" w:sz="0" w:space="0" w:color="auto"/>
          </w:divBdr>
          <w:divsChild>
            <w:div w:id="1711609431">
              <w:marLeft w:val="0"/>
              <w:marRight w:val="0"/>
              <w:marTop w:val="0"/>
              <w:marBottom w:val="0"/>
              <w:divBdr>
                <w:top w:val="none" w:sz="0" w:space="0" w:color="auto"/>
                <w:left w:val="none" w:sz="0" w:space="0" w:color="auto"/>
                <w:bottom w:val="none" w:sz="0" w:space="0" w:color="auto"/>
                <w:right w:val="none" w:sz="0" w:space="0" w:color="auto"/>
              </w:divBdr>
            </w:div>
            <w:div w:id="305207297">
              <w:marLeft w:val="1500"/>
              <w:marRight w:val="0"/>
              <w:marTop w:val="0"/>
              <w:marBottom w:val="0"/>
              <w:divBdr>
                <w:top w:val="none" w:sz="0" w:space="0" w:color="auto"/>
                <w:left w:val="none" w:sz="0" w:space="0" w:color="auto"/>
                <w:bottom w:val="single" w:sz="6" w:space="15" w:color="999999"/>
                <w:right w:val="none" w:sz="0" w:space="0" w:color="auto"/>
              </w:divBdr>
              <w:divsChild>
                <w:div w:id="1323581355">
                  <w:marLeft w:val="-225"/>
                  <w:marRight w:val="-225"/>
                  <w:marTop w:val="0"/>
                  <w:marBottom w:val="0"/>
                  <w:divBdr>
                    <w:top w:val="none" w:sz="0" w:space="0" w:color="auto"/>
                    <w:left w:val="none" w:sz="0" w:space="0" w:color="auto"/>
                    <w:bottom w:val="none" w:sz="0" w:space="0" w:color="auto"/>
                    <w:right w:val="none" w:sz="0" w:space="0" w:color="auto"/>
                  </w:divBdr>
                  <w:divsChild>
                    <w:div w:id="1877236424">
                      <w:marLeft w:val="0"/>
                      <w:marRight w:val="0"/>
                      <w:marTop w:val="0"/>
                      <w:marBottom w:val="0"/>
                      <w:divBdr>
                        <w:top w:val="none" w:sz="0" w:space="0" w:color="auto"/>
                        <w:left w:val="none" w:sz="0" w:space="0" w:color="auto"/>
                        <w:bottom w:val="none" w:sz="0" w:space="0" w:color="auto"/>
                        <w:right w:val="none" w:sz="0" w:space="0" w:color="auto"/>
                      </w:divBdr>
                      <w:divsChild>
                        <w:div w:id="288828134">
                          <w:marLeft w:val="0"/>
                          <w:marRight w:val="0"/>
                          <w:marTop w:val="0"/>
                          <w:marBottom w:val="0"/>
                          <w:divBdr>
                            <w:top w:val="none" w:sz="0" w:space="0" w:color="auto"/>
                            <w:left w:val="none" w:sz="0" w:space="0" w:color="auto"/>
                            <w:bottom w:val="none" w:sz="0" w:space="0" w:color="auto"/>
                            <w:right w:val="none" w:sz="0" w:space="0" w:color="auto"/>
                          </w:divBdr>
                        </w:div>
                        <w:div w:id="159542382">
                          <w:marLeft w:val="0"/>
                          <w:marRight w:val="0"/>
                          <w:marTop w:val="0"/>
                          <w:marBottom w:val="0"/>
                          <w:divBdr>
                            <w:top w:val="none" w:sz="0" w:space="0" w:color="auto"/>
                            <w:left w:val="none" w:sz="0" w:space="0" w:color="auto"/>
                            <w:bottom w:val="none" w:sz="0" w:space="0" w:color="auto"/>
                            <w:right w:val="none" w:sz="0" w:space="0" w:color="auto"/>
                          </w:divBdr>
                          <w:divsChild>
                            <w:div w:id="1774395761">
                              <w:marLeft w:val="150"/>
                              <w:marRight w:val="-675"/>
                              <w:marTop w:val="0"/>
                              <w:marBottom w:val="75"/>
                              <w:divBdr>
                                <w:top w:val="none" w:sz="0" w:space="0" w:color="auto"/>
                                <w:left w:val="none" w:sz="0" w:space="0" w:color="auto"/>
                                <w:bottom w:val="none" w:sz="0" w:space="0" w:color="auto"/>
                                <w:right w:val="none" w:sz="0" w:space="0" w:color="auto"/>
                              </w:divBdr>
                              <w:divsChild>
                                <w:div w:id="1817601490">
                                  <w:marLeft w:val="0"/>
                                  <w:marRight w:val="0"/>
                                  <w:marTop w:val="0"/>
                                  <w:marBottom w:val="0"/>
                                  <w:divBdr>
                                    <w:top w:val="none" w:sz="0" w:space="0" w:color="auto"/>
                                    <w:left w:val="none" w:sz="0" w:space="0" w:color="auto"/>
                                    <w:bottom w:val="none" w:sz="0" w:space="0" w:color="auto"/>
                                    <w:right w:val="none" w:sz="0" w:space="0" w:color="auto"/>
                                  </w:divBdr>
                                  <w:divsChild>
                                    <w:div w:id="1112630097">
                                      <w:marLeft w:val="0"/>
                                      <w:marRight w:val="0"/>
                                      <w:marTop w:val="0"/>
                                      <w:marBottom w:val="0"/>
                                      <w:divBdr>
                                        <w:top w:val="none" w:sz="0" w:space="0" w:color="auto"/>
                                        <w:left w:val="none" w:sz="0" w:space="0" w:color="auto"/>
                                        <w:bottom w:val="none" w:sz="0" w:space="0" w:color="auto"/>
                                        <w:right w:val="none" w:sz="0" w:space="0" w:color="auto"/>
                                      </w:divBdr>
                                    </w:div>
                                    <w:div w:id="1248226971">
                                      <w:marLeft w:val="0"/>
                                      <w:marRight w:val="0"/>
                                      <w:marTop w:val="0"/>
                                      <w:marBottom w:val="720"/>
                                      <w:divBdr>
                                        <w:top w:val="none" w:sz="0" w:space="0" w:color="auto"/>
                                        <w:left w:val="none" w:sz="0" w:space="0" w:color="auto"/>
                                        <w:bottom w:val="none" w:sz="0" w:space="0" w:color="auto"/>
                                        <w:right w:val="none" w:sz="0" w:space="0" w:color="auto"/>
                                      </w:divBdr>
                                    </w:div>
                                  </w:divsChild>
                                </w:div>
                                <w:div w:id="1180201684">
                                  <w:marLeft w:val="150"/>
                                  <w:marRight w:val="675"/>
                                  <w:marTop w:val="225"/>
                                  <w:marBottom w:val="0"/>
                                  <w:divBdr>
                                    <w:top w:val="none" w:sz="0" w:space="0" w:color="auto"/>
                                    <w:left w:val="none" w:sz="0" w:space="0" w:color="auto"/>
                                    <w:bottom w:val="single" w:sz="6" w:space="15" w:color="999999"/>
                                    <w:right w:val="none" w:sz="0" w:space="0" w:color="auto"/>
                                  </w:divBdr>
                                </w:div>
                              </w:divsChild>
                            </w:div>
                          </w:divsChild>
                        </w:div>
                      </w:divsChild>
                    </w:div>
                  </w:divsChild>
                </w:div>
              </w:divsChild>
            </w:div>
          </w:divsChild>
        </w:div>
        <w:div w:id="1850020364">
          <w:marLeft w:val="0"/>
          <w:marRight w:val="0"/>
          <w:marTop w:val="0"/>
          <w:marBottom w:val="360"/>
          <w:divBdr>
            <w:top w:val="none" w:sz="0" w:space="0" w:color="auto"/>
            <w:left w:val="none" w:sz="0" w:space="0" w:color="auto"/>
            <w:bottom w:val="none" w:sz="0" w:space="0" w:color="auto"/>
            <w:right w:val="none" w:sz="0" w:space="0" w:color="auto"/>
          </w:divBdr>
          <w:divsChild>
            <w:div w:id="1487017532">
              <w:marLeft w:val="0"/>
              <w:marRight w:val="0"/>
              <w:marTop w:val="0"/>
              <w:marBottom w:val="0"/>
              <w:divBdr>
                <w:top w:val="none" w:sz="0" w:space="0" w:color="auto"/>
                <w:left w:val="none" w:sz="0" w:space="0" w:color="auto"/>
                <w:bottom w:val="none" w:sz="0" w:space="0" w:color="auto"/>
                <w:right w:val="none" w:sz="0" w:space="0" w:color="auto"/>
              </w:divBdr>
            </w:div>
            <w:div w:id="265234254">
              <w:marLeft w:val="1500"/>
              <w:marRight w:val="0"/>
              <w:marTop w:val="0"/>
              <w:marBottom w:val="0"/>
              <w:divBdr>
                <w:top w:val="none" w:sz="0" w:space="0" w:color="auto"/>
                <w:left w:val="none" w:sz="0" w:space="0" w:color="auto"/>
                <w:bottom w:val="single" w:sz="6" w:space="15" w:color="999999"/>
                <w:right w:val="none" w:sz="0" w:space="0" w:color="auto"/>
              </w:divBdr>
              <w:divsChild>
                <w:div w:id="822432240">
                  <w:marLeft w:val="-225"/>
                  <w:marRight w:val="-225"/>
                  <w:marTop w:val="0"/>
                  <w:marBottom w:val="0"/>
                  <w:divBdr>
                    <w:top w:val="none" w:sz="0" w:space="0" w:color="auto"/>
                    <w:left w:val="none" w:sz="0" w:space="0" w:color="auto"/>
                    <w:bottom w:val="none" w:sz="0" w:space="0" w:color="auto"/>
                    <w:right w:val="none" w:sz="0" w:space="0" w:color="auto"/>
                  </w:divBdr>
                  <w:divsChild>
                    <w:div w:id="533081289">
                      <w:marLeft w:val="0"/>
                      <w:marRight w:val="0"/>
                      <w:marTop w:val="0"/>
                      <w:marBottom w:val="0"/>
                      <w:divBdr>
                        <w:top w:val="none" w:sz="0" w:space="0" w:color="auto"/>
                        <w:left w:val="none" w:sz="0" w:space="0" w:color="auto"/>
                        <w:bottom w:val="none" w:sz="0" w:space="0" w:color="auto"/>
                        <w:right w:val="none" w:sz="0" w:space="0" w:color="auto"/>
                      </w:divBdr>
                      <w:divsChild>
                        <w:div w:id="25958220">
                          <w:marLeft w:val="0"/>
                          <w:marRight w:val="0"/>
                          <w:marTop w:val="0"/>
                          <w:marBottom w:val="0"/>
                          <w:divBdr>
                            <w:top w:val="none" w:sz="0" w:space="0" w:color="auto"/>
                            <w:left w:val="none" w:sz="0" w:space="0" w:color="auto"/>
                            <w:bottom w:val="none" w:sz="0" w:space="0" w:color="auto"/>
                            <w:right w:val="none" w:sz="0" w:space="0" w:color="auto"/>
                          </w:divBdr>
                        </w:div>
                        <w:div w:id="1695880978">
                          <w:marLeft w:val="0"/>
                          <w:marRight w:val="0"/>
                          <w:marTop w:val="0"/>
                          <w:marBottom w:val="0"/>
                          <w:divBdr>
                            <w:top w:val="none" w:sz="0" w:space="0" w:color="auto"/>
                            <w:left w:val="none" w:sz="0" w:space="0" w:color="auto"/>
                            <w:bottom w:val="none" w:sz="0" w:space="0" w:color="auto"/>
                            <w:right w:val="none" w:sz="0" w:space="0" w:color="auto"/>
                          </w:divBdr>
                          <w:divsChild>
                            <w:div w:id="260377747">
                              <w:marLeft w:val="150"/>
                              <w:marRight w:val="-675"/>
                              <w:marTop w:val="0"/>
                              <w:marBottom w:val="75"/>
                              <w:divBdr>
                                <w:top w:val="none" w:sz="0" w:space="0" w:color="auto"/>
                                <w:left w:val="none" w:sz="0" w:space="0" w:color="auto"/>
                                <w:bottom w:val="none" w:sz="0" w:space="0" w:color="auto"/>
                                <w:right w:val="none" w:sz="0" w:space="0" w:color="auto"/>
                              </w:divBdr>
                              <w:divsChild>
                                <w:div w:id="1350837767">
                                  <w:marLeft w:val="0"/>
                                  <w:marRight w:val="0"/>
                                  <w:marTop w:val="0"/>
                                  <w:marBottom w:val="0"/>
                                  <w:divBdr>
                                    <w:top w:val="none" w:sz="0" w:space="0" w:color="auto"/>
                                    <w:left w:val="none" w:sz="0" w:space="0" w:color="auto"/>
                                    <w:bottom w:val="none" w:sz="0" w:space="0" w:color="auto"/>
                                    <w:right w:val="none" w:sz="0" w:space="0" w:color="auto"/>
                                  </w:divBdr>
                                  <w:divsChild>
                                    <w:div w:id="1071929564">
                                      <w:marLeft w:val="0"/>
                                      <w:marRight w:val="0"/>
                                      <w:marTop w:val="0"/>
                                      <w:marBottom w:val="0"/>
                                      <w:divBdr>
                                        <w:top w:val="none" w:sz="0" w:space="0" w:color="auto"/>
                                        <w:left w:val="none" w:sz="0" w:space="0" w:color="auto"/>
                                        <w:bottom w:val="none" w:sz="0" w:space="0" w:color="auto"/>
                                        <w:right w:val="none" w:sz="0" w:space="0" w:color="auto"/>
                                      </w:divBdr>
                                    </w:div>
                                    <w:div w:id="274361804">
                                      <w:marLeft w:val="0"/>
                                      <w:marRight w:val="0"/>
                                      <w:marTop w:val="0"/>
                                      <w:marBottom w:val="720"/>
                                      <w:divBdr>
                                        <w:top w:val="none" w:sz="0" w:space="0" w:color="auto"/>
                                        <w:left w:val="none" w:sz="0" w:space="0" w:color="auto"/>
                                        <w:bottom w:val="none" w:sz="0" w:space="0" w:color="auto"/>
                                        <w:right w:val="none" w:sz="0" w:space="0" w:color="auto"/>
                                      </w:divBdr>
                                    </w:div>
                                  </w:divsChild>
                                </w:div>
                                <w:div w:id="2023504664">
                                  <w:marLeft w:val="150"/>
                                  <w:marRight w:val="675"/>
                                  <w:marTop w:val="225"/>
                                  <w:marBottom w:val="0"/>
                                  <w:divBdr>
                                    <w:top w:val="none" w:sz="0" w:space="0" w:color="auto"/>
                                    <w:left w:val="none" w:sz="0" w:space="0" w:color="auto"/>
                                    <w:bottom w:val="single" w:sz="6" w:space="15" w:color="999999"/>
                                    <w:right w:val="none" w:sz="0" w:space="0" w:color="auto"/>
                                  </w:divBdr>
                                </w:div>
                              </w:divsChild>
                            </w:div>
                          </w:divsChild>
                        </w:div>
                      </w:divsChild>
                    </w:div>
                  </w:divsChild>
                </w:div>
              </w:divsChild>
            </w:div>
          </w:divsChild>
        </w:div>
      </w:divsChild>
    </w:div>
    <w:div w:id="202678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3.emf"/><Relationship Id="rId18" Type="http://schemas.openxmlformats.org/officeDocument/2006/relationships/hyperlink" Target="https://www.acas.org.uk/media/4917/A-case-study-on-the-impact-of-Acas-employee-feedback-survey-tool/pdf/EFST_Case_Study.pdf" TargetMode="External"/><Relationship Id="rId26" Type="http://schemas.openxmlformats.org/officeDocument/2006/relationships/hyperlink" Target="https://www.cipd.co.uk/knowledge/fundamentals/relations/communication/factsheet" TargetMode="External"/><Relationship Id="rId3" Type="http://schemas.openxmlformats.org/officeDocument/2006/relationships/styles" Target="styles.xml"/><Relationship Id="rId21" Type="http://schemas.openxmlformats.org/officeDocument/2006/relationships/hyperlink" Target="https://www.cipd.co.uk/knowledge/fundamentals/relations/engagement" TargetMode="External"/><Relationship Id="rId34" Type="http://schemas.openxmlformats.org/officeDocument/2006/relationships/hyperlink" Target="https://www.england.nhs.uk/wp-content/uploads/2018/03/wres-engagement-absence-agency-spend.pdf" TargetMode="External"/><Relationship Id="rId7" Type="http://schemas.openxmlformats.org/officeDocument/2006/relationships/diagramData" Target="diagrams/data1.xml"/><Relationship Id="rId12" Type="http://schemas.openxmlformats.org/officeDocument/2006/relationships/image" Target="media/image2.emf"/><Relationship Id="rId17" Type="http://schemas.openxmlformats.org/officeDocument/2006/relationships/hyperlink" Target="https://moodle.uwtsd.ac.uk/pluginfile.php/255715/mod_resource/content/1/Advisory-booklet-The-People-Factor.pdf" TargetMode="External"/><Relationship Id="rId25" Type="http://schemas.openxmlformats.org/officeDocument/2006/relationships/hyperlink" Target="https://www.cipd.co.uk/knowledge/fundamentals/relations/engagement/factsheet" TargetMode="External"/><Relationship Id="rId33" Type="http://schemas.openxmlformats.org/officeDocument/2006/relationships/hyperlink" Target="https://www.researchgate.net/profile/Jeremy_Dawson3/publication/266868148_Employee_engagement_and_NHS_performance/links/550036cc0cf260c99e8f884e.pdf" TargetMode="External"/><Relationship Id="rId2" Type="http://schemas.openxmlformats.org/officeDocument/2006/relationships/numbering" Target="numbering.xml"/><Relationship Id="rId16" Type="http://schemas.openxmlformats.org/officeDocument/2006/relationships/hyperlink" Target="https://moodle.uwtsd.ac.uk/pluginfile.php/255716/mod_resource/content/1/Placing-Trust-in-Employee-Engagement.pdf" TargetMode="External"/><Relationship Id="rId20" Type="http://schemas.openxmlformats.org/officeDocument/2006/relationships/hyperlink" Target="https://www.mindtools.com/pages/article/newLDR_96.htm" TargetMode="External"/><Relationship Id="rId29" Type="http://schemas.openxmlformats.org/officeDocument/2006/relationships/hyperlink" Target="https://eprints.kingston.ac.uk/4192/1/19wempen.pdf" TargetMode="External"/><Relationship Id="rId1" Type="http://schemas.openxmlformats.org/officeDocument/2006/relationships/customXml" Target="../customXml/item1.xml"/><Relationship Id="rId6" Type="http://schemas.openxmlformats.org/officeDocument/2006/relationships/image" Target="media/image1.emf"/><Relationship Id="rId11" Type="http://schemas.microsoft.com/office/2007/relationships/diagramDrawing" Target="diagrams/drawing1.xml"/><Relationship Id="rId24" Type="http://schemas.openxmlformats.org/officeDocument/2006/relationships/hyperlink" Target="https://www.cipd.co.uk/knowledge/culture/well-being/developing-managers-report" TargetMode="External"/><Relationship Id="rId32" Type="http://schemas.openxmlformats.org/officeDocument/2006/relationships/hyperlink" Target="https://www.researchgate.net/publication/281967834_The_Impact_of_Employee_Engagement_on_Organization's_Productivity" TargetMode="Externa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hyperlink" Target="https://www.cipd.co.uk/search?q=where+has+all+the+trust+gone" TargetMode="External"/><Relationship Id="rId28" Type="http://schemas.openxmlformats.org/officeDocument/2006/relationships/hyperlink" Target="http://www.humanresourcestoday.com/employee-engagement/retention-and-turnover/?open-article-id=8097150&amp;article-title=strategies-to-reduce-employee-turnover&amp;blog-domain=reflektive.com&amp;blog-title=reflektive" TargetMode="External"/><Relationship Id="rId36"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hyperlink" Target="https://www.acas.org.uk/feedbacksurvey" TargetMode="External"/><Relationship Id="rId31" Type="http://schemas.openxmlformats.org/officeDocument/2006/relationships/hyperlink" Target="https://www.ons.gov.uk/employmentandlabourmarket/peopleinwork/employmentandemployeetypes/timeseries/dswe/lms" TargetMode="Externa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image" Target="media/image4.png"/><Relationship Id="rId22" Type="http://schemas.openxmlformats.org/officeDocument/2006/relationships/hyperlink" Target="https://www.cipd.co.uk/knowledge/culture/working-environment/organisational-culture-report" TargetMode="External"/><Relationship Id="rId27" Type="http://schemas.openxmlformats.org/officeDocument/2006/relationships/hyperlink" Target="https://www.effectory.com/knowledge/themes/what-is-employee-engagement/" TargetMode="External"/><Relationship Id="rId30" Type="http://schemas.openxmlformats.org/officeDocument/2006/relationships/hyperlink" Target="http://highgatecounselling.org.uk/members/certificate/CT2%20Paper%201.pdf" TargetMode="External"/><Relationship Id="rId35"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F2AD37E-9317-4751-B7A0-85D4BBFCDB99}" type="doc">
      <dgm:prSet loTypeId="urn:microsoft.com/office/officeart/2005/8/layout/pyramid2" loCatId="pyramid" qsTypeId="urn:microsoft.com/office/officeart/2005/8/quickstyle/simple1" qsCatId="simple" csTypeId="urn:microsoft.com/office/officeart/2005/8/colors/colorful5" csCatId="colorful" phldr="1"/>
      <dgm:spPr/>
      <dgm:t>
        <a:bodyPr/>
        <a:lstStyle/>
        <a:p>
          <a:endParaRPr lang="en-GB"/>
        </a:p>
      </dgm:t>
    </dgm:pt>
    <dgm:pt modelId="{E4DA8BC0-4B93-46D7-A945-74491126E883}">
      <dgm:prSet phldrT="[Text]"/>
      <dgm:spPr/>
      <dgm:t>
        <a:bodyPr/>
        <a:lstStyle/>
        <a:p>
          <a:r>
            <a:rPr lang="en-GB"/>
            <a:t>Self-actualisation</a:t>
          </a:r>
        </a:p>
      </dgm:t>
    </dgm:pt>
    <dgm:pt modelId="{F78DAEEC-92AA-45ED-8011-1843D49EC29F}" type="parTrans" cxnId="{13A256B4-BC78-4E45-BAE2-053140E49297}">
      <dgm:prSet/>
      <dgm:spPr/>
      <dgm:t>
        <a:bodyPr/>
        <a:lstStyle/>
        <a:p>
          <a:endParaRPr lang="en-GB"/>
        </a:p>
      </dgm:t>
    </dgm:pt>
    <dgm:pt modelId="{401D246E-1EC6-4BB1-B606-D2CE97E25EA4}" type="sibTrans" cxnId="{13A256B4-BC78-4E45-BAE2-053140E49297}">
      <dgm:prSet/>
      <dgm:spPr/>
      <dgm:t>
        <a:bodyPr/>
        <a:lstStyle/>
        <a:p>
          <a:endParaRPr lang="en-GB"/>
        </a:p>
      </dgm:t>
    </dgm:pt>
    <dgm:pt modelId="{F0B61FFB-8AB0-48EA-955A-6FEF9BC71797}">
      <dgm:prSet phldrT="[Text]"/>
      <dgm:spPr/>
      <dgm:t>
        <a:bodyPr/>
        <a:lstStyle/>
        <a:p>
          <a:r>
            <a:rPr lang="en-GB"/>
            <a:t>Esteem</a:t>
          </a:r>
        </a:p>
      </dgm:t>
    </dgm:pt>
    <dgm:pt modelId="{024CB597-D9EF-4BF9-86D8-6F468634B02E}" type="parTrans" cxnId="{E11225CA-4CB2-4AAE-8130-D40C9D9C6A81}">
      <dgm:prSet/>
      <dgm:spPr/>
      <dgm:t>
        <a:bodyPr/>
        <a:lstStyle/>
        <a:p>
          <a:endParaRPr lang="en-GB"/>
        </a:p>
      </dgm:t>
    </dgm:pt>
    <dgm:pt modelId="{DDE4E56A-18B9-4832-8251-BAED41710611}" type="sibTrans" cxnId="{E11225CA-4CB2-4AAE-8130-D40C9D9C6A81}">
      <dgm:prSet/>
      <dgm:spPr/>
      <dgm:t>
        <a:bodyPr/>
        <a:lstStyle/>
        <a:p>
          <a:endParaRPr lang="en-GB"/>
        </a:p>
      </dgm:t>
    </dgm:pt>
    <dgm:pt modelId="{0F45B322-8A5D-493A-A503-BAB17CAF147D}">
      <dgm:prSet phldrT="[Text]"/>
      <dgm:spPr/>
      <dgm:t>
        <a:bodyPr/>
        <a:lstStyle/>
        <a:p>
          <a:r>
            <a:rPr lang="en-GB"/>
            <a:t>Love/Belonging</a:t>
          </a:r>
        </a:p>
      </dgm:t>
    </dgm:pt>
    <dgm:pt modelId="{664E0625-164C-4CEC-A445-0CC4272D4C8E}" type="parTrans" cxnId="{33D7CAD0-50B5-411B-BAA5-0F5C44E7B81A}">
      <dgm:prSet/>
      <dgm:spPr/>
      <dgm:t>
        <a:bodyPr/>
        <a:lstStyle/>
        <a:p>
          <a:endParaRPr lang="en-GB"/>
        </a:p>
      </dgm:t>
    </dgm:pt>
    <dgm:pt modelId="{286EDDD0-7689-4761-9FBB-3EBD853B903C}" type="sibTrans" cxnId="{33D7CAD0-50B5-411B-BAA5-0F5C44E7B81A}">
      <dgm:prSet/>
      <dgm:spPr/>
      <dgm:t>
        <a:bodyPr/>
        <a:lstStyle/>
        <a:p>
          <a:endParaRPr lang="en-GB"/>
        </a:p>
      </dgm:t>
    </dgm:pt>
    <dgm:pt modelId="{34CAE208-6AD1-449B-B368-DF3249904BF2}">
      <dgm:prSet phldrT="[Text]"/>
      <dgm:spPr/>
      <dgm:t>
        <a:bodyPr/>
        <a:lstStyle/>
        <a:p>
          <a:r>
            <a:rPr lang="en-GB"/>
            <a:t>Safety Needs</a:t>
          </a:r>
        </a:p>
      </dgm:t>
    </dgm:pt>
    <dgm:pt modelId="{75E5EB39-B496-46EC-8DE5-50147B5087E7}" type="parTrans" cxnId="{2F3A9EA1-D304-4EBC-9085-B44C1B2567FD}">
      <dgm:prSet/>
      <dgm:spPr/>
      <dgm:t>
        <a:bodyPr/>
        <a:lstStyle/>
        <a:p>
          <a:endParaRPr lang="en-GB"/>
        </a:p>
      </dgm:t>
    </dgm:pt>
    <dgm:pt modelId="{727A891D-9964-4E51-8FBD-A5E288C71F00}" type="sibTrans" cxnId="{2F3A9EA1-D304-4EBC-9085-B44C1B2567FD}">
      <dgm:prSet/>
      <dgm:spPr/>
      <dgm:t>
        <a:bodyPr/>
        <a:lstStyle/>
        <a:p>
          <a:endParaRPr lang="en-GB"/>
        </a:p>
      </dgm:t>
    </dgm:pt>
    <dgm:pt modelId="{B63D3BC7-6EAB-4D63-BD05-1E28225A2326}">
      <dgm:prSet phldrT="[Text]"/>
      <dgm:spPr/>
      <dgm:t>
        <a:bodyPr/>
        <a:lstStyle/>
        <a:p>
          <a:r>
            <a:rPr lang="en-GB"/>
            <a:t>Psychological Needs</a:t>
          </a:r>
        </a:p>
      </dgm:t>
    </dgm:pt>
    <dgm:pt modelId="{61EB16FD-E3F9-43AF-B126-DE7A09C3A5E6}" type="parTrans" cxnId="{0D94853B-8932-4A9E-8CD7-21EFAF094D6F}">
      <dgm:prSet/>
      <dgm:spPr/>
      <dgm:t>
        <a:bodyPr/>
        <a:lstStyle/>
        <a:p>
          <a:endParaRPr lang="en-GB"/>
        </a:p>
      </dgm:t>
    </dgm:pt>
    <dgm:pt modelId="{AC9345B9-347A-4975-8CE1-77A5A1E5FCE5}" type="sibTrans" cxnId="{0D94853B-8932-4A9E-8CD7-21EFAF094D6F}">
      <dgm:prSet/>
      <dgm:spPr/>
      <dgm:t>
        <a:bodyPr/>
        <a:lstStyle/>
        <a:p>
          <a:endParaRPr lang="en-GB"/>
        </a:p>
      </dgm:t>
    </dgm:pt>
    <dgm:pt modelId="{62AD3B93-AEB1-4A4F-A9D1-983AC17FD252}" type="pres">
      <dgm:prSet presAssocID="{8F2AD37E-9317-4751-B7A0-85D4BBFCDB99}" presName="compositeShape" presStyleCnt="0">
        <dgm:presLayoutVars>
          <dgm:dir/>
          <dgm:resizeHandles/>
        </dgm:presLayoutVars>
      </dgm:prSet>
      <dgm:spPr/>
    </dgm:pt>
    <dgm:pt modelId="{58D6B634-552F-41E0-B0DE-E213B68DA795}" type="pres">
      <dgm:prSet presAssocID="{8F2AD37E-9317-4751-B7A0-85D4BBFCDB99}" presName="pyramid" presStyleLbl="node1" presStyleIdx="0" presStyleCnt="1" custLinFactNeighborX="238" custLinFactNeighborY="714"/>
      <dgm:spPr/>
    </dgm:pt>
    <dgm:pt modelId="{C5DDA0C4-E0D5-42E1-A782-1BEB0C4B958C}" type="pres">
      <dgm:prSet presAssocID="{8F2AD37E-9317-4751-B7A0-85D4BBFCDB99}" presName="theList" presStyleCnt="0"/>
      <dgm:spPr/>
    </dgm:pt>
    <dgm:pt modelId="{BBF76868-A6B4-4CCF-B524-C7D168B780FF}" type="pres">
      <dgm:prSet presAssocID="{E4DA8BC0-4B93-46D7-A945-74491126E883}" presName="aNode" presStyleLbl="fgAcc1" presStyleIdx="0" presStyleCnt="5">
        <dgm:presLayoutVars>
          <dgm:bulletEnabled val="1"/>
        </dgm:presLayoutVars>
      </dgm:prSet>
      <dgm:spPr/>
    </dgm:pt>
    <dgm:pt modelId="{FACBE021-BD99-4415-BF4C-9070235E9F71}" type="pres">
      <dgm:prSet presAssocID="{E4DA8BC0-4B93-46D7-A945-74491126E883}" presName="aSpace" presStyleCnt="0"/>
      <dgm:spPr/>
    </dgm:pt>
    <dgm:pt modelId="{2853E06B-8E39-4358-A3E5-9BC3D0D85A83}" type="pres">
      <dgm:prSet presAssocID="{F0B61FFB-8AB0-48EA-955A-6FEF9BC71797}" presName="aNode" presStyleLbl="fgAcc1" presStyleIdx="1" presStyleCnt="5">
        <dgm:presLayoutVars>
          <dgm:bulletEnabled val="1"/>
        </dgm:presLayoutVars>
      </dgm:prSet>
      <dgm:spPr/>
    </dgm:pt>
    <dgm:pt modelId="{09565FA8-3152-4E55-8680-C8E79BDB7DBC}" type="pres">
      <dgm:prSet presAssocID="{F0B61FFB-8AB0-48EA-955A-6FEF9BC71797}" presName="aSpace" presStyleCnt="0"/>
      <dgm:spPr/>
    </dgm:pt>
    <dgm:pt modelId="{397BD3C5-C6CF-4728-B634-F33FBFD16F7D}" type="pres">
      <dgm:prSet presAssocID="{0F45B322-8A5D-493A-A503-BAB17CAF147D}" presName="aNode" presStyleLbl="fgAcc1" presStyleIdx="2" presStyleCnt="5">
        <dgm:presLayoutVars>
          <dgm:bulletEnabled val="1"/>
        </dgm:presLayoutVars>
      </dgm:prSet>
      <dgm:spPr/>
    </dgm:pt>
    <dgm:pt modelId="{03D222CB-1E9B-4435-9D1D-F5554A2C571A}" type="pres">
      <dgm:prSet presAssocID="{0F45B322-8A5D-493A-A503-BAB17CAF147D}" presName="aSpace" presStyleCnt="0"/>
      <dgm:spPr/>
    </dgm:pt>
    <dgm:pt modelId="{1BD0655B-8097-43E3-AAFF-5E12205A4A5B}" type="pres">
      <dgm:prSet presAssocID="{34CAE208-6AD1-449B-B368-DF3249904BF2}" presName="aNode" presStyleLbl="fgAcc1" presStyleIdx="3" presStyleCnt="5">
        <dgm:presLayoutVars>
          <dgm:bulletEnabled val="1"/>
        </dgm:presLayoutVars>
      </dgm:prSet>
      <dgm:spPr/>
    </dgm:pt>
    <dgm:pt modelId="{B92D631E-6D0A-4D72-A4D1-49A3E795EA06}" type="pres">
      <dgm:prSet presAssocID="{34CAE208-6AD1-449B-B368-DF3249904BF2}" presName="aSpace" presStyleCnt="0"/>
      <dgm:spPr/>
    </dgm:pt>
    <dgm:pt modelId="{10E30CBF-FDF9-4938-9D00-F4B34BA5C6E8}" type="pres">
      <dgm:prSet presAssocID="{B63D3BC7-6EAB-4D63-BD05-1E28225A2326}" presName="aNode" presStyleLbl="fgAcc1" presStyleIdx="4" presStyleCnt="5">
        <dgm:presLayoutVars>
          <dgm:bulletEnabled val="1"/>
        </dgm:presLayoutVars>
      </dgm:prSet>
      <dgm:spPr/>
    </dgm:pt>
    <dgm:pt modelId="{1D1D9B8C-1B93-44C8-867D-77D21D555751}" type="pres">
      <dgm:prSet presAssocID="{B63D3BC7-6EAB-4D63-BD05-1E28225A2326}" presName="aSpace" presStyleCnt="0"/>
      <dgm:spPr/>
    </dgm:pt>
  </dgm:ptLst>
  <dgm:cxnLst>
    <dgm:cxn modelId="{C8CA3214-7F5E-4814-8119-19FB8F4B3F14}" type="presOf" srcId="{8F2AD37E-9317-4751-B7A0-85D4BBFCDB99}" destId="{62AD3B93-AEB1-4A4F-A9D1-983AC17FD252}" srcOrd="0" destOrd="0" presId="urn:microsoft.com/office/officeart/2005/8/layout/pyramid2"/>
    <dgm:cxn modelId="{B50BC117-2734-446B-ACEE-1D6B8313429E}" type="presOf" srcId="{34CAE208-6AD1-449B-B368-DF3249904BF2}" destId="{1BD0655B-8097-43E3-AAFF-5E12205A4A5B}" srcOrd="0" destOrd="0" presId="urn:microsoft.com/office/officeart/2005/8/layout/pyramid2"/>
    <dgm:cxn modelId="{0D94853B-8932-4A9E-8CD7-21EFAF094D6F}" srcId="{8F2AD37E-9317-4751-B7A0-85D4BBFCDB99}" destId="{B63D3BC7-6EAB-4D63-BD05-1E28225A2326}" srcOrd="4" destOrd="0" parTransId="{61EB16FD-E3F9-43AF-B126-DE7A09C3A5E6}" sibTransId="{AC9345B9-347A-4975-8CE1-77A5A1E5FCE5}"/>
    <dgm:cxn modelId="{CE19675F-5590-4616-B766-ABBADB8648B4}" type="presOf" srcId="{F0B61FFB-8AB0-48EA-955A-6FEF9BC71797}" destId="{2853E06B-8E39-4358-A3E5-9BC3D0D85A83}" srcOrd="0" destOrd="0" presId="urn:microsoft.com/office/officeart/2005/8/layout/pyramid2"/>
    <dgm:cxn modelId="{6D37B194-CEEA-4AAE-AA18-C1EE32465795}" type="presOf" srcId="{B63D3BC7-6EAB-4D63-BD05-1E28225A2326}" destId="{10E30CBF-FDF9-4938-9D00-F4B34BA5C6E8}" srcOrd="0" destOrd="0" presId="urn:microsoft.com/office/officeart/2005/8/layout/pyramid2"/>
    <dgm:cxn modelId="{B11C039A-2EE6-4D12-8BF1-A7E2C3D7B6D5}" type="presOf" srcId="{0F45B322-8A5D-493A-A503-BAB17CAF147D}" destId="{397BD3C5-C6CF-4728-B634-F33FBFD16F7D}" srcOrd="0" destOrd="0" presId="urn:microsoft.com/office/officeart/2005/8/layout/pyramid2"/>
    <dgm:cxn modelId="{2F3A9EA1-D304-4EBC-9085-B44C1B2567FD}" srcId="{8F2AD37E-9317-4751-B7A0-85D4BBFCDB99}" destId="{34CAE208-6AD1-449B-B368-DF3249904BF2}" srcOrd="3" destOrd="0" parTransId="{75E5EB39-B496-46EC-8DE5-50147B5087E7}" sibTransId="{727A891D-9964-4E51-8FBD-A5E288C71F00}"/>
    <dgm:cxn modelId="{13A256B4-BC78-4E45-BAE2-053140E49297}" srcId="{8F2AD37E-9317-4751-B7A0-85D4BBFCDB99}" destId="{E4DA8BC0-4B93-46D7-A945-74491126E883}" srcOrd="0" destOrd="0" parTransId="{F78DAEEC-92AA-45ED-8011-1843D49EC29F}" sibTransId="{401D246E-1EC6-4BB1-B606-D2CE97E25EA4}"/>
    <dgm:cxn modelId="{E11225CA-4CB2-4AAE-8130-D40C9D9C6A81}" srcId="{8F2AD37E-9317-4751-B7A0-85D4BBFCDB99}" destId="{F0B61FFB-8AB0-48EA-955A-6FEF9BC71797}" srcOrd="1" destOrd="0" parTransId="{024CB597-D9EF-4BF9-86D8-6F468634B02E}" sibTransId="{DDE4E56A-18B9-4832-8251-BAED41710611}"/>
    <dgm:cxn modelId="{33D7CAD0-50B5-411B-BAA5-0F5C44E7B81A}" srcId="{8F2AD37E-9317-4751-B7A0-85D4BBFCDB99}" destId="{0F45B322-8A5D-493A-A503-BAB17CAF147D}" srcOrd="2" destOrd="0" parTransId="{664E0625-164C-4CEC-A445-0CC4272D4C8E}" sibTransId="{286EDDD0-7689-4761-9FBB-3EBD853B903C}"/>
    <dgm:cxn modelId="{48B77EE5-693D-44A9-9F47-1A9940E47004}" type="presOf" srcId="{E4DA8BC0-4B93-46D7-A945-74491126E883}" destId="{BBF76868-A6B4-4CCF-B524-C7D168B780FF}" srcOrd="0" destOrd="0" presId="urn:microsoft.com/office/officeart/2005/8/layout/pyramid2"/>
    <dgm:cxn modelId="{1FFECDF7-A4BA-4364-A379-0881780B0871}" type="presParOf" srcId="{62AD3B93-AEB1-4A4F-A9D1-983AC17FD252}" destId="{58D6B634-552F-41E0-B0DE-E213B68DA795}" srcOrd="0" destOrd="0" presId="urn:microsoft.com/office/officeart/2005/8/layout/pyramid2"/>
    <dgm:cxn modelId="{CE3470C5-B550-4B46-B4F7-9220C31AEEA7}" type="presParOf" srcId="{62AD3B93-AEB1-4A4F-A9D1-983AC17FD252}" destId="{C5DDA0C4-E0D5-42E1-A782-1BEB0C4B958C}" srcOrd="1" destOrd="0" presId="urn:microsoft.com/office/officeart/2005/8/layout/pyramid2"/>
    <dgm:cxn modelId="{C1E77767-6A5E-47EC-AB5D-929B436B4C6F}" type="presParOf" srcId="{C5DDA0C4-E0D5-42E1-A782-1BEB0C4B958C}" destId="{BBF76868-A6B4-4CCF-B524-C7D168B780FF}" srcOrd="0" destOrd="0" presId="urn:microsoft.com/office/officeart/2005/8/layout/pyramid2"/>
    <dgm:cxn modelId="{D9CEB0AE-99A9-4A4B-85C7-A7F2193D90E0}" type="presParOf" srcId="{C5DDA0C4-E0D5-42E1-A782-1BEB0C4B958C}" destId="{FACBE021-BD99-4415-BF4C-9070235E9F71}" srcOrd="1" destOrd="0" presId="urn:microsoft.com/office/officeart/2005/8/layout/pyramid2"/>
    <dgm:cxn modelId="{DCCE11AB-4380-47A8-97AB-D6D0F17E98C3}" type="presParOf" srcId="{C5DDA0C4-E0D5-42E1-A782-1BEB0C4B958C}" destId="{2853E06B-8E39-4358-A3E5-9BC3D0D85A83}" srcOrd="2" destOrd="0" presId="urn:microsoft.com/office/officeart/2005/8/layout/pyramid2"/>
    <dgm:cxn modelId="{BE5231F9-F0C0-4439-A029-36432383A8BE}" type="presParOf" srcId="{C5DDA0C4-E0D5-42E1-A782-1BEB0C4B958C}" destId="{09565FA8-3152-4E55-8680-C8E79BDB7DBC}" srcOrd="3" destOrd="0" presId="urn:microsoft.com/office/officeart/2005/8/layout/pyramid2"/>
    <dgm:cxn modelId="{F269BAF6-B20F-4775-AB68-2C39D6D2E072}" type="presParOf" srcId="{C5DDA0C4-E0D5-42E1-A782-1BEB0C4B958C}" destId="{397BD3C5-C6CF-4728-B634-F33FBFD16F7D}" srcOrd="4" destOrd="0" presId="urn:microsoft.com/office/officeart/2005/8/layout/pyramid2"/>
    <dgm:cxn modelId="{2D50356E-169C-4D6E-850A-229308FD11C6}" type="presParOf" srcId="{C5DDA0C4-E0D5-42E1-A782-1BEB0C4B958C}" destId="{03D222CB-1E9B-4435-9D1D-F5554A2C571A}" srcOrd="5" destOrd="0" presId="urn:microsoft.com/office/officeart/2005/8/layout/pyramid2"/>
    <dgm:cxn modelId="{6B199F88-E1C2-4A58-AD70-C4A59BEC9C13}" type="presParOf" srcId="{C5DDA0C4-E0D5-42E1-A782-1BEB0C4B958C}" destId="{1BD0655B-8097-43E3-AAFF-5E12205A4A5B}" srcOrd="6" destOrd="0" presId="urn:microsoft.com/office/officeart/2005/8/layout/pyramid2"/>
    <dgm:cxn modelId="{ED733024-E500-441D-9B02-5DF8046CBD25}" type="presParOf" srcId="{C5DDA0C4-E0D5-42E1-A782-1BEB0C4B958C}" destId="{B92D631E-6D0A-4D72-A4D1-49A3E795EA06}" srcOrd="7" destOrd="0" presId="urn:microsoft.com/office/officeart/2005/8/layout/pyramid2"/>
    <dgm:cxn modelId="{917ED713-9F4F-4082-8FF6-C82ADD1EEA06}" type="presParOf" srcId="{C5DDA0C4-E0D5-42E1-A782-1BEB0C4B958C}" destId="{10E30CBF-FDF9-4938-9D00-F4B34BA5C6E8}" srcOrd="8" destOrd="0" presId="urn:microsoft.com/office/officeart/2005/8/layout/pyramid2"/>
    <dgm:cxn modelId="{619AB7A8-7404-4993-A6ED-41AFB165729C}" type="presParOf" srcId="{C5DDA0C4-E0D5-42E1-A782-1BEB0C4B958C}" destId="{1D1D9B8C-1B93-44C8-867D-77D21D555751}" srcOrd="9" destOrd="0" presId="urn:microsoft.com/office/officeart/2005/8/layout/pyramid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D6B634-552F-41E0-B0DE-E213B68DA795}">
      <dsp:nvSpPr>
        <dsp:cNvPr id="0" name=""/>
        <dsp:cNvSpPr/>
      </dsp:nvSpPr>
      <dsp:spPr>
        <a:xfrm>
          <a:off x="910586" y="0"/>
          <a:ext cx="3200400" cy="3200400"/>
        </a:xfrm>
        <a:prstGeom prst="triangl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BF76868-A6B4-4CCF-B524-C7D168B780FF}">
      <dsp:nvSpPr>
        <dsp:cNvPr id="0" name=""/>
        <dsp:cNvSpPr/>
      </dsp:nvSpPr>
      <dsp:spPr>
        <a:xfrm>
          <a:off x="2503170" y="320352"/>
          <a:ext cx="2080260" cy="455056"/>
        </a:xfrm>
        <a:prstGeom prst="round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Self-actualisation</a:t>
          </a:r>
        </a:p>
      </dsp:txBody>
      <dsp:txXfrm>
        <a:off x="2525384" y="342566"/>
        <a:ext cx="2035832" cy="410628"/>
      </dsp:txXfrm>
    </dsp:sp>
    <dsp:sp modelId="{2853E06B-8E39-4358-A3E5-9BC3D0D85A83}">
      <dsp:nvSpPr>
        <dsp:cNvPr id="0" name=""/>
        <dsp:cNvSpPr/>
      </dsp:nvSpPr>
      <dsp:spPr>
        <a:xfrm>
          <a:off x="2503170" y="832291"/>
          <a:ext cx="2080260" cy="455056"/>
        </a:xfrm>
        <a:prstGeom prst="roundRect">
          <a:avLst/>
        </a:prstGeom>
        <a:solidFill>
          <a:schemeClr val="lt1">
            <a:alpha val="90000"/>
            <a:hueOff val="0"/>
            <a:satOff val="0"/>
            <a:lumOff val="0"/>
            <a:alphaOff val="0"/>
          </a:schemeClr>
        </a:solidFill>
        <a:ln w="12700" cap="flat" cmpd="sng" algn="ctr">
          <a:solidFill>
            <a:schemeClr val="accent5">
              <a:hueOff val="-1689636"/>
              <a:satOff val="-4355"/>
              <a:lumOff val="-294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Esteem</a:t>
          </a:r>
        </a:p>
      </dsp:txBody>
      <dsp:txXfrm>
        <a:off x="2525384" y="854505"/>
        <a:ext cx="2035832" cy="410628"/>
      </dsp:txXfrm>
    </dsp:sp>
    <dsp:sp modelId="{397BD3C5-C6CF-4728-B634-F33FBFD16F7D}">
      <dsp:nvSpPr>
        <dsp:cNvPr id="0" name=""/>
        <dsp:cNvSpPr/>
      </dsp:nvSpPr>
      <dsp:spPr>
        <a:xfrm>
          <a:off x="2503170" y="1344230"/>
          <a:ext cx="2080260" cy="455056"/>
        </a:xfrm>
        <a:prstGeom prst="roundRect">
          <a:avLst/>
        </a:prstGeom>
        <a:solidFill>
          <a:schemeClr val="lt1">
            <a:alpha val="90000"/>
            <a:hueOff val="0"/>
            <a:satOff val="0"/>
            <a:lumOff val="0"/>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Love/Belonging</a:t>
          </a:r>
        </a:p>
      </dsp:txBody>
      <dsp:txXfrm>
        <a:off x="2525384" y="1366444"/>
        <a:ext cx="2035832" cy="410628"/>
      </dsp:txXfrm>
    </dsp:sp>
    <dsp:sp modelId="{1BD0655B-8097-43E3-AAFF-5E12205A4A5B}">
      <dsp:nvSpPr>
        <dsp:cNvPr id="0" name=""/>
        <dsp:cNvSpPr/>
      </dsp:nvSpPr>
      <dsp:spPr>
        <a:xfrm>
          <a:off x="2503170" y="1856169"/>
          <a:ext cx="2080260" cy="455056"/>
        </a:xfrm>
        <a:prstGeom prst="roundRect">
          <a:avLst/>
        </a:prstGeom>
        <a:solidFill>
          <a:schemeClr val="lt1">
            <a:alpha val="90000"/>
            <a:hueOff val="0"/>
            <a:satOff val="0"/>
            <a:lumOff val="0"/>
            <a:alphaOff val="0"/>
          </a:schemeClr>
        </a:solidFill>
        <a:ln w="12700" cap="flat" cmpd="sng" algn="ctr">
          <a:solidFill>
            <a:schemeClr val="accent5">
              <a:hueOff val="-5068907"/>
              <a:satOff val="-13064"/>
              <a:lumOff val="-882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Safety Needs</a:t>
          </a:r>
        </a:p>
      </dsp:txBody>
      <dsp:txXfrm>
        <a:off x="2525384" y="1878383"/>
        <a:ext cx="2035832" cy="410628"/>
      </dsp:txXfrm>
    </dsp:sp>
    <dsp:sp modelId="{10E30CBF-FDF9-4938-9D00-F4B34BA5C6E8}">
      <dsp:nvSpPr>
        <dsp:cNvPr id="0" name=""/>
        <dsp:cNvSpPr/>
      </dsp:nvSpPr>
      <dsp:spPr>
        <a:xfrm>
          <a:off x="2503170" y="2368108"/>
          <a:ext cx="2080260" cy="455056"/>
        </a:xfrm>
        <a:prstGeom prst="roundRect">
          <a:avLst/>
        </a:prstGeom>
        <a:solidFill>
          <a:schemeClr val="lt1">
            <a:alpha val="90000"/>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Psychological Needs</a:t>
          </a:r>
        </a:p>
      </dsp:txBody>
      <dsp:txXfrm>
        <a:off x="2525384" y="2390322"/>
        <a:ext cx="2035832" cy="410628"/>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F5EE4-89CE-4203-87EB-6AE4FE2D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5049</TotalTime>
  <Pages>12</Pages>
  <Words>3802</Words>
  <Characters>21673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Barron</dc:creator>
  <cp:keywords/>
  <dc:description/>
  <cp:lastModifiedBy>Katy Barron</cp:lastModifiedBy>
  <cp:revision>19</cp:revision>
  <dcterms:created xsi:type="dcterms:W3CDTF">2019-08-12T11:38:00Z</dcterms:created>
  <dcterms:modified xsi:type="dcterms:W3CDTF">2019-09-17T19:47:00Z</dcterms:modified>
</cp:coreProperties>
</file>