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EF9503" w14:textId="52D7DAB0" w:rsidR="002D5012" w:rsidRDefault="00314B97" w:rsidP="003E569D">
      <w:pPr>
        <w:pStyle w:val="Title"/>
        <w:jc w:val="both"/>
        <w:rPr>
          <w:i/>
          <w:iCs/>
          <w:sz w:val="44"/>
          <w:szCs w:val="44"/>
          <w:u w:val="single"/>
        </w:rPr>
      </w:pPr>
      <w:r>
        <w:rPr>
          <w:noProof/>
        </w:rPr>
        <w:drawing>
          <wp:inline distT="0" distB="0" distL="0" distR="0" wp14:anchorId="3DED86C0" wp14:editId="72A103D6">
            <wp:extent cx="5731510" cy="2868295"/>
            <wp:effectExtent l="0" t="0" r="2540" b="8255"/>
            <wp:docPr id="1513910834" name="Picture 17"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910834" name="Picture 17" descr="University of Wales Trinity Saint David launches ‘One Planet ..."/>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868295"/>
                    </a:xfrm>
                    <a:prstGeom prst="rect">
                      <a:avLst/>
                    </a:prstGeom>
                    <a:noFill/>
                    <a:ln>
                      <a:noFill/>
                    </a:ln>
                  </pic:spPr>
                </pic:pic>
              </a:graphicData>
            </a:graphic>
          </wp:inline>
        </w:drawing>
      </w:r>
    </w:p>
    <w:p w14:paraId="602633CC" w14:textId="77777777" w:rsidR="002D5012" w:rsidRDefault="002D5012" w:rsidP="003E569D">
      <w:pPr>
        <w:pStyle w:val="Title"/>
        <w:jc w:val="both"/>
        <w:rPr>
          <w:i/>
          <w:iCs/>
          <w:sz w:val="44"/>
          <w:szCs w:val="44"/>
          <w:u w:val="single"/>
        </w:rPr>
      </w:pPr>
    </w:p>
    <w:p w14:paraId="0EE3CBB1" w14:textId="77777777" w:rsidR="00314B97" w:rsidRPr="00314B97" w:rsidRDefault="00314B97" w:rsidP="00314B97"/>
    <w:p w14:paraId="38B2B448" w14:textId="44F75936" w:rsidR="004F563C" w:rsidRPr="00314B97" w:rsidRDefault="004F563C" w:rsidP="003E569D">
      <w:pPr>
        <w:pStyle w:val="Title"/>
        <w:jc w:val="both"/>
        <w:rPr>
          <w:b/>
          <w:bCs/>
          <w:color w:val="0D0D0D" w:themeColor="text1" w:themeTint="F2"/>
          <w:sz w:val="44"/>
          <w:szCs w:val="44"/>
          <w:u w:val="single"/>
        </w:rPr>
      </w:pPr>
      <w:r w:rsidRPr="00314B97">
        <w:rPr>
          <w:b/>
          <w:bCs/>
          <w:color w:val="0D0D0D" w:themeColor="text1" w:themeTint="F2"/>
          <w:sz w:val="44"/>
          <w:szCs w:val="44"/>
          <w:u w:val="single"/>
        </w:rPr>
        <w:t>Designing an Integrated Data Security, Governance and Compliance Framework for AeroLink Logistics</w:t>
      </w:r>
    </w:p>
    <w:p w14:paraId="7BDF5DE0" w14:textId="77777777" w:rsidR="00314B97" w:rsidRDefault="00314B97" w:rsidP="003E569D">
      <w:pPr>
        <w:jc w:val="both"/>
      </w:pPr>
    </w:p>
    <w:p w14:paraId="728E26A5" w14:textId="77777777" w:rsidR="00314B97" w:rsidRDefault="00314B97" w:rsidP="003E569D">
      <w:pPr>
        <w:jc w:val="both"/>
      </w:pPr>
    </w:p>
    <w:p w14:paraId="7C45CE53" w14:textId="77777777" w:rsidR="00314B97" w:rsidRDefault="00314B97" w:rsidP="003E569D">
      <w:pPr>
        <w:jc w:val="both"/>
      </w:pPr>
    </w:p>
    <w:p w14:paraId="08587D53" w14:textId="77777777" w:rsidR="00314B97" w:rsidRDefault="00314B97" w:rsidP="003E569D">
      <w:pPr>
        <w:jc w:val="both"/>
      </w:pPr>
    </w:p>
    <w:p w14:paraId="51B1FFE1" w14:textId="77777777" w:rsidR="00314B97" w:rsidRDefault="00314B97" w:rsidP="003E569D">
      <w:pPr>
        <w:jc w:val="both"/>
      </w:pPr>
    </w:p>
    <w:p w14:paraId="31E5D6F8" w14:textId="77777777" w:rsidR="00314B97" w:rsidRDefault="00314B97" w:rsidP="003E569D">
      <w:pPr>
        <w:jc w:val="both"/>
      </w:pPr>
    </w:p>
    <w:p w14:paraId="2139DB26" w14:textId="77777777" w:rsidR="00314B97" w:rsidRDefault="00314B97" w:rsidP="003E569D">
      <w:pPr>
        <w:jc w:val="both"/>
      </w:pPr>
    </w:p>
    <w:p w14:paraId="46656CEC" w14:textId="77777777" w:rsidR="00314B97" w:rsidRDefault="00314B97" w:rsidP="003E569D">
      <w:pPr>
        <w:jc w:val="both"/>
      </w:pPr>
    </w:p>
    <w:p w14:paraId="5D4B8A4A" w14:textId="77777777" w:rsidR="00314B97" w:rsidRDefault="00314B97" w:rsidP="003E569D">
      <w:pPr>
        <w:jc w:val="both"/>
      </w:pPr>
    </w:p>
    <w:p w14:paraId="16D2427D" w14:textId="77777777" w:rsidR="00314B97" w:rsidRDefault="00314B97" w:rsidP="003E569D">
      <w:pPr>
        <w:jc w:val="both"/>
      </w:pPr>
    </w:p>
    <w:p w14:paraId="526D8DC3" w14:textId="0343A47D" w:rsidR="00314B97" w:rsidRPr="00314B97" w:rsidRDefault="00314B97" w:rsidP="00314B97">
      <w:pPr>
        <w:rPr>
          <w:sz w:val="36"/>
          <w:szCs w:val="36"/>
        </w:rPr>
      </w:pPr>
      <w:r w:rsidRPr="00314B97">
        <w:rPr>
          <w:b/>
          <w:bCs/>
          <w:sz w:val="36"/>
          <w:szCs w:val="36"/>
        </w:rPr>
        <w:t>Name:</w:t>
      </w:r>
      <w:r w:rsidRPr="00314B97">
        <w:rPr>
          <w:sz w:val="36"/>
          <w:szCs w:val="36"/>
        </w:rPr>
        <w:t xml:space="preserve"> </w:t>
      </w:r>
      <w:r w:rsidRPr="00314B97">
        <w:rPr>
          <w:sz w:val="36"/>
          <w:szCs w:val="36"/>
        </w:rPr>
        <w:t>Tushar Maheshbhai Solanki</w:t>
      </w:r>
      <w:r w:rsidRPr="00314B97">
        <w:rPr>
          <w:sz w:val="36"/>
          <w:szCs w:val="36"/>
        </w:rPr>
        <w:br/>
      </w:r>
      <w:r w:rsidRPr="00314B97">
        <w:rPr>
          <w:b/>
          <w:bCs/>
          <w:sz w:val="36"/>
          <w:szCs w:val="36"/>
        </w:rPr>
        <w:t>Student ID:</w:t>
      </w:r>
      <w:r w:rsidRPr="00314B97">
        <w:rPr>
          <w:sz w:val="36"/>
          <w:szCs w:val="36"/>
        </w:rPr>
        <w:t xml:space="preserve"> </w:t>
      </w:r>
      <w:r w:rsidRPr="00314B97">
        <w:rPr>
          <w:sz w:val="36"/>
          <w:szCs w:val="36"/>
        </w:rPr>
        <w:t>2536692</w:t>
      </w:r>
      <w:r w:rsidRPr="00314B97">
        <w:rPr>
          <w:sz w:val="36"/>
          <w:szCs w:val="36"/>
        </w:rPr>
        <w:br/>
      </w:r>
      <w:r w:rsidRPr="00314B97">
        <w:rPr>
          <w:b/>
          <w:bCs/>
          <w:sz w:val="36"/>
          <w:szCs w:val="36"/>
        </w:rPr>
        <w:t>Course:</w:t>
      </w:r>
      <w:r w:rsidRPr="00314B97">
        <w:rPr>
          <w:sz w:val="36"/>
          <w:szCs w:val="36"/>
        </w:rPr>
        <w:t xml:space="preserve"> MSc Cybersecurity and Digital Forensics</w:t>
      </w:r>
      <w:r w:rsidRPr="00314B97">
        <w:rPr>
          <w:sz w:val="36"/>
          <w:szCs w:val="36"/>
        </w:rPr>
        <w:br/>
      </w:r>
      <w:r w:rsidRPr="00314B97">
        <w:rPr>
          <w:b/>
          <w:bCs/>
          <w:sz w:val="36"/>
          <w:szCs w:val="36"/>
        </w:rPr>
        <w:t>Module:</w:t>
      </w:r>
      <w:r w:rsidRPr="00314B97">
        <w:rPr>
          <w:sz w:val="36"/>
          <w:szCs w:val="36"/>
        </w:rPr>
        <w:t xml:space="preserve"> Data Security, Governance and Compliance</w:t>
      </w:r>
      <w:r w:rsidRPr="00314B97">
        <w:rPr>
          <w:sz w:val="36"/>
          <w:szCs w:val="36"/>
        </w:rPr>
        <w:br/>
      </w:r>
      <w:r w:rsidRPr="00314B97">
        <w:rPr>
          <w:b/>
          <w:bCs/>
          <w:sz w:val="36"/>
          <w:szCs w:val="36"/>
        </w:rPr>
        <w:t>University:</w:t>
      </w:r>
      <w:r w:rsidRPr="00314B97">
        <w:rPr>
          <w:sz w:val="36"/>
          <w:szCs w:val="36"/>
        </w:rPr>
        <w:t xml:space="preserve"> University of Wales, Trinity Saint David </w:t>
      </w:r>
    </w:p>
    <w:p w14:paraId="1046E9C3" w14:textId="432160DF" w:rsidR="00ED1FBB" w:rsidRDefault="00ED1FBB" w:rsidP="003E569D">
      <w:pPr>
        <w:jc w:val="both"/>
        <w:rPr>
          <w:rFonts w:eastAsiaTheme="majorEastAsia" w:cstheme="majorBidi"/>
          <w:color w:val="2F5496" w:themeColor="accent1" w:themeShade="BF"/>
          <w:sz w:val="40"/>
          <w:szCs w:val="40"/>
        </w:rPr>
      </w:pPr>
      <w:r>
        <w:br w:type="page"/>
      </w:r>
    </w:p>
    <w:p w14:paraId="15A20A22" w14:textId="2A15D82C" w:rsidR="00D409A3" w:rsidRDefault="005D62F8" w:rsidP="003E569D">
      <w:pPr>
        <w:pStyle w:val="Heading1"/>
        <w:jc w:val="both"/>
      </w:pPr>
      <w:bookmarkStart w:id="0" w:name="_Toc234919614"/>
      <w:bookmarkStart w:id="1" w:name="_Toc237102331"/>
      <w:bookmarkStart w:id="2" w:name="_Toc237102958"/>
      <w:r>
        <w:lastRenderedPageBreak/>
        <w:t>Abstract</w:t>
      </w:r>
      <w:bookmarkEnd w:id="0"/>
      <w:bookmarkEnd w:id="1"/>
      <w:bookmarkEnd w:id="2"/>
    </w:p>
    <w:p w14:paraId="29050851" w14:textId="7BBFCB9E" w:rsidR="00D409A3" w:rsidRDefault="00D409A3" w:rsidP="003E569D">
      <w:pPr>
        <w:jc w:val="both"/>
      </w:pPr>
      <w:r>
        <w:t>While AeroLink Logistics has grown and developed in the areas of cloud and Internet of Things and artificial intelligence, its governance hasn't kept pace. This report presents the assessment of ISO/IEC 27001, the NIST Cybersecurity Framework, COBIT 2019 as well as ITIL 4 and Zero Trust and suggests an integrated model. COBIT lays groundwork for decision rights, ISO/IEC 27001 defines how to manage the system, NIST defines operational risk and ITIL controls service delivery. COBIT lays groundwork for decision rights, ISO/IEC 27001 defines how to manage the system, NIST defines operational risk and ITIL controls service delivery with boundaries that span across cloud, partner and IoT environments and restrict access. Priority actions include Board oversight, centralised responsibility for risk, phishing proof authentication, device assurance, cloud configuration monitoring, supplier controls, tested incident response and measurable continuation goals. The design approach involves compliance as an ongoing assurance, direct linkage between regulatory change and control testing and vendor evidence and management review.</w:t>
      </w:r>
    </w:p>
    <w:p w14:paraId="3D1CF079" w14:textId="77777777" w:rsidR="00A316F3" w:rsidRDefault="00A316F3" w:rsidP="003E569D">
      <w:pPr>
        <w:pStyle w:val="Heading1"/>
        <w:jc w:val="both"/>
      </w:pPr>
    </w:p>
    <w:p w14:paraId="75273ED8" w14:textId="77777777" w:rsidR="00A316F3" w:rsidRDefault="00A316F3">
      <w:pPr>
        <w:rPr>
          <w:rFonts w:asciiTheme="majorHAnsi" w:eastAsiaTheme="majorEastAsia" w:hAnsiTheme="majorHAnsi" w:cstheme="majorBidi"/>
          <w:color w:val="2F5496" w:themeColor="accent1" w:themeShade="BF"/>
          <w:sz w:val="36"/>
          <w:szCs w:val="36"/>
        </w:rPr>
      </w:pPr>
      <w:r>
        <w:br w:type="page"/>
      </w:r>
    </w:p>
    <w:sdt>
      <w:sdtPr>
        <w:rPr>
          <w:rFonts w:asciiTheme="minorHAnsi" w:eastAsiaTheme="minorEastAsia" w:hAnsiTheme="minorHAnsi" w:cstheme="minorBidi"/>
          <w:color w:val="auto"/>
          <w:sz w:val="21"/>
          <w:szCs w:val="21"/>
        </w:rPr>
        <w:id w:val="-704633272"/>
        <w:docPartObj>
          <w:docPartGallery w:val="Table of Contents"/>
          <w:docPartUnique/>
        </w:docPartObj>
      </w:sdtPr>
      <w:sdtEndPr>
        <w:rPr>
          <w:b/>
          <w:bCs/>
          <w:noProof/>
        </w:rPr>
      </w:sdtEndPr>
      <w:sdtContent>
        <w:p w14:paraId="5AEC61C2" w14:textId="616E996C" w:rsidR="006E489E" w:rsidRDefault="006E489E">
          <w:pPr>
            <w:pStyle w:val="TOCHeading"/>
          </w:pPr>
          <w:r>
            <w:t>Contents</w:t>
          </w:r>
        </w:p>
        <w:p w14:paraId="01A1419A" w14:textId="1E3980CA" w:rsidR="006E489E" w:rsidRDefault="006E489E">
          <w:pPr>
            <w:pStyle w:val="TOC1"/>
            <w:tabs>
              <w:tab w:val="right" w:leader="dot" w:pos="9016"/>
            </w:tabs>
            <w:rPr>
              <w:noProof/>
              <w:kern w:val="2"/>
              <w:sz w:val="24"/>
              <w:szCs w:val="24"/>
              <w:lang w:eastAsia="en-IN"/>
              <w14:ligatures w14:val="standardContextual"/>
            </w:rPr>
          </w:pPr>
          <w:r>
            <w:fldChar w:fldCharType="begin"/>
          </w:r>
          <w:r>
            <w:instrText xml:space="preserve"> TOC \o "1-3" \h \z \u </w:instrText>
          </w:r>
          <w:r>
            <w:fldChar w:fldCharType="separate"/>
          </w:r>
          <w:hyperlink w:anchor="_Toc237102958" w:history="1">
            <w:r w:rsidRPr="002D494C">
              <w:rPr>
                <w:rStyle w:val="Hyperlink"/>
                <w:noProof/>
              </w:rPr>
              <w:t>Abstract</w:t>
            </w:r>
            <w:r>
              <w:rPr>
                <w:noProof/>
                <w:webHidden/>
              </w:rPr>
              <w:tab/>
            </w:r>
            <w:r>
              <w:rPr>
                <w:noProof/>
                <w:webHidden/>
              </w:rPr>
              <w:fldChar w:fldCharType="begin"/>
            </w:r>
            <w:r>
              <w:rPr>
                <w:noProof/>
                <w:webHidden/>
              </w:rPr>
              <w:instrText xml:space="preserve"> PAGEREF _Toc237102958 \h </w:instrText>
            </w:r>
            <w:r>
              <w:rPr>
                <w:noProof/>
                <w:webHidden/>
              </w:rPr>
            </w:r>
            <w:r>
              <w:rPr>
                <w:noProof/>
                <w:webHidden/>
              </w:rPr>
              <w:fldChar w:fldCharType="separate"/>
            </w:r>
            <w:r>
              <w:rPr>
                <w:noProof/>
                <w:webHidden/>
              </w:rPr>
              <w:t>2</w:t>
            </w:r>
            <w:r>
              <w:rPr>
                <w:noProof/>
                <w:webHidden/>
              </w:rPr>
              <w:fldChar w:fldCharType="end"/>
            </w:r>
          </w:hyperlink>
        </w:p>
        <w:p w14:paraId="225E6B18" w14:textId="0BFFA1EA" w:rsidR="006E489E" w:rsidRDefault="006E489E">
          <w:pPr>
            <w:pStyle w:val="TOC1"/>
            <w:tabs>
              <w:tab w:val="right" w:leader="dot" w:pos="9016"/>
            </w:tabs>
            <w:rPr>
              <w:noProof/>
              <w:kern w:val="2"/>
              <w:sz w:val="24"/>
              <w:szCs w:val="24"/>
              <w:lang w:eastAsia="en-IN"/>
              <w14:ligatures w14:val="standardContextual"/>
            </w:rPr>
          </w:pPr>
          <w:hyperlink w:anchor="_Toc237102959" w:history="1">
            <w:r w:rsidRPr="002D494C">
              <w:rPr>
                <w:rStyle w:val="Hyperlink"/>
                <w:noProof/>
              </w:rPr>
              <w:t>1. Introduction</w:t>
            </w:r>
            <w:r>
              <w:rPr>
                <w:noProof/>
                <w:webHidden/>
              </w:rPr>
              <w:tab/>
            </w:r>
            <w:r>
              <w:rPr>
                <w:noProof/>
                <w:webHidden/>
              </w:rPr>
              <w:fldChar w:fldCharType="begin"/>
            </w:r>
            <w:r>
              <w:rPr>
                <w:noProof/>
                <w:webHidden/>
              </w:rPr>
              <w:instrText xml:space="preserve"> PAGEREF _Toc237102959 \h </w:instrText>
            </w:r>
            <w:r>
              <w:rPr>
                <w:noProof/>
                <w:webHidden/>
              </w:rPr>
            </w:r>
            <w:r>
              <w:rPr>
                <w:noProof/>
                <w:webHidden/>
              </w:rPr>
              <w:fldChar w:fldCharType="separate"/>
            </w:r>
            <w:r>
              <w:rPr>
                <w:noProof/>
                <w:webHidden/>
              </w:rPr>
              <w:t>4</w:t>
            </w:r>
            <w:r>
              <w:rPr>
                <w:noProof/>
                <w:webHidden/>
              </w:rPr>
              <w:fldChar w:fldCharType="end"/>
            </w:r>
          </w:hyperlink>
        </w:p>
        <w:p w14:paraId="1B3F2966" w14:textId="553E3993" w:rsidR="006E489E" w:rsidRDefault="006E489E">
          <w:pPr>
            <w:pStyle w:val="TOC1"/>
            <w:tabs>
              <w:tab w:val="right" w:leader="dot" w:pos="9016"/>
            </w:tabs>
            <w:rPr>
              <w:noProof/>
              <w:kern w:val="2"/>
              <w:sz w:val="24"/>
              <w:szCs w:val="24"/>
              <w:lang w:eastAsia="en-IN"/>
              <w14:ligatures w14:val="standardContextual"/>
            </w:rPr>
          </w:pPr>
          <w:hyperlink w:anchor="_Toc237102960" w:history="1">
            <w:r w:rsidRPr="002D494C">
              <w:rPr>
                <w:rStyle w:val="Hyperlink"/>
                <w:noProof/>
              </w:rPr>
              <w:t>2. Organisational Context and Assumptions</w:t>
            </w:r>
            <w:r>
              <w:rPr>
                <w:noProof/>
                <w:webHidden/>
              </w:rPr>
              <w:tab/>
            </w:r>
            <w:r>
              <w:rPr>
                <w:noProof/>
                <w:webHidden/>
              </w:rPr>
              <w:fldChar w:fldCharType="begin"/>
            </w:r>
            <w:r>
              <w:rPr>
                <w:noProof/>
                <w:webHidden/>
              </w:rPr>
              <w:instrText xml:space="preserve"> PAGEREF _Toc237102960 \h </w:instrText>
            </w:r>
            <w:r>
              <w:rPr>
                <w:noProof/>
                <w:webHidden/>
              </w:rPr>
            </w:r>
            <w:r>
              <w:rPr>
                <w:noProof/>
                <w:webHidden/>
              </w:rPr>
              <w:fldChar w:fldCharType="separate"/>
            </w:r>
            <w:r>
              <w:rPr>
                <w:noProof/>
                <w:webHidden/>
              </w:rPr>
              <w:t>5</w:t>
            </w:r>
            <w:r>
              <w:rPr>
                <w:noProof/>
                <w:webHidden/>
              </w:rPr>
              <w:fldChar w:fldCharType="end"/>
            </w:r>
          </w:hyperlink>
        </w:p>
        <w:p w14:paraId="6123FD71" w14:textId="09E970C2" w:rsidR="006E489E" w:rsidRDefault="006E489E">
          <w:pPr>
            <w:pStyle w:val="TOC1"/>
            <w:tabs>
              <w:tab w:val="right" w:leader="dot" w:pos="9016"/>
            </w:tabs>
            <w:rPr>
              <w:noProof/>
              <w:kern w:val="2"/>
              <w:sz w:val="24"/>
              <w:szCs w:val="24"/>
              <w:lang w:eastAsia="en-IN"/>
              <w14:ligatures w14:val="standardContextual"/>
            </w:rPr>
          </w:pPr>
          <w:hyperlink w:anchor="_Toc237102961" w:history="1">
            <w:r w:rsidRPr="002D494C">
              <w:rPr>
                <w:rStyle w:val="Hyperlink"/>
                <w:noProof/>
              </w:rPr>
              <w:t>3. Critical Evaluation of Security Frameworks and Models</w:t>
            </w:r>
            <w:r>
              <w:rPr>
                <w:noProof/>
                <w:webHidden/>
              </w:rPr>
              <w:tab/>
            </w:r>
            <w:r>
              <w:rPr>
                <w:noProof/>
                <w:webHidden/>
              </w:rPr>
              <w:fldChar w:fldCharType="begin"/>
            </w:r>
            <w:r>
              <w:rPr>
                <w:noProof/>
                <w:webHidden/>
              </w:rPr>
              <w:instrText xml:space="preserve"> PAGEREF _Toc237102961 \h </w:instrText>
            </w:r>
            <w:r>
              <w:rPr>
                <w:noProof/>
                <w:webHidden/>
              </w:rPr>
            </w:r>
            <w:r>
              <w:rPr>
                <w:noProof/>
                <w:webHidden/>
              </w:rPr>
              <w:fldChar w:fldCharType="separate"/>
            </w:r>
            <w:r>
              <w:rPr>
                <w:noProof/>
                <w:webHidden/>
              </w:rPr>
              <w:t>6</w:t>
            </w:r>
            <w:r>
              <w:rPr>
                <w:noProof/>
                <w:webHidden/>
              </w:rPr>
              <w:fldChar w:fldCharType="end"/>
            </w:r>
          </w:hyperlink>
        </w:p>
        <w:p w14:paraId="3CBEAFE8" w14:textId="5D6C799D" w:rsidR="006E489E" w:rsidRDefault="006E489E">
          <w:pPr>
            <w:pStyle w:val="TOC2"/>
            <w:tabs>
              <w:tab w:val="right" w:leader="dot" w:pos="9016"/>
            </w:tabs>
            <w:rPr>
              <w:noProof/>
              <w:kern w:val="2"/>
              <w:sz w:val="24"/>
              <w:szCs w:val="24"/>
              <w:lang w:eastAsia="en-IN"/>
              <w14:ligatures w14:val="standardContextual"/>
            </w:rPr>
          </w:pPr>
          <w:hyperlink w:anchor="_Toc237102962" w:history="1">
            <w:r w:rsidRPr="002D494C">
              <w:rPr>
                <w:rStyle w:val="Hyperlink"/>
                <w:noProof/>
              </w:rPr>
              <w:t>3.1 Evaluation Criteria</w:t>
            </w:r>
            <w:r>
              <w:rPr>
                <w:noProof/>
                <w:webHidden/>
              </w:rPr>
              <w:tab/>
            </w:r>
            <w:r>
              <w:rPr>
                <w:noProof/>
                <w:webHidden/>
              </w:rPr>
              <w:fldChar w:fldCharType="begin"/>
            </w:r>
            <w:r>
              <w:rPr>
                <w:noProof/>
                <w:webHidden/>
              </w:rPr>
              <w:instrText xml:space="preserve"> PAGEREF _Toc237102962 \h </w:instrText>
            </w:r>
            <w:r>
              <w:rPr>
                <w:noProof/>
                <w:webHidden/>
              </w:rPr>
            </w:r>
            <w:r>
              <w:rPr>
                <w:noProof/>
                <w:webHidden/>
              </w:rPr>
              <w:fldChar w:fldCharType="separate"/>
            </w:r>
            <w:r>
              <w:rPr>
                <w:noProof/>
                <w:webHidden/>
              </w:rPr>
              <w:t>6</w:t>
            </w:r>
            <w:r>
              <w:rPr>
                <w:noProof/>
                <w:webHidden/>
              </w:rPr>
              <w:fldChar w:fldCharType="end"/>
            </w:r>
          </w:hyperlink>
        </w:p>
        <w:p w14:paraId="7A6F1CF6" w14:textId="13C0A894" w:rsidR="006E489E" w:rsidRDefault="006E489E">
          <w:pPr>
            <w:pStyle w:val="TOC2"/>
            <w:tabs>
              <w:tab w:val="right" w:leader="dot" w:pos="9016"/>
            </w:tabs>
            <w:rPr>
              <w:noProof/>
              <w:kern w:val="2"/>
              <w:sz w:val="24"/>
              <w:szCs w:val="24"/>
              <w:lang w:eastAsia="en-IN"/>
              <w14:ligatures w14:val="standardContextual"/>
            </w:rPr>
          </w:pPr>
          <w:hyperlink w:anchor="_Toc237102963" w:history="1">
            <w:r w:rsidRPr="002D494C">
              <w:rPr>
                <w:rStyle w:val="Hyperlink"/>
                <w:noProof/>
              </w:rPr>
              <w:t>3.2 ISO/IEC 27001 and the ISO/IEC 27000 Series</w:t>
            </w:r>
            <w:r>
              <w:rPr>
                <w:noProof/>
                <w:webHidden/>
              </w:rPr>
              <w:tab/>
            </w:r>
            <w:r>
              <w:rPr>
                <w:noProof/>
                <w:webHidden/>
              </w:rPr>
              <w:fldChar w:fldCharType="begin"/>
            </w:r>
            <w:r>
              <w:rPr>
                <w:noProof/>
                <w:webHidden/>
              </w:rPr>
              <w:instrText xml:space="preserve"> PAGEREF _Toc237102963 \h </w:instrText>
            </w:r>
            <w:r>
              <w:rPr>
                <w:noProof/>
                <w:webHidden/>
              </w:rPr>
            </w:r>
            <w:r>
              <w:rPr>
                <w:noProof/>
                <w:webHidden/>
              </w:rPr>
              <w:fldChar w:fldCharType="separate"/>
            </w:r>
            <w:r>
              <w:rPr>
                <w:noProof/>
                <w:webHidden/>
              </w:rPr>
              <w:t>6</w:t>
            </w:r>
            <w:r>
              <w:rPr>
                <w:noProof/>
                <w:webHidden/>
              </w:rPr>
              <w:fldChar w:fldCharType="end"/>
            </w:r>
          </w:hyperlink>
        </w:p>
        <w:p w14:paraId="13B706BA" w14:textId="3900F1E1" w:rsidR="006E489E" w:rsidRDefault="006E489E">
          <w:pPr>
            <w:pStyle w:val="TOC2"/>
            <w:tabs>
              <w:tab w:val="right" w:leader="dot" w:pos="9016"/>
            </w:tabs>
            <w:rPr>
              <w:noProof/>
              <w:kern w:val="2"/>
              <w:sz w:val="24"/>
              <w:szCs w:val="24"/>
              <w:lang w:eastAsia="en-IN"/>
              <w14:ligatures w14:val="standardContextual"/>
            </w:rPr>
          </w:pPr>
          <w:hyperlink w:anchor="_Toc237102964" w:history="1">
            <w:r w:rsidRPr="002D494C">
              <w:rPr>
                <w:rStyle w:val="Hyperlink"/>
                <w:noProof/>
              </w:rPr>
              <w:t>3.3 NIST Cybersecurity Framework</w:t>
            </w:r>
            <w:r>
              <w:rPr>
                <w:noProof/>
                <w:webHidden/>
              </w:rPr>
              <w:tab/>
            </w:r>
            <w:r>
              <w:rPr>
                <w:noProof/>
                <w:webHidden/>
              </w:rPr>
              <w:fldChar w:fldCharType="begin"/>
            </w:r>
            <w:r>
              <w:rPr>
                <w:noProof/>
                <w:webHidden/>
              </w:rPr>
              <w:instrText xml:space="preserve"> PAGEREF _Toc237102964 \h </w:instrText>
            </w:r>
            <w:r>
              <w:rPr>
                <w:noProof/>
                <w:webHidden/>
              </w:rPr>
            </w:r>
            <w:r>
              <w:rPr>
                <w:noProof/>
                <w:webHidden/>
              </w:rPr>
              <w:fldChar w:fldCharType="separate"/>
            </w:r>
            <w:r>
              <w:rPr>
                <w:noProof/>
                <w:webHidden/>
              </w:rPr>
              <w:t>6</w:t>
            </w:r>
            <w:r>
              <w:rPr>
                <w:noProof/>
                <w:webHidden/>
              </w:rPr>
              <w:fldChar w:fldCharType="end"/>
            </w:r>
          </w:hyperlink>
        </w:p>
        <w:p w14:paraId="6F89BCB3" w14:textId="265ACFA8" w:rsidR="006E489E" w:rsidRDefault="006E489E">
          <w:pPr>
            <w:pStyle w:val="TOC2"/>
            <w:tabs>
              <w:tab w:val="right" w:leader="dot" w:pos="9016"/>
            </w:tabs>
            <w:rPr>
              <w:noProof/>
              <w:kern w:val="2"/>
              <w:sz w:val="24"/>
              <w:szCs w:val="24"/>
              <w:lang w:eastAsia="en-IN"/>
              <w14:ligatures w14:val="standardContextual"/>
            </w:rPr>
          </w:pPr>
          <w:hyperlink w:anchor="_Toc237102965" w:history="1">
            <w:r w:rsidRPr="002D494C">
              <w:rPr>
                <w:rStyle w:val="Hyperlink"/>
                <w:noProof/>
              </w:rPr>
              <w:t>3.4 COBIT 2019</w:t>
            </w:r>
            <w:r>
              <w:rPr>
                <w:noProof/>
                <w:webHidden/>
              </w:rPr>
              <w:tab/>
            </w:r>
            <w:r>
              <w:rPr>
                <w:noProof/>
                <w:webHidden/>
              </w:rPr>
              <w:fldChar w:fldCharType="begin"/>
            </w:r>
            <w:r>
              <w:rPr>
                <w:noProof/>
                <w:webHidden/>
              </w:rPr>
              <w:instrText xml:space="preserve"> PAGEREF _Toc237102965 \h </w:instrText>
            </w:r>
            <w:r>
              <w:rPr>
                <w:noProof/>
                <w:webHidden/>
              </w:rPr>
            </w:r>
            <w:r>
              <w:rPr>
                <w:noProof/>
                <w:webHidden/>
              </w:rPr>
              <w:fldChar w:fldCharType="separate"/>
            </w:r>
            <w:r>
              <w:rPr>
                <w:noProof/>
                <w:webHidden/>
              </w:rPr>
              <w:t>6</w:t>
            </w:r>
            <w:r>
              <w:rPr>
                <w:noProof/>
                <w:webHidden/>
              </w:rPr>
              <w:fldChar w:fldCharType="end"/>
            </w:r>
          </w:hyperlink>
        </w:p>
        <w:p w14:paraId="12190289" w14:textId="32FF9458" w:rsidR="006E489E" w:rsidRDefault="006E489E">
          <w:pPr>
            <w:pStyle w:val="TOC2"/>
            <w:tabs>
              <w:tab w:val="right" w:leader="dot" w:pos="9016"/>
            </w:tabs>
            <w:rPr>
              <w:noProof/>
              <w:kern w:val="2"/>
              <w:sz w:val="24"/>
              <w:szCs w:val="24"/>
              <w:lang w:eastAsia="en-IN"/>
              <w14:ligatures w14:val="standardContextual"/>
            </w:rPr>
          </w:pPr>
          <w:hyperlink w:anchor="_Toc237102966" w:history="1">
            <w:r w:rsidRPr="002D494C">
              <w:rPr>
                <w:rStyle w:val="Hyperlink"/>
                <w:noProof/>
              </w:rPr>
              <w:t>3.5 ITIL 4 and Zero Trust</w:t>
            </w:r>
            <w:r>
              <w:rPr>
                <w:noProof/>
                <w:webHidden/>
              </w:rPr>
              <w:tab/>
            </w:r>
            <w:r>
              <w:rPr>
                <w:noProof/>
                <w:webHidden/>
              </w:rPr>
              <w:fldChar w:fldCharType="begin"/>
            </w:r>
            <w:r>
              <w:rPr>
                <w:noProof/>
                <w:webHidden/>
              </w:rPr>
              <w:instrText xml:space="preserve"> PAGEREF _Toc237102966 \h </w:instrText>
            </w:r>
            <w:r>
              <w:rPr>
                <w:noProof/>
                <w:webHidden/>
              </w:rPr>
            </w:r>
            <w:r>
              <w:rPr>
                <w:noProof/>
                <w:webHidden/>
              </w:rPr>
              <w:fldChar w:fldCharType="separate"/>
            </w:r>
            <w:r>
              <w:rPr>
                <w:noProof/>
                <w:webHidden/>
              </w:rPr>
              <w:t>6</w:t>
            </w:r>
            <w:r>
              <w:rPr>
                <w:noProof/>
                <w:webHidden/>
              </w:rPr>
              <w:fldChar w:fldCharType="end"/>
            </w:r>
          </w:hyperlink>
        </w:p>
        <w:p w14:paraId="6482FDA3" w14:textId="769E9E9C" w:rsidR="006E489E" w:rsidRDefault="006E489E">
          <w:pPr>
            <w:pStyle w:val="TOC2"/>
            <w:tabs>
              <w:tab w:val="right" w:leader="dot" w:pos="9016"/>
            </w:tabs>
            <w:rPr>
              <w:noProof/>
              <w:kern w:val="2"/>
              <w:sz w:val="24"/>
              <w:szCs w:val="24"/>
              <w:lang w:eastAsia="en-IN"/>
              <w14:ligatures w14:val="standardContextual"/>
            </w:rPr>
          </w:pPr>
          <w:hyperlink w:anchor="_Toc237102967" w:history="1">
            <w:r w:rsidRPr="002D494C">
              <w:rPr>
                <w:rStyle w:val="Hyperlink"/>
                <w:noProof/>
              </w:rPr>
              <w:t>3.6 Comparative Synthesis and Framework Selection</w:t>
            </w:r>
            <w:r>
              <w:rPr>
                <w:noProof/>
                <w:webHidden/>
              </w:rPr>
              <w:tab/>
            </w:r>
            <w:r>
              <w:rPr>
                <w:noProof/>
                <w:webHidden/>
              </w:rPr>
              <w:fldChar w:fldCharType="begin"/>
            </w:r>
            <w:r>
              <w:rPr>
                <w:noProof/>
                <w:webHidden/>
              </w:rPr>
              <w:instrText xml:space="preserve"> PAGEREF _Toc237102967 \h </w:instrText>
            </w:r>
            <w:r>
              <w:rPr>
                <w:noProof/>
                <w:webHidden/>
              </w:rPr>
            </w:r>
            <w:r>
              <w:rPr>
                <w:noProof/>
                <w:webHidden/>
              </w:rPr>
              <w:fldChar w:fldCharType="separate"/>
            </w:r>
            <w:r>
              <w:rPr>
                <w:noProof/>
                <w:webHidden/>
              </w:rPr>
              <w:t>7</w:t>
            </w:r>
            <w:r>
              <w:rPr>
                <w:noProof/>
                <w:webHidden/>
              </w:rPr>
              <w:fldChar w:fldCharType="end"/>
            </w:r>
          </w:hyperlink>
        </w:p>
        <w:p w14:paraId="10493514" w14:textId="7E2E4199" w:rsidR="006E489E" w:rsidRDefault="006E489E">
          <w:pPr>
            <w:pStyle w:val="TOC1"/>
            <w:tabs>
              <w:tab w:val="right" w:leader="dot" w:pos="9016"/>
            </w:tabs>
            <w:rPr>
              <w:noProof/>
              <w:kern w:val="2"/>
              <w:sz w:val="24"/>
              <w:szCs w:val="24"/>
              <w:lang w:eastAsia="en-IN"/>
              <w14:ligatures w14:val="standardContextual"/>
            </w:rPr>
          </w:pPr>
          <w:hyperlink w:anchor="_Toc237102968" w:history="1">
            <w:r w:rsidRPr="002D494C">
              <w:rPr>
                <w:rStyle w:val="Hyperlink"/>
                <w:noProof/>
              </w:rPr>
              <w:t>Table 1 Comparative Evaluation and Allocation of Frameworks</w:t>
            </w:r>
            <w:r>
              <w:rPr>
                <w:noProof/>
                <w:webHidden/>
              </w:rPr>
              <w:tab/>
            </w:r>
            <w:r>
              <w:rPr>
                <w:noProof/>
                <w:webHidden/>
              </w:rPr>
              <w:fldChar w:fldCharType="begin"/>
            </w:r>
            <w:r>
              <w:rPr>
                <w:noProof/>
                <w:webHidden/>
              </w:rPr>
              <w:instrText xml:space="preserve"> PAGEREF _Toc237102968 \h </w:instrText>
            </w:r>
            <w:r>
              <w:rPr>
                <w:noProof/>
                <w:webHidden/>
              </w:rPr>
            </w:r>
            <w:r>
              <w:rPr>
                <w:noProof/>
                <w:webHidden/>
              </w:rPr>
              <w:fldChar w:fldCharType="separate"/>
            </w:r>
            <w:r>
              <w:rPr>
                <w:noProof/>
                <w:webHidden/>
              </w:rPr>
              <w:t>7</w:t>
            </w:r>
            <w:r>
              <w:rPr>
                <w:noProof/>
                <w:webHidden/>
              </w:rPr>
              <w:fldChar w:fldCharType="end"/>
            </w:r>
          </w:hyperlink>
        </w:p>
        <w:p w14:paraId="6385F217" w14:textId="054F205A" w:rsidR="006E489E" w:rsidRDefault="006E489E">
          <w:pPr>
            <w:pStyle w:val="TOC1"/>
            <w:tabs>
              <w:tab w:val="right" w:leader="dot" w:pos="9016"/>
            </w:tabs>
            <w:rPr>
              <w:noProof/>
              <w:kern w:val="2"/>
              <w:sz w:val="24"/>
              <w:szCs w:val="24"/>
              <w:lang w:eastAsia="en-IN"/>
              <w14:ligatures w14:val="standardContextual"/>
            </w:rPr>
          </w:pPr>
          <w:hyperlink w:anchor="_Toc237102969" w:history="1">
            <w:r w:rsidRPr="002D494C">
              <w:rPr>
                <w:rStyle w:val="Hyperlink"/>
                <w:noProof/>
              </w:rPr>
              <w:t>4. Proposed Integrated Security, Governance and Compliance Approach</w:t>
            </w:r>
            <w:r>
              <w:rPr>
                <w:noProof/>
                <w:webHidden/>
              </w:rPr>
              <w:tab/>
            </w:r>
            <w:r>
              <w:rPr>
                <w:noProof/>
                <w:webHidden/>
              </w:rPr>
              <w:fldChar w:fldCharType="begin"/>
            </w:r>
            <w:r>
              <w:rPr>
                <w:noProof/>
                <w:webHidden/>
              </w:rPr>
              <w:instrText xml:space="preserve"> PAGEREF _Toc237102969 \h </w:instrText>
            </w:r>
            <w:r>
              <w:rPr>
                <w:noProof/>
                <w:webHidden/>
              </w:rPr>
            </w:r>
            <w:r>
              <w:rPr>
                <w:noProof/>
                <w:webHidden/>
              </w:rPr>
              <w:fldChar w:fldCharType="separate"/>
            </w:r>
            <w:r>
              <w:rPr>
                <w:noProof/>
                <w:webHidden/>
              </w:rPr>
              <w:t>8</w:t>
            </w:r>
            <w:r>
              <w:rPr>
                <w:noProof/>
                <w:webHidden/>
              </w:rPr>
              <w:fldChar w:fldCharType="end"/>
            </w:r>
          </w:hyperlink>
        </w:p>
        <w:p w14:paraId="24A5548B" w14:textId="4C689A4D" w:rsidR="006E489E" w:rsidRDefault="006E489E">
          <w:pPr>
            <w:pStyle w:val="TOC2"/>
            <w:tabs>
              <w:tab w:val="right" w:leader="dot" w:pos="9016"/>
            </w:tabs>
            <w:rPr>
              <w:noProof/>
              <w:kern w:val="2"/>
              <w:sz w:val="24"/>
              <w:szCs w:val="24"/>
              <w:lang w:eastAsia="en-IN"/>
              <w14:ligatures w14:val="standardContextual"/>
            </w:rPr>
          </w:pPr>
          <w:hyperlink w:anchor="_Toc237102970" w:history="1">
            <w:r w:rsidRPr="002D494C">
              <w:rPr>
                <w:rStyle w:val="Hyperlink"/>
                <w:noProof/>
              </w:rPr>
              <w:t>4.1 Security Governance and Strategic Leadership</w:t>
            </w:r>
            <w:r>
              <w:rPr>
                <w:noProof/>
                <w:webHidden/>
              </w:rPr>
              <w:tab/>
            </w:r>
            <w:r>
              <w:rPr>
                <w:noProof/>
                <w:webHidden/>
              </w:rPr>
              <w:fldChar w:fldCharType="begin"/>
            </w:r>
            <w:r>
              <w:rPr>
                <w:noProof/>
                <w:webHidden/>
              </w:rPr>
              <w:instrText xml:space="preserve"> PAGEREF _Toc237102970 \h </w:instrText>
            </w:r>
            <w:r>
              <w:rPr>
                <w:noProof/>
                <w:webHidden/>
              </w:rPr>
            </w:r>
            <w:r>
              <w:rPr>
                <w:noProof/>
                <w:webHidden/>
              </w:rPr>
              <w:fldChar w:fldCharType="separate"/>
            </w:r>
            <w:r>
              <w:rPr>
                <w:noProof/>
                <w:webHidden/>
              </w:rPr>
              <w:t>8</w:t>
            </w:r>
            <w:r>
              <w:rPr>
                <w:noProof/>
                <w:webHidden/>
              </w:rPr>
              <w:fldChar w:fldCharType="end"/>
            </w:r>
          </w:hyperlink>
        </w:p>
        <w:p w14:paraId="75A91975" w14:textId="32921B72" w:rsidR="006E489E" w:rsidRDefault="006E489E">
          <w:pPr>
            <w:pStyle w:val="TOC1"/>
            <w:tabs>
              <w:tab w:val="right" w:leader="dot" w:pos="9016"/>
            </w:tabs>
            <w:rPr>
              <w:noProof/>
              <w:kern w:val="2"/>
              <w:sz w:val="24"/>
              <w:szCs w:val="24"/>
              <w:lang w:eastAsia="en-IN"/>
              <w14:ligatures w14:val="standardContextual"/>
            </w:rPr>
          </w:pPr>
          <w:hyperlink w:anchor="_Toc237102971" w:history="1">
            <w:r w:rsidRPr="002D494C">
              <w:rPr>
                <w:rStyle w:val="Hyperlink"/>
                <w:noProof/>
              </w:rPr>
              <w:t>Table 2 High-Level RACI Allocation (Key: R = Responsible; A = Accountable; C = Consulted; I = Informed.)</w:t>
            </w:r>
            <w:r>
              <w:rPr>
                <w:noProof/>
                <w:webHidden/>
              </w:rPr>
              <w:tab/>
            </w:r>
            <w:r>
              <w:rPr>
                <w:noProof/>
                <w:webHidden/>
              </w:rPr>
              <w:fldChar w:fldCharType="begin"/>
            </w:r>
            <w:r>
              <w:rPr>
                <w:noProof/>
                <w:webHidden/>
              </w:rPr>
              <w:instrText xml:space="preserve"> PAGEREF _Toc237102971 \h </w:instrText>
            </w:r>
            <w:r>
              <w:rPr>
                <w:noProof/>
                <w:webHidden/>
              </w:rPr>
            </w:r>
            <w:r>
              <w:rPr>
                <w:noProof/>
                <w:webHidden/>
              </w:rPr>
              <w:fldChar w:fldCharType="separate"/>
            </w:r>
            <w:r>
              <w:rPr>
                <w:noProof/>
                <w:webHidden/>
              </w:rPr>
              <w:t>8</w:t>
            </w:r>
            <w:r>
              <w:rPr>
                <w:noProof/>
                <w:webHidden/>
              </w:rPr>
              <w:fldChar w:fldCharType="end"/>
            </w:r>
          </w:hyperlink>
        </w:p>
        <w:p w14:paraId="734289D9" w14:textId="1E9DAF36" w:rsidR="006E489E" w:rsidRDefault="006E489E">
          <w:pPr>
            <w:pStyle w:val="TOC2"/>
            <w:tabs>
              <w:tab w:val="right" w:leader="dot" w:pos="9016"/>
            </w:tabs>
            <w:rPr>
              <w:noProof/>
              <w:kern w:val="2"/>
              <w:sz w:val="24"/>
              <w:szCs w:val="24"/>
              <w:lang w:eastAsia="en-IN"/>
              <w14:ligatures w14:val="standardContextual"/>
            </w:rPr>
          </w:pPr>
          <w:hyperlink w:anchor="_Toc237102972" w:history="1">
            <w:r w:rsidRPr="002D494C">
              <w:rPr>
                <w:rStyle w:val="Hyperlink"/>
                <w:noProof/>
              </w:rPr>
              <w:t>4.2 Compliance, Law and Ethics</w:t>
            </w:r>
            <w:r>
              <w:rPr>
                <w:noProof/>
                <w:webHidden/>
              </w:rPr>
              <w:tab/>
            </w:r>
            <w:r>
              <w:rPr>
                <w:noProof/>
                <w:webHidden/>
              </w:rPr>
              <w:fldChar w:fldCharType="begin"/>
            </w:r>
            <w:r>
              <w:rPr>
                <w:noProof/>
                <w:webHidden/>
              </w:rPr>
              <w:instrText xml:space="preserve"> PAGEREF _Toc237102972 \h </w:instrText>
            </w:r>
            <w:r>
              <w:rPr>
                <w:noProof/>
                <w:webHidden/>
              </w:rPr>
            </w:r>
            <w:r>
              <w:rPr>
                <w:noProof/>
                <w:webHidden/>
              </w:rPr>
              <w:fldChar w:fldCharType="separate"/>
            </w:r>
            <w:r>
              <w:rPr>
                <w:noProof/>
                <w:webHidden/>
              </w:rPr>
              <w:t>8</w:t>
            </w:r>
            <w:r>
              <w:rPr>
                <w:noProof/>
                <w:webHidden/>
              </w:rPr>
              <w:fldChar w:fldCharType="end"/>
            </w:r>
          </w:hyperlink>
        </w:p>
        <w:p w14:paraId="5AAF3CD8" w14:textId="0C687467" w:rsidR="006E489E" w:rsidRDefault="006E489E">
          <w:pPr>
            <w:pStyle w:val="TOC2"/>
            <w:tabs>
              <w:tab w:val="right" w:leader="dot" w:pos="9016"/>
            </w:tabs>
            <w:rPr>
              <w:noProof/>
              <w:kern w:val="2"/>
              <w:sz w:val="24"/>
              <w:szCs w:val="24"/>
              <w:lang w:eastAsia="en-IN"/>
              <w14:ligatures w14:val="standardContextual"/>
            </w:rPr>
          </w:pPr>
          <w:hyperlink w:anchor="_Toc237102973" w:history="1">
            <w:r w:rsidRPr="002D494C">
              <w:rPr>
                <w:rStyle w:val="Hyperlink"/>
                <w:noProof/>
              </w:rPr>
              <w:t>4.3 Security Policies and Data Governance</w:t>
            </w:r>
            <w:r>
              <w:rPr>
                <w:noProof/>
                <w:webHidden/>
              </w:rPr>
              <w:tab/>
            </w:r>
            <w:r>
              <w:rPr>
                <w:noProof/>
                <w:webHidden/>
              </w:rPr>
              <w:fldChar w:fldCharType="begin"/>
            </w:r>
            <w:r>
              <w:rPr>
                <w:noProof/>
                <w:webHidden/>
              </w:rPr>
              <w:instrText xml:space="preserve"> PAGEREF _Toc237102973 \h </w:instrText>
            </w:r>
            <w:r>
              <w:rPr>
                <w:noProof/>
                <w:webHidden/>
              </w:rPr>
            </w:r>
            <w:r>
              <w:rPr>
                <w:noProof/>
                <w:webHidden/>
              </w:rPr>
              <w:fldChar w:fldCharType="separate"/>
            </w:r>
            <w:r>
              <w:rPr>
                <w:noProof/>
                <w:webHidden/>
              </w:rPr>
              <w:t>9</w:t>
            </w:r>
            <w:r>
              <w:rPr>
                <w:noProof/>
                <w:webHidden/>
              </w:rPr>
              <w:fldChar w:fldCharType="end"/>
            </w:r>
          </w:hyperlink>
        </w:p>
        <w:p w14:paraId="0FBE23C8" w14:textId="0AEF1BC9" w:rsidR="006E489E" w:rsidRDefault="006E489E">
          <w:pPr>
            <w:pStyle w:val="TOC2"/>
            <w:tabs>
              <w:tab w:val="right" w:leader="dot" w:pos="9016"/>
            </w:tabs>
            <w:rPr>
              <w:noProof/>
              <w:kern w:val="2"/>
              <w:sz w:val="24"/>
              <w:szCs w:val="24"/>
              <w:lang w:eastAsia="en-IN"/>
              <w14:ligatures w14:val="standardContextual"/>
            </w:rPr>
          </w:pPr>
          <w:hyperlink w:anchor="_Toc237102974" w:history="1">
            <w:r w:rsidRPr="002D494C">
              <w:rPr>
                <w:rStyle w:val="Hyperlink"/>
                <w:noProof/>
              </w:rPr>
              <w:t>4.4 Centralised Risk Management and Assessment</w:t>
            </w:r>
            <w:r>
              <w:rPr>
                <w:noProof/>
                <w:webHidden/>
              </w:rPr>
              <w:tab/>
            </w:r>
            <w:r>
              <w:rPr>
                <w:noProof/>
                <w:webHidden/>
              </w:rPr>
              <w:fldChar w:fldCharType="begin"/>
            </w:r>
            <w:r>
              <w:rPr>
                <w:noProof/>
                <w:webHidden/>
              </w:rPr>
              <w:instrText xml:space="preserve"> PAGEREF _Toc237102974 \h </w:instrText>
            </w:r>
            <w:r>
              <w:rPr>
                <w:noProof/>
                <w:webHidden/>
              </w:rPr>
            </w:r>
            <w:r>
              <w:rPr>
                <w:noProof/>
                <w:webHidden/>
              </w:rPr>
              <w:fldChar w:fldCharType="separate"/>
            </w:r>
            <w:r>
              <w:rPr>
                <w:noProof/>
                <w:webHidden/>
              </w:rPr>
              <w:t>9</w:t>
            </w:r>
            <w:r>
              <w:rPr>
                <w:noProof/>
                <w:webHidden/>
              </w:rPr>
              <w:fldChar w:fldCharType="end"/>
            </w:r>
          </w:hyperlink>
        </w:p>
        <w:p w14:paraId="0C6F660F" w14:textId="19459720" w:rsidR="006E489E" w:rsidRDefault="006E489E">
          <w:pPr>
            <w:pStyle w:val="TOC1"/>
            <w:tabs>
              <w:tab w:val="right" w:leader="dot" w:pos="9016"/>
            </w:tabs>
            <w:rPr>
              <w:noProof/>
              <w:kern w:val="2"/>
              <w:sz w:val="24"/>
              <w:szCs w:val="24"/>
              <w:lang w:eastAsia="en-IN"/>
              <w14:ligatures w14:val="standardContextual"/>
            </w:rPr>
          </w:pPr>
          <w:hyperlink w:anchor="_Toc237102975" w:history="1">
            <w:r w:rsidRPr="002D494C">
              <w:rPr>
                <w:rStyle w:val="Hyperlink"/>
                <w:noProof/>
              </w:rPr>
              <w:t>Table 3 Prioritised AeroLink Risk Register</w:t>
            </w:r>
            <w:r>
              <w:rPr>
                <w:noProof/>
                <w:webHidden/>
              </w:rPr>
              <w:tab/>
            </w:r>
            <w:r>
              <w:rPr>
                <w:noProof/>
                <w:webHidden/>
              </w:rPr>
              <w:fldChar w:fldCharType="begin"/>
            </w:r>
            <w:r>
              <w:rPr>
                <w:noProof/>
                <w:webHidden/>
              </w:rPr>
              <w:instrText xml:space="preserve"> PAGEREF _Toc237102975 \h </w:instrText>
            </w:r>
            <w:r>
              <w:rPr>
                <w:noProof/>
                <w:webHidden/>
              </w:rPr>
            </w:r>
            <w:r>
              <w:rPr>
                <w:noProof/>
                <w:webHidden/>
              </w:rPr>
              <w:fldChar w:fldCharType="separate"/>
            </w:r>
            <w:r>
              <w:rPr>
                <w:noProof/>
                <w:webHidden/>
              </w:rPr>
              <w:t>9</w:t>
            </w:r>
            <w:r>
              <w:rPr>
                <w:noProof/>
                <w:webHidden/>
              </w:rPr>
              <w:fldChar w:fldCharType="end"/>
            </w:r>
          </w:hyperlink>
        </w:p>
        <w:p w14:paraId="28AAFBFB" w14:textId="6E3E5CC2" w:rsidR="006E489E" w:rsidRDefault="006E489E">
          <w:pPr>
            <w:pStyle w:val="TOC2"/>
            <w:tabs>
              <w:tab w:val="right" w:leader="dot" w:pos="9016"/>
            </w:tabs>
            <w:rPr>
              <w:noProof/>
              <w:kern w:val="2"/>
              <w:sz w:val="24"/>
              <w:szCs w:val="24"/>
              <w:lang w:eastAsia="en-IN"/>
              <w14:ligatures w14:val="standardContextual"/>
            </w:rPr>
          </w:pPr>
          <w:hyperlink w:anchor="_Toc237102976" w:history="1">
            <w:r w:rsidRPr="002D494C">
              <w:rPr>
                <w:rStyle w:val="Hyperlink"/>
                <w:noProof/>
              </w:rPr>
              <w:t>4.5 Protection Mechanisms and Access Controls</w:t>
            </w:r>
            <w:r>
              <w:rPr>
                <w:noProof/>
                <w:webHidden/>
              </w:rPr>
              <w:tab/>
            </w:r>
            <w:r>
              <w:rPr>
                <w:noProof/>
                <w:webHidden/>
              </w:rPr>
              <w:fldChar w:fldCharType="begin"/>
            </w:r>
            <w:r>
              <w:rPr>
                <w:noProof/>
                <w:webHidden/>
              </w:rPr>
              <w:instrText xml:space="preserve"> PAGEREF _Toc237102976 \h </w:instrText>
            </w:r>
            <w:r>
              <w:rPr>
                <w:noProof/>
                <w:webHidden/>
              </w:rPr>
            </w:r>
            <w:r>
              <w:rPr>
                <w:noProof/>
                <w:webHidden/>
              </w:rPr>
              <w:fldChar w:fldCharType="separate"/>
            </w:r>
            <w:r>
              <w:rPr>
                <w:noProof/>
                <w:webHidden/>
              </w:rPr>
              <w:t>9</w:t>
            </w:r>
            <w:r>
              <w:rPr>
                <w:noProof/>
                <w:webHidden/>
              </w:rPr>
              <w:fldChar w:fldCharType="end"/>
            </w:r>
          </w:hyperlink>
        </w:p>
        <w:p w14:paraId="42919E4E" w14:textId="700FC3A7" w:rsidR="006E489E" w:rsidRDefault="006E489E">
          <w:pPr>
            <w:pStyle w:val="TOC1"/>
            <w:tabs>
              <w:tab w:val="right" w:leader="dot" w:pos="9016"/>
            </w:tabs>
            <w:rPr>
              <w:noProof/>
              <w:kern w:val="2"/>
              <w:sz w:val="24"/>
              <w:szCs w:val="24"/>
              <w:lang w:eastAsia="en-IN"/>
              <w14:ligatures w14:val="standardContextual"/>
            </w:rPr>
          </w:pPr>
          <w:hyperlink w:anchor="_Toc237102977" w:history="1">
            <w:r w:rsidRPr="002D494C">
              <w:rPr>
                <w:rStyle w:val="Hyperlink"/>
                <w:noProof/>
              </w:rPr>
              <w:t>Figure 1 AeroLink Integrated Security, Governance and Compliance Architecture</w:t>
            </w:r>
            <w:r>
              <w:rPr>
                <w:noProof/>
                <w:webHidden/>
              </w:rPr>
              <w:tab/>
            </w:r>
            <w:r>
              <w:rPr>
                <w:noProof/>
                <w:webHidden/>
              </w:rPr>
              <w:fldChar w:fldCharType="begin"/>
            </w:r>
            <w:r>
              <w:rPr>
                <w:noProof/>
                <w:webHidden/>
              </w:rPr>
              <w:instrText xml:space="preserve"> PAGEREF _Toc237102977 \h </w:instrText>
            </w:r>
            <w:r>
              <w:rPr>
                <w:noProof/>
                <w:webHidden/>
              </w:rPr>
            </w:r>
            <w:r>
              <w:rPr>
                <w:noProof/>
                <w:webHidden/>
              </w:rPr>
              <w:fldChar w:fldCharType="separate"/>
            </w:r>
            <w:r>
              <w:rPr>
                <w:noProof/>
                <w:webHidden/>
              </w:rPr>
              <w:t>10</w:t>
            </w:r>
            <w:r>
              <w:rPr>
                <w:noProof/>
                <w:webHidden/>
              </w:rPr>
              <w:fldChar w:fldCharType="end"/>
            </w:r>
          </w:hyperlink>
        </w:p>
        <w:p w14:paraId="6772F32C" w14:textId="3A111C22" w:rsidR="006E489E" w:rsidRDefault="006E489E">
          <w:pPr>
            <w:pStyle w:val="TOC2"/>
            <w:tabs>
              <w:tab w:val="right" w:leader="dot" w:pos="9016"/>
            </w:tabs>
            <w:rPr>
              <w:noProof/>
              <w:kern w:val="2"/>
              <w:sz w:val="24"/>
              <w:szCs w:val="24"/>
              <w:lang w:eastAsia="en-IN"/>
              <w14:ligatures w14:val="standardContextual"/>
            </w:rPr>
          </w:pPr>
          <w:hyperlink w:anchor="_Toc237102978" w:history="1">
            <w:r w:rsidRPr="002D494C">
              <w:rPr>
                <w:rStyle w:val="Hyperlink"/>
                <w:noProof/>
              </w:rPr>
              <w:t>4.6 Vendor and Service Level Agreement Management</w:t>
            </w:r>
            <w:r>
              <w:rPr>
                <w:noProof/>
                <w:webHidden/>
              </w:rPr>
              <w:tab/>
            </w:r>
            <w:r>
              <w:rPr>
                <w:noProof/>
                <w:webHidden/>
              </w:rPr>
              <w:fldChar w:fldCharType="begin"/>
            </w:r>
            <w:r>
              <w:rPr>
                <w:noProof/>
                <w:webHidden/>
              </w:rPr>
              <w:instrText xml:space="preserve"> PAGEREF _Toc237102978 \h </w:instrText>
            </w:r>
            <w:r>
              <w:rPr>
                <w:noProof/>
                <w:webHidden/>
              </w:rPr>
            </w:r>
            <w:r>
              <w:rPr>
                <w:noProof/>
                <w:webHidden/>
              </w:rPr>
              <w:fldChar w:fldCharType="separate"/>
            </w:r>
            <w:r>
              <w:rPr>
                <w:noProof/>
                <w:webHidden/>
              </w:rPr>
              <w:t>10</w:t>
            </w:r>
            <w:r>
              <w:rPr>
                <w:noProof/>
                <w:webHidden/>
              </w:rPr>
              <w:fldChar w:fldCharType="end"/>
            </w:r>
          </w:hyperlink>
        </w:p>
        <w:p w14:paraId="3FE7BAD9" w14:textId="39521BF2" w:rsidR="006E489E" w:rsidRDefault="006E489E">
          <w:pPr>
            <w:pStyle w:val="TOC2"/>
            <w:tabs>
              <w:tab w:val="right" w:leader="dot" w:pos="9016"/>
            </w:tabs>
            <w:rPr>
              <w:noProof/>
              <w:kern w:val="2"/>
              <w:sz w:val="24"/>
              <w:szCs w:val="24"/>
              <w:lang w:eastAsia="en-IN"/>
              <w14:ligatures w14:val="standardContextual"/>
            </w:rPr>
          </w:pPr>
          <w:hyperlink w:anchor="_Toc237102979" w:history="1">
            <w:r w:rsidRPr="002D494C">
              <w:rPr>
                <w:rStyle w:val="Hyperlink"/>
                <w:noProof/>
              </w:rPr>
              <w:t>4.7 Incident Response and Business Continuity</w:t>
            </w:r>
            <w:r>
              <w:rPr>
                <w:noProof/>
                <w:webHidden/>
              </w:rPr>
              <w:tab/>
            </w:r>
            <w:r>
              <w:rPr>
                <w:noProof/>
                <w:webHidden/>
              </w:rPr>
              <w:fldChar w:fldCharType="begin"/>
            </w:r>
            <w:r>
              <w:rPr>
                <w:noProof/>
                <w:webHidden/>
              </w:rPr>
              <w:instrText xml:space="preserve"> PAGEREF _Toc237102979 \h </w:instrText>
            </w:r>
            <w:r>
              <w:rPr>
                <w:noProof/>
                <w:webHidden/>
              </w:rPr>
            </w:r>
            <w:r>
              <w:rPr>
                <w:noProof/>
                <w:webHidden/>
              </w:rPr>
              <w:fldChar w:fldCharType="separate"/>
            </w:r>
            <w:r>
              <w:rPr>
                <w:noProof/>
                <w:webHidden/>
              </w:rPr>
              <w:t>11</w:t>
            </w:r>
            <w:r>
              <w:rPr>
                <w:noProof/>
                <w:webHidden/>
              </w:rPr>
              <w:fldChar w:fldCharType="end"/>
            </w:r>
          </w:hyperlink>
        </w:p>
        <w:p w14:paraId="37F7E4D5" w14:textId="095F692E" w:rsidR="006E489E" w:rsidRDefault="006E489E">
          <w:pPr>
            <w:pStyle w:val="TOC2"/>
            <w:tabs>
              <w:tab w:val="right" w:leader="dot" w:pos="9016"/>
            </w:tabs>
            <w:rPr>
              <w:noProof/>
              <w:kern w:val="2"/>
              <w:sz w:val="24"/>
              <w:szCs w:val="24"/>
              <w:lang w:eastAsia="en-IN"/>
              <w14:ligatures w14:val="standardContextual"/>
            </w:rPr>
          </w:pPr>
          <w:hyperlink w:anchor="_Toc237102980" w:history="1">
            <w:r w:rsidRPr="002D494C">
              <w:rPr>
                <w:rStyle w:val="Hyperlink"/>
                <w:noProof/>
              </w:rPr>
              <w:t>4.8 Integrated Design Rationale</w:t>
            </w:r>
            <w:r>
              <w:rPr>
                <w:noProof/>
                <w:webHidden/>
              </w:rPr>
              <w:tab/>
            </w:r>
            <w:r>
              <w:rPr>
                <w:noProof/>
                <w:webHidden/>
              </w:rPr>
              <w:fldChar w:fldCharType="begin"/>
            </w:r>
            <w:r>
              <w:rPr>
                <w:noProof/>
                <w:webHidden/>
              </w:rPr>
              <w:instrText xml:space="preserve"> PAGEREF _Toc237102980 \h </w:instrText>
            </w:r>
            <w:r>
              <w:rPr>
                <w:noProof/>
                <w:webHidden/>
              </w:rPr>
            </w:r>
            <w:r>
              <w:rPr>
                <w:noProof/>
                <w:webHidden/>
              </w:rPr>
              <w:fldChar w:fldCharType="separate"/>
            </w:r>
            <w:r>
              <w:rPr>
                <w:noProof/>
                <w:webHidden/>
              </w:rPr>
              <w:t>11</w:t>
            </w:r>
            <w:r>
              <w:rPr>
                <w:noProof/>
                <w:webHidden/>
              </w:rPr>
              <w:fldChar w:fldCharType="end"/>
            </w:r>
          </w:hyperlink>
        </w:p>
        <w:p w14:paraId="3C129C97" w14:textId="7BE05B3D" w:rsidR="006E489E" w:rsidRDefault="006E489E">
          <w:pPr>
            <w:pStyle w:val="TOC1"/>
            <w:tabs>
              <w:tab w:val="right" w:leader="dot" w:pos="9016"/>
            </w:tabs>
            <w:rPr>
              <w:noProof/>
              <w:kern w:val="2"/>
              <w:sz w:val="24"/>
              <w:szCs w:val="24"/>
              <w:lang w:eastAsia="en-IN"/>
              <w14:ligatures w14:val="standardContextual"/>
            </w:rPr>
          </w:pPr>
          <w:hyperlink w:anchor="_Toc237102981" w:history="1">
            <w:r w:rsidRPr="002D494C">
              <w:rPr>
                <w:rStyle w:val="Hyperlink"/>
                <w:noProof/>
              </w:rPr>
              <w:t>5. Continuous Updating of Regulations and Standards</w:t>
            </w:r>
            <w:r>
              <w:rPr>
                <w:noProof/>
                <w:webHidden/>
              </w:rPr>
              <w:tab/>
            </w:r>
            <w:r>
              <w:rPr>
                <w:noProof/>
                <w:webHidden/>
              </w:rPr>
              <w:fldChar w:fldCharType="begin"/>
            </w:r>
            <w:r>
              <w:rPr>
                <w:noProof/>
                <w:webHidden/>
              </w:rPr>
              <w:instrText xml:space="preserve"> PAGEREF _Toc237102981 \h </w:instrText>
            </w:r>
            <w:r>
              <w:rPr>
                <w:noProof/>
                <w:webHidden/>
              </w:rPr>
            </w:r>
            <w:r>
              <w:rPr>
                <w:noProof/>
                <w:webHidden/>
              </w:rPr>
              <w:fldChar w:fldCharType="separate"/>
            </w:r>
            <w:r>
              <w:rPr>
                <w:noProof/>
                <w:webHidden/>
              </w:rPr>
              <w:t>12</w:t>
            </w:r>
            <w:r>
              <w:rPr>
                <w:noProof/>
                <w:webHidden/>
              </w:rPr>
              <w:fldChar w:fldCharType="end"/>
            </w:r>
          </w:hyperlink>
        </w:p>
        <w:p w14:paraId="310E2532" w14:textId="0447C5D1" w:rsidR="006E489E" w:rsidRDefault="006E489E">
          <w:pPr>
            <w:pStyle w:val="TOC1"/>
            <w:tabs>
              <w:tab w:val="right" w:leader="dot" w:pos="9016"/>
            </w:tabs>
            <w:rPr>
              <w:noProof/>
              <w:kern w:val="2"/>
              <w:sz w:val="24"/>
              <w:szCs w:val="24"/>
              <w:lang w:eastAsia="en-IN"/>
              <w14:ligatures w14:val="standardContextual"/>
            </w:rPr>
          </w:pPr>
          <w:hyperlink w:anchor="_Toc237102982" w:history="1">
            <w:r w:rsidRPr="002D494C">
              <w:rPr>
                <w:rStyle w:val="Hyperlink"/>
                <w:noProof/>
              </w:rPr>
              <w:t>Figure 2 Continuous Regulatory and Standards Assurance Cycle</w:t>
            </w:r>
            <w:r>
              <w:rPr>
                <w:noProof/>
                <w:webHidden/>
              </w:rPr>
              <w:tab/>
            </w:r>
            <w:r>
              <w:rPr>
                <w:noProof/>
                <w:webHidden/>
              </w:rPr>
              <w:fldChar w:fldCharType="begin"/>
            </w:r>
            <w:r>
              <w:rPr>
                <w:noProof/>
                <w:webHidden/>
              </w:rPr>
              <w:instrText xml:space="preserve"> PAGEREF _Toc237102982 \h </w:instrText>
            </w:r>
            <w:r>
              <w:rPr>
                <w:noProof/>
                <w:webHidden/>
              </w:rPr>
            </w:r>
            <w:r>
              <w:rPr>
                <w:noProof/>
                <w:webHidden/>
              </w:rPr>
              <w:fldChar w:fldCharType="separate"/>
            </w:r>
            <w:r>
              <w:rPr>
                <w:noProof/>
                <w:webHidden/>
              </w:rPr>
              <w:t>12</w:t>
            </w:r>
            <w:r>
              <w:rPr>
                <w:noProof/>
                <w:webHidden/>
              </w:rPr>
              <w:fldChar w:fldCharType="end"/>
            </w:r>
          </w:hyperlink>
        </w:p>
        <w:p w14:paraId="06B5CEED" w14:textId="58C7C663" w:rsidR="006E489E" w:rsidRDefault="006E489E">
          <w:pPr>
            <w:pStyle w:val="TOC1"/>
            <w:tabs>
              <w:tab w:val="right" w:leader="dot" w:pos="9016"/>
            </w:tabs>
            <w:rPr>
              <w:noProof/>
              <w:kern w:val="2"/>
              <w:sz w:val="24"/>
              <w:szCs w:val="24"/>
              <w:lang w:eastAsia="en-IN"/>
              <w14:ligatures w14:val="standardContextual"/>
            </w:rPr>
          </w:pPr>
          <w:hyperlink w:anchor="_Toc237102983" w:history="1">
            <w:r w:rsidRPr="002D494C">
              <w:rPr>
                <w:rStyle w:val="Hyperlink"/>
                <w:noProof/>
              </w:rPr>
              <w:t>6. Implementation Roadmap and Performance Measures</w:t>
            </w:r>
            <w:r>
              <w:rPr>
                <w:noProof/>
                <w:webHidden/>
              </w:rPr>
              <w:tab/>
            </w:r>
            <w:r>
              <w:rPr>
                <w:noProof/>
                <w:webHidden/>
              </w:rPr>
              <w:fldChar w:fldCharType="begin"/>
            </w:r>
            <w:r>
              <w:rPr>
                <w:noProof/>
                <w:webHidden/>
              </w:rPr>
              <w:instrText xml:space="preserve"> PAGEREF _Toc237102983 \h </w:instrText>
            </w:r>
            <w:r>
              <w:rPr>
                <w:noProof/>
                <w:webHidden/>
              </w:rPr>
            </w:r>
            <w:r>
              <w:rPr>
                <w:noProof/>
                <w:webHidden/>
              </w:rPr>
              <w:fldChar w:fldCharType="separate"/>
            </w:r>
            <w:r>
              <w:rPr>
                <w:noProof/>
                <w:webHidden/>
              </w:rPr>
              <w:t>13</w:t>
            </w:r>
            <w:r>
              <w:rPr>
                <w:noProof/>
                <w:webHidden/>
              </w:rPr>
              <w:fldChar w:fldCharType="end"/>
            </w:r>
          </w:hyperlink>
        </w:p>
        <w:p w14:paraId="07D012D2" w14:textId="7EF17A56" w:rsidR="006E489E" w:rsidRDefault="006E489E">
          <w:pPr>
            <w:pStyle w:val="TOC1"/>
            <w:tabs>
              <w:tab w:val="right" w:leader="dot" w:pos="9016"/>
            </w:tabs>
            <w:rPr>
              <w:noProof/>
              <w:kern w:val="2"/>
              <w:sz w:val="24"/>
              <w:szCs w:val="24"/>
              <w:lang w:eastAsia="en-IN"/>
              <w14:ligatures w14:val="standardContextual"/>
            </w:rPr>
          </w:pPr>
          <w:hyperlink w:anchor="_Toc237102984" w:history="1">
            <w:r w:rsidRPr="002D494C">
              <w:rPr>
                <w:rStyle w:val="Hyperlink"/>
                <w:noProof/>
              </w:rPr>
              <w:t>Table 5  Phased Implementation Roadmap and Measures</w:t>
            </w:r>
            <w:r>
              <w:rPr>
                <w:noProof/>
                <w:webHidden/>
              </w:rPr>
              <w:tab/>
            </w:r>
            <w:r>
              <w:rPr>
                <w:noProof/>
                <w:webHidden/>
              </w:rPr>
              <w:fldChar w:fldCharType="begin"/>
            </w:r>
            <w:r>
              <w:rPr>
                <w:noProof/>
                <w:webHidden/>
              </w:rPr>
              <w:instrText xml:space="preserve"> PAGEREF _Toc237102984 \h </w:instrText>
            </w:r>
            <w:r>
              <w:rPr>
                <w:noProof/>
                <w:webHidden/>
              </w:rPr>
            </w:r>
            <w:r>
              <w:rPr>
                <w:noProof/>
                <w:webHidden/>
              </w:rPr>
              <w:fldChar w:fldCharType="separate"/>
            </w:r>
            <w:r>
              <w:rPr>
                <w:noProof/>
                <w:webHidden/>
              </w:rPr>
              <w:t>13</w:t>
            </w:r>
            <w:r>
              <w:rPr>
                <w:noProof/>
                <w:webHidden/>
              </w:rPr>
              <w:fldChar w:fldCharType="end"/>
            </w:r>
          </w:hyperlink>
        </w:p>
        <w:p w14:paraId="546EC905" w14:textId="4474D891" w:rsidR="006E489E" w:rsidRDefault="006E489E">
          <w:pPr>
            <w:pStyle w:val="TOC1"/>
            <w:tabs>
              <w:tab w:val="right" w:leader="dot" w:pos="9016"/>
            </w:tabs>
            <w:rPr>
              <w:noProof/>
              <w:kern w:val="2"/>
              <w:sz w:val="24"/>
              <w:szCs w:val="24"/>
              <w:lang w:eastAsia="en-IN"/>
              <w14:ligatures w14:val="standardContextual"/>
            </w:rPr>
          </w:pPr>
          <w:hyperlink w:anchor="_Toc237102985" w:history="1">
            <w:r w:rsidRPr="002D494C">
              <w:rPr>
                <w:rStyle w:val="Hyperlink"/>
                <w:noProof/>
              </w:rPr>
              <w:t>7. Conclusion</w:t>
            </w:r>
            <w:r>
              <w:rPr>
                <w:noProof/>
                <w:webHidden/>
              </w:rPr>
              <w:tab/>
            </w:r>
            <w:r>
              <w:rPr>
                <w:noProof/>
                <w:webHidden/>
              </w:rPr>
              <w:fldChar w:fldCharType="begin"/>
            </w:r>
            <w:r>
              <w:rPr>
                <w:noProof/>
                <w:webHidden/>
              </w:rPr>
              <w:instrText xml:space="preserve"> PAGEREF _Toc237102985 \h </w:instrText>
            </w:r>
            <w:r>
              <w:rPr>
                <w:noProof/>
                <w:webHidden/>
              </w:rPr>
            </w:r>
            <w:r>
              <w:rPr>
                <w:noProof/>
                <w:webHidden/>
              </w:rPr>
              <w:fldChar w:fldCharType="separate"/>
            </w:r>
            <w:r>
              <w:rPr>
                <w:noProof/>
                <w:webHidden/>
              </w:rPr>
              <w:t>13</w:t>
            </w:r>
            <w:r>
              <w:rPr>
                <w:noProof/>
                <w:webHidden/>
              </w:rPr>
              <w:fldChar w:fldCharType="end"/>
            </w:r>
          </w:hyperlink>
        </w:p>
        <w:p w14:paraId="3922B0A4" w14:textId="467BB77E" w:rsidR="006E489E" w:rsidRDefault="006E489E">
          <w:pPr>
            <w:pStyle w:val="TOC1"/>
            <w:tabs>
              <w:tab w:val="right" w:leader="dot" w:pos="9016"/>
            </w:tabs>
            <w:rPr>
              <w:noProof/>
              <w:kern w:val="2"/>
              <w:sz w:val="24"/>
              <w:szCs w:val="24"/>
              <w:lang w:eastAsia="en-IN"/>
              <w14:ligatures w14:val="standardContextual"/>
            </w:rPr>
          </w:pPr>
          <w:hyperlink w:anchor="_Toc237102986" w:history="1">
            <w:r w:rsidRPr="002D494C">
              <w:rPr>
                <w:rStyle w:val="Hyperlink"/>
                <w:noProof/>
              </w:rPr>
              <w:t>References</w:t>
            </w:r>
            <w:r>
              <w:rPr>
                <w:noProof/>
                <w:webHidden/>
              </w:rPr>
              <w:tab/>
            </w:r>
            <w:r>
              <w:rPr>
                <w:noProof/>
                <w:webHidden/>
              </w:rPr>
              <w:fldChar w:fldCharType="begin"/>
            </w:r>
            <w:r>
              <w:rPr>
                <w:noProof/>
                <w:webHidden/>
              </w:rPr>
              <w:instrText xml:space="preserve"> PAGEREF _Toc237102986 \h </w:instrText>
            </w:r>
            <w:r>
              <w:rPr>
                <w:noProof/>
                <w:webHidden/>
              </w:rPr>
            </w:r>
            <w:r>
              <w:rPr>
                <w:noProof/>
                <w:webHidden/>
              </w:rPr>
              <w:fldChar w:fldCharType="separate"/>
            </w:r>
            <w:r>
              <w:rPr>
                <w:noProof/>
                <w:webHidden/>
              </w:rPr>
              <w:t>14</w:t>
            </w:r>
            <w:r>
              <w:rPr>
                <w:noProof/>
                <w:webHidden/>
              </w:rPr>
              <w:fldChar w:fldCharType="end"/>
            </w:r>
          </w:hyperlink>
        </w:p>
        <w:p w14:paraId="396F3AB3" w14:textId="133B350B" w:rsidR="006E489E" w:rsidRDefault="006E489E">
          <w:r>
            <w:rPr>
              <w:b/>
              <w:bCs/>
              <w:noProof/>
            </w:rPr>
            <w:fldChar w:fldCharType="end"/>
          </w:r>
        </w:p>
      </w:sdtContent>
    </w:sdt>
    <w:p w14:paraId="0BCDDC4D" w14:textId="1A421B8A" w:rsidR="00D409A3" w:rsidRPr="00ED39B0" w:rsidRDefault="004F563C" w:rsidP="003E569D">
      <w:pPr>
        <w:pStyle w:val="Heading1"/>
        <w:jc w:val="both"/>
      </w:pPr>
      <w:r>
        <w:br w:type="page"/>
      </w:r>
      <w:bookmarkStart w:id="3" w:name="_Toc234919615"/>
      <w:bookmarkStart w:id="4" w:name="_Toc237102332"/>
      <w:bookmarkStart w:id="5" w:name="_Toc237102959"/>
      <w:r w:rsidR="00D409A3">
        <w:lastRenderedPageBreak/>
        <w:t>1. Introduction</w:t>
      </w:r>
      <w:bookmarkEnd w:id="3"/>
      <w:bookmarkEnd w:id="4"/>
      <w:bookmarkEnd w:id="5"/>
    </w:p>
    <w:p w14:paraId="725537EF" w14:textId="0D38DF98" w:rsidR="00D409A3" w:rsidRDefault="00D409A3" w:rsidP="003E569D">
      <w:pPr>
        <w:jc w:val="both"/>
      </w:pPr>
      <w:r>
        <w:t>AeroLink Logistics has a data intensive supply chain where service availability and integrity of information is directly linked to the physical movement and contractual delivery as well as customers trust. Meanwhile its cloud-hosted applications, telemetry from tracking sensors and AI-driven decisions provide operational benefits and draw identities, devices, vendors and data together from various jurisdictions. Logistics parties are vulnerable because the impact of a digital incident can spread from one business to another in other tiers – customers, stores, carriers and providers</w:t>
      </w:r>
      <w:r w:rsidR="003E569D">
        <w:t xml:space="preserve"> [6]</w:t>
      </w:r>
      <w:r>
        <w:t>.</w:t>
      </w:r>
    </w:p>
    <w:p w14:paraId="7224FC5B" w14:textId="587FD8C0" w:rsidR="00D409A3" w:rsidRDefault="00D409A3" w:rsidP="003E569D">
      <w:pPr>
        <w:jc w:val="both"/>
      </w:pPr>
      <w:r>
        <w:t>So, there is no real lack of isolated controls. AeroLink doesn't have an accountable system focused on determining who bears the risk, who does what, how to choose controls, what constitutes evidence that a control works, etc. This report critically reviews and compares frameworks and builds an integrated security, governance and compliance strategy for AeroLink's outsourced environment. It also explores the reason that rules and standards need to be constantly tracked and evaluated as the risk from cloud, IoT and AI technologies changes.</w:t>
      </w:r>
    </w:p>
    <w:p w14:paraId="19B9A4FD" w14:textId="77777777" w:rsidR="00D26F4A" w:rsidRDefault="00D26F4A">
      <w:pPr>
        <w:rPr>
          <w:rFonts w:asciiTheme="majorHAnsi" w:eastAsiaTheme="majorEastAsia" w:hAnsiTheme="majorHAnsi" w:cstheme="majorBidi"/>
          <w:color w:val="2F5496" w:themeColor="accent1" w:themeShade="BF"/>
          <w:sz w:val="36"/>
          <w:szCs w:val="36"/>
        </w:rPr>
      </w:pPr>
      <w:bookmarkStart w:id="6" w:name="_Toc234919616"/>
      <w:r>
        <w:br w:type="page"/>
      </w:r>
    </w:p>
    <w:p w14:paraId="58681688" w14:textId="1FB91079" w:rsidR="00D409A3" w:rsidRDefault="00D409A3" w:rsidP="003E569D">
      <w:pPr>
        <w:pStyle w:val="Heading1"/>
        <w:jc w:val="both"/>
      </w:pPr>
      <w:bookmarkStart w:id="7" w:name="_Toc237102333"/>
      <w:bookmarkStart w:id="8" w:name="_Toc237102960"/>
      <w:r>
        <w:lastRenderedPageBreak/>
        <w:t>2. Organisational Context and Assumptions</w:t>
      </w:r>
      <w:bookmarkEnd w:id="6"/>
      <w:bookmarkEnd w:id="7"/>
      <w:bookmarkEnd w:id="8"/>
    </w:p>
    <w:p w14:paraId="139C7823" w14:textId="375A10A9" w:rsidR="00D409A3" w:rsidRDefault="00CA189F" w:rsidP="003E569D">
      <w:pPr>
        <w:jc w:val="both"/>
      </w:pPr>
      <w:r w:rsidRPr="00CA189F">
        <w:t>AeroLink’s principal exposure arises from operational dependence on infrastructure, identities and services outside its direct control</w:t>
      </w:r>
      <w:r w:rsidR="00D409A3">
        <w:t xml:space="preserve">. The vendors, cloud configurations, APIs, and subcontractors are the security perimeter of infrastructure delivered in IaaS and SaaS accounting for 88 per cent. If the devices are not managed, it compromises security: A </w:t>
      </w:r>
      <w:r>
        <w:t>Third</w:t>
      </w:r>
      <w:r w:rsidR="00D409A3">
        <w:t>-party device and location or an unsupported system may get access with valid credentials from other devices compromised with malware. With the advent of IoT trackers, a slew of long-lived credentials is punting away constrained hardware, distributed physical access, and with AI analytics, battening excessive collection and opaque decision risks are now introduced. An analysis of digital supply chains reveals that, when it comes to the supply chain, a weakness of any third party can have systemic rather than local impacts, and contractual assurance is not enough without technical monitoring</w:t>
      </w:r>
      <w:r w:rsidR="003E569D">
        <w:t xml:space="preserve"> [5]</w:t>
      </w:r>
      <w:r w:rsidR="00D409A3">
        <w:t>.</w:t>
      </w:r>
    </w:p>
    <w:p w14:paraId="0C4DB31B" w14:textId="01CFA8EF" w:rsidR="00D409A3" w:rsidRDefault="00D409A3" w:rsidP="003E569D">
      <w:pPr>
        <w:jc w:val="both"/>
      </w:pPr>
      <w:r>
        <w:t xml:space="preserve">The analysis is useful when AeroLink has a workforce of over 1,000, works in the UK and EEA, is responsible for processing data from, and on, EU residents and relies on significant multinationals for cloud services. It has a low level of security maturity, but has the options to phase some investment and executive sponsorship. Key elements include customer PII, shipment destinations, commercial timetables, warehouse systems, partner credentials, IoT telemetry, encryption keys, and AI information sets. Not all legacy systems can be replaced at once. </w:t>
      </w:r>
    </w:p>
    <w:p w14:paraId="1D0CCFDB" w14:textId="77777777" w:rsidR="00D26F4A" w:rsidRDefault="00D26F4A">
      <w:pPr>
        <w:rPr>
          <w:rFonts w:asciiTheme="majorHAnsi" w:eastAsiaTheme="majorEastAsia" w:hAnsiTheme="majorHAnsi" w:cstheme="majorBidi"/>
          <w:color w:val="2F5496" w:themeColor="accent1" w:themeShade="BF"/>
          <w:sz w:val="36"/>
          <w:szCs w:val="36"/>
        </w:rPr>
      </w:pPr>
      <w:bookmarkStart w:id="9" w:name="_Toc234919617"/>
      <w:r>
        <w:br w:type="page"/>
      </w:r>
    </w:p>
    <w:p w14:paraId="58184AAA" w14:textId="01FB342A" w:rsidR="00D409A3" w:rsidRPr="00D409A3" w:rsidRDefault="00D409A3" w:rsidP="003E569D">
      <w:pPr>
        <w:pStyle w:val="Heading1"/>
        <w:jc w:val="both"/>
      </w:pPr>
      <w:bookmarkStart w:id="10" w:name="_Toc237102334"/>
      <w:bookmarkStart w:id="11" w:name="_Toc237102961"/>
      <w:r w:rsidRPr="00D409A3">
        <w:lastRenderedPageBreak/>
        <w:t>3. Critical Evaluation of Security Frameworks and Models</w:t>
      </w:r>
      <w:bookmarkEnd w:id="9"/>
      <w:bookmarkEnd w:id="10"/>
      <w:bookmarkEnd w:id="11"/>
    </w:p>
    <w:p w14:paraId="60A5C517" w14:textId="178CF57D" w:rsidR="00D409A3" w:rsidRDefault="00D409A3" w:rsidP="003E569D">
      <w:pPr>
        <w:pStyle w:val="Heading2"/>
        <w:jc w:val="both"/>
      </w:pPr>
      <w:bookmarkStart w:id="12" w:name="_Toc234919618"/>
      <w:bookmarkStart w:id="13" w:name="_Toc237102335"/>
      <w:bookmarkStart w:id="14" w:name="_Toc237102962"/>
      <w:r w:rsidRPr="00D409A3">
        <w:t>3.1 Evaluation Criteria</w:t>
      </w:r>
      <w:bookmarkEnd w:id="12"/>
      <w:bookmarkEnd w:id="13"/>
      <w:bookmarkEnd w:id="14"/>
    </w:p>
    <w:p w14:paraId="1DD1B6F4" w14:textId="43EBC48C" w:rsidR="00D409A3" w:rsidRDefault="00D409A3" w:rsidP="003E569D">
      <w:pPr>
        <w:jc w:val="both"/>
      </w:pPr>
      <w:r>
        <w:t>The frameworks are judged based on 6 criteria - Strategic accountability, Openness to risk, conformance to standards, operational usefulness, suitability for cloud and third parties, and implementation burden. This avoids "popularity" and makes sure that every framework addresses a specific AeroLink deficiency.</w:t>
      </w:r>
    </w:p>
    <w:p w14:paraId="57EEB2B3" w14:textId="31AC2937" w:rsidR="00D409A3" w:rsidRDefault="00D409A3" w:rsidP="003E569D">
      <w:pPr>
        <w:pStyle w:val="Heading2"/>
        <w:jc w:val="both"/>
      </w:pPr>
      <w:bookmarkStart w:id="15" w:name="_Toc234919619"/>
      <w:bookmarkStart w:id="16" w:name="_Toc237102336"/>
      <w:bookmarkStart w:id="17" w:name="_Toc237102963"/>
      <w:r w:rsidRPr="00D409A3">
        <w:t>3.2 ISO/IEC 27001 and the ISO/IEC 27000 Series</w:t>
      </w:r>
      <w:bookmarkEnd w:id="15"/>
      <w:bookmarkEnd w:id="16"/>
      <w:bookmarkEnd w:id="17"/>
    </w:p>
    <w:p w14:paraId="714BEDC7" w14:textId="2C67F667" w:rsidR="00D409A3" w:rsidRDefault="00D409A3" w:rsidP="003E569D">
      <w:pPr>
        <w:jc w:val="both"/>
      </w:pPr>
      <w:r>
        <w:t xml:space="preserve">The highest level of strength is ISO/IEC 27001 (organising foundation): prescribes documented risk treatment, control ownership, internal audit and management review, a scoped information security management system. In AeroLink's case, it's using a disconnected policy replaced with a single auditable review of shipment information, cloud services and suppliers, to objectives and evidence. </w:t>
      </w:r>
      <w:r w:rsidR="002A2618" w:rsidRPr="002A2618">
        <w:t>Certification can provide independent assurance that the organisation’s ISMS conforms to defined information-security management requirements.</w:t>
      </w:r>
      <w:r>
        <w:t xml:space="preserve"> The standard is however technology neutral. It will not detail how conditional access or IoT identity or cloud posture monitoring should be put in place. The up-to-date implementation of a compliance-based approach might hence generate the paperwork in absence of robust high-risk pathways. Building an architecture is not part and parcel of the implementation of AeroLink — it's another control over which you should govern using ISO/IEC 27001</w:t>
      </w:r>
      <w:r w:rsidR="00712875">
        <w:t xml:space="preserve"> </w:t>
      </w:r>
      <w:r w:rsidR="00712875" w:rsidRPr="00712875">
        <w:t>(International Organization for Standardization, 2022)</w:t>
      </w:r>
      <w:r>
        <w:t>.</w:t>
      </w:r>
    </w:p>
    <w:p w14:paraId="2A4DBA70" w14:textId="70FCF4D6" w:rsidR="00D409A3" w:rsidRDefault="00D409A3" w:rsidP="003E569D">
      <w:pPr>
        <w:pStyle w:val="Heading2"/>
        <w:jc w:val="both"/>
      </w:pPr>
      <w:bookmarkStart w:id="18" w:name="_Toc234919620"/>
      <w:bookmarkStart w:id="19" w:name="_Toc237102337"/>
      <w:bookmarkStart w:id="20" w:name="_Toc237102964"/>
      <w:r>
        <w:t>3.3 NIST Cybersecurity Framework</w:t>
      </w:r>
      <w:bookmarkEnd w:id="18"/>
      <w:bookmarkEnd w:id="19"/>
      <w:bookmarkEnd w:id="20"/>
    </w:p>
    <w:p w14:paraId="372DB48A" w14:textId="47B81D1F" w:rsidR="00D409A3" w:rsidRDefault="00D409A3" w:rsidP="003E569D">
      <w:pPr>
        <w:jc w:val="both"/>
      </w:pPr>
      <w:r>
        <w:t>There is an operational taxonomy that is offered by the NIST Cybersecurity Framework—Govern, Identify, Protect, Detect, Respond and Recover</w:t>
      </w:r>
      <w:r w:rsidR="002A2618">
        <w:t xml:space="preserve"> </w:t>
      </w:r>
      <w:r w:rsidR="002A2618" w:rsidRPr="002A2618">
        <w:t>(National Institute of Standards and Technology, 2024)</w:t>
      </w:r>
      <w:r>
        <w:t xml:space="preserve">. It has profiles that can help translate AeroLink's current state to a desired ‘state,' and detect imbalance, for instance: good prevention, weak detection/recovery. It can chart risks—whether from clouds, IoTs and vendors—into common results. A cyber-risk decision needs risk structure and investment analysis, says </w:t>
      </w:r>
      <w:r w:rsidR="003E569D">
        <w:t>[11]</w:t>
      </w:r>
      <w:r>
        <w:t>, supporting NIST profiles with prioritisation of controls by expected reduction, instead of by control volume. The shortcomings are assurance, which is not the same as certification, and that a broad outcome can be understood differently unless there are measurable levels of implementation, evidence and owners defined by AeroLink.</w:t>
      </w:r>
    </w:p>
    <w:p w14:paraId="4BB80913" w14:textId="28037CA2" w:rsidR="00D409A3" w:rsidRDefault="00D409A3" w:rsidP="003E569D">
      <w:pPr>
        <w:pStyle w:val="Heading2"/>
        <w:jc w:val="both"/>
      </w:pPr>
      <w:bookmarkStart w:id="21" w:name="_Toc234919621"/>
      <w:bookmarkStart w:id="22" w:name="_Toc237102338"/>
      <w:bookmarkStart w:id="23" w:name="_Toc237102965"/>
      <w:r>
        <w:t>3.4 COBIT 2019</w:t>
      </w:r>
      <w:bookmarkEnd w:id="21"/>
      <w:bookmarkEnd w:id="22"/>
      <w:bookmarkEnd w:id="23"/>
    </w:p>
    <w:p w14:paraId="4C701113" w14:textId="169099DD" w:rsidR="00D409A3" w:rsidRDefault="00D409A3" w:rsidP="003E569D">
      <w:pPr>
        <w:jc w:val="both"/>
      </w:pPr>
      <w:r>
        <w:t>COBIT 2019 focuses on governance failure, which in turn leads to many technical failures. It establishes a separation between governance and management, defines decision rights and correlates security performance with enterprise goals. The board, CISO, the procurement team, or the owners of the business can assume responsibility for the level of the risk appetite, the programme to be executed and controls over suppliers, or the residual risk to be accepted. Clear information flows, competence, and formal responsibility are not the same measure of effective board oversight for cybersecurity – board-level research shows</w:t>
      </w:r>
      <w:r w:rsidR="003E569D">
        <w:t xml:space="preserve"> [8]</w:t>
      </w:r>
      <w:r>
        <w:t xml:space="preserve">. </w:t>
      </w:r>
    </w:p>
    <w:p w14:paraId="3662B036" w14:textId="2CB8EB66" w:rsidR="00D409A3" w:rsidRDefault="00D409A3" w:rsidP="003E569D">
      <w:pPr>
        <w:pStyle w:val="Heading2"/>
        <w:jc w:val="both"/>
      </w:pPr>
      <w:bookmarkStart w:id="24" w:name="_Toc234919622"/>
      <w:bookmarkStart w:id="25" w:name="_Toc237102339"/>
      <w:bookmarkStart w:id="26" w:name="_Toc237102966"/>
      <w:r w:rsidRPr="00D409A3">
        <w:t>3.5 ITIL 4 and Zero Trust</w:t>
      </w:r>
      <w:bookmarkEnd w:id="24"/>
      <w:bookmarkEnd w:id="25"/>
      <w:bookmarkEnd w:id="26"/>
    </w:p>
    <w:p w14:paraId="6A068F8B" w14:textId="12854972" w:rsidR="00D409A3" w:rsidRDefault="00D409A3" w:rsidP="003E569D">
      <w:pPr>
        <w:jc w:val="both"/>
      </w:pPr>
      <w:r>
        <w:t xml:space="preserve">The other frameworks complement ITIL 4 by regulating its impact on the operation of security on services. By changing the enablement, misconfiguration is reduced, with incident management bringing a standardised approach to handling escalations, and supplier management turning security requirements into monitored services. The strength of an ITIL based model is its ability to manage a service in a secure way but failing to define the entire enterprise risk &amp; compliance model. In the same way, Zero Trust tackles AeroLink's challenges with remote and partner access providers, assuming that simply being on the network is not a sign of trust. Each session must be assessed according to identity, state of device(s), type requested resource, context, risk. Unique device identities and constrained and segmented communication </w:t>
      </w:r>
      <w:r>
        <w:lastRenderedPageBreak/>
        <w:t>also makes Zero Trust applicable to IoT systems that are more distributed, but ensuring it is more challenging due to legacy architectures and protocols</w:t>
      </w:r>
      <w:r w:rsidR="003E569D">
        <w:t xml:space="preserve"> [12]</w:t>
      </w:r>
      <w:r>
        <w:t>.</w:t>
      </w:r>
    </w:p>
    <w:p w14:paraId="40924A02" w14:textId="70125A20" w:rsidR="00D409A3" w:rsidRDefault="00D409A3" w:rsidP="003E569D">
      <w:pPr>
        <w:pStyle w:val="Heading2"/>
        <w:jc w:val="both"/>
      </w:pPr>
      <w:bookmarkStart w:id="27" w:name="_Toc234919623"/>
      <w:bookmarkStart w:id="28" w:name="_Toc237102340"/>
      <w:bookmarkStart w:id="29" w:name="_Toc237102967"/>
      <w:r w:rsidRPr="00D409A3">
        <w:t>3.6 Comparative Synthesis and Framework Selection</w:t>
      </w:r>
      <w:bookmarkEnd w:id="27"/>
      <w:bookmarkEnd w:id="28"/>
      <w:bookmarkEnd w:id="29"/>
    </w:p>
    <w:p w14:paraId="472E0B90" w14:textId="446B803D" w:rsidR="00D409A3" w:rsidRDefault="00FD5720" w:rsidP="003E569D">
      <w:pPr>
        <w:jc w:val="both"/>
      </w:pPr>
      <w:r w:rsidRPr="00FD5720">
        <w:t>No single framework is sufficient to address AeroLink’s combined governance, operational, compliance and access-control requirements</w:t>
      </w:r>
      <w:r w:rsidR="00D409A3">
        <w:t>. We need to use COBIT as the governance layer, ISO/IEC 27001 as the management and assurance layer, NIST CSF as the operational risk structure, and ITIL as the service-management layer and Zero Trust as the access-architecture layer. There will be no duplicate registers/duplicated audits in integration. The one enterprise risk register should be used to update one control library, and at the same time, controls should be mapped to objectives, ISO requirement and NIST outcomes and service procedures and legal obligations should be mapped. This model is better since each framework can compensate for the other's weakness: COBIT provides authority, ISO ensures repetition, NIST ensures operation enablement, ITIL provides service discipline and Zero Trust provides technical enforcement. The single-summary of this integrated allocation can be found in Table 1.</w:t>
      </w:r>
    </w:p>
    <w:p w14:paraId="25F2073D" w14:textId="797DA85A" w:rsidR="00641C4E" w:rsidRDefault="00641C4E" w:rsidP="006E489E">
      <w:pPr>
        <w:pStyle w:val="Heading1"/>
      </w:pPr>
      <w:bookmarkStart w:id="30" w:name="_Toc234854010"/>
      <w:bookmarkStart w:id="31" w:name="_Toc237102968"/>
      <w:r>
        <w:t xml:space="preserve">Table </w:t>
      </w:r>
      <w:fldSimple w:instr=" SEQ Table \* ARABIC ">
        <w:r w:rsidR="000E3DD2">
          <w:rPr>
            <w:noProof/>
          </w:rPr>
          <w:t>1</w:t>
        </w:r>
      </w:fldSimple>
      <w:r>
        <w:t xml:space="preserve"> </w:t>
      </w:r>
      <w:r w:rsidRPr="00FE0CBB">
        <w:t>Comparative Evaluation and Allocation of Frameworks</w:t>
      </w:r>
      <w:bookmarkEnd w:id="30"/>
      <w:bookmarkEnd w:id="31"/>
    </w:p>
    <w:tbl>
      <w:tblPr>
        <w:tblW w:w="0" w:type="dxa"/>
        <w:tblBorders>
          <w:top w:val="single" w:sz="2" w:space="0" w:color="auto"/>
          <w:left w:val="single" w:sz="2" w:space="0" w:color="auto"/>
          <w:bottom w:val="single" w:sz="2" w:space="0" w:color="auto"/>
          <w:right w:val="single" w:sz="2" w:space="0" w:color="auto"/>
        </w:tblBorders>
        <w:shd w:val="clear" w:color="auto" w:fill="FFFFFF"/>
        <w:tblLook w:val="04A0" w:firstRow="1" w:lastRow="0" w:firstColumn="1" w:lastColumn="0" w:noHBand="0" w:noVBand="1"/>
      </w:tblPr>
      <w:tblGrid>
        <w:gridCol w:w="1304"/>
        <w:gridCol w:w="1585"/>
        <w:gridCol w:w="2391"/>
        <w:gridCol w:w="2053"/>
        <w:gridCol w:w="1683"/>
      </w:tblGrid>
      <w:tr w:rsidR="00D409A3" w:rsidRPr="00D409A3" w14:paraId="69FBE058" w14:textId="77777777">
        <w:tc>
          <w:tcPr>
            <w:tcW w:w="1361" w:type="dxa"/>
            <w:tcBorders>
              <w:top w:val="single" w:sz="4" w:space="0" w:color="000000"/>
              <w:left w:val="single" w:sz="4" w:space="0" w:color="000000"/>
              <w:bottom w:val="single" w:sz="4" w:space="0" w:color="000000"/>
              <w:right w:val="single" w:sz="4" w:space="0" w:color="000000"/>
            </w:tcBorders>
            <w:shd w:val="clear" w:color="auto" w:fill="1F4E79"/>
            <w:tcMar>
              <w:top w:w="80" w:type="dxa"/>
              <w:left w:w="108" w:type="dxa"/>
              <w:bottom w:w="80" w:type="dxa"/>
              <w:right w:w="108" w:type="dxa"/>
            </w:tcMar>
            <w:vAlign w:val="center"/>
            <w:hideMark/>
          </w:tcPr>
          <w:p w14:paraId="448123E6" w14:textId="77777777" w:rsidR="00D409A3" w:rsidRPr="00D409A3" w:rsidRDefault="00D409A3" w:rsidP="003E569D">
            <w:pPr>
              <w:spacing w:line="240" w:lineRule="auto"/>
              <w:jc w:val="both"/>
              <w:rPr>
                <w:sz w:val="20"/>
                <w:szCs w:val="18"/>
              </w:rPr>
            </w:pPr>
            <w:r w:rsidRPr="00D409A3">
              <w:rPr>
                <w:b/>
                <w:bCs/>
                <w:sz w:val="20"/>
                <w:szCs w:val="18"/>
              </w:rPr>
              <w:t>Framework</w:t>
            </w:r>
          </w:p>
        </w:tc>
        <w:tc>
          <w:tcPr>
            <w:tcW w:w="1701" w:type="dxa"/>
            <w:tcBorders>
              <w:top w:val="single" w:sz="4" w:space="0" w:color="000000"/>
              <w:left w:val="single" w:sz="4" w:space="0" w:color="000000"/>
              <w:bottom w:val="single" w:sz="4" w:space="0" w:color="000000"/>
              <w:right w:val="single" w:sz="4" w:space="0" w:color="000000"/>
            </w:tcBorders>
            <w:shd w:val="clear" w:color="auto" w:fill="1F4E79"/>
            <w:tcMar>
              <w:top w:w="80" w:type="dxa"/>
              <w:left w:w="108" w:type="dxa"/>
              <w:bottom w:w="80" w:type="dxa"/>
              <w:right w:w="108" w:type="dxa"/>
            </w:tcMar>
            <w:vAlign w:val="center"/>
            <w:hideMark/>
          </w:tcPr>
          <w:p w14:paraId="294B05FF" w14:textId="77777777" w:rsidR="00D409A3" w:rsidRPr="00D409A3" w:rsidRDefault="00D409A3" w:rsidP="003E569D">
            <w:pPr>
              <w:spacing w:line="240" w:lineRule="auto"/>
              <w:jc w:val="both"/>
              <w:rPr>
                <w:sz w:val="20"/>
                <w:szCs w:val="18"/>
              </w:rPr>
            </w:pPr>
            <w:r w:rsidRPr="00D409A3">
              <w:rPr>
                <w:b/>
                <w:bCs/>
                <w:sz w:val="20"/>
                <w:szCs w:val="18"/>
              </w:rPr>
              <w:t>Primary contribution</w:t>
            </w:r>
          </w:p>
        </w:tc>
        <w:tc>
          <w:tcPr>
            <w:tcW w:w="2835" w:type="dxa"/>
            <w:tcBorders>
              <w:top w:val="single" w:sz="4" w:space="0" w:color="000000"/>
              <w:left w:val="single" w:sz="4" w:space="0" w:color="000000"/>
              <w:bottom w:val="single" w:sz="4" w:space="0" w:color="000000"/>
              <w:right w:val="single" w:sz="4" w:space="0" w:color="000000"/>
            </w:tcBorders>
            <w:shd w:val="clear" w:color="auto" w:fill="1F4E79"/>
            <w:tcMar>
              <w:top w:w="80" w:type="dxa"/>
              <w:left w:w="108" w:type="dxa"/>
              <w:bottom w:w="80" w:type="dxa"/>
              <w:right w:w="108" w:type="dxa"/>
            </w:tcMar>
            <w:vAlign w:val="center"/>
            <w:hideMark/>
          </w:tcPr>
          <w:p w14:paraId="3E31E081" w14:textId="77777777" w:rsidR="00D409A3" w:rsidRPr="00D409A3" w:rsidRDefault="00D409A3" w:rsidP="003E569D">
            <w:pPr>
              <w:spacing w:line="240" w:lineRule="auto"/>
              <w:jc w:val="both"/>
              <w:rPr>
                <w:sz w:val="20"/>
                <w:szCs w:val="18"/>
              </w:rPr>
            </w:pPr>
            <w:r w:rsidRPr="00D409A3">
              <w:rPr>
                <w:b/>
                <w:bCs/>
                <w:sz w:val="20"/>
                <w:szCs w:val="18"/>
              </w:rPr>
              <w:t>Specific value for AeroLink</w:t>
            </w:r>
          </w:p>
        </w:tc>
        <w:tc>
          <w:tcPr>
            <w:tcW w:w="2268" w:type="dxa"/>
            <w:tcBorders>
              <w:top w:val="single" w:sz="4" w:space="0" w:color="000000"/>
              <w:left w:val="single" w:sz="4" w:space="0" w:color="000000"/>
              <w:bottom w:val="single" w:sz="4" w:space="0" w:color="000000"/>
              <w:right w:val="single" w:sz="4" w:space="0" w:color="000000"/>
            </w:tcBorders>
            <w:shd w:val="clear" w:color="auto" w:fill="1F4E79"/>
            <w:tcMar>
              <w:top w:w="80" w:type="dxa"/>
              <w:left w:w="108" w:type="dxa"/>
              <w:bottom w:w="80" w:type="dxa"/>
              <w:right w:w="108" w:type="dxa"/>
            </w:tcMar>
            <w:vAlign w:val="center"/>
            <w:hideMark/>
          </w:tcPr>
          <w:p w14:paraId="1A7E78AD" w14:textId="77777777" w:rsidR="00D409A3" w:rsidRPr="00D409A3" w:rsidRDefault="00D409A3" w:rsidP="003E569D">
            <w:pPr>
              <w:spacing w:line="240" w:lineRule="auto"/>
              <w:jc w:val="both"/>
              <w:rPr>
                <w:sz w:val="20"/>
                <w:szCs w:val="18"/>
              </w:rPr>
            </w:pPr>
            <w:r w:rsidRPr="00D409A3">
              <w:rPr>
                <w:b/>
                <w:bCs/>
                <w:sz w:val="20"/>
                <w:szCs w:val="18"/>
              </w:rPr>
              <w:t>Critical limitation</w:t>
            </w:r>
          </w:p>
        </w:tc>
        <w:tc>
          <w:tcPr>
            <w:tcW w:w="1814" w:type="dxa"/>
            <w:tcBorders>
              <w:top w:val="single" w:sz="4" w:space="0" w:color="000000"/>
              <w:left w:val="single" w:sz="4" w:space="0" w:color="000000"/>
              <w:bottom w:val="single" w:sz="4" w:space="0" w:color="000000"/>
              <w:right w:val="single" w:sz="4" w:space="0" w:color="000000"/>
            </w:tcBorders>
            <w:shd w:val="clear" w:color="auto" w:fill="1F4E79"/>
            <w:tcMar>
              <w:top w:w="80" w:type="dxa"/>
              <w:left w:w="108" w:type="dxa"/>
              <w:bottom w:w="80" w:type="dxa"/>
              <w:right w:w="108" w:type="dxa"/>
            </w:tcMar>
            <w:vAlign w:val="center"/>
            <w:hideMark/>
          </w:tcPr>
          <w:p w14:paraId="00E84717" w14:textId="77777777" w:rsidR="00D409A3" w:rsidRPr="00D409A3" w:rsidRDefault="00D409A3" w:rsidP="003E569D">
            <w:pPr>
              <w:spacing w:line="240" w:lineRule="auto"/>
              <w:jc w:val="both"/>
              <w:rPr>
                <w:sz w:val="20"/>
                <w:szCs w:val="18"/>
              </w:rPr>
            </w:pPr>
            <w:r w:rsidRPr="00D409A3">
              <w:rPr>
                <w:b/>
                <w:bCs/>
                <w:sz w:val="20"/>
                <w:szCs w:val="18"/>
              </w:rPr>
              <w:t>Assigned role</w:t>
            </w:r>
          </w:p>
        </w:tc>
      </w:tr>
      <w:tr w:rsidR="00D409A3" w:rsidRPr="00D409A3" w14:paraId="4AA7D2ED" w14:textId="77777777">
        <w:tc>
          <w:tcPr>
            <w:tcW w:w="1361" w:type="dxa"/>
            <w:tcBorders>
              <w:top w:val="single" w:sz="4" w:space="0" w:color="000000"/>
              <w:left w:val="single" w:sz="4" w:space="0" w:color="000000"/>
              <w:bottom w:val="single" w:sz="4" w:space="0" w:color="000000"/>
              <w:right w:val="single" w:sz="4" w:space="0" w:color="000000"/>
            </w:tcBorders>
            <w:shd w:val="clear" w:color="auto" w:fill="FFFFFF"/>
            <w:tcMar>
              <w:top w:w="80" w:type="dxa"/>
              <w:left w:w="108" w:type="dxa"/>
              <w:bottom w:w="80" w:type="dxa"/>
              <w:right w:w="108" w:type="dxa"/>
            </w:tcMar>
            <w:vAlign w:val="center"/>
            <w:hideMark/>
          </w:tcPr>
          <w:p w14:paraId="7EDA8980" w14:textId="77777777" w:rsidR="00D409A3" w:rsidRPr="00D409A3" w:rsidRDefault="00D409A3" w:rsidP="003E569D">
            <w:pPr>
              <w:spacing w:line="240" w:lineRule="auto"/>
              <w:jc w:val="both"/>
              <w:rPr>
                <w:sz w:val="20"/>
                <w:szCs w:val="18"/>
              </w:rPr>
            </w:pPr>
            <w:r w:rsidRPr="00D409A3">
              <w:rPr>
                <w:sz w:val="20"/>
                <w:szCs w:val="18"/>
              </w:rPr>
              <w:t>ISO/IEC 27001</w:t>
            </w:r>
          </w:p>
        </w:tc>
        <w:tc>
          <w:tcPr>
            <w:tcW w:w="1701" w:type="dxa"/>
            <w:tcBorders>
              <w:top w:val="single" w:sz="4" w:space="0" w:color="000000"/>
              <w:left w:val="single" w:sz="4" w:space="0" w:color="000000"/>
              <w:bottom w:val="single" w:sz="4" w:space="0" w:color="000000"/>
              <w:right w:val="single" w:sz="4" w:space="0" w:color="000000"/>
            </w:tcBorders>
            <w:shd w:val="clear" w:color="auto" w:fill="FFFFFF"/>
            <w:tcMar>
              <w:top w:w="80" w:type="dxa"/>
              <w:left w:w="108" w:type="dxa"/>
              <w:bottom w:w="80" w:type="dxa"/>
              <w:right w:w="108" w:type="dxa"/>
            </w:tcMar>
            <w:vAlign w:val="center"/>
            <w:hideMark/>
          </w:tcPr>
          <w:p w14:paraId="20D9F0A2" w14:textId="77777777" w:rsidR="00D409A3" w:rsidRPr="00D409A3" w:rsidRDefault="00D409A3" w:rsidP="003E569D">
            <w:pPr>
              <w:spacing w:line="240" w:lineRule="auto"/>
              <w:jc w:val="both"/>
              <w:rPr>
                <w:sz w:val="20"/>
                <w:szCs w:val="18"/>
              </w:rPr>
            </w:pPr>
            <w:r w:rsidRPr="00D409A3">
              <w:rPr>
                <w:sz w:val="20"/>
                <w:szCs w:val="18"/>
              </w:rPr>
              <w:t>ISMS and assurance</w:t>
            </w:r>
          </w:p>
        </w:tc>
        <w:tc>
          <w:tcPr>
            <w:tcW w:w="2835" w:type="dxa"/>
            <w:tcBorders>
              <w:top w:val="single" w:sz="4" w:space="0" w:color="000000"/>
              <w:left w:val="single" w:sz="4" w:space="0" w:color="000000"/>
              <w:bottom w:val="single" w:sz="4" w:space="0" w:color="000000"/>
              <w:right w:val="single" w:sz="4" w:space="0" w:color="000000"/>
            </w:tcBorders>
            <w:shd w:val="clear" w:color="auto" w:fill="FFFFFF"/>
            <w:tcMar>
              <w:top w:w="80" w:type="dxa"/>
              <w:left w:w="108" w:type="dxa"/>
              <w:bottom w:w="80" w:type="dxa"/>
              <w:right w:w="108" w:type="dxa"/>
            </w:tcMar>
            <w:vAlign w:val="center"/>
            <w:hideMark/>
          </w:tcPr>
          <w:p w14:paraId="63F13783" w14:textId="77777777" w:rsidR="00D409A3" w:rsidRPr="00D409A3" w:rsidRDefault="00D409A3" w:rsidP="003E569D">
            <w:pPr>
              <w:spacing w:line="240" w:lineRule="auto"/>
              <w:jc w:val="both"/>
              <w:rPr>
                <w:sz w:val="20"/>
                <w:szCs w:val="18"/>
              </w:rPr>
            </w:pPr>
            <w:r w:rsidRPr="00D409A3">
              <w:rPr>
                <w:sz w:val="20"/>
                <w:szCs w:val="18"/>
              </w:rPr>
              <w:t>Unifies policies, risk treatment, audit and management review</w:t>
            </w:r>
          </w:p>
        </w:tc>
        <w:tc>
          <w:tcPr>
            <w:tcW w:w="2268" w:type="dxa"/>
            <w:tcBorders>
              <w:top w:val="single" w:sz="4" w:space="0" w:color="000000"/>
              <w:left w:val="single" w:sz="4" w:space="0" w:color="000000"/>
              <w:bottom w:val="single" w:sz="4" w:space="0" w:color="000000"/>
              <w:right w:val="single" w:sz="4" w:space="0" w:color="000000"/>
            </w:tcBorders>
            <w:shd w:val="clear" w:color="auto" w:fill="FFFFFF"/>
            <w:tcMar>
              <w:top w:w="80" w:type="dxa"/>
              <w:left w:w="108" w:type="dxa"/>
              <w:bottom w:w="80" w:type="dxa"/>
              <w:right w:w="108" w:type="dxa"/>
            </w:tcMar>
            <w:vAlign w:val="center"/>
            <w:hideMark/>
          </w:tcPr>
          <w:p w14:paraId="37EB936D" w14:textId="77777777" w:rsidR="00D409A3" w:rsidRPr="00D409A3" w:rsidRDefault="00D409A3" w:rsidP="003E569D">
            <w:pPr>
              <w:spacing w:line="240" w:lineRule="auto"/>
              <w:jc w:val="both"/>
              <w:rPr>
                <w:sz w:val="20"/>
                <w:szCs w:val="18"/>
              </w:rPr>
            </w:pPr>
            <w:r w:rsidRPr="00D409A3">
              <w:rPr>
                <w:sz w:val="20"/>
                <w:szCs w:val="18"/>
              </w:rPr>
              <w:t>Technology-neutral; certification can become document-led</w:t>
            </w:r>
          </w:p>
        </w:tc>
        <w:tc>
          <w:tcPr>
            <w:tcW w:w="1814" w:type="dxa"/>
            <w:tcBorders>
              <w:top w:val="single" w:sz="4" w:space="0" w:color="000000"/>
              <w:left w:val="single" w:sz="4" w:space="0" w:color="000000"/>
              <w:bottom w:val="single" w:sz="4" w:space="0" w:color="000000"/>
              <w:right w:val="single" w:sz="4" w:space="0" w:color="000000"/>
            </w:tcBorders>
            <w:shd w:val="clear" w:color="auto" w:fill="FFFFFF"/>
            <w:tcMar>
              <w:top w:w="80" w:type="dxa"/>
              <w:left w:w="108" w:type="dxa"/>
              <w:bottom w:w="80" w:type="dxa"/>
              <w:right w:w="108" w:type="dxa"/>
            </w:tcMar>
            <w:vAlign w:val="center"/>
            <w:hideMark/>
          </w:tcPr>
          <w:p w14:paraId="63839995" w14:textId="77777777" w:rsidR="00D409A3" w:rsidRPr="00D409A3" w:rsidRDefault="00D409A3" w:rsidP="003E569D">
            <w:pPr>
              <w:spacing w:line="240" w:lineRule="auto"/>
              <w:jc w:val="both"/>
              <w:rPr>
                <w:sz w:val="20"/>
                <w:szCs w:val="18"/>
              </w:rPr>
            </w:pPr>
            <w:r w:rsidRPr="00D409A3">
              <w:rPr>
                <w:sz w:val="20"/>
                <w:szCs w:val="18"/>
              </w:rPr>
              <w:t>Management and compliance foundation</w:t>
            </w:r>
          </w:p>
        </w:tc>
      </w:tr>
      <w:tr w:rsidR="00D409A3" w:rsidRPr="00D409A3" w14:paraId="17BA735E" w14:textId="77777777">
        <w:tc>
          <w:tcPr>
            <w:tcW w:w="1361" w:type="dxa"/>
            <w:tcBorders>
              <w:top w:val="single" w:sz="4" w:space="0" w:color="000000"/>
              <w:left w:val="single" w:sz="4" w:space="0" w:color="000000"/>
              <w:bottom w:val="single" w:sz="4" w:space="0" w:color="000000"/>
              <w:right w:val="single" w:sz="4" w:space="0" w:color="000000"/>
            </w:tcBorders>
            <w:shd w:val="clear" w:color="auto" w:fill="EAF2F8"/>
            <w:tcMar>
              <w:top w:w="80" w:type="dxa"/>
              <w:left w:w="108" w:type="dxa"/>
              <w:bottom w:w="80" w:type="dxa"/>
              <w:right w:w="108" w:type="dxa"/>
            </w:tcMar>
            <w:vAlign w:val="center"/>
            <w:hideMark/>
          </w:tcPr>
          <w:p w14:paraId="2353BA39" w14:textId="77777777" w:rsidR="00D409A3" w:rsidRPr="00D409A3" w:rsidRDefault="00D409A3" w:rsidP="003E569D">
            <w:pPr>
              <w:spacing w:line="240" w:lineRule="auto"/>
              <w:jc w:val="both"/>
              <w:rPr>
                <w:sz w:val="20"/>
                <w:szCs w:val="18"/>
              </w:rPr>
            </w:pPr>
            <w:r w:rsidRPr="00D409A3">
              <w:rPr>
                <w:sz w:val="20"/>
                <w:szCs w:val="18"/>
              </w:rPr>
              <w:t>NIST CSF</w:t>
            </w:r>
          </w:p>
        </w:tc>
        <w:tc>
          <w:tcPr>
            <w:tcW w:w="1701" w:type="dxa"/>
            <w:tcBorders>
              <w:top w:val="single" w:sz="4" w:space="0" w:color="000000"/>
              <w:left w:val="single" w:sz="4" w:space="0" w:color="000000"/>
              <w:bottom w:val="single" w:sz="4" w:space="0" w:color="000000"/>
              <w:right w:val="single" w:sz="4" w:space="0" w:color="000000"/>
            </w:tcBorders>
            <w:shd w:val="clear" w:color="auto" w:fill="EAF2F8"/>
            <w:tcMar>
              <w:top w:w="80" w:type="dxa"/>
              <w:left w:w="108" w:type="dxa"/>
              <w:bottom w:w="80" w:type="dxa"/>
              <w:right w:w="108" w:type="dxa"/>
            </w:tcMar>
            <w:vAlign w:val="center"/>
            <w:hideMark/>
          </w:tcPr>
          <w:p w14:paraId="5E1BD44D" w14:textId="77777777" w:rsidR="00D409A3" w:rsidRPr="00D409A3" w:rsidRDefault="00D409A3" w:rsidP="003E569D">
            <w:pPr>
              <w:spacing w:line="240" w:lineRule="auto"/>
              <w:jc w:val="both"/>
              <w:rPr>
                <w:sz w:val="20"/>
                <w:szCs w:val="18"/>
              </w:rPr>
            </w:pPr>
            <w:r w:rsidRPr="00D409A3">
              <w:rPr>
                <w:sz w:val="20"/>
                <w:szCs w:val="18"/>
              </w:rPr>
              <w:t>Operational cyber-risk outcomes</w:t>
            </w:r>
          </w:p>
        </w:tc>
        <w:tc>
          <w:tcPr>
            <w:tcW w:w="2835" w:type="dxa"/>
            <w:tcBorders>
              <w:top w:val="single" w:sz="4" w:space="0" w:color="000000"/>
              <w:left w:val="single" w:sz="4" w:space="0" w:color="000000"/>
              <w:bottom w:val="single" w:sz="4" w:space="0" w:color="000000"/>
              <w:right w:val="single" w:sz="4" w:space="0" w:color="000000"/>
            </w:tcBorders>
            <w:shd w:val="clear" w:color="auto" w:fill="EAF2F8"/>
            <w:tcMar>
              <w:top w:w="80" w:type="dxa"/>
              <w:left w:w="108" w:type="dxa"/>
              <w:bottom w:w="80" w:type="dxa"/>
              <w:right w:w="108" w:type="dxa"/>
            </w:tcMar>
            <w:vAlign w:val="center"/>
            <w:hideMark/>
          </w:tcPr>
          <w:p w14:paraId="6CAC85A1" w14:textId="77777777" w:rsidR="00D409A3" w:rsidRPr="00D409A3" w:rsidRDefault="00D409A3" w:rsidP="003E569D">
            <w:pPr>
              <w:spacing w:line="240" w:lineRule="auto"/>
              <w:jc w:val="both"/>
              <w:rPr>
                <w:sz w:val="20"/>
                <w:szCs w:val="18"/>
              </w:rPr>
            </w:pPr>
            <w:r w:rsidRPr="00D409A3">
              <w:rPr>
                <w:sz w:val="20"/>
                <w:szCs w:val="18"/>
              </w:rPr>
              <w:t>Structures target profiles across cloud, IoT and suppliers</w:t>
            </w:r>
          </w:p>
        </w:tc>
        <w:tc>
          <w:tcPr>
            <w:tcW w:w="2268" w:type="dxa"/>
            <w:tcBorders>
              <w:top w:val="single" w:sz="4" w:space="0" w:color="000000"/>
              <w:left w:val="single" w:sz="4" w:space="0" w:color="000000"/>
              <w:bottom w:val="single" w:sz="4" w:space="0" w:color="000000"/>
              <w:right w:val="single" w:sz="4" w:space="0" w:color="000000"/>
            </w:tcBorders>
            <w:shd w:val="clear" w:color="auto" w:fill="EAF2F8"/>
            <w:tcMar>
              <w:top w:w="80" w:type="dxa"/>
              <w:left w:w="108" w:type="dxa"/>
              <w:bottom w:w="80" w:type="dxa"/>
              <w:right w:w="108" w:type="dxa"/>
            </w:tcMar>
            <w:vAlign w:val="center"/>
            <w:hideMark/>
          </w:tcPr>
          <w:p w14:paraId="318F74C4" w14:textId="77777777" w:rsidR="00D409A3" w:rsidRPr="00D409A3" w:rsidRDefault="00D409A3" w:rsidP="003E569D">
            <w:pPr>
              <w:spacing w:line="240" w:lineRule="auto"/>
              <w:jc w:val="both"/>
              <w:rPr>
                <w:sz w:val="20"/>
                <w:szCs w:val="18"/>
              </w:rPr>
            </w:pPr>
            <w:r w:rsidRPr="00D409A3">
              <w:rPr>
                <w:sz w:val="20"/>
                <w:szCs w:val="18"/>
              </w:rPr>
              <w:t>Not certifiable; outcomes require measurable implementation</w:t>
            </w:r>
          </w:p>
        </w:tc>
        <w:tc>
          <w:tcPr>
            <w:tcW w:w="1814" w:type="dxa"/>
            <w:tcBorders>
              <w:top w:val="single" w:sz="4" w:space="0" w:color="000000"/>
              <w:left w:val="single" w:sz="4" w:space="0" w:color="000000"/>
              <w:bottom w:val="single" w:sz="4" w:space="0" w:color="000000"/>
              <w:right w:val="single" w:sz="4" w:space="0" w:color="000000"/>
            </w:tcBorders>
            <w:shd w:val="clear" w:color="auto" w:fill="EAF2F8"/>
            <w:tcMar>
              <w:top w:w="80" w:type="dxa"/>
              <w:left w:w="108" w:type="dxa"/>
              <w:bottom w:w="80" w:type="dxa"/>
              <w:right w:w="108" w:type="dxa"/>
            </w:tcMar>
            <w:vAlign w:val="center"/>
            <w:hideMark/>
          </w:tcPr>
          <w:p w14:paraId="677F3FAB" w14:textId="77777777" w:rsidR="00D409A3" w:rsidRPr="00D409A3" w:rsidRDefault="00D409A3" w:rsidP="003E569D">
            <w:pPr>
              <w:spacing w:line="240" w:lineRule="auto"/>
              <w:jc w:val="both"/>
              <w:rPr>
                <w:sz w:val="20"/>
                <w:szCs w:val="18"/>
              </w:rPr>
            </w:pPr>
            <w:r w:rsidRPr="00D409A3">
              <w:rPr>
                <w:sz w:val="20"/>
                <w:szCs w:val="18"/>
              </w:rPr>
              <w:t>Operational security lifecycle</w:t>
            </w:r>
          </w:p>
        </w:tc>
      </w:tr>
      <w:tr w:rsidR="00D409A3" w:rsidRPr="00D409A3" w14:paraId="7D986A73" w14:textId="77777777">
        <w:tc>
          <w:tcPr>
            <w:tcW w:w="1361" w:type="dxa"/>
            <w:tcBorders>
              <w:top w:val="single" w:sz="4" w:space="0" w:color="000000"/>
              <w:left w:val="single" w:sz="4" w:space="0" w:color="000000"/>
              <w:bottom w:val="single" w:sz="4" w:space="0" w:color="000000"/>
              <w:right w:val="single" w:sz="4" w:space="0" w:color="000000"/>
            </w:tcBorders>
            <w:shd w:val="clear" w:color="auto" w:fill="FFFFFF"/>
            <w:tcMar>
              <w:top w:w="80" w:type="dxa"/>
              <w:left w:w="108" w:type="dxa"/>
              <w:bottom w:w="80" w:type="dxa"/>
              <w:right w:w="108" w:type="dxa"/>
            </w:tcMar>
            <w:vAlign w:val="center"/>
            <w:hideMark/>
          </w:tcPr>
          <w:p w14:paraId="66E8945E" w14:textId="77777777" w:rsidR="00D409A3" w:rsidRPr="00D409A3" w:rsidRDefault="00D409A3" w:rsidP="003E569D">
            <w:pPr>
              <w:spacing w:line="240" w:lineRule="auto"/>
              <w:jc w:val="both"/>
              <w:rPr>
                <w:sz w:val="20"/>
                <w:szCs w:val="18"/>
              </w:rPr>
            </w:pPr>
            <w:r w:rsidRPr="00D409A3">
              <w:rPr>
                <w:sz w:val="20"/>
                <w:szCs w:val="18"/>
              </w:rPr>
              <w:t>COBIT 2019</w:t>
            </w:r>
          </w:p>
        </w:tc>
        <w:tc>
          <w:tcPr>
            <w:tcW w:w="1701" w:type="dxa"/>
            <w:tcBorders>
              <w:top w:val="single" w:sz="4" w:space="0" w:color="000000"/>
              <w:left w:val="single" w:sz="4" w:space="0" w:color="000000"/>
              <w:bottom w:val="single" w:sz="4" w:space="0" w:color="000000"/>
              <w:right w:val="single" w:sz="4" w:space="0" w:color="000000"/>
            </w:tcBorders>
            <w:shd w:val="clear" w:color="auto" w:fill="FFFFFF"/>
            <w:tcMar>
              <w:top w:w="80" w:type="dxa"/>
              <w:left w:w="108" w:type="dxa"/>
              <w:bottom w:w="80" w:type="dxa"/>
              <w:right w:w="108" w:type="dxa"/>
            </w:tcMar>
            <w:vAlign w:val="center"/>
            <w:hideMark/>
          </w:tcPr>
          <w:p w14:paraId="0390D556" w14:textId="77777777" w:rsidR="00D409A3" w:rsidRPr="00D409A3" w:rsidRDefault="00D409A3" w:rsidP="003E569D">
            <w:pPr>
              <w:spacing w:line="240" w:lineRule="auto"/>
              <w:jc w:val="both"/>
              <w:rPr>
                <w:sz w:val="20"/>
                <w:szCs w:val="18"/>
              </w:rPr>
            </w:pPr>
            <w:r w:rsidRPr="00D409A3">
              <w:rPr>
                <w:sz w:val="20"/>
                <w:szCs w:val="18"/>
              </w:rPr>
              <w:t>Enterprise governance</w:t>
            </w:r>
          </w:p>
        </w:tc>
        <w:tc>
          <w:tcPr>
            <w:tcW w:w="2835" w:type="dxa"/>
            <w:tcBorders>
              <w:top w:val="single" w:sz="4" w:space="0" w:color="000000"/>
              <w:left w:val="single" w:sz="4" w:space="0" w:color="000000"/>
              <w:bottom w:val="single" w:sz="4" w:space="0" w:color="000000"/>
              <w:right w:val="single" w:sz="4" w:space="0" w:color="000000"/>
            </w:tcBorders>
            <w:shd w:val="clear" w:color="auto" w:fill="FFFFFF"/>
            <w:tcMar>
              <w:top w:w="80" w:type="dxa"/>
              <w:left w:w="108" w:type="dxa"/>
              <w:bottom w:w="80" w:type="dxa"/>
              <w:right w:w="108" w:type="dxa"/>
            </w:tcMar>
            <w:vAlign w:val="center"/>
            <w:hideMark/>
          </w:tcPr>
          <w:p w14:paraId="6654E908" w14:textId="77777777" w:rsidR="00D409A3" w:rsidRPr="00D409A3" w:rsidRDefault="00D409A3" w:rsidP="003E569D">
            <w:pPr>
              <w:spacing w:line="240" w:lineRule="auto"/>
              <w:jc w:val="both"/>
              <w:rPr>
                <w:sz w:val="20"/>
                <w:szCs w:val="18"/>
              </w:rPr>
            </w:pPr>
            <w:r w:rsidRPr="00D409A3">
              <w:rPr>
                <w:sz w:val="20"/>
                <w:szCs w:val="18"/>
              </w:rPr>
              <w:t>Clarifies board, CISO and business decision rights</w:t>
            </w:r>
          </w:p>
        </w:tc>
        <w:tc>
          <w:tcPr>
            <w:tcW w:w="2268" w:type="dxa"/>
            <w:tcBorders>
              <w:top w:val="single" w:sz="4" w:space="0" w:color="000000"/>
              <w:left w:val="single" w:sz="4" w:space="0" w:color="000000"/>
              <w:bottom w:val="single" w:sz="4" w:space="0" w:color="000000"/>
              <w:right w:val="single" w:sz="4" w:space="0" w:color="000000"/>
            </w:tcBorders>
            <w:shd w:val="clear" w:color="auto" w:fill="FFFFFF"/>
            <w:tcMar>
              <w:top w:w="80" w:type="dxa"/>
              <w:left w:w="108" w:type="dxa"/>
              <w:bottom w:w="80" w:type="dxa"/>
              <w:right w:w="108" w:type="dxa"/>
            </w:tcMar>
            <w:vAlign w:val="center"/>
            <w:hideMark/>
          </w:tcPr>
          <w:p w14:paraId="627CB8DD" w14:textId="77777777" w:rsidR="00D409A3" w:rsidRPr="00D409A3" w:rsidRDefault="00D409A3" w:rsidP="003E569D">
            <w:pPr>
              <w:spacing w:line="240" w:lineRule="auto"/>
              <w:jc w:val="both"/>
              <w:rPr>
                <w:sz w:val="20"/>
                <w:szCs w:val="18"/>
              </w:rPr>
            </w:pPr>
            <w:r w:rsidRPr="00D409A3">
              <w:rPr>
                <w:sz w:val="20"/>
                <w:szCs w:val="18"/>
              </w:rPr>
              <w:t>Insufficient technical depth</w:t>
            </w:r>
          </w:p>
        </w:tc>
        <w:tc>
          <w:tcPr>
            <w:tcW w:w="1814" w:type="dxa"/>
            <w:tcBorders>
              <w:top w:val="single" w:sz="4" w:space="0" w:color="000000"/>
              <w:left w:val="single" w:sz="4" w:space="0" w:color="000000"/>
              <w:bottom w:val="single" w:sz="4" w:space="0" w:color="000000"/>
              <w:right w:val="single" w:sz="4" w:space="0" w:color="000000"/>
            </w:tcBorders>
            <w:shd w:val="clear" w:color="auto" w:fill="FFFFFF"/>
            <w:tcMar>
              <w:top w:w="80" w:type="dxa"/>
              <w:left w:w="108" w:type="dxa"/>
              <w:bottom w:w="80" w:type="dxa"/>
              <w:right w:w="108" w:type="dxa"/>
            </w:tcMar>
            <w:vAlign w:val="center"/>
            <w:hideMark/>
          </w:tcPr>
          <w:p w14:paraId="65CCD1C5" w14:textId="77777777" w:rsidR="00D409A3" w:rsidRPr="00D409A3" w:rsidRDefault="00D409A3" w:rsidP="003E569D">
            <w:pPr>
              <w:spacing w:line="240" w:lineRule="auto"/>
              <w:jc w:val="both"/>
              <w:rPr>
                <w:sz w:val="20"/>
                <w:szCs w:val="18"/>
              </w:rPr>
            </w:pPr>
            <w:r w:rsidRPr="00D409A3">
              <w:rPr>
                <w:sz w:val="20"/>
                <w:szCs w:val="18"/>
              </w:rPr>
              <w:t>Governance and accountability layer</w:t>
            </w:r>
          </w:p>
        </w:tc>
      </w:tr>
      <w:tr w:rsidR="00D409A3" w:rsidRPr="00D409A3" w14:paraId="11F0D3B6" w14:textId="77777777">
        <w:tc>
          <w:tcPr>
            <w:tcW w:w="1361" w:type="dxa"/>
            <w:tcBorders>
              <w:top w:val="single" w:sz="4" w:space="0" w:color="000000"/>
              <w:left w:val="single" w:sz="4" w:space="0" w:color="000000"/>
              <w:bottom w:val="single" w:sz="4" w:space="0" w:color="000000"/>
              <w:right w:val="single" w:sz="4" w:space="0" w:color="000000"/>
            </w:tcBorders>
            <w:shd w:val="clear" w:color="auto" w:fill="EAF2F8"/>
            <w:tcMar>
              <w:top w:w="80" w:type="dxa"/>
              <w:left w:w="108" w:type="dxa"/>
              <w:bottom w:w="80" w:type="dxa"/>
              <w:right w:w="108" w:type="dxa"/>
            </w:tcMar>
            <w:vAlign w:val="center"/>
            <w:hideMark/>
          </w:tcPr>
          <w:p w14:paraId="5B38AF98" w14:textId="77777777" w:rsidR="00D409A3" w:rsidRPr="00D409A3" w:rsidRDefault="00D409A3" w:rsidP="003E569D">
            <w:pPr>
              <w:spacing w:line="240" w:lineRule="auto"/>
              <w:jc w:val="both"/>
              <w:rPr>
                <w:sz w:val="20"/>
                <w:szCs w:val="18"/>
              </w:rPr>
            </w:pPr>
            <w:r w:rsidRPr="00D409A3">
              <w:rPr>
                <w:sz w:val="20"/>
                <w:szCs w:val="18"/>
              </w:rPr>
              <w:t>ITIL 4</w:t>
            </w:r>
          </w:p>
        </w:tc>
        <w:tc>
          <w:tcPr>
            <w:tcW w:w="1701" w:type="dxa"/>
            <w:tcBorders>
              <w:top w:val="single" w:sz="4" w:space="0" w:color="000000"/>
              <w:left w:val="single" w:sz="4" w:space="0" w:color="000000"/>
              <w:bottom w:val="single" w:sz="4" w:space="0" w:color="000000"/>
              <w:right w:val="single" w:sz="4" w:space="0" w:color="000000"/>
            </w:tcBorders>
            <w:shd w:val="clear" w:color="auto" w:fill="EAF2F8"/>
            <w:tcMar>
              <w:top w:w="80" w:type="dxa"/>
              <w:left w:w="108" w:type="dxa"/>
              <w:bottom w:w="80" w:type="dxa"/>
              <w:right w:w="108" w:type="dxa"/>
            </w:tcMar>
            <w:vAlign w:val="center"/>
            <w:hideMark/>
          </w:tcPr>
          <w:p w14:paraId="28B530C3" w14:textId="77777777" w:rsidR="00D409A3" w:rsidRPr="00D409A3" w:rsidRDefault="00D409A3" w:rsidP="003E569D">
            <w:pPr>
              <w:spacing w:line="240" w:lineRule="auto"/>
              <w:jc w:val="both"/>
              <w:rPr>
                <w:sz w:val="20"/>
                <w:szCs w:val="18"/>
              </w:rPr>
            </w:pPr>
            <w:r w:rsidRPr="00D409A3">
              <w:rPr>
                <w:sz w:val="20"/>
                <w:szCs w:val="18"/>
              </w:rPr>
              <w:t>Service management</w:t>
            </w:r>
          </w:p>
        </w:tc>
        <w:tc>
          <w:tcPr>
            <w:tcW w:w="2835" w:type="dxa"/>
            <w:tcBorders>
              <w:top w:val="single" w:sz="4" w:space="0" w:color="000000"/>
              <w:left w:val="single" w:sz="4" w:space="0" w:color="000000"/>
              <w:bottom w:val="single" w:sz="4" w:space="0" w:color="000000"/>
              <w:right w:val="single" w:sz="4" w:space="0" w:color="000000"/>
            </w:tcBorders>
            <w:shd w:val="clear" w:color="auto" w:fill="EAF2F8"/>
            <w:tcMar>
              <w:top w:w="80" w:type="dxa"/>
              <w:left w:w="108" w:type="dxa"/>
              <w:bottom w:w="80" w:type="dxa"/>
              <w:right w:w="108" w:type="dxa"/>
            </w:tcMar>
            <w:vAlign w:val="center"/>
            <w:hideMark/>
          </w:tcPr>
          <w:p w14:paraId="4A1C7AD0" w14:textId="77777777" w:rsidR="00D409A3" w:rsidRPr="00D409A3" w:rsidRDefault="00D409A3" w:rsidP="003E569D">
            <w:pPr>
              <w:spacing w:line="240" w:lineRule="auto"/>
              <w:jc w:val="both"/>
              <w:rPr>
                <w:sz w:val="20"/>
                <w:szCs w:val="18"/>
              </w:rPr>
            </w:pPr>
            <w:r w:rsidRPr="00D409A3">
              <w:rPr>
                <w:sz w:val="20"/>
                <w:szCs w:val="18"/>
              </w:rPr>
              <w:t>Strengthens change, incident, supplier and service controls</w:t>
            </w:r>
          </w:p>
        </w:tc>
        <w:tc>
          <w:tcPr>
            <w:tcW w:w="2268" w:type="dxa"/>
            <w:tcBorders>
              <w:top w:val="single" w:sz="4" w:space="0" w:color="000000"/>
              <w:left w:val="single" w:sz="4" w:space="0" w:color="000000"/>
              <w:bottom w:val="single" w:sz="4" w:space="0" w:color="000000"/>
              <w:right w:val="single" w:sz="4" w:space="0" w:color="000000"/>
            </w:tcBorders>
            <w:shd w:val="clear" w:color="auto" w:fill="EAF2F8"/>
            <w:tcMar>
              <w:top w:w="80" w:type="dxa"/>
              <w:left w:w="108" w:type="dxa"/>
              <w:bottom w:w="80" w:type="dxa"/>
              <w:right w:w="108" w:type="dxa"/>
            </w:tcMar>
            <w:vAlign w:val="center"/>
            <w:hideMark/>
          </w:tcPr>
          <w:p w14:paraId="41A04C76" w14:textId="77777777" w:rsidR="00D409A3" w:rsidRPr="00D409A3" w:rsidRDefault="00D409A3" w:rsidP="003E569D">
            <w:pPr>
              <w:spacing w:line="240" w:lineRule="auto"/>
              <w:jc w:val="both"/>
              <w:rPr>
                <w:sz w:val="20"/>
                <w:szCs w:val="18"/>
              </w:rPr>
            </w:pPr>
            <w:r w:rsidRPr="00D409A3">
              <w:rPr>
                <w:sz w:val="20"/>
                <w:szCs w:val="18"/>
              </w:rPr>
              <w:t>Not a complete security framework</w:t>
            </w:r>
          </w:p>
        </w:tc>
        <w:tc>
          <w:tcPr>
            <w:tcW w:w="1814" w:type="dxa"/>
            <w:tcBorders>
              <w:top w:val="single" w:sz="4" w:space="0" w:color="000000"/>
              <w:left w:val="single" w:sz="4" w:space="0" w:color="000000"/>
              <w:bottom w:val="single" w:sz="4" w:space="0" w:color="000000"/>
              <w:right w:val="single" w:sz="4" w:space="0" w:color="000000"/>
            </w:tcBorders>
            <w:shd w:val="clear" w:color="auto" w:fill="EAF2F8"/>
            <w:tcMar>
              <w:top w:w="80" w:type="dxa"/>
              <w:left w:w="108" w:type="dxa"/>
              <w:bottom w:w="80" w:type="dxa"/>
              <w:right w:w="108" w:type="dxa"/>
            </w:tcMar>
            <w:vAlign w:val="center"/>
            <w:hideMark/>
          </w:tcPr>
          <w:p w14:paraId="3DA22EF9" w14:textId="77777777" w:rsidR="00D409A3" w:rsidRPr="00D409A3" w:rsidRDefault="00D409A3" w:rsidP="003E569D">
            <w:pPr>
              <w:spacing w:line="240" w:lineRule="auto"/>
              <w:jc w:val="both"/>
              <w:rPr>
                <w:sz w:val="20"/>
                <w:szCs w:val="18"/>
              </w:rPr>
            </w:pPr>
            <w:r w:rsidRPr="00D409A3">
              <w:rPr>
                <w:sz w:val="20"/>
                <w:szCs w:val="18"/>
              </w:rPr>
              <w:t>Service-operation layer</w:t>
            </w:r>
          </w:p>
        </w:tc>
      </w:tr>
      <w:tr w:rsidR="00D409A3" w:rsidRPr="00D409A3" w14:paraId="747495B7" w14:textId="77777777">
        <w:tc>
          <w:tcPr>
            <w:tcW w:w="1361" w:type="dxa"/>
            <w:tcBorders>
              <w:top w:val="single" w:sz="4" w:space="0" w:color="000000"/>
              <w:left w:val="single" w:sz="4" w:space="0" w:color="000000"/>
              <w:bottom w:val="single" w:sz="4" w:space="0" w:color="000000"/>
              <w:right w:val="single" w:sz="4" w:space="0" w:color="000000"/>
            </w:tcBorders>
            <w:shd w:val="clear" w:color="auto" w:fill="FFFFFF"/>
            <w:tcMar>
              <w:top w:w="80" w:type="dxa"/>
              <w:left w:w="108" w:type="dxa"/>
              <w:bottom w:w="80" w:type="dxa"/>
              <w:right w:w="108" w:type="dxa"/>
            </w:tcMar>
            <w:vAlign w:val="center"/>
            <w:hideMark/>
          </w:tcPr>
          <w:p w14:paraId="5EF6AB02" w14:textId="77777777" w:rsidR="00D409A3" w:rsidRPr="00D409A3" w:rsidRDefault="00D409A3" w:rsidP="003E569D">
            <w:pPr>
              <w:spacing w:line="240" w:lineRule="auto"/>
              <w:jc w:val="both"/>
              <w:rPr>
                <w:sz w:val="20"/>
                <w:szCs w:val="18"/>
              </w:rPr>
            </w:pPr>
            <w:r w:rsidRPr="00D409A3">
              <w:rPr>
                <w:sz w:val="20"/>
                <w:szCs w:val="18"/>
              </w:rPr>
              <w:t>Zero Trust</w:t>
            </w:r>
          </w:p>
        </w:tc>
        <w:tc>
          <w:tcPr>
            <w:tcW w:w="1701" w:type="dxa"/>
            <w:tcBorders>
              <w:top w:val="single" w:sz="4" w:space="0" w:color="000000"/>
              <w:left w:val="single" w:sz="4" w:space="0" w:color="000000"/>
              <w:bottom w:val="single" w:sz="4" w:space="0" w:color="000000"/>
              <w:right w:val="single" w:sz="4" w:space="0" w:color="000000"/>
            </w:tcBorders>
            <w:shd w:val="clear" w:color="auto" w:fill="FFFFFF"/>
            <w:tcMar>
              <w:top w:w="80" w:type="dxa"/>
              <w:left w:w="108" w:type="dxa"/>
              <w:bottom w:w="80" w:type="dxa"/>
              <w:right w:w="108" w:type="dxa"/>
            </w:tcMar>
            <w:vAlign w:val="center"/>
            <w:hideMark/>
          </w:tcPr>
          <w:p w14:paraId="380B46EA" w14:textId="77777777" w:rsidR="00D409A3" w:rsidRPr="00D409A3" w:rsidRDefault="00D409A3" w:rsidP="003E569D">
            <w:pPr>
              <w:spacing w:line="240" w:lineRule="auto"/>
              <w:jc w:val="both"/>
              <w:rPr>
                <w:sz w:val="20"/>
                <w:szCs w:val="18"/>
              </w:rPr>
            </w:pPr>
            <w:r w:rsidRPr="00D409A3">
              <w:rPr>
                <w:sz w:val="20"/>
                <w:szCs w:val="18"/>
              </w:rPr>
              <w:t>Access architecture</w:t>
            </w:r>
          </w:p>
        </w:tc>
        <w:tc>
          <w:tcPr>
            <w:tcW w:w="2835" w:type="dxa"/>
            <w:tcBorders>
              <w:top w:val="single" w:sz="4" w:space="0" w:color="000000"/>
              <w:left w:val="single" w:sz="4" w:space="0" w:color="000000"/>
              <w:bottom w:val="single" w:sz="4" w:space="0" w:color="000000"/>
              <w:right w:val="single" w:sz="4" w:space="0" w:color="000000"/>
            </w:tcBorders>
            <w:shd w:val="clear" w:color="auto" w:fill="FFFFFF"/>
            <w:tcMar>
              <w:top w:w="80" w:type="dxa"/>
              <w:left w:w="108" w:type="dxa"/>
              <w:bottom w:w="80" w:type="dxa"/>
              <w:right w:w="108" w:type="dxa"/>
            </w:tcMar>
            <w:vAlign w:val="center"/>
            <w:hideMark/>
          </w:tcPr>
          <w:p w14:paraId="23AC5B06" w14:textId="77777777" w:rsidR="00D409A3" w:rsidRPr="00D409A3" w:rsidRDefault="00D409A3" w:rsidP="003E569D">
            <w:pPr>
              <w:spacing w:line="240" w:lineRule="auto"/>
              <w:jc w:val="both"/>
              <w:rPr>
                <w:sz w:val="20"/>
                <w:szCs w:val="18"/>
              </w:rPr>
            </w:pPr>
            <w:r w:rsidRPr="00D409A3">
              <w:rPr>
                <w:sz w:val="20"/>
                <w:szCs w:val="18"/>
              </w:rPr>
              <w:t>Restricts remote, partner, cloud and IoT access continuously</w:t>
            </w:r>
          </w:p>
        </w:tc>
        <w:tc>
          <w:tcPr>
            <w:tcW w:w="2268" w:type="dxa"/>
            <w:tcBorders>
              <w:top w:val="single" w:sz="4" w:space="0" w:color="000000"/>
              <w:left w:val="single" w:sz="4" w:space="0" w:color="000000"/>
              <w:bottom w:val="single" w:sz="4" w:space="0" w:color="000000"/>
              <w:right w:val="single" w:sz="4" w:space="0" w:color="000000"/>
            </w:tcBorders>
            <w:shd w:val="clear" w:color="auto" w:fill="FFFFFF"/>
            <w:tcMar>
              <w:top w:w="80" w:type="dxa"/>
              <w:left w:w="108" w:type="dxa"/>
              <w:bottom w:w="80" w:type="dxa"/>
              <w:right w:w="108" w:type="dxa"/>
            </w:tcMar>
            <w:vAlign w:val="center"/>
            <w:hideMark/>
          </w:tcPr>
          <w:p w14:paraId="262CAAC1" w14:textId="77777777" w:rsidR="00D409A3" w:rsidRPr="00D409A3" w:rsidRDefault="00D409A3" w:rsidP="003E569D">
            <w:pPr>
              <w:spacing w:line="240" w:lineRule="auto"/>
              <w:jc w:val="both"/>
              <w:rPr>
                <w:sz w:val="20"/>
                <w:szCs w:val="18"/>
              </w:rPr>
            </w:pPr>
            <w:r w:rsidRPr="00D409A3">
              <w:rPr>
                <w:sz w:val="20"/>
                <w:szCs w:val="18"/>
              </w:rPr>
              <w:t>Legacy integration and device constraints</w:t>
            </w:r>
          </w:p>
        </w:tc>
        <w:tc>
          <w:tcPr>
            <w:tcW w:w="1814" w:type="dxa"/>
            <w:tcBorders>
              <w:top w:val="single" w:sz="4" w:space="0" w:color="000000"/>
              <w:left w:val="single" w:sz="4" w:space="0" w:color="000000"/>
              <w:bottom w:val="single" w:sz="4" w:space="0" w:color="000000"/>
              <w:right w:val="single" w:sz="4" w:space="0" w:color="000000"/>
            </w:tcBorders>
            <w:shd w:val="clear" w:color="auto" w:fill="FFFFFF"/>
            <w:tcMar>
              <w:top w:w="80" w:type="dxa"/>
              <w:left w:w="108" w:type="dxa"/>
              <w:bottom w:w="80" w:type="dxa"/>
              <w:right w:w="108" w:type="dxa"/>
            </w:tcMar>
            <w:vAlign w:val="center"/>
            <w:hideMark/>
          </w:tcPr>
          <w:p w14:paraId="1A9F8316" w14:textId="77777777" w:rsidR="00D409A3" w:rsidRPr="00D409A3" w:rsidRDefault="00D409A3" w:rsidP="003E569D">
            <w:pPr>
              <w:spacing w:line="240" w:lineRule="auto"/>
              <w:jc w:val="both"/>
              <w:rPr>
                <w:sz w:val="20"/>
                <w:szCs w:val="18"/>
              </w:rPr>
            </w:pPr>
            <w:r w:rsidRPr="00D409A3">
              <w:rPr>
                <w:sz w:val="20"/>
                <w:szCs w:val="18"/>
              </w:rPr>
              <w:t>Identity and access enforcement</w:t>
            </w:r>
          </w:p>
        </w:tc>
      </w:tr>
    </w:tbl>
    <w:p w14:paraId="14B009B5" w14:textId="77777777" w:rsidR="00D26F4A" w:rsidRDefault="00D26F4A">
      <w:pPr>
        <w:rPr>
          <w:rFonts w:asciiTheme="majorHAnsi" w:eastAsiaTheme="majorEastAsia" w:hAnsiTheme="majorHAnsi" w:cstheme="majorBidi"/>
          <w:color w:val="2F5496" w:themeColor="accent1" w:themeShade="BF"/>
          <w:sz w:val="36"/>
          <w:szCs w:val="36"/>
        </w:rPr>
      </w:pPr>
      <w:bookmarkStart w:id="32" w:name="_Toc234919624"/>
      <w:r>
        <w:br w:type="page"/>
      </w:r>
    </w:p>
    <w:p w14:paraId="253D2630" w14:textId="6DD80E78" w:rsidR="00D409A3" w:rsidRPr="00D409A3" w:rsidRDefault="00D409A3" w:rsidP="003E569D">
      <w:pPr>
        <w:pStyle w:val="Heading1"/>
        <w:jc w:val="both"/>
      </w:pPr>
      <w:bookmarkStart w:id="33" w:name="_Toc237102341"/>
      <w:bookmarkStart w:id="34" w:name="_Toc237102969"/>
      <w:r w:rsidRPr="00D409A3">
        <w:lastRenderedPageBreak/>
        <w:t>4. Proposed Integrated Security, Governance and Compliance Approach</w:t>
      </w:r>
      <w:bookmarkEnd w:id="32"/>
      <w:bookmarkEnd w:id="33"/>
      <w:bookmarkEnd w:id="34"/>
    </w:p>
    <w:p w14:paraId="35EEC9EB" w14:textId="77777777" w:rsidR="00D409A3" w:rsidRPr="00D409A3" w:rsidRDefault="00D409A3" w:rsidP="003E569D">
      <w:pPr>
        <w:pStyle w:val="Heading2"/>
        <w:jc w:val="both"/>
      </w:pPr>
      <w:bookmarkStart w:id="35" w:name="_Toc234919625"/>
      <w:bookmarkStart w:id="36" w:name="_Toc237102342"/>
      <w:bookmarkStart w:id="37" w:name="_Toc237102970"/>
      <w:r w:rsidRPr="00D409A3">
        <w:t>4.1 Security Governance and Strategic Leadership</w:t>
      </w:r>
      <w:bookmarkEnd w:id="35"/>
      <w:bookmarkEnd w:id="36"/>
      <w:bookmarkEnd w:id="37"/>
    </w:p>
    <w:p w14:paraId="73018E7D" w14:textId="5F195307" w:rsidR="00D409A3" w:rsidRDefault="00D409A3" w:rsidP="003E569D">
      <w:pPr>
        <w:jc w:val="both"/>
      </w:pPr>
      <w:r>
        <w:t xml:space="preserve">AeroLink shall form a Board Risk and Digital Trust Committee that sets a cyber-risk appetite, gets quarterly risk exposure reports, and questions un-addressed high cyber risks. A CISO is in charge of the integral programme; an independent Data Protection Officer is responsible for privacy oversight. Cross functional Security Steering Committee members should include Operations, Legal, Procurement, Architecture, Human resources, and Business continuity. Table 2 allocates governance main responsibilities. </w:t>
      </w:r>
    </w:p>
    <w:p w14:paraId="1E3BB5D3" w14:textId="72EC84D4" w:rsidR="00D409A3" w:rsidRPr="00D409A3" w:rsidRDefault="00D409A3" w:rsidP="003E569D">
      <w:pPr>
        <w:jc w:val="both"/>
      </w:pPr>
      <w:r>
        <w:t>The 3 lines of accountability principle should be used. Owned and operated by operational teams, these controls are monitored and defined by security, private and risk, and tested periodically by independent internal audit</w:t>
      </w:r>
      <w:r w:rsidR="00E8634A">
        <w:t xml:space="preserve">. </w:t>
      </w:r>
      <w:r>
        <w:t>Every material cloud service should be accountable by a vital business name that is primarily responsible for it. This makes it difficult to avoid commercial or legal liability implicit on technical teams. Rather than superficial activity, like persons trained, governance metrics should report residuals, overdue critical actions, vendor exceptions, and results of your recovery-test.</w:t>
      </w:r>
    </w:p>
    <w:p w14:paraId="6B047D94" w14:textId="073853E2" w:rsidR="00641C4E" w:rsidRDefault="00641C4E" w:rsidP="006E489E">
      <w:pPr>
        <w:pStyle w:val="Heading1"/>
      </w:pPr>
      <w:bookmarkStart w:id="38" w:name="_Toc234854011"/>
      <w:bookmarkStart w:id="39" w:name="_Toc237102971"/>
      <w:r>
        <w:t xml:space="preserve">Table </w:t>
      </w:r>
      <w:fldSimple w:instr=" SEQ Table \* ARABIC ">
        <w:r w:rsidR="000E3DD2">
          <w:rPr>
            <w:noProof/>
          </w:rPr>
          <w:t>2</w:t>
        </w:r>
      </w:fldSimple>
      <w:r>
        <w:t xml:space="preserve"> </w:t>
      </w:r>
      <w:r w:rsidRPr="0090158D">
        <w:t>High-Level RACI Allocation</w:t>
      </w:r>
      <w:bookmarkEnd w:id="38"/>
      <w:r w:rsidR="00515523">
        <w:t xml:space="preserve"> (</w:t>
      </w:r>
      <w:r w:rsidR="00515523" w:rsidRPr="00515523">
        <w:t>Key: R = Responsible; A = Accountable; C = Consulted; I = Informed.</w:t>
      </w:r>
      <w:r w:rsidR="00515523">
        <w:t>)</w:t>
      </w:r>
      <w:bookmarkEnd w:id="39"/>
    </w:p>
    <w:tbl>
      <w:tblPr>
        <w:tblW w:w="9016" w:type="dxa"/>
        <w:tblBorders>
          <w:top w:val="single" w:sz="2" w:space="0" w:color="auto"/>
          <w:left w:val="single" w:sz="2" w:space="0" w:color="auto"/>
          <w:bottom w:val="single" w:sz="2" w:space="0" w:color="auto"/>
          <w:right w:val="single" w:sz="2" w:space="0" w:color="auto"/>
        </w:tblBorders>
        <w:shd w:val="clear" w:color="auto" w:fill="FFFFFF"/>
        <w:tblLook w:val="04A0" w:firstRow="1" w:lastRow="0" w:firstColumn="1" w:lastColumn="0" w:noHBand="0" w:noVBand="1"/>
      </w:tblPr>
      <w:tblGrid>
        <w:gridCol w:w="2508"/>
        <w:gridCol w:w="1100"/>
        <w:gridCol w:w="1095"/>
        <w:gridCol w:w="1091"/>
        <w:gridCol w:w="1552"/>
        <w:gridCol w:w="1670"/>
      </w:tblGrid>
      <w:tr w:rsidR="00F8321E" w:rsidRPr="00D409A3" w14:paraId="13D553A4" w14:textId="77777777" w:rsidTr="00F8321E">
        <w:tc>
          <w:tcPr>
            <w:tcW w:w="2508" w:type="dxa"/>
            <w:tcBorders>
              <w:top w:val="single" w:sz="4" w:space="0" w:color="000000"/>
              <w:left w:val="single" w:sz="4" w:space="0" w:color="000000"/>
              <w:bottom w:val="single" w:sz="4" w:space="0" w:color="000000"/>
              <w:right w:val="single" w:sz="4" w:space="0" w:color="000000"/>
            </w:tcBorders>
            <w:shd w:val="clear" w:color="auto" w:fill="1F4E79"/>
            <w:tcMar>
              <w:top w:w="40" w:type="dxa"/>
              <w:left w:w="108" w:type="dxa"/>
              <w:bottom w:w="40" w:type="dxa"/>
              <w:right w:w="108" w:type="dxa"/>
            </w:tcMar>
            <w:vAlign w:val="center"/>
            <w:hideMark/>
          </w:tcPr>
          <w:p w14:paraId="73BB2D20" w14:textId="19980A1A" w:rsidR="00F8321E" w:rsidRPr="00F8321E" w:rsidRDefault="00F8321E" w:rsidP="003E569D">
            <w:pPr>
              <w:spacing w:line="240" w:lineRule="auto"/>
              <w:jc w:val="both"/>
              <w:rPr>
                <w:sz w:val="20"/>
                <w:szCs w:val="18"/>
              </w:rPr>
            </w:pPr>
            <w:r w:rsidRPr="00F8321E">
              <w:rPr>
                <w:b/>
                <w:bCs/>
                <w:sz w:val="20"/>
                <w:szCs w:val="18"/>
              </w:rPr>
              <w:t>Activity</w:t>
            </w:r>
          </w:p>
        </w:tc>
        <w:tc>
          <w:tcPr>
            <w:tcW w:w="1100" w:type="dxa"/>
            <w:tcBorders>
              <w:top w:val="single" w:sz="4" w:space="0" w:color="000000"/>
              <w:left w:val="single" w:sz="4" w:space="0" w:color="000000"/>
              <w:bottom w:val="single" w:sz="4" w:space="0" w:color="000000"/>
              <w:right w:val="single" w:sz="4" w:space="0" w:color="000000"/>
            </w:tcBorders>
            <w:shd w:val="clear" w:color="auto" w:fill="1F4E79"/>
            <w:tcMar>
              <w:top w:w="40" w:type="dxa"/>
              <w:left w:w="108" w:type="dxa"/>
              <w:bottom w:w="40" w:type="dxa"/>
              <w:right w:w="108" w:type="dxa"/>
            </w:tcMar>
            <w:vAlign w:val="center"/>
            <w:hideMark/>
          </w:tcPr>
          <w:p w14:paraId="6EBF1DC8" w14:textId="3860552D" w:rsidR="00F8321E" w:rsidRPr="00F8321E" w:rsidRDefault="00F8321E" w:rsidP="003E569D">
            <w:pPr>
              <w:spacing w:line="240" w:lineRule="auto"/>
              <w:jc w:val="both"/>
              <w:rPr>
                <w:sz w:val="20"/>
                <w:szCs w:val="18"/>
              </w:rPr>
            </w:pPr>
            <w:r w:rsidRPr="00F8321E">
              <w:rPr>
                <w:b/>
                <w:bCs/>
                <w:sz w:val="20"/>
                <w:szCs w:val="18"/>
              </w:rPr>
              <w:t>Board</w:t>
            </w:r>
          </w:p>
        </w:tc>
        <w:tc>
          <w:tcPr>
            <w:tcW w:w="1095" w:type="dxa"/>
            <w:tcBorders>
              <w:top w:val="single" w:sz="4" w:space="0" w:color="000000"/>
              <w:left w:val="single" w:sz="4" w:space="0" w:color="000000"/>
              <w:bottom w:val="single" w:sz="4" w:space="0" w:color="000000"/>
              <w:right w:val="single" w:sz="4" w:space="0" w:color="000000"/>
            </w:tcBorders>
            <w:shd w:val="clear" w:color="auto" w:fill="1F4E79"/>
            <w:tcMar>
              <w:top w:w="40" w:type="dxa"/>
              <w:left w:w="108" w:type="dxa"/>
              <w:bottom w:w="40" w:type="dxa"/>
              <w:right w:w="108" w:type="dxa"/>
            </w:tcMar>
            <w:vAlign w:val="center"/>
            <w:hideMark/>
          </w:tcPr>
          <w:p w14:paraId="34E676EC" w14:textId="2895E78F" w:rsidR="00F8321E" w:rsidRPr="00F8321E" w:rsidRDefault="00F8321E" w:rsidP="003E569D">
            <w:pPr>
              <w:spacing w:line="240" w:lineRule="auto"/>
              <w:jc w:val="both"/>
              <w:rPr>
                <w:sz w:val="20"/>
                <w:szCs w:val="18"/>
              </w:rPr>
            </w:pPr>
            <w:r w:rsidRPr="00F8321E">
              <w:rPr>
                <w:b/>
                <w:bCs/>
                <w:sz w:val="20"/>
                <w:szCs w:val="18"/>
              </w:rPr>
              <w:t>CISO</w:t>
            </w:r>
          </w:p>
        </w:tc>
        <w:tc>
          <w:tcPr>
            <w:tcW w:w="1091" w:type="dxa"/>
            <w:tcBorders>
              <w:top w:val="single" w:sz="4" w:space="0" w:color="000000"/>
              <w:left w:val="single" w:sz="4" w:space="0" w:color="000000"/>
              <w:bottom w:val="single" w:sz="4" w:space="0" w:color="000000"/>
              <w:right w:val="single" w:sz="4" w:space="0" w:color="000000"/>
            </w:tcBorders>
            <w:shd w:val="clear" w:color="auto" w:fill="1F4E79"/>
            <w:tcMar>
              <w:top w:w="40" w:type="dxa"/>
              <w:left w:w="108" w:type="dxa"/>
              <w:bottom w:w="40" w:type="dxa"/>
              <w:right w:w="108" w:type="dxa"/>
            </w:tcMar>
            <w:vAlign w:val="center"/>
            <w:hideMark/>
          </w:tcPr>
          <w:p w14:paraId="086CF98E" w14:textId="6B05337D" w:rsidR="00F8321E" w:rsidRPr="00F8321E" w:rsidRDefault="00F8321E" w:rsidP="003E569D">
            <w:pPr>
              <w:spacing w:line="240" w:lineRule="auto"/>
              <w:jc w:val="both"/>
              <w:rPr>
                <w:sz w:val="20"/>
                <w:szCs w:val="18"/>
              </w:rPr>
            </w:pPr>
            <w:r w:rsidRPr="00F8321E">
              <w:rPr>
                <w:b/>
                <w:bCs/>
                <w:sz w:val="20"/>
                <w:szCs w:val="18"/>
              </w:rPr>
              <w:t>DPO</w:t>
            </w:r>
          </w:p>
        </w:tc>
        <w:tc>
          <w:tcPr>
            <w:tcW w:w="1552" w:type="dxa"/>
            <w:tcBorders>
              <w:top w:val="single" w:sz="4" w:space="0" w:color="000000"/>
              <w:left w:val="single" w:sz="4" w:space="0" w:color="000000"/>
              <w:bottom w:val="single" w:sz="4" w:space="0" w:color="000000"/>
              <w:right w:val="single" w:sz="4" w:space="0" w:color="000000"/>
            </w:tcBorders>
            <w:shd w:val="clear" w:color="auto" w:fill="1F4E79"/>
            <w:tcMar>
              <w:top w:w="40" w:type="dxa"/>
              <w:left w:w="108" w:type="dxa"/>
              <w:bottom w:w="40" w:type="dxa"/>
              <w:right w:w="108" w:type="dxa"/>
            </w:tcMar>
            <w:vAlign w:val="center"/>
            <w:hideMark/>
          </w:tcPr>
          <w:p w14:paraId="57AE6A71" w14:textId="157CDA8B" w:rsidR="00F8321E" w:rsidRPr="00F8321E" w:rsidRDefault="00F8321E" w:rsidP="003E569D">
            <w:pPr>
              <w:spacing w:line="240" w:lineRule="auto"/>
              <w:jc w:val="both"/>
              <w:rPr>
                <w:sz w:val="20"/>
                <w:szCs w:val="18"/>
              </w:rPr>
            </w:pPr>
            <w:r w:rsidRPr="00F8321E">
              <w:rPr>
                <w:b/>
                <w:bCs/>
                <w:sz w:val="20"/>
                <w:szCs w:val="18"/>
              </w:rPr>
              <w:t>Operations</w:t>
            </w:r>
          </w:p>
        </w:tc>
        <w:tc>
          <w:tcPr>
            <w:tcW w:w="1670" w:type="dxa"/>
            <w:tcBorders>
              <w:top w:val="single" w:sz="4" w:space="0" w:color="000000"/>
              <w:left w:val="single" w:sz="4" w:space="0" w:color="000000"/>
              <w:bottom w:val="single" w:sz="4" w:space="0" w:color="000000"/>
              <w:right w:val="single" w:sz="4" w:space="0" w:color="000000"/>
            </w:tcBorders>
            <w:shd w:val="clear" w:color="auto" w:fill="1F4E79"/>
            <w:tcMar>
              <w:top w:w="40" w:type="dxa"/>
              <w:left w:w="108" w:type="dxa"/>
              <w:bottom w:w="40" w:type="dxa"/>
              <w:right w:w="108" w:type="dxa"/>
            </w:tcMar>
            <w:vAlign w:val="center"/>
            <w:hideMark/>
          </w:tcPr>
          <w:p w14:paraId="5936512F" w14:textId="25ECCE65" w:rsidR="00F8321E" w:rsidRPr="00F8321E" w:rsidRDefault="00F8321E" w:rsidP="003E569D">
            <w:pPr>
              <w:spacing w:line="240" w:lineRule="auto"/>
              <w:jc w:val="both"/>
              <w:rPr>
                <w:sz w:val="20"/>
                <w:szCs w:val="18"/>
              </w:rPr>
            </w:pPr>
            <w:r w:rsidRPr="00F8321E">
              <w:rPr>
                <w:b/>
                <w:bCs/>
                <w:sz w:val="20"/>
                <w:szCs w:val="18"/>
              </w:rPr>
              <w:t>Procurement</w:t>
            </w:r>
          </w:p>
        </w:tc>
      </w:tr>
      <w:tr w:rsidR="00F8321E" w:rsidRPr="00D409A3" w14:paraId="7F6BF51B" w14:textId="77777777" w:rsidTr="00F8321E">
        <w:tc>
          <w:tcPr>
            <w:tcW w:w="2508" w:type="dxa"/>
            <w:tcBorders>
              <w:top w:val="single" w:sz="4" w:space="0" w:color="000000"/>
              <w:left w:val="single" w:sz="4" w:space="0" w:color="000000"/>
              <w:bottom w:val="single" w:sz="4" w:space="0" w:color="000000"/>
              <w:right w:val="single" w:sz="4" w:space="0" w:color="000000"/>
            </w:tcBorders>
            <w:shd w:val="clear" w:color="auto" w:fill="FFFFFF"/>
            <w:tcMar>
              <w:top w:w="40" w:type="dxa"/>
              <w:left w:w="108" w:type="dxa"/>
              <w:bottom w:w="40" w:type="dxa"/>
              <w:right w:w="108" w:type="dxa"/>
            </w:tcMar>
            <w:vAlign w:val="center"/>
            <w:hideMark/>
          </w:tcPr>
          <w:p w14:paraId="79F66CB4" w14:textId="63D7F534" w:rsidR="00F8321E" w:rsidRPr="00F8321E" w:rsidRDefault="00F8321E" w:rsidP="003E569D">
            <w:pPr>
              <w:spacing w:line="240" w:lineRule="auto"/>
              <w:jc w:val="both"/>
              <w:rPr>
                <w:sz w:val="20"/>
                <w:szCs w:val="18"/>
              </w:rPr>
            </w:pPr>
            <w:r w:rsidRPr="00F8321E">
              <w:rPr>
                <w:sz w:val="20"/>
                <w:szCs w:val="18"/>
              </w:rPr>
              <w:t>Approve cyber-risk appetite</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40" w:type="dxa"/>
              <w:left w:w="108" w:type="dxa"/>
              <w:bottom w:w="40" w:type="dxa"/>
              <w:right w:w="108" w:type="dxa"/>
            </w:tcMar>
            <w:vAlign w:val="center"/>
            <w:hideMark/>
          </w:tcPr>
          <w:p w14:paraId="7DB52315" w14:textId="24F1A042" w:rsidR="00F8321E" w:rsidRPr="00F8321E" w:rsidRDefault="00F8321E" w:rsidP="003E569D">
            <w:pPr>
              <w:spacing w:line="240" w:lineRule="auto"/>
              <w:jc w:val="both"/>
              <w:rPr>
                <w:sz w:val="20"/>
                <w:szCs w:val="18"/>
              </w:rPr>
            </w:pPr>
            <w:r w:rsidRPr="00F8321E">
              <w:rPr>
                <w:sz w:val="20"/>
                <w:szCs w:val="18"/>
              </w:rPr>
              <w:t>A</w:t>
            </w:r>
          </w:p>
        </w:tc>
        <w:tc>
          <w:tcPr>
            <w:tcW w:w="1095" w:type="dxa"/>
            <w:tcBorders>
              <w:top w:val="single" w:sz="4" w:space="0" w:color="000000"/>
              <w:left w:val="single" w:sz="4" w:space="0" w:color="000000"/>
              <w:bottom w:val="single" w:sz="4" w:space="0" w:color="000000"/>
              <w:right w:val="single" w:sz="4" w:space="0" w:color="000000"/>
            </w:tcBorders>
            <w:shd w:val="clear" w:color="auto" w:fill="FFFFFF"/>
            <w:tcMar>
              <w:top w:w="40" w:type="dxa"/>
              <w:left w:w="108" w:type="dxa"/>
              <w:bottom w:w="40" w:type="dxa"/>
              <w:right w:w="108" w:type="dxa"/>
            </w:tcMar>
            <w:vAlign w:val="center"/>
            <w:hideMark/>
          </w:tcPr>
          <w:p w14:paraId="290FD9D6" w14:textId="14510F43" w:rsidR="00F8321E" w:rsidRPr="00F8321E" w:rsidRDefault="00F8321E" w:rsidP="003E569D">
            <w:pPr>
              <w:spacing w:line="240" w:lineRule="auto"/>
              <w:jc w:val="both"/>
              <w:rPr>
                <w:sz w:val="20"/>
                <w:szCs w:val="18"/>
              </w:rPr>
            </w:pPr>
            <w:r w:rsidRPr="00F8321E">
              <w:rPr>
                <w:sz w:val="20"/>
                <w:szCs w:val="18"/>
              </w:rPr>
              <w:t>R</w:t>
            </w:r>
          </w:p>
        </w:tc>
        <w:tc>
          <w:tcPr>
            <w:tcW w:w="1091" w:type="dxa"/>
            <w:tcBorders>
              <w:top w:val="single" w:sz="4" w:space="0" w:color="000000"/>
              <w:left w:val="single" w:sz="4" w:space="0" w:color="000000"/>
              <w:bottom w:val="single" w:sz="4" w:space="0" w:color="000000"/>
              <w:right w:val="single" w:sz="4" w:space="0" w:color="000000"/>
            </w:tcBorders>
            <w:shd w:val="clear" w:color="auto" w:fill="FFFFFF"/>
            <w:tcMar>
              <w:top w:w="40" w:type="dxa"/>
              <w:left w:w="108" w:type="dxa"/>
              <w:bottom w:w="40" w:type="dxa"/>
              <w:right w:w="108" w:type="dxa"/>
            </w:tcMar>
            <w:vAlign w:val="center"/>
            <w:hideMark/>
          </w:tcPr>
          <w:p w14:paraId="6024AE4C" w14:textId="4DECE257" w:rsidR="00F8321E" w:rsidRPr="00F8321E" w:rsidRDefault="00F8321E" w:rsidP="003E569D">
            <w:pPr>
              <w:spacing w:line="240" w:lineRule="auto"/>
              <w:jc w:val="both"/>
              <w:rPr>
                <w:sz w:val="20"/>
                <w:szCs w:val="18"/>
              </w:rPr>
            </w:pPr>
            <w:r w:rsidRPr="00F8321E">
              <w:rPr>
                <w:sz w:val="20"/>
                <w:szCs w:val="18"/>
              </w:rPr>
              <w:t>C</w:t>
            </w:r>
          </w:p>
        </w:tc>
        <w:tc>
          <w:tcPr>
            <w:tcW w:w="1552" w:type="dxa"/>
            <w:tcBorders>
              <w:top w:val="single" w:sz="4" w:space="0" w:color="000000"/>
              <w:left w:val="single" w:sz="4" w:space="0" w:color="000000"/>
              <w:bottom w:val="single" w:sz="4" w:space="0" w:color="000000"/>
              <w:right w:val="single" w:sz="4" w:space="0" w:color="000000"/>
            </w:tcBorders>
            <w:shd w:val="clear" w:color="auto" w:fill="FFFFFF"/>
            <w:tcMar>
              <w:top w:w="40" w:type="dxa"/>
              <w:left w:w="108" w:type="dxa"/>
              <w:bottom w:w="40" w:type="dxa"/>
              <w:right w:w="108" w:type="dxa"/>
            </w:tcMar>
            <w:vAlign w:val="center"/>
            <w:hideMark/>
          </w:tcPr>
          <w:p w14:paraId="7A3F855A" w14:textId="7C67C090" w:rsidR="00F8321E" w:rsidRPr="00F8321E" w:rsidRDefault="00F8321E" w:rsidP="003E569D">
            <w:pPr>
              <w:spacing w:line="240" w:lineRule="auto"/>
              <w:jc w:val="both"/>
              <w:rPr>
                <w:sz w:val="20"/>
                <w:szCs w:val="18"/>
              </w:rPr>
            </w:pPr>
            <w:r w:rsidRPr="00F8321E">
              <w:rPr>
                <w:sz w:val="20"/>
                <w:szCs w:val="18"/>
              </w:rPr>
              <w:t>C</w:t>
            </w:r>
          </w:p>
        </w:tc>
        <w:tc>
          <w:tcPr>
            <w:tcW w:w="1670" w:type="dxa"/>
            <w:tcBorders>
              <w:top w:val="single" w:sz="4" w:space="0" w:color="000000"/>
              <w:left w:val="single" w:sz="4" w:space="0" w:color="000000"/>
              <w:bottom w:val="single" w:sz="4" w:space="0" w:color="000000"/>
              <w:right w:val="single" w:sz="4" w:space="0" w:color="000000"/>
            </w:tcBorders>
            <w:shd w:val="clear" w:color="auto" w:fill="FFFFFF"/>
            <w:tcMar>
              <w:top w:w="40" w:type="dxa"/>
              <w:left w:w="108" w:type="dxa"/>
              <w:bottom w:w="40" w:type="dxa"/>
              <w:right w:w="108" w:type="dxa"/>
            </w:tcMar>
            <w:vAlign w:val="center"/>
            <w:hideMark/>
          </w:tcPr>
          <w:p w14:paraId="71EBD58A" w14:textId="1F6DD73C" w:rsidR="00F8321E" w:rsidRPr="00F8321E" w:rsidRDefault="00F8321E" w:rsidP="003E569D">
            <w:pPr>
              <w:spacing w:line="240" w:lineRule="auto"/>
              <w:jc w:val="both"/>
              <w:rPr>
                <w:sz w:val="20"/>
                <w:szCs w:val="18"/>
              </w:rPr>
            </w:pPr>
            <w:r w:rsidRPr="00F8321E">
              <w:rPr>
                <w:sz w:val="20"/>
                <w:szCs w:val="18"/>
              </w:rPr>
              <w:t>C</w:t>
            </w:r>
          </w:p>
        </w:tc>
      </w:tr>
      <w:tr w:rsidR="00F8321E" w:rsidRPr="00D409A3" w14:paraId="423668F4" w14:textId="77777777" w:rsidTr="00F8321E">
        <w:tc>
          <w:tcPr>
            <w:tcW w:w="2508" w:type="dxa"/>
            <w:tcBorders>
              <w:top w:val="single" w:sz="4" w:space="0" w:color="000000"/>
              <w:left w:val="single" w:sz="4" w:space="0" w:color="000000"/>
              <w:bottom w:val="single" w:sz="4" w:space="0" w:color="000000"/>
              <w:right w:val="single" w:sz="4" w:space="0" w:color="000000"/>
            </w:tcBorders>
            <w:shd w:val="clear" w:color="auto" w:fill="EAF2F8"/>
            <w:tcMar>
              <w:top w:w="40" w:type="dxa"/>
              <w:left w:w="108" w:type="dxa"/>
              <w:bottom w:w="40" w:type="dxa"/>
              <w:right w:w="108" w:type="dxa"/>
            </w:tcMar>
            <w:vAlign w:val="center"/>
            <w:hideMark/>
          </w:tcPr>
          <w:p w14:paraId="6BA71540" w14:textId="5CCF1635" w:rsidR="00F8321E" w:rsidRPr="00F8321E" w:rsidRDefault="00F8321E" w:rsidP="003E569D">
            <w:pPr>
              <w:spacing w:line="240" w:lineRule="auto"/>
              <w:jc w:val="both"/>
              <w:rPr>
                <w:sz w:val="20"/>
                <w:szCs w:val="18"/>
              </w:rPr>
            </w:pPr>
            <w:r w:rsidRPr="00F8321E">
              <w:rPr>
                <w:sz w:val="20"/>
                <w:szCs w:val="18"/>
              </w:rPr>
              <w:t>Manage security programme</w:t>
            </w:r>
          </w:p>
        </w:tc>
        <w:tc>
          <w:tcPr>
            <w:tcW w:w="1100" w:type="dxa"/>
            <w:tcBorders>
              <w:top w:val="single" w:sz="4" w:space="0" w:color="000000"/>
              <w:left w:val="single" w:sz="4" w:space="0" w:color="000000"/>
              <w:bottom w:val="single" w:sz="4" w:space="0" w:color="000000"/>
              <w:right w:val="single" w:sz="4" w:space="0" w:color="000000"/>
            </w:tcBorders>
            <w:shd w:val="clear" w:color="auto" w:fill="EAF2F8"/>
            <w:tcMar>
              <w:top w:w="40" w:type="dxa"/>
              <w:left w:w="108" w:type="dxa"/>
              <w:bottom w:w="40" w:type="dxa"/>
              <w:right w:w="108" w:type="dxa"/>
            </w:tcMar>
            <w:vAlign w:val="center"/>
            <w:hideMark/>
          </w:tcPr>
          <w:p w14:paraId="03E72F9D" w14:textId="33E40BE6" w:rsidR="00F8321E" w:rsidRPr="00F8321E" w:rsidRDefault="00F8321E" w:rsidP="003E569D">
            <w:pPr>
              <w:spacing w:line="240" w:lineRule="auto"/>
              <w:jc w:val="both"/>
              <w:rPr>
                <w:sz w:val="20"/>
                <w:szCs w:val="18"/>
              </w:rPr>
            </w:pPr>
            <w:r w:rsidRPr="00F8321E">
              <w:rPr>
                <w:sz w:val="20"/>
                <w:szCs w:val="18"/>
              </w:rPr>
              <w:t>I</w:t>
            </w:r>
          </w:p>
        </w:tc>
        <w:tc>
          <w:tcPr>
            <w:tcW w:w="1095" w:type="dxa"/>
            <w:tcBorders>
              <w:top w:val="single" w:sz="4" w:space="0" w:color="000000"/>
              <w:left w:val="single" w:sz="4" w:space="0" w:color="000000"/>
              <w:bottom w:val="single" w:sz="4" w:space="0" w:color="000000"/>
              <w:right w:val="single" w:sz="4" w:space="0" w:color="000000"/>
            </w:tcBorders>
            <w:shd w:val="clear" w:color="auto" w:fill="EAF2F8"/>
            <w:tcMar>
              <w:top w:w="40" w:type="dxa"/>
              <w:left w:w="108" w:type="dxa"/>
              <w:bottom w:w="40" w:type="dxa"/>
              <w:right w:w="108" w:type="dxa"/>
            </w:tcMar>
            <w:vAlign w:val="center"/>
            <w:hideMark/>
          </w:tcPr>
          <w:p w14:paraId="571A5B26" w14:textId="50FF5E8B" w:rsidR="00F8321E" w:rsidRPr="00F8321E" w:rsidRDefault="00F8321E" w:rsidP="003E569D">
            <w:pPr>
              <w:spacing w:line="240" w:lineRule="auto"/>
              <w:jc w:val="both"/>
              <w:rPr>
                <w:sz w:val="20"/>
                <w:szCs w:val="18"/>
              </w:rPr>
            </w:pPr>
            <w:r w:rsidRPr="00F8321E">
              <w:rPr>
                <w:sz w:val="20"/>
                <w:szCs w:val="18"/>
              </w:rPr>
              <w:t>A/R</w:t>
            </w:r>
          </w:p>
        </w:tc>
        <w:tc>
          <w:tcPr>
            <w:tcW w:w="1091" w:type="dxa"/>
            <w:tcBorders>
              <w:top w:val="single" w:sz="4" w:space="0" w:color="000000"/>
              <w:left w:val="single" w:sz="4" w:space="0" w:color="000000"/>
              <w:bottom w:val="single" w:sz="4" w:space="0" w:color="000000"/>
              <w:right w:val="single" w:sz="4" w:space="0" w:color="000000"/>
            </w:tcBorders>
            <w:shd w:val="clear" w:color="auto" w:fill="EAF2F8"/>
            <w:tcMar>
              <w:top w:w="40" w:type="dxa"/>
              <w:left w:w="108" w:type="dxa"/>
              <w:bottom w:w="40" w:type="dxa"/>
              <w:right w:w="108" w:type="dxa"/>
            </w:tcMar>
            <w:vAlign w:val="center"/>
            <w:hideMark/>
          </w:tcPr>
          <w:p w14:paraId="292794BA" w14:textId="39F3CEB3" w:rsidR="00F8321E" w:rsidRPr="00F8321E" w:rsidRDefault="00F8321E" w:rsidP="003E569D">
            <w:pPr>
              <w:spacing w:line="240" w:lineRule="auto"/>
              <w:jc w:val="both"/>
              <w:rPr>
                <w:sz w:val="20"/>
                <w:szCs w:val="18"/>
              </w:rPr>
            </w:pPr>
            <w:r w:rsidRPr="00F8321E">
              <w:rPr>
                <w:sz w:val="20"/>
                <w:szCs w:val="18"/>
              </w:rPr>
              <w:t>C</w:t>
            </w:r>
          </w:p>
        </w:tc>
        <w:tc>
          <w:tcPr>
            <w:tcW w:w="1552" w:type="dxa"/>
            <w:tcBorders>
              <w:top w:val="single" w:sz="4" w:space="0" w:color="000000"/>
              <w:left w:val="single" w:sz="4" w:space="0" w:color="000000"/>
              <w:bottom w:val="single" w:sz="4" w:space="0" w:color="000000"/>
              <w:right w:val="single" w:sz="4" w:space="0" w:color="000000"/>
            </w:tcBorders>
            <w:shd w:val="clear" w:color="auto" w:fill="EAF2F8"/>
            <w:tcMar>
              <w:top w:w="40" w:type="dxa"/>
              <w:left w:w="108" w:type="dxa"/>
              <w:bottom w:w="40" w:type="dxa"/>
              <w:right w:w="108" w:type="dxa"/>
            </w:tcMar>
            <w:vAlign w:val="center"/>
            <w:hideMark/>
          </w:tcPr>
          <w:p w14:paraId="6E8167D4" w14:textId="0AC8312C" w:rsidR="00F8321E" w:rsidRPr="00F8321E" w:rsidRDefault="00F8321E" w:rsidP="003E569D">
            <w:pPr>
              <w:spacing w:line="240" w:lineRule="auto"/>
              <w:jc w:val="both"/>
              <w:rPr>
                <w:sz w:val="20"/>
                <w:szCs w:val="18"/>
              </w:rPr>
            </w:pPr>
            <w:r w:rsidRPr="00F8321E">
              <w:rPr>
                <w:sz w:val="20"/>
                <w:szCs w:val="18"/>
              </w:rPr>
              <w:t>R</w:t>
            </w:r>
          </w:p>
        </w:tc>
        <w:tc>
          <w:tcPr>
            <w:tcW w:w="1670" w:type="dxa"/>
            <w:tcBorders>
              <w:top w:val="single" w:sz="4" w:space="0" w:color="000000"/>
              <w:left w:val="single" w:sz="4" w:space="0" w:color="000000"/>
              <w:bottom w:val="single" w:sz="4" w:space="0" w:color="000000"/>
              <w:right w:val="single" w:sz="4" w:space="0" w:color="000000"/>
            </w:tcBorders>
            <w:shd w:val="clear" w:color="auto" w:fill="EAF2F8"/>
            <w:tcMar>
              <w:top w:w="40" w:type="dxa"/>
              <w:left w:w="108" w:type="dxa"/>
              <w:bottom w:w="40" w:type="dxa"/>
              <w:right w:w="108" w:type="dxa"/>
            </w:tcMar>
            <w:vAlign w:val="center"/>
            <w:hideMark/>
          </w:tcPr>
          <w:p w14:paraId="75791C0F" w14:textId="2230A670" w:rsidR="00F8321E" w:rsidRPr="00F8321E" w:rsidRDefault="00F8321E" w:rsidP="003E569D">
            <w:pPr>
              <w:spacing w:line="240" w:lineRule="auto"/>
              <w:jc w:val="both"/>
              <w:rPr>
                <w:sz w:val="20"/>
                <w:szCs w:val="18"/>
              </w:rPr>
            </w:pPr>
            <w:r w:rsidRPr="00F8321E">
              <w:rPr>
                <w:sz w:val="20"/>
                <w:szCs w:val="18"/>
              </w:rPr>
              <w:t>C</w:t>
            </w:r>
          </w:p>
        </w:tc>
      </w:tr>
      <w:tr w:rsidR="00F8321E" w:rsidRPr="00D409A3" w14:paraId="12FFFA08" w14:textId="77777777" w:rsidTr="00F8321E">
        <w:tc>
          <w:tcPr>
            <w:tcW w:w="2508" w:type="dxa"/>
            <w:tcBorders>
              <w:top w:val="single" w:sz="4" w:space="0" w:color="000000"/>
              <w:left w:val="single" w:sz="4" w:space="0" w:color="000000"/>
              <w:bottom w:val="single" w:sz="4" w:space="0" w:color="000000"/>
              <w:right w:val="single" w:sz="4" w:space="0" w:color="000000"/>
            </w:tcBorders>
            <w:shd w:val="clear" w:color="auto" w:fill="FFFFFF"/>
            <w:tcMar>
              <w:top w:w="40" w:type="dxa"/>
              <w:left w:w="108" w:type="dxa"/>
              <w:bottom w:w="40" w:type="dxa"/>
              <w:right w:w="108" w:type="dxa"/>
            </w:tcMar>
            <w:vAlign w:val="center"/>
            <w:hideMark/>
          </w:tcPr>
          <w:p w14:paraId="3C653C12" w14:textId="71A6C24A" w:rsidR="00F8321E" w:rsidRPr="00F8321E" w:rsidRDefault="00F8321E" w:rsidP="003E569D">
            <w:pPr>
              <w:spacing w:line="240" w:lineRule="auto"/>
              <w:jc w:val="both"/>
              <w:rPr>
                <w:sz w:val="20"/>
                <w:szCs w:val="18"/>
              </w:rPr>
            </w:pPr>
            <w:r w:rsidRPr="00F8321E">
              <w:rPr>
                <w:sz w:val="20"/>
                <w:szCs w:val="18"/>
              </w:rPr>
              <w:t>Approve privacy treatment</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40" w:type="dxa"/>
              <w:left w:w="108" w:type="dxa"/>
              <w:bottom w:w="40" w:type="dxa"/>
              <w:right w:w="108" w:type="dxa"/>
            </w:tcMar>
            <w:vAlign w:val="center"/>
            <w:hideMark/>
          </w:tcPr>
          <w:p w14:paraId="12BE59CE" w14:textId="1C20D93A" w:rsidR="00F8321E" w:rsidRPr="00F8321E" w:rsidRDefault="00F8321E" w:rsidP="003E569D">
            <w:pPr>
              <w:spacing w:line="240" w:lineRule="auto"/>
              <w:jc w:val="both"/>
              <w:rPr>
                <w:sz w:val="20"/>
                <w:szCs w:val="18"/>
              </w:rPr>
            </w:pPr>
            <w:r w:rsidRPr="00F8321E">
              <w:rPr>
                <w:sz w:val="20"/>
                <w:szCs w:val="18"/>
              </w:rPr>
              <w:t>I</w:t>
            </w:r>
          </w:p>
        </w:tc>
        <w:tc>
          <w:tcPr>
            <w:tcW w:w="1095" w:type="dxa"/>
            <w:tcBorders>
              <w:top w:val="single" w:sz="4" w:space="0" w:color="000000"/>
              <w:left w:val="single" w:sz="4" w:space="0" w:color="000000"/>
              <w:bottom w:val="single" w:sz="4" w:space="0" w:color="000000"/>
              <w:right w:val="single" w:sz="4" w:space="0" w:color="000000"/>
            </w:tcBorders>
            <w:shd w:val="clear" w:color="auto" w:fill="FFFFFF"/>
            <w:tcMar>
              <w:top w:w="40" w:type="dxa"/>
              <w:left w:w="108" w:type="dxa"/>
              <w:bottom w:w="40" w:type="dxa"/>
              <w:right w:w="108" w:type="dxa"/>
            </w:tcMar>
            <w:vAlign w:val="center"/>
            <w:hideMark/>
          </w:tcPr>
          <w:p w14:paraId="2B87F074" w14:textId="5CE69436" w:rsidR="00F8321E" w:rsidRPr="00F8321E" w:rsidRDefault="00F8321E" w:rsidP="003E569D">
            <w:pPr>
              <w:spacing w:line="240" w:lineRule="auto"/>
              <w:jc w:val="both"/>
              <w:rPr>
                <w:sz w:val="20"/>
                <w:szCs w:val="18"/>
              </w:rPr>
            </w:pPr>
            <w:r w:rsidRPr="00F8321E">
              <w:rPr>
                <w:sz w:val="20"/>
                <w:szCs w:val="18"/>
              </w:rPr>
              <w:t>C</w:t>
            </w:r>
          </w:p>
        </w:tc>
        <w:tc>
          <w:tcPr>
            <w:tcW w:w="1091" w:type="dxa"/>
            <w:tcBorders>
              <w:top w:val="single" w:sz="4" w:space="0" w:color="000000"/>
              <w:left w:val="single" w:sz="4" w:space="0" w:color="000000"/>
              <w:bottom w:val="single" w:sz="4" w:space="0" w:color="000000"/>
              <w:right w:val="single" w:sz="4" w:space="0" w:color="000000"/>
            </w:tcBorders>
            <w:shd w:val="clear" w:color="auto" w:fill="FFFFFF"/>
            <w:tcMar>
              <w:top w:w="40" w:type="dxa"/>
              <w:left w:w="108" w:type="dxa"/>
              <w:bottom w:w="40" w:type="dxa"/>
              <w:right w:w="108" w:type="dxa"/>
            </w:tcMar>
            <w:vAlign w:val="center"/>
            <w:hideMark/>
          </w:tcPr>
          <w:p w14:paraId="192069F6" w14:textId="255E0039" w:rsidR="00F8321E" w:rsidRPr="00F8321E" w:rsidRDefault="00F8321E" w:rsidP="003E569D">
            <w:pPr>
              <w:spacing w:line="240" w:lineRule="auto"/>
              <w:jc w:val="both"/>
              <w:rPr>
                <w:sz w:val="20"/>
                <w:szCs w:val="18"/>
              </w:rPr>
            </w:pPr>
            <w:r w:rsidRPr="00F8321E">
              <w:rPr>
                <w:sz w:val="20"/>
                <w:szCs w:val="18"/>
              </w:rPr>
              <w:t>A/R</w:t>
            </w:r>
          </w:p>
        </w:tc>
        <w:tc>
          <w:tcPr>
            <w:tcW w:w="1552" w:type="dxa"/>
            <w:tcBorders>
              <w:top w:val="single" w:sz="4" w:space="0" w:color="000000"/>
              <w:left w:val="single" w:sz="4" w:space="0" w:color="000000"/>
              <w:bottom w:val="single" w:sz="4" w:space="0" w:color="000000"/>
              <w:right w:val="single" w:sz="4" w:space="0" w:color="000000"/>
            </w:tcBorders>
            <w:shd w:val="clear" w:color="auto" w:fill="FFFFFF"/>
            <w:tcMar>
              <w:top w:w="40" w:type="dxa"/>
              <w:left w:w="108" w:type="dxa"/>
              <w:bottom w:w="40" w:type="dxa"/>
              <w:right w:w="108" w:type="dxa"/>
            </w:tcMar>
            <w:vAlign w:val="center"/>
            <w:hideMark/>
          </w:tcPr>
          <w:p w14:paraId="0B8DB15A" w14:textId="56D2F6FA" w:rsidR="00F8321E" w:rsidRPr="00F8321E" w:rsidRDefault="00F8321E" w:rsidP="003E569D">
            <w:pPr>
              <w:spacing w:line="240" w:lineRule="auto"/>
              <w:jc w:val="both"/>
              <w:rPr>
                <w:sz w:val="20"/>
                <w:szCs w:val="18"/>
              </w:rPr>
            </w:pPr>
            <w:r w:rsidRPr="00F8321E">
              <w:rPr>
                <w:sz w:val="20"/>
                <w:szCs w:val="18"/>
              </w:rPr>
              <w:t>C</w:t>
            </w:r>
          </w:p>
        </w:tc>
        <w:tc>
          <w:tcPr>
            <w:tcW w:w="1670" w:type="dxa"/>
            <w:tcBorders>
              <w:top w:val="single" w:sz="4" w:space="0" w:color="000000"/>
              <w:left w:val="single" w:sz="4" w:space="0" w:color="000000"/>
              <w:bottom w:val="single" w:sz="4" w:space="0" w:color="000000"/>
              <w:right w:val="single" w:sz="4" w:space="0" w:color="000000"/>
            </w:tcBorders>
            <w:shd w:val="clear" w:color="auto" w:fill="FFFFFF"/>
            <w:tcMar>
              <w:top w:w="40" w:type="dxa"/>
              <w:left w:w="108" w:type="dxa"/>
              <w:bottom w:w="40" w:type="dxa"/>
              <w:right w:w="108" w:type="dxa"/>
            </w:tcMar>
            <w:vAlign w:val="center"/>
            <w:hideMark/>
          </w:tcPr>
          <w:p w14:paraId="55D978E6" w14:textId="6AC7ACF8" w:rsidR="00F8321E" w:rsidRPr="00F8321E" w:rsidRDefault="00F8321E" w:rsidP="003E569D">
            <w:pPr>
              <w:spacing w:line="240" w:lineRule="auto"/>
              <w:jc w:val="both"/>
              <w:rPr>
                <w:sz w:val="20"/>
                <w:szCs w:val="18"/>
              </w:rPr>
            </w:pPr>
            <w:r w:rsidRPr="00F8321E">
              <w:rPr>
                <w:sz w:val="20"/>
                <w:szCs w:val="18"/>
              </w:rPr>
              <w:t>C</w:t>
            </w:r>
          </w:p>
        </w:tc>
      </w:tr>
      <w:tr w:rsidR="00F8321E" w:rsidRPr="00D409A3" w14:paraId="54F4B1EC" w14:textId="77777777" w:rsidTr="00F8321E">
        <w:tc>
          <w:tcPr>
            <w:tcW w:w="2508" w:type="dxa"/>
            <w:tcBorders>
              <w:top w:val="single" w:sz="4" w:space="0" w:color="000000"/>
              <w:left w:val="single" w:sz="4" w:space="0" w:color="000000"/>
              <w:bottom w:val="single" w:sz="4" w:space="0" w:color="000000"/>
              <w:right w:val="single" w:sz="4" w:space="0" w:color="000000"/>
            </w:tcBorders>
            <w:shd w:val="clear" w:color="auto" w:fill="EAF2F8"/>
            <w:tcMar>
              <w:top w:w="40" w:type="dxa"/>
              <w:left w:w="108" w:type="dxa"/>
              <w:bottom w:w="40" w:type="dxa"/>
              <w:right w:w="108" w:type="dxa"/>
            </w:tcMar>
            <w:vAlign w:val="center"/>
            <w:hideMark/>
          </w:tcPr>
          <w:p w14:paraId="0127BCA8" w14:textId="7F2DB2F2" w:rsidR="00F8321E" w:rsidRPr="00F8321E" w:rsidRDefault="00F8321E" w:rsidP="003E569D">
            <w:pPr>
              <w:spacing w:line="240" w:lineRule="auto"/>
              <w:jc w:val="both"/>
              <w:rPr>
                <w:sz w:val="20"/>
                <w:szCs w:val="18"/>
              </w:rPr>
            </w:pPr>
            <w:r w:rsidRPr="00F8321E">
              <w:rPr>
                <w:sz w:val="20"/>
                <w:szCs w:val="18"/>
              </w:rPr>
              <w:t>Operate security controls</w:t>
            </w:r>
          </w:p>
        </w:tc>
        <w:tc>
          <w:tcPr>
            <w:tcW w:w="1100" w:type="dxa"/>
            <w:tcBorders>
              <w:top w:val="single" w:sz="4" w:space="0" w:color="000000"/>
              <w:left w:val="single" w:sz="4" w:space="0" w:color="000000"/>
              <w:bottom w:val="single" w:sz="4" w:space="0" w:color="000000"/>
              <w:right w:val="single" w:sz="4" w:space="0" w:color="000000"/>
            </w:tcBorders>
            <w:shd w:val="clear" w:color="auto" w:fill="EAF2F8"/>
            <w:tcMar>
              <w:top w:w="40" w:type="dxa"/>
              <w:left w:w="108" w:type="dxa"/>
              <w:bottom w:w="40" w:type="dxa"/>
              <w:right w:w="108" w:type="dxa"/>
            </w:tcMar>
            <w:vAlign w:val="center"/>
            <w:hideMark/>
          </w:tcPr>
          <w:p w14:paraId="6C7D31E6" w14:textId="2FA1FA82" w:rsidR="00F8321E" w:rsidRPr="00F8321E" w:rsidRDefault="00F8321E" w:rsidP="003E569D">
            <w:pPr>
              <w:spacing w:line="240" w:lineRule="auto"/>
              <w:jc w:val="both"/>
              <w:rPr>
                <w:sz w:val="20"/>
                <w:szCs w:val="18"/>
              </w:rPr>
            </w:pPr>
            <w:r w:rsidRPr="00F8321E">
              <w:rPr>
                <w:sz w:val="20"/>
                <w:szCs w:val="18"/>
              </w:rPr>
              <w:t>I</w:t>
            </w:r>
          </w:p>
        </w:tc>
        <w:tc>
          <w:tcPr>
            <w:tcW w:w="1095" w:type="dxa"/>
            <w:tcBorders>
              <w:top w:val="single" w:sz="4" w:space="0" w:color="000000"/>
              <w:left w:val="single" w:sz="4" w:space="0" w:color="000000"/>
              <w:bottom w:val="single" w:sz="4" w:space="0" w:color="000000"/>
              <w:right w:val="single" w:sz="4" w:space="0" w:color="000000"/>
            </w:tcBorders>
            <w:shd w:val="clear" w:color="auto" w:fill="EAF2F8"/>
            <w:tcMar>
              <w:top w:w="40" w:type="dxa"/>
              <w:left w:w="108" w:type="dxa"/>
              <w:bottom w:w="40" w:type="dxa"/>
              <w:right w:w="108" w:type="dxa"/>
            </w:tcMar>
            <w:vAlign w:val="center"/>
            <w:hideMark/>
          </w:tcPr>
          <w:p w14:paraId="19F03F97" w14:textId="42F236F2" w:rsidR="00F8321E" w:rsidRPr="00F8321E" w:rsidRDefault="00F8321E" w:rsidP="003E569D">
            <w:pPr>
              <w:spacing w:line="240" w:lineRule="auto"/>
              <w:jc w:val="both"/>
              <w:rPr>
                <w:sz w:val="20"/>
                <w:szCs w:val="18"/>
              </w:rPr>
            </w:pPr>
            <w:r w:rsidRPr="00F8321E">
              <w:rPr>
                <w:sz w:val="20"/>
                <w:szCs w:val="18"/>
              </w:rPr>
              <w:t>A</w:t>
            </w:r>
          </w:p>
        </w:tc>
        <w:tc>
          <w:tcPr>
            <w:tcW w:w="1091" w:type="dxa"/>
            <w:tcBorders>
              <w:top w:val="single" w:sz="4" w:space="0" w:color="000000"/>
              <w:left w:val="single" w:sz="4" w:space="0" w:color="000000"/>
              <w:bottom w:val="single" w:sz="4" w:space="0" w:color="000000"/>
              <w:right w:val="single" w:sz="4" w:space="0" w:color="000000"/>
            </w:tcBorders>
            <w:shd w:val="clear" w:color="auto" w:fill="EAF2F8"/>
            <w:tcMar>
              <w:top w:w="40" w:type="dxa"/>
              <w:left w:w="108" w:type="dxa"/>
              <w:bottom w:w="40" w:type="dxa"/>
              <w:right w:w="108" w:type="dxa"/>
            </w:tcMar>
            <w:vAlign w:val="center"/>
            <w:hideMark/>
          </w:tcPr>
          <w:p w14:paraId="30C44C9D" w14:textId="709F00B3" w:rsidR="00F8321E" w:rsidRPr="00F8321E" w:rsidRDefault="00F8321E" w:rsidP="003E569D">
            <w:pPr>
              <w:spacing w:line="240" w:lineRule="auto"/>
              <w:jc w:val="both"/>
              <w:rPr>
                <w:sz w:val="20"/>
                <w:szCs w:val="18"/>
              </w:rPr>
            </w:pPr>
            <w:r w:rsidRPr="00F8321E">
              <w:rPr>
                <w:sz w:val="20"/>
                <w:szCs w:val="18"/>
              </w:rPr>
              <w:t>C</w:t>
            </w:r>
          </w:p>
        </w:tc>
        <w:tc>
          <w:tcPr>
            <w:tcW w:w="1552" w:type="dxa"/>
            <w:tcBorders>
              <w:top w:val="single" w:sz="4" w:space="0" w:color="000000"/>
              <w:left w:val="single" w:sz="4" w:space="0" w:color="000000"/>
              <w:bottom w:val="single" w:sz="4" w:space="0" w:color="000000"/>
              <w:right w:val="single" w:sz="4" w:space="0" w:color="000000"/>
            </w:tcBorders>
            <w:shd w:val="clear" w:color="auto" w:fill="EAF2F8"/>
            <w:tcMar>
              <w:top w:w="40" w:type="dxa"/>
              <w:left w:w="108" w:type="dxa"/>
              <w:bottom w:w="40" w:type="dxa"/>
              <w:right w:w="108" w:type="dxa"/>
            </w:tcMar>
            <w:vAlign w:val="center"/>
            <w:hideMark/>
          </w:tcPr>
          <w:p w14:paraId="75BBE4D2" w14:textId="2F046F38" w:rsidR="00F8321E" w:rsidRPr="00F8321E" w:rsidRDefault="00F8321E" w:rsidP="003E569D">
            <w:pPr>
              <w:spacing w:line="240" w:lineRule="auto"/>
              <w:jc w:val="both"/>
              <w:rPr>
                <w:sz w:val="20"/>
                <w:szCs w:val="18"/>
              </w:rPr>
            </w:pPr>
            <w:r w:rsidRPr="00F8321E">
              <w:rPr>
                <w:sz w:val="20"/>
                <w:szCs w:val="18"/>
              </w:rPr>
              <w:t>R</w:t>
            </w:r>
          </w:p>
        </w:tc>
        <w:tc>
          <w:tcPr>
            <w:tcW w:w="1670" w:type="dxa"/>
            <w:tcBorders>
              <w:top w:val="single" w:sz="4" w:space="0" w:color="000000"/>
              <w:left w:val="single" w:sz="4" w:space="0" w:color="000000"/>
              <w:bottom w:val="single" w:sz="4" w:space="0" w:color="000000"/>
              <w:right w:val="single" w:sz="4" w:space="0" w:color="000000"/>
            </w:tcBorders>
            <w:shd w:val="clear" w:color="auto" w:fill="EAF2F8"/>
            <w:tcMar>
              <w:top w:w="40" w:type="dxa"/>
              <w:left w:w="108" w:type="dxa"/>
              <w:bottom w:w="40" w:type="dxa"/>
              <w:right w:w="108" w:type="dxa"/>
            </w:tcMar>
            <w:vAlign w:val="center"/>
            <w:hideMark/>
          </w:tcPr>
          <w:p w14:paraId="4446388F" w14:textId="1A25ACFB" w:rsidR="00F8321E" w:rsidRPr="00F8321E" w:rsidRDefault="00F8321E" w:rsidP="003E569D">
            <w:pPr>
              <w:spacing w:line="240" w:lineRule="auto"/>
              <w:jc w:val="both"/>
              <w:rPr>
                <w:sz w:val="20"/>
                <w:szCs w:val="18"/>
              </w:rPr>
            </w:pPr>
            <w:r w:rsidRPr="00F8321E">
              <w:rPr>
                <w:sz w:val="20"/>
                <w:szCs w:val="18"/>
              </w:rPr>
              <w:t>C</w:t>
            </w:r>
          </w:p>
        </w:tc>
      </w:tr>
      <w:tr w:rsidR="00F8321E" w:rsidRPr="00D409A3" w14:paraId="03221672" w14:textId="77777777" w:rsidTr="00F8321E">
        <w:tc>
          <w:tcPr>
            <w:tcW w:w="2508" w:type="dxa"/>
            <w:tcBorders>
              <w:top w:val="single" w:sz="4" w:space="0" w:color="000000"/>
              <w:left w:val="single" w:sz="4" w:space="0" w:color="000000"/>
              <w:bottom w:val="single" w:sz="4" w:space="0" w:color="000000"/>
              <w:right w:val="single" w:sz="4" w:space="0" w:color="000000"/>
            </w:tcBorders>
            <w:shd w:val="clear" w:color="auto" w:fill="FFFFFF"/>
            <w:tcMar>
              <w:top w:w="40" w:type="dxa"/>
              <w:left w:w="108" w:type="dxa"/>
              <w:bottom w:w="40" w:type="dxa"/>
              <w:right w:w="108" w:type="dxa"/>
            </w:tcMar>
            <w:vAlign w:val="center"/>
            <w:hideMark/>
          </w:tcPr>
          <w:p w14:paraId="4A5A7AC2" w14:textId="23BCF473" w:rsidR="00F8321E" w:rsidRPr="00F8321E" w:rsidRDefault="00F8321E" w:rsidP="003E569D">
            <w:pPr>
              <w:spacing w:line="240" w:lineRule="auto"/>
              <w:jc w:val="both"/>
              <w:rPr>
                <w:sz w:val="20"/>
                <w:szCs w:val="18"/>
              </w:rPr>
            </w:pPr>
            <w:r w:rsidRPr="00F8321E">
              <w:rPr>
                <w:sz w:val="20"/>
                <w:szCs w:val="18"/>
              </w:rPr>
              <w:t>Assess critical suppliers</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40" w:type="dxa"/>
              <w:left w:w="108" w:type="dxa"/>
              <w:bottom w:w="40" w:type="dxa"/>
              <w:right w:w="108" w:type="dxa"/>
            </w:tcMar>
            <w:vAlign w:val="center"/>
            <w:hideMark/>
          </w:tcPr>
          <w:p w14:paraId="0C243E05" w14:textId="074558DC" w:rsidR="00F8321E" w:rsidRPr="00F8321E" w:rsidRDefault="00F8321E" w:rsidP="003E569D">
            <w:pPr>
              <w:spacing w:line="240" w:lineRule="auto"/>
              <w:jc w:val="both"/>
              <w:rPr>
                <w:sz w:val="20"/>
                <w:szCs w:val="18"/>
              </w:rPr>
            </w:pPr>
            <w:r w:rsidRPr="00F8321E">
              <w:rPr>
                <w:sz w:val="20"/>
                <w:szCs w:val="18"/>
              </w:rPr>
              <w:t>I</w:t>
            </w:r>
          </w:p>
        </w:tc>
        <w:tc>
          <w:tcPr>
            <w:tcW w:w="1095" w:type="dxa"/>
            <w:tcBorders>
              <w:top w:val="single" w:sz="4" w:space="0" w:color="000000"/>
              <w:left w:val="single" w:sz="4" w:space="0" w:color="000000"/>
              <w:bottom w:val="single" w:sz="4" w:space="0" w:color="000000"/>
              <w:right w:val="single" w:sz="4" w:space="0" w:color="000000"/>
            </w:tcBorders>
            <w:shd w:val="clear" w:color="auto" w:fill="FFFFFF"/>
            <w:tcMar>
              <w:top w:w="40" w:type="dxa"/>
              <w:left w:w="108" w:type="dxa"/>
              <w:bottom w:w="40" w:type="dxa"/>
              <w:right w:w="108" w:type="dxa"/>
            </w:tcMar>
            <w:vAlign w:val="center"/>
            <w:hideMark/>
          </w:tcPr>
          <w:p w14:paraId="656BFB9D" w14:textId="5148B42F" w:rsidR="00F8321E" w:rsidRPr="00F8321E" w:rsidRDefault="00F8321E" w:rsidP="003E569D">
            <w:pPr>
              <w:spacing w:line="240" w:lineRule="auto"/>
              <w:jc w:val="both"/>
              <w:rPr>
                <w:sz w:val="20"/>
                <w:szCs w:val="18"/>
              </w:rPr>
            </w:pPr>
            <w:r w:rsidRPr="00F8321E">
              <w:rPr>
                <w:sz w:val="20"/>
                <w:szCs w:val="18"/>
              </w:rPr>
              <w:t>A</w:t>
            </w:r>
          </w:p>
        </w:tc>
        <w:tc>
          <w:tcPr>
            <w:tcW w:w="1091" w:type="dxa"/>
            <w:tcBorders>
              <w:top w:val="single" w:sz="4" w:space="0" w:color="000000"/>
              <w:left w:val="single" w:sz="4" w:space="0" w:color="000000"/>
              <w:bottom w:val="single" w:sz="4" w:space="0" w:color="000000"/>
              <w:right w:val="single" w:sz="4" w:space="0" w:color="000000"/>
            </w:tcBorders>
            <w:shd w:val="clear" w:color="auto" w:fill="FFFFFF"/>
            <w:tcMar>
              <w:top w:w="40" w:type="dxa"/>
              <w:left w:w="108" w:type="dxa"/>
              <w:bottom w:w="40" w:type="dxa"/>
              <w:right w:w="108" w:type="dxa"/>
            </w:tcMar>
            <w:vAlign w:val="center"/>
            <w:hideMark/>
          </w:tcPr>
          <w:p w14:paraId="7AA09FE8" w14:textId="306628BE" w:rsidR="00F8321E" w:rsidRPr="00F8321E" w:rsidRDefault="00F8321E" w:rsidP="003E569D">
            <w:pPr>
              <w:spacing w:line="240" w:lineRule="auto"/>
              <w:jc w:val="both"/>
              <w:rPr>
                <w:sz w:val="20"/>
                <w:szCs w:val="18"/>
              </w:rPr>
            </w:pPr>
            <w:r w:rsidRPr="00F8321E">
              <w:rPr>
                <w:sz w:val="20"/>
                <w:szCs w:val="18"/>
              </w:rPr>
              <w:t>C</w:t>
            </w:r>
          </w:p>
        </w:tc>
        <w:tc>
          <w:tcPr>
            <w:tcW w:w="1552" w:type="dxa"/>
            <w:tcBorders>
              <w:top w:val="single" w:sz="4" w:space="0" w:color="000000"/>
              <w:left w:val="single" w:sz="4" w:space="0" w:color="000000"/>
              <w:bottom w:val="single" w:sz="4" w:space="0" w:color="000000"/>
              <w:right w:val="single" w:sz="4" w:space="0" w:color="000000"/>
            </w:tcBorders>
            <w:shd w:val="clear" w:color="auto" w:fill="FFFFFF"/>
            <w:tcMar>
              <w:top w:w="40" w:type="dxa"/>
              <w:left w:w="108" w:type="dxa"/>
              <w:bottom w:w="40" w:type="dxa"/>
              <w:right w:w="108" w:type="dxa"/>
            </w:tcMar>
            <w:vAlign w:val="center"/>
            <w:hideMark/>
          </w:tcPr>
          <w:p w14:paraId="7F237A5E" w14:textId="5B880B15" w:rsidR="00F8321E" w:rsidRPr="00F8321E" w:rsidRDefault="00F8321E" w:rsidP="003E569D">
            <w:pPr>
              <w:spacing w:line="240" w:lineRule="auto"/>
              <w:jc w:val="both"/>
              <w:rPr>
                <w:sz w:val="20"/>
                <w:szCs w:val="18"/>
              </w:rPr>
            </w:pPr>
            <w:r w:rsidRPr="00F8321E">
              <w:rPr>
                <w:sz w:val="20"/>
                <w:szCs w:val="18"/>
              </w:rPr>
              <w:t>C</w:t>
            </w:r>
          </w:p>
        </w:tc>
        <w:tc>
          <w:tcPr>
            <w:tcW w:w="1670" w:type="dxa"/>
            <w:tcBorders>
              <w:top w:val="single" w:sz="4" w:space="0" w:color="000000"/>
              <w:left w:val="single" w:sz="4" w:space="0" w:color="000000"/>
              <w:bottom w:val="single" w:sz="4" w:space="0" w:color="000000"/>
              <w:right w:val="single" w:sz="4" w:space="0" w:color="000000"/>
            </w:tcBorders>
            <w:shd w:val="clear" w:color="auto" w:fill="FFFFFF"/>
            <w:tcMar>
              <w:top w:w="40" w:type="dxa"/>
              <w:left w:w="108" w:type="dxa"/>
              <w:bottom w:w="40" w:type="dxa"/>
              <w:right w:w="108" w:type="dxa"/>
            </w:tcMar>
            <w:vAlign w:val="center"/>
            <w:hideMark/>
          </w:tcPr>
          <w:p w14:paraId="0F1A685B" w14:textId="53928970" w:rsidR="00F8321E" w:rsidRPr="00F8321E" w:rsidRDefault="00F8321E" w:rsidP="003E569D">
            <w:pPr>
              <w:spacing w:line="240" w:lineRule="auto"/>
              <w:jc w:val="both"/>
              <w:rPr>
                <w:sz w:val="20"/>
                <w:szCs w:val="18"/>
              </w:rPr>
            </w:pPr>
            <w:r w:rsidRPr="00F8321E">
              <w:rPr>
                <w:sz w:val="20"/>
                <w:szCs w:val="18"/>
              </w:rPr>
              <w:t>R</w:t>
            </w:r>
          </w:p>
        </w:tc>
      </w:tr>
      <w:tr w:rsidR="00F8321E" w:rsidRPr="00D409A3" w14:paraId="243A986F" w14:textId="77777777" w:rsidTr="00F8321E">
        <w:tc>
          <w:tcPr>
            <w:tcW w:w="2508" w:type="dxa"/>
            <w:tcBorders>
              <w:top w:val="single" w:sz="4" w:space="0" w:color="000000"/>
              <w:left w:val="single" w:sz="4" w:space="0" w:color="000000"/>
              <w:bottom w:val="single" w:sz="4" w:space="0" w:color="000000"/>
              <w:right w:val="single" w:sz="4" w:space="0" w:color="000000"/>
            </w:tcBorders>
            <w:shd w:val="clear" w:color="auto" w:fill="EAF2F8"/>
            <w:tcMar>
              <w:top w:w="40" w:type="dxa"/>
              <w:left w:w="108" w:type="dxa"/>
              <w:bottom w:w="40" w:type="dxa"/>
              <w:right w:w="108" w:type="dxa"/>
            </w:tcMar>
            <w:vAlign w:val="center"/>
            <w:hideMark/>
          </w:tcPr>
          <w:p w14:paraId="4DC3CD68" w14:textId="5E20C35A" w:rsidR="00F8321E" w:rsidRPr="00F8321E" w:rsidRDefault="00F8321E" w:rsidP="003E569D">
            <w:pPr>
              <w:spacing w:line="240" w:lineRule="auto"/>
              <w:jc w:val="both"/>
              <w:rPr>
                <w:sz w:val="20"/>
                <w:szCs w:val="18"/>
              </w:rPr>
            </w:pPr>
            <w:r w:rsidRPr="00F8321E">
              <w:rPr>
                <w:sz w:val="20"/>
                <w:szCs w:val="18"/>
              </w:rPr>
              <w:t>Accept high residual risk</w:t>
            </w:r>
          </w:p>
        </w:tc>
        <w:tc>
          <w:tcPr>
            <w:tcW w:w="1100" w:type="dxa"/>
            <w:tcBorders>
              <w:top w:val="single" w:sz="4" w:space="0" w:color="000000"/>
              <w:left w:val="single" w:sz="4" w:space="0" w:color="000000"/>
              <w:bottom w:val="single" w:sz="4" w:space="0" w:color="000000"/>
              <w:right w:val="single" w:sz="4" w:space="0" w:color="000000"/>
            </w:tcBorders>
            <w:shd w:val="clear" w:color="auto" w:fill="EAF2F8"/>
            <w:tcMar>
              <w:top w:w="40" w:type="dxa"/>
              <w:left w:w="108" w:type="dxa"/>
              <w:bottom w:w="40" w:type="dxa"/>
              <w:right w:w="108" w:type="dxa"/>
            </w:tcMar>
            <w:vAlign w:val="center"/>
            <w:hideMark/>
          </w:tcPr>
          <w:p w14:paraId="6BABFF40" w14:textId="74EC86FC" w:rsidR="00F8321E" w:rsidRPr="00F8321E" w:rsidRDefault="00F8321E" w:rsidP="003E569D">
            <w:pPr>
              <w:spacing w:line="240" w:lineRule="auto"/>
              <w:jc w:val="both"/>
              <w:rPr>
                <w:sz w:val="20"/>
                <w:szCs w:val="18"/>
              </w:rPr>
            </w:pPr>
            <w:r w:rsidRPr="00F8321E">
              <w:rPr>
                <w:sz w:val="20"/>
                <w:szCs w:val="18"/>
              </w:rPr>
              <w:t>A/R</w:t>
            </w:r>
          </w:p>
        </w:tc>
        <w:tc>
          <w:tcPr>
            <w:tcW w:w="1095" w:type="dxa"/>
            <w:tcBorders>
              <w:top w:val="single" w:sz="4" w:space="0" w:color="000000"/>
              <w:left w:val="single" w:sz="4" w:space="0" w:color="000000"/>
              <w:bottom w:val="single" w:sz="4" w:space="0" w:color="000000"/>
              <w:right w:val="single" w:sz="4" w:space="0" w:color="000000"/>
            </w:tcBorders>
            <w:shd w:val="clear" w:color="auto" w:fill="EAF2F8"/>
            <w:tcMar>
              <w:top w:w="40" w:type="dxa"/>
              <w:left w:w="108" w:type="dxa"/>
              <w:bottom w:w="40" w:type="dxa"/>
              <w:right w:w="108" w:type="dxa"/>
            </w:tcMar>
            <w:vAlign w:val="center"/>
            <w:hideMark/>
          </w:tcPr>
          <w:p w14:paraId="406C1D61" w14:textId="6B946B7A" w:rsidR="00F8321E" w:rsidRPr="00F8321E" w:rsidRDefault="00F8321E" w:rsidP="003E569D">
            <w:pPr>
              <w:spacing w:line="240" w:lineRule="auto"/>
              <w:jc w:val="both"/>
              <w:rPr>
                <w:sz w:val="20"/>
                <w:szCs w:val="18"/>
              </w:rPr>
            </w:pPr>
            <w:r w:rsidRPr="00F8321E">
              <w:rPr>
                <w:sz w:val="20"/>
                <w:szCs w:val="18"/>
              </w:rPr>
              <w:t>C</w:t>
            </w:r>
          </w:p>
        </w:tc>
        <w:tc>
          <w:tcPr>
            <w:tcW w:w="1091" w:type="dxa"/>
            <w:tcBorders>
              <w:top w:val="single" w:sz="4" w:space="0" w:color="000000"/>
              <w:left w:val="single" w:sz="4" w:space="0" w:color="000000"/>
              <w:bottom w:val="single" w:sz="4" w:space="0" w:color="000000"/>
              <w:right w:val="single" w:sz="4" w:space="0" w:color="000000"/>
            </w:tcBorders>
            <w:shd w:val="clear" w:color="auto" w:fill="EAF2F8"/>
            <w:tcMar>
              <w:top w:w="40" w:type="dxa"/>
              <w:left w:w="108" w:type="dxa"/>
              <w:bottom w:w="40" w:type="dxa"/>
              <w:right w:w="108" w:type="dxa"/>
            </w:tcMar>
            <w:vAlign w:val="center"/>
            <w:hideMark/>
          </w:tcPr>
          <w:p w14:paraId="0EAFF812" w14:textId="7989F34A" w:rsidR="00F8321E" w:rsidRPr="00F8321E" w:rsidRDefault="00F8321E" w:rsidP="003E569D">
            <w:pPr>
              <w:spacing w:line="240" w:lineRule="auto"/>
              <w:jc w:val="both"/>
              <w:rPr>
                <w:sz w:val="20"/>
                <w:szCs w:val="18"/>
              </w:rPr>
            </w:pPr>
            <w:r w:rsidRPr="00F8321E">
              <w:rPr>
                <w:sz w:val="20"/>
                <w:szCs w:val="18"/>
              </w:rPr>
              <w:t>C</w:t>
            </w:r>
          </w:p>
        </w:tc>
        <w:tc>
          <w:tcPr>
            <w:tcW w:w="1552" w:type="dxa"/>
            <w:tcBorders>
              <w:top w:val="single" w:sz="4" w:space="0" w:color="000000"/>
              <w:left w:val="single" w:sz="4" w:space="0" w:color="000000"/>
              <w:bottom w:val="single" w:sz="4" w:space="0" w:color="000000"/>
              <w:right w:val="single" w:sz="4" w:space="0" w:color="000000"/>
            </w:tcBorders>
            <w:shd w:val="clear" w:color="auto" w:fill="EAF2F8"/>
            <w:tcMar>
              <w:top w:w="40" w:type="dxa"/>
              <w:left w:w="108" w:type="dxa"/>
              <w:bottom w:w="40" w:type="dxa"/>
              <w:right w:w="108" w:type="dxa"/>
            </w:tcMar>
            <w:vAlign w:val="center"/>
            <w:hideMark/>
          </w:tcPr>
          <w:p w14:paraId="0FCC7840" w14:textId="16A3FE54" w:rsidR="00F8321E" w:rsidRPr="00F8321E" w:rsidRDefault="00F8321E" w:rsidP="003E569D">
            <w:pPr>
              <w:spacing w:line="240" w:lineRule="auto"/>
              <w:jc w:val="both"/>
              <w:rPr>
                <w:sz w:val="20"/>
                <w:szCs w:val="18"/>
              </w:rPr>
            </w:pPr>
            <w:r w:rsidRPr="00F8321E">
              <w:rPr>
                <w:sz w:val="20"/>
                <w:szCs w:val="18"/>
              </w:rPr>
              <w:t>C</w:t>
            </w:r>
          </w:p>
        </w:tc>
        <w:tc>
          <w:tcPr>
            <w:tcW w:w="1670" w:type="dxa"/>
            <w:tcBorders>
              <w:top w:val="single" w:sz="4" w:space="0" w:color="000000"/>
              <w:left w:val="single" w:sz="4" w:space="0" w:color="000000"/>
              <w:bottom w:val="single" w:sz="4" w:space="0" w:color="000000"/>
              <w:right w:val="single" w:sz="4" w:space="0" w:color="000000"/>
            </w:tcBorders>
            <w:shd w:val="clear" w:color="auto" w:fill="EAF2F8"/>
            <w:tcMar>
              <w:top w:w="40" w:type="dxa"/>
              <w:left w:w="108" w:type="dxa"/>
              <w:bottom w:w="40" w:type="dxa"/>
              <w:right w:w="108" w:type="dxa"/>
            </w:tcMar>
            <w:vAlign w:val="center"/>
            <w:hideMark/>
          </w:tcPr>
          <w:p w14:paraId="322DDB16" w14:textId="11A5DC3F" w:rsidR="00F8321E" w:rsidRPr="00F8321E" w:rsidRDefault="00F8321E" w:rsidP="003E569D">
            <w:pPr>
              <w:spacing w:line="240" w:lineRule="auto"/>
              <w:jc w:val="both"/>
              <w:rPr>
                <w:sz w:val="20"/>
                <w:szCs w:val="18"/>
              </w:rPr>
            </w:pPr>
            <w:r w:rsidRPr="00F8321E">
              <w:rPr>
                <w:sz w:val="20"/>
                <w:szCs w:val="18"/>
              </w:rPr>
              <w:t>C</w:t>
            </w:r>
          </w:p>
        </w:tc>
      </w:tr>
      <w:tr w:rsidR="00F8321E" w:rsidRPr="00D409A3" w14:paraId="6867C899" w14:textId="77777777" w:rsidTr="00F8321E">
        <w:tc>
          <w:tcPr>
            <w:tcW w:w="2508" w:type="dxa"/>
            <w:tcBorders>
              <w:top w:val="single" w:sz="4" w:space="0" w:color="000000"/>
              <w:left w:val="single" w:sz="4" w:space="0" w:color="000000"/>
              <w:bottom w:val="single" w:sz="4" w:space="0" w:color="000000"/>
              <w:right w:val="single" w:sz="4" w:space="0" w:color="000000"/>
            </w:tcBorders>
            <w:shd w:val="clear" w:color="auto" w:fill="FFFFFF"/>
            <w:tcMar>
              <w:top w:w="40" w:type="dxa"/>
              <w:left w:w="108" w:type="dxa"/>
              <w:bottom w:w="40" w:type="dxa"/>
              <w:right w:w="108" w:type="dxa"/>
            </w:tcMar>
            <w:vAlign w:val="center"/>
            <w:hideMark/>
          </w:tcPr>
          <w:p w14:paraId="76F6B210" w14:textId="30D8524A" w:rsidR="00F8321E" w:rsidRPr="00F8321E" w:rsidRDefault="00F8321E" w:rsidP="003E569D">
            <w:pPr>
              <w:spacing w:line="240" w:lineRule="auto"/>
              <w:jc w:val="both"/>
              <w:rPr>
                <w:sz w:val="20"/>
                <w:szCs w:val="18"/>
              </w:rPr>
            </w:pPr>
            <w:r w:rsidRPr="00F8321E">
              <w:rPr>
                <w:sz w:val="20"/>
                <w:szCs w:val="18"/>
              </w:rPr>
              <w:t>Audit controls independently</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40" w:type="dxa"/>
              <w:left w:w="108" w:type="dxa"/>
              <w:bottom w:w="40" w:type="dxa"/>
              <w:right w:w="108" w:type="dxa"/>
            </w:tcMar>
            <w:vAlign w:val="center"/>
            <w:hideMark/>
          </w:tcPr>
          <w:p w14:paraId="711A048C" w14:textId="3D6FB649" w:rsidR="00F8321E" w:rsidRPr="00F8321E" w:rsidRDefault="00F8321E" w:rsidP="003E569D">
            <w:pPr>
              <w:spacing w:line="240" w:lineRule="auto"/>
              <w:jc w:val="both"/>
              <w:rPr>
                <w:sz w:val="20"/>
                <w:szCs w:val="18"/>
              </w:rPr>
            </w:pPr>
            <w:r w:rsidRPr="00F8321E">
              <w:rPr>
                <w:sz w:val="20"/>
                <w:szCs w:val="18"/>
              </w:rPr>
              <w:t>I</w:t>
            </w:r>
          </w:p>
        </w:tc>
        <w:tc>
          <w:tcPr>
            <w:tcW w:w="1095" w:type="dxa"/>
            <w:tcBorders>
              <w:top w:val="single" w:sz="4" w:space="0" w:color="000000"/>
              <w:left w:val="single" w:sz="4" w:space="0" w:color="000000"/>
              <w:bottom w:val="single" w:sz="4" w:space="0" w:color="000000"/>
              <w:right w:val="single" w:sz="4" w:space="0" w:color="000000"/>
            </w:tcBorders>
            <w:shd w:val="clear" w:color="auto" w:fill="FFFFFF"/>
            <w:tcMar>
              <w:top w:w="40" w:type="dxa"/>
              <w:left w:w="108" w:type="dxa"/>
              <w:bottom w:w="40" w:type="dxa"/>
              <w:right w:w="108" w:type="dxa"/>
            </w:tcMar>
            <w:vAlign w:val="center"/>
            <w:hideMark/>
          </w:tcPr>
          <w:p w14:paraId="0E2D6F11" w14:textId="7800436C" w:rsidR="00F8321E" w:rsidRPr="00F8321E" w:rsidRDefault="00F8321E" w:rsidP="003E569D">
            <w:pPr>
              <w:spacing w:line="240" w:lineRule="auto"/>
              <w:jc w:val="both"/>
              <w:rPr>
                <w:sz w:val="20"/>
                <w:szCs w:val="18"/>
              </w:rPr>
            </w:pPr>
            <w:r w:rsidRPr="00F8321E">
              <w:rPr>
                <w:sz w:val="20"/>
                <w:szCs w:val="18"/>
              </w:rPr>
              <w:t>C</w:t>
            </w:r>
          </w:p>
        </w:tc>
        <w:tc>
          <w:tcPr>
            <w:tcW w:w="1091" w:type="dxa"/>
            <w:tcBorders>
              <w:top w:val="single" w:sz="4" w:space="0" w:color="000000"/>
              <w:left w:val="single" w:sz="4" w:space="0" w:color="000000"/>
              <w:bottom w:val="single" w:sz="4" w:space="0" w:color="000000"/>
              <w:right w:val="single" w:sz="4" w:space="0" w:color="000000"/>
            </w:tcBorders>
            <w:shd w:val="clear" w:color="auto" w:fill="FFFFFF"/>
            <w:tcMar>
              <w:top w:w="40" w:type="dxa"/>
              <w:left w:w="108" w:type="dxa"/>
              <w:bottom w:w="40" w:type="dxa"/>
              <w:right w:w="108" w:type="dxa"/>
            </w:tcMar>
            <w:vAlign w:val="center"/>
            <w:hideMark/>
          </w:tcPr>
          <w:p w14:paraId="000A8A90" w14:textId="2F7769B6" w:rsidR="00F8321E" w:rsidRPr="00F8321E" w:rsidRDefault="00F8321E" w:rsidP="003E569D">
            <w:pPr>
              <w:spacing w:line="240" w:lineRule="auto"/>
              <w:jc w:val="both"/>
              <w:rPr>
                <w:sz w:val="20"/>
                <w:szCs w:val="18"/>
              </w:rPr>
            </w:pPr>
            <w:r w:rsidRPr="00F8321E">
              <w:rPr>
                <w:sz w:val="20"/>
                <w:szCs w:val="18"/>
              </w:rPr>
              <w:t>C</w:t>
            </w:r>
          </w:p>
        </w:tc>
        <w:tc>
          <w:tcPr>
            <w:tcW w:w="1552" w:type="dxa"/>
            <w:tcBorders>
              <w:top w:val="single" w:sz="4" w:space="0" w:color="000000"/>
              <w:left w:val="single" w:sz="4" w:space="0" w:color="000000"/>
              <w:bottom w:val="single" w:sz="4" w:space="0" w:color="000000"/>
              <w:right w:val="single" w:sz="4" w:space="0" w:color="000000"/>
            </w:tcBorders>
            <w:shd w:val="clear" w:color="auto" w:fill="FFFFFF"/>
            <w:tcMar>
              <w:top w:w="40" w:type="dxa"/>
              <w:left w:w="108" w:type="dxa"/>
              <w:bottom w:w="40" w:type="dxa"/>
              <w:right w:w="108" w:type="dxa"/>
            </w:tcMar>
            <w:vAlign w:val="center"/>
            <w:hideMark/>
          </w:tcPr>
          <w:p w14:paraId="2F72704F" w14:textId="2DE24800" w:rsidR="00F8321E" w:rsidRPr="00F8321E" w:rsidRDefault="00F8321E" w:rsidP="003E569D">
            <w:pPr>
              <w:spacing w:line="240" w:lineRule="auto"/>
              <w:jc w:val="both"/>
              <w:rPr>
                <w:sz w:val="20"/>
                <w:szCs w:val="18"/>
              </w:rPr>
            </w:pPr>
            <w:r w:rsidRPr="00F8321E">
              <w:rPr>
                <w:sz w:val="20"/>
                <w:szCs w:val="18"/>
              </w:rPr>
              <w:t>C</w:t>
            </w:r>
          </w:p>
        </w:tc>
        <w:tc>
          <w:tcPr>
            <w:tcW w:w="1670" w:type="dxa"/>
            <w:tcBorders>
              <w:top w:val="single" w:sz="4" w:space="0" w:color="000000"/>
              <w:left w:val="single" w:sz="4" w:space="0" w:color="000000"/>
              <w:bottom w:val="single" w:sz="4" w:space="0" w:color="000000"/>
              <w:right w:val="single" w:sz="4" w:space="0" w:color="000000"/>
            </w:tcBorders>
            <w:shd w:val="clear" w:color="auto" w:fill="FFFFFF"/>
            <w:tcMar>
              <w:top w:w="40" w:type="dxa"/>
              <w:left w:w="108" w:type="dxa"/>
              <w:bottom w:w="40" w:type="dxa"/>
              <w:right w:w="108" w:type="dxa"/>
            </w:tcMar>
            <w:vAlign w:val="center"/>
            <w:hideMark/>
          </w:tcPr>
          <w:p w14:paraId="544B50CE" w14:textId="24BB0876" w:rsidR="00F8321E" w:rsidRPr="00F8321E" w:rsidRDefault="00F8321E" w:rsidP="003E569D">
            <w:pPr>
              <w:spacing w:line="240" w:lineRule="auto"/>
              <w:jc w:val="both"/>
              <w:rPr>
                <w:sz w:val="20"/>
                <w:szCs w:val="18"/>
              </w:rPr>
            </w:pPr>
            <w:r w:rsidRPr="00F8321E">
              <w:rPr>
                <w:sz w:val="20"/>
                <w:szCs w:val="18"/>
              </w:rPr>
              <w:t>C</w:t>
            </w:r>
          </w:p>
        </w:tc>
      </w:tr>
    </w:tbl>
    <w:p w14:paraId="3FEE5141" w14:textId="77777777" w:rsidR="00D409A3" w:rsidRDefault="00D409A3" w:rsidP="003E569D">
      <w:pPr>
        <w:jc w:val="both"/>
      </w:pPr>
    </w:p>
    <w:p w14:paraId="6EB95ACD" w14:textId="2F434151" w:rsidR="00D409A3" w:rsidRDefault="00D409A3" w:rsidP="003E569D">
      <w:pPr>
        <w:pStyle w:val="Heading2"/>
        <w:jc w:val="both"/>
      </w:pPr>
      <w:bookmarkStart w:id="40" w:name="_Toc234919626"/>
      <w:bookmarkStart w:id="41" w:name="_Toc237102343"/>
      <w:bookmarkStart w:id="42" w:name="_Toc237102972"/>
      <w:r>
        <w:t>4.2 Compliance, Law and Ethics</w:t>
      </w:r>
      <w:bookmarkEnd w:id="40"/>
      <w:bookmarkEnd w:id="41"/>
      <w:bookmarkEnd w:id="42"/>
    </w:p>
    <w:p w14:paraId="0F7A63A9" w14:textId="76345C4C" w:rsidR="00D409A3" w:rsidRDefault="00821CF1" w:rsidP="003E569D">
      <w:pPr>
        <w:jc w:val="both"/>
      </w:pPr>
      <w:r w:rsidRPr="00821CF1">
        <w:t>AeroLink will have a register on its regulatory obligations for GDPR, national privacy laws applicable and contractual obligations and commitments. For each obligation, there should be a corresponding control, evidence source, accountable owner and review date. All lawful basis, purpose limitation, minimisation and retention log must be documented within the personal-data processing, transfers to other countries must provide adequate safeguards and destination-risk assessment. Any changes with the cloud processors/subprocessors need to be formally reviewed and not only by the provider notification. Ethical governance also should tackle intrusive tracking, assuring proportionate data collection (not any data collection), assured features, human oversight, explainability, and proper steps of testing bias and planning for provider resilience</w:t>
      </w:r>
      <w:r w:rsidR="003E569D">
        <w:t xml:space="preserve"> [10]</w:t>
      </w:r>
      <w:r w:rsidR="00D409A3">
        <w:t>.</w:t>
      </w:r>
    </w:p>
    <w:p w14:paraId="601A5CB6" w14:textId="77777777" w:rsidR="00D409A3" w:rsidRDefault="00D409A3" w:rsidP="003E569D">
      <w:pPr>
        <w:pStyle w:val="Heading2"/>
        <w:jc w:val="both"/>
      </w:pPr>
      <w:bookmarkStart w:id="43" w:name="_Toc234919627"/>
      <w:bookmarkStart w:id="44" w:name="_Toc237102344"/>
      <w:bookmarkStart w:id="45" w:name="_Toc237102973"/>
      <w:r w:rsidRPr="00D409A3">
        <w:lastRenderedPageBreak/>
        <w:t>4.3 Security Policies and Data Governance</w:t>
      </w:r>
      <w:bookmarkEnd w:id="43"/>
      <w:bookmarkEnd w:id="44"/>
      <w:bookmarkEnd w:id="45"/>
    </w:p>
    <w:p w14:paraId="705E3C62" w14:textId="091A0DAB" w:rsidR="00D409A3" w:rsidRDefault="00790F06" w:rsidP="003E569D">
      <w:pPr>
        <w:jc w:val="both"/>
      </w:pPr>
      <w:r w:rsidRPr="00790F06">
        <w:t>AeroLink shall create a hierarchy of policy consisting of an Executive Information Security Policy, standards, operating procedures and auditable evidence records that support the policy. Key documents that need to be prepared should include data classification, access control, remote working, bring your own device to the job, cloud security and IoT security, encryption, secure development, AI governance, incident response and retention, supplier assurance. All policies should have an accountable owner, review cycle and formal exception process. Systems should be mapped to owners, jurisdictions, classifications and retention periods as well as authorised uses within a central data inventory. Data custodians are responsible for sealing data through technology while data stewards are tasked to oversee the quality and lineage of the data, and make sure that it is accurate, proportionate and purpose-limited</w:t>
      </w:r>
      <w:r w:rsidR="003E569D">
        <w:t xml:space="preserve"> [4]</w:t>
      </w:r>
      <w:r w:rsidR="00D409A3">
        <w:t>.</w:t>
      </w:r>
    </w:p>
    <w:p w14:paraId="1F2D0ECB" w14:textId="66C7CCF2" w:rsidR="00D409A3" w:rsidRDefault="00D409A3" w:rsidP="003E569D">
      <w:pPr>
        <w:pStyle w:val="Heading2"/>
        <w:jc w:val="both"/>
      </w:pPr>
      <w:bookmarkStart w:id="46" w:name="_Toc234919628"/>
      <w:bookmarkStart w:id="47" w:name="_Toc237102345"/>
      <w:bookmarkStart w:id="48" w:name="_Toc237102974"/>
      <w:r w:rsidRPr="00D409A3">
        <w:t>4.4 Centralised Risk Management and Assessment</w:t>
      </w:r>
      <w:bookmarkEnd w:id="46"/>
      <w:bookmarkEnd w:id="47"/>
      <w:bookmarkEnd w:id="48"/>
    </w:p>
    <w:p w14:paraId="18CE761D" w14:textId="58A83450" w:rsidR="00D409A3" w:rsidRDefault="00045237" w:rsidP="003E569D">
      <w:pPr>
        <w:jc w:val="both"/>
      </w:pPr>
      <w:r w:rsidRPr="00045237">
        <w:t>AeroLink should implement an enterprise risk approach to confidentiality, integrity, availability, safety, legal liability and disruption. Assessment should take place at business-service level becoming visible to the cloud regions, dependences regarding identities/APIs/sensors/vendors. Inherent risk should be scored before controls and residual risk should be based upon control effectiveness (configuration evidence, test results and incident evidence). The difference between enterprise risks and control weaknesses needs to be highlighted in the central register. For instance, risks such as loss of shipment visibility should not be confused with control weaknesses, such as missing supplier MFA. Explicit treatment owners, deadlines and executive acceptance are required for high residual risks</w:t>
      </w:r>
      <w:r w:rsidR="003E569D">
        <w:t xml:space="preserve"> [7]</w:t>
      </w:r>
      <w:r w:rsidRPr="00045237">
        <w:t>.</w:t>
      </w:r>
      <w:r>
        <w:t xml:space="preserve"> </w:t>
      </w:r>
      <w:r w:rsidR="00D409A3">
        <w:t>Representative enterprise risks are prioritised in table 3.</w:t>
      </w:r>
    </w:p>
    <w:p w14:paraId="53AE96E7" w14:textId="1597935A" w:rsidR="00D409A3" w:rsidRPr="00D409A3" w:rsidRDefault="00641C4E" w:rsidP="006E489E">
      <w:pPr>
        <w:pStyle w:val="Heading1"/>
      </w:pPr>
      <w:bookmarkStart w:id="49" w:name="_Toc234854012"/>
      <w:bookmarkStart w:id="50" w:name="_Toc237102975"/>
      <w:r>
        <w:t xml:space="preserve">Table </w:t>
      </w:r>
      <w:fldSimple w:instr=" SEQ Table \* ARABIC ">
        <w:r w:rsidR="000E3DD2">
          <w:rPr>
            <w:noProof/>
          </w:rPr>
          <w:t>3</w:t>
        </w:r>
      </w:fldSimple>
      <w:r>
        <w:t xml:space="preserve"> </w:t>
      </w:r>
      <w:r w:rsidRPr="00664C93">
        <w:t>Prioritised AeroLink Risk Register</w:t>
      </w:r>
      <w:bookmarkEnd w:id="49"/>
      <w:bookmarkEnd w:id="50"/>
    </w:p>
    <w:tbl>
      <w:tblPr>
        <w:tblW w:w="0" w:type="dxa"/>
        <w:tblBorders>
          <w:top w:val="single" w:sz="2" w:space="0" w:color="auto"/>
          <w:left w:val="single" w:sz="2" w:space="0" w:color="auto"/>
          <w:bottom w:val="single" w:sz="2" w:space="0" w:color="auto"/>
          <w:right w:val="single" w:sz="2" w:space="0" w:color="auto"/>
        </w:tblBorders>
        <w:shd w:val="clear" w:color="auto" w:fill="FFFFFF"/>
        <w:tblLook w:val="04A0" w:firstRow="1" w:lastRow="0" w:firstColumn="1" w:lastColumn="0" w:noHBand="0" w:noVBand="1"/>
      </w:tblPr>
      <w:tblGrid>
        <w:gridCol w:w="2388"/>
        <w:gridCol w:w="390"/>
        <w:gridCol w:w="390"/>
        <w:gridCol w:w="1219"/>
        <w:gridCol w:w="2968"/>
        <w:gridCol w:w="1661"/>
      </w:tblGrid>
      <w:tr w:rsidR="00D409A3" w:rsidRPr="00D409A3" w14:paraId="3A044503" w14:textId="77777777">
        <w:tc>
          <w:tcPr>
            <w:tcW w:w="2494" w:type="dxa"/>
            <w:tcBorders>
              <w:top w:val="single" w:sz="4" w:space="0" w:color="000000"/>
              <w:left w:val="single" w:sz="4" w:space="0" w:color="000000"/>
              <w:bottom w:val="single" w:sz="4" w:space="0" w:color="000000"/>
              <w:right w:val="single" w:sz="4" w:space="0" w:color="000000"/>
            </w:tcBorders>
            <w:shd w:val="clear" w:color="auto" w:fill="1F4E79"/>
            <w:tcMar>
              <w:top w:w="35" w:type="dxa"/>
              <w:left w:w="108" w:type="dxa"/>
              <w:bottom w:w="35" w:type="dxa"/>
              <w:right w:w="108" w:type="dxa"/>
            </w:tcMar>
            <w:vAlign w:val="center"/>
            <w:hideMark/>
          </w:tcPr>
          <w:p w14:paraId="6BDFED10" w14:textId="77777777" w:rsidR="00D409A3" w:rsidRPr="00D409A3" w:rsidRDefault="00D409A3" w:rsidP="003E569D">
            <w:pPr>
              <w:spacing w:line="240" w:lineRule="auto"/>
              <w:jc w:val="both"/>
              <w:rPr>
                <w:sz w:val="20"/>
                <w:szCs w:val="18"/>
              </w:rPr>
            </w:pPr>
            <w:r w:rsidRPr="00D409A3">
              <w:rPr>
                <w:b/>
                <w:bCs/>
                <w:sz w:val="20"/>
                <w:szCs w:val="18"/>
              </w:rPr>
              <w:t>Risk scenario</w:t>
            </w:r>
          </w:p>
        </w:tc>
        <w:tc>
          <w:tcPr>
            <w:tcW w:w="397" w:type="dxa"/>
            <w:tcBorders>
              <w:top w:val="single" w:sz="4" w:space="0" w:color="000000"/>
              <w:left w:val="single" w:sz="4" w:space="0" w:color="000000"/>
              <w:bottom w:val="single" w:sz="4" w:space="0" w:color="000000"/>
              <w:right w:val="single" w:sz="4" w:space="0" w:color="000000"/>
            </w:tcBorders>
            <w:shd w:val="clear" w:color="auto" w:fill="1F4E79"/>
            <w:tcMar>
              <w:top w:w="35" w:type="dxa"/>
              <w:left w:w="108" w:type="dxa"/>
              <w:bottom w:w="35" w:type="dxa"/>
              <w:right w:w="108" w:type="dxa"/>
            </w:tcMar>
            <w:vAlign w:val="center"/>
            <w:hideMark/>
          </w:tcPr>
          <w:p w14:paraId="08967427" w14:textId="77777777" w:rsidR="00D409A3" w:rsidRPr="00D409A3" w:rsidRDefault="00D409A3" w:rsidP="003E569D">
            <w:pPr>
              <w:spacing w:line="240" w:lineRule="auto"/>
              <w:jc w:val="both"/>
              <w:rPr>
                <w:sz w:val="20"/>
                <w:szCs w:val="18"/>
              </w:rPr>
            </w:pPr>
            <w:r w:rsidRPr="00D409A3">
              <w:rPr>
                <w:b/>
                <w:bCs/>
                <w:sz w:val="20"/>
                <w:szCs w:val="18"/>
              </w:rPr>
              <w:t>L</w:t>
            </w:r>
          </w:p>
        </w:tc>
        <w:tc>
          <w:tcPr>
            <w:tcW w:w="397" w:type="dxa"/>
            <w:tcBorders>
              <w:top w:val="single" w:sz="4" w:space="0" w:color="000000"/>
              <w:left w:val="single" w:sz="4" w:space="0" w:color="000000"/>
              <w:bottom w:val="single" w:sz="4" w:space="0" w:color="000000"/>
              <w:right w:val="single" w:sz="4" w:space="0" w:color="000000"/>
            </w:tcBorders>
            <w:shd w:val="clear" w:color="auto" w:fill="1F4E79"/>
            <w:tcMar>
              <w:top w:w="35" w:type="dxa"/>
              <w:left w:w="108" w:type="dxa"/>
              <w:bottom w:w="35" w:type="dxa"/>
              <w:right w:w="108" w:type="dxa"/>
            </w:tcMar>
            <w:vAlign w:val="center"/>
            <w:hideMark/>
          </w:tcPr>
          <w:p w14:paraId="0EF2C108" w14:textId="77777777" w:rsidR="00D409A3" w:rsidRPr="00D409A3" w:rsidRDefault="00D409A3" w:rsidP="003E569D">
            <w:pPr>
              <w:spacing w:line="240" w:lineRule="auto"/>
              <w:jc w:val="both"/>
              <w:rPr>
                <w:sz w:val="20"/>
                <w:szCs w:val="18"/>
              </w:rPr>
            </w:pPr>
            <w:r w:rsidRPr="00D409A3">
              <w:rPr>
                <w:b/>
                <w:bCs/>
                <w:sz w:val="20"/>
                <w:szCs w:val="18"/>
              </w:rPr>
              <w:t>I</w:t>
            </w:r>
          </w:p>
        </w:tc>
        <w:tc>
          <w:tcPr>
            <w:tcW w:w="1247" w:type="dxa"/>
            <w:tcBorders>
              <w:top w:val="single" w:sz="4" w:space="0" w:color="000000"/>
              <w:left w:val="single" w:sz="4" w:space="0" w:color="000000"/>
              <w:bottom w:val="single" w:sz="4" w:space="0" w:color="000000"/>
              <w:right w:val="single" w:sz="4" w:space="0" w:color="000000"/>
            </w:tcBorders>
            <w:shd w:val="clear" w:color="auto" w:fill="1F4E79"/>
            <w:tcMar>
              <w:top w:w="35" w:type="dxa"/>
              <w:left w:w="108" w:type="dxa"/>
              <w:bottom w:w="35" w:type="dxa"/>
              <w:right w:w="108" w:type="dxa"/>
            </w:tcMar>
            <w:vAlign w:val="center"/>
            <w:hideMark/>
          </w:tcPr>
          <w:p w14:paraId="11E4009D" w14:textId="77777777" w:rsidR="00D409A3" w:rsidRPr="00D409A3" w:rsidRDefault="00D409A3" w:rsidP="003E569D">
            <w:pPr>
              <w:spacing w:line="240" w:lineRule="auto"/>
              <w:jc w:val="both"/>
              <w:rPr>
                <w:sz w:val="20"/>
                <w:szCs w:val="18"/>
              </w:rPr>
            </w:pPr>
            <w:r w:rsidRPr="00D409A3">
              <w:rPr>
                <w:b/>
                <w:bCs/>
                <w:sz w:val="20"/>
                <w:szCs w:val="18"/>
              </w:rPr>
              <w:t>Inherent rating</w:t>
            </w:r>
          </w:p>
        </w:tc>
        <w:tc>
          <w:tcPr>
            <w:tcW w:w="3118" w:type="dxa"/>
            <w:tcBorders>
              <w:top w:val="single" w:sz="4" w:space="0" w:color="000000"/>
              <w:left w:val="single" w:sz="4" w:space="0" w:color="000000"/>
              <w:bottom w:val="single" w:sz="4" w:space="0" w:color="000000"/>
              <w:right w:val="single" w:sz="4" w:space="0" w:color="000000"/>
            </w:tcBorders>
            <w:shd w:val="clear" w:color="auto" w:fill="1F4E79"/>
            <w:tcMar>
              <w:top w:w="35" w:type="dxa"/>
              <w:left w:w="108" w:type="dxa"/>
              <w:bottom w:w="35" w:type="dxa"/>
              <w:right w:w="108" w:type="dxa"/>
            </w:tcMar>
            <w:vAlign w:val="center"/>
            <w:hideMark/>
          </w:tcPr>
          <w:p w14:paraId="72F83D0E" w14:textId="77777777" w:rsidR="00D409A3" w:rsidRPr="00D409A3" w:rsidRDefault="00D409A3" w:rsidP="003E569D">
            <w:pPr>
              <w:spacing w:line="240" w:lineRule="auto"/>
              <w:jc w:val="both"/>
              <w:rPr>
                <w:sz w:val="20"/>
                <w:szCs w:val="18"/>
              </w:rPr>
            </w:pPr>
            <w:r w:rsidRPr="00D409A3">
              <w:rPr>
                <w:b/>
                <w:bCs/>
                <w:sz w:val="20"/>
                <w:szCs w:val="18"/>
              </w:rPr>
              <w:t>Primary treatment</w:t>
            </w:r>
          </w:p>
        </w:tc>
        <w:tc>
          <w:tcPr>
            <w:tcW w:w="1701" w:type="dxa"/>
            <w:tcBorders>
              <w:top w:val="single" w:sz="4" w:space="0" w:color="000000"/>
              <w:left w:val="single" w:sz="4" w:space="0" w:color="000000"/>
              <w:bottom w:val="single" w:sz="4" w:space="0" w:color="000000"/>
              <w:right w:val="single" w:sz="4" w:space="0" w:color="000000"/>
            </w:tcBorders>
            <w:shd w:val="clear" w:color="auto" w:fill="1F4E79"/>
            <w:tcMar>
              <w:top w:w="35" w:type="dxa"/>
              <w:left w:w="108" w:type="dxa"/>
              <w:bottom w:w="35" w:type="dxa"/>
              <w:right w:w="108" w:type="dxa"/>
            </w:tcMar>
            <w:vAlign w:val="center"/>
            <w:hideMark/>
          </w:tcPr>
          <w:p w14:paraId="384B40DE" w14:textId="77777777" w:rsidR="00D409A3" w:rsidRPr="00D409A3" w:rsidRDefault="00D409A3" w:rsidP="003E569D">
            <w:pPr>
              <w:spacing w:line="240" w:lineRule="auto"/>
              <w:jc w:val="both"/>
              <w:rPr>
                <w:sz w:val="20"/>
                <w:szCs w:val="18"/>
              </w:rPr>
            </w:pPr>
            <w:r w:rsidRPr="00D409A3">
              <w:rPr>
                <w:b/>
                <w:bCs/>
                <w:sz w:val="20"/>
                <w:szCs w:val="18"/>
              </w:rPr>
              <w:t>Accountable owner</w:t>
            </w:r>
          </w:p>
        </w:tc>
      </w:tr>
      <w:tr w:rsidR="00D409A3" w:rsidRPr="00D409A3" w14:paraId="0822D6CF" w14:textId="77777777">
        <w:tc>
          <w:tcPr>
            <w:tcW w:w="2494" w:type="dxa"/>
            <w:tcBorders>
              <w:top w:val="single" w:sz="4" w:space="0" w:color="000000"/>
              <w:left w:val="single" w:sz="4" w:space="0" w:color="000000"/>
              <w:bottom w:val="single" w:sz="4" w:space="0" w:color="000000"/>
              <w:right w:val="single" w:sz="4" w:space="0" w:color="000000"/>
            </w:tcBorders>
            <w:shd w:val="clear" w:color="auto" w:fill="FFFFFF"/>
            <w:tcMar>
              <w:top w:w="35" w:type="dxa"/>
              <w:left w:w="108" w:type="dxa"/>
              <w:bottom w:w="35" w:type="dxa"/>
              <w:right w:w="108" w:type="dxa"/>
            </w:tcMar>
            <w:vAlign w:val="center"/>
            <w:hideMark/>
          </w:tcPr>
          <w:p w14:paraId="50D85F0D" w14:textId="77777777" w:rsidR="00D409A3" w:rsidRPr="00D409A3" w:rsidRDefault="00D409A3" w:rsidP="003E569D">
            <w:pPr>
              <w:spacing w:line="240" w:lineRule="auto"/>
              <w:jc w:val="both"/>
              <w:rPr>
                <w:sz w:val="20"/>
                <w:szCs w:val="18"/>
              </w:rPr>
            </w:pPr>
            <w:r w:rsidRPr="00D409A3">
              <w:rPr>
                <w:sz w:val="20"/>
                <w:szCs w:val="18"/>
              </w:rPr>
              <w:t>Supplier account compromises shipment platform</w:t>
            </w:r>
          </w:p>
        </w:tc>
        <w:tc>
          <w:tcPr>
            <w:tcW w:w="397" w:type="dxa"/>
            <w:tcBorders>
              <w:top w:val="single" w:sz="4" w:space="0" w:color="000000"/>
              <w:left w:val="single" w:sz="4" w:space="0" w:color="000000"/>
              <w:bottom w:val="single" w:sz="4" w:space="0" w:color="000000"/>
              <w:right w:val="single" w:sz="4" w:space="0" w:color="000000"/>
            </w:tcBorders>
            <w:shd w:val="clear" w:color="auto" w:fill="FFFFFF"/>
            <w:tcMar>
              <w:top w:w="35" w:type="dxa"/>
              <w:left w:w="108" w:type="dxa"/>
              <w:bottom w:w="35" w:type="dxa"/>
              <w:right w:w="108" w:type="dxa"/>
            </w:tcMar>
            <w:vAlign w:val="center"/>
            <w:hideMark/>
          </w:tcPr>
          <w:p w14:paraId="17C36332" w14:textId="77777777" w:rsidR="00D409A3" w:rsidRPr="00D409A3" w:rsidRDefault="00D409A3" w:rsidP="003E569D">
            <w:pPr>
              <w:spacing w:line="240" w:lineRule="auto"/>
              <w:jc w:val="both"/>
              <w:rPr>
                <w:sz w:val="20"/>
                <w:szCs w:val="18"/>
              </w:rPr>
            </w:pPr>
            <w:r w:rsidRPr="00D409A3">
              <w:rPr>
                <w:sz w:val="20"/>
                <w:szCs w:val="18"/>
              </w:rPr>
              <w:t>4</w:t>
            </w:r>
          </w:p>
        </w:tc>
        <w:tc>
          <w:tcPr>
            <w:tcW w:w="397" w:type="dxa"/>
            <w:tcBorders>
              <w:top w:val="single" w:sz="4" w:space="0" w:color="000000"/>
              <w:left w:val="single" w:sz="4" w:space="0" w:color="000000"/>
              <w:bottom w:val="single" w:sz="4" w:space="0" w:color="000000"/>
              <w:right w:val="single" w:sz="4" w:space="0" w:color="000000"/>
            </w:tcBorders>
            <w:shd w:val="clear" w:color="auto" w:fill="FFFFFF"/>
            <w:tcMar>
              <w:top w:w="35" w:type="dxa"/>
              <w:left w:w="108" w:type="dxa"/>
              <w:bottom w:w="35" w:type="dxa"/>
              <w:right w:w="108" w:type="dxa"/>
            </w:tcMar>
            <w:vAlign w:val="center"/>
            <w:hideMark/>
          </w:tcPr>
          <w:p w14:paraId="3DC1371A" w14:textId="77777777" w:rsidR="00D409A3" w:rsidRPr="00D409A3" w:rsidRDefault="00D409A3" w:rsidP="003E569D">
            <w:pPr>
              <w:spacing w:line="240" w:lineRule="auto"/>
              <w:jc w:val="both"/>
              <w:rPr>
                <w:sz w:val="20"/>
                <w:szCs w:val="18"/>
              </w:rPr>
            </w:pPr>
            <w:r w:rsidRPr="00D409A3">
              <w:rPr>
                <w:sz w:val="20"/>
                <w:szCs w:val="18"/>
              </w:rPr>
              <w:t>5</w:t>
            </w:r>
          </w:p>
        </w:tc>
        <w:tc>
          <w:tcPr>
            <w:tcW w:w="1247" w:type="dxa"/>
            <w:tcBorders>
              <w:top w:val="single" w:sz="4" w:space="0" w:color="000000"/>
              <w:left w:val="single" w:sz="4" w:space="0" w:color="000000"/>
              <w:bottom w:val="single" w:sz="4" w:space="0" w:color="000000"/>
              <w:right w:val="single" w:sz="4" w:space="0" w:color="000000"/>
            </w:tcBorders>
            <w:shd w:val="clear" w:color="auto" w:fill="FFFFFF"/>
            <w:tcMar>
              <w:top w:w="35" w:type="dxa"/>
              <w:left w:w="108" w:type="dxa"/>
              <w:bottom w:w="35" w:type="dxa"/>
              <w:right w:w="108" w:type="dxa"/>
            </w:tcMar>
            <w:vAlign w:val="center"/>
            <w:hideMark/>
          </w:tcPr>
          <w:p w14:paraId="386BB44A" w14:textId="77777777" w:rsidR="00D409A3" w:rsidRPr="00D409A3" w:rsidRDefault="00D409A3" w:rsidP="003E569D">
            <w:pPr>
              <w:spacing w:line="240" w:lineRule="auto"/>
              <w:jc w:val="both"/>
              <w:rPr>
                <w:sz w:val="20"/>
                <w:szCs w:val="18"/>
              </w:rPr>
            </w:pPr>
            <w:r w:rsidRPr="00D409A3">
              <w:rPr>
                <w:sz w:val="20"/>
                <w:szCs w:val="18"/>
              </w:rPr>
              <w:t>20 - Critical</w:t>
            </w:r>
          </w:p>
        </w:tc>
        <w:tc>
          <w:tcPr>
            <w:tcW w:w="3118" w:type="dxa"/>
            <w:tcBorders>
              <w:top w:val="single" w:sz="4" w:space="0" w:color="000000"/>
              <w:left w:val="single" w:sz="4" w:space="0" w:color="000000"/>
              <w:bottom w:val="single" w:sz="4" w:space="0" w:color="000000"/>
              <w:right w:val="single" w:sz="4" w:space="0" w:color="000000"/>
            </w:tcBorders>
            <w:shd w:val="clear" w:color="auto" w:fill="FFFFFF"/>
            <w:tcMar>
              <w:top w:w="35" w:type="dxa"/>
              <w:left w:w="108" w:type="dxa"/>
              <w:bottom w:w="35" w:type="dxa"/>
              <w:right w:w="108" w:type="dxa"/>
            </w:tcMar>
            <w:vAlign w:val="center"/>
            <w:hideMark/>
          </w:tcPr>
          <w:p w14:paraId="16F05E8A" w14:textId="77777777" w:rsidR="00D409A3" w:rsidRPr="00D409A3" w:rsidRDefault="00D409A3" w:rsidP="003E569D">
            <w:pPr>
              <w:spacing w:line="240" w:lineRule="auto"/>
              <w:jc w:val="both"/>
              <w:rPr>
                <w:sz w:val="20"/>
                <w:szCs w:val="18"/>
              </w:rPr>
            </w:pPr>
            <w:r w:rsidRPr="00D409A3">
              <w:rPr>
                <w:sz w:val="20"/>
                <w:szCs w:val="18"/>
              </w:rPr>
              <w:t>MFA, PAM, device/context checks</w:t>
            </w:r>
          </w:p>
        </w:tc>
        <w:tc>
          <w:tcPr>
            <w:tcW w:w="1701" w:type="dxa"/>
            <w:tcBorders>
              <w:top w:val="single" w:sz="4" w:space="0" w:color="000000"/>
              <w:left w:val="single" w:sz="4" w:space="0" w:color="000000"/>
              <w:bottom w:val="single" w:sz="4" w:space="0" w:color="000000"/>
              <w:right w:val="single" w:sz="4" w:space="0" w:color="000000"/>
            </w:tcBorders>
            <w:shd w:val="clear" w:color="auto" w:fill="FFFFFF"/>
            <w:tcMar>
              <w:top w:w="35" w:type="dxa"/>
              <w:left w:w="108" w:type="dxa"/>
              <w:bottom w:w="35" w:type="dxa"/>
              <w:right w:w="108" w:type="dxa"/>
            </w:tcMar>
            <w:vAlign w:val="center"/>
            <w:hideMark/>
          </w:tcPr>
          <w:p w14:paraId="1E679DF1" w14:textId="77777777" w:rsidR="00D409A3" w:rsidRPr="00D409A3" w:rsidRDefault="00D409A3" w:rsidP="003E569D">
            <w:pPr>
              <w:spacing w:line="240" w:lineRule="auto"/>
              <w:jc w:val="both"/>
              <w:rPr>
                <w:sz w:val="20"/>
                <w:szCs w:val="18"/>
              </w:rPr>
            </w:pPr>
            <w:r w:rsidRPr="00D409A3">
              <w:rPr>
                <w:sz w:val="20"/>
                <w:szCs w:val="18"/>
              </w:rPr>
              <w:t>CISO</w:t>
            </w:r>
          </w:p>
        </w:tc>
      </w:tr>
      <w:tr w:rsidR="00D409A3" w:rsidRPr="00D409A3" w14:paraId="4CF22D49" w14:textId="77777777">
        <w:tc>
          <w:tcPr>
            <w:tcW w:w="2494" w:type="dxa"/>
            <w:tcBorders>
              <w:top w:val="single" w:sz="4" w:space="0" w:color="000000"/>
              <w:left w:val="single" w:sz="4" w:space="0" w:color="000000"/>
              <w:bottom w:val="single" w:sz="4" w:space="0" w:color="000000"/>
              <w:right w:val="single" w:sz="4" w:space="0" w:color="000000"/>
            </w:tcBorders>
            <w:shd w:val="clear" w:color="auto" w:fill="EAF2F8"/>
            <w:tcMar>
              <w:top w:w="35" w:type="dxa"/>
              <w:left w:w="108" w:type="dxa"/>
              <w:bottom w:w="35" w:type="dxa"/>
              <w:right w:w="108" w:type="dxa"/>
            </w:tcMar>
            <w:vAlign w:val="center"/>
            <w:hideMark/>
          </w:tcPr>
          <w:p w14:paraId="3B9775C7" w14:textId="77777777" w:rsidR="00D409A3" w:rsidRPr="00D409A3" w:rsidRDefault="00D409A3" w:rsidP="003E569D">
            <w:pPr>
              <w:spacing w:line="240" w:lineRule="auto"/>
              <w:jc w:val="both"/>
              <w:rPr>
                <w:sz w:val="20"/>
                <w:szCs w:val="18"/>
              </w:rPr>
            </w:pPr>
            <w:r w:rsidRPr="00D409A3">
              <w:rPr>
                <w:sz w:val="20"/>
                <w:szCs w:val="18"/>
              </w:rPr>
              <w:t>Cloud storage exposes customer PII</w:t>
            </w:r>
          </w:p>
        </w:tc>
        <w:tc>
          <w:tcPr>
            <w:tcW w:w="397" w:type="dxa"/>
            <w:tcBorders>
              <w:top w:val="single" w:sz="4" w:space="0" w:color="000000"/>
              <w:left w:val="single" w:sz="4" w:space="0" w:color="000000"/>
              <w:bottom w:val="single" w:sz="4" w:space="0" w:color="000000"/>
              <w:right w:val="single" w:sz="4" w:space="0" w:color="000000"/>
            </w:tcBorders>
            <w:shd w:val="clear" w:color="auto" w:fill="EAF2F8"/>
            <w:tcMar>
              <w:top w:w="35" w:type="dxa"/>
              <w:left w:w="108" w:type="dxa"/>
              <w:bottom w:w="35" w:type="dxa"/>
              <w:right w:w="108" w:type="dxa"/>
            </w:tcMar>
            <w:vAlign w:val="center"/>
            <w:hideMark/>
          </w:tcPr>
          <w:p w14:paraId="3C8E1E12" w14:textId="77777777" w:rsidR="00D409A3" w:rsidRPr="00D409A3" w:rsidRDefault="00D409A3" w:rsidP="003E569D">
            <w:pPr>
              <w:spacing w:line="240" w:lineRule="auto"/>
              <w:jc w:val="both"/>
              <w:rPr>
                <w:sz w:val="20"/>
                <w:szCs w:val="18"/>
              </w:rPr>
            </w:pPr>
            <w:r w:rsidRPr="00D409A3">
              <w:rPr>
                <w:sz w:val="20"/>
                <w:szCs w:val="18"/>
              </w:rPr>
              <w:t>4</w:t>
            </w:r>
          </w:p>
        </w:tc>
        <w:tc>
          <w:tcPr>
            <w:tcW w:w="397" w:type="dxa"/>
            <w:tcBorders>
              <w:top w:val="single" w:sz="4" w:space="0" w:color="000000"/>
              <w:left w:val="single" w:sz="4" w:space="0" w:color="000000"/>
              <w:bottom w:val="single" w:sz="4" w:space="0" w:color="000000"/>
              <w:right w:val="single" w:sz="4" w:space="0" w:color="000000"/>
            </w:tcBorders>
            <w:shd w:val="clear" w:color="auto" w:fill="EAF2F8"/>
            <w:tcMar>
              <w:top w:w="35" w:type="dxa"/>
              <w:left w:w="108" w:type="dxa"/>
              <w:bottom w:w="35" w:type="dxa"/>
              <w:right w:w="108" w:type="dxa"/>
            </w:tcMar>
            <w:vAlign w:val="center"/>
            <w:hideMark/>
          </w:tcPr>
          <w:p w14:paraId="33247D05" w14:textId="77777777" w:rsidR="00D409A3" w:rsidRPr="00D409A3" w:rsidRDefault="00D409A3" w:rsidP="003E569D">
            <w:pPr>
              <w:spacing w:line="240" w:lineRule="auto"/>
              <w:jc w:val="both"/>
              <w:rPr>
                <w:sz w:val="20"/>
                <w:szCs w:val="18"/>
              </w:rPr>
            </w:pPr>
            <w:r w:rsidRPr="00D409A3">
              <w:rPr>
                <w:sz w:val="20"/>
                <w:szCs w:val="18"/>
              </w:rPr>
              <w:t>5</w:t>
            </w:r>
          </w:p>
        </w:tc>
        <w:tc>
          <w:tcPr>
            <w:tcW w:w="1247" w:type="dxa"/>
            <w:tcBorders>
              <w:top w:val="single" w:sz="4" w:space="0" w:color="000000"/>
              <w:left w:val="single" w:sz="4" w:space="0" w:color="000000"/>
              <w:bottom w:val="single" w:sz="4" w:space="0" w:color="000000"/>
              <w:right w:val="single" w:sz="4" w:space="0" w:color="000000"/>
            </w:tcBorders>
            <w:shd w:val="clear" w:color="auto" w:fill="EAF2F8"/>
            <w:tcMar>
              <w:top w:w="35" w:type="dxa"/>
              <w:left w:w="108" w:type="dxa"/>
              <w:bottom w:w="35" w:type="dxa"/>
              <w:right w:w="108" w:type="dxa"/>
            </w:tcMar>
            <w:vAlign w:val="center"/>
            <w:hideMark/>
          </w:tcPr>
          <w:p w14:paraId="19DCF28C" w14:textId="77777777" w:rsidR="00D409A3" w:rsidRPr="00D409A3" w:rsidRDefault="00D409A3" w:rsidP="003E569D">
            <w:pPr>
              <w:spacing w:line="240" w:lineRule="auto"/>
              <w:jc w:val="both"/>
              <w:rPr>
                <w:sz w:val="20"/>
                <w:szCs w:val="18"/>
              </w:rPr>
            </w:pPr>
            <w:r w:rsidRPr="00D409A3">
              <w:rPr>
                <w:sz w:val="20"/>
                <w:szCs w:val="18"/>
              </w:rPr>
              <w:t>20 - Critical</w:t>
            </w:r>
          </w:p>
        </w:tc>
        <w:tc>
          <w:tcPr>
            <w:tcW w:w="3118" w:type="dxa"/>
            <w:tcBorders>
              <w:top w:val="single" w:sz="4" w:space="0" w:color="000000"/>
              <w:left w:val="single" w:sz="4" w:space="0" w:color="000000"/>
              <w:bottom w:val="single" w:sz="4" w:space="0" w:color="000000"/>
              <w:right w:val="single" w:sz="4" w:space="0" w:color="000000"/>
            </w:tcBorders>
            <w:shd w:val="clear" w:color="auto" w:fill="EAF2F8"/>
            <w:tcMar>
              <w:top w:w="35" w:type="dxa"/>
              <w:left w:w="108" w:type="dxa"/>
              <w:bottom w:w="35" w:type="dxa"/>
              <w:right w:w="108" w:type="dxa"/>
            </w:tcMar>
            <w:vAlign w:val="center"/>
            <w:hideMark/>
          </w:tcPr>
          <w:p w14:paraId="4C51B482" w14:textId="77777777" w:rsidR="00D409A3" w:rsidRPr="00D409A3" w:rsidRDefault="00D409A3" w:rsidP="003E569D">
            <w:pPr>
              <w:spacing w:line="240" w:lineRule="auto"/>
              <w:jc w:val="both"/>
              <w:rPr>
                <w:sz w:val="20"/>
                <w:szCs w:val="18"/>
              </w:rPr>
            </w:pPr>
            <w:r w:rsidRPr="00D409A3">
              <w:rPr>
                <w:sz w:val="20"/>
                <w:szCs w:val="18"/>
              </w:rPr>
              <w:t>Landing zones, CSPM, encryption, DLP</w:t>
            </w:r>
          </w:p>
        </w:tc>
        <w:tc>
          <w:tcPr>
            <w:tcW w:w="1701" w:type="dxa"/>
            <w:tcBorders>
              <w:top w:val="single" w:sz="4" w:space="0" w:color="000000"/>
              <w:left w:val="single" w:sz="4" w:space="0" w:color="000000"/>
              <w:bottom w:val="single" w:sz="4" w:space="0" w:color="000000"/>
              <w:right w:val="single" w:sz="4" w:space="0" w:color="000000"/>
            </w:tcBorders>
            <w:shd w:val="clear" w:color="auto" w:fill="EAF2F8"/>
            <w:tcMar>
              <w:top w:w="35" w:type="dxa"/>
              <w:left w:w="108" w:type="dxa"/>
              <w:bottom w:w="35" w:type="dxa"/>
              <w:right w:w="108" w:type="dxa"/>
            </w:tcMar>
            <w:vAlign w:val="center"/>
            <w:hideMark/>
          </w:tcPr>
          <w:p w14:paraId="7586BC49" w14:textId="77777777" w:rsidR="00D409A3" w:rsidRPr="00D409A3" w:rsidRDefault="00D409A3" w:rsidP="003E569D">
            <w:pPr>
              <w:spacing w:line="240" w:lineRule="auto"/>
              <w:jc w:val="both"/>
              <w:rPr>
                <w:sz w:val="20"/>
                <w:szCs w:val="18"/>
              </w:rPr>
            </w:pPr>
            <w:r w:rsidRPr="00D409A3">
              <w:rPr>
                <w:sz w:val="20"/>
                <w:szCs w:val="18"/>
              </w:rPr>
              <w:t>Cloud Owner</w:t>
            </w:r>
          </w:p>
        </w:tc>
      </w:tr>
      <w:tr w:rsidR="00D409A3" w:rsidRPr="00D409A3" w14:paraId="710807D3" w14:textId="77777777">
        <w:tc>
          <w:tcPr>
            <w:tcW w:w="2494" w:type="dxa"/>
            <w:tcBorders>
              <w:top w:val="single" w:sz="4" w:space="0" w:color="000000"/>
              <w:left w:val="single" w:sz="4" w:space="0" w:color="000000"/>
              <w:bottom w:val="single" w:sz="4" w:space="0" w:color="000000"/>
              <w:right w:val="single" w:sz="4" w:space="0" w:color="000000"/>
            </w:tcBorders>
            <w:shd w:val="clear" w:color="auto" w:fill="FFFFFF"/>
            <w:tcMar>
              <w:top w:w="35" w:type="dxa"/>
              <w:left w:w="108" w:type="dxa"/>
              <w:bottom w:w="35" w:type="dxa"/>
              <w:right w:w="108" w:type="dxa"/>
            </w:tcMar>
            <w:vAlign w:val="center"/>
            <w:hideMark/>
          </w:tcPr>
          <w:p w14:paraId="01C03199" w14:textId="77777777" w:rsidR="00D409A3" w:rsidRPr="00D409A3" w:rsidRDefault="00D409A3" w:rsidP="003E569D">
            <w:pPr>
              <w:spacing w:line="240" w:lineRule="auto"/>
              <w:jc w:val="both"/>
              <w:rPr>
                <w:sz w:val="20"/>
                <w:szCs w:val="18"/>
              </w:rPr>
            </w:pPr>
            <w:r w:rsidRPr="00D409A3">
              <w:rPr>
                <w:sz w:val="20"/>
                <w:szCs w:val="18"/>
              </w:rPr>
              <w:t>IoT manipulation corrupts location data</w:t>
            </w:r>
          </w:p>
        </w:tc>
        <w:tc>
          <w:tcPr>
            <w:tcW w:w="397" w:type="dxa"/>
            <w:tcBorders>
              <w:top w:val="single" w:sz="4" w:space="0" w:color="000000"/>
              <w:left w:val="single" w:sz="4" w:space="0" w:color="000000"/>
              <w:bottom w:val="single" w:sz="4" w:space="0" w:color="000000"/>
              <w:right w:val="single" w:sz="4" w:space="0" w:color="000000"/>
            </w:tcBorders>
            <w:shd w:val="clear" w:color="auto" w:fill="FFFFFF"/>
            <w:tcMar>
              <w:top w:w="35" w:type="dxa"/>
              <w:left w:w="108" w:type="dxa"/>
              <w:bottom w:w="35" w:type="dxa"/>
              <w:right w:w="108" w:type="dxa"/>
            </w:tcMar>
            <w:vAlign w:val="center"/>
            <w:hideMark/>
          </w:tcPr>
          <w:p w14:paraId="453B7986" w14:textId="77777777" w:rsidR="00D409A3" w:rsidRPr="00D409A3" w:rsidRDefault="00D409A3" w:rsidP="003E569D">
            <w:pPr>
              <w:spacing w:line="240" w:lineRule="auto"/>
              <w:jc w:val="both"/>
              <w:rPr>
                <w:sz w:val="20"/>
                <w:szCs w:val="18"/>
              </w:rPr>
            </w:pPr>
            <w:r w:rsidRPr="00D409A3">
              <w:rPr>
                <w:sz w:val="20"/>
                <w:szCs w:val="18"/>
              </w:rPr>
              <w:t>4</w:t>
            </w:r>
          </w:p>
        </w:tc>
        <w:tc>
          <w:tcPr>
            <w:tcW w:w="397" w:type="dxa"/>
            <w:tcBorders>
              <w:top w:val="single" w:sz="4" w:space="0" w:color="000000"/>
              <w:left w:val="single" w:sz="4" w:space="0" w:color="000000"/>
              <w:bottom w:val="single" w:sz="4" w:space="0" w:color="000000"/>
              <w:right w:val="single" w:sz="4" w:space="0" w:color="000000"/>
            </w:tcBorders>
            <w:shd w:val="clear" w:color="auto" w:fill="FFFFFF"/>
            <w:tcMar>
              <w:top w:w="35" w:type="dxa"/>
              <w:left w:w="108" w:type="dxa"/>
              <w:bottom w:w="35" w:type="dxa"/>
              <w:right w:w="108" w:type="dxa"/>
            </w:tcMar>
            <w:vAlign w:val="center"/>
            <w:hideMark/>
          </w:tcPr>
          <w:p w14:paraId="15B1D357" w14:textId="77777777" w:rsidR="00D409A3" w:rsidRPr="00D409A3" w:rsidRDefault="00D409A3" w:rsidP="003E569D">
            <w:pPr>
              <w:spacing w:line="240" w:lineRule="auto"/>
              <w:jc w:val="both"/>
              <w:rPr>
                <w:sz w:val="20"/>
                <w:szCs w:val="18"/>
              </w:rPr>
            </w:pPr>
            <w:r w:rsidRPr="00D409A3">
              <w:rPr>
                <w:sz w:val="20"/>
                <w:szCs w:val="18"/>
              </w:rPr>
              <w:t>4</w:t>
            </w:r>
          </w:p>
        </w:tc>
        <w:tc>
          <w:tcPr>
            <w:tcW w:w="1247" w:type="dxa"/>
            <w:tcBorders>
              <w:top w:val="single" w:sz="4" w:space="0" w:color="000000"/>
              <w:left w:val="single" w:sz="4" w:space="0" w:color="000000"/>
              <w:bottom w:val="single" w:sz="4" w:space="0" w:color="000000"/>
              <w:right w:val="single" w:sz="4" w:space="0" w:color="000000"/>
            </w:tcBorders>
            <w:shd w:val="clear" w:color="auto" w:fill="FFFFFF"/>
            <w:tcMar>
              <w:top w:w="35" w:type="dxa"/>
              <w:left w:w="108" w:type="dxa"/>
              <w:bottom w:w="35" w:type="dxa"/>
              <w:right w:w="108" w:type="dxa"/>
            </w:tcMar>
            <w:vAlign w:val="center"/>
            <w:hideMark/>
          </w:tcPr>
          <w:p w14:paraId="620569ED" w14:textId="77777777" w:rsidR="00D409A3" w:rsidRPr="00D409A3" w:rsidRDefault="00D409A3" w:rsidP="003E569D">
            <w:pPr>
              <w:spacing w:line="240" w:lineRule="auto"/>
              <w:jc w:val="both"/>
              <w:rPr>
                <w:sz w:val="20"/>
                <w:szCs w:val="18"/>
              </w:rPr>
            </w:pPr>
            <w:r w:rsidRPr="00D409A3">
              <w:rPr>
                <w:sz w:val="20"/>
                <w:szCs w:val="18"/>
              </w:rPr>
              <w:t>16 - High</w:t>
            </w:r>
          </w:p>
        </w:tc>
        <w:tc>
          <w:tcPr>
            <w:tcW w:w="3118" w:type="dxa"/>
            <w:tcBorders>
              <w:top w:val="single" w:sz="4" w:space="0" w:color="000000"/>
              <w:left w:val="single" w:sz="4" w:space="0" w:color="000000"/>
              <w:bottom w:val="single" w:sz="4" w:space="0" w:color="000000"/>
              <w:right w:val="single" w:sz="4" w:space="0" w:color="000000"/>
            </w:tcBorders>
            <w:shd w:val="clear" w:color="auto" w:fill="FFFFFF"/>
            <w:tcMar>
              <w:top w:w="35" w:type="dxa"/>
              <w:left w:w="108" w:type="dxa"/>
              <w:bottom w:w="35" w:type="dxa"/>
              <w:right w:w="108" w:type="dxa"/>
            </w:tcMar>
            <w:vAlign w:val="center"/>
            <w:hideMark/>
          </w:tcPr>
          <w:p w14:paraId="04BD8138" w14:textId="77777777" w:rsidR="00D409A3" w:rsidRPr="00D409A3" w:rsidRDefault="00D409A3" w:rsidP="003E569D">
            <w:pPr>
              <w:spacing w:line="240" w:lineRule="auto"/>
              <w:jc w:val="both"/>
              <w:rPr>
                <w:sz w:val="20"/>
                <w:szCs w:val="18"/>
              </w:rPr>
            </w:pPr>
            <w:r w:rsidRPr="00D409A3">
              <w:rPr>
                <w:sz w:val="20"/>
                <w:szCs w:val="18"/>
              </w:rPr>
              <w:t>Certificates, signed firmware, segmentation</w:t>
            </w:r>
          </w:p>
        </w:tc>
        <w:tc>
          <w:tcPr>
            <w:tcW w:w="1701" w:type="dxa"/>
            <w:tcBorders>
              <w:top w:val="single" w:sz="4" w:space="0" w:color="000000"/>
              <w:left w:val="single" w:sz="4" w:space="0" w:color="000000"/>
              <w:bottom w:val="single" w:sz="4" w:space="0" w:color="000000"/>
              <w:right w:val="single" w:sz="4" w:space="0" w:color="000000"/>
            </w:tcBorders>
            <w:shd w:val="clear" w:color="auto" w:fill="FFFFFF"/>
            <w:tcMar>
              <w:top w:w="35" w:type="dxa"/>
              <w:left w:w="108" w:type="dxa"/>
              <w:bottom w:w="35" w:type="dxa"/>
              <w:right w:w="108" w:type="dxa"/>
            </w:tcMar>
            <w:vAlign w:val="center"/>
            <w:hideMark/>
          </w:tcPr>
          <w:p w14:paraId="7512E5D5" w14:textId="77777777" w:rsidR="00D409A3" w:rsidRPr="00D409A3" w:rsidRDefault="00D409A3" w:rsidP="003E569D">
            <w:pPr>
              <w:spacing w:line="240" w:lineRule="auto"/>
              <w:jc w:val="both"/>
              <w:rPr>
                <w:sz w:val="20"/>
                <w:szCs w:val="18"/>
              </w:rPr>
            </w:pPr>
            <w:r w:rsidRPr="00D409A3">
              <w:rPr>
                <w:sz w:val="20"/>
                <w:szCs w:val="18"/>
              </w:rPr>
              <w:t>IoT Owner</w:t>
            </w:r>
          </w:p>
        </w:tc>
      </w:tr>
      <w:tr w:rsidR="00D409A3" w:rsidRPr="00D409A3" w14:paraId="551EC8A0" w14:textId="77777777">
        <w:tc>
          <w:tcPr>
            <w:tcW w:w="2494" w:type="dxa"/>
            <w:tcBorders>
              <w:top w:val="single" w:sz="4" w:space="0" w:color="000000"/>
              <w:left w:val="single" w:sz="4" w:space="0" w:color="000000"/>
              <w:bottom w:val="single" w:sz="4" w:space="0" w:color="000000"/>
              <w:right w:val="single" w:sz="4" w:space="0" w:color="000000"/>
            </w:tcBorders>
            <w:shd w:val="clear" w:color="auto" w:fill="EAF2F8"/>
            <w:tcMar>
              <w:top w:w="35" w:type="dxa"/>
              <w:left w:w="108" w:type="dxa"/>
              <w:bottom w:w="35" w:type="dxa"/>
              <w:right w:w="108" w:type="dxa"/>
            </w:tcMar>
            <w:vAlign w:val="center"/>
            <w:hideMark/>
          </w:tcPr>
          <w:p w14:paraId="5C2115C6" w14:textId="77777777" w:rsidR="00D409A3" w:rsidRPr="00D409A3" w:rsidRDefault="00D409A3" w:rsidP="003E569D">
            <w:pPr>
              <w:spacing w:line="240" w:lineRule="auto"/>
              <w:jc w:val="both"/>
              <w:rPr>
                <w:sz w:val="20"/>
                <w:szCs w:val="18"/>
              </w:rPr>
            </w:pPr>
            <w:r w:rsidRPr="00D409A3">
              <w:rPr>
                <w:sz w:val="20"/>
                <w:szCs w:val="18"/>
              </w:rPr>
              <w:t>SaaS outage halts logistics services</w:t>
            </w:r>
          </w:p>
        </w:tc>
        <w:tc>
          <w:tcPr>
            <w:tcW w:w="397" w:type="dxa"/>
            <w:tcBorders>
              <w:top w:val="single" w:sz="4" w:space="0" w:color="000000"/>
              <w:left w:val="single" w:sz="4" w:space="0" w:color="000000"/>
              <w:bottom w:val="single" w:sz="4" w:space="0" w:color="000000"/>
              <w:right w:val="single" w:sz="4" w:space="0" w:color="000000"/>
            </w:tcBorders>
            <w:shd w:val="clear" w:color="auto" w:fill="EAF2F8"/>
            <w:tcMar>
              <w:top w:w="35" w:type="dxa"/>
              <w:left w:w="108" w:type="dxa"/>
              <w:bottom w:w="35" w:type="dxa"/>
              <w:right w:w="108" w:type="dxa"/>
            </w:tcMar>
            <w:vAlign w:val="center"/>
            <w:hideMark/>
          </w:tcPr>
          <w:p w14:paraId="7C4D2AF6" w14:textId="77777777" w:rsidR="00D409A3" w:rsidRPr="00D409A3" w:rsidRDefault="00D409A3" w:rsidP="003E569D">
            <w:pPr>
              <w:spacing w:line="240" w:lineRule="auto"/>
              <w:jc w:val="both"/>
              <w:rPr>
                <w:sz w:val="20"/>
                <w:szCs w:val="18"/>
              </w:rPr>
            </w:pPr>
            <w:r w:rsidRPr="00D409A3">
              <w:rPr>
                <w:sz w:val="20"/>
                <w:szCs w:val="18"/>
              </w:rPr>
              <w:t>3</w:t>
            </w:r>
          </w:p>
        </w:tc>
        <w:tc>
          <w:tcPr>
            <w:tcW w:w="397" w:type="dxa"/>
            <w:tcBorders>
              <w:top w:val="single" w:sz="4" w:space="0" w:color="000000"/>
              <w:left w:val="single" w:sz="4" w:space="0" w:color="000000"/>
              <w:bottom w:val="single" w:sz="4" w:space="0" w:color="000000"/>
              <w:right w:val="single" w:sz="4" w:space="0" w:color="000000"/>
            </w:tcBorders>
            <w:shd w:val="clear" w:color="auto" w:fill="EAF2F8"/>
            <w:tcMar>
              <w:top w:w="35" w:type="dxa"/>
              <w:left w:w="108" w:type="dxa"/>
              <w:bottom w:w="35" w:type="dxa"/>
              <w:right w:w="108" w:type="dxa"/>
            </w:tcMar>
            <w:vAlign w:val="center"/>
            <w:hideMark/>
          </w:tcPr>
          <w:p w14:paraId="37761DFF" w14:textId="77777777" w:rsidR="00D409A3" w:rsidRPr="00D409A3" w:rsidRDefault="00D409A3" w:rsidP="003E569D">
            <w:pPr>
              <w:spacing w:line="240" w:lineRule="auto"/>
              <w:jc w:val="both"/>
              <w:rPr>
                <w:sz w:val="20"/>
                <w:szCs w:val="18"/>
              </w:rPr>
            </w:pPr>
            <w:r w:rsidRPr="00D409A3">
              <w:rPr>
                <w:sz w:val="20"/>
                <w:szCs w:val="18"/>
              </w:rPr>
              <w:t>5</w:t>
            </w:r>
          </w:p>
        </w:tc>
        <w:tc>
          <w:tcPr>
            <w:tcW w:w="1247" w:type="dxa"/>
            <w:tcBorders>
              <w:top w:val="single" w:sz="4" w:space="0" w:color="000000"/>
              <w:left w:val="single" w:sz="4" w:space="0" w:color="000000"/>
              <w:bottom w:val="single" w:sz="4" w:space="0" w:color="000000"/>
              <w:right w:val="single" w:sz="4" w:space="0" w:color="000000"/>
            </w:tcBorders>
            <w:shd w:val="clear" w:color="auto" w:fill="EAF2F8"/>
            <w:tcMar>
              <w:top w:w="35" w:type="dxa"/>
              <w:left w:w="108" w:type="dxa"/>
              <w:bottom w:w="35" w:type="dxa"/>
              <w:right w:w="108" w:type="dxa"/>
            </w:tcMar>
            <w:vAlign w:val="center"/>
            <w:hideMark/>
          </w:tcPr>
          <w:p w14:paraId="49699894" w14:textId="77777777" w:rsidR="00D409A3" w:rsidRPr="00D409A3" w:rsidRDefault="00D409A3" w:rsidP="003E569D">
            <w:pPr>
              <w:spacing w:line="240" w:lineRule="auto"/>
              <w:jc w:val="both"/>
              <w:rPr>
                <w:sz w:val="20"/>
                <w:szCs w:val="18"/>
              </w:rPr>
            </w:pPr>
            <w:r w:rsidRPr="00D409A3">
              <w:rPr>
                <w:sz w:val="20"/>
                <w:szCs w:val="18"/>
              </w:rPr>
              <w:t>15 - High</w:t>
            </w:r>
          </w:p>
        </w:tc>
        <w:tc>
          <w:tcPr>
            <w:tcW w:w="3118" w:type="dxa"/>
            <w:tcBorders>
              <w:top w:val="single" w:sz="4" w:space="0" w:color="000000"/>
              <w:left w:val="single" w:sz="4" w:space="0" w:color="000000"/>
              <w:bottom w:val="single" w:sz="4" w:space="0" w:color="000000"/>
              <w:right w:val="single" w:sz="4" w:space="0" w:color="000000"/>
            </w:tcBorders>
            <w:shd w:val="clear" w:color="auto" w:fill="EAF2F8"/>
            <w:tcMar>
              <w:top w:w="35" w:type="dxa"/>
              <w:left w:w="108" w:type="dxa"/>
              <w:bottom w:w="35" w:type="dxa"/>
              <w:right w:w="108" w:type="dxa"/>
            </w:tcMar>
            <w:vAlign w:val="center"/>
            <w:hideMark/>
          </w:tcPr>
          <w:p w14:paraId="730F308B" w14:textId="77777777" w:rsidR="00D409A3" w:rsidRPr="00D409A3" w:rsidRDefault="00D409A3" w:rsidP="003E569D">
            <w:pPr>
              <w:spacing w:line="240" w:lineRule="auto"/>
              <w:jc w:val="both"/>
              <w:rPr>
                <w:sz w:val="20"/>
                <w:szCs w:val="18"/>
              </w:rPr>
            </w:pPr>
            <w:r w:rsidRPr="00D409A3">
              <w:rPr>
                <w:sz w:val="20"/>
                <w:szCs w:val="18"/>
              </w:rPr>
              <w:t>BIA, tested RTO/RPO, manual fallback</w:t>
            </w:r>
          </w:p>
        </w:tc>
        <w:tc>
          <w:tcPr>
            <w:tcW w:w="1701" w:type="dxa"/>
            <w:tcBorders>
              <w:top w:val="single" w:sz="4" w:space="0" w:color="000000"/>
              <w:left w:val="single" w:sz="4" w:space="0" w:color="000000"/>
              <w:bottom w:val="single" w:sz="4" w:space="0" w:color="000000"/>
              <w:right w:val="single" w:sz="4" w:space="0" w:color="000000"/>
            </w:tcBorders>
            <w:shd w:val="clear" w:color="auto" w:fill="EAF2F8"/>
            <w:tcMar>
              <w:top w:w="35" w:type="dxa"/>
              <w:left w:w="108" w:type="dxa"/>
              <w:bottom w:w="35" w:type="dxa"/>
              <w:right w:w="108" w:type="dxa"/>
            </w:tcMar>
            <w:vAlign w:val="center"/>
            <w:hideMark/>
          </w:tcPr>
          <w:p w14:paraId="28C628FA" w14:textId="77777777" w:rsidR="00D409A3" w:rsidRPr="00D409A3" w:rsidRDefault="00D409A3" w:rsidP="003E569D">
            <w:pPr>
              <w:spacing w:line="240" w:lineRule="auto"/>
              <w:jc w:val="both"/>
              <w:rPr>
                <w:sz w:val="20"/>
                <w:szCs w:val="18"/>
              </w:rPr>
            </w:pPr>
            <w:r w:rsidRPr="00D409A3">
              <w:rPr>
                <w:sz w:val="20"/>
                <w:szCs w:val="18"/>
              </w:rPr>
              <w:t>BCM Lead</w:t>
            </w:r>
          </w:p>
        </w:tc>
      </w:tr>
      <w:tr w:rsidR="00D409A3" w:rsidRPr="00D409A3" w14:paraId="00B98CCE" w14:textId="77777777">
        <w:tc>
          <w:tcPr>
            <w:tcW w:w="2494" w:type="dxa"/>
            <w:tcBorders>
              <w:top w:val="single" w:sz="4" w:space="0" w:color="000000"/>
              <w:left w:val="single" w:sz="4" w:space="0" w:color="000000"/>
              <w:bottom w:val="single" w:sz="4" w:space="0" w:color="000000"/>
              <w:right w:val="single" w:sz="4" w:space="0" w:color="000000"/>
            </w:tcBorders>
            <w:shd w:val="clear" w:color="auto" w:fill="FFFFFF"/>
            <w:tcMar>
              <w:top w:w="35" w:type="dxa"/>
              <w:left w:w="108" w:type="dxa"/>
              <w:bottom w:w="35" w:type="dxa"/>
              <w:right w:w="108" w:type="dxa"/>
            </w:tcMar>
            <w:vAlign w:val="center"/>
            <w:hideMark/>
          </w:tcPr>
          <w:p w14:paraId="190378BF" w14:textId="77777777" w:rsidR="00D409A3" w:rsidRPr="00D409A3" w:rsidRDefault="00D409A3" w:rsidP="003E569D">
            <w:pPr>
              <w:spacing w:line="240" w:lineRule="auto"/>
              <w:jc w:val="both"/>
              <w:rPr>
                <w:sz w:val="20"/>
                <w:szCs w:val="18"/>
              </w:rPr>
            </w:pPr>
            <w:r w:rsidRPr="00D409A3">
              <w:rPr>
                <w:sz w:val="20"/>
                <w:szCs w:val="18"/>
              </w:rPr>
              <w:t>AI data poisoning distorts decisions</w:t>
            </w:r>
          </w:p>
        </w:tc>
        <w:tc>
          <w:tcPr>
            <w:tcW w:w="397" w:type="dxa"/>
            <w:tcBorders>
              <w:top w:val="single" w:sz="4" w:space="0" w:color="000000"/>
              <w:left w:val="single" w:sz="4" w:space="0" w:color="000000"/>
              <w:bottom w:val="single" w:sz="4" w:space="0" w:color="000000"/>
              <w:right w:val="single" w:sz="4" w:space="0" w:color="000000"/>
            </w:tcBorders>
            <w:shd w:val="clear" w:color="auto" w:fill="FFFFFF"/>
            <w:tcMar>
              <w:top w:w="35" w:type="dxa"/>
              <w:left w:w="108" w:type="dxa"/>
              <w:bottom w:w="35" w:type="dxa"/>
              <w:right w:w="108" w:type="dxa"/>
            </w:tcMar>
            <w:vAlign w:val="center"/>
            <w:hideMark/>
          </w:tcPr>
          <w:p w14:paraId="353BE9F7" w14:textId="77777777" w:rsidR="00D409A3" w:rsidRPr="00D409A3" w:rsidRDefault="00D409A3" w:rsidP="003E569D">
            <w:pPr>
              <w:spacing w:line="240" w:lineRule="auto"/>
              <w:jc w:val="both"/>
              <w:rPr>
                <w:sz w:val="20"/>
                <w:szCs w:val="18"/>
              </w:rPr>
            </w:pPr>
            <w:r w:rsidRPr="00D409A3">
              <w:rPr>
                <w:sz w:val="20"/>
                <w:szCs w:val="18"/>
              </w:rPr>
              <w:t>3</w:t>
            </w:r>
          </w:p>
        </w:tc>
        <w:tc>
          <w:tcPr>
            <w:tcW w:w="397" w:type="dxa"/>
            <w:tcBorders>
              <w:top w:val="single" w:sz="4" w:space="0" w:color="000000"/>
              <w:left w:val="single" w:sz="4" w:space="0" w:color="000000"/>
              <w:bottom w:val="single" w:sz="4" w:space="0" w:color="000000"/>
              <w:right w:val="single" w:sz="4" w:space="0" w:color="000000"/>
            </w:tcBorders>
            <w:shd w:val="clear" w:color="auto" w:fill="FFFFFF"/>
            <w:tcMar>
              <w:top w:w="35" w:type="dxa"/>
              <w:left w:w="108" w:type="dxa"/>
              <w:bottom w:w="35" w:type="dxa"/>
              <w:right w:w="108" w:type="dxa"/>
            </w:tcMar>
            <w:vAlign w:val="center"/>
            <w:hideMark/>
          </w:tcPr>
          <w:p w14:paraId="568B7382" w14:textId="77777777" w:rsidR="00D409A3" w:rsidRPr="00D409A3" w:rsidRDefault="00D409A3" w:rsidP="003E569D">
            <w:pPr>
              <w:spacing w:line="240" w:lineRule="auto"/>
              <w:jc w:val="both"/>
              <w:rPr>
                <w:sz w:val="20"/>
                <w:szCs w:val="18"/>
              </w:rPr>
            </w:pPr>
            <w:r w:rsidRPr="00D409A3">
              <w:rPr>
                <w:sz w:val="20"/>
                <w:szCs w:val="18"/>
              </w:rPr>
              <w:t>4</w:t>
            </w:r>
          </w:p>
        </w:tc>
        <w:tc>
          <w:tcPr>
            <w:tcW w:w="1247" w:type="dxa"/>
            <w:tcBorders>
              <w:top w:val="single" w:sz="4" w:space="0" w:color="000000"/>
              <w:left w:val="single" w:sz="4" w:space="0" w:color="000000"/>
              <w:bottom w:val="single" w:sz="4" w:space="0" w:color="000000"/>
              <w:right w:val="single" w:sz="4" w:space="0" w:color="000000"/>
            </w:tcBorders>
            <w:shd w:val="clear" w:color="auto" w:fill="FFFFFF"/>
            <w:tcMar>
              <w:top w:w="35" w:type="dxa"/>
              <w:left w:w="108" w:type="dxa"/>
              <w:bottom w:w="35" w:type="dxa"/>
              <w:right w:w="108" w:type="dxa"/>
            </w:tcMar>
            <w:vAlign w:val="center"/>
            <w:hideMark/>
          </w:tcPr>
          <w:p w14:paraId="3EDB26B5" w14:textId="77777777" w:rsidR="00D409A3" w:rsidRPr="00D409A3" w:rsidRDefault="00D409A3" w:rsidP="003E569D">
            <w:pPr>
              <w:spacing w:line="240" w:lineRule="auto"/>
              <w:jc w:val="both"/>
              <w:rPr>
                <w:sz w:val="20"/>
                <w:szCs w:val="18"/>
              </w:rPr>
            </w:pPr>
            <w:r w:rsidRPr="00D409A3">
              <w:rPr>
                <w:sz w:val="20"/>
                <w:szCs w:val="18"/>
              </w:rPr>
              <w:t>12 - High</w:t>
            </w:r>
          </w:p>
        </w:tc>
        <w:tc>
          <w:tcPr>
            <w:tcW w:w="3118" w:type="dxa"/>
            <w:tcBorders>
              <w:top w:val="single" w:sz="4" w:space="0" w:color="000000"/>
              <w:left w:val="single" w:sz="4" w:space="0" w:color="000000"/>
              <w:bottom w:val="single" w:sz="4" w:space="0" w:color="000000"/>
              <w:right w:val="single" w:sz="4" w:space="0" w:color="000000"/>
            </w:tcBorders>
            <w:shd w:val="clear" w:color="auto" w:fill="FFFFFF"/>
            <w:tcMar>
              <w:top w:w="35" w:type="dxa"/>
              <w:left w:w="108" w:type="dxa"/>
              <w:bottom w:w="35" w:type="dxa"/>
              <w:right w:w="108" w:type="dxa"/>
            </w:tcMar>
            <w:vAlign w:val="center"/>
            <w:hideMark/>
          </w:tcPr>
          <w:p w14:paraId="7868B77B" w14:textId="77777777" w:rsidR="00D409A3" w:rsidRPr="00D409A3" w:rsidRDefault="00D409A3" w:rsidP="003E569D">
            <w:pPr>
              <w:spacing w:line="240" w:lineRule="auto"/>
              <w:jc w:val="both"/>
              <w:rPr>
                <w:sz w:val="20"/>
                <w:szCs w:val="18"/>
              </w:rPr>
            </w:pPr>
            <w:r w:rsidRPr="00D409A3">
              <w:rPr>
                <w:sz w:val="20"/>
                <w:szCs w:val="18"/>
              </w:rPr>
              <w:t>Lineage, integrity checks, monitoring, review</w:t>
            </w:r>
          </w:p>
        </w:tc>
        <w:tc>
          <w:tcPr>
            <w:tcW w:w="1701" w:type="dxa"/>
            <w:tcBorders>
              <w:top w:val="single" w:sz="4" w:space="0" w:color="000000"/>
              <w:left w:val="single" w:sz="4" w:space="0" w:color="000000"/>
              <w:bottom w:val="single" w:sz="4" w:space="0" w:color="000000"/>
              <w:right w:val="single" w:sz="4" w:space="0" w:color="000000"/>
            </w:tcBorders>
            <w:shd w:val="clear" w:color="auto" w:fill="FFFFFF"/>
            <w:tcMar>
              <w:top w:w="35" w:type="dxa"/>
              <w:left w:w="108" w:type="dxa"/>
              <w:bottom w:w="35" w:type="dxa"/>
              <w:right w:w="108" w:type="dxa"/>
            </w:tcMar>
            <w:vAlign w:val="center"/>
            <w:hideMark/>
          </w:tcPr>
          <w:p w14:paraId="6453DFB2" w14:textId="77777777" w:rsidR="00D409A3" w:rsidRPr="00D409A3" w:rsidRDefault="00D409A3" w:rsidP="003E569D">
            <w:pPr>
              <w:spacing w:line="240" w:lineRule="auto"/>
              <w:jc w:val="both"/>
              <w:rPr>
                <w:sz w:val="20"/>
                <w:szCs w:val="18"/>
              </w:rPr>
            </w:pPr>
            <w:r w:rsidRPr="00D409A3">
              <w:rPr>
                <w:sz w:val="20"/>
                <w:szCs w:val="18"/>
              </w:rPr>
              <w:t>Data/AI Owner</w:t>
            </w:r>
          </w:p>
        </w:tc>
      </w:tr>
    </w:tbl>
    <w:p w14:paraId="4395F566" w14:textId="77777777" w:rsidR="00D409A3" w:rsidRDefault="00D409A3" w:rsidP="003E569D">
      <w:pPr>
        <w:jc w:val="both"/>
      </w:pPr>
    </w:p>
    <w:p w14:paraId="1842501C" w14:textId="3BAD0C26" w:rsidR="00D409A3" w:rsidRDefault="00D409A3" w:rsidP="003E569D">
      <w:pPr>
        <w:pStyle w:val="Heading2"/>
        <w:jc w:val="both"/>
      </w:pPr>
      <w:bookmarkStart w:id="51" w:name="_Toc234919629"/>
      <w:bookmarkStart w:id="52" w:name="_Toc237102346"/>
      <w:bookmarkStart w:id="53" w:name="_Toc237102976"/>
      <w:r>
        <w:t>4.5 Protection Mechanisms and Access Controls</w:t>
      </w:r>
      <w:bookmarkEnd w:id="51"/>
      <w:bookmarkEnd w:id="52"/>
      <w:bookmarkEnd w:id="53"/>
    </w:p>
    <w:p w14:paraId="29E4DCCF" w14:textId="6AF5969F" w:rsidR="00D409A3" w:rsidRDefault="00DD1B26" w:rsidP="003E569D">
      <w:pPr>
        <w:jc w:val="both"/>
      </w:pPr>
      <w:r w:rsidRPr="00DD1B26">
        <w:t xml:space="preserve">The identity must be used by AeroLink as its predominant security control plane. Centralised single sign-on, multifactor authentication (MFA) with phishing resistance, and conditional access for device health, location, and behavioural risk should be utilised by employees, suppliers and administrators. </w:t>
      </w:r>
      <w:r w:rsidR="00B763CA" w:rsidRPr="00B763CA">
        <w:t xml:space="preserve">Only have accounts for privileged access, elevate privileges only for as long as necessary and log sessions. Additionally, when it comes to cloud protection, they should include the secure landing zone, infrastructure as code, encryption as default, and customer managed key and posture management with persistence logs. Unique certificates, signed firmware, secure boot and outbound traffic along with network segmentation are all </w:t>
      </w:r>
      <w:r w:rsidR="00B763CA" w:rsidRPr="00B763CA">
        <w:lastRenderedPageBreak/>
        <w:t xml:space="preserve">safe options for IoT trackers. The telemetry of the central monitoring should be correlated in relation to identity, endpoint, cloud, SaaS and IoT. The IoT environment stands out for its challenges regarding identity mismatch, communication and device-management vulnerabilities, and requires layered controls </w:t>
      </w:r>
      <w:r w:rsidR="003E569D">
        <w:t>[1]</w:t>
      </w:r>
      <w:r w:rsidR="00B763CA" w:rsidRPr="00B763CA">
        <w:t xml:space="preserve">. Bias and Opacity – LSA errors that deserve study – continue to be key issues to test in AI-assisted analytics </w:t>
      </w:r>
      <w:r w:rsidR="003E569D">
        <w:t>[2]</w:t>
      </w:r>
      <w:r w:rsidR="00B763CA" w:rsidRPr="00B763CA">
        <w:t>.</w:t>
      </w:r>
      <w:r w:rsidR="00D409A3">
        <w:t xml:space="preserve"> The resulting architecture is shown in figure 1.</w:t>
      </w:r>
    </w:p>
    <w:p w14:paraId="4A86C0AC" w14:textId="77777777" w:rsidR="004861D8" w:rsidRDefault="004861D8" w:rsidP="000C1D48">
      <w:pPr>
        <w:keepNext/>
        <w:jc w:val="center"/>
      </w:pPr>
      <w:r w:rsidRPr="004861D8">
        <w:rPr>
          <w:noProof/>
        </w:rPr>
        <w:drawing>
          <wp:inline distT="0" distB="0" distL="0" distR="0" wp14:anchorId="37839B97" wp14:editId="0F5C7A53">
            <wp:extent cx="3498273" cy="2030130"/>
            <wp:effectExtent l="0" t="0" r="6985" b="8255"/>
            <wp:docPr id="6105544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554456" name=""/>
                    <pic:cNvPicPr/>
                  </pic:nvPicPr>
                  <pic:blipFill>
                    <a:blip r:embed="rId9"/>
                    <a:stretch>
                      <a:fillRect/>
                    </a:stretch>
                  </pic:blipFill>
                  <pic:spPr>
                    <a:xfrm>
                      <a:off x="0" y="0"/>
                      <a:ext cx="3498273" cy="2030130"/>
                    </a:xfrm>
                    <a:prstGeom prst="rect">
                      <a:avLst/>
                    </a:prstGeom>
                  </pic:spPr>
                </pic:pic>
              </a:graphicData>
            </a:graphic>
          </wp:inline>
        </w:drawing>
      </w:r>
    </w:p>
    <w:p w14:paraId="35634C5D" w14:textId="01333C48" w:rsidR="004861D8" w:rsidRDefault="004861D8" w:rsidP="006E489E">
      <w:pPr>
        <w:pStyle w:val="Heading1"/>
      </w:pPr>
      <w:bookmarkStart w:id="54" w:name="_Toc234854020"/>
      <w:bookmarkStart w:id="55" w:name="_Toc237102977"/>
      <w:r>
        <w:t xml:space="preserve">Figure </w:t>
      </w:r>
      <w:fldSimple w:instr=" SEQ Figure \* ARABIC ">
        <w:r>
          <w:rPr>
            <w:noProof/>
          </w:rPr>
          <w:t>1</w:t>
        </w:r>
      </w:fldSimple>
      <w:r>
        <w:t xml:space="preserve"> </w:t>
      </w:r>
      <w:r w:rsidRPr="003C4601">
        <w:t>AeroLink Integrated Security, Governance and Compliance Architecture</w:t>
      </w:r>
      <w:bookmarkEnd w:id="54"/>
      <w:bookmarkEnd w:id="55"/>
    </w:p>
    <w:p w14:paraId="383E03F5" w14:textId="77777777" w:rsidR="00D409A3" w:rsidRDefault="00D409A3" w:rsidP="003E569D">
      <w:pPr>
        <w:pStyle w:val="Heading2"/>
        <w:jc w:val="both"/>
      </w:pPr>
      <w:bookmarkStart w:id="56" w:name="_Toc234919630"/>
      <w:bookmarkStart w:id="57" w:name="_Toc237102347"/>
      <w:bookmarkStart w:id="58" w:name="_Toc237102978"/>
      <w:r w:rsidRPr="00D409A3">
        <w:t>4.6 Vendor and Service Level Agreement Management</w:t>
      </w:r>
      <w:bookmarkEnd w:id="56"/>
      <w:bookmarkEnd w:id="57"/>
      <w:bookmarkEnd w:id="58"/>
    </w:p>
    <w:p w14:paraId="5685F81D" w14:textId="5BF10C14" w:rsidR="00D409A3" w:rsidRDefault="00D409A3" w:rsidP="003E569D">
      <w:pPr>
        <w:jc w:val="both"/>
      </w:pPr>
      <w:r>
        <w:t>Procurement should categorize vendors prior to contract award based on data sensitivity, connectivity, and substitutability and operational criticality. The aforementioned items of independent assurance, architecture information, list of subprocessors and evidence of practices and continuity tested for vulnerability must be provided by high-risk providers. AeroLink to check scope, exclusions and expiration of certification labels and verify evidence.</w:t>
      </w:r>
    </w:p>
    <w:p w14:paraId="2F4EF228" w14:textId="77777777" w:rsidR="00A252F0" w:rsidRDefault="00D409A3" w:rsidP="003E569D">
      <w:pPr>
        <w:jc w:val="both"/>
      </w:pPr>
      <w:r>
        <w:t xml:space="preserve">Recovery objectives, secure deletion, identity controls, log retention, subprocessor approval, data location, incident notification, contract and patch deadlines, and forensics should all be in how contracts and SLAs are defined. A severe incident must be reported in a timely basis so that AeroLink can comply with legal time limits. Right-to-audit clauses should allow such “targeted” assurance clauses, whereas an exit provision should include exit data portability, credential revocation, and data destruction, and should be verified. </w:t>
      </w:r>
    </w:p>
    <w:p w14:paraId="773AE27E" w14:textId="0A7E6E02" w:rsidR="003F6303" w:rsidRPr="003F6303" w:rsidRDefault="00D409A3" w:rsidP="003E569D">
      <w:pPr>
        <w:jc w:val="both"/>
      </w:pPr>
      <w:r>
        <w:t>Research in the area of Logistics Resilience reveals that awareness of cyber dependency is often known by logistics groups but often does not translate into action that can be tested at the group level</w:t>
      </w:r>
      <w:r w:rsidR="003E569D">
        <w:t xml:space="preserve"> [9]</w:t>
      </w:r>
      <w:r>
        <w:t>. The minimum contractual controls specified in Table 4.</w:t>
      </w:r>
    </w:p>
    <w:p w14:paraId="35A8DE76" w14:textId="1A4A9F2B" w:rsidR="00D1782C" w:rsidRDefault="00D1782C" w:rsidP="003E569D">
      <w:pPr>
        <w:pStyle w:val="Caption"/>
        <w:keepNext/>
        <w:jc w:val="both"/>
      </w:pPr>
      <w:bookmarkStart w:id="59" w:name="_Toc234854013"/>
      <w:r>
        <w:t xml:space="preserve">Table </w:t>
      </w:r>
      <w:fldSimple w:instr=" SEQ Table \* ARABIC ">
        <w:r w:rsidR="000E3DD2">
          <w:rPr>
            <w:noProof/>
          </w:rPr>
          <w:t>4</w:t>
        </w:r>
      </w:fldSimple>
      <w:r>
        <w:t xml:space="preserve"> </w:t>
      </w:r>
      <w:r w:rsidRPr="00D66DC8">
        <w:t>Mandatory Vendor and SLA Security Requirements</w:t>
      </w:r>
      <w:bookmarkEnd w:id="59"/>
    </w:p>
    <w:tbl>
      <w:tblPr>
        <w:tblW w:w="0" w:type="dxa"/>
        <w:tblBorders>
          <w:top w:val="single" w:sz="2" w:space="0" w:color="auto"/>
          <w:left w:val="single" w:sz="2" w:space="0" w:color="auto"/>
          <w:bottom w:val="single" w:sz="2" w:space="0" w:color="auto"/>
          <w:right w:val="single" w:sz="2" w:space="0" w:color="auto"/>
        </w:tblBorders>
        <w:shd w:val="clear" w:color="auto" w:fill="FFFFFF"/>
        <w:tblLook w:val="04A0" w:firstRow="1" w:lastRow="0" w:firstColumn="1" w:lastColumn="0" w:noHBand="0" w:noVBand="1"/>
      </w:tblPr>
      <w:tblGrid>
        <w:gridCol w:w="1760"/>
        <w:gridCol w:w="3177"/>
        <w:gridCol w:w="2319"/>
        <w:gridCol w:w="1760"/>
      </w:tblGrid>
      <w:tr w:rsidR="003F6303" w:rsidRPr="003F6303" w14:paraId="777E08AA" w14:textId="77777777">
        <w:tc>
          <w:tcPr>
            <w:tcW w:w="1814" w:type="dxa"/>
            <w:tcBorders>
              <w:top w:val="single" w:sz="4" w:space="0" w:color="000000"/>
              <w:left w:val="single" w:sz="4" w:space="0" w:color="000000"/>
              <w:bottom w:val="single" w:sz="4" w:space="0" w:color="000000"/>
              <w:right w:val="single" w:sz="4" w:space="0" w:color="000000"/>
            </w:tcBorders>
            <w:shd w:val="clear" w:color="auto" w:fill="1F4E79"/>
            <w:tcMar>
              <w:top w:w="80" w:type="dxa"/>
              <w:left w:w="108" w:type="dxa"/>
              <w:bottom w:w="80" w:type="dxa"/>
              <w:right w:w="108" w:type="dxa"/>
            </w:tcMar>
            <w:vAlign w:val="center"/>
            <w:hideMark/>
          </w:tcPr>
          <w:p w14:paraId="2910002C" w14:textId="77777777" w:rsidR="003F6303" w:rsidRPr="003F6303" w:rsidRDefault="003F6303" w:rsidP="003E569D">
            <w:pPr>
              <w:spacing w:line="240" w:lineRule="auto"/>
              <w:jc w:val="both"/>
              <w:rPr>
                <w:sz w:val="20"/>
                <w:szCs w:val="18"/>
              </w:rPr>
            </w:pPr>
            <w:r w:rsidRPr="003F6303">
              <w:rPr>
                <w:b/>
                <w:bCs/>
                <w:sz w:val="20"/>
                <w:szCs w:val="18"/>
              </w:rPr>
              <w:t>Control area</w:t>
            </w:r>
          </w:p>
        </w:tc>
        <w:tc>
          <w:tcPr>
            <w:tcW w:w="3402" w:type="dxa"/>
            <w:tcBorders>
              <w:top w:val="single" w:sz="4" w:space="0" w:color="000000"/>
              <w:left w:val="single" w:sz="4" w:space="0" w:color="000000"/>
              <w:bottom w:val="single" w:sz="4" w:space="0" w:color="000000"/>
              <w:right w:val="single" w:sz="4" w:space="0" w:color="000000"/>
            </w:tcBorders>
            <w:shd w:val="clear" w:color="auto" w:fill="1F4E79"/>
            <w:tcMar>
              <w:top w:w="80" w:type="dxa"/>
              <w:left w:w="108" w:type="dxa"/>
              <w:bottom w:w="80" w:type="dxa"/>
              <w:right w:w="108" w:type="dxa"/>
            </w:tcMar>
            <w:vAlign w:val="center"/>
            <w:hideMark/>
          </w:tcPr>
          <w:p w14:paraId="65E37053" w14:textId="77777777" w:rsidR="003F6303" w:rsidRPr="003F6303" w:rsidRDefault="003F6303" w:rsidP="003E569D">
            <w:pPr>
              <w:spacing w:line="240" w:lineRule="auto"/>
              <w:jc w:val="both"/>
              <w:rPr>
                <w:sz w:val="20"/>
                <w:szCs w:val="18"/>
              </w:rPr>
            </w:pPr>
            <w:r w:rsidRPr="003F6303">
              <w:rPr>
                <w:b/>
                <w:bCs/>
                <w:sz w:val="20"/>
                <w:szCs w:val="18"/>
              </w:rPr>
              <w:t>Minimum contractual requirement</w:t>
            </w:r>
          </w:p>
        </w:tc>
        <w:tc>
          <w:tcPr>
            <w:tcW w:w="2438" w:type="dxa"/>
            <w:tcBorders>
              <w:top w:val="single" w:sz="4" w:space="0" w:color="000000"/>
              <w:left w:val="single" w:sz="4" w:space="0" w:color="000000"/>
              <w:bottom w:val="single" w:sz="4" w:space="0" w:color="000000"/>
              <w:right w:val="single" w:sz="4" w:space="0" w:color="000000"/>
            </w:tcBorders>
            <w:shd w:val="clear" w:color="auto" w:fill="1F4E79"/>
            <w:tcMar>
              <w:top w:w="80" w:type="dxa"/>
              <w:left w:w="108" w:type="dxa"/>
              <w:bottom w:w="80" w:type="dxa"/>
              <w:right w:w="108" w:type="dxa"/>
            </w:tcMar>
            <w:vAlign w:val="center"/>
            <w:hideMark/>
          </w:tcPr>
          <w:p w14:paraId="6158FFE9" w14:textId="77777777" w:rsidR="003F6303" w:rsidRPr="003F6303" w:rsidRDefault="003F6303" w:rsidP="003E569D">
            <w:pPr>
              <w:spacing w:line="240" w:lineRule="auto"/>
              <w:jc w:val="both"/>
              <w:rPr>
                <w:sz w:val="20"/>
                <w:szCs w:val="18"/>
              </w:rPr>
            </w:pPr>
            <w:r w:rsidRPr="003F6303">
              <w:rPr>
                <w:b/>
                <w:bCs/>
                <w:sz w:val="20"/>
                <w:szCs w:val="18"/>
              </w:rPr>
              <w:t>Required evidence</w:t>
            </w:r>
          </w:p>
        </w:tc>
        <w:tc>
          <w:tcPr>
            <w:tcW w:w="1814" w:type="dxa"/>
            <w:tcBorders>
              <w:top w:val="single" w:sz="4" w:space="0" w:color="000000"/>
              <w:left w:val="single" w:sz="4" w:space="0" w:color="000000"/>
              <w:bottom w:val="single" w:sz="4" w:space="0" w:color="000000"/>
              <w:right w:val="single" w:sz="4" w:space="0" w:color="000000"/>
            </w:tcBorders>
            <w:shd w:val="clear" w:color="auto" w:fill="1F4E79"/>
            <w:tcMar>
              <w:top w:w="80" w:type="dxa"/>
              <w:left w:w="108" w:type="dxa"/>
              <w:bottom w:w="80" w:type="dxa"/>
              <w:right w:w="108" w:type="dxa"/>
            </w:tcMar>
            <w:vAlign w:val="center"/>
            <w:hideMark/>
          </w:tcPr>
          <w:p w14:paraId="2E5E6CBB" w14:textId="77777777" w:rsidR="003F6303" w:rsidRPr="003F6303" w:rsidRDefault="003F6303" w:rsidP="003E569D">
            <w:pPr>
              <w:spacing w:line="240" w:lineRule="auto"/>
              <w:jc w:val="both"/>
              <w:rPr>
                <w:sz w:val="20"/>
                <w:szCs w:val="18"/>
              </w:rPr>
            </w:pPr>
            <w:r w:rsidRPr="003F6303">
              <w:rPr>
                <w:b/>
                <w:bCs/>
                <w:sz w:val="20"/>
                <w:szCs w:val="18"/>
              </w:rPr>
              <w:t>Escalation trigger</w:t>
            </w:r>
          </w:p>
        </w:tc>
      </w:tr>
      <w:tr w:rsidR="003F6303" w:rsidRPr="003F6303" w14:paraId="2584C9E0" w14:textId="77777777">
        <w:tc>
          <w:tcPr>
            <w:tcW w:w="1814" w:type="dxa"/>
            <w:tcBorders>
              <w:top w:val="single" w:sz="4" w:space="0" w:color="000000"/>
              <w:left w:val="single" w:sz="4" w:space="0" w:color="000000"/>
              <w:bottom w:val="single" w:sz="4" w:space="0" w:color="000000"/>
              <w:right w:val="single" w:sz="4" w:space="0" w:color="000000"/>
            </w:tcBorders>
            <w:shd w:val="clear" w:color="auto" w:fill="FFFFFF"/>
            <w:tcMar>
              <w:top w:w="80" w:type="dxa"/>
              <w:left w:w="108" w:type="dxa"/>
              <w:bottom w:w="80" w:type="dxa"/>
              <w:right w:w="108" w:type="dxa"/>
            </w:tcMar>
            <w:vAlign w:val="center"/>
            <w:hideMark/>
          </w:tcPr>
          <w:p w14:paraId="391F4D95" w14:textId="77777777" w:rsidR="003F6303" w:rsidRPr="003F6303" w:rsidRDefault="003F6303" w:rsidP="003E569D">
            <w:pPr>
              <w:spacing w:line="240" w:lineRule="auto"/>
              <w:jc w:val="both"/>
              <w:rPr>
                <w:sz w:val="20"/>
                <w:szCs w:val="18"/>
              </w:rPr>
            </w:pPr>
            <w:r w:rsidRPr="003F6303">
              <w:rPr>
                <w:sz w:val="20"/>
                <w:szCs w:val="18"/>
              </w:rPr>
              <w:t>Incident notification</w:t>
            </w:r>
          </w:p>
        </w:tc>
        <w:tc>
          <w:tcPr>
            <w:tcW w:w="3402" w:type="dxa"/>
            <w:tcBorders>
              <w:top w:val="single" w:sz="4" w:space="0" w:color="000000"/>
              <w:left w:val="single" w:sz="4" w:space="0" w:color="000000"/>
              <w:bottom w:val="single" w:sz="4" w:space="0" w:color="000000"/>
              <w:right w:val="single" w:sz="4" w:space="0" w:color="000000"/>
            </w:tcBorders>
            <w:shd w:val="clear" w:color="auto" w:fill="FFFFFF"/>
            <w:tcMar>
              <w:top w:w="80" w:type="dxa"/>
              <w:left w:w="108" w:type="dxa"/>
              <w:bottom w:w="80" w:type="dxa"/>
              <w:right w:w="108" w:type="dxa"/>
            </w:tcMar>
            <w:vAlign w:val="center"/>
            <w:hideMark/>
          </w:tcPr>
          <w:p w14:paraId="00F00F4B" w14:textId="77777777" w:rsidR="003F6303" w:rsidRPr="003F6303" w:rsidRDefault="003F6303" w:rsidP="003E569D">
            <w:pPr>
              <w:spacing w:line="240" w:lineRule="auto"/>
              <w:jc w:val="both"/>
              <w:rPr>
                <w:sz w:val="20"/>
                <w:szCs w:val="18"/>
              </w:rPr>
            </w:pPr>
            <w:r w:rsidRPr="003F6303">
              <w:rPr>
                <w:sz w:val="20"/>
                <w:szCs w:val="18"/>
              </w:rPr>
              <w:t>Initial notice within 12 hours; material facts updated continuously</w:t>
            </w:r>
          </w:p>
        </w:tc>
        <w:tc>
          <w:tcPr>
            <w:tcW w:w="2438" w:type="dxa"/>
            <w:tcBorders>
              <w:top w:val="single" w:sz="4" w:space="0" w:color="000000"/>
              <w:left w:val="single" w:sz="4" w:space="0" w:color="000000"/>
              <w:bottom w:val="single" w:sz="4" w:space="0" w:color="000000"/>
              <w:right w:val="single" w:sz="4" w:space="0" w:color="000000"/>
            </w:tcBorders>
            <w:shd w:val="clear" w:color="auto" w:fill="FFFFFF"/>
            <w:tcMar>
              <w:top w:w="80" w:type="dxa"/>
              <w:left w:w="108" w:type="dxa"/>
              <w:bottom w:w="80" w:type="dxa"/>
              <w:right w:w="108" w:type="dxa"/>
            </w:tcMar>
            <w:vAlign w:val="center"/>
            <w:hideMark/>
          </w:tcPr>
          <w:p w14:paraId="148772A3" w14:textId="77777777" w:rsidR="003F6303" w:rsidRPr="003F6303" w:rsidRDefault="003F6303" w:rsidP="003E569D">
            <w:pPr>
              <w:spacing w:line="240" w:lineRule="auto"/>
              <w:jc w:val="both"/>
              <w:rPr>
                <w:sz w:val="20"/>
                <w:szCs w:val="18"/>
              </w:rPr>
            </w:pPr>
            <w:r w:rsidRPr="003F6303">
              <w:rPr>
                <w:sz w:val="20"/>
                <w:szCs w:val="18"/>
              </w:rPr>
              <w:t>Incident record and timeline</w:t>
            </w:r>
          </w:p>
        </w:tc>
        <w:tc>
          <w:tcPr>
            <w:tcW w:w="1814" w:type="dxa"/>
            <w:tcBorders>
              <w:top w:val="single" w:sz="4" w:space="0" w:color="000000"/>
              <w:left w:val="single" w:sz="4" w:space="0" w:color="000000"/>
              <w:bottom w:val="single" w:sz="4" w:space="0" w:color="000000"/>
              <w:right w:val="single" w:sz="4" w:space="0" w:color="000000"/>
            </w:tcBorders>
            <w:shd w:val="clear" w:color="auto" w:fill="FFFFFF"/>
            <w:tcMar>
              <w:top w:w="80" w:type="dxa"/>
              <w:left w:w="108" w:type="dxa"/>
              <w:bottom w:w="80" w:type="dxa"/>
              <w:right w:w="108" w:type="dxa"/>
            </w:tcMar>
            <w:vAlign w:val="center"/>
            <w:hideMark/>
          </w:tcPr>
          <w:p w14:paraId="2B458825" w14:textId="77777777" w:rsidR="003F6303" w:rsidRPr="003F6303" w:rsidRDefault="003F6303" w:rsidP="003E569D">
            <w:pPr>
              <w:spacing w:line="240" w:lineRule="auto"/>
              <w:jc w:val="both"/>
              <w:rPr>
                <w:sz w:val="20"/>
                <w:szCs w:val="18"/>
              </w:rPr>
            </w:pPr>
            <w:r w:rsidRPr="003F6303">
              <w:rPr>
                <w:sz w:val="20"/>
                <w:szCs w:val="18"/>
              </w:rPr>
              <w:t>Late notice or incomplete facts</w:t>
            </w:r>
          </w:p>
        </w:tc>
      </w:tr>
      <w:tr w:rsidR="003F6303" w:rsidRPr="003F6303" w14:paraId="47F5315D" w14:textId="77777777">
        <w:tc>
          <w:tcPr>
            <w:tcW w:w="1814" w:type="dxa"/>
            <w:tcBorders>
              <w:top w:val="single" w:sz="4" w:space="0" w:color="000000"/>
              <w:left w:val="single" w:sz="4" w:space="0" w:color="000000"/>
              <w:bottom w:val="single" w:sz="4" w:space="0" w:color="000000"/>
              <w:right w:val="single" w:sz="4" w:space="0" w:color="000000"/>
            </w:tcBorders>
            <w:shd w:val="clear" w:color="auto" w:fill="EAF2F8"/>
            <w:tcMar>
              <w:top w:w="80" w:type="dxa"/>
              <w:left w:w="108" w:type="dxa"/>
              <w:bottom w:w="80" w:type="dxa"/>
              <w:right w:w="108" w:type="dxa"/>
            </w:tcMar>
            <w:vAlign w:val="center"/>
            <w:hideMark/>
          </w:tcPr>
          <w:p w14:paraId="72414AB6" w14:textId="77777777" w:rsidR="003F6303" w:rsidRPr="003F6303" w:rsidRDefault="003F6303" w:rsidP="003E569D">
            <w:pPr>
              <w:spacing w:line="240" w:lineRule="auto"/>
              <w:jc w:val="both"/>
              <w:rPr>
                <w:sz w:val="20"/>
                <w:szCs w:val="18"/>
              </w:rPr>
            </w:pPr>
            <w:r w:rsidRPr="003F6303">
              <w:rPr>
                <w:sz w:val="20"/>
                <w:szCs w:val="18"/>
              </w:rPr>
              <w:t>Identity and access</w:t>
            </w:r>
          </w:p>
        </w:tc>
        <w:tc>
          <w:tcPr>
            <w:tcW w:w="3402" w:type="dxa"/>
            <w:tcBorders>
              <w:top w:val="single" w:sz="4" w:space="0" w:color="000000"/>
              <w:left w:val="single" w:sz="4" w:space="0" w:color="000000"/>
              <w:bottom w:val="single" w:sz="4" w:space="0" w:color="000000"/>
              <w:right w:val="single" w:sz="4" w:space="0" w:color="000000"/>
            </w:tcBorders>
            <w:shd w:val="clear" w:color="auto" w:fill="EAF2F8"/>
            <w:tcMar>
              <w:top w:w="80" w:type="dxa"/>
              <w:left w:w="108" w:type="dxa"/>
              <w:bottom w:w="80" w:type="dxa"/>
              <w:right w:w="108" w:type="dxa"/>
            </w:tcMar>
            <w:vAlign w:val="center"/>
            <w:hideMark/>
          </w:tcPr>
          <w:p w14:paraId="4DDC1061" w14:textId="77777777" w:rsidR="003F6303" w:rsidRPr="003F6303" w:rsidRDefault="003F6303" w:rsidP="003E569D">
            <w:pPr>
              <w:spacing w:line="240" w:lineRule="auto"/>
              <w:jc w:val="both"/>
              <w:rPr>
                <w:sz w:val="20"/>
                <w:szCs w:val="18"/>
              </w:rPr>
            </w:pPr>
            <w:r w:rsidRPr="003F6303">
              <w:rPr>
                <w:sz w:val="20"/>
                <w:szCs w:val="18"/>
              </w:rPr>
              <w:t>MFA, least privilege, quarterly privileged review</w:t>
            </w:r>
          </w:p>
        </w:tc>
        <w:tc>
          <w:tcPr>
            <w:tcW w:w="2438" w:type="dxa"/>
            <w:tcBorders>
              <w:top w:val="single" w:sz="4" w:space="0" w:color="000000"/>
              <w:left w:val="single" w:sz="4" w:space="0" w:color="000000"/>
              <w:bottom w:val="single" w:sz="4" w:space="0" w:color="000000"/>
              <w:right w:val="single" w:sz="4" w:space="0" w:color="000000"/>
            </w:tcBorders>
            <w:shd w:val="clear" w:color="auto" w:fill="EAF2F8"/>
            <w:tcMar>
              <w:top w:w="80" w:type="dxa"/>
              <w:left w:w="108" w:type="dxa"/>
              <w:bottom w:w="80" w:type="dxa"/>
              <w:right w:w="108" w:type="dxa"/>
            </w:tcMar>
            <w:vAlign w:val="center"/>
            <w:hideMark/>
          </w:tcPr>
          <w:p w14:paraId="0E6D3CD2" w14:textId="77777777" w:rsidR="003F6303" w:rsidRPr="003F6303" w:rsidRDefault="003F6303" w:rsidP="003E569D">
            <w:pPr>
              <w:spacing w:line="240" w:lineRule="auto"/>
              <w:jc w:val="both"/>
              <w:rPr>
                <w:sz w:val="20"/>
                <w:szCs w:val="18"/>
              </w:rPr>
            </w:pPr>
            <w:r w:rsidRPr="003F6303">
              <w:rPr>
                <w:sz w:val="20"/>
                <w:szCs w:val="18"/>
              </w:rPr>
              <w:t>Access review and configuration evidence</w:t>
            </w:r>
          </w:p>
        </w:tc>
        <w:tc>
          <w:tcPr>
            <w:tcW w:w="1814" w:type="dxa"/>
            <w:tcBorders>
              <w:top w:val="single" w:sz="4" w:space="0" w:color="000000"/>
              <w:left w:val="single" w:sz="4" w:space="0" w:color="000000"/>
              <w:bottom w:val="single" w:sz="4" w:space="0" w:color="000000"/>
              <w:right w:val="single" w:sz="4" w:space="0" w:color="000000"/>
            </w:tcBorders>
            <w:shd w:val="clear" w:color="auto" w:fill="EAF2F8"/>
            <w:tcMar>
              <w:top w:w="80" w:type="dxa"/>
              <w:left w:w="108" w:type="dxa"/>
              <w:bottom w:w="80" w:type="dxa"/>
              <w:right w:w="108" w:type="dxa"/>
            </w:tcMar>
            <w:vAlign w:val="center"/>
            <w:hideMark/>
          </w:tcPr>
          <w:p w14:paraId="0FC30721" w14:textId="77777777" w:rsidR="003F6303" w:rsidRPr="003F6303" w:rsidRDefault="003F6303" w:rsidP="003E569D">
            <w:pPr>
              <w:spacing w:line="240" w:lineRule="auto"/>
              <w:jc w:val="both"/>
              <w:rPr>
                <w:sz w:val="20"/>
                <w:szCs w:val="18"/>
              </w:rPr>
            </w:pPr>
            <w:r w:rsidRPr="003F6303">
              <w:rPr>
                <w:sz w:val="20"/>
                <w:szCs w:val="18"/>
              </w:rPr>
              <w:t>Unreviewed or shared privileged accounts</w:t>
            </w:r>
          </w:p>
        </w:tc>
      </w:tr>
      <w:tr w:rsidR="003F6303" w:rsidRPr="003F6303" w14:paraId="179E65AB" w14:textId="77777777">
        <w:tc>
          <w:tcPr>
            <w:tcW w:w="1814" w:type="dxa"/>
            <w:tcBorders>
              <w:top w:val="single" w:sz="4" w:space="0" w:color="000000"/>
              <w:left w:val="single" w:sz="4" w:space="0" w:color="000000"/>
              <w:bottom w:val="single" w:sz="4" w:space="0" w:color="000000"/>
              <w:right w:val="single" w:sz="4" w:space="0" w:color="000000"/>
            </w:tcBorders>
            <w:shd w:val="clear" w:color="auto" w:fill="FFFFFF"/>
            <w:tcMar>
              <w:top w:w="80" w:type="dxa"/>
              <w:left w:w="108" w:type="dxa"/>
              <w:bottom w:w="80" w:type="dxa"/>
              <w:right w:w="108" w:type="dxa"/>
            </w:tcMar>
            <w:vAlign w:val="center"/>
            <w:hideMark/>
          </w:tcPr>
          <w:p w14:paraId="2473955A" w14:textId="77777777" w:rsidR="003F6303" w:rsidRPr="003F6303" w:rsidRDefault="003F6303" w:rsidP="003E569D">
            <w:pPr>
              <w:spacing w:line="240" w:lineRule="auto"/>
              <w:jc w:val="both"/>
              <w:rPr>
                <w:sz w:val="20"/>
                <w:szCs w:val="18"/>
              </w:rPr>
            </w:pPr>
            <w:r w:rsidRPr="003F6303">
              <w:rPr>
                <w:sz w:val="20"/>
                <w:szCs w:val="18"/>
              </w:rPr>
              <w:lastRenderedPageBreak/>
              <w:t>Vulnerability management</w:t>
            </w:r>
          </w:p>
        </w:tc>
        <w:tc>
          <w:tcPr>
            <w:tcW w:w="3402" w:type="dxa"/>
            <w:tcBorders>
              <w:top w:val="single" w:sz="4" w:space="0" w:color="000000"/>
              <w:left w:val="single" w:sz="4" w:space="0" w:color="000000"/>
              <w:bottom w:val="single" w:sz="4" w:space="0" w:color="000000"/>
              <w:right w:val="single" w:sz="4" w:space="0" w:color="000000"/>
            </w:tcBorders>
            <w:shd w:val="clear" w:color="auto" w:fill="FFFFFF"/>
            <w:tcMar>
              <w:top w:w="80" w:type="dxa"/>
              <w:left w:w="108" w:type="dxa"/>
              <w:bottom w:w="80" w:type="dxa"/>
              <w:right w:w="108" w:type="dxa"/>
            </w:tcMar>
            <w:vAlign w:val="center"/>
            <w:hideMark/>
          </w:tcPr>
          <w:p w14:paraId="01356C00" w14:textId="77777777" w:rsidR="003F6303" w:rsidRPr="003F6303" w:rsidRDefault="003F6303" w:rsidP="003E569D">
            <w:pPr>
              <w:spacing w:line="240" w:lineRule="auto"/>
              <w:jc w:val="both"/>
              <w:rPr>
                <w:sz w:val="20"/>
                <w:szCs w:val="18"/>
              </w:rPr>
            </w:pPr>
            <w:r w:rsidRPr="003F6303">
              <w:rPr>
                <w:sz w:val="20"/>
                <w:szCs w:val="18"/>
              </w:rPr>
              <w:t>Critical internet-facing defects remediated within 72 hours</w:t>
            </w:r>
          </w:p>
        </w:tc>
        <w:tc>
          <w:tcPr>
            <w:tcW w:w="2438" w:type="dxa"/>
            <w:tcBorders>
              <w:top w:val="single" w:sz="4" w:space="0" w:color="000000"/>
              <w:left w:val="single" w:sz="4" w:space="0" w:color="000000"/>
              <w:bottom w:val="single" w:sz="4" w:space="0" w:color="000000"/>
              <w:right w:val="single" w:sz="4" w:space="0" w:color="000000"/>
            </w:tcBorders>
            <w:shd w:val="clear" w:color="auto" w:fill="FFFFFF"/>
            <w:tcMar>
              <w:top w:w="80" w:type="dxa"/>
              <w:left w:w="108" w:type="dxa"/>
              <w:bottom w:w="80" w:type="dxa"/>
              <w:right w:w="108" w:type="dxa"/>
            </w:tcMar>
            <w:vAlign w:val="center"/>
            <w:hideMark/>
          </w:tcPr>
          <w:p w14:paraId="797CE85B" w14:textId="77777777" w:rsidR="003F6303" w:rsidRPr="003F6303" w:rsidRDefault="003F6303" w:rsidP="003E569D">
            <w:pPr>
              <w:spacing w:line="240" w:lineRule="auto"/>
              <w:jc w:val="both"/>
              <w:rPr>
                <w:sz w:val="20"/>
                <w:szCs w:val="18"/>
              </w:rPr>
            </w:pPr>
            <w:r w:rsidRPr="003F6303">
              <w:rPr>
                <w:sz w:val="20"/>
                <w:szCs w:val="18"/>
              </w:rPr>
              <w:t>Scan, ticket and closure evidence</w:t>
            </w:r>
          </w:p>
        </w:tc>
        <w:tc>
          <w:tcPr>
            <w:tcW w:w="1814" w:type="dxa"/>
            <w:tcBorders>
              <w:top w:val="single" w:sz="4" w:space="0" w:color="000000"/>
              <w:left w:val="single" w:sz="4" w:space="0" w:color="000000"/>
              <w:bottom w:val="single" w:sz="4" w:space="0" w:color="000000"/>
              <w:right w:val="single" w:sz="4" w:space="0" w:color="000000"/>
            </w:tcBorders>
            <w:shd w:val="clear" w:color="auto" w:fill="FFFFFF"/>
            <w:tcMar>
              <w:top w:w="80" w:type="dxa"/>
              <w:left w:w="108" w:type="dxa"/>
              <w:bottom w:w="80" w:type="dxa"/>
              <w:right w:w="108" w:type="dxa"/>
            </w:tcMar>
            <w:vAlign w:val="center"/>
            <w:hideMark/>
          </w:tcPr>
          <w:p w14:paraId="47EAD947" w14:textId="77777777" w:rsidR="003F6303" w:rsidRPr="003F6303" w:rsidRDefault="003F6303" w:rsidP="003E569D">
            <w:pPr>
              <w:spacing w:line="240" w:lineRule="auto"/>
              <w:jc w:val="both"/>
              <w:rPr>
                <w:sz w:val="20"/>
                <w:szCs w:val="18"/>
              </w:rPr>
            </w:pPr>
            <w:r w:rsidRPr="003F6303">
              <w:rPr>
                <w:sz w:val="20"/>
                <w:szCs w:val="18"/>
              </w:rPr>
              <w:t>Missed deadline or active exploitation</w:t>
            </w:r>
          </w:p>
        </w:tc>
      </w:tr>
      <w:tr w:rsidR="003F6303" w:rsidRPr="003F6303" w14:paraId="21358F09" w14:textId="77777777">
        <w:tc>
          <w:tcPr>
            <w:tcW w:w="1814" w:type="dxa"/>
            <w:tcBorders>
              <w:top w:val="single" w:sz="4" w:space="0" w:color="000000"/>
              <w:left w:val="single" w:sz="4" w:space="0" w:color="000000"/>
              <w:bottom w:val="single" w:sz="4" w:space="0" w:color="000000"/>
              <w:right w:val="single" w:sz="4" w:space="0" w:color="000000"/>
            </w:tcBorders>
            <w:shd w:val="clear" w:color="auto" w:fill="EAF2F8"/>
            <w:tcMar>
              <w:top w:w="80" w:type="dxa"/>
              <w:left w:w="108" w:type="dxa"/>
              <w:bottom w:w="80" w:type="dxa"/>
              <w:right w:w="108" w:type="dxa"/>
            </w:tcMar>
            <w:vAlign w:val="center"/>
            <w:hideMark/>
          </w:tcPr>
          <w:p w14:paraId="32AF01AD" w14:textId="77777777" w:rsidR="003F6303" w:rsidRPr="003F6303" w:rsidRDefault="003F6303" w:rsidP="003E569D">
            <w:pPr>
              <w:spacing w:line="240" w:lineRule="auto"/>
              <w:jc w:val="both"/>
              <w:rPr>
                <w:sz w:val="20"/>
                <w:szCs w:val="18"/>
              </w:rPr>
            </w:pPr>
            <w:r w:rsidRPr="003F6303">
              <w:rPr>
                <w:sz w:val="20"/>
                <w:szCs w:val="18"/>
              </w:rPr>
              <w:t>Resilience</w:t>
            </w:r>
          </w:p>
        </w:tc>
        <w:tc>
          <w:tcPr>
            <w:tcW w:w="3402" w:type="dxa"/>
            <w:tcBorders>
              <w:top w:val="single" w:sz="4" w:space="0" w:color="000000"/>
              <w:left w:val="single" w:sz="4" w:space="0" w:color="000000"/>
              <w:bottom w:val="single" w:sz="4" w:space="0" w:color="000000"/>
              <w:right w:val="single" w:sz="4" w:space="0" w:color="000000"/>
            </w:tcBorders>
            <w:shd w:val="clear" w:color="auto" w:fill="EAF2F8"/>
            <w:tcMar>
              <w:top w:w="80" w:type="dxa"/>
              <w:left w:w="108" w:type="dxa"/>
              <w:bottom w:w="80" w:type="dxa"/>
              <w:right w:w="108" w:type="dxa"/>
            </w:tcMar>
            <w:vAlign w:val="center"/>
            <w:hideMark/>
          </w:tcPr>
          <w:p w14:paraId="7EE0184B" w14:textId="77777777" w:rsidR="003F6303" w:rsidRPr="003F6303" w:rsidRDefault="003F6303" w:rsidP="003E569D">
            <w:pPr>
              <w:spacing w:line="240" w:lineRule="auto"/>
              <w:jc w:val="both"/>
              <w:rPr>
                <w:sz w:val="20"/>
                <w:szCs w:val="18"/>
              </w:rPr>
            </w:pPr>
            <w:r w:rsidRPr="003F6303">
              <w:rPr>
                <w:sz w:val="20"/>
                <w:szCs w:val="18"/>
              </w:rPr>
              <w:t>Tested service-specific RTO and RPO; annual joint exercise</w:t>
            </w:r>
          </w:p>
        </w:tc>
        <w:tc>
          <w:tcPr>
            <w:tcW w:w="2438" w:type="dxa"/>
            <w:tcBorders>
              <w:top w:val="single" w:sz="4" w:space="0" w:color="000000"/>
              <w:left w:val="single" w:sz="4" w:space="0" w:color="000000"/>
              <w:bottom w:val="single" w:sz="4" w:space="0" w:color="000000"/>
              <w:right w:val="single" w:sz="4" w:space="0" w:color="000000"/>
            </w:tcBorders>
            <w:shd w:val="clear" w:color="auto" w:fill="EAF2F8"/>
            <w:tcMar>
              <w:top w:w="80" w:type="dxa"/>
              <w:left w:w="108" w:type="dxa"/>
              <w:bottom w:w="80" w:type="dxa"/>
              <w:right w:w="108" w:type="dxa"/>
            </w:tcMar>
            <w:vAlign w:val="center"/>
            <w:hideMark/>
          </w:tcPr>
          <w:p w14:paraId="7610FC44" w14:textId="77777777" w:rsidR="003F6303" w:rsidRPr="003F6303" w:rsidRDefault="003F6303" w:rsidP="003E569D">
            <w:pPr>
              <w:spacing w:line="240" w:lineRule="auto"/>
              <w:jc w:val="both"/>
              <w:rPr>
                <w:sz w:val="20"/>
                <w:szCs w:val="18"/>
              </w:rPr>
            </w:pPr>
            <w:r w:rsidRPr="003F6303">
              <w:rPr>
                <w:sz w:val="20"/>
                <w:szCs w:val="18"/>
              </w:rPr>
              <w:t>Test report and remediation plan</w:t>
            </w:r>
          </w:p>
        </w:tc>
        <w:tc>
          <w:tcPr>
            <w:tcW w:w="1814" w:type="dxa"/>
            <w:tcBorders>
              <w:top w:val="single" w:sz="4" w:space="0" w:color="000000"/>
              <w:left w:val="single" w:sz="4" w:space="0" w:color="000000"/>
              <w:bottom w:val="single" w:sz="4" w:space="0" w:color="000000"/>
              <w:right w:val="single" w:sz="4" w:space="0" w:color="000000"/>
            </w:tcBorders>
            <w:shd w:val="clear" w:color="auto" w:fill="EAF2F8"/>
            <w:tcMar>
              <w:top w:w="80" w:type="dxa"/>
              <w:left w:w="108" w:type="dxa"/>
              <w:bottom w:w="80" w:type="dxa"/>
              <w:right w:w="108" w:type="dxa"/>
            </w:tcMar>
            <w:vAlign w:val="center"/>
            <w:hideMark/>
          </w:tcPr>
          <w:p w14:paraId="04AAA2D6" w14:textId="77777777" w:rsidR="003F6303" w:rsidRPr="003F6303" w:rsidRDefault="003F6303" w:rsidP="003E569D">
            <w:pPr>
              <w:spacing w:line="240" w:lineRule="auto"/>
              <w:jc w:val="both"/>
              <w:rPr>
                <w:sz w:val="20"/>
                <w:szCs w:val="18"/>
              </w:rPr>
            </w:pPr>
            <w:r w:rsidRPr="003F6303">
              <w:rPr>
                <w:sz w:val="20"/>
                <w:szCs w:val="18"/>
              </w:rPr>
              <w:t>Failed recovery or unresolved action</w:t>
            </w:r>
          </w:p>
        </w:tc>
      </w:tr>
      <w:tr w:rsidR="003F6303" w:rsidRPr="003F6303" w14:paraId="56B50822" w14:textId="77777777">
        <w:tc>
          <w:tcPr>
            <w:tcW w:w="1814" w:type="dxa"/>
            <w:tcBorders>
              <w:top w:val="single" w:sz="4" w:space="0" w:color="000000"/>
              <w:left w:val="single" w:sz="4" w:space="0" w:color="000000"/>
              <w:bottom w:val="single" w:sz="4" w:space="0" w:color="000000"/>
              <w:right w:val="single" w:sz="4" w:space="0" w:color="000000"/>
            </w:tcBorders>
            <w:shd w:val="clear" w:color="auto" w:fill="FFFFFF"/>
            <w:tcMar>
              <w:top w:w="80" w:type="dxa"/>
              <w:left w:w="108" w:type="dxa"/>
              <w:bottom w:w="80" w:type="dxa"/>
              <w:right w:w="108" w:type="dxa"/>
            </w:tcMar>
            <w:vAlign w:val="center"/>
            <w:hideMark/>
          </w:tcPr>
          <w:p w14:paraId="1EBD14F4" w14:textId="77777777" w:rsidR="003F6303" w:rsidRPr="003F6303" w:rsidRDefault="003F6303" w:rsidP="003E569D">
            <w:pPr>
              <w:spacing w:line="240" w:lineRule="auto"/>
              <w:jc w:val="both"/>
              <w:rPr>
                <w:sz w:val="20"/>
                <w:szCs w:val="18"/>
              </w:rPr>
            </w:pPr>
            <w:r w:rsidRPr="003F6303">
              <w:rPr>
                <w:sz w:val="20"/>
                <w:szCs w:val="18"/>
              </w:rPr>
              <w:t>Data lifecycle</w:t>
            </w:r>
          </w:p>
        </w:tc>
        <w:tc>
          <w:tcPr>
            <w:tcW w:w="3402" w:type="dxa"/>
            <w:tcBorders>
              <w:top w:val="single" w:sz="4" w:space="0" w:color="000000"/>
              <w:left w:val="single" w:sz="4" w:space="0" w:color="000000"/>
              <w:bottom w:val="single" w:sz="4" w:space="0" w:color="000000"/>
              <w:right w:val="single" w:sz="4" w:space="0" w:color="000000"/>
            </w:tcBorders>
            <w:shd w:val="clear" w:color="auto" w:fill="FFFFFF"/>
            <w:tcMar>
              <w:top w:w="80" w:type="dxa"/>
              <w:left w:w="108" w:type="dxa"/>
              <w:bottom w:w="80" w:type="dxa"/>
              <w:right w:w="108" w:type="dxa"/>
            </w:tcMar>
            <w:vAlign w:val="center"/>
            <w:hideMark/>
          </w:tcPr>
          <w:p w14:paraId="56D98F75" w14:textId="77777777" w:rsidR="003F6303" w:rsidRPr="003F6303" w:rsidRDefault="003F6303" w:rsidP="003E569D">
            <w:pPr>
              <w:spacing w:line="240" w:lineRule="auto"/>
              <w:jc w:val="both"/>
              <w:rPr>
                <w:sz w:val="20"/>
                <w:szCs w:val="18"/>
              </w:rPr>
            </w:pPr>
            <w:r w:rsidRPr="003F6303">
              <w:rPr>
                <w:sz w:val="20"/>
                <w:szCs w:val="18"/>
              </w:rPr>
              <w:t>Approved location, encryption, portability and verified deletion</w:t>
            </w:r>
          </w:p>
        </w:tc>
        <w:tc>
          <w:tcPr>
            <w:tcW w:w="2438" w:type="dxa"/>
            <w:tcBorders>
              <w:top w:val="single" w:sz="4" w:space="0" w:color="000000"/>
              <w:left w:val="single" w:sz="4" w:space="0" w:color="000000"/>
              <w:bottom w:val="single" w:sz="4" w:space="0" w:color="000000"/>
              <w:right w:val="single" w:sz="4" w:space="0" w:color="000000"/>
            </w:tcBorders>
            <w:shd w:val="clear" w:color="auto" w:fill="FFFFFF"/>
            <w:tcMar>
              <w:top w:w="80" w:type="dxa"/>
              <w:left w:w="108" w:type="dxa"/>
              <w:bottom w:w="80" w:type="dxa"/>
              <w:right w:w="108" w:type="dxa"/>
            </w:tcMar>
            <w:vAlign w:val="center"/>
            <w:hideMark/>
          </w:tcPr>
          <w:p w14:paraId="73616BE5" w14:textId="77777777" w:rsidR="003F6303" w:rsidRPr="003F6303" w:rsidRDefault="003F6303" w:rsidP="003E569D">
            <w:pPr>
              <w:spacing w:line="240" w:lineRule="auto"/>
              <w:jc w:val="both"/>
              <w:rPr>
                <w:sz w:val="20"/>
                <w:szCs w:val="18"/>
              </w:rPr>
            </w:pPr>
            <w:r w:rsidRPr="003F6303">
              <w:rPr>
                <w:sz w:val="20"/>
                <w:szCs w:val="18"/>
              </w:rPr>
              <w:t>Key, location and deletion evidence</w:t>
            </w:r>
          </w:p>
        </w:tc>
        <w:tc>
          <w:tcPr>
            <w:tcW w:w="1814" w:type="dxa"/>
            <w:tcBorders>
              <w:top w:val="single" w:sz="4" w:space="0" w:color="000000"/>
              <w:left w:val="single" w:sz="4" w:space="0" w:color="000000"/>
              <w:bottom w:val="single" w:sz="4" w:space="0" w:color="000000"/>
              <w:right w:val="single" w:sz="4" w:space="0" w:color="000000"/>
            </w:tcBorders>
            <w:shd w:val="clear" w:color="auto" w:fill="FFFFFF"/>
            <w:tcMar>
              <w:top w:w="80" w:type="dxa"/>
              <w:left w:w="108" w:type="dxa"/>
              <w:bottom w:w="80" w:type="dxa"/>
              <w:right w:w="108" w:type="dxa"/>
            </w:tcMar>
            <w:vAlign w:val="center"/>
            <w:hideMark/>
          </w:tcPr>
          <w:p w14:paraId="7B751BB6" w14:textId="77777777" w:rsidR="003F6303" w:rsidRPr="003F6303" w:rsidRDefault="003F6303" w:rsidP="003E569D">
            <w:pPr>
              <w:spacing w:line="240" w:lineRule="auto"/>
              <w:jc w:val="both"/>
              <w:rPr>
                <w:sz w:val="20"/>
                <w:szCs w:val="18"/>
              </w:rPr>
            </w:pPr>
            <w:r w:rsidRPr="003F6303">
              <w:rPr>
                <w:sz w:val="20"/>
                <w:szCs w:val="18"/>
              </w:rPr>
              <w:t>Unapproved subprocessor or location</w:t>
            </w:r>
          </w:p>
        </w:tc>
      </w:tr>
      <w:tr w:rsidR="003F6303" w:rsidRPr="003F6303" w14:paraId="0B44958A" w14:textId="77777777">
        <w:tc>
          <w:tcPr>
            <w:tcW w:w="1814" w:type="dxa"/>
            <w:tcBorders>
              <w:top w:val="single" w:sz="4" w:space="0" w:color="000000"/>
              <w:left w:val="single" w:sz="4" w:space="0" w:color="000000"/>
              <w:bottom w:val="single" w:sz="4" w:space="0" w:color="000000"/>
              <w:right w:val="single" w:sz="4" w:space="0" w:color="000000"/>
            </w:tcBorders>
            <w:shd w:val="clear" w:color="auto" w:fill="EAF2F8"/>
            <w:tcMar>
              <w:top w:w="80" w:type="dxa"/>
              <w:left w:w="108" w:type="dxa"/>
              <w:bottom w:w="80" w:type="dxa"/>
              <w:right w:w="108" w:type="dxa"/>
            </w:tcMar>
            <w:vAlign w:val="center"/>
            <w:hideMark/>
          </w:tcPr>
          <w:p w14:paraId="7A05D34B" w14:textId="77777777" w:rsidR="003F6303" w:rsidRPr="003F6303" w:rsidRDefault="003F6303" w:rsidP="003E569D">
            <w:pPr>
              <w:spacing w:line="240" w:lineRule="auto"/>
              <w:jc w:val="both"/>
              <w:rPr>
                <w:sz w:val="20"/>
                <w:szCs w:val="18"/>
              </w:rPr>
            </w:pPr>
            <w:r w:rsidRPr="003F6303">
              <w:rPr>
                <w:sz w:val="20"/>
                <w:szCs w:val="18"/>
              </w:rPr>
              <w:t>Assurance and exit</w:t>
            </w:r>
          </w:p>
        </w:tc>
        <w:tc>
          <w:tcPr>
            <w:tcW w:w="3402" w:type="dxa"/>
            <w:tcBorders>
              <w:top w:val="single" w:sz="4" w:space="0" w:color="000000"/>
              <w:left w:val="single" w:sz="4" w:space="0" w:color="000000"/>
              <w:bottom w:val="single" w:sz="4" w:space="0" w:color="000000"/>
              <w:right w:val="single" w:sz="4" w:space="0" w:color="000000"/>
            </w:tcBorders>
            <w:shd w:val="clear" w:color="auto" w:fill="EAF2F8"/>
            <w:tcMar>
              <w:top w:w="80" w:type="dxa"/>
              <w:left w:w="108" w:type="dxa"/>
              <w:bottom w:w="80" w:type="dxa"/>
              <w:right w:w="108" w:type="dxa"/>
            </w:tcMar>
            <w:vAlign w:val="center"/>
            <w:hideMark/>
          </w:tcPr>
          <w:p w14:paraId="4C87E75F" w14:textId="77777777" w:rsidR="003F6303" w:rsidRPr="003F6303" w:rsidRDefault="003F6303" w:rsidP="003E569D">
            <w:pPr>
              <w:spacing w:line="240" w:lineRule="auto"/>
              <w:jc w:val="both"/>
              <w:rPr>
                <w:sz w:val="20"/>
                <w:szCs w:val="18"/>
              </w:rPr>
            </w:pPr>
            <w:r w:rsidRPr="003F6303">
              <w:rPr>
                <w:sz w:val="20"/>
                <w:szCs w:val="18"/>
              </w:rPr>
              <w:t>Right to audit; secure transition and credential revocation</w:t>
            </w:r>
          </w:p>
        </w:tc>
        <w:tc>
          <w:tcPr>
            <w:tcW w:w="2438" w:type="dxa"/>
            <w:tcBorders>
              <w:top w:val="single" w:sz="4" w:space="0" w:color="000000"/>
              <w:left w:val="single" w:sz="4" w:space="0" w:color="000000"/>
              <w:bottom w:val="single" w:sz="4" w:space="0" w:color="000000"/>
              <w:right w:val="single" w:sz="4" w:space="0" w:color="000000"/>
            </w:tcBorders>
            <w:shd w:val="clear" w:color="auto" w:fill="EAF2F8"/>
            <w:tcMar>
              <w:top w:w="80" w:type="dxa"/>
              <w:left w:w="108" w:type="dxa"/>
              <w:bottom w:w="80" w:type="dxa"/>
              <w:right w:w="108" w:type="dxa"/>
            </w:tcMar>
            <w:vAlign w:val="center"/>
            <w:hideMark/>
          </w:tcPr>
          <w:p w14:paraId="14C3FC8F" w14:textId="77777777" w:rsidR="003F6303" w:rsidRPr="003F6303" w:rsidRDefault="003F6303" w:rsidP="003E569D">
            <w:pPr>
              <w:spacing w:line="240" w:lineRule="auto"/>
              <w:jc w:val="both"/>
              <w:rPr>
                <w:sz w:val="20"/>
                <w:szCs w:val="18"/>
              </w:rPr>
            </w:pPr>
            <w:r w:rsidRPr="003F6303">
              <w:rPr>
                <w:sz w:val="20"/>
                <w:szCs w:val="18"/>
              </w:rPr>
              <w:t>Audit pack and exit checklist</w:t>
            </w:r>
          </w:p>
        </w:tc>
        <w:tc>
          <w:tcPr>
            <w:tcW w:w="1814" w:type="dxa"/>
            <w:tcBorders>
              <w:top w:val="single" w:sz="4" w:space="0" w:color="000000"/>
              <w:left w:val="single" w:sz="4" w:space="0" w:color="000000"/>
              <w:bottom w:val="single" w:sz="4" w:space="0" w:color="000000"/>
              <w:right w:val="single" w:sz="4" w:space="0" w:color="000000"/>
            </w:tcBorders>
            <w:shd w:val="clear" w:color="auto" w:fill="EAF2F8"/>
            <w:tcMar>
              <w:top w:w="80" w:type="dxa"/>
              <w:left w:w="108" w:type="dxa"/>
              <w:bottom w:w="80" w:type="dxa"/>
              <w:right w:w="108" w:type="dxa"/>
            </w:tcMar>
            <w:vAlign w:val="center"/>
            <w:hideMark/>
          </w:tcPr>
          <w:p w14:paraId="3DBCB3A5" w14:textId="77777777" w:rsidR="003F6303" w:rsidRPr="003F6303" w:rsidRDefault="003F6303" w:rsidP="003E569D">
            <w:pPr>
              <w:spacing w:line="240" w:lineRule="auto"/>
              <w:jc w:val="both"/>
              <w:rPr>
                <w:sz w:val="20"/>
                <w:szCs w:val="18"/>
              </w:rPr>
            </w:pPr>
            <w:r w:rsidRPr="003F6303">
              <w:rPr>
                <w:sz w:val="20"/>
                <w:szCs w:val="18"/>
              </w:rPr>
              <w:t>Scope limitation or termination</w:t>
            </w:r>
          </w:p>
        </w:tc>
      </w:tr>
    </w:tbl>
    <w:p w14:paraId="10EEC790" w14:textId="77777777" w:rsidR="003F6303" w:rsidRPr="003F6303" w:rsidRDefault="003F6303" w:rsidP="003E569D">
      <w:pPr>
        <w:pStyle w:val="Heading2"/>
        <w:jc w:val="both"/>
      </w:pPr>
      <w:bookmarkStart w:id="60" w:name="_Toc234919631"/>
      <w:bookmarkStart w:id="61" w:name="_Toc237102348"/>
      <w:bookmarkStart w:id="62" w:name="_Toc237102979"/>
      <w:r w:rsidRPr="003F6303">
        <w:t>4.7 Incident Response and Business Continuity</w:t>
      </w:r>
      <w:bookmarkEnd w:id="60"/>
      <w:bookmarkEnd w:id="61"/>
      <w:bookmarkEnd w:id="62"/>
    </w:p>
    <w:p w14:paraId="1C046CCE" w14:textId="534B36E2" w:rsidR="00D409A3" w:rsidRDefault="00D409A3" w:rsidP="003E569D">
      <w:pPr>
        <w:jc w:val="both"/>
      </w:pPr>
      <w:r>
        <w:t xml:space="preserve">AeroLink must have one incident model connecting to the technical containment, privacy assessment, customer communication and operational continuity. Business impact should be considered a business impact and playbooks should be activated within the security OPS for a compromise of credentials, exposure of the cloud, manipulation of IoT, ransomware, and provider outage. Playbooks should designate decision leadership, evidence collection, notification triggers and cross-time-zone contacts. </w:t>
      </w:r>
    </w:p>
    <w:p w14:paraId="48DEE3F5" w14:textId="4FEBED01" w:rsidR="00D409A3" w:rsidRDefault="00D409A3" w:rsidP="003E569D">
      <w:pPr>
        <w:jc w:val="both"/>
      </w:pPr>
      <w:r>
        <w:t>The recovery time and recovery point goals for tracking, warehouse, customer portal and identity should be determined for business impact studies. Immutable, isolated backup and restore testing are critical for critical data. Dependency mapping is a must if the regions depend on the same dependency from the same identity service or management plane. Support degraded operations with manual shipment reconciliation, alternative communications and temporary partner access procedures. Exercises should incorporate scenarios of vendor non-cooperation and incorrect information at the start of the exercise because "what really happens in an exercise or in the real world is not what has been documented in the assumptions.</w:t>
      </w:r>
    </w:p>
    <w:p w14:paraId="7B1FA460" w14:textId="16CD62B9" w:rsidR="00D409A3" w:rsidRDefault="00D409A3" w:rsidP="003E569D">
      <w:pPr>
        <w:pStyle w:val="Heading2"/>
        <w:jc w:val="both"/>
      </w:pPr>
      <w:bookmarkStart w:id="63" w:name="_Toc234919632"/>
      <w:bookmarkStart w:id="64" w:name="_Toc237102349"/>
      <w:bookmarkStart w:id="65" w:name="_Toc237102980"/>
      <w:r>
        <w:t>4.8 Integrated Design Rationale</w:t>
      </w:r>
      <w:bookmarkEnd w:id="63"/>
      <w:bookmarkEnd w:id="64"/>
      <w:bookmarkEnd w:id="65"/>
    </w:p>
    <w:p w14:paraId="69194694" w14:textId="72248920" w:rsidR="00D409A3" w:rsidRDefault="00D409A3" w:rsidP="003E569D">
      <w:pPr>
        <w:jc w:val="both"/>
      </w:pPr>
      <w:r>
        <w:t>Governance establishes a risk appetite, from which a set of controlled requirements is derived by the ISMS, processed through then NIST and then ITIL processes, controlled by the Zero Trust and then passed back to the audit evidence through the management process.</w:t>
      </w:r>
    </w:p>
    <w:p w14:paraId="4EB855B9" w14:textId="77777777" w:rsidR="00D26F4A" w:rsidRDefault="00D26F4A">
      <w:pPr>
        <w:rPr>
          <w:rFonts w:asciiTheme="majorHAnsi" w:eastAsiaTheme="majorEastAsia" w:hAnsiTheme="majorHAnsi" w:cstheme="majorBidi"/>
          <w:color w:val="2F5496" w:themeColor="accent1" w:themeShade="BF"/>
          <w:sz w:val="36"/>
          <w:szCs w:val="36"/>
        </w:rPr>
      </w:pPr>
      <w:bookmarkStart w:id="66" w:name="_Toc234919633"/>
      <w:r>
        <w:br w:type="page"/>
      </w:r>
    </w:p>
    <w:p w14:paraId="15364167" w14:textId="40711ED3" w:rsidR="00D409A3" w:rsidRDefault="003F6303" w:rsidP="003E569D">
      <w:pPr>
        <w:pStyle w:val="Heading1"/>
        <w:jc w:val="both"/>
      </w:pPr>
      <w:bookmarkStart w:id="67" w:name="_Toc237102350"/>
      <w:bookmarkStart w:id="68" w:name="_Toc237102981"/>
      <w:r w:rsidRPr="003F6303">
        <w:lastRenderedPageBreak/>
        <w:t>5. Continuous Updating of Regulations and Standards</w:t>
      </w:r>
      <w:bookmarkEnd w:id="66"/>
      <w:bookmarkEnd w:id="67"/>
      <w:bookmarkEnd w:id="68"/>
    </w:p>
    <w:p w14:paraId="54D033F5" w14:textId="02ACC18D" w:rsidR="00D409A3" w:rsidRDefault="00D409A3" w:rsidP="003E569D">
      <w:pPr>
        <w:jc w:val="both"/>
      </w:pPr>
      <w:r>
        <w:t>It needs to be continuously updated because of the ongoing evolution of the control environment, as services are added to the clouds, IoT vendors' support is phased out, AI models are given a new data source, and regulators reaffirm their accountability. An annual review would end up in having gaps of time included in the review where policies refer to an environment that no longer exists. The risks that occur in IoT can be found in all layers of the devices, communication layers, applications, and management layers, so modifications at any layer lead to previous assurance being invalid</w:t>
      </w:r>
      <w:r w:rsidR="00A252F0">
        <w:t xml:space="preserve"> </w:t>
      </w:r>
      <w:r w:rsidR="003E569D">
        <w:t>[3]</w:t>
      </w:r>
      <w:r>
        <w:t>.</w:t>
      </w:r>
    </w:p>
    <w:p w14:paraId="35AFBCF9" w14:textId="3F4C57F8" w:rsidR="00D409A3" w:rsidRDefault="00D409A3" w:rsidP="003E569D">
      <w:pPr>
        <w:jc w:val="both"/>
      </w:pPr>
      <w:r>
        <w:t xml:space="preserve">Not all compliance, however, is deserving of the label continuous compliance, though. New controls can contradict each other from region to region, the old devices may lack the updated controls method, and mandatory updates may be regular, which makes it challenging to keep specialists engaged in material threat. It is possible that multiple standards releases could be pursued at the same time, resulting in higher costs but the same exposure. Applying </w:t>
      </w:r>
      <w:r w:rsidR="005D62F8" w:rsidRPr="005D62F8">
        <w:t>regulatory and standards</w:t>
      </w:r>
      <w:r w:rsidR="005D62F8">
        <w:t xml:space="preserve"> </w:t>
      </w:r>
      <w:r>
        <w:t xml:space="preserve">changes will require AeroLink to evaluate each application based on: applicability, risk significance, legal urgency, dependency for implementation and evidential impact. </w:t>
      </w:r>
    </w:p>
    <w:p w14:paraId="31F1686F" w14:textId="1CCAF959" w:rsidR="00D409A3" w:rsidRDefault="00D409A3" w:rsidP="003E569D">
      <w:pPr>
        <w:jc w:val="both"/>
      </w:pPr>
      <w:r>
        <w:t xml:space="preserve">The horizon scanning process must also include legal monitoring, standards reviews, threat intelligence, and vendor notifications and incident lessons. Compliance requires a change to be recorded; legal and security </w:t>
      </w:r>
      <w:r w:rsidR="003F6303">
        <w:t>evaluate</w:t>
      </w:r>
      <w:r>
        <w:t xml:space="preserve"> applicability; control owners </w:t>
      </w:r>
      <w:r w:rsidR="003F6303">
        <w:t>take</w:t>
      </w:r>
      <w:r>
        <w:t xml:space="preserve"> a targeted gap analysis; the steering committee prioritises the action(s); policy and configuration are updated; staff and suppliers are communicated to specifically and security assures effectiveness. The risk register and the Board reporting will be updated with material changes. This turns the awareness of regulation to measurable implementation without relying on untested paperwork. This assurance cycle is formalised in Figure 2.</w:t>
      </w:r>
    </w:p>
    <w:p w14:paraId="0D5F8BE5" w14:textId="77777777" w:rsidR="004861D8" w:rsidRDefault="003F6303" w:rsidP="000C1D48">
      <w:pPr>
        <w:keepNext/>
        <w:jc w:val="center"/>
      </w:pPr>
      <w:r w:rsidRPr="003F6303">
        <w:rPr>
          <w:noProof/>
        </w:rPr>
        <w:drawing>
          <wp:inline distT="0" distB="0" distL="0" distR="0" wp14:anchorId="2BA48143" wp14:editId="21D2B11B">
            <wp:extent cx="4010891" cy="2897742"/>
            <wp:effectExtent l="0" t="0" r="8890" b="0"/>
            <wp:docPr id="18909594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959499" name=""/>
                    <pic:cNvPicPr/>
                  </pic:nvPicPr>
                  <pic:blipFill>
                    <a:blip r:embed="rId10"/>
                    <a:stretch>
                      <a:fillRect/>
                    </a:stretch>
                  </pic:blipFill>
                  <pic:spPr>
                    <a:xfrm>
                      <a:off x="0" y="0"/>
                      <a:ext cx="4014148" cy="2900095"/>
                    </a:xfrm>
                    <a:prstGeom prst="rect">
                      <a:avLst/>
                    </a:prstGeom>
                  </pic:spPr>
                </pic:pic>
              </a:graphicData>
            </a:graphic>
          </wp:inline>
        </w:drawing>
      </w:r>
    </w:p>
    <w:p w14:paraId="15404B36" w14:textId="6900BC75" w:rsidR="00D409A3" w:rsidRPr="003F6303" w:rsidRDefault="004861D8" w:rsidP="006E489E">
      <w:pPr>
        <w:pStyle w:val="Heading1"/>
      </w:pPr>
      <w:bookmarkStart w:id="69" w:name="_Toc234854021"/>
      <w:bookmarkStart w:id="70" w:name="_Toc237102982"/>
      <w:r>
        <w:t xml:space="preserve">Figure </w:t>
      </w:r>
      <w:fldSimple w:instr=" SEQ Figure \* ARABIC ">
        <w:r>
          <w:rPr>
            <w:noProof/>
          </w:rPr>
          <w:t>2</w:t>
        </w:r>
      </w:fldSimple>
      <w:r>
        <w:t xml:space="preserve"> </w:t>
      </w:r>
      <w:r w:rsidRPr="00F2444C">
        <w:t>Continuous Regulatory and Standards Assurance Cycle</w:t>
      </w:r>
      <w:bookmarkEnd w:id="69"/>
      <w:bookmarkEnd w:id="70"/>
    </w:p>
    <w:p w14:paraId="6EFCAFE8" w14:textId="77777777" w:rsidR="00D26F4A" w:rsidRDefault="00D26F4A">
      <w:pPr>
        <w:rPr>
          <w:rFonts w:asciiTheme="majorHAnsi" w:eastAsiaTheme="majorEastAsia" w:hAnsiTheme="majorHAnsi" w:cstheme="majorBidi"/>
          <w:color w:val="2F5496" w:themeColor="accent1" w:themeShade="BF"/>
          <w:sz w:val="36"/>
          <w:szCs w:val="36"/>
        </w:rPr>
      </w:pPr>
      <w:bookmarkStart w:id="71" w:name="_Toc234919634"/>
      <w:r>
        <w:br w:type="page"/>
      </w:r>
    </w:p>
    <w:p w14:paraId="09EC5EDF" w14:textId="7F976B4F" w:rsidR="00D409A3" w:rsidRDefault="003F6303" w:rsidP="003E569D">
      <w:pPr>
        <w:pStyle w:val="Heading1"/>
        <w:jc w:val="both"/>
      </w:pPr>
      <w:bookmarkStart w:id="72" w:name="_Toc237102351"/>
      <w:bookmarkStart w:id="73" w:name="_Toc237102983"/>
      <w:r w:rsidRPr="003F6303">
        <w:lastRenderedPageBreak/>
        <w:t>6. Implementation Roadmap and Performance Measures</w:t>
      </w:r>
      <w:bookmarkEnd w:id="71"/>
      <w:bookmarkEnd w:id="72"/>
      <w:bookmarkEnd w:id="73"/>
    </w:p>
    <w:p w14:paraId="563566A3" w14:textId="5C2838AA" w:rsidR="003F6303" w:rsidRPr="003F6303" w:rsidRDefault="00D409A3" w:rsidP="003E569D">
      <w:pPr>
        <w:jc w:val="both"/>
      </w:pPr>
      <w:r>
        <w:t xml:space="preserve">In months 0-3, AeroLink will determine leaders, establish risk register, implement MFA, review critical vendors and conduct incident escalation </w:t>
      </w:r>
      <w:r w:rsidR="003F6303">
        <w:t xml:space="preserve">testing. </w:t>
      </w:r>
      <w:r>
        <w:t>Conditional access, cloud posture monitoring, data inventories, supplier SLAs and business impact analysis should be in place for months 3-12. ISMS should be further developed, tested with recovery across providers and ready to be certified by months 12-24. These include MFA coverage, privileged-access review, vendor assurance, mean detection and containment time, patch compliance, encryption coverage, overdue treatments and successful recovery tests. These actions are detailed in turn in Table 5.</w:t>
      </w:r>
    </w:p>
    <w:p w14:paraId="5399BD15" w14:textId="2E5277DA" w:rsidR="000E3DD2" w:rsidRDefault="000E3DD2" w:rsidP="006E489E">
      <w:pPr>
        <w:pStyle w:val="Heading1"/>
      </w:pPr>
      <w:bookmarkStart w:id="74" w:name="_Toc234854014"/>
      <w:bookmarkStart w:id="75" w:name="_Toc237102984"/>
      <w:r>
        <w:t xml:space="preserve">Table </w:t>
      </w:r>
      <w:fldSimple w:instr=" SEQ Table \* ARABIC ">
        <w:r>
          <w:rPr>
            <w:noProof/>
          </w:rPr>
          <w:t>5</w:t>
        </w:r>
      </w:fldSimple>
      <w:r>
        <w:t xml:space="preserve"> </w:t>
      </w:r>
      <w:r w:rsidRPr="00FE2073">
        <w:t xml:space="preserve"> Phased Implementation Roadmap and Measures</w:t>
      </w:r>
      <w:bookmarkEnd w:id="74"/>
      <w:bookmarkEnd w:id="75"/>
    </w:p>
    <w:tbl>
      <w:tblPr>
        <w:tblW w:w="0" w:type="dxa"/>
        <w:tblBorders>
          <w:top w:val="single" w:sz="2" w:space="0" w:color="auto"/>
          <w:left w:val="single" w:sz="2" w:space="0" w:color="auto"/>
          <w:bottom w:val="single" w:sz="2" w:space="0" w:color="auto"/>
          <w:right w:val="single" w:sz="2" w:space="0" w:color="auto"/>
        </w:tblBorders>
        <w:shd w:val="clear" w:color="auto" w:fill="FFFFFF"/>
        <w:tblLook w:val="04A0" w:firstRow="1" w:lastRow="0" w:firstColumn="1" w:lastColumn="0" w:noHBand="0" w:noVBand="1"/>
      </w:tblPr>
      <w:tblGrid>
        <w:gridCol w:w="1390"/>
        <w:gridCol w:w="4203"/>
        <w:gridCol w:w="3423"/>
      </w:tblGrid>
      <w:tr w:rsidR="003F6303" w:rsidRPr="003F6303" w14:paraId="02D86EDE" w14:textId="77777777">
        <w:tc>
          <w:tcPr>
            <w:tcW w:w="1474" w:type="dxa"/>
            <w:tcBorders>
              <w:top w:val="single" w:sz="4" w:space="0" w:color="000000"/>
              <w:left w:val="single" w:sz="4" w:space="0" w:color="000000"/>
              <w:bottom w:val="single" w:sz="4" w:space="0" w:color="000000"/>
              <w:right w:val="single" w:sz="4" w:space="0" w:color="000000"/>
            </w:tcBorders>
            <w:shd w:val="clear" w:color="auto" w:fill="1F4E79"/>
            <w:tcMar>
              <w:top w:w="40" w:type="dxa"/>
              <w:left w:w="108" w:type="dxa"/>
              <w:bottom w:w="40" w:type="dxa"/>
              <w:right w:w="108" w:type="dxa"/>
            </w:tcMar>
            <w:vAlign w:val="center"/>
            <w:hideMark/>
          </w:tcPr>
          <w:p w14:paraId="59AF6A7B" w14:textId="77777777" w:rsidR="003F6303" w:rsidRPr="003F6303" w:rsidRDefault="003F6303" w:rsidP="003E569D">
            <w:pPr>
              <w:spacing w:line="240" w:lineRule="auto"/>
              <w:jc w:val="both"/>
              <w:rPr>
                <w:sz w:val="20"/>
                <w:szCs w:val="18"/>
              </w:rPr>
            </w:pPr>
            <w:r w:rsidRPr="003F6303">
              <w:rPr>
                <w:b/>
                <w:bCs/>
                <w:sz w:val="20"/>
                <w:szCs w:val="18"/>
              </w:rPr>
              <w:t>Phase</w:t>
            </w:r>
          </w:p>
        </w:tc>
        <w:tc>
          <w:tcPr>
            <w:tcW w:w="4649" w:type="dxa"/>
            <w:tcBorders>
              <w:top w:val="single" w:sz="4" w:space="0" w:color="000000"/>
              <w:left w:val="single" w:sz="4" w:space="0" w:color="000000"/>
              <w:bottom w:val="single" w:sz="4" w:space="0" w:color="000000"/>
              <w:right w:val="single" w:sz="4" w:space="0" w:color="000000"/>
            </w:tcBorders>
            <w:shd w:val="clear" w:color="auto" w:fill="1F4E79"/>
            <w:tcMar>
              <w:top w:w="40" w:type="dxa"/>
              <w:left w:w="108" w:type="dxa"/>
              <w:bottom w:w="40" w:type="dxa"/>
              <w:right w:w="108" w:type="dxa"/>
            </w:tcMar>
            <w:vAlign w:val="center"/>
            <w:hideMark/>
          </w:tcPr>
          <w:p w14:paraId="3994E6C5" w14:textId="77777777" w:rsidR="003F6303" w:rsidRPr="003F6303" w:rsidRDefault="003F6303" w:rsidP="003E569D">
            <w:pPr>
              <w:spacing w:line="240" w:lineRule="auto"/>
              <w:jc w:val="both"/>
              <w:rPr>
                <w:sz w:val="20"/>
                <w:szCs w:val="18"/>
              </w:rPr>
            </w:pPr>
            <w:r w:rsidRPr="003F6303">
              <w:rPr>
                <w:b/>
                <w:bCs/>
                <w:sz w:val="20"/>
                <w:szCs w:val="18"/>
              </w:rPr>
              <w:t>Priority deliverables</w:t>
            </w:r>
          </w:p>
        </w:tc>
        <w:tc>
          <w:tcPr>
            <w:tcW w:w="3685" w:type="dxa"/>
            <w:tcBorders>
              <w:top w:val="single" w:sz="4" w:space="0" w:color="000000"/>
              <w:left w:val="single" w:sz="4" w:space="0" w:color="000000"/>
              <w:bottom w:val="single" w:sz="4" w:space="0" w:color="000000"/>
              <w:right w:val="single" w:sz="4" w:space="0" w:color="000000"/>
            </w:tcBorders>
            <w:shd w:val="clear" w:color="auto" w:fill="1F4E79"/>
            <w:tcMar>
              <w:top w:w="40" w:type="dxa"/>
              <w:left w:w="108" w:type="dxa"/>
              <w:bottom w:w="40" w:type="dxa"/>
              <w:right w:w="108" w:type="dxa"/>
            </w:tcMar>
            <w:vAlign w:val="center"/>
            <w:hideMark/>
          </w:tcPr>
          <w:p w14:paraId="2065F799" w14:textId="77777777" w:rsidR="003F6303" w:rsidRPr="003F6303" w:rsidRDefault="003F6303" w:rsidP="003E569D">
            <w:pPr>
              <w:spacing w:line="240" w:lineRule="auto"/>
              <w:jc w:val="both"/>
              <w:rPr>
                <w:sz w:val="20"/>
                <w:szCs w:val="18"/>
              </w:rPr>
            </w:pPr>
            <w:r w:rsidRPr="003F6303">
              <w:rPr>
                <w:b/>
                <w:bCs/>
                <w:sz w:val="20"/>
                <w:szCs w:val="18"/>
              </w:rPr>
              <w:t>Illustrative performance measures</w:t>
            </w:r>
          </w:p>
        </w:tc>
      </w:tr>
      <w:tr w:rsidR="003F6303" w:rsidRPr="003F6303" w14:paraId="748721DB" w14:textId="77777777">
        <w:tc>
          <w:tcPr>
            <w:tcW w:w="1474" w:type="dxa"/>
            <w:tcBorders>
              <w:top w:val="single" w:sz="4" w:space="0" w:color="000000"/>
              <w:left w:val="single" w:sz="4" w:space="0" w:color="000000"/>
              <w:bottom w:val="single" w:sz="4" w:space="0" w:color="000000"/>
              <w:right w:val="single" w:sz="4" w:space="0" w:color="000000"/>
            </w:tcBorders>
            <w:shd w:val="clear" w:color="auto" w:fill="FFFFFF"/>
            <w:tcMar>
              <w:top w:w="40" w:type="dxa"/>
              <w:left w:w="108" w:type="dxa"/>
              <w:bottom w:w="40" w:type="dxa"/>
              <w:right w:w="108" w:type="dxa"/>
            </w:tcMar>
            <w:vAlign w:val="center"/>
            <w:hideMark/>
          </w:tcPr>
          <w:p w14:paraId="4421FCA9" w14:textId="77777777" w:rsidR="003F6303" w:rsidRPr="003F6303" w:rsidRDefault="003F6303" w:rsidP="003E569D">
            <w:pPr>
              <w:spacing w:line="240" w:lineRule="auto"/>
              <w:jc w:val="both"/>
              <w:rPr>
                <w:sz w:val="20"/>
                <w:szCs w:val="18"/>
              </w:rPr>
            </w:pPr>
            <w:r w:rsidRPr="003F6303">
              <w:rPr>
                <w:sz w:val="20"/>
                <w:szCs w:val="18"/>
              </w:rPr>
              <w:t>0-3 months</w:t>
            </w:r>
          </w:p>
        </w:tc>
        <w:tc>
          <w:tcPr>
            <w:tcW w:w="4649" w:type="dxa"/>
            <w:tcBorders>
              <w:top w:val="single" w:sz="4" w:space="0" w:color="000000"/>
              <w:left w:val="single" w:sz="4" w:space="0" w:color="000000"/>
              <w:bottom w:val="single" w:sz="4" w:space="0" w:color="000000"/>
              <w:right w:val="single" w:sz="4" w:space="0" w:color="000000"/>
            </w:tcBorders>
            <w:shd w:val="clear" w:color="auto" w:fill="FFFFFF"/>
            <w:tcMar>
              <w:top w:w="40" w:type="dxa"/>
              <w:left w:w="108" w:type="dxa"/>
              <w:bottom w:w="40" w:type="dxa"/>
              <w:right w:w="108" w:type="dxa"/>
            </w:tcMar>
            <w:vAlign w:val="center"/>
            <w:hideMark/>
          </w:tcPr>
          <w:p w14:paraId="66E6BA35" w14:textId="77777777" w:rsidR="003F6303" w:rsidRPr="003F6303" w:rsidRDefault="003F6303" w:rsidP="003E569D">
            <w:pPr>
              <w:spacing w:line="240" w:lineRule="auto"/>
              <w:jc w:val="both"/>
              <w:rPr>
                <w:sz w:val="20"/>
                <w:szCs w:val="18"/>
              </w:rPr>
            </w:pPr>
            <w:r w:rsidRPr="003F6303">
              <w:rPr>
                <w:sz w:val="20"/>
                <w:szCs w:val="18"/>
              </w:rPr>
              <w:t>Governance; risk register; MFA; critical-vendor review; escalation test</w:t>
            </w:r>
          </w:p>
        </w:tc>
        <w:tc>
          <w:tcPr>
            <w:tcW w:w="3685" w:type="dxa"/>
            <w:tcBorders>
              <w:top w:val="single" w:sz="4" w:space="0" w:color="000000"/>
              <w:left w:val="single" w:sz="4" w:space="0" w:color="000000"/>
              <w:bottom w:val="single" w:sz="4" w:space="0" w:color="000000"/>
              <w:right w:val="single" w:sz="4" w:space="0" w:color="000000"/>
            </w:tcBorders>
            <w:shd w:val="clear" w:color="auto" w:fill="FFFFFF"/>
            <w:tcMar>
              <w:top w:w="40" w:type="dxa"/>
              <w:left w:w="108" w:type="dxa"/>
              <w:bottom w:w="40" w:type="dxa"/>
              <w:right w:w="108" w:type="dxa"/>
            </w:tcMar>
            <w:vAlign w:val="center"/>
            <w:hideMark/>
          </w:tcPr>
          <w:p w14:paraId="3C8279CA" w14:textId="77777777" w:rsidR="003F6303" w:rsidRPr="003F6303" w:rsidRDefault="003F6303" w:rsidP="003E569D">
            <w:pPr>
              <w:spacing w:line="240" w:lineRule="auto"/>
              <w:jc w:val="both"/>
              <w:rPr>
                <w:sz w:val="20"/>
                <w:szCs w:val="18"/>
              </w:rPr>
            </w:pPr>
            <w:r w:rsidRPr="003F6303">
              <w:rPr>
                <w:sz w:val="20"/>
                <w:szCs w:val="18"/>
              </w:rPr>
              <w:t>100% privileged MFA; critical vendors classified; contacts validated</w:t>
            </w:r>
          </w:p>
        </w:tc>
      </w:tr>
      <w:tr w:rsidR="003F6303" w:rsidRPr="003F6303" w14:paraId="4DBABD43" w14:textId="77777777">
        <w:tc>
          <w:tcPr>
            <w:tcW w:w="1474" w:type="dxa"/>
            <w:tcBorders>
              <w:top w:val="single" w:sz="4" w:space="0" w:color="000000"/>
              <w:left w:val="single" w:sz="4" w:space="0" w:color="000000"/>
              <w:bottom w:val="single" w:sz="4" w:space="0" w:color="000000"/>
              <w:right w:val="single" w:sz="4" w:space="0" w:color="000000"/>
            </w:tcBorders>
            <w:shd w:val="clear" w:color="auto" w:fill="EAF2F8"/>
            <w:tcMar>
              <w:top w:w="40" w:type="dxa"/>
              <w:left w:w="108" w:type="dxa"/>
              <w:bottom w:w="40" w:type="dxa"/>
              <w:right w:w="108" w:type="dxa"/>
            </w:tcMar>
            <w:vAlign w:val="center"/>
            <w:hideMark/>
          </w:tcPr>
          <w:p w14:paraId="7F2AC8D7" w14:textId="77777777" w:rsidR="003F6303" w:rsidRPr="003F6303" w:rsidRDefault="003F6303" w:rsidP="003E569D">
            <w:pPr>
              <w:spacing w:line="240" w:lineRule="auto"/>
              <w:jc w:val="both"/>
              <w:rPr>
                <w:sz w:val="20"/>
                <w:szCs w:val="18"/>
              </w:rPr>
            </w:pPr>
            <w:r w:rsidRPr="003F6303">
              <w:rPr>
                <w:sz w:val="20"/>
                <w:szCs w:val="18"/>
              </w:rPr>
              <w:t>3-12 months</w:t>
            </w:r>
          </w:p>
        </w:tc>
        <w:tc>
          <w:tcPr>
            <w:tcW w:w="4649" w:type="dxa"/>
            <w:tcBorders>
              <w:top w:val="single" w:sz="4" w:space="0" w:color="000000"/>
              <w:left w:val="single" w:sz="4" w:space="0" w:color="000000"/>
              <w:bottom w:val="single" w:sz="4" w:space="0" w:color="000000"/>
              <w:right w:val="single" w:sz="4" w:space="0" w:color="000000"/>
            </w:tcBorders>
            <w:shd w:val="clear" w:color="auto" w:fill="EAF2F8"/>
            <w:tcMar>
              <w:top w:w="40" w:type="dxa"/>
              <w:left w:w="108" w:type="dxa"/>
              <w:bottom w:w="40" w:type="dxa"/>
              <w:right w:w="108" w:type="dxa"/>
            </w:tcMar>
            <w:vAlign w:val="center"/>
            <w:hideMark/>
          </w:tcPr>
          <w:p w14:paraId="2767CABB" w14:textId="77777777" w:rsidR="003F6303" w:rsidRPr="003F6303" w:rsidRDefault="003F6303" w:rsidP="003E569D">
            <w:pPr>
              <w:spacing w:line="240" w:lineRule="auto"/>
              <w:jc w:val="both"/>
              <w:rPr>
                <w:sz w:val="20"/>
                <w:szCs w:val="18"/>
              </w:rPr>
            </w:pPr>
            <w:r w:rsidRPr="003F6303">
              <w:rPr>
                <w:sz w:val="20"/>
                <w:szCs w:val="18"/>
              </w:rPr>
              <w:t>Conditional access; CSPM; data inventory; SLAs; BIA and playbooks</w:t>
            </w:r>
          </w:p>
        </w:tc>
        <w:tc>
          <w:tcPr>
            <w:tcW w:w="3685" w:type="dxa"/>
            <w:tcBorders>
              <w:top w:val="single" w:sz="4" w:space="0" w:color="000000"/>
              <w:left w:val="single" w:sz="4" w:space="0" w:color="000000"/>
              <w:bottom w:val="single" w:sz="4" w:space="0" w:color="000000"/>
              <w:right w:val="single" w:sz="4" w:space="0" w:color="000000"/>
            </w:tcBorders>
            <w:shd w:val="clear" w:color="auto" w:fill="EAF2F8"/>
            <w:tcMar>
              <w:top w:w="40" w:type="dxa"/>
              <w:left w:w="108" w:type="dxa"/>
              <w:bottom w:w="40" w:type="dxa"/>
              <w:right w:w="108" w:type="dxa"/>
            </w:tcMar>
            <w:vAlign w:val="center"/>
            <w:hideMark/>
          </w:tcPr>
          <w:p w14:paraId="53D92DB1" w14:textId="77777777" w:rsidR="003F6303" w:rsidRPr="003F6303" w:rsidRDefault="003F6303" w:rsidP="003E569D">
            <w:pPr>
              <w:spacing w:line="240" w:lineRule="auto"/>
              <w:jc w:val="both"/>
              <w:rPr>
                <w:sz w:val="20"/>
                <w:szCs w:val="18"/>
              </w:rPr>
            </w:pPr>
            <w:r w:rsidRPr="003F6303">
              <w:rPr>
                <w:sz w:val="20"/>
                <w:szCs w:val="18"/>
              </w:rPr>
              <w:t>≥95% compliant-device access; ≥90% critical assets inventoried; RTO/RPO approved</w:t>
            </w:r>
          </w:p>
        </w:tc>
      </w:tr>
      <w:tr w:rsidR="003F6303" w:rsidRPr="003F6303" w14:paraId="39513662" w14:textId="77777777">
        <w:tc>
          <w:tcPr>
            <w:tcW w:w="1474" w:type="dxa"/>
            <w:tcBorders>
              <w:top w:val="single" w:sz="4" w:space="0" w:color="000000"/>
              <w:left w:val="single" w:sz="4" w:space="0" w:color="000000"/>
              <w:bottom w:val="single" w:sz="4" w:space="0" w:color="000000"/>
              <w:right w:val="single" w:sz="4" w:space="0" w:color="000000"/>
            </w:tcBorders>
            <w:shd w:val="clear" w:color="auto" w:fill="FFFFFF"/>
            <w:tcMar>
              <w:top w:w="40" w:type="dxa"/>
              <w:left w:w="108" w:type="dxa"/>
              <w:bottom w:w="40" w:type="dxa"/>
              <w:right w:w="108" w:type="dxa"/>
            </w:tcMar>
            <w:vAlign w:val="center"/>
            <w:hideMark/>
          </w:tcPr>
          <w:p w14:paraId="0FFB84A4" w14:textId="77777777" w:rsidR="003F6303" w:rsidRPr="003F6303" w:rsidRDefault="003F6303" w:rsidP="003E569D">
            <w:pPr>
              <w:spacing w:line="240" w:lineRule="auto"/>
              <w:jc w:val="both"/>
              <w:rPr>
                <w:sz w:val="20"/>
                <w:szCs w:val="18"/>
              </w:rPr>
            </w:pPr>
            <w:r w:rsidRPr="003F6303">
              <w:rPr>
                <w:sz w:val="20"/>
                <w:szCs w:val="18"/>
              </w:rPr>
              <w:t>12-24 months</w:t>
            </w:r>
          </w:p>
        </w:tc>
        <w:tc>
          <w:tcPr>
            <w:tcW w:w="4649" w:type="dxa"/>
            <w:tcBorders>
              <w:top w:val="single" w:sz="4" w:space="0" w:color="000000"/>
              <w:left w:val="single" w:sz="4" w:space="0" w:color="000000"/>
              <w:bottom w:val="single" w:sz="4" w:space="0" w:color="000000"/>
              <w:right w:val="single" w:sz="4" w:space="0" w:color="000000"/>
            </w:tcBorders>
            <w:shd w:val="clear" w:color="auto" w:fill="FFFFFF"/>
            <w:tcMar>
              <w:top w:w="40" w:type="dxa"/>
              <w:left w:w="108" w:type="dxa"/>
              <w:bottom w:w="40" w:type="dxa"/>
              <w:right w:w="108" w:type="dxa"/>
            </w:tcMar>
            <w:vAlign w:val="center"/>
            <w:hideMark/>
          </w:tcPr>
          <w:p w14:paraId="3F1C3E20" w14:textId="77777777" w:rsidR="003F6303" w:rsidRPr="003F6303" w:rsidRDefault="003F6303" w:rsidP="003E569D">
            <w:pPr>
              <w:spacing w:line="240" w:lineRule="auto"/>
              <w:jc w:val="both"/>
              <w:rPr>
                <w:sz w:val="20"/>
                <w:szCs w:val="18"/>
              </w:rPr>
            </w:pPr>
            <w:r w:rsidRPr="003F6303">
              <w:rPr>
                <w:sz w:val="20"/>
                <w:szCs w:val="18"/>
              </w:rPr>
              <w:t>ISMS maturity; cross-provider recovery; AI/IoT assurance; certification readiness</w:t>
            </w:r>
          </w:p>
        </w:tc>
        <w:tc>
          <w:tcPr>
            <w:tcW w:w="3685" w:type="dxa"/>
            <w:tcBorders>
              <w:top w:val="single" w:sz="4" w:space="0" w:color="000000"/>
              <w:left w:val="single" w:sz="4" w:space="0" w:color="000000"/>
              <w:bottom w:val="single" w:sz="4" w:space="0" w:color="000000"/>
              <w:right w:val="single" w:sz="4" w:space="0" w:color="000000"/>
            </w:tcBorders>
            <w:shd w:val="clear" w:color="auto" w:fill="FFFFFF"/>
            <w:tcMar>
              <w:top w:w="40" w:type="dxa"/>
              <w:left w:w="108" w:type="dxa"/>
              <w:bottom w:w="40" w:type="dxa"/>
              <w:right w:w="108" w:type="dxa"/>
            </w:tcMar>
            <w:vAlign w:val="center"/>
            <w:hideMark/>
          </w:tcPr>
          <w:p w14:paraId="39883475" w14:textId="77777777" w:rsidR="003F6303" w:rsidRPr="003F6303" w:rsidRDefault="003F6303" w:rsidP="003E569D">
            <w:pPr>
              <w:spacing w:line="240" w:lineRule="auto"/>
              <w:jc w:val="both"/>
              <w:rPr>
                <w:sz w:val="20"/>
                <w:szCs w:val="18"/>
              </w:rPr>
            </w:pPr>
            <w:r w:rsidRPr="003F6303">
              <w:rPr>
                <w:sz w:val="20"/>
                <w:szCs w:val="18"/>
              </w:rPr>
              <w:t>High risks treated/accepted; recovery tests pass; audit actions on time</w:t>
            </w:r>
          </w:p>
        </w:tc>
      </w:tr>
    </w:tbl>
    <w:p w14:paraId="33F14372" w14:textId="75E8DA0A" w:rsidR="00D409A3" w:rsidRDefault="00D409A3" w:rsidP="003E569D">
      <w:pPr>
        <w:pStyle w:val="Heading1"/>
        <w:jc w:val="both"/>
      </w:pPr>
      <w:bookmarkStart w:id="76" w:name="_Toc234919635"/>
      <w:bookmarkStart w:id="77" w:name="_Toc237102352"/>
      <w:bookmarkStart w:id="78" w:name="_Toc237102985"/>
      <w:r>
        <w:t>7. Conclusion</w:t>
      </w:r>
      <w:bookmarkEnd w:id="76"/>
      <w:bookmarkEnd w:id="77"/>
      <w:bookmarkEnd w:id="78"/>
    </w:p>
    <w:p w14:paraId="550BF63C" w14:textId="14354F19" w:rsidR="00E662A8" w:rsidRDefault="005D62F8" w:rsidP="003E569D">
      <w:pPr>
        <w:jc w:val="both"/>
      </w:pPr>
      <w:r w:rsidRPr="005D62F8">
        <w:t>AeroLink requires a governed and continuously assured security programme rather than a collection of isolated controls</w:t>
      </w:r>
      <w:r w:rsidR="00D409A3">
        <w:t>. Together with COBIT, ISO/IEC 27001, NIST, ITIL and Zero Trust, it results in ‘accountable security with a risk-based approach'. What matters is supplier assurance, identity-centred protection, and evidence-driven compliance and adaptation to changes in technology and regulations in its global logistics journey.</w:t>
      </w:r>
    </w:p>
    <w:p w14:paraId="1D1FB872" w14:textId="77777777" w:rsidR="00B33794" w:rsidRDefault="00B33794" w:rsidP="003E569D">
      <w:pPr>
        <w:jc w:val="both"/>
      </w:pPr>
    </w:p>
    <w:p w14:paraId="73C60199" w14:textId="77777777" w:rsidR="00B33794" w:rsidRPr="00E662A8" w:rsidRDefault="00B33794" w:rsidP="003E569D">
      <w:pPr>
        <w:jc w:val="both"/>
      </w:pPr>
    </w:p>
    <w:p w14:paraId="1519358A" w14:textId="77777777" w:rsidR="001559F1" w:rsidRDefault="001559F1">
      <w:pPr>
        <w:rPr>
          <w:rFonts w:asciiTheme="majorHAnsi" w:eastAsiaTheme="majorEastAsia" w:hAnsiTheme="majorHAnsi" w:cstheme="majorBidi"/>
          <w:color w:val="2F5496" w:themeColor="accent1" w:themeShade="BF"/>
          <w:sz w:val="36"/>
          <w:szCs w:val="36"/>
        </w:rPr>
      </w:pPr>
      <w:bookmarkStart w:id="79" w:name="_Toc234919636"/>
      <w:r>
        <w:br w:type="page"/>
      </w:r>
    </w:p>
    <w:p w14:paraId="0B7C2ED8" w14:textId="20486A0D" w:rsidR="00E662A8" w:rsidRDefault="00E662A8" w:rsidP="003E569D">
      <w:pPr>
        <w:pStyle w:val="Heading1"/>
        <w:jc w:val="both"/>
      </w:pPr>
      <w:bookmarkStart w:id="80" w:name="_Toc237102353"/>
      <w:bookmarkStart w:id="81" w:name="_Toc237102986"/>
      <w:r>
        <w:lastRenderedPageBreak/>
        <w:t>References</w:t>
      </w:r>
      <w:bookmarkEnd w:id="79"/>
      <w:bookmarkEnd w:id="80"/>
      <w:bookmarkEnd w:id="81"/>
    </w:p>
    <w:p w14:paraId="5BA0E888" w14:textId="77777777" w:rsidR="00A52E33" w:rsidRPr="00A52E33" w:rsidRDefault="00A52E33" w:rsidP="00A52E33">
      <w:pPr>
        <w:jc w:val="both"/>
      </w:pPr>
      <w:r w:rsidRPr="00A52E33">
        <w:t xml:space="preserve">[1] W. Ahmad, A. Rasool, A. R. Javed, T. Baker, and Z. Jalil, “Cyber security in IoT-based cloud computing: A comprehensive survey,” </w:t>
      </w:r>
      <w:r w:rsidRPr="00A52E33">
        <w:rPr>
          <w:i/>
          <w:iCs/>
        </w:rPr>
        <w:t>Electronics</w:t>
      </w:r>
      <w:r w:rsidRPr="00A52E33">
        <w:t xml:space="preserve">, vol. 11, no. 1, Art. no. 16, 2022. [Online]. Available: </w:t>
      </w:r>
      <w:hyperlink r:id="rId11" w:history="1">
        <w:r w:rsidRPr="00A52E33">
          <w:rPr>
            <w:rStyle w:val="Hyperlink"/>
          </w:rPr>
          <w:t>https://doi.org/10.3390/electronics11010016</w:t>
        </w:r>
      </w:hyperlink>
      <w:r w:rsidRPr="00A52E33">
        <w:t>. [Accessed: Jul. 13, 2026].</w:t>
      </w:r>
    </w:p>
    <w:p w14:paraId="47058DE3" w14:textId="77777777" w:rsidR="00A52E33" w:rsidRPr="00A52E33" w:rsidRDefault="00A52E33" w:rsidP="00A52E33">
      <w:pPr>
        <w:jc w:val="both"/>
      </w:pPr>
      <w:r w:rsidRPr="00A52E33">
        <w:t xml:space="preserve">[2] D. Ajish, “The significance of artificial intelligence in zero trust technologies: A comprehensive review,” </w:t>
      </w:r>
      <w:r w:rsidRPr="00A52E33">
        <w:rPr>
          <w:i/>
          <w:iCs/>
        </w:rPr>
        <w:t>Journal of Electrical Systems and Information Technology</w:t>
      </w:r>
      <w:r w:rsidRPr="00A52E33">
        <w:t xml:space="preserve">, vol. 11, Art. no. 30, 2024. [Online]. Available: </w:t>
      </w:r>
      <w:hyperlink r:id="rId12" w:history="1">
        <w:r w:rsidRPr="00A52E33">
          <w:rPr>
            <w:rStyle w:val="Hyperlink"/>
          </w:rPr>
          <w:t>https://doi.org/10.1186/s43067-024-00155-z</w:t>
        </w:r>
      </w:hyperlink>
      <w:r w:rsidRPr="00A52E33">
        <w:t>. [Accessed: Jul. 13, 2026].</w:t>
      </w:r>
    </w:p>
    <w:p w14:paraId="3B210732" w14:textId="77777777" w:rsidR="00A52E33" w:rsidRPr="00A52E33" w:rsidRDefault="00A52E33" w:rsidP="00A52E33">
      <w:pPr>
        <w:jc w:val="both"/>
      </w:pPr>
      <w:r w:rsidRPr="00A52E33">
        <w:t xml:space="preserve">[3] T. S. </w:t>
      </w:r>
      <w:proofErr w:type="spellStart"/>
      <w:r w:rsidRPr="00A52E33">
        <w:t>AlSalem</w:t>
      </w:r>
      <w:proofErr w:type="spellEnd"/>
      <w:r w:rsidRPr="00A52E33">
        <w:t xml:space="preserve">, M. A. Almaiah, and A. Lutfi, “Cybersecurity risk analysis in the IoT: A systematic review,” </w:t>
      </w:r>
      <w:r w:rsidRPr="00A52E33">
        <w:rPr>
          <w:i/>
          <w:iCs/>
        </w:rPr>
        <w:t>Electronics</w:t>
      </w:r>
      <w:r w:rsidRPr="00A52E33">
        <w:t xml:space="preserve">, vol. 12, no. 18, Art. no. 3958, 2023. [Online]. Available: </w:t>
      </w:r>
      <w:hyperlink r:id="rId13" w:history="1">
        <w:r w:rsidRPr="00A52E33">
          <w:rPr>
            <w:rStyle w:val="Hyperlink"/>
          </w:rPr>
          <w:t>https://doi.org/10.3390/electronics12183958</w:t>
        </w:r>
      </w:hyperlink>
      <w:r w:rsidRPr="00A52E33">
        <w:t>. [Accessed: Jul. 13, 2026].</w:t>
      </w:r>
    </w:p>
    <w:p w14:paraId="7D1DD8CF" w14:textId="77777777" w:rsidR="00A52E33" w:rsidRPr="00A52E33" w:rsidRDefault="00A52E33" w:rsidP="00A52E33">
      <w:pPr>
        <w:jc w:val="both"/>
      </w:pPr>
      <w:r w:rsidRPr="00A52E33">
        <w:t xml:space="preserve">[4] B. M. V. Bernardo, H. São Mamede, J. M. P. Barroso, and V. M. P. D. dos Santos, “Data governance and quality management—Innovation and breakthroughs across different fields,” </w:t>
      </w:r>
      <w:r w:rsidRPr="00A52E33">
        <w:rPr>
          <w:i/>
          <w:iCs/>
        </w:rPr>
        <w:t>Journal of Innovation &amp; Knowledge</w:t>
      </w:r>
      <w:r w:rsidRPr="00A52E33">
        <w:t xml:space="preserve">, vol. 9, no. 4, Art. no. 100598, 2024. [Online]. Available: </w:t>
      </w:r>
      <w:hyperlink r:id="rId14" w:history="1">
        <w:r w:rsidRPr="00A52E33">
          <w:rPr>
            <w:rStyle w:val="Hyperlink"/>
          </w:rPr>
          <w:t>https://doi.org/10.1016/j.jik.2024.100598</w:t>
        </w:r>
      </w:hyperlink>
      <w:r w:rsidRPr="00A52E33">
        <w:t>. [Accessed: Jul. 13, 2026].</w:t>
      </w:r>
    </w:p>
    <w:p w14:paraId="7D13809F" w14:textId="77777777" w:rsidR="00A52E33" w:rsidRPr="00A52E33" w:rsidRDefault="00A52E33" w:rsidP="00A52E33">
      <w:pPr>
        <w:jc w:val="both"/>
      </w:pPr>
      <w:r w:rsidRPr="00A52E33">
        <w:t xml:space="preserve">[5] S. Boyson, T. M. Corsi, and J.-P. Paraskevas, “Defending digital supply chains: Evidence from a decade-long research program,” </w:t>
      </w:r>
      <w:proofErr w:type="spellStart"/>
      <w:r w:rsidRPr="00A52E33">
        <w:rPr>
          <w:i/>
          <w:iCs/>
        </w:rPr>
        <w:t>Technovation</w:t>
      </w:r>
      <w:proofErr w:type="spellEnd"/>
      <w:r w:rsidRPr="00A52E33">
        <w:t xml:space="preserve">, vol. 118, Art. no. 102380, 2022. [Online]. Available: </w:t>
      </w:r>
      <w:hyperlink r:id="rId15" w:history="1">
        <w:r w:rsidRPr="00A52E33">
          <w:rPr>
            <w:rStyle w:val="Hyperlink"/>
          </w:rPr>
          <w:t>https://doi.org/10.1016/j.technovation.2021.102380</w:t>
        </w:r>
      </w:hyperlink>
      <w:r w:rsidRPr="00A52E33">
        <w:t>. [Accessed: Jul. 13, 2026].</w:t>
      </w:r>
    </w:p>
    <w:p w14:paraId="703A44AD" w14:textId="77777777" w:rsidR="00A52E33" w:rsidRPr="00A52E33" w:rsidRDefault="00A52E33" w:rsidP="00A52E33">
      <w:pPr>
        <w:jc w:val="both"/>
      </w:pPr>
      <w:r w:rsidRPr="00A52E33">
        <w:t xml:space="preserve">[6] K.-F. Cheung, M. G. H. Bell, and J. </w:t>
      </w:r>
      <w:proofErr w:type="spellStart"/>
      <w:r w:rsidRPr="00A52E33">
        <w:t>Bhattacharjya</w:t>
      </w:r>
      <w:proofErr w:type="spellEnd"/>
      <w:r w:rsidRPr="00A52E33">
        <w:t xml:space="preserve">, “Cybersecurity in logistics and supply chain management: An overview and future research directions,” </w:t>
      </w:r>
      <w:r w:rsidRPr="00A52E33">
        <w:rPr>
          <w:i/>
          <w:iCs/>
        </w:rPr>
        <w:t>Transportation Research Part E: Logistics and Transportation Review</w:t>
      </w:r>
      <w:r w:rsidRPr="00A52E33">
        <w:t xml:space="preserve">, vol. 146, Art. no. 102217, 2021. [Online]. Available: </w:t>
      </w:r>
      <w:hyperlink r:id="rId16" w:history="1">
        <w:r w:rsidRPr="00A52E33">
          <w:rPr>
            <w:rStyle w:val="Hyperlink"/>
          </w:rPr>
          <w:t>https://doi.org/10.1016/j.tre.2020.102217</w:t>
        </w:r>
      </w:hyperlink>
      <w:r w:rsidRPr="00A52E33">
        <w:t>. [Accessed: Jul. 13, 2026].</w:t>
      </w:r>
    </w:p>
    <w:p w14:paraId="066996DD" w14:textId="77777777" w:rsidR="00A52E33" w:rsidRPr="00A52E33" w:rsidRDefault="00A52E33" w:rsidP="00A52E33">
      <w:pPr>
        <w:jc w:val="both"/>
      </w:pPr>
      <w:r w:rsidRPr="00A52E33">
        <w:t xml:space="preserve">[7] A. Dash, S. P. Sarmah, M. K. Tiwari, S. K. Jena, and C. H. Glock, “Cybersecurity investments in supply chains with two-stage risk propagation,” </w:t>
      </w:r>
      <w:r w:rsidRPr="00A52E33">
        <w:rPr>
          <w:i/>
          <w:iCs/>
        </w:rPr>
        <w:t>Computers &amp; Industrial Engineering</w:t>
      </w:r>
      <w:r w:rsidRPr="00A52E33">
        <w:t xml:space="preserve">, vol. 197, Art. no. 110519, 2024. [Online]. Available: </w:t>
      </w:r>
      <w:hyperlink r:id="rId17" w:history="1">
        <w:r w:rsidRPr="00A52E33">
          <w:rPr>
            <w:rStyle w:val="Hyperlink"/>
          </w:rPr>
          <w:t>https://doi.org/10.1016/j.cie.2024.110519</w:t>
        </w:r>
      </w:hyperlink>
      <w:r w:rsidRPr="00A52E33">
        <w:t>. [Accessed: Jul. 13, 2026].</w:t>
      </w:r>
    </w:p>
    <w:p w14:paraId="1BCD530F" w14:textId="77777777" w:rsidR="00A52E33" w:rsidRPr="00A52E33" w:rsidRDefault="00A52E33" w:rsidP="00A52E33">
      <w:pPr>
        <w:jc w:val="both"/>
      </w:pPr>
      <w:r w:rsidRPr="00A52E33">
        <w:t xml:space="preserve">[8] M. Gale, I. Bongiovanni, and S. </w:t>
      </w:r>
      <w:proofErr w:type="spellStart"/>
      <w:r w:rsidRPr="00A52E33">
        <w:t>Slapničar</w:t>
      </w:r>
      <w:proofErr w:type="spellEnd"/>
      <w:r w:rsidRPr="00A52E33">
        <w:t xml:space="preserve">, “Governing cybersecurity from the boardroom: Challenges, drivers, and ways ahead,” </w:t>
      </w:r>
      <w:r w:rsidRPr="00A52E33">
        <w:rPr>
          <w:i/>
          <w:iCs/>
        </w:rPr>
        <w:t>Computers &amp; Security</w:t>
      </w:r>
      <w:r w:rsidRPr="00A52E33">
        <w:t xml:space="preserve">, vol. 121, Art. no. 102840, 2022. [Online]. Available: </w:t>
      </w:r>
      <w:hyperlink r:id="rId18" w:history="1">
        <w:r w:rsidRPr="00A52E33">
          <w:rPr>
            <w:rStyle w:val="Hyperlink"/>
          </w:rPr>
          <w:t>https://doi.org/10.1016/j.cose.2022.102840</w:t>
        </w:r>
      </w:hyperlink>
      <w:r w:rsidRPr="00A52E33">
        <w:t>. [Accessed: Jul. 13, 2026].</w:t>
      </w:r>
    </w:p>
    <w:p w14:paraId="2EF837D3" w14:textId="77777777" w:rsidR="00A52E33" w:rsidRPr="00A52E33" w:rsidRDefault="00A52E33" w:rsidP="00A52E33">
      <w:pPr>
        <w:jc w:val="both"/>
      </w:pPr>
      <w:r w:rsidRPr="00A52E33">
        <w:t xml:space="preserve">[9] B. Gaudenzi and B. Baldi, “Cyber resilience in organisations and supply chains: From perceptions to actions,” </w:t>
      </w:r>
      <w:r w:rsidRPr="00A52E33">
        <w:rPr>
          <w:i/>
          <w:iCs/>
        </w:rPr>
        <w:t>The International Journal of Logistics Management</w:t>
      </w:r>
      <w:r w:rsidRPr="00A52E33">
        <w:t xml:space="preserve">, vol. 35, no. 7, pp. 99–122, 2024. [Online]. Available: </w:t>
      </w:r>
      <w:hyperlink r:id="rId19" w:history="1">
        <w:r w:rsidRPr="00A52E33">
          <w:rPr>
            <w:rStyle w:val="Hyperlink"/>
          </w:rPr>
          <w:t>https://doi.org/10.1108/IJLM-09-2023-0372</w:t>
        </w:r>
      </w:hyperlink>
      <w:r w:rsidRPr="00A52E33">
        <w:t>. [Accessed: Jul. 13, 2026].</w:t>
      </w:r>
    </w:p>
    <w:p w14:paraId="0382572C" w14:textId="77777777" w:rsidR="00A52E33" w:rsidRPr="00A52E33" w:rsidRDefault="00A52E33" w:rsidP="00A52E33">
      <w:pPr>
        <w:jc w:val="both"/>
      </w:pPr>
      <w:r w:rsidRPr="00A52E33">
        <w:t xml:space="preserve">[10] E. Kun, “Challenges in regulating cloud service providers in EU financial regulation: From operational to systemic risks, and examining challenges of the new oversight regime for critical cloud service providers under the Digital Operational Resilience Act,” </w:t>
      </w:r>
      <w:r w:rsidRPr="00A52E33">
        <w:rPr>
          <w:i/>
          <w:iCs/>
        </w:rPr>
        <w:t>Computer Law &amp; Security Review</w:t>
      </w:r>
      <w:r w:rsidRPr="00A52E33">
        <w:t xml:space="preserve">, vol. 52, Art. no. 105931, 2024. [Online]. Available: </w:t>
      </w:r>
      <w:hyperlink r:id="rId20" w:history="1">
        <w:r w:rsidRPr="00A52E33">
          <w:rPr>
            <w:rStyle w:val="Hyperlink"/>
          </w:rPr>
          <w:t>https://doi.org/10.1016/j.clsr.2023.105931</w:t>
        </w:r>
      </w:hyperlink>
      <w:r w:rsidRPr="00A52E33">
        <w:t>. [Accessed: Jul. 13, 2026].</w:t>
      </w:r>
    </w:p>
    <w:p w14:paraId="3A56EB55" w14:textId="77777777" w:rsidR="00A52E33" w:rsidRPr="00A52E33" w:rsidRDefault="00A52E33" w:rsidP="00A52E33">
      <w:pPr>
        <w:jc w:val="both"/>
      </w:pPr>
      <w:r w:rsidRPr="00A52E33">
        <w:t xml:space="preserve">[11] I. Lee, “Cybersecurity: Risk management framework and investment cost analysis,” </w:t>
      </w:r>
      <w:r w:rsidRPr="00A52E33">
        <w:rPr>
          <w:i/>
          <w:iCs/>
        </w:rPr>
        <w:t>Business Horizons</w:t>
      </w:r>
      <w:r w:rsidRPr="00A52E33">
        <w:t xml:space="preserve">, vol. 64, no. 5, pp. 659–671, 2021. [Online]. Available: </w:t>
      </w:r>
      <w:hyperlink r:id="rId21" w:history="1">
        <w:r w:rsidRPr="00A52E33">
          <w:rPr>
            <w:rStyle w:val="Hyperlink"/>
          </w:rPr>
          <w:t>https://doi.org/10.1016/j.bushor.2021.02.022</w:t>
        </w:r>
      </w:hyperlink>
      <w:r w:rsidRPr="00A52E33">
        <w:t>. [Accessed: Jul. 13, 2026].</w:t>
      </w:r>
    </w:p>
    <w:p w14:paraId="338EE622" w14:textId="77777777" w:rsidR="00A52E33" w:rsidRPr="00A52E33" w:rsidRDefault="00A52E33" w:rsidP="00A52E33">
      <w:pPr>
        <w:jc w:val="both"/>
      </w:pPr>
      <w:r w:rsidRPr="00A52E33">
        <w:t xml:space="preserve">[12] C. Liu, R. Tan, Y. Wu, Y. Feng, Z. Jin, F. Zhang, Y. Liu, and Q. Liu, “Dissecting zero trust: Research landscape and its implementation in IoT,” </w:t>
      </w:r>
      <w:r w:rsidRPr="00A52E33">
        <w:rPr>
          <w:i/>
          <w:iCs/>
        </w:rPr>
        <w:t>Cybersecurity</w:t>
      </w:r>
      <w:r w:rsidRPr="00A52E33">
        <w:t xml:space="preserve">, vol. 7, Art. no. 20, 2024. [Online]. Available: </w:t>
      </w:r>
      <w:hyperlink r:id="rId22" w:history="1">
        <w:r w:rsidRPr="00A52E33">
          <w:rPr>
            <w:rStyle w:val="Hyperlink"/>
          </w:rPr>
          <w:t>https://doi.org/10.1186/s42400-024-00212-0</w:t>
        </w:r>
      </w:hyperlink>
      <w:r w:rsidRPr="00A52E33">
        <w:t>. [Accessed: Jul. 13, 2026].</w:t>
      </w:r>
    </w:p>
    <w:p w14:paraId="08E0AB57" w14:textId="59C510F7" w:rsidR="00AC014A" w:rsidRDefault="00AC014A" w:rsidP="003E569D">
      <w:pPr>
        <w:jc w:val="both"/>
      </w:pPr>
    </w:p>
    <w:sectPr w:rsidR="00AC014A" w:rsidSect="00B33794">
      <w:footerReference w:type="default" r:id="rId2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1218D1" w14:textId="77777777" w:rsidR="00617613" w:rsidRDefault="00617613" w:rsidP="00ED39B0">
      <w:pPr>
        <w:spacing w:after="0" w:line="240" w:lineRule="auto"/>
      </w:pPr>
      <w:r>
        <w:separator/>
      </w:r>
    </w:p>
  </w:endnote>
  <w:endnote w:type="continuationSeparator" w:id="0">
    <w:p w14:paraId="2BDBE90F" w14:textId="77777777" w:rsidR="00617613" w:rsidRDefault="00617613" w:rsidP="00ED39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50969581"/>
      <w:docPartObj>
        <w:docPartGallery w:val="Page Numbers (Bottom of Page)"/>
        <w:docPartUnique/>
      </w:docPartObj>
    </w:sdtPr>
    <w:sdtEndPr>
      <w:rPr>
        <w:noProof/>
      </w:rPr>
    </w:sdtEndPr>
    <w:sdtContent>
      <w:p w14:paraId="33EB814B" w14:textId="7B071B86" w:rsidR="00A316F3" w:rsidRDefault="00A316F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1CDDCA6" w14:textId="77777777" w:rsidR="00A316F3" w:rsidRDefault="00A316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7F9CA8" w14:textId="77777777" w:rsidR="00617613" w:rsidRDefault="00617613" w:rsidP="00ED39B0">
      <w:pPr>
        <w:spacing w:after="0" w:line="240" w:lineRule="auto"/>
      </w:pPr>
      <w:r>
        <w:separator/>
      </w:r>
    </w:p>
  </w:footnote>
  <w:footnote w:type="continuationSeparator" w:id="0">
    <w:p w14:paraId="28DB76B9" w14:textId="77777777" w:rsidR="00617613" w:rsidRDefault="00617613" w:rsidP="00ED39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36993031">
    <w:abstractNumId w:val="0"/>
  </w:num>
  <w:num w:numId="2" w16cid:durableId="2088571913">
    <w:abstractNumId w:val="0"/>
  </w:num>
  <w:num w:numId="3" w16cid:durableId="1013146199">
    <w:abstractNumId w:val="0"/>
  </w:num>
  <w:num w:numId="4" w16cid:durableId="1331904756">
    <w:abstractNumId w:val="0"/>
  </w:num>
  <w:num w:numId="5" w16cid:durableId="330258235">
    <w:abstractNumId w:val="0"/>
  </w:num>
  <w:num w:numId="6" w16cid:durableId="139881794">
    <w:abstractNumId w:val="0"/>
  </w:num>
  <w:num w:numId="7" w16cid:durableId="2145350200">
    <w:abstractNumId w:val="0"/>
  </w:num>
  <w:num w:numId="8" w16cid:durableId="97524465">
    <w:abstractNumId w:val="0"/>
  </w:num>
  <w:num w:numId="9" w16cid:durableId="1620337511">
    <w:abstractNumId w:val="0"/>
  </w:num>
  <w:num w:numId="10" w16cid:durableId="9223734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62A8"/>
    <w:rsid w:val="00045237"/>
    <w:rsid w:val="00050157"/>
    <w:rsid w:val="000A3EE4"/>
    <w:rsid w:val="000C1D48"/>
    <w:rsid w:val="000E3DD2"/>
    <w:rsid w:val="001559F1"/>
    <w:rsid w:val="002A2618"/>
    <w:rsid w:val="002D5012"/>
    <w:rsid w:val="00314B97"/>
    <w:rsid w:val="0031603E"/>
    <w:rsid w:val="00360A88"/>
    <w:rsid w:val="003D1B12"/>
    <w:rsid w:val="003E569D"/>
    <w:rsid w:val="003F6303"/>
    <w:rsid w:val="00461FB4"/>
    <w:rsid w:val="00467AF5"/>
    <w:rsid w:val="004861D8"/>
    <w:rsid w:val="004F40A9"/>
    <w:rsid w:val="004F563C"/>
    <w:rsid w:val="005057F9"/>
    <w:rsid w:val="00515523"/>
    <w:rsid w:val="00536D5A"/>
    <w:rsid w:val="005465F6"/>
    <w:rsid w:val="00547063"/>
    <w:rsid w:val="00574BCA"/>
    <w:rsid w:val="005B3592"/>
    <w:rsid w:val="005D2288"/>
    <w:rsid w:val="005D62F8"/>
    <w:rsid w:val="00617613"/>
    <w:rsid w:val="00641C4E"/>
    <w:rsid w:val="006D0AA8"/>
    <w:rsid w:val="006E489E"/>
    <w:rsid w:val="00712875"/>
    <w:rsid w:val="00770280"/>
    <w:rsid w:val="00790F06"/>
    <w:rsid w:val="00791B2B"/>
    <w:rsid w:val="00821CF1"/>
    <w:rsid w:val="00833790"/>
    <w:rsid w:val="00863390"/>
    <w:rsid w:val="008E4C74"/>
    <w:rsid w:val="009D0973"/>
    <w:rsid w:val="009D2FDF"/>
    <w:rsid w:val="009D4382"/>
    <w:rsid w:val="00A042C9"/>
    <w:rsid w:val="00A252F0"/>
    <w:rsid w:val="00A316F3"/>
    <w:rsid w:val="00A52E33"/>
    <w:rsid w:val="00AC014A"/>
    <w:rsid w:val="00AF11CD"/>
    <w:rsid w:val="00B33794"/>
    <w:rsid w:val="00B763CA"/>
    <w:rsid w:val="00C34B0D"/>
    <w:rsid w:val="00C90D28"/>
    <w:rsid w:val="00CA189F"/>
    <w:rsid w:val="00CD0F42"/>
    <w:rsid w:val="00CD262A"/>
    <w:rsid w:val="00D16B28"/>
    <w:rsid w:val="00D1782C"/>
    <w:rsid w:val="00D17E6E"/>
    <w:rsid w:val="00D26F4A"/>
    <w:rsid w:val="00D409A3"/>
    <w:rsid w:val="00D523B1"/>
    <w:rsid w:val="00DD1B26"/>
    <w:rsid w:val="00DE1FF7"/>
    <w:rsid w:val="00E428AC"/>
    <w:rsid w:val="00E662A8"/>
    <w:rsid w:val="00E83D4D"/>
    <w:rsid w:val="00E8634A"/>
    <w:rsid w:val="00EA7D59"/>
    <w:rsid w:val="00ED1FBB"/>
    <w:rsid w:val="00ED39B0"/>
    <w:rsid w:val="00EE5FF8"/>
    <w:rsid w:val="00F7073E"/>
    <w:rsid w:val="00F8321E"/>
    <w:rsid w:val="00FC5032"/>
    <w:rsid w:val="00FD5720"/>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4DB81A"/>
  <w15:chartTrackingRefBased/>
  <w15:docId w15:val="{34839A07-490A-4C3F-84D1-F2206407A1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IN"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3794"/>
  </w:style>
  <w:style w:type="paragraph" w:styleId="Heading1">
    <w:name w:val="heading 1"/>
    <w:basedOn w:val="Normal"/>
    <w:next w:val="Normal"/>
    <w:link w:val="Heading1Char"/>
    <w:uiPriority w:val="9"/>
    <w:qFormat/>
    <w:rsid w:val="00B33794"/>
    <w:pPr>
      <w:keepNext/>
      <w:keepLines/>
      <w:pBdr>
        <w:bottom w:val="single" w:sz="4" w:space="1" w:color="4472C4" w:themeColor="accent1"/>
      </w:pBdr>
      <w:spacing w:before="400" w:after="40" w:line="240" w:lineRule="auto"/>
      <w:outlineLvl w:val="0"/>
    </w:pPr>
    <w:rPr>
      <w:rFonts w:asciiTheme="majorHAnsi" w:eastAsiaTheme="majorEastAsia" w:hAnsiTheme="majorHAnsi" w:cstheme="majorBidi"/>
      <w:color w:val="2F5496" w:themeColor="accent1" w:themeShade="BF"/>
      <w:sz w:val="36"/>
      <w:szCs w:val="36"/>
    </w:rPr>
  </w:style>
  <w:style w:type="paragraph" w:styleId="Heading2">
    <w:name w:val="heading 2"/>
    <w:basedOn w:val="Normal"/>
    <w:next w:val="Normal"/>
    <w:link w:val="Heading2Char"/>
    <w:uiPriority w:val="9"/>
    <w:unhideWhenUsed/>
    <w:qFormat/>
    <w:rsid w:val="00B33794"/>
    <w:pPr>
      <w:keepNext/>
      <w:keepLines/>
      <w:spacing w:before="160" w:after="0" w:line="240" w:lineRule="auto"/>
      <w:outlineLvl w:val="1"/>
    </w:pPr>
    <w:rPr>
      <w:rFonts w:asciiTheme="majorHAnsi" w:eastAsiaTheme="majorEastAsia" w:hAnsiTheme="majorHAnsi" w:cstheme="majorBidi"/>
      <w:color w:val="2F5496" w:themeColor="accent1" w:themeShade="BF"/>
      <w:sz w:val="28"/>
      <w:szCs w:val="28"/>
    </w:rPr>
  </w:style>
  <w:style w:type="paragraph" w:styleId="Heading3">
    <w:name w:val="heading 3"/>
    <w:basedOn w:val="Normal"/>
    <w:next w:val="Normal"/>
    <w:link w:val="Heading3Char"/>
    <w:uiPriority w:val="9"/>
    <w:semiHidden/>
    <w:unhideWhenUsed/>
    <w:qFormat/>
    <w:rsid w:val="00B33794"/>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B33794"/>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B33794"/>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B33794"/>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B33794"/>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B33794"/>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B33794"/>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3794"/>
    <w:rPr>
      <w:rFonts w:asciiTheme="majorHAnsi" w:eastAsiaTheme="majorEastAsia" w:hAnsiTheme="majorHAnsi" w:cstheme="majorBidi"/>
      <w:color w:val="2F5496" w:themeColor="accent1" w:themeShade="BF"/>
      <w:sz w:val="36"/>
      <w:szCs w:val="36"/>
    </w:rPr>
  </w:style>
  <w:style w:type="character" w:customStyle="1" w:styleId="Heading2Char">
    <w:name w:val="Heading 2 Char"/>
    <w:basedOn w:val="DefaultParagraphFont"/>
    <w:link w:val="Heading2"/>
    <w:uiPriority w:val="9"/>
    <w:rsid w:val="00B33794"/>
    <w:rPr>
      <w:rFonts w:asciiTheme="majorHAnsi" w:eastAsiaTheme="majorEastAsia" w:hAnsiTheme="majorHAnsi" w:cstheme="majorBidi"/>
      <w:color w:val="2F5496" w:themeColor="accent1" w:themeShade="BF"/>
      <w:sz w:val="28"/>
      <w:szCs w:val="28"/>
    </w:rPr>
  </w:style>
  <w:style w:type="paragraph" w:styleId="Title">
    <w:name w:val="Title"/>
    <w:basedOn w:val="Normal"/>
    <w:next w:val="Normal"/>
    <w:link w:val="TitleChar"/>
    <w:uiPriority w:val="10"/>
    <w:qFormat/>
    <w:rsid w:val="00B33794"/>
    <w:pPr>
      <w:spacing w:after="0" w:line="240" w:lineRule="auto"/>
      <w:contextualSpacing/>
    </w:pPr>
    <w:rPr>
      <w:rFonts w:asciiTheme="majorHAnsi" w:eastAsiaTheme="majorEastAsia" w:hAnsiTheme="majorHAnsi" w:cstheme="majorBidi"/>
      <w:color w:val="2F5496" w:themeColor="accent1" w:themeShade="BF"/>
      <w:spacing w:val="-7"/>
      <w:sz w:val="80"/>
      <w:szCs w:val="80"/>
    </w:rPr>
  </w:style>
  <w:style w:type="character" w:customStyle="1" w:styleId="TitleChar">
    <w:name w:val="Title Char"/>
    <w:basedOn w:val="DefaultParagraphFont"/>
    <w:link w:val="Title"/>
    <w:uiPriority w:val="10"/>
    <w:rsid w:val="00B33794"/>
    <w:rPr>
      <w:rFonts w:asciiTheme="majorHAnsi" w:eastAsiaTheme="majorEastAsia" w:hAnsiTheme="majorHAnsi" w:cstheme="majorBidi"/>
      <w:color w:val="2F5496" w:themeColor="accent1" w:themeShade="BF"/>
      <w:spacing w:val="-7"/>
      <w:sz w:val="80"/>
      <w:szCs w:val="80"/>
    </w:rPr>
  </w:style>
  <w:style w:type="character" w:customStyle="1" w:styleId="Heading3Char">
    <w:name w:val="Heading 3 Char"/>
    <w:basedOn w:val="DefaultParagraphFont"/>
    <w:link w:val="Heading3"/>
    <w:uiPriority w:val="9"/>
    <w:semiHidden/>
    <w:rsid w:val="00B33794"/>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B33794"/>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B33794"/>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B33794"/>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B33794"/>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B33794"/>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B33794"/>
    <w:rPr>
      <w:rFonts w:asciiTheme="majorHAnsi" w:eastAsiaTheme="majorEastAsia" w:hAnsiTheme="majorHAnsi" w:cstheme="majorBidi"/>
      <w:i/>
      <w:iCs/>
      <w:smallCaps/>
      <w:color w:val="595959" w:themeColor="text1" w:themeTint="A6"/>
    </w:rPr>
  </w:style>
  <w:style w:type="paragraph" w:styleId="Subtitle">
    <w:name w:val="Subtitle"/>
    <w:basedOn w:val="Normal"/>
    <w:next w:val="Normal"/>
    <w:link w:val="SubtitleChar"/>
    <w:uiPriority w:val="11"/>
    <w:qFormat/>
    <w:rsid w:val="00B33794"/>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B33794"/>
    <w:rPr>
      <w:rFonts w:asciiTheme="majorHAnsi" w:eastAsiaTheme="majorEastAsia" w:hAnsiTheme="majorHAnsi" w:cstheme="majorBidi"/>
      <w:color w:val="404040" w:themeColor="text1" w:themeTint="BF"/>
      <w:sz w:val="30"/>
      <w:szCs w:val="30"/>
    </w:rPr>
  </w:style>
  <w:style w:type="paragraph" w:styleId="Quote">
    <w:name w:val="Quote"/>
    <w:basedOn w:val="Normal"/>
    <w:next w:val="Normal"/>
    <w:link w:val="QuoteChar"/>
    <w:uiPriority w:val="29"/>
    <w:qFormat/>
    <w:rsid w:val="00B33794"/>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B33794"/>
    <w:rPr>
      <w:i/>
      <w:iCs/>
    </w:rPr>
  </w:style>
  <w:style w:type="paragraph" w:styleId="ListParagraph">
    <w:name w:val="List Paragraph"/>
    <w:basedOn w:val="Normal"/>
    <w:uiPriority w:val="34"/>
    <w:qFormat/>
    <w:rsid w:val="00E662A8"/>
    <w:pPr>
      <w:ind w:left="720"/>
      <w:contextualSpacing/>
    </w:pPr>
  </w:style>
  <w:style w:type="character" w:styleId="IntenseEmphasis">
    <w:name w:val="Intense Emphasis"/>
    <w:basedOn w:val="DefaultParagraphFont"/>
    <w:uiPriority w:val="21"/>
    <w:qFormat/>
    <w:rsid w:val="00B33794"/>
    <w:rPr>
      <w:b/>
      <w:bCs/>
      <w:i/>
      <w:iCs/>
    </w:rPr>
  </w:style>
  <w:style w:type="paragraph" w:styleId="IntenseQuote">
    <w:name w:val="Intense Quote"/>
    <w:basedOn w:val="Normal"/>
    <w:next w:val="Normal"/>
    <w:link w:val="IntenseQuoteChar"/>
    <w:uiPriority w:val="30"/>
    <w:qFormat/>
    <w:rsid w:val="00B33794"/>
    <w:pPr>
      <w:spacing w:before="100" w:beforeAutospacing="1" w:after="240"/>
      <w:ind w:left="864" w:right="864"/>
      <w:jc w:val="center"/>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B33794"/>
    <w:rPr>
      <w:rFonts w:asciiTheme="majorHAnsi" w:eastAsiaTheme="majorEastAsia" w:hAnsiTheme="majorHAnsi" w:cstheme="majorBidi"/>
      <w:color w:val="4472C4" w:themeColor="accent1"/>
      <w:sz w:val="28"/>
      <w:szCs w:val="28"/>
    </w:rPr>
  </w:style>
  <w:style w:type="character" w:styleId="IntenseReference">
    <w:name w:val="Intense Reference"/>
    <w:basedOn w:val="DefaultParagraphFont"/>
    <w:uiPriority w:val="32"/>
    <w:qFormat/>
    <w:rsid w:val="00B33794"/>
    <w:rPr>
      <w:b/>
      <w:bCs/>
      <w:smallCaps/>
      <w:u w:val="single"/>
    </w:rPr>
  </w:style>
  <w:style w:type="character" w:styleId="Hyperlink">
    <w:name w:val="Hyperlink"/>
    <w:basedOn w:val="DefaultParagraphFont"/>
    <w:uiPriority w:val="99"/>
    <w:unhideWhenUsed/>
    <w:rsid w:val="00E662A8"/>
    <w:rPr>
      <w:color w:val="0563C1" w:themeColor="hyperlink"/>
      <w:u w:val="single"/>
    </w:rPr>
  </w:style>
  <w:style w:type="character" w:styleId="UnresolvedMention">
    <w:name w:val="Unresolved Mention"/>
    <w:basedOn w:val="DefaultParagraphFont"/>
    <w:uiPriority w:val="99"/>
    <w:semiHidden/>
    <w:unhideWhenUsed/>
    <w:rsid w:val="00E662A8"/>
    <w:rPr>
      <w:color w:val="605E5C"/>
      <w:shd w:val="clear" w:color="auto" w:fill="E1DFDD"/>
    </w:rPr>
  </w:style>
  <w:style w:type="paragraph" w:styleId="Caption">
    <w:name w:val="caption"/>
    <w:basedOn w:val="Normal"/>
    <w:next w:val="Normal"/>
    <w:uiPriority w:val="35"/>
    <w:unhideWhenUsed/>
    <w:qFormat/>
    <w:rsid w:val="00B33794"/>
    <w:pPr>
      <w:spacing w:line="240" w:lineRule="auto"/>
    </w:pPr>
    <w:rPr>
      <w:b/>
      <w:bCs/>
      <w:color w:val="404040" w:themeColor="text1" w:themeTint="BF"/>
      <w:sz w:val="20"/>
      <w:szCs w:val="20"/>
    </w:rPr>
  </w:style>
  <w:style w:type="paragraph" w:styleId="TOCHeading">
    <w:name w:val="TOC Heading"/>
    <w:basedOn w:val="Heading1"/>
    <w:next w:val="Normal"/>
    <w:uiPriority w:val="39"/>
    <w:unhideWhenUsed/>
    <w:qFormat/>
    <w:rsid w:val="00B33794"/>
    <w:pPr>
      <w:outlineLvl w:val="9"/>
    </w:pPr>
  </w:style>
  <w:style w:type="paragraph" w:styleId="TOC1">
    <w:name w:val="toc 1"/>
    <w:basedOn w:val="Normal"/>
    <w:next w:val="Normal"/>
    <w:autoRedefine/>
    <w:uiPriority w:val="39"/>
    <w:unhideWhenUsed/>
    <w:rsid w:val="004F563C"/>
    <w:pPr>
      <w:spacing w:after="100"/>
    </w:pPr>
  </w:style>
  <w:style w:type="paragraph" w:styleId="TOC2">
    <w:name w:val="toc 2"/>
    <w:basedOn w:val="Normal"/>
    <w:next w:val="Normal"/>
    <w:autoRedefine/>
    <w:uiPriority w:val="39"/>
    <w:unhideWhenUsed/>
    <w:rsid w:val="004F563C"/>
    <w:pPr>
      <w:spacing w:after="100"/>
      <w:ind w:left="240"/>
    </w:pPr>
  </w:style>
  <w:style w:type="paragraph" w:styleId="TableofFigures">
    <w:name w:val="table of figures"/>
    <w:basedOn w:val="Normal"/>
    <w:next w:val="Normal"/>
    <w:uiPriority w:val="99"/>
    <w:unhideWhenUsed/>
    <w:rsid w:val="000A3EE4"/>
    <w:pPr>
      <w:spacing w:after="0"/>
    </w:pPr>
  </w:style>
  <w:style w:type="paragraph" w:styleId="Header">
    <w:name w:val="header"/>
    <w:basedOn w:val="Normal"/>
    <w:link w:val="HeaderChar"/>
    <w:uiPriority w:val="99"/>
    <w:unhideWhenUsed/>
    <w:rsid w:val="00ED39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39B0"/>
    <w:rPr>
      <w:rFonts w:ascii="Aptos Display" w:hAnsi="Aptos Display"/>
      <w:sz w:val="24"/>
    </w:rPr>
  </w:style>
  <w:style w:type="paragraph" w:styleId="Footer">
    <w:name w:val="footer"/>
    <w:basedOn w:val="Normal"/>
    <w:link w:val="FooterChar"/>
    <w:uiPriority w:val="99"/>
    <w:unhideWhenUsed/>
    <w:rsid w:val="00ED39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39B0"/>
    <w:rPr>
      <w:rFonts w:ascii="Aptos Display" w:hAnsi="Aptos Display"/>
      <w:sz w:val="24"/>
    </w:rPr>
  </w:style>
  <w:style w:type="character" w:styleId="Strong">
    <w:name w:val="Strong"/>
    <w:basedOn w:val="DefaultParagraphFont"/>
    <w:uiPriority w:val="22"/>
    <w:qFormat/>
    <w:rsid w:val="00B33794"/>
    <w:rPr>
      <w:b/>
      <w:bCs/>
    </w:rPr>
  </w:style>
  <w:style w:type="character" w:styleId="Emphasis">
    <w:name w:val="Emphasis"/>
    <w:basedOn w:val="DefaultParagraphFont"/>
    <w:uiPriority w:val="20"/>
    <w:qFormat/>
    <w:rsid w:val="00B33794"/>
    <w:rPr>
      <w:i/>
      <w:iCs/>
    </w:rPr>
  </w:style>
  <w:style w:type="paragraph" w:styleId="NoSpacing">
    <w:name w:val="No Spacing"/>
    <w:uiPriority w:val="1"/>
    <w:qFormat/>
    <w:rsid w:val="00B33794"/>
    <w:pPr>
      <w:spacing w:after="0" w:line="240" w:lineRule="auto"/>
    </w:pPr>
  </w:style>
  <w:style w:type="character" w:styleId="SubtleEmphasis">
    <w:name w:val="Subtle Emphasis"/>
    <w:basedOn w:val="DefaultParagraphFont"/>
    <w:uiPriority w:val="19"/>
    <w:qFormat/>
    <w:rsid w:val="00B33794"/>
    <w:rPr>
      <w:i/>
      <w:iCs/>
      <w:color w:val="595959" w:themeColor="text1" w:themeTint="A6"/>
    </w:rPr>
  </w:style>
  <w:style w:type="character" w:styleId="SubtleReference">
    <w:name w:val="Subtle Reference"/>
    <w:basedOn w:val="DefaultParagraphFont"/>
    <w:uiPriority w:val="31"/>
    <w:qFormat/>
    <w:rsid w:val="00B33794"/>
    <w:rPr>
      <w:smallCaps/>
      <w:color w:val="404040" w:themeColor="text1" w:themeTint="BF"/>
    </w:rPr>
  </w:style>
  <w:style w:type="character" w:styleId="BookTitle">
    <w:name w:val="Book Title"/>
    <w:basedOn w:val="DefaultParagraphFont"/>
    <w:uiPriority w:val="33"/>
    <w:qFormat/>
    <w:rsid w:val="00B33794"/>
    <w:rPr>
      <w:b/>
      <w:bCs/>
      <w:smallCap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1540909">
      <w:bodyDiv w:val="1"/>
      <w:marLeft w:val="0"/>
      <w:marRight w:val="0"/>
      <w:marTop w:val="0"/>
      <w:marBottom w:val="0"/>
      <w:divBdr>
        <w:top w:val="none" w:sz="0" w:space="0" w:color="auto"/>
        <w:left w:val="none" w:sz="0" w:space="0" w:color="auto"/>
        <w:bottom w:val="none" w:sz="0" w:space="0" w:color="auto"/>
        <w:right w:val="none" w:sz="0" w:space="0" w:color="auto"/>
      </w:divBdr>
    </w:div>
    <w:div w:id="947086090">
      <w:bodyDiv w:val="1"/>
      <w:marLeft w:val="0"/>
      <w:marRight w:val="0"/>
      <w:marTop w:val="0"/>
      <w:marBottom w:val="0"/>
      <w:divBdr>
        <w:top w:val="none" w:sz="0" w:space="0" w:color="auto"/>
        <w:left w:val="none" w:sz="0" w:space="0" w:color="auto"/>
        <w:bottom w:val="none" w:sz="0" w:space="0" w:color="auto"/>
        <w:right w:val="none" w:sz="0" w:space="0" w:color="auto"/>
      </w:divBdr>
    </w:div>
    <w:div w:id="1772163086">
      <w:bodyDiv w:val="1"/>
      <w:marLeft w:val="0"/>
      <w:marRight w:val="0"/>
      <w:marTop w:val="0"/>
      <w:marBottom w:val="0"/>
      <w:divBdr>
        <w:top w:val="none" w:sz="0" w:space="0" w:color="auto"/>
        <w:left w:val="none" w:sz="0" w:space="0" w:color="auto"/>
        <w:bottom w:val="none" w:sz="0" w:space="0" w:color="auto"/>
        <w:right w:val="none" w:sz="0" w:space="0" w:color="auto"/>
      </w:divBdr>
    </w:div>
    <w:div w:id="17911246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oi.org/10.3390/electronics12183958" TargetMode="External"/><Relationship Id="rId18" Type="http://schemas.openxmlformats.org/officeDocument/2006/relationships/hyperlink" Target="https://doi.org/10.1016/j.cose.2022.102840" TargetMode="External"/><Relationship Id="rId3" Type="http://schemas.openxmlformats.org/officeDocument/2006/relationships/styles" Target="styles.xml"/><Relationship Id="rId21" Type="http://schemas.openxmlformats.org/officeDocument/2006/relationships/hyperlink" Target="https://doi.org/10.1016/j.bushor.2021.02.022" TargetMode="External"/><Relationship Id="rId7" Type="http://schemas.openxmlformats.org/officeDocument/2006/relationships/endnotes" Target="endnotes.xml"/><Relationship Id="rId12" Type="http://schemas.openxmlformats.org/officeDocument/2006/relationships/hyperlink" Target="https://doi.org/10.1186/s43067-024-00155-z" TargetMode="External"/><Relationship Id="rId17" Type="http://schemas.openxmlformats.org/officeDocument/2006/relationships/hyperlink" Target="https://doi.org/10.1016/j.cie.2024.110519"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016/j.tre.2020.102217" TargetMode="External"/><Relationship Id="rId20" Type="http://schemas.openxmlformats.org/officeDocument/2006/relationships/hyperlink" Target="https://doi.org/10.1016/j.clsr.2023.10593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90/electronics11010016"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016/j.technovation.2021.102380" TargetMode="External"/><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doi.org/10.1108/IJLM-09-2023-037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16/j.jik.2024.100598" TargetMode="External"/><Relationship Id="rId22" Type="http://schemas.openxmlformats.org/officeDocument/2006/relationships/hyperlink" Target="https://doi.org/10.1186/s42400-024-0021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B5E6E247-AD03-4664-9110-3F36C53EAB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14</Pages>
  <Words>4782</Words>
  <Characters>27259</Characters>
  <Application>Microsoft Office Word</Application>
  <DocSecurity>0</DocSecurity>
  <Lines>227</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Tushar Solanki</cp:lastModifiedBy>
  <cp:revision>4</cp:revision>
  <dcterms:created xsi:type="dcterms:W3CDTF">2026-08-08T12:06:00Z</dcterms:created>
  <dcterms:modified xsi:type="dcterms:W3CDTF">2026-08-09T15:36:00Z</dcterms:modified>
</cp:coreProperties>
</file>