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603D2" w:rsidRPr="00FF4523" w:rsidRDefault="00BB3619" w:rsidP="004E286E">
      <w:pPr>
        <w:jc w:val="center"/>
        <w:rPr>
          <w:rFonts w:ascii="Times" w:hAnsi="Times"/>
          <w:sz w:val="24"/>
          <w:szCs w:val="24"/>
          <w:u w:val="single"/>
        </w:rPr>
      </w:pPr>
      <w:r w:rsidRPr="00FF4523">
        <w:rPr>
          <w:rFonts w:ascii="Times" w:hAnsi="Times"/>
          <w:sz w:val="24"/>
          <w:szCs w:val="24"/>
          <w:u w:val="single"/>
        </w:rPr>
        <w:t>Is the MIPAA Plan still relevant to addressing the challenges of an aging population in the Caribbean?</w:t>
      </w:r>
    </w:p>
    <w:p w:rsidR="00BB3619" w:rsidRPr="00FF4523" w:rsidRDefault="00BB3619" w:rsidP="004E286E">
      <w:pPr>
        <w:rPr>
          <w:rFonts w:ascii="Times" w:hAnsi="Times"/>
          <w:sz w:val="24"/>
          <w:szCs w:val="24"/>
        </w:rPr>
      </w:pPr>
    </w:p>
    <w:p w:rsidR="00BB3619" w:rsidRDefault="00F3532C" w:rsidP="004E286E">
      <w:pPr>
        <w:rPr>
          <w:rFonts w:ascii="Times" w:hAnsi="Times"/>
          <w:sz w:val="24"/>
          <w:szCs w:val="24"/>
        </w:rPr>
      </w:pPr>
      <w:r>
        <w:rPr>
          <w:rFonts w:ascii="Times" w:hAnsi="Times"/>
          <w:sz w:val="24"/>
          <w:szCs w:val="24"/>
        </w:rPr>
        <w:t xml:space="preserve">According to </w:t>
      </w:r>
      <w:r w:rsidRPr="00F3532C">
        <w:rPr>
          <w:rFonts w:ascii="Times" w:hAnsi="Times"/>
          <w:sz w:val="24"/>
          <w:szCs w:val="24"/>
        </w:rPr>
        <w:t>(“The Madrid Plan (MIPAA)”)</w:t>
      </w:r>
      <w:r>
        <w:rPr>
          <w:rFonts w:ascii="Times" w:hAnsi="Times"/>
          <w:sz w:val="24"/>
          <w:szCs w:val="24"/>
        </w:rPr>
        <w:t xml:space="preserve"> </w:t>
      </w:r>
      <w:r w:rsidR="00552E21" w:rsidRPr="00FF4523">
        <w:rPr>
          <w:rFonts w:ascii="Times" w:hAnsi="Times"/>
          <w:sz w:val="24"/>
          <w:szCs w:val="24"/>
        </w:rPr>
        <w:t>the</w:t>
      </w:r>
      <w:r w:rsidR="00BB3619" w:rsidRPr="00FF4523">
        <w:rPr>
          <w:rFonts w:ascii="Times" w:hAnsi="Times"/>
          <w:sz w:val="24"/>
          <w:szCs w:val="24"/>
        </w:rPr>
        <w:t xml:space="preserve"> relevance of The MIPAA (Madrid International plan of Action on Aging) plan to addressing the challenge of an aging population is Caribbean nations should be evaluated to determine its applicability and effectiveness.  </w:t>
      </w:r>
      <w:r w:rsidR="000E7901" w:rsidRPr="00FF4523">
        <w:rPr>
          <w:rFonts w:ascii="Times" w:hAnsi="Times"/>
          <w:sz w:val="24"/>
          <w:szCs w:val="24"/>
        </w:rPr>
        <w:t>The Demographic landscape of Caribbean Nations, like many other regions around the world, is undergoing a profound transformation.  The gradual aging of the population has brought to the forefront a series of complex challenges that demand careful attention, comprehensive planning</w:t>
      </w:r>
      <w:r w:rsidR="00F81014" w:rsidRPr="00FF4523">
        <w:rPr>
          <w:rFonts w:ascii="Times" w:hAnsi="Times"/>
          <w:sz w:val="24"/>
          <w:szCs w:val="24"/>
        </w:rPr>
        <w:t>, and sustainable solutions. As life expectancy increases and birth rates decline, the Caribbean is confronted with the need to adapt its societal structures, healthcare systems, and social services to cater to the unique needs of an aging population.  In this context, the Madrid International Plan of Action on Ageing (MIPAA), a global framework established by the United Nations in 2002, has emerged as a significant guiding document. Its principles and recommendations offer a blueprint for addressing the multifaceted issues associated with aging, including healthcare, income security, and social inclusion. This report aims to examine the continued relevance of the MIPAA in the context of Caribbean Nations, assessing the alignment of its goals with the region’s challenges and exploring the potential benefits and obstacles to its implementation.</w:t>
      </w:r>
    </w:p>
    <w:p w:rsidR="004E286E" w:rsidRPr="00FF4523" w:rsidRDefault="004E286E" w:rsidP="004E286E">
      <w:pPr>
        <w:rPr>
          <w:rFonts w:ascii="Times" w:hAnsi="Times"/>
          <w:sz w:val="24"/>
          <w:szCs w:val="24"/>
        </w:rPr>
      </w:pPr>
    </w:p>
    <w:p w:rsidR="00BB3619" w:rsidRPr="004E286E" w:rsidRDefault="00592F8B" w:rsidP="004E286E">
      <w:pPr>
        <w:rPr>
          <w:rFonts w:ascii="Times" w:hAnsi="Times"/>
          <w:i/>
          <w:sz w:val="28"/>
          <w:szCs w:val="28"/>
          <w:u w:val="single"/>
        </w:rPr>
      </w:pPr>
      <w:r w:rsidRPr="004E286E">
        <w:rPr>
          <w:rFonts w:ascii="Times" w:hAnsi="Times"/>
          <w:i/>
          <w:sz w:val="28"/>
          <w:szCs w:val="28"/>
          <w:u w:val="single"/>
        </w:rPr>
        <w:t>Demographic Shift</w:t>
      </w:r>
    </w:p>
    <w:p w:rsidR="00B33289" w:rsidRPr="00B33289" w:rsidRDefault="001961B4" w:rsidP="004E286E">
      <w:pPr>
        <w:spacing w:after="0"/>
        <w:rPr>
          <w:rFonts w:ascii="Times" w:eastAsia="Times New Roman" w:hAnsi="Times" w:cs="Times New Roman"/>
          <w:sz w:val="24"/>
          <w:szCs w:val="24"/>
        </w:rPr>
      </w:pPr>
      <w:r>
        <w:rPr>
          <w:rFonts w:ascii="Times" w:eastAsia="Times New Roman" w:hAnsi="Times" w:cs="Arial"/>
          <w:sz w:val="24"/>
          <w:szCs w:val="24"/>
          <w:shd w:val="clear" w:color="auto" w:fill="FFFFFF"/>
        </w:rPr>
        <w:t xml:space="preserve">According to the General ECE (2002) </w:t>
      </w:r>
      <w:r w:rsidR="00B33289" w:rsidRPr="00B33289">
        <w:rPr>
          <w:rFonts w:ascii="Times" w:eastAsia="Times New Roman" w:hAnsi="Times" w:cs="Arial"/>
          <w:sz w:val="24"/>
          <w:szCs w:val="24"/>
          <w:shd w:val="clear" w:color="auto" w:fill="FFFFFF"/>
        </w:rPr>
        <w:t>The Madrid International Plan of Action on Ageing (MIPAA) was crafted against the backdrop of significant demographic shifts happening worldwide. These shifts, particularly the aging of populations, were a primary driving force behind the creation of MIPAA. The plan recognizes that the proportion of older adults in the global population is growing, largely due to increased life expectancy and decreasing birth rates. This demographic shift has profound implications for society, requiring careful consideration and planning to ensure the well-being and inclusion of older individuals.</w:t>
      </w:r>
    </w:p>
    <w:p w:rsidR="00B33289" w:rsidRPr="00B33289" w:rsidRDefault="00B33289" w:rsidP="004E286E">
      <w:pPr>
        <w:shd w:val="clear" w:color="auto" w:fill="FFFFFF"/>
        <w:spacing w:after="0"/>
        <w:rPr>
          <w:rFonts w:ascii="Times" w:eastAsia="Times New Roman" w:hAnsi="Times" w:cs="Arial"/>
          <w:sz w:val="24"/>
          <w:szCs w:val="24"/>
        </w:rPr>
      </w:pPr>
    </w:p>
    <w:p w:rsidR="00B33289" w:rsidRPr="00B33289" w:rsidRDefault="00B33289" w:rsidP="004E286E">
      <w:pPr>
        <w:shd w:val="clear" w:color="auto" w:fill="FFFFFF"/>
        <w:spacing w:after="0"/>
        <w:rPr>
          <w:rFonts w:ascii="Times" w:eastAsia="Times New Roman" w:hAnsi="Times" w:cs="Arial"/>
          <w:sz w:val="24"/>
          <w:szCs w:val="24"/>
        </w:rPr>
      </w:pPr>
      <w:r w:rsidRPr="00B33289">
        <w:rPr>
          <w:rFonts w:ascii="Times" w:eastAsia="Times New Roman" w:hAnsi="Times" w:cs="Arial"/>
          <w:sz w:val="24"/>
          <w:szCs w:val="24"/>
        </w:rPr>
        <w:t>MIPAA acknowledges the challenges posed by an aging population, emphasizing the need to promote active and healthy aging. This aligns with the changing demographics as older adults seek to remain engaged in society, contributing to their communities, and enjoying an improved quality of life. The plan encourages nations to address ageism and stereotypes that can limit the opportunities for older adults.</w:t>
      </w:r>
    </w:p>
    <w:p w:rsidR="00B33289" w:rsidRPr="00B33289" w:rsidRDefault="00B33289" w:rsidP="004E286E">
      <w:pPr>
        <w:shd w:val="clear" w:color="auto" w:fill="FFFFFF"/>
        <w:spacing w:after="0"/>
        <w:rPr>
          <w:rFonts w:ascii="Times" w:eastAsia="Times New Roman" w:hAnsi="Times" w:cs="Arial"/>
          <w:sz w:val="24"/>
          <w:szCs w:val="24"/>
        </w:rPr>
      </w:pPr>
    </w:p>
    <w:p w:rsidR="00B33289" w:rsidRPr="00B33289" w:rsidRDefault="00B33289" w:rsidP="004E286E">
      <w:pPr>
        <w:shd w:val="clear" w:color="auto" w:fill="FFFFFF"/>
        <w:spacing w:after="0"/>
        <w:rPr>
          <w:rFonts w:ascii="Times" w:eastAsia="Times New Roman" w:hAnsi="Times" w:cs="Arial"/>
          <w:sz w:val="24"/>
          <w:szCs w:val="24"/>
        </w:rPr>
      </w:pPr>
      <w:r w:rsidRPr="00B33289">
        <w:rPr>
          <w:rFonts w:ascii="Times" w:eastAsia="Times New Roman" w:hAnsi="Times" w:cs="Arial"/>
          <w:sz w:val="24"/>
          <w:szCs w:val="24"/>
        </w:rPr>
        <w:t xml:space="preserve">Another demographic shift that MIPAA addresses is the changing family structure. As populations age, the traditional family structure may evolve. It recognizes that families are </w:t>
      </w:r>
      <w:r w:rsidRPr="00B33289">
        <w:rPr>
          <w:rFonts w:ascii="Times" w:eastAsia="Times New Roman" w:hAnsi="Times" w:cs="Arial"/>
          <w:sz w:val="24"/>
          <w:szCs w:val="24"/>
        </w:rPr>
        <w:lastRenderedPageBreak/>
        <w:t>diverse and that older individuals may rely on a broader support network, not limited to the nuclear family. This understanding reflects the reality of contemporary demographic shifts.</w:t>
      </w:r>
    </w:p>
    <w:p w:rsidR="00B33289" w:rsidRPr="00B33289" w:rsidRDefault="00B33289" w:rsidP="004E286E">
      <w:pPr>
        <w:shd w:val="clear" w:color="auto" w:fill="FFFFFF"/>
        <w:spacing w:after="0"/>
        <w:rPr>
          <w:rFonts w:ascii="Times" w:eastAsia="Times New Roman" w:hAnsi="Times" w:cs="Arial"/>
          <w:sz w:val="24"/>
          <w:szCs w:val="24"/>
        </w:rPr>
      </w:pPr>
    </w:p>
    <w:p w:rsidR="00B33289" w:rsidRPr="00B33289" w:rsidRDefault="00B33289" w:rsidP="004E286E">
      <w:pPr>
        <w:shd w:val="clear" w:color="auto" w:fill="FFFFFF"/>
        <w:spacing w:after="0"/>
        <w:rPr>
          <w:rFonts w:ascii="Times" w:eastAsia="Times New Roman" w:hAnsi="Times" w:cs="Arial"/>
          <w:sz w:val="24"/>
          <w:szCs w:val="24"/>
        </w:rPr>
      </w:pPr>
      <w:r w:rsidRPr="00B33289">
        <w:rPr>
          <w:rFonts w:ascii="Times" w:eastAsia="Times New Roman" w:hAnsi="Times" w:cs="Arial"/>
          <w:sz w:val="24"/>
          <w:szCs w:val="24"/>
        </w:rPr>
        <w:t>Income security is a key aspect of MIPAA that directly addresses demographic shifts. With an increasing number of older adults, the plan underscores the need for sustainable pension systems and social protection. It aims to ensure that older individuals have a secure financial footing, even as demographic shifts affect employment patterns and the sustainability of existing pension systems.</w:t>
      </w:r>
    </w:p>
    <w:p w:rsidR="00B33289" w:rsidRPr="00B33289" w:rsidRDefault="00B33289" w:rsidP="004E286E">
      <w:pPr>
        <w:shd w:val="clear" w:color="auto" w:fill="FFFFFF"/>
        <w:spacing w:after="0"/>
        <w:rPr>
          <w:rFonts w:ascii="Times" w:eastAsia="Times New Roman" w:hAnsi="Times" w:cs="Arial"/>
          <w:sz w:val="24"/>
          <w:szCs w:val="24"/>
        </w:rPr>
      </w:pPr>
    </w:p>
    <w:p w:rsidR="00B33289" w:rsidRPr="00B33289" w:rsidRDefault="00B33289" w:rsidP="004E286E">
      <w:pPr>
        <w:shd w:val="clear" w:color="auto" w:fill="FFFFFF"/>
        <w:spacing w:after="0"/>
        <w:rPr>
          <w:rFonts w:ascii="Times" w:eastAsia="Times New Roman" w:hAnsi="Times" w:cs="Arial"/>
          <w:sz w:val="24"/>
          <w:szCs w:val="24"/>
        </w:rPr>
      </w:pPr>
      <w:r w:rsidRPr="00B33289">
        <w:rPr>
          <w:rFonts w:ascii="Times" w:eastAsia="Times New Roman" w:hAnsi="Times" w:cs="Arial"/>
          <w:sz w:val="24"/>
          <w:szCs w:val="24"/>
        </w:rPr>
        <w:t>Lastly, MIPAA acknowledges the gender dimension of demographic shifts. Older women often face unique challenges, such as lower income and increased vulnerability. The plan advocates for gender-sensitive policies that address these disparities and empower older women. Recognizing the gender-specific implications of demographic shifts is crucial for creating inclusive and equitable societies.</w:t>
      </w:r>
      <w:r w:rsidRPr="00FF4523">
        <w:rPr>
          <w:rFonts w:ascii="Times" w:eastAsia="Times New Roman" w:hAnsi="Times" w:cs="Arial"/>
          <w:sz w:val="24"/>
          <w:szCs w:val="24"/>
        </w:rPr>
        <w:t xml:space="preserve"> </w:t>
      </w:r>
      <w:r w:rsidR="004E286E" w:rsidRPr="00FF4523">
        <w:rPr>
          <w:rFonts w:ascii="Times" w:hAnsi="Times" w:cs="Arial"/>
          <w:sz w:val="24"/>
          <w:szCs w:val="24"/>
          <w:shd w:val="clear" w:color="auto" w:fill="FFFFFF"/>
        </w:rPr>
        <w:t>The</w:t>
      </w:r>
      <w:r w:rsidRPr="00FF4523">
        <w:rPr>
          <w:rFonts w:ascii="Times" w:hAnsi="Times" w:cs="Arial"/>
          <w:sz w:val="24"/>
          <w:szCs w:val="24"/>
          <w:shd w:val="clear" w:color="auto" w:fill="FFFFFF"/>
        </w:rPr>
        <w:t xml:space="preserve"> Madrid International Plan of Action on Ageing (MIPAA) is intimately connected to the demographic shifts affecting populations worldwide. It recognizes the challenges and </w:t>
      </w:r>
      <w:r w:rsidR="004E286E" w:rsidRPr="00FF4523">
        <w:rPr>
          <w:rFonts w:ascii="Times" w:hAnsi="Times" w:cs="Arial"/>
          <w:sz w:val="24"/>
          <w:szCs w:val="24"/>
          <w:shd w:val="clear" w:color="auto" w:fill="FFFFFF"/>
        </w:rPr>
        <w:t>opportunities presented by an aging society and promote</w:t>
      </w:r>
      <w:r w:rsidRPr="00FF4523">
        <w:rPr>
          <w:rFonts w:ascii="Times" w:hAnsi="Times" w:cs="Arial"/>
          <w:sz w:val="24"/>
          <w:szCs w:val="24"/>
          <w:shd w:val="clear" w:color="auto" w:fill="FFFFFF"/>
        </w:rPr>
        <w:t xml:space="preserve"> active aging, income security, and gender-sensitive policies to address the evolving needs of older adults in a changing world. Demographic shifts are at the core of MIPAA's relevance and purpose, making it a valuable framework for governments and organizations to navigate the complexities of aging populations.</w:t>
      </w:r>
    </w:p>
    <w:p w:rsidR="00B33289" w:rsidRPr="00FF4523" w:rsidRDefault="00B33289" w:rsidP="004E286E">
      <w:pPr>
        <w:rPr>
          <w:rFonts w:ascii="Times" w:hAnsi="Times"/>
          <w:b/>
          <w:sz w:val="24"/>
          <w:szCs w:val="24"/>
          <w:u w:val="single"/>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t>MIPAA Goals</w:t>
      </w:r>
    </w:p>
    <w:p w:rsidR="00B33289" w:rsidRPr="00FF4523" w:rsidRDefault="00B33289" w:rsidP="004E286E">
      <w:pPr>
        <w:rPr>
          <w:rFonts w:ascii="Times" w:hAnsi="Times" w:cs="Arial"/>
          <w:sz w:val="24"/>
          <w:szCs w:val="24"/>
          <w:shd w:val="clear" w:color="auto" w:fill="FFFFFF"/>
        </w:rPr>
      </w:pPr>
      <w:r w:rsidRPr="00FF4523">
        <w:rPr>
          <w:rFonts w:ascii="Times" w:hAnsi="Times" w:cs="Arial"/>
          <w:sz w:val="24"/>
          <w:szCs w:val="24"/>
          <w:shd w:val="clear" w:color="auto" w:fill="FFFFFF"/>
        </w:rPr>
        <w:t xml:space="preserve">The Madrid International Plan of Action on Ageing (MIPAA) outlines a comprehensive set of goals and actions to address the opportunities and challenges presented by aging populations. </w:t>
      </w:r>
      <w:r w:rsidR="00AC14BB">
        <w:rPr>
          <w:rFonts w:ascii="Times" w:hAnsi="Times" w:cs="Arial"/>
          <w:sz w:val="24"/>
          <w:szCs w:val="24"/>
          <w:shd w:val="clear" w:color="auto" w:fill="FFFFFF"/>
        </w:rPr>
        <w:t xml:space="preserve">(DISD) </w:t>
      </w:r>
      <w:r w:rsidRPr="00FF4523">
        <w:rPr>
          <w:rFonts w:ascii="Times" w:hAnsi="Times" w:cs="Arial"/>
          <w:sz w:val="24"/>
          <w:szCs w:val="24"/>
          <w:shd w:val="clear" w:color="auto" w:fill="FFFFFF"/>
        </w:rPr>
        <w:t xml:space="preserve">These goals are essential in guiding countries and organizations in creating policies and strategies that promote the well-being and inclusion of older adults. Here are five key MIPAA goals; </w:t>
      </w:r>
      <w:r w:rsidR="004E286E" w:rsidRPr="00FF4523">
        <w:rPr>
          <w:rFonts w:ascii="Times" w:hAnsi="Times" w:cs="Arial"/>
          <w:sz w:val="24"/>
          <w:szCs w:val="24"/>
          <w:shd w:val="clear" w:color="auto" w:fill="FFFFFF"/>
        </w:rPr>
        <w:t>one</w:t>
      </w:r>
      <w:r w:rsidRPr="00FF4523">
        <w:rPr>
          <w:rFonts w:ascii="Times" w:hAnsi="Times" w:cs="Arial"/>
          <w:sz w:val="24"/>
          <w:szCs w:val="24"/>
          <w:shd w:val="clear" w:color="auto" w:fill="FFFFFF"/>
        </w:rPr>
        <w:t xml:space="preserve"> of the central goals of MIPAA is to promote active and healthy aging. It recognizes that older individuals can continue to contribute to society in various ways, and it encourages governments and communities to create environments that support this engagement. Active aging involves not only staying physically healthy but also participating in social, economic, and cultural activities. By promoting active aging, MIPAA seeks to enhance the quality of life for older adults and their integration into society. MIPAA emphasizes the importance of income security for older adults.</w:t>
      </w:r>
    </w:p>
    <w:p w:rsidR="00B33289" w:rsidRPr="00FF4523" w:rsidRDefault="00B33289" w:rsidP="004E286E">
      <w:pPr>
        <w:rPr>
          <w:rFonts w:ascii="Times" w:hAnsi="Times" w:cs="Arial"/>
          <w:sz w:val="24"/>
          <w:szCs w:val="24"/>
          <w:shd w:val="clear" w:color="auto" w:fill="FFFFFF"/>
        </w:rPr>
      </w:pPr>
      <w:r w:rsidRPr="00FF4523">
        <w:rPr>
          <w:rFonts w:ascii="Times" w:hAnsi="Times" w:cs="Arial"/>
          <w:sz w:val="24"/>
          <w:szCs w:val="24"/>
          <w:shd w:val="clear" w:color="auto" w:fill="FFFFFF"/>
        </w:rPr>
        <w:t xml:space="preserve"> It acknowledges that financial stability is a key aspect of a dignified and secure old age. To achieve this goal, the plan encourages the establishment and maintenance of pension systems, social protection measures, and other financial mechanisms that safeguard the economic well-being of older individuals. This is crucial in the face of changing employment patterns and the potential economic vulnerability of the elderly. Accessible and affordable healthcare and social services are fundamental components of MIPAA's goals. With aging populations, the demand for </w:t>
      </w:r>
      <w:r w:rsidRPr="00FF4523">
        <w:rPr>
          <w:rFonts w:ascii="Times" w:hAnsi="Times" w:cs="Arial"/>
          <w:sz w:val="24"/>
          <w:szCs w:val="24"/>
          <w:shd w:val="clear" w:color="auto" w:fill="FFFFFF"/>
        </w:rPr>
        <w:lastRenderedPageBreak/>
        <w:t xml:space="preserve">healthcare services increases. MIPAA calls for countries to ensure that older individuals have access to quality healthcare, including preventive and long-term care services. It also emphasizes the need for social services that support older adults, addressing their social, emotional, and psychological well-being. MIPAA recognizes that ageism and stereotypes can limit the opportunities and inclusion of older individuals in society. It seeks to eradicate these prejudices and promote a positive view of aging. Ageism can affect employment, healthcare, and social participation, so addressing it is crucial for achieving the other goals of the plan. </w:t>
      </w:r>
    </w:p>
    <w:p w:rsidR="00B33289" w:rsidRPr="00B33289" w:rsidRDefault="00B33289" w:rsidP="004E286E">
      <w:pPr>
        <w:spacing w:after="0"/>
        <w:rPr>
          <w:rFonts w:ascii="Times" w:eastAsia="Times New Roman" w:hAnsi="Times" w:cs="Times New Roman"/>
          <w:sz w:val="24"/>
          <w:szCs w:val="24"/>
        </w:rPr>
      </w:pPr>
      <w:r w:rsidRPr="00B33289">
        <w:rPr>
          <w:rFonts w:ascii="Times" w:eastAsia="Times New Roman" w:hAnsi="Times" w:cs="Times New Roman"/>
          <w:sz w:val="24"/>
          <w:szCs w:val="24"/>
        </w:rPr>
        <w:t>The plan underscores the importance of gender equality in aging. It acknowledges that older women often face specific challenges, such as lower income, increased vulnerability, and disparities in access to resources and services. MIPAA advocates for gender-sensitive policies and measures to address these disparities, ensuring that older women have equal opportunities and protection in their later years.</w:t>
      </w:r>
      <w:r w:rsidRPr="00FF4523">
        <w:rPr>
          <w:rFonts w:ascii="Times" w:eastAsia="Times New Roman" w:hAnsi="Times" w:cs="Times New Roman"/>
          <w:sz w:val="24"/>
          <w:szCs w:val="24"/>
        </w:rPr>
        <w:t xml:space="preserve"> </w:t>
      </w:r>
      <w:r w:rsidRPr="00FF4523">
        <w:rPr>
          <w:rFonts w:ascii="Times" w:hAnsi="Times" w:cs="Arial"/>
          <w:sz w:val="24"/>
          <w:szCs w:val="24"/>
          <w:shd w:val="clear" w:color="auto" w:fill="FFFFFF"/>
        </w:rPr>
        <w:t> </w:t>
      </w:r>
      <w:r w:rsidR="004E286E" w:rsidRPr="00FF4523">
        <w:rPr>
          <w:rFonts w:ascii="Times" w:hAnsi="Times" w:cs="Arial"/>
          <w:sz w:val="24"/>
          <w:szCs w:val="24"/>
          <w:shd w:val="clear" w:color="auto" w:fill="FFFFFF"/>
        </w:rPr>
        <w:t>The</w:t>
      </w:r>
      <w:r w:rsidRPr="00FF4523">
        <w:rPr>
          <w:rFonts w:ascii="Times" w:hAnsi="Times" w:cs="Arial"/>
          <w:sz w:val="24"/>
          <w:szCs w:val="24"/>
          <w:shd w:val="clear" w:color="auto" w:fill="FFFFFF"/>
        </w:rPr>
        <w:t xml:space="preserve"> Madrid International Plan of Action on Ageing (MIPAA) sets forth a comprehensive framework with five fundamental goals. These goals encompass the promotion of active aging, income security, access to healthcare and social services, the eradication of ageism and stereotypes, and the promotion of gender equality in aging. By striving to achieve these goals, countries and organizations can create policies and strategies that enhance the lives of older adults and contribute to the development of more inclusive and equitable societies.</w:t>
      </w:r>
    </w:p>
    <w:p w:rsidR="00B33289" w:rsidRPr="00FF4523" w:rsidRDefault="00B33289" w:rsidP="004E286E">
      <w:pPr>
        <w:rPr>
          <w:rFonts w:ascii="Times" w:hAnsi="Times"/>
          <w:b/>
          <w:sz w:val="24"/>
          <w:szCs w:val="24"/>
          <w:u w:val="single"/>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t>Relevance of MIPAA</w:t>
      </w:r>
    </w:p>
    <w:p w:rsidR="00B33289" w:rsidRPr="00FF4523" w:rsidRDefault="00B33289" w:rsidP="004E286E">
      <w:pPr>
        <w:rPr>
          <w:rFonts w:ascii="Times" w:eastAsia="Times New Roman" w:hAnsi="Times" w:cs="Times New Roman"/>
          <w:sz w:val="24"/>
          <w:szCs w:val="24"/>
        </w:rPr>
      </w:pPr>
      <w:r w:rsidRPr="00FF4523">
        <w:rPr>
          <w:rFonts w:ascii="Times" w:hAnsi="Times" w:cs="Arial"/>
          <w:sz w:val="24"/>
          <w:szCs w:val="24"/>
          <w:shd w:val="clear" w:color="auto" w:fill="FFFFFF"/>
        </w:rPr>
        <w:t xml:space="preserve">The relevance of the Madrid International Plan of Action on Ageing (MIPAA) in addressing the challenges of an aging population in Caribbean nations is undeniable. Here are five key aspects that highlight its enduring relevance; </w:t>
      </w:r>
      <w:r w:rsidRPr="00FF4523">
        <w:rPr>
          <w:rFonts w:ascii="Times" w:eastAsia="Times New Roman" w:hAnsi="Times" w:cs="Times New Roman"/>
          <w:sz w:val="24"/>
          <w:szCs w:val="24"/>
        </w:rPr>
        <w:t>MIPAA serves as a guiding framework for addressing the multifaceted challenges presented by aging populations. In the Caribbean, as in many other regions, demographic shifts are leading to a higher proportion of older adults. MIPAA's core principles and goals are directly aligned with these challenges. It provides a comprehensive blueprint for governments, organizations, and communities to navigate the evolving needs of aging populations.</w:t>
      </w:r>
    </w:p>
    <w:p w:rsidR="00B33289" w:rsidRPr="00FF4523" w:rsidRDefault="00B33289" w:rsidP="004E286E">
      <w:pPr>
        <w:rPr>
          <w:rFonts w:ascii="Times" w:hAnsi="Times" w:cs="Arial"/>
          <w:sz w:val="24"/>
          <w:szCs w:val="24"/>
          <w:shd w:val="clear" w:color="auto" w:fill="FFFFFF"/>
        </w:rPr>
      </w:pPr>
      <w:r w:rsidRPr="00FF4523">
        <w:rPr>
          <w:rFonts w:ascii="Times" w:hAnsi="Times" w:cs="Arial"/>
          <w:sz w:val="24"/>
          <w:szCs w:val="24"/>
          <w:shd w:val="clear" w:color="auto" w:fill="FFFFFF"/>
        </w:rPr>
        <w:t>The emphasis on promoting active and healthy aging is particularly pertinent to the Caribbean. With their rich cultural diversity and traditions, older individuals in the region often play vital roles in their communities. MIPAA encourages older adults to remain engaged in society, contributing their wisdom and experiences. This resonates with the Caribbean's cultural values and traditions, making it a relevant aspect of the plan. Caribbean nations are grappling with the economic security of their older citizens. MIPAA recognizes the need for sustainable pension systems and social protection for older adults. As demographic shifts impact employment patterns, the relevance of this goal cannot be overstated. It provides a strategic pathway to ensure that older adults have a secure financial footing in their later years.</w:t>
      </w:r>
    </w:p>
    <w:p w:rsidR="00B33289" w:rsidRPr="00FF4523" w:rsidRDefault="00B33289" w:rsidP="004E286E">
      <w:pPr>
        <w:spacing w:after="0"/>
        <w:rPr>
          <w:rFonts w:ascii="Times" w:hAnsi="Times" w:cs="Arial"/>
          <w:sz w:val="24"/>
          <w:szCs w:val="24"/>
          <w:shd w:val="clear" w:color="auto" w:fill="FFFFFF"/>
        </w:rPr>
      </w:pPr>
      <w:r w:rsidRPr="00B33289">
        <w:rPr>
          <w:rFonts w:ascii="Times" w:eastAsia="Times New Roman" w:hAnsi="Times" w:cs="Times New Roman"/>
          <w:sz w:val="24"/>
          <w:szCs w:val="24"/>
        </w:rPr>
        <w:lastRenderedPageBreak/>
        <w:t>The increasing demand for healthcare and social services for older adults is a common challenge in aging populations. MIPAA underscores the importance of accessible and affordable healthcare and social services. In the Caribbean, where healthcare systems may require enhancement to cater to the needs of older citizens, this aspect of the plan remains pertinent.</w:t>
      </w:r>
      <w:r w:rsidRPr="00FF4523">
        <w:rPr>
          <w:rFonts w:ascii="Times" w:eastAsia="Times New Roman" w:hAnsi="Times" w:cs="Times New Roman"/>
          <w:sz w:val="24"/>
          <w:szCs w:val="24"/>
        </w:rPr>
        <w:t xml:space="preserve"> </w:t>
      </w:r>
      <w:r w:rsidRPr="00FF4523">
        <w:rPr>
          <w:rFonts w:ascii="Times" w:hAnsi="Times" w:cs="Arial"/>
          <w:sz w:val="24"/>
          <w:szCs w:val="24"/>
          <w:shd w:val="clear" w:color="auto" w:fill="FFFFFF"/>
        </w:rPr>
        <w:t>MIPAA acknowledges the gender dimension of aging and recognizes the specific challenges faced by older women, who may experience disparities in income, healthcare access, and social services. Gender inequality in aging is a relevant issue in many Caribbean nations, and the plan's emphasis on gender-sensitive policies aligns with efforts to address these disparities.</w:t>
      </w:r>
    </w:p>
    <w:p w:rsidR="00924975" w:rsidRPr="00FF4523" w:rsidRDefault="00924975" w:rsidP="004E286E">
      <w:pPr>
        <w:spacing w:after="0"/>
        <w:rPr>
          <w:rFonts w:ascii="Times" w:eastAsia="Times New Roman" w:hAnsi="Times" w:cs="Times New Roman"/>
          <w:sz w:val="24"/>
          <w:szCs w:val="24"/>
        </w:rPr>
      </w:pPr>
    </w:p>
    <w:p w:rsidR="00B33289" w:rsidRPr="00B33289" w:rsidRDefault="00B33289" w:rsidP="004E286E">
      <w:pPr>
        <w:spacing w:after="0"/>
        <w:rPr>
          <w:rFonts w:ascii="Times" w:eastAsia="Times New Roman" w:hAnsi="Times" w:cs="Times New Roman"/>
          <w:sz w:val="24"/>
          <w:szCs w:val="24"/>
        </w:rPr>
      </w:pPr>
      <w:r w:rsidRPr="00B33289">
        <w:rPr>
          <w:rFonts w:ascii="Times" w:eastAsia="Times New Roman" w:hAnsi="Times" w:cs="Times New Roman"/>
          <w:sz w:val="24"/>
          <w:szCs w:val="24"/>
        </w:rPr>
        <w:t>MIPAA's relevance to addressing the challenges of an aging population in Caribbean nations is evident. The demographic shift towards an older population, combined with the goals and actions outlined in the plan, positions MIPAA as a valuable tool for navigating the complexities of aging populations in the region. The success of MIPAA's implementation will require a concerted effort, regional cooperation, and tailored approaches to address the specific challenges of Caribbean nations. However, by embracing its principles and working collaboratively, Caribbean nations can create inclusive and equitable societies that benefit individuals of all age groups.</w:t>
      </w:r>
    </w:p>
    <w:p w:rsidR="00B33289" w:rsidRPr="00B33289" w:rsidRDefault="00B33289" w:rsidP="004E286E">
      <w:pPr>
        <w:spacing w:after="0"/>
        <w:rPr>
          <w:rFonts w:ascii="Times" w:eastAsia="Times New Roman" w:hAnsi="Times" w:cs="Times New Roman"/>
          <w:sz w:val="24"/>
          <w:szCs w:val="24"/>
        </w:rPr>
      </w:pPr>
    </w:p>
    <w:p w:rsidR="00B33289" w:rsidRPr="00FF4523" w:rsidRDefault="00B33289" w:rsidP="004E286E">
      <w:pPr>
        <w:rPr>
          <w:rFonts w:ascii="Times" w:hAnsi="Times"/>
          <w:b/>
          <w:sz w:val="24"/>
          <w:szCs w:val="24"/>
          <w:u w:val="single"/>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t>Healthcare and Social Services</w:t>
      </w:r>
    </w:p>
    <w:p w:rsidR="00924975" w:rsidRPr="00FF4523" w:rsidRDefault="00924975" w:rsidP="004E286E">
      <w:pPr>
        <w:rPr>
          <w:rFonts w:ascii="Times" w:hAnsi="Times" w:cs="Arial"/>
          <w:sz w:val="24"/>
          <w:szCs w:val="24"/>
          <w:shd w:val="clear" w:color="auto" w:fill="FFFFFF"/>
        </w:rPr>
      </w:pPr>
      <w:r w:rsidRPr="00FF4523">
        <w:rPr>
          <w:rFonts w:ascii="Times" w:hAnsi="Times" w:cs="Arial"/>
          <w:sz w:val="24"/>
          <w:szCs w:val="24"/>
          <w:shd w:val="clear" w:color="auto" w:fill="FFFFFF"/>
        </w:rPr>
        <w:t>The Madrid International Plan of Action on Ageing (MIPAA) emphasizes the critical importance of healthcare and social services in addressing the challenges posed by aging populations. In the context of Caribbean nations, where demographic shifts are leading to an older population, the significance of these aspects of MIPAA cannot be overstated.</w:t>
      </w:r>
    </w:p>
    <w:p w:rsidR="00924975" w:rsidRPr="00FF4523" w:rsidRDefault="00924975" w:rsidP="004E286E">
      <w:pPr>
        <w:rPr>
          <w:rFonts w:ascii="Times" w:hAnsi="Times" w:cs="Arial"/>
          <w:sz w:val="24"/>
          <w:szCs w:val="24"/>
          <w:shd w:val="clear" w:color="auto" w:fill="FFFFFF"/>
        </w:rPr>
      </w:pPr>
      <w:r w:rsidRPr="00FF4523">
        <w:rPr>
          <w:rFonts w:ascii="Times" w:hAnsi="Times" w:cs="Arial"/>
          <w:sz w:val="24"/>
          <w:szCs w:val="24"/>
          <w:shd w:val="clear" w:color="auto" w:fill="FFFFFF"/>
        </w:rPr>
        <w:t xml:space="preserve">MIPAA recognizes that as </w:t>
      </w:r>
      <w:r w:rsidR="004E286E" w:rsidRPr="00FF4523">
        <w:rPr>
          <w:rFonts w:ascii="Times" w:hAnsi="Times" w:cs="Arial"/>
          <w:sz w:val="24"/>
          <w:szCs w:val="24"/>
          <w:shd w:val="clear" w:color="auto" w:fill="FFFFFF"/>
        </w:rPr>
        <w:t>population’s</w:t>
      </w:r>
      <w:r w:rsidRPr="00FF4523">
        <w:rPr>
          <w:rFonts w:ascii="Times" w:hAnsi="Times" w:cs="Arial"/>
          <w:sz w:val="24"/>
          <w:szCs w:val="24"/>
          <w:shd w:val="clear" w:color="auto" w:fill="FFFFFF"/>
        </w:rPr>
        <w:t xml:space="preserve"> age, there is a growing need for accessible and affordable healthcare services. In Caribbean nations, this is especially pertinent, as the increasing prevalence of age-related health conditions necessitates robust healthcare infrastructure. MIPAA encourages governments to ensure that older adults have access to quality healthcare, including preventive and long-term care services. This aligns with the imperative of enhancing healthcare systems to cater to the specific needs of older citizens. A central tenet of MIPAA is the promotion of preventive care. This is crucial in the Caribbean, where healthcare resources can be strained by the demands of an aging population. Preventive care, including vaccinations, health screenings, and health education, is essential in reducing the burden on healthcare systems and improving the overall well-being of older adults.</w:t>
      </w:r>
    </w:p>
    <w:p w:rsidR="00924975" w:rsidRPr="00FF4523" w:rsidRDefault="00924975" w:rsidP="004E286E">
      <w:pPr>
        <w:rPr>
          <w:rFonts w:ascii="Times" w:hAnsi="Times" w:cs="Arial"/>
          <w:sz w:val="24"/>
          <w:szCs w:val="24"/>
          <w:shd w:val="clear" w:color="auto" w:fill="FFFFFF"/>
        </w:rPr>
      </w:pPr>
      <w:r w:rsidRPr="00FF4523">
        <w:rPr>
          <w:rFonts w:ascii="Times" w:hAnsi="Times" w:cs="Arial"/>
          <w:sz w:val="24"/>
          <w:szCs w:val="24"/>
          <w:shd w:val="clear" w:color="auto" w:fill="FFFFFF"/>
        </w:rPr>
        <w:t xml:space="preserve">Many older adults in the Caribbean may require long-term care due to age-related disabilities and health conditions. MIPAA recognizes the need for appropriate long-term care services, including institutional and community-based options. Developing and improving these services is vital to support the independence and dignity of older adults, allowing them to live fulfilling lives. </w:t>
      </w:r>
      <w:r w:rsidRPr="00FF4523">
        <w:rPr>
          <w:rFonts w:ascii="Times" w:hAnsi="Times" w:cs="Arial"/>
          <w:sz w:val="24"/>
          <w:szCs w:val="24"/>
          <w:shd w:val="clear" w:color="auto" w:fill="FFFFFF"/>
        </w:rPr>
        <w:lastRenderedPageBreak/>
        <w:t>Beyond healthcare, MIPAA places a significant emphasis on social services that enhance the quality of life for older adults. These services encompass social, emotional, and psychological well-being. In the Caribbean, where social cohesion and community engagement are highly valued, these services are essential in fostering the continued inclusion of older individuals in society.</w:t>
      </w:r>
    </w:p>
    <w:p w:rsidR="00924975" w:rsidRPr="00924975" w:rsidRDefault="00924975" w:rsidP="004E286E">
      <w:pPr>
        <w:rPr>
          <w:rFonts w:ascii="Times" w:eastAsia="Times New Roman" w:hAnsi="Times" w:cs="Times New Roman"/>
          <w:sz w:val="24"/>
          <w:szCs w:val="24"/>
        </w:rPr>
      </w:pPr>
      <w:r w:rsidRPr="00924975">
        <w:rPr>
          <w:rFonts w:ascii="Times" w:eastAsia="Times New Roman" w:hAnsi="Times" w:cs="Times New Roman"/>
          <w:sz w:val="24"/>
          <w:szCs w:val="24"/>
        </w:rPr>
        <w:t>MIPAA encourages governments and communities to create age-friendly environments. This involves the design of physical spaces, transportation systems, and social structures that accommodate the needs and preferences of older adults. In the Caribbean, adapting the environment to be age-friendly is not only about improving accessibility but also about preserving cultural values that respect and celebrate older generations.</w:t>
      </w:r>
      <w:r w:rsidRPr="00FF4523">
        <w:rPr>
          <w:rFonts w:ascii="Times" w:eastAsia="Times New Roman" w:hAnsi="Times" w:cs="Times New Roman"/>
          <w:sz w:val="24"/>
          <w:szCs w:val="24"/>
        </w:rPr>
        <w:t xml:space="preserve"> MIPAA's focus on healthcare and social services is highly relevant in the Caribbean context. Demographic shifts towards an older population demand a comprehensive approach to meet the evolving healthcare needs of older adults while simultaneously addressing their social and emotional well-being. By implementing MIPAA's recommendations in these areas, Caribbean nations can ensure that older citizens lead healthier, more fulfilling lives and remain integral members of their communities. This holistic approach is pivotal in creating an inclusive and equitable society where individuals of all ages are valued and supported.</w:t>
      </w:r>
    </w:p>
    <w:p w:rsidR="00924975" w:rsidRPr="00FF4523" w:rsidRDefault="00924975" w:rsidP="004E286E">
      <w:pPr>
        <w:rPr>
          <w:rFonts w:ascii="Times" w:hAnsi="Times"/>
          <w:b/>
          <w:sz w:val="24"/>
          <w:szCs w:val="24"/>
          <w:u w:val="single"/>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t>Income Security</w:t>
      </w:r>
    </w:p>
    <w:p w:rsidR="00924975" w:rsidRPr="00FF4523" w:rsidRDefault="00924975" w:rsidP="004E286E">
      <w:pPr>
        <w:spacing w:after="0"/>
        <w:rPr>
          <w:rFonts w:ascii="Times" w:eastAsia="Times New Roman" w:hAnsi="Times" w:cs="Times New Roman"/>
          <w:sz w:val="24"/>
          <w:szCs w:val="24"/>
        </w:rPr>
      </w:pPr>
      <w:r w:rsidRPr="00924975">
        <w:rPr>
          <w:rFonts w:ascii="Times" w:eastAsia="Times New Roman" w:hAnsi="Times" w:cs="Times New Roman"/>
          <w:sz w:val="24"/>
          <w:szCs w:val="24"/>
        </w:rPr>
        <w:t>Income security for older adults is a central concern addressed by the Madrid International Plan of Action on Ageing (MIPAA). The principles and goals outlined in MIPAA related to income security are particularly relevant in the context of Caribbean nations as they grapple with the economic well-being of their aging populations.</w:t>
      </w:r>
    </w:p>
    <w:p w:rsidR="00924975" w:rsidRPr="00FF4523" w:rsidRDefault="00924975" w:rsidP="004E286E">
      <w:pPr>
        <w:spacing w:after="0"/>
        <w:rPr>
          <w:rFonts w:ascii="Times" w:eastAsia="Times New Roman" w:hAnsi="Times" w:cs="Times New Roman"/>
          <w:sz w:val="24"/>
          <w:szCs w:val="24"/>
        </w:rPr>
      </w:pPr>
    </w:p>
    <w:p w:rsidR="00924975" w:rsidRPr="00FF4523" w:rsidRDefault="00924975" w:rsidP="004E286E">
      <w:pPr>
        <w:rPr>
          <w:rFonts w:ascii="Times" w:eastAsia="Times New Roman" w:hAnsi="Times" w:cs="Times New Roman"/>
          <w:sz w:val="24"/>
          <w:szCs w:val="24"/>
        </w:rPr>
      </w:pPr>
      <w:r w:rsidRPr="00FF4523">
        <w:rPr>
          <w:rFonts w:ascii="Times" w:hAnsi="Times" w:cs="Arial"/>
          <w:sz w:val="24"/>
          <w:szCs w:val="24"/>
          <w:shd w:val="clear" w:color="auto" w:fill="FFFFFF"/>
        </w:rPr>
        <w:t xml:space="preserve">MIPAA underscores the need for sustainable pension systems to ensure that older adults have financial security in their later years. In the Caribbean, where traditional familial support structures may be evolving, the role of pension systems becomes crucial. These systems provide a safety net for older citizens who may not have extended family networks to rely on, and they are critical for their economic well-being. </w:t>
      </w:r>
      <w:r w:rsidRPr="00FF4523">
        <w:rPr>
          <w:rFonts w:ascii="Times" w:eastAsia="Times New Roman" w:hAnsi="Times" w:cs="Times New Roman"/>
          <w:sz w:val="24"/>
          <w:szCs w:val="24"/>
        </w:rPr>
        <w:t>Beyond pension systems, MIPAA encourages social protection measures to safeguard older individuals from economic vulnerability. In the Caribbean, this is especially pertinent as demographic shifts impact employment patterns. Social protection can include various forms of assistance such as social welfare programs, food aid, and housing support, which help ensure that older adults can meet their basic needs.</w:t>
      </w:r>
    </w:p>
    <w:p w:rsidR="00924975" w:rsidRPr="00FF4523" w:rsidRDefault="00924975" w:rsidP="004E286E">
      <w:pPr>
        <w:rPr>
          <w:rFonts w:ascii="Times" w:eastAsia="Times New Roman" w:hAnsi="Times" w:cs="Times New Roman"/>
          <w:sz w:val="24"/>
          <w:szCs w:val="24"/>
        </w:rPr>
      </w:pPr>
      <w:r w:rsidRPr="00924975">
        <w:rPr>
          <w:rFonts w:ascii="Times" w:eastAsia="Times New Roman" w:hAnsi="Times" w:cs="Times New Roman"/>
          <w:sz w:val="24"/>
          <w:szCs w:val="24"/>
        </w:rPr>
        <w:t xml:space="preserve"> Financial inclusion is another critical aspect of income security, as it promotes access to financial services, including savings and credit. MIPAA recognizes the importance of financial inclusion for older adults, allowing them to plan for their retirement and navigate financial challenges. In the Caribbean, where older adults may face limitations in access to financial </w:t>
      </w:r>
      <w:r w:rsidRPr="00924975">
        <w:rPr>
          <w:rFonts w:ascii="Times" w:eastAsia="Times New Roman" w:hAnsi="Times" w:cs="Times New Roman"/>
          <w:sz w:val="24"/>
          <w:szCs w:val="24"/>
        </w:rPr>
        <w:lastRenderedPageBreak/>
        <w:t>services, this goal is particularly relevant.</w:t>
      </w:r>
      <w:r w:rsidRPr="00FF4523">
        <w:rPr>
          <w:rFonts w:ascii="Times" w:eastAsia="Times New Roman" w:hAnsi="Times" w:cs="Times New Roman"/>
          <w:sz w:val="24"/>
          <w:szCs w:val="24"/>
        </w:rPr>
        <w:t xml:space="preserve"> MIPAA acknowledges the changing nature of work and its impact on income security for older adults. As Caribbean nations address the needs of aging populations, they must consider employment opportunities for older individuals, including options for part-time work or employment retraining. This is especially relevant in regions where labor market participation for older adults may be low.</w:t>
      </w:r>
    </w:p>
    <w:p w:rsidR="00924975" w:rsidRPr="00FF4523" w:rsidRDefault="00924975" w:rsidP="004E286E">
      <w:pPr>
        <w:rPr>
          <w:rFonts w:ascii="Times" w:eastAsia="Times New Roman" w:hAnsi="Times" w:cs="Times New Roman"/>
          <w:sz w:val="24"/>
          <w:szCs w:val="24"/>
        </w:rPr>
      </w:pPr>
      <w:r w:rsidRPr="00924975">
        <w:rPr>
          <w:rFonts w:ascii="Times" w:eastAsia="Times New Roman" w:hAnsi="Times" w:cs="Times New Roman"/>
          <w:sz w:val="24"/>
          <w:szCs w:val="24"/>
        </w:rPr>
        <w:t xml:space="preserve">MIPAA also recognizes that older women often face unique challenges related to income security. Gender disparities in income, lower lifetime earnings, and potential interruptions in careers due to </w:t>
      </w:r>
      <w:r w:rsidR="004E286E" w:rsidRPr="00924975">
        <w:rPr>
          <w:rFonts w:ascii="Times" w:eastAsia="Times New Roman" w:hAnsi="Times" w:cs="Times New Roman"/>
          <w:sz w:val="24"/>
          <w:szCs w:val="24"/>
        </w:rPr>
        <w:t>care giving</w:t>
      </w:r>
      <w:r w:rsidRPr="00924975">
        <w:rPr>
          <w:rFonts w:ascii="Times" w:eastAsia="Times New Roman" w:hAnsi="Times" w:cs="Times New Roman"/>
          <w:sz w:val="24"/>
          <w:szCs w:val="24"/>
        </w:rPr>
        <w:t xml:space="preserve"> responsibilities can affect older women's economic well-being. MIPAA advocates for gender-sensitive policies and measures to address these disparities, ensuring that older women have equal opportunities and protection.</w:t>
      </w:r>
      <w:r w:rsidRPr="00FF4523">
        <w:rPr>
          <w:rFonts w:ascii="Times" w:eastAsia="Times New Roman" w:hAnsi="Times" w:cs="Times New Roman"/>
          <w:sz w:val="24"/>
          <w:szCs w:val="24"/>
        </w:rPr>
        <w:t xml:space="preserve"> MIPAA's goals related to income security are highly relevant in Caribbean nations experiencing demographic shifts towards an older population. The economic well-being of older adults is essential for their quality of life, and these goals provide a structured pathway to ensure that they have a secure financial foundation in their later years. Implementing MIPAA's recommendations in this regard is pivotal for creating inclusive and equitable societies where older citizens can lead dignified and financially stable lives.</w:t>
      </w:r>
    </w:p>
    <w:p w:rsidR="00592F8B" w:rsidRPr="004E286E" w:rsidRDefault="00592F8B" w:rsidP="004E286E">
      <w:pPr>
        <w:rPr>
          <w:rFonts w:ascii="Times" w:hAnsi="Times"/>
          <w:i/>
          <w:sz w:val="24"/>
          <w:szCs w:val="24"/>
          <w:u w:val="single"/>
        </w:rPr>
      </w:pPr>
      <w:r w:rsidRPr="004E286E">
        <w:rPr>
          <w:rFonts w:ascii="Times" w:hAnsi="Times"/>
          <w:i/>
          <w:sz w:val="24"/>
          <w:szCs w:val="24"/>
          <w:u w:val="single"/>
        </w:rPr>
        <w:t>Active Aging</w:t>
      </w:r>
    </w:p>
    <w:p w:rsidR="00924975" w:rsidRPr="00FF4523" w:rsidRDefault="00924975" w:rsidP="004E286E">
      <w:pPr>
        <w:spacing w:after="0"/>
        <w:rPr>
          <w:rFonts w:ascii="Times" w:eastAsia="Times New Roman" w:hAnsi="Times" w:cs="Times New Roman"/>
          <w:sz w:val="24"/>
          <w:szCs w:val="24"/>
        </w:rPr>
      </w:pPr>
      <w:r w:rsidRPr="00924975">
        <w:rPr>
          <w:rFonts w:ascii="Times" w:eastAsia="Times New Roman" w:hAnsi="Times" w:cs="Times New Roman"/>
          <w:sz w:val="24"/>
          <w:szCs w:val="24"/>
        </w:rPr>
        <w:t>Active aging is a core focus of the Madrid International Plan of Action on Ageing (MIPAA), emphasizing the importance of older individuals remaining engaged in society and living healthy, fulfilling lives. This aspect of MIPAA holds significant relevance in the context of Caribbean nations, where demographic shifts are leading to an aging population.</w:t>
      </w:r>
    </w:p>
    <w:p w:rsidR="00924975" w:rsidRPr="00FF4523" w:rsidRDefault="00924975" w:rsidP="004E286E">
      <w:pPr>
        <w:spacing w:after="0"/>
        <w:rPr>
          <w:rFonts w:ascii="Times" w:eastAsia="Times New Roman" w:hAnsi="Times" w:cs="Times New Roman"/>
          <w:sz w:val="24"/>
          <w:szCs w:val="24"/>
        </w:rPr>
      </w:pPr>
    </w:p>
    <w:p w:rsidR="00924975" w:rsidRPr="00FF4523" w:rsidRDefault="00924975" w:rsidP="004E286E">
      <w:pPr>
        <w:rPr>
          <w:rFonts w:ascii="Times" w:eastAsia="Times New Roman" w:hAnsi="Times" w:cs="Times New Roman"/>
          <w:sz w:val="24"/>
          <w:szCs w:val="24"/>
        </w:rPr>
      </w:pPr>
      <w:r w:rsidRPr="00FF4523">
        <w:rPr>
          <w:rFonts w:ascii="Times" w:hAnsi="Times" w:cs="Arial"/>
          <w:sz w:val="24"/>
          <w:szCs w:val="24"/>
          <w:shd w:val="clear" w:color="auto" w:fill="FFFFFF"/>
        </w:rPr>
        <w:t xml:space="preserve">MIPAA recognizes the importance of promoting healthy lifestyles among older adults. In the Caribbean, where traditional practices and cultural values often celebrate active living and community engagement, this goal is highly pertinent. Encouraging older individuals to maintain physical health, engage in social activities, and adopt balanced diets aligns with the cultural and social norms of the region. </w:t>
      </w:r>
      <w:r w:rsidRPr="00FF4523">
        <w:rPr>
          <w:rFonts w:ascii="Times" w:eastAsia="Times New Roman" w:hAnsi="Times" w:cs="Times New Roman"/>
          <w:sz w:val="24"/>
          <w:szCs w:val="24"/>
        </w:rPr>
        <w:t>Active aging involves more than just physical health; it encompasses economic and social participation. Older adults in the Caribbean often play vital roles in their communities and families, contributing to their societies in various ways. MIPAA acknowledges the value of this participation and encourages governments and communities to create environments that support and celebrate the engagement of older citizens.</w:t>
      </w:r>
    </w:p>
    <w:p w:rsidR="00924975" w:rsidRPr="00FF4523" w:rsidRDefault="00924975" w:rsidP="004E286E">
      <w:pPr>
        <w:spacing w:after="0"/>
        <w:rPr>
          <w:rFonts w:ascii="Times" w:hAnsi="Times" w:cs="Arial"/>
          <w:sz w:val="24"/>
          <w:szCs w:val="24"/>
          <w:shd w:val="clear" w:color="auto" w:fill="FFFFFF"/>
        </w:rPr>
      </w:pPr>
      <w:r w:rsidRPr="00FF4523">
        <w:rPr>
          <w:rFonts w:ascii="Times" w:hAnsi="Times" w:cs="Arial"/>
          <w:sz w:val="24"/>
          <w:szCs w:val="24"/>
          <w:shd w:val="clear" w:color="auto" w:fill="FFFFFF"/>
        </w:rPr>
        <w:t xml:space="preserve">Ageism and stereotypes can limit opportunities for older adults. MIPAA calls for the eradication of these prejudices, recognizing that they can affect employment, healthcare, and social participation. This is especially relevant in the Caribbean, where cultural respect for older generations is strong, and challenging ageism can further enhance the inclusion and active engagement of older individuals. The Caribbean places high value on strong intergenerational relationships, where older adults often play essential roles as caregivers and sources of wisdom. MIPAA's principles on active aging resonate with the importance of these relationships, </w:t>
      </w:r>
      <w:r w:rsidRPr="00FF4523">
        <w:rPr>
          <w:rFonts w:ascii="Times" w:hAnsi="Times" w:cs="Arial"/>
          <w:sz w:val="24"/>
          <w:szCs w:val="24"/>
          <w:shd w:val="clear" w:color="auto" w:fill="FFFFFF"/>
        </w:rPr>
        <w:lastRenderedPageBreak/>
        <w:t>encouraging societies to support the well-being of older individuals while also recognizing their role as contributors to the development of younger generations.</w:t>
      </w:r>
    </w:p>
    <w:p w:rsidR="00924975" w:rsidRPr="00FF4523" w:rsidRDefault="00924975" w:rsidP="004E286E">
      <w:pPr>
        <w:spacing w:after="0"/>
        <w:rPr>
          <w:rFonts w:ascii="Times" w:hAnsi="Times" w:cs="Arial"/>
          <w:sz w:val="24"/>
          <w:szCs w:val="24"/>
          <w:shd w:val="clear" w:color="auto" w:fill="FFFFFF"/>
        </w:rPr>
      </w:pPr>
    </w:p>
    <w:p w:rsidR="00924975" w:rsidRPr="00FF4523" w:rsidRDefault="00924975" w:rsidP="004E286E">
      <w:pPr>
        <w:spacing w:after="0"/>
        <w:rPr>
          <w:rFonts w:ascii="Times" w:hAnsi="Times" w:cs="Arial"/>
          <w:sz w:val="24"/>
          <w:szCs w:val="24"/>
          <w:shd w:val="clear" w:color="auto" w:fill="FFFFFF"/>
        </w:rPr>
      </w:pPr>
      <w:r w:rsidRPr="00FF4523">
        <w:rPr>
          <w:rFonts w:ascii="Times" w:hAnsi="Times" w:cs="Arial"/>
          <w:sz w:val="24"/>
          <w:szCs w:val="24"/>
          <w:shd w:val="clear" w:color="auto" w:fill="FFFFFF"/>
        </w:rPr>
        <w:t>Active aging isn't just about longevity but about the quality of life in older age. MIPAA focuses on enhancing the life satisfaction of older adults, aligning with Caribbean cultures where well-being is often measured not just by the length of life but by its richness and fulfillment. This emphasis on well-being, mental health, and emotional fulfillment is crucial for active aging.  </w:t>
      </w:r>
      <w:r w:rsidR="004E286E" w:rsidRPr="00FF4523">
        <w:rPr>
          <w:rFonts w:ascii="Times" w:hAnsi="Times" w:cs="Arial"/>
          <w:sz w:val="24"/>
          <w:szCs w:val="24"/>
          <w:shd w:val="clear" w:color="auto" w:fill="FFFFFF"/>
        </w:rPr>
        <w:t>The</w:t>
      </w:r>
      <w:r w:rsidRPr="00FF4523">
        <w:rPr>
          <w:rFonts w:ascii="Times" w:hAnsi="Times" w:cs="Arial"/>
          <w:sz w:val="24"/>
          <w:szCs w:val="24"/>
          <w:shd w:val="clear" w:color="auto" w:fill="FFFFFF"/>
        </w:rPr>
        <w:t xml:space="preserve"> Madrid International Plan of Action on Ageing (MIPAA) places great importance on active aging, which resonates with the values and cultural norms of Caribbean nations. As the region experiences demographic shifts towards an older population, these MIPAA goals support and enhance the existing cultural emphasis on community engagement, intergenerational relationships, and healthy living. Implementing MIPAA's recommendations in promoting active aging is pivotal for creating inclusive and equitable societies where older individuals can continue to contribute to their communities and enjoy a high quality of life in their later years.</w:t>
      </w:r>
    </w:p>
    <w:p w:rsidR="00924975" w:rsidRPr="00FF4523" w:rsidRDefault="00924975" w:rsidP="004E286E">
      <w:pPr>
        <w:spacing w:after="0"/>
        <w:rPr>
          <w:rFonts w:ascii="Times" w:hAnsi="Times" w:cs="Arial"/>
          <w:sz w:val="24"/>
          <w:szCs w:val="24"/>
          <w:shd w:val="clear" w:color="auto" w:fill="FFFFFF"/>
        </w:rPr>
      </w:pPr>
    </w:p>
    <w:p w:rsidR="00924975" w:rsidRPr="00FF4523" w:rsidRDefault="00924975" w:rsidP="004E286E">
      <w:pPr>
        <w:spacing w:after="0"/>
        <w:rPr>
          <w:rFonts w:ascii="Times" w:eastAsia="Times New Roman" w:hAnsi="Times" w:cs="Times New Roman"/>
          <w:sz w:val="24"/>
          <w:szCs w:val="24"/>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t>Long-term Care</w:t>
      </w:r>
    </w:p>
    <w:p w:rsidR="00924975" w:rsidRPr="00FF4523" w:rsidRDefault="00924975" w:rsidP="004E286E">
      <w:pPr>
        <w:rPr>
          <w:rFonts w:ascii="Times" w:hAnsi="Times" w:cs="Arial"/>
          <w:sz w:val="24"/>
          <w:szCs w:val="24"/>
          <w:shd w:val="clear" w:color="auto" w:fill="FFFFFF"/>
        </w:rPr>
      </w:pPr>
      <w:r w:rsidRPr="00FF4523">
        <w:rPr>
          <w:rFonts w:ascii="Times" w:hAnsi="Times" w:cs="Arial"/>
          <w:sz w:val="24"/>
          <w:szCs w:val="24"/>
          <w:shd w:val="clear" w:color="auto" w:fill="FFFFFF"/>
        </w:rPr>
        <w:t>Long-term care is a pivotal aspect of the Madrid International Plan of Action on Ageing (MIPAA). It acknowledges the need for comprehensive, accessible, and high-quality long-term care services to support older adults, and the relevance of these aspects of MIPAA is particularly evident in the context of Caribbean nations as they confront demographic shifts towards an aging population.</w:t>
      </w:r>
      <w:r w:rsidR="00081AB1" w:rsidRPr="00FF4523">
        <w:rPr>
          <w:rFonts w:ascii="Times" w:hAnsi="Times" w:cs="Arial"/>
          <w:sz w:val="24"/>
          <w:szCs w:val="24"/>
          <w:shd w:val="clear" w:color="auto" w:fill="FFFFFF"/>
        </w:rPr>
        <w:t xml:space="preserve"> </w:t>
      </w:r>
    </w:p>
    <w:p w:rsidR="00081AB1" w:rsidRPr="00FF4523" w:rsidRDefault="00081AB1" w:rsidP="004E286E">
      <w:pPr>
        <w:rPr>
          <w:rFonts w:ascii="Times" w:hAnsi="Times" w:cs="Arial"/>
          <w:sz w:val="24"/>
          <w:szCs w:val="24"/>
          <w:shd w:val="clear" w:color="auto" w:fill="FFFFFF"/>
        </w:rPr>
      </w:pPr>
      <w:r w:rsidRPr="00FF4523">
        <w:rPr>
          <w:rFonts w:ascii="Times" w:hAnsi="Times" w:cs="Arial"/>
          <w:sz w:val="24"/>
          <w:szCs w:val="24"/>
          <w:shd w:val="clear" w:color="auto" w:fill="FFFFFF"/>
        </w:rPr>
        <w:t>As the Caribbean experiences demographic shifts characterized by an increasing proportion of older adults, the demand for long-term care services has grown significantly. These services are essential for those with age-related disabilities and chronic health conditions. MIPAA recognizes this growing need and advocates for the development and improvement of long-term care services in the region. Long-term care services aim to help older adults maintain their independence and dignity. This is especially relevant in Caribbean cultures that place a strong emphasis on respect for older generations and the preservation of personal autonomy. MIPAA's emphasis on providing high-quality long-term care aligns with these cultural values and aspirations.</w:t>
      </w:r>
    </w:p>
    <w:p w:rsidR="00081AB1" w:rsidRPr="00FF4523" w:rsidRDefault="00081AB1" w:rsidP="004E286E">
      <w:pPr>
        <w:rPr>
          <w:rFonts w:ascii="Times" w:hAnsi="Times" w:cs="Arial"/>
          <w:sz w:val="24"/>
          <w:szCs w:val="24"/>
          <w:shd w:val="clear" w:color="auto" w:fill="FFFFFF"/>
        </w:rPr>
      </w:pPr>
      <w:r w:rsidRPr="00FF4523">
        <w:rPr>
          <w:rFonts w:ascii="Times" w:hAnsi="Times" w:cs="Arial"/>
          <w:sz w:val="24"/>
          <w:szCs w:val="24"/>
          <w:shd w:val="clear" w:color="auto" w:fill="FFFFFF"/>
        </w:rPr>
        <w:t xml:space="preserve">MIPAA recognizes that long-term care should encompass various options, including both institutional and community-based care. This recognition is important in the Caribbean, where the provision of care can be influenced by cultural norms and preferences. The availability of different care settings allows older individuals and their families to choose what aligns best with their values and needs. Providing effective long-term care requires well-trained healthcare professionals and caregivers. MIPAA underscores the need for capacity building and training in long-term care services. In the Caribbean, where the specific requirements of older adults may </w:t>
      </w:r>
      <w:r w:rsidRPr="00FF4523">
        <w:rPr>
          <w:rFonts w:ascii="Times" w:hAnsi="Times" w:cs="Arial"/>
          <w:sz w:val="24"/>
          <w:szCs w:val="24"/>
          <w:shd w:val="clear" w:color="auto" w:fill="FFFFFF"/>
        </w:rPr>
        <w:lastRenderedPageBreak/>
        <w:t>not always be fully understood, this aspect of MIPAA is highly relevant in ensuring the provision of quality care.</w:t>
      </w:r>
    </w:p>
    <w:p w:rsidR="00081AB1" w:rsidRPr="00FF4523" w:rsidRDefault="00081AB1" w:rsidP="004E286E">
      <w:pPr>
        <w:rPr>
          <w:rFonts w:ascii="Times" w:eastAsia="Times New Roman" w:hAnsi="Times" w:cs="Times New Roman"/>
          <w:sz w:val="24"/>
          <w:szCs w:val="24"/>
        </w:rPr>
      </w:pPr>
      <w:r w:rsidRPr="00FF4523">
        <w:rPr>
          <w:rFonts w:ascii="Times" w:hAnsi="Times" w:cs="Arial"/>
          <w:sz w:val="24"/>
          <w:szCs w:val="24"/>
          <w:shd w:val="clear" w:color="auto" w:fill="FFFFFF"/>
        </w:rPr>
        <w:t xml:space="preserve">MIPAA acknowledges the financial aspects of long-term care, recognizing that these services can be costly. Governments and communities in the Caribbean may face challenges in providing financially sustainable long-term care. The plan encourages countries to develop and implement financial models that can support the long-term care needs of their aging populations. </w:t>
      </w:r>
      <w:r w:rsidRPr="00FF4523">
        <w:rPr>
          <w:rFonts w:ascii="Times" w:eastAsia="Times New Roman" w:hAnsi="Times" w:cs="Times New Roman"/>
          <w:sz w:val="24"/>
          <w:szCs w:val="24"/>
        </w:rPr>
        <w:t> </w:t>
      </w:r>
      <w:r w:rsidR="004E286E" w:rsidRPr="00FF4523">
        <w:rPr>
          <w:rFonts w:ascii="Times" w:eastAsia="Times New Roman" w:hAnsi="Times" w:cs="Times New Roman"/>
          <w:sz w:val="24"/>
          <w:szCs w:val="24"/>
        </w:rPr>
        <w:t>The</w:t>
      </w:r>
      <w:r w:rsidRPr="00FF4523">
        <w:rPr>
          <w:rFonts w:ascii="Times" w:eastAsia="Times New Roman" w:hAnsi="Times" w:cs="Times New Roman"/>
          <w:sz w:val="24"/>
          <w:szCs w:val="24"/>
        </w:rPr>
        <w:t xml:space="preserve"> Madrid International Plan of Action on Ageing (MIPAA) underscores the importance of long-term care in the context of demographic shifts, a trend that is notably affecting Caribbean nations. Providing accessible, high-quality long-term care services that uphold the independence and dignity of older adults is a central goal of MIPAA. Implementing MIPAA's recommendations in this regard is crucial for creating inclusive and equitable societies where older citizens receive the care and support </w:t>
      </w:r>
      <w:r w:rsidR="004E286E" w:rsidRPr="00FF4523">
        <w:rPr>
          <w:rFonts w:ascii="Times" w:eastAsia="Times New Roman" w:hAnsi="Times" w:cs="Times New Roman"/>
          <w:sz w:val="24"/>
          <w:szCs w:val="24"/>
        </w:rPr>
        <w:t>them</w:t>
      </w:r>
      <w:r w:rsidRPr="00FF4523">
        <w:rPr>
          <w:rFonts w:ascii="Times" w:eastAsia="Times New Roman" w:hAnsi="Times" w:cs="Times New Roman"/>
          <w:sz w:val="24"/>
          <w:szCs w:val="24"/>
        </w:rPr>
        <w:t xml:space="preserve"> need to lead dignified lives in their later years. These recommendations align with the cultural values of respect and care for older generations that are prevalent in many Caribbean nations.</w:t>
      </w:r>
    </w:p>
    <w:p w:rsidR="00081AB1" w:rsidRPr="00FF4523" w:rsidRDefault="00081AB1" w:rsidP="004E286E">
      <w:pPr>
        <w:rPr>
          <w:rFonts w:ascii="Times" w:eastAsia="Times New Roman" w:hAnsi="Times" w:cs="Times New Roman"/>
          <w:sz w:val="24"/>
          <w:szCs w:val="24"/>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t>Gender Considerations</w:t>
      </w:r>
    </w:p>
    <w:p w:rsidR="00081AB1" w:rsidRPr="00FF4523" w:rsidRDefault="00350A98" w:rsidP="004E286E">
      <w:pPr>
        <w:spacing w:after="0"/>
        <w:rPr>
          <w:rFonts w:ascii="Times" w:eastAsia="Times New Roman" w:hAnsi="Times" w:cs="Times New Roman"/>
          <w:sz w:val="24"/>
          <w:szCs w:val="24"/>
        </w:rPr>
      </w:pPr>
      <w:r w:rsidRPr="00350A98">
        <w:rPr>
          <w:rFonts w:ascii="Times" w:eastAsia="Times New Roman" w:hAnsi="Times" w:cs="Times New Roman"/>
          <w:sz w:val="24"/>
          <w:szCs w:val="24"/>
        </w:rPr>
        <w:t>(“MIPAA/RIS | UNECE”)</w:t>
      </w:r>
      <w:r>
        <w:rPr>
          <w:rFonts w:ascii="Times" w:eastAsia="Times New Roman" w:hAnsi="Times" w:cs="Times New Roman"/>
          <w:sz w:val="24"/>
          <w:szCs w:val="24"/>
        </w:rPr>
        <w:t xml:space="preserve"> </w:t>
      </w:r>
      <w:r w:rsidR="00081AB1" w:rsidRPr="00081AB1">
        <w:rPr>
          <w:rFonts w:ascii="Times" w:eastAsia="Times New Roman" w:hAnsi="Times" w:cs="Times New Roman"/>
          <w:sz w:val="24"/>
          <w:szCs w:val="24"/>
        </w:rPr>
        <w:t>Gender considerations are an integral aspect of the Madrid International Plan of Action on Ageing (MIPAA). The plan acknowledges that aging experiences can differ significantly between men and women, and it emphasizes the importance of addressing these disparities. In the context of Caribbean nations, where cultural, social, and economic factors can influence gender dynamics, these aspects of MIPAA are highly relevant.</w:t>
      </w:r>
    </w:p>
    <w:p w:rsidR="00081AB1" w:rsidRPr="00FF4523" w:rsidRDefault="00081AB1" w:rsidP="004E286E">
      <w:pPr>
        <w:spacing w:after="0"/>
        <w:rPr>
          <w:rFonts w:ascii="Times" w:eastAsia="Times New Roman" w:hAnsi="Times" w:cs="Times New Roman"/>
          <w:sz w:val="24"/>
          <w:szCs w:val="24"/>
        </w:rPr>
      </w:pPr>
    </w:p>
    <w:p w:rsidR="00081AB1" w:rsidRPr="00FF4523" w:rsidRDefault="00081AB1" w:rsidP="004E286E">
      <w:pPr>
        <w:spacing w:after="0"/>
        <w:rPr>
          <w:rFonts w:ascii="Times" w:hAnsi="Times" w:cs="Arial"/>
          <w:sz w:val="24"/>
          <w:szCs w:val="24"/>
          <w:shd w:val="clear" w:color="auto" w:fill="FFFFFF"/>
        </w:rPr>
      </w:pPr>
      <w:r w:rsidRPr="00FF4523">
        <w:rPr>
          <w:rFonts w:ascii="Times" w:hAnsi="Times" w:cs="Arial"/>
          <w:sz w:val="24"/>
          <w:szCs w:val="24"/>
          <w:shd w:val="clear" w:color="auto" w:fill="FFFFFF"/>
        </w:rPr>
        <w:t xml:space="preserve">MIPAA recognizes that gender disparities persist in aging, often leading to greater vulnerabilities for older women. In the Caribbean, where traditional gender roles may still be prevalent, these disparities can manifest in areas such as income, access to healthcare, and social services. MIPAA's focus on gender considerations addresses these disparities by advocating for gender-sensitive policies and strategies. The plan places a significant emphasis on empowering older women. It acknowledges the unique challenges faced by women in their later years, including potential interruptions in careers due to </w:t>
      </w:r>
      <w:r w:rsidR="004E286E" w:rsidRPr="00FF4523">
        <w:rPr>
          <w:rFonts w:ascii="Times" w:hAnsi="Times" w:cs="Arial"/>
          <w:sz w:val="24"/>
          <w:szCs w:val="24"/>
          <w:shd w:val="clear" w:color="auto" w:fill="FFFFFF"/>
        </w:rPr>
        <w:t>care giving</w:t>
      </w:r>
      <w:r w:rsidRPr="00FF4523">
        <w:rPr>
          <w:rFonts w:ascii="Times" w:hAnsi="Times" w:cs="Arial"/>
          <w:sz w:val="24"/>
          <w:szCs w:val="24"/>
          <w:shd w:val="clear" w:color="auto" w:fill="FFFFFF"/>
        </w:rPr>
        <w:t xml:space="preserve"> responsibilities. Empowering older women is highly relevant in Caribbean societies where women have played pivotal roles in families and communities. MIPAA encourages measures that address these challenges and promote equal opportunities and protection.</w:t>
      </w:r>
    </w:p>
    <w:p w:rsidR="00081AB1" w:rsidRPr="00FF4523" w:rsidRDefault="00081AB1" w:rsidP="004E286E">
      <w:pPr>
        <w:spacing w:after="0"/>
        <w:rPr>
          <w:rFonts w:ascii="Times" w:hAnsi="Times" w:cs="Arial"/>
          <w:sz w:val="24"/>
          <w:szCs w:val="24"/>
          <w:shd w:val="clear" w:color="auto" w:fill="FFFFFF"/>
        </w:rPr>
      </w:pPr>
    </w:p>
    <w:p w:rsidR="00081AB1" w:rsidRPr="00FF4523" w:rsidRDefault="00081AB1" w:rsidP="004E286E">
      <w:pPr>
        <w:rPr>
          <w:rFonts w:ascii="Times" w:eastAsia="Times New Roman" w:hAnsi="Times" w:cs="Times New Roman"/>
          <w:sz w:val="24"/>
          <w:szCs w:val="24"/>
        </w:rPr>
      </w:pPr>
      <w:r w:rsidRPr="00FF4523">
        <w:rPr>
          <w:rFonts w:ascii="Times" w:hAnsi="Times" w:cs="Arial"/>
          <w:sz w:val="24"/>
          <w:szCs w:val="24"/>
          <w:shd w:val="clear" w:color="auto" w:fill="FFFFFF"/>
        </w:rPr>
        <w:t xml:space="preserve">MIPAA underscores the importance of income security for older women, who may have lower lifetime earnings and face a higher risk of economic vulnerability. This goal aligns with the Caribbean's commitment to gender equality and the need to address the economic disparities that older women may encounter. </w:t>
      </w:r>
      <w:r w:rsidRPr="00FF4523">
        <w:rPr>
          <w:rFonts w:ascii="Times" w:eastAsia="Times New Roman" w:hAnsi="Times" w:cs="Times New Roman"/>
          <w:sz w:val="24"/>
          <w:szCs w:val="24"/>
        </w:rPr>
        <w:t xml:space="preserve">Gender can influence healthcare access, and older women in the Caribbean may face unique healthcare challenges. MIPAA advocates for gender-sensitive </w:t>
      </w:r>
      <w:r w:rsidRPr="00FF4523">
        <w:rPr>
          <w:rFonts w:ascii="Times" w:eastAsia="Times New Roman" w:hAnsi="Times" w:cs="Times New Roman"/>
          <w:sz w:val="24"/>
          <w:szCs w:val="24"/>
        </w:rPr>
        <w:lastRenderedPageBreak/>
        <w:t>healthcare policies, which are particularly pertinent in the region. Addressing gender disparities in healthcare access and quality is vital for ensuring the well-being of older women.</w:t>
      </w:r>
    </w:p>
    <w:p w:rsidR="00081AB1" w:rsidRPr="00FF4523" w:rsidRDefault="00081AB1" w:rsidP="004E286E">
      <w:pPr>
        <w:rPr>
          <w:rFonts w:ascii="Times" w:eastAsia="Times New Roman" w:hAnsi="Times" w:cs="Times New Roman"/>
          <w:sz w:val="24"/>
          <w:szCs w:val="24"/>
        </w:rPr>
      </w:pPr>
      <w:r w:rsidRPr="00081AB1">
        <w:rPr>
          <w:rFonts w:ascii="Times" w:eastAsia="Times New Roman" w:hAnsi="Times" w:cs="Times New Roman"/>
          <w:sz w:val="24"/>
          <w:szCs w:val="24"/>
        </w:rPr>
        <w:t>Ageism can also intersect with gender, affecting older women in distinct ways. MIPAA's call for the eradication of ageism recognizes the gender-specific implications of these prejudices. Challenging ageism with a gender lens is essential in fostering the inclusion and dignity of older women in the Caribbean and worldwide.</w:t>
      </w:r>
      <w:r w:rsidR="00FF4523" w:rsidRPr="00FF4523">
        <w:rPr>
          <w:rFonts w:ascii="Times" w:eastAsia="Times New Roman" w:hAnsi="Times" w:cs="Times New Roman"/>
          <w:sz w:val="24"/>
          <w:szCs w:val="24"/>
        </w:rPr>
        <w:t xml:space="preserve"> MIPAA's gender considerations are highly relevant in the context of Caribbean nations experiencing demographic shifts. These considerations recognize and address the unique challenges faced by older women in areas such as income security, healthcare access, and societal attitudes. By implementing MIPAA's recommendations in this regard, Caribbean nations can create more inclusive and equitable societies where the specific needs and aspirations of older women are recognized and supported, ensuring that they can lead dignified lives in their later years.</w:t>
      </w:r>
    </w:p>
    <w:p w:rsidR="00FF4523" w:rsidRPr="00FF4523" w:rsidRDefault="00FF4523" w:rsidP="004E286E">
      <w:pPr>
        <w:rPr>
          <w:rFonts w:ascii="Times" w:eastAsia="Times New Roman" w:hAnsi="Times" w:cs="Times New Roman"/>
          <w:sz w:val="24"/>
          <w:szCs w:val="24"/>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t>Implementation Challenges</w:t>
      </w:r>
    </w:p>
    <w:p w:rsidR="00FF4523" w:rsidRPr="00FF4523" w:rsidRDefault="00FF4523" w:rsidP="004E286E">
      <w:pPr>
        <w:spacing w:after="0"/>
        <w:rPr>
          <w:rFonts w:ascii="Times" w:eastAsia="Times New Roman" w:hAnsi="Times" w:cs="Times New Roman"/>
          <w:sz w:val="24"/>
          <w:szCs w:val="24"/>
        </w:rPr>
      </w:pPr>
      <w:r w:rsidRPr="00FF4523">
        <w:rPr>
          <w:rFonts w:ascii="Times" w:eastAsia="Times New Roman" w:hAnsi="Times" w:cs="Times New Roman"/>
          <w:sz w:val="24"/>
          <w:szCs w:val="24"/>
        </w:rPr>
        <w:t>The successful implementation of the Madrid International Plan of Action on Ageing (MIPAA) in Caribbean nations is not without its challenges. While the plan provides a comprehensive framework to address the needs of aging populations, several obstacles may impede its effective execution in the region.</w:t>
      </w:r>
    </w:p>
    <w:p w:rsidR="00FF4523" w:rsidRPr="00FF4523" w:rsidRDefault="00FF4523" w:rsidP="004E286E">
      <w:pPr>
        <w:spacing w:after="0"/>
        <w:rPr>
          <w:rFonts w:ascii="Times" w:eastAsia="Times New Roman" w:hAnsi="Times" w:cs="Times New Roman"/>
          <w:sz w:val="24"/>
          <w:szCs w:val="24"/>
        </w:rPr>
      </w:pPr>
    </w:p>
    <w:p w:rsidR="00FF4523" w:rsidRDefault="00FF4523" w:rsidP="004E286E">
      <w:pPr>
        <w:spacing w:after="0"/>
        <w:rPr>
          <w:rFonts w:ascii="Times" w:hAnsi="Times" w:cs="Arial"/>
          <w:sz w:val="24"/>
          <w:szCs w:val="24"/>
          <w:shd w:val="clear" w:color="auto" w:fill="FFFFFF"/>
        </w:rPr>
      </w:pPr>
      <w:r w:rsidRPr="00FF4523">
        <w:rPr>
          <w:rFonts w:ascii="Times" w:hAnsi="Times" w:cs="Arial"/>
          <w:sz w:val="24"/>
          <w:szCs w:val="24"/>
          <w:shd w:val="clear" w:color="auto" w:fill="FFFFFF"/>
        </w:rPr>
        <w:t>One of the primary implementation challenges is the financial burden associated with the goals outlined in MIPAA. Many Caribbean nations already face financial constraints, and allocating resources to support older adults can be particularly demanding. Providing accessible healthcare, income security, and long-term care services may require substantial investments, and securing the necessary funding remains a significant challenge. The effective implementation of MIPAA necessitates a workforce with the knowledge and skills to cater to the specific needs of older adults. Capacity building and training for healthcare professionals, caregivers, and social workers are essential. However, achieving this can be challenging, especially in regions with limited resources and infrastructure for education and training.</w:t>
      </w:r>
    </w:p>
    <w:p w:rsidR="00552E21" w:rsidRPr="00FF4523" w:rsidRDefault="00552E21" w:rsidP="004E286E">
      <w:pPr>
        <w:spacing w:after="0"/>
        <w:rPr>
          <w:rFonts w:ascii="Times" w:hAnsi="Times" w:cs="Arial"/>
          <w:sz w:val="24"/>
          <w:szCs w:val="24"/>
          <w:shd w:val="clear" w:color="auto" w:fill="FFFFFF"/>
        </w:rPr>
      </w:pPr>
    </w:p>
    <w:p w:rsidR="00FF4523" w:rsidRPr="00FF4523" w:rsidRDefault="00FF4523" w:rsidP="004E286E">
      <w:pPr>
        <w:spacing w:after="0"/>
        <w:rPr>
          <w:rFonts w:ascii="Times" w:hAnsi="Times" w:cs="Arial"/>
          <w:sz w:val="24"/>
          <w:szCs w:val="24"/>
          <w:shd w:val="clear" w:color="auto" w:fill="FFFFFF"/>
        </w:rPr>
      </w:pPr>
      <w:r w:rsidRPr="00FF4523">
        <w:rPr>
          <w:rFonts w:ascii="Times" w:eastAsia="Times New Roman" w:hAnsi="Times" w:cs="Times New Roman"/>
          <w:sz w:val="24"/>
          <w:szCs w:val="24"/>
        </w:rPr>
        <w:t>MIPAA</w:t>
      </w:r>
      <w:r w:rsidR="00552E21" w:rsidRPr="00552E21">
        <w:t xml:space="preserve"> </w:t>
      </w:r>
      <w:r w:rsidR="00552E21" w:rsidRPr="00552E21">
        <w:rPr>
          <w:rFonts w:ascii="Times" w:eastAsia="Times New Roman" w:hAnsi="Times" w:cs="Times New Roman"/>
          <w:sz w:val="24"/>
          <w:szCs w:val="24"/>
        </w:rPr>
        <w:t>(“MIPAA/RIS | UNECE”)</w:t>
      </w:r>
      <w:r w:rsidRPr="00FF4523">
        <w:rPr>
          <w:rFonts w:ascii="Times" w:eastAsia="Times New Roman" w:hAnsi="Times" w:cs="Times New Roman"/>
          <w:sz w:val="24"/>
          <w:szCs w:val="24"/>
        </w:rPr>
        <w:t xml:space="preserve"> often involves various government departments, non-governmental organizations, and community groups working together to achieve its goals. Interagency coordination can be complex and challenging. It requires effective communication, collaboration, and alignment of objectives. The fragmentation of services and lack of coordination may hinder the seamless delivery of care and support to older adults. </w:t>
      </w:r>
      <w:r w:rsidRPr="00FF4523">
        <w:rPr>
          <w:rFonts w:ascii="Times" w:hAnsi="Times" w:cs="Arial"/>
          <w:sz w:val="24"/>
          <w:szCs w:val="24"/>
          <w:shd w:val="clear" w:color="auto" w:fill="FFFFFF"/>
        </w:rPr>
        <w:t>While MIPAA offers a comprehensive framework, it must be adapted to the specific cultural norms and values of the Caribbean. This requires a culturally sensitive approach in the implementation of policies and services. Ensuring that older adults' cultural backgrounds are respected can be challenging, especially in societies with diverse cultural practices and beliefs.</w:t>
      </w:r>
    </w:p>
    <w:p w:rsidR="00FF4523" w:rsidRPr="00FF4523" w:rsidRDefault="00FF4523" w:rsidP="004E286E">
      <w:pPr>
        <w:spacing w:after="0"/>
        <w:rPr>
          <w:rFonts w:ascii="Times" w:hAnsi="Times" w:cs="Arial"/>
          <w:sz w:val="24"/>
          <w:szCs w:val="24"/>
          <w:shd w:val="clear" w:color="auto" w:fill="FFFFFF"/>
        </w:rPr>
      </w:pPr>
    </w:p>
    <w:p w:rsidR="00FF4523" w:rsidRPr="00FF4523" w:rsidRDefault="00FF4523" w:rsidP="004E286E">
      <w:pPr>
        <w:spacing w:after="0"/>
        <w:rPr>
          <w:rFonts w:ascii="Times" w:eastAsia="Times New Roman" w:hAnsi="Times" w:cs="Times New Roman"/>
          <w:sz w:val="24"/>
          <w:szCs w:val="24"/>
        </w:rPr>
      </w:pPr>
    </w:p>
    <w:p w:rsidR="00FF4523" w:rsidRPr="00FF4523" w:rsidRDefault="00FF4523" w:rsidP="004E286E">
      <w:pPr>
        <w:rPr>
          <w:rFonts w:ascii="Times" w:eastAsia="Times New Roman" w:hAnsi="Times" w:cs="Times New Roman"/>
          <w:sz w:val="24"/>
          <w:szCs w:val="24"/>
        </w:rPr>
      </w:pPr>
      <w:r w:rsidRPr="00FF4523">
        <w:rPr>
          <w:rFonts w:ascii="Times" w:eastAsia="Times New Roman" w:hAnsi="Times" w:cs="Times New Roman"/>
          <w:sz w:val="24"/>
          <w:szCs w:val="24"/>
        </w:rPr>
        <w:t xml:space="preserve">MIPAA implementation may necessitate changes to existing policy and legal frameworks to align with the goals of the plan. This process can be slow and may face resistance from various stakeholders. It may involve legal amendments, budgetary allocations, and political will, all of which can be complex issues to navigate. </w:t>
      </w:r>
      <w:r w:rsidR="004E286E" w:rsidRPr="00FF4523">
        <w:rPr>
          <w:rFonts w:ascii="Times" w:eastAsia="Times New Roman" w:hAnsi="Times" w:cs="Times New Roman"/>
          <w:sz w:val="24"/>
          <w:szCs w:val="24"/>
        </w:rPr>
        <w:t>The</w:t>
      </w:r>
      <w:r w:rsidRPr="00FF4523">
        <w:rPr>
          <w:rFonts w:ascii="Times" w:eastAsia="Times New Roman" w:hAnsi="Times" w:cs="Times New Roman"/>
          <w:sz w:val="24"/>
          <w:szCs w:val="24"/>
        </w:rPr>
        <w:t xml:space="preserve"> implementation of MIPAA in Caribbean nations is faced with a range of challenges, including financial constraints, capacity building, interagency coordination, cultural sensitivity, and adaptations to policy and legal frameworks. Addressing these challenges is vital to ensure that the plan's principles and goals translate into tangible improvements in the lives of older adults in the region. Successful implementation will require concerted efforts, collaboration among stakeholders, and innovative strategies to overcome these obstacles and create more inclusive and equitable societies for aging populations.</w:t>
      </w:r>
    </w:p>
    <w:p w:rsidR="00FF4523" w:rsidRPr="00FF4523" w:rsidRDefault="00FF4523" w:rsidP="004E286E">
      <w:pPr>
        <w:spacing w:after="0"/>
        <w:rPr>
          <w:rFonts w:ascii="Times" w:eastAsia="Times New Roman" w:hAnsi="Times" w:cs="Times New Roman"/>
          <w:sz w:val="24"/>
          <w:szCs w:val="24"/>
        </w:rPr>
      </w:pPr>
    </w:p>
    <w:p w:rsidR="00FF4523" w:rsidRPr="00FF4523" w:rsidRDefault="00FF4523" w:rsidP="004E286E">
      <w:pPr>
        <w:rPr>
          <w:rFonts w:ascii="Times" w:hAnsi="Times"/>
          <w:b/>
          <w:sz w:val="24"/>
          <w:szCs w:val="24"/>
          <w:u w:val="single"/>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t>Regional cooperation</w:t>
      </w:r>
    </w:p>
    <w:p w:rsidR="00FF4523" w:rsidRPr="00FF4523" w:rsidRDefault="00FF4523" w:rsidP="004E286E">
      <w:pPr>
        <w:rPr>
          <w:rFonts w:ascii="Times" w:hAnsi="Times" w:cs="Arial"/>
          <w:sz w:val="24"/>
          <w:szCs w:val="24"/>
          <w:shd w:val="clear" w:color="auto" w:fill="FFFFFF"/>
        </w:rPr>
      </w:pPr>
      <w:r w:rsidRPr="00FF4523">
        <w:rPr>
          <w:rFonts w:ascii="Times" w:hAnsi="Times" w:cs="Arial"/>
          <w:sz w:val="24"/>
          <w:szCs w:val="24"/>
          <w:shd w:val="clear" w:color="auto" w:fill="FFFFFF"/>
        </w:rPr>
        <w:t>Regional cooperation is an essential component in the successful implementation of the Madrid International Plan of Action on Ageing (MIPAA) in Caribbean nations. By collaborating on common goals and challenges, countries in the region can pool resources, share best practices, and leverage their collective experiences to better address the evolving needs of aging populations.</w:t>
      </w:r>
    </w:p>
    <w:p w:rsidR="00FF4523" w:rsidRPr="00FF4523" w:rsidRDefault="00FF4523" w:rsidP="004E286E">
      <w:pPr>
        <w:rPr>
          <w:rFonts w:ascii="Times" w:eastAsia="Times New Roman" w:hAnsi="Times" w:cs="Times New Roman"/>
          <w:sz w:val="24"/>
          <w:szCs w:val="24"/>
        </w:rPr>
      </w:pPr>
      <w:r w:rsidRPr="00FF4523">
        <w:rPr>
          <w:rFonts w:ascii="Times" w:hAnsi="Times" w:cs="Arial"/>
          <w:sz w:val="24"/>
          <w:szCs w:val="24"/>
          <w:shd w:val="clear" w:color="auto" w:fill="FFFFFF"/>
        </w:rPr>
        <w:t xml:space="preserve">Caribbean nations often face similar demographic challenges, including population aging, healthcare provision, and income security for older adults. Regional cooperation enables these countries to come together and collectively address these shared challenges more effectively. By identifying common issues and solutions, they can find ways to improve the quality of life for older citizens across the region. </w:t>
      </w:r>
      <w:r w:rsidRPr="00FF4523">
        <w:rPr>
          <w:rFonts w:ascii="Times" w:eastAsia="Times New Roman" w:hAnsi="Times" w:cs="Times New Roman"/>
          <w:sz w:val="24"/>
          <w:szCs w:val="24"/>
        </w:rPr>
        <w:t>In many Caribbean nations, resources may be limited. Regional cooperation can help mitigate resource constraints by enabling the sharing of expertise, technology, and infrastructure. For example, countries with advanced healthcare systems can provide guidance and support to those with less developed systems, fostering the overall improvement of healthcare services for older adults.</w:t>
      </w:r>
    </w:p>
    <w:p w:rsidR="00FF4523" w:rsidRPr="00FF4523" w:rsidRDefault="00FF4523" w:rsidP="004E286E">
      <w:pPr>
        <w:rPr>
          <w:rFonts w:ascii="Times" w:eastAsia="Times New Roman" w:hAnsi="Times" w:cs="Times New Roman"/>
          <w:sz w:val="24"/>
          <w:szCs w:val="24"/>
        </w:rPr>
      </w:pPr>
      <w:r w:rsidRPr="00FF4523">
        <w:rPr>
          <w:rFonts w:ascii="Times" w:eastAsia="Times New Roman" w:hAnsi="Times" w:cs="Times New Roman"/>
          <w:sz w:val="24"/>
          <w:szCs w:val="24"/>
        </w:rPr>
        <w:t> Harmonizing policies and regulations across the region is a key outcome of regional cooperation. By standardizing approaches to issues like income security, healthcare provision, and social services for older adults, Caribbean nations can create a more cohesive response to the challenges of population aging. This, in turn, enhances the effectiveness of MIPAA's implementation. Collaborative efforts within the region can facilitate capacity building. Caribbean nations can work together to develop training programs for healthcare professionals, caregivers, and social workers. This mutual support in building human resources and infrastructure is vital for delivering high-quality services to older adults.</w:t>
      </w:r>
    </w:p>
    <w:p w:rsidR="000E7901" w:rsidRPr="00FF4523" w:rsidRDefault="00FF4523" w:rsidP="004E286E">
      <w:pPr>
        <w:rPr>
          <w:rFonts w:ascii="Times" w:eastAsia="Times New Roman" w:hAnsi="Times" w:cs="Times New Roman"/>
          <w:sz w:val="24"/>
          <w:szCs w:val="24"/>
        </w:rPr>
      </w:pPr>
      <w:r w:rsidRPr="00FF4523">
        <w:rPr>
          <w:rFonts w:ascii="Times" w:hAnsi="Times" w:cs="Arial"/>
          <w:sz w:val="24"/>
          <w:szCs w:val="24"/>
          <w:shd w:val="clear" w:color="auto" w:fill="FFFFFF"/>
        </w:rPr>
        <w:lastRenderedPageBreak/>
        <w:t xml:space="preserve">Regional cooperation can also strengthen advocacy efforts for the rights and needs of older adults. By speaking with a unified voice, Caribbean nations can advocate for policies and funding that benefit older citizens. Additionally, they can collectively undertake research initiatives to better understand the specific challenges and opportunities presented by aging populations in the region. </w:t>
      </w:r>
      <w:r w:rsidRPr="00FF4523">
        <w:rPr>
          <w:rFonts w:ascii="Times" w:eastAsia="Times New Roman" w:hAnsi="Times" w:cs="Times New Roman"/>
          <w:sz w:val="24"/>
          <w:szCs w:val="24"/>
        </w:rPr>
        <w:t>Regional cooperation is a critical element in the successful implementation of MIPAA in Caribbean nations. It allows countries to address common challenges, share resources and expertise, harmonize policies, build capacity, and advocate for the well-being of their aging populations more effectively. By working together, these nations can create more inclusive and equitable societies that provide a higher quality of life for older citizens and leverage their collective strengths to meet the unique needs of aging populations in the Caribbean.</w:t>
      </w:r>
    </w:p>
    <w:p w:rsidR="00FF4523" w:rsidRPr="00FF4523" w:rsidRDefault="00FF4523" w:rsidP="004E286E">
      <w:pPr>
        <w:rPr>
          <w:rFonts w:ascii="Times" w:eastAsia="Times New Roman" w:hAnsi="Times" w:cs="Times New Roman"/>
          <w:sz w:val="24"/>
          <w:szCs w:val="24"/>
        </w:rPr>
      </w:pPr>
    </w:p>
    <w:p w:rsidR="00592F8B" w:rsidRPr="004E286E" w:rsidRDefault="000E7901" w:rsidP="004E286E">
      <w:pPr>
        <w:rPr>
          <w:rFonts w:ascii="Times" w:hAnsi="Times"/>
          <w:i/>
          <w:sz w:val="24"/>
          <w:szCs w:val="24"/>
          <w:u w:val="single"/>
        </w:rPr>
      </w:pPr>
      <w:r w:rsidRPr="004E286E">
        <w:rPr>
          <w:rFonts w:ascii="Times" w:hAnsi="Times"/>
          <w:i/>
          <w:sz w:val="24"/>
          <w:szCs w:val="24"/>
          <w:u w:val="single"/>
        </w:rPr>
        <w:t>Conclus</w:t>
      </w:r>
      <w:r w:rsidR="00592F8B" w:rsidRPr="004E286E">
        <w:rPr>
          <w:rFonts w:ascii="Times" w:hAnsi="Times"/>
          <w:i/>
          <w:sz w:val="24"/>
          <w:szCs w:val="24"/>
          <w:u w:val="single"/>
        </w:rPr>
        <w:t>ion</w:t>
      </w:r>
    </w:p>
    <w:p w:rsidR="00375CAD" w:rsidRPr="00FF4523" w:rsidRDefault="00592F8B" w:rsidP="004E286E">
      <w:pPr>
        <w:shd w:val="clear" w:color="auto" w:fill="FFFFFF"/>
        <w:rPr>
          <w:rFonts w:ascii="Times" w:eastAsia="Times New Roman" w:hAnsi="Times" w:cs="Arial"/>
          <w:sz w:val="24"/>
          <w:szCs w:val="24"/>
        </w:rPr>
      </w:pPr>
      <w:r w:rsidRPr="00FF4523">
        <w:rPr>
          <w:rFonts w:ascii="Times" w:hAnsi="Times"/>
          <w:sz w:val="24"/>
          <w:szCs w:val="24"/>
        </w:rPr>
        <w:t>In conclusion, the MIPAA plan remains relevant to addressing the c</w:t>
      </w:r>
      <w:r w:rsidR="000E7901" w:rsidRPr="00FF4523">
        <w:rPr>
          <w:rFonts w:ascii="Times" w:hAnsi="Times"/>
          <w:sz w:val="24"/>
          <w:szCs w:val="24"/>
        </w:rPr>
        <w:t>h</w:t>
      </w:r>
      <w:r w:rsidRPr="00FF4523">
        <w:rPr>
          <w:rFonts w:ascii="Times" w:hAnsi="Times"/>
          <w:sz w:val="24"/>
          <w:szCs w:val="24"/>
        </w:rPr>
        <w:t>allenges</w:t>
      </w:r>
      <w:r w:rsidR="000E7901" w:rsidRPr="00FF4523">
        <w:rPr>
          <w:rFonts w:ascii="Times" w:hAnsi="Times"/>
          <w:sz w:val="24"/>
          <w:szCs w:val="24"/>
        </w:rPr>
        <w:t xml:space="preserve"> </w:t>
      </w:r>
      <w:r w:rsidRPr="00FF4523">
        <w:rPr>
          <w:rFonts w:ascii="Times" w:hAnsi="Times"/>
          <w:sz w:val="24"/>
          <w:szCs w:val="24"/>
        </w:rPr>
        <w:t xml:space="preserve">of an aging population in Caribbean Nations.  The demographic </w:t>
      </w:r>
      <w:r w:rsidR="00F81014" w:rsidRPr="00FF4523">
        <w:rPr>
          <w:rFonts w:ascii="Times" w:hAnsi="Times"/>
          <w:sz w:val="24"/>
          <w:szCs w:val="24"/>
        </w:rPr>
        <w:t>Transition towards an older population</w:t>
      </w:r>
      <w:r w:rsidR="00C065C9" w:rsidRPr="00FF4523">
        <w:rPr>
          <w:rFonts w:ascii="Times" w:hAnsi="Times"/>
          <w:sz w:val="24"/>
          <w:szCs w:val="24"/>
        </w:rPr>
        <w:t xml:space="preserve"> in Caribbean Nations is a reality that demands immediate and sustained attention.  The Madrid International Plan of Action on Ageing (MIPAA), as a global framework for addressing the challenges posed by aging populations, retains its relevance in the Caribbean context.  The core goals and actions laid out in the MIPAA align with pressing issues faced by the r</w:t>
      </w:r>
      <w:r w:rsidR="00375CAD" w:rsidRPr="00FF4523">
        <w:rPr>
          <w:rFonts w:ascii="Times" w:hAnsi="Times"/>
          <w:sz w:val="24"/>
          <w:szCs w:val="24"/>
        </w:rPr>
        <w:t>e</w:t>
      </w:r>
      <w:r w:rsidR="00C065C9" w:rsidRPr="00FF4523">
        <w:rPr>
          <w:rFonts w:ascii="Times" w:hAnsi="Times"/>
          <w:sz w:val="24"/>
          <w:szCs w:val="24"/>
        </w:rPr>
        <w:t>gion, from healthcare and income security to promoting active aging and addressing gender disparities.  However,</w:t>
      </w:r>
      <w:r w:rsidR="00375CAD" w:rsidRPr="00FF4523">
        <w:rPr>
          <w:rFonts w:ascii="Times" w:hAnsi="Times"/>
          <w:sz w:val="24"/>
          <w:szCs w:val="24"/>
        </w:rPr>
        <w:t xml:space="preserve"> </w:t>
      </w:r>
      <w:r w:rsidR="00375CAD" w:rsidRPr="00FF4523">
        <w:rPr>
          <w:rFonts w:ascii="Times" w:eastAsia="Times New Roman" w:hAnsi="Times" w:cs="Arial"/>
          <w:sz w:val="24"/>
          <w:szCs w:val="24"/>
        </w:rPr>
        <w:t>the successful implementation of the MIPAA in the Caribbean is not without its hurdles. Financial constraints, capacity building, and the necessity of interagency coordination pose significant challenges. Despite these obstacles, the principles outlined in the MIPAA offer a well-founded foundation upon which Caribbean nations can construct policies and strategies that ensure the well-being and dignity of their aging populations.</w:t>
      </w:r>
    </w:p>
    <w:p w:rsidR="00375CAD" w:rsidRPr="00375CAD" w:rsidRDefault="00375CAD" w:rsidP="004E286E">
      <w:pPr>
        <w:shd w:val="clear" w:color="auto" w:fill="FFFFFF"/>
        <w:spacing w:after="0"/>
        <w:rPr>
          <w:rFonts w:ascii="Times" w:eastAsia="Times New Roman" w:hAnsi="Times" w:cs="Arial"/>
          <w:sz w:val="24"/>
          <w:szCs w:val="24"/>
        </w:rPr>
      </w:pPr>
    </w:p>
    <w:p w:rsidR="00375CAD" w:rsidRPr="00375CAD" w:rsidRDefault="00375CAD" w:rsidP="004E286E">
      <w:pPr>
        <w:shd w:val="clear" w:color="auto" w:fill="FFFFFF"/>
        <w:spacing w:after="0"/>
        <w:rPr>
          <w:rFonts w:ascii="Times" w:eastAsia="Times New Roman" w:hAnsi="Times" w:cs="Arial"/>
          <w:sz w:val="24"/>
          <w:szCs w:val="24"/>
        </w:rPr>
      </w:pPr>
      <w:r w:rsidRPr="00375CAD">
        <w:rPr>
          <w:rFonts w:ascii="Times" w:eastAsia="Times New Roman" w:hAnsi="Times" w:cs="Arial"/>
          <w:sz w:val="24"/>
          <w:szCs w:val="24"/>
        </w:rPr>
        <w:t>It is paramount that Caribbean nations recognize the imperative of adapting to the changing demographic landscape and commit to the principles of the MIPAA. Collaborative efforts on a regional level, shared best practices, and innovative solutions will be essential in navigating the path forward. The experiences of the elderly should be embraced as a valuable resource, and their contributions to society must be acknowledged and encouraged. In embracing the principles of the MIPAA, Caribbean nations have the potential to not only address the challenges of an aging population but to turn these challenges into opportunities for enhanced social inclusion, economic growth, and intergenerational harmony. The task is formidable, but with dedication and strategic planning, it is one that can be accomplished to the benefit of all.</w:t>
      </w:r>
    </w:p>
    <w:p w:rsidR="00592F8B" w:rsidRDefault="00592F8B">
      <w:pPr>
        <w:rPr>
          <w:rFonts w:ascii="Times" w:hAnsi="Times"/>
          <w:sz w:val="24"/>
          <w:szCs w:val="24"/>
        </w:rPr>
      </w:pPr>
    </w:p>
    <w:p w:rsidR="002031BE" w:rsidRDefault="002031BE">
      <w:pPr>
        <w:rPr>
          <w:rFonts w:ascii="Times" w:hAnsi="Times"/>
          <w:sz w:val="24"/>
          <w:szCs w:val="24"/>
        </w:rPr>
      </w:pPr>
    </w:p>
    <w:p w:rsidR="002031BE" w:rsidRDefault="002031BE" w:rsidP="002031BE">
      <w:pPr>
        <w:jc w:val="center"/>
        <w:rPr>
          <w:rFonts w:ascii="Times" w:hAnsi="Times"/>
          <w:sz w:val="24"/>
          <w:szCs w:val="24"/>
        </w:rPr>
      </w:pPr>
      <w:r>
        <w:rPr>
          <w:rFonts w:ascii="Times" w:hAnsi="Times"/>
          <w:sz w:val="24"/>
          <w:szCs w:val="24"/>
        </w:rPr>
        <w:lastRenderedPageBreak/>
        <w:t>Works Cited</w:t>
      </w:r>
    </w:p>
    <w:p w:rsidR="00552E21" w:rsidRDefault="00552E21" w:rsidP="002031BE">
      <w:pPr>
        <w:jc w:val="center"/>
        <w:rPr>
          <w:rFonts w:ascii="Times" w:hAnsi="Times"/>
          <w:sz w:val="24"/>
          <w:szCs w:val="24"/>
        </w:rPr>
      </w:pPr>
    </w:p>
    <w:p w:rsidR="00552E21" w:rsidRDefault="00552E21" w:rsidP="00552E21">
      <w:pPr>
        <w:pStyle w:val="NormalWeb"/>
        <w:spacing w:before="0" w:beforeAutospacing="0" w:after="0" w:afterAutospacing="0" w:line="480" w:lineRule="auto"/>
        <w:jc w:val="center"/>
      </w:pPr>
      <w:r>
        <w:t>Works Cited</w:t>
      </w:r>
    </w:p>
    <w:p w:rsidR="00552E21" w:rsidRDefault="00552E21" w:rsidP="00552E21">
      <w:pPr>
        <w:pStyle w:val="NormalWeb"/>
        <w:spacing w:before="0" w:beforeAutospacing="0" w:after="0" w:afterAutospacing="0" w:line="480" w:lineRule="auto"/>
        <w:ind w:hanging="720"/>
      </w:pPr>
      <w:r>
        <w:t>Economic and Social Council Distr. GENERAL ECE/AC.23/2002/2/REV.6 11 September 2002</w:t>
      </w:r>
    </w:p>
    <w:p w:rsidR="00552E21" w:rsidRDefault="00552E21" w:rsidP="00552E21">
      <w:pPr>
        <w:pStyle w:val="NormalWeb"/>
        <w:spacing w:before="0" w:beforeAutospacing="0" w:after="0" w:afterAutospacing="0" w:line="480" w:lineRule="auto"/>
        <w:ind w:hanging="720"/>
      </w:pPr>
      <w:r>
        <w:t xml:space="preserve">https://conferenciaenvehttps://jecimiento.cepal.org/5/sites/envejecimiento5/files/presentations/douladel_willie-tyndale.pdf </w:t>
      </w:r>
    </w:p>
    <w:p w:rsidR="00552E21" w:rsidRDefault="00552E21" w:rsidP="00552E21">
      <w:pPr>
        <w:pStyle w:val="NormalWeb"/>
        <w:spacing w:before="0" w:beforeAutospacing="0" w:after="0" w:afterAutospacing="0" w:line="480" w:lineRule="auto"/>
        <w:ind w:hanging="720"/>
      </w:pPr>
      <w:r>
        <w:t xml:space="preserve">https://www.un.org/esa/socdev/documents/ageing/MIPAA/political-declaration-en.pdf </w:t>
      </w:r>
    </w:p>
    <w:p w:rsidR="00552E21" w:rsidRDefault="00552E21" w:rsidP="00552E21">
      <w:pPr>
        <w:pStyle w:val="NormalWeb"/>
        <w:spacing w:before="0" w:beforeAutospacing="0" w:after="0" w:afterAutospacing="0" w:line="480" w:lineRule="auto"/>
        <w:ind w:hanging="720"/>
      </w:pPr>
      <w:r>
        <w:rPr>
          <w:i/>
          <w:iCs/>
        </w:rPr>
        <w:t>Https://Www.un.org/Esa/Socdev/Documents/Ageing/MIPAA/Political-Declaration-En.pdf</w:t>
      </w:r>
      <w:r>
        <w:t>.</w:t>
      </w:r>
    </w:p>
    <w:p w:rsidR="00552E21" w:rsidRDefault="00552E21" w:rsidP="00552E21">
      <w:pPr>
        <w:pStyle w:val="NormalWeb"/>
        <w:spacing w:before="0" w:beforeAutospacing="0" w:after="0" w:afterAutospacing="0" w:line="480" w:lineRule="auto"/>
        <w:ind w:hanging="720"/>
      </w:pPr>
      <w:r>
        <w:t xml:space="preserve">“Madrid Plan of Action and Its Implementation | Division for Inclusive Social Development (DISD).” </w:t>
      </w:r>
      <w:r>
        <w:rPr>
          <w:i/>
          <w:iCs/>
        </w:rPr>
        <w:t>Social.desa.un.org</w:t>
      </w:r>
      <w:r>
        <w:t>, social.desa.un.org/issues/ageing/madrid-plan-of-action-and-its-implementation-main/madrid-plan-of-action-and-its.</w:t>
      </w:r>
    </w:p>
    <w:p w:rsidR="00552E21" w:rsidRDefault="00552E21" w:rsidP="00552E21">
      <w:pPr>
        <w:pStyle w:val="NormalWeb"/>
        <w:spacing w:before="0" w:beforeAutospacing="0" w:after="0" w:afterAutospacing="0" w:line="480" w:lineRule="auto"/>
        <w:ind w:hanging="720"/>
      </w:pPr>
      <w:r>
        <w:t xml:space="preserve">“MIPAA/RIS | UNECE.” </w:t>
      </w:r>
      <w:r>
        <w:rPr>
          <w:i/>
          <w:iCs/>
        </w:rPr>
        <w:t>Unece.org</w:t>
      </w:r>
      <w:r>
        <w:t>, unece.org/population/ageing/mipaaris.</w:t>
      </w:r>
    </w:p>
    <w:p w:rsidR="00552E21" w:rsidRDefault="00552E21" w:rsidP="00552E21">
      <w:pPr>
        <w:pStyle w:val="NormalWeb"/>
        <w:spacing w:before="0" w:beforeAutospacing="0" w:after="0" w:afterAutospacing="0" w:line="480" w:lineRule="auto"/>
        <w:ind w:hanging="720"/>
      </w:pPr>
      <w:r>
        <w:rPr>
          <w:i/>
          <w:iCs/>
        </w:rPr>
        <w:t>Pensions at a Glance 2015 OECD and G20 Indicators Recent Pension Reforms</w:t>
      </w:r>
      <w:r>
        <w:t>. 2009, www.oecd-ilibrary.org/recent-pension-reforms_5jrqcp3gpnlw.pdf, https://doi.org/10.1787/888933300213. Accessed 19 Oct. 2023.</w:t>
      </w:r>
    </w:p>
    <w:p w:rsidR="00552E21" w:rsidRDefault="00552E21" w:rsidP="00552E21">
      <w:pPr>
        <w:pStyle w:val="NormalWeb"/>
        <w:spacing w:before="0" w:beforeAutospacing="0" w:after="0" w:afterAutospacing="0" w:line="480" w:lineRule="auto"/>
        <w:ind w:hanging="720"/>
      </w:pPr>
      <w:r>
        <w:t xml:space="preserve">“Retirement Planning Importance &amp; Meaning| ICICI Prulife.” </w:t>
      </w:r>
      <w:r>
        <w:rPr>
          <w:i/>
          <w:iCs/>
        </w:rPr>
        <w:t>Www.iciciprulife.com</w:t>
      </w:r>
      <w:r>
        <w:t>, www.iciciprulife.com/retirement-pension-plans/retirement-planning.html#:~:text=A%20retirement%20plan%20is%20designed.</w:t>
      </w:r>
    </w:p>
    <w:p w:rsidR="00552E21" w:rsidRDefault="00552E21" w:rsidP="00552E21">
      <w:pPr>
        <w:pStyle w:val="NormalWeb"/>
        <w:spacing w:before="0" w:beforeAutospacing="0" w:after="0" w:afterAutospacing="0" w:line="480" w:lineRule="auto"/>
        <w:ind w:hanging="720"/>
      </w:pPr>
      <w:r>
        <w:t xml:space="preserve">Samouei, Rahele, and Mahmoud Keyvanara. “Identifying Strategies for Dealing with the Aging Population from the Perspective of Health System Experts: A Qualitative Study.” </w:t>
      </w:r>
      <w:r>
        <w:rPr>
          <w:i/>
          <w:iCs/>
        </w:rPr>
        <w:t>Journal of Education and Health Promotion</w:t>
      </w:r>
      <w:r>
        <w:t>, vol. 11, 30 June 2022, p. 210, www.ncbi.nlm.nih.gov/pmc/articles/PMC9393960/, https://doi.org/10.4103/jehp.jehp_1213_21. Accessed 22 Nov. 2022.</w:t>
      </w:r>
    </w:p>
    <w:p w:rsidR="00552E21" w:rsidRDefault="00552E21" w:rsidP="00552E21">
      <w:pPr>
        <w:pStyle w:val="NormalWeb"/>
        <w:spacing w:before="0" w:beforeAutospacing="0" w:after="0" w:afterAutospacing="0" w:line="480" w:lineRule="auto"/>
        <w:ind w:hanging="720"/>
      </w:pPr>
      <w:r>
        <w:lastRenderedPageBreak/>
        <w:t xml:space="preserve">THE AGEING CARIBBEAN: 20 YEARS OF THE MADRID PLAN OF ACTION NEKEHIA QUASHIE AND FRANCIS JONES </w:t>
      </w:r>
    </w:p>
    <w:p w:rsidR="00552E21" w:rsidRDefault="00552E21" w:rsidP="00552E21">
      <w:pPr>
        <w:pStyle w:val="NormalWeb"/>
        <w:spacing w:before="0" w:beforeAutospacing="0" w:after="0" w:afterAutospacing="0" w:line="480" w:lineRule="auto"/>
        <w:ind w:hanging="720"/>
      </w:pPr>
      <w:r>
        <w:t xml:space="preserve">“The Madrid Plan (MIPAA).” </w:t>
      </w:r>
      <w:r>
        <w:rPr>
          <w:i/>
          <w:iCs/>
        </w:rPr>
        <w:t>HelpAge International</w:t>
      </w:r>
      <w:r>
        <w:t>, www.helpage.org/what-we-do/society-for-all-ages/society-for-all-ages-campaigns/the-madrid-plan-mipaa/. Accessed 19 Oct. 2023.</w:t>
      </w:r>
    </w:p>
    <w:p w:rsidR="00552E21" w:rsidRPr="00592F8B" w:rsidRDefault="00552E21" w:rsidP="00552E21">
      <w:pPr>
        <w:rPr>
          <w:rFonts w:ascii="Times" w:hAnsi="Times"/>
          <w:sz w:val="24"/>
          <w:szCs w:val="24"/>
        </w:rPr>
      </w:pPr>
    </w:p>
    <w:sectPr w:rsidR="00552E21" w:rsidRPr="00592F8B" w:rsidSect="00D63232">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B3619"/>
    <w:rsid w:val="00081AB1"/>
    <w:rsid w:val="000E7901"/>
    <w:rsid w:val="001961B4"/>
    <w:rsid w:val="002031BE"/>
    <w:rsid w:val="00350A98"/>
    <w:rsid w:val="00375CAD"/>
    <w:rsid w:val="004E286E"/>
    <w:rsid w:val="00552E21"/>
    <w:rsid w:val="00592F8B"/>
    <w:rsid w:val="00924975"/>
    <w:rsid w:val="009603D2"/>
    <w:rsid w:val="009921A3"/>
    <w:rsid w:val="00AC14BB"/>
    <w:rsid w:val="00B33289"/>
    <w:rsid w:val="00BB3619"/>
    <w:rsid w:val="00C065C9"/>
    <w:rsid w:val="00C2593F"/>
    <w:rsid w:val="00D63232"/>
    <w:rsid w:val="00F3532C"/>
    <w:rsid w:val="00F81014"/>
    <w:rsid w:val="00FF452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323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52E2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39131942">
      <w:bodyDiv w:val="1"/>
      <w:marLeft w:val="0"/>
      <w:marRight w:val="0"/>
      <w:marTop w:val="0"/>
      <w:marBottom w:val="0"/>
      <w:divBdr>
        <w:top w:val="none" w:sz="0" w:space="0" w:color="auto"/>
        <w:left w:val="none" w:sz="0" w:space="0" w:color="auto"/>
        <w:bottom w:val="none" w:sz="0" w:space="0" w:color="auto"/>
        <w:right w:val="none" w:sz="0" w:space="0" w:color="auto"/>
      </w:divBdr>
      <w:divsChild>
        <w:div w:id="1353336182">
          <w:marLeft w:val="0"/>
          <w:marRight w:val="0"/>
          <w:marTop w:val="0"/>
          <w:marBottom w:val="0"/>
          <w:divBdr>
            <w:top w:val="none" w:sz="0" w:space="0" w:color="auto"/>
            <w:left w:val="none" w:sz="0" w:space="0" w:color="auto"/>
            <w:bottom w:val="none" w:sz="0" w:space="0" w:color="auto"/>
            <w:right w:val="none" w:sz="0" w:space="0" w:color="auto"/>
          </w:divBdr>
        </w:div>
      </w:divsChild>
    </w:div>
    <w:div w:id="351229222">
      <w:bodyDiv w:val="1"/>
      <w:marLeft w:val="0"/>
      <w:marRight w:val="0"/>
      <w:marTop w:val="0"/>
      <w:marBottom w:val="0"/>
      <w:divBdr>
        <w:top w:val="none" w:sz="0" w:space="0" w:color="auto"/>
        <w:left w:val="none" w:sz="0" w:space="0" w:color="auto"/>
        <w:bottom w:val="none" w:sz="0" w:space="0" w:color="auto"/>
        <w:right w:val="none" w:sz="0" w:space="0" w:color="auto"/>
      </w:divBdr>
      <w:divsChild>
        <w:div w:id="708603946">
          <w:marLeft w:val="0"/>
          <w:marRight w:val="0"/>
          <w:marTop w:val="0"/>
          <w:marBottom w:val="0"/>
          <w:divBdr>
            <w:top w:val="none" w:sz="0" w:space="0" w:color="auto"/>
            <w:left w:val="none" w:sz="0" w:space="0" w:color="auto"/>
            <w:bottom w:val="none" w:sz="0" w:space="0" w:color="auto"/>
            <w:right w:val="none" w:sz="0" w:space="0" w:color="auto"/>
          </w:divBdr>
        </w:div>
      </w:divsChild>
    </w:div>
    <w:div w:id="353071337">
      <w:bodyDiv w:val="1"/>
      <w:marLeft w:val="0"/>
      <w:marRight w:val="0"/>
      <w:marTop w:val="0"/>
      <w:marBottom w:val="0"/>
      <w:divBdr>
        <w:top w:val="none" w:sz="0" w:space="0" w:color="auto"/>
        <w:left w:val="none" w:sz="0" w:space="0" w:color="auto"/>
        <w:bottom w:val="none" w:sz="0" w:space="0" w:color="auto"/>
        <w:right w:val="none" w:sz="0" w:space="0" w:color="auto"/>
      </w:divBdr>
      <w:divsChild>
        <w:div w:id="642389711">
          <w:marLeft w:val="0"/>
          <w:marRight w:val="0"/>
          <w:marTop w:val="0"/>
          <w:marBottom w:val="0"/>
          <w:divBdr>
            <w:top w:val="none" w:sz="0" w:space="0" w:color="auto"/>
            <w:left w:val="none" w:sz="0" w:space="0" w:color="auto"/>
            <w:bottom w:val="none" w:sz="0" w:space="0" w:color="auto"/>
            <w:right w:val="none" w:sz="0" w:space="0" w:color="auto"/>
          </w:divBdr>
        </w:div>
      </w:divsChild>
    </w:div>
    <w:div w:id="428233775">
      <w:bodyDiv w:val="1"/>
      <w:marLeft w:val="0"/>
      <w:marRight w:val="0"/>
      <w:marTop w:val="0"/>
      <w:marBottom w:val="0"/>
      <w:divBdr>
        <w:top w:val="none" w:sz="0" w:space="0" w:color="auto"/>
        <w:left w:val="none" w:sz="0" w:space="0" w:color="auto"/>
        <w:bottom w:val="none" w:sz="0" w:space="0" w:color="auto"/>
        <w:right w:val="none" w:sz="0" w:space="0" w:color="auto"/>
      </w:divBdr>
      <w:divsChild>
        <w:div w:id="513880480">
          <w:marLeft w:val="0"/>
          <w:marRight w:val="0"/>
          <w:marTop w:val="0"/>
          <w:marBottom w:val="0"/>
          <w:divBdr>
            <w:top w:val="none" w:sz="0" w:space="0" w:color="auto"/>
            <w:left w:val="none" w:sz="0" w:space="0" w:color="auto"/>
            <w:bottom w:val="none" w:sz="0" w:space="0" w:color="auto"/>
            <w:right w:val="none" w:sz="0" w:space="0" w:color="auto"/>
          </w:divBdr>
        </w:div>
      </w:divsChild>
    </w:div>
    <w:div w:id="538586589">
      <w:bodyDiv w:val="1"/>
      <w:marLeft w:val="0"/>
      <w:marRight w:val="0"/>
      <w:marTop w:val="0"/>
      <w:marBottom w:val="0"/>
      <w:divBdr>
        <w:top w:val="none" w:sz="0" w:space="0" w:color="auto"/>
        <w:left w:val="none" w:sz="0" w:space="0" w:color="auto"/>
        <w:bottom w:val="none" w:sz="0" w:space="0" w:color="auto"/>
        <w:right w:val="none" w:sz="0" w:space="0" w:color="auto"/>
      </w:divBdr>
      <w:divsChild>
        <w:div w:id="374735746">
          <w:marLeft w:val="0"/>
          <w:marRight w:val="0"/>
          <w:marTop w:val="0"/>
          <w:marBottom w:val="0"/>
          <w:divBdr>
            <w:top w:val="none" w:sz="0" w:space="0" w:color="auto"/>
            <w:left w:val="none" w:sz="0" w:space="0" w:color="auto"/>
            <w:bottom w:val="none" w:sz="0" w:space="0" w:color="auto"/>
            <w:right w:val="none" w:sz="0" w:space="0" w:color="auto"/>
          </w:divBdr>
        </w:div>
      </w:divsChild>
    </w:div>
    <w:div w:id="615209610">
      <w:bodyDiv w:val="1"/>
      <w:marLeft w:val="0"/>
      <w:marRight w:val="0"/>
      <w:marTop w:val="0"/>
      <w:marBottom w:val="0"/>
      <w:divBdr>
        <w:top w:val="none" w:sz="0" w:space="0" w:color="auto"/>
        <w:left w:val="none" w:sz="0" w:space="0" w:color="auto"/>
        <w:bottom w:val="none" w:sz="0" w:space="0" w:color="auto"/>
        <w:right w:val="none" w:sz="0" w:space="0" w:color="auto"/>
      </w:divBdr>
      <w:divsChild>
        <w:div w:id="1355688717">
          <w:marLeft w:val="0"/>
          <w:marRight w:val="0"/>
          <w:marTop w:val="0"/>
          <w:marBottom w:val="0"/>
          <w:divBdr>
            <w:top w:val="none" w:sz="0" w:space="0" w:color="auto"/>
            <w:left w:val="none" w:sz="0" w:space="0" w:color="auto"/>
            <w:bottom w:val="none" w:sz="0" w:space="0" w:color="auto"/>
            <w:right w:val="none" w:sz="0" w:space="0" w:color="auto"/>
          </w:divBdr>
        </w:div>
      </w:divsChild>
    </w:div>
    <w:div w:id="681979226">
      <w:bodyDiv w:val="1"/>
      <w:marLeft w:val="0"/>
      <w:marRight w:val="0"/>
      <w:marTop w:val="0"/>
      <w:marBottom w:val="0"/>
      <w:divBdr>
        <w:top w:val="none" w:sz="0" w:space="0" w:color="auto"/>
        <w:left w:val="none" w:sz="0" w:space="0" w:color="auto"/>
        <w:bottom w:val="none" w:sz="0" w:space="0" w:color="auto"/>
        <w:right w:val="none" w:sz="0" w:space="0" w:color="auto"/>
      </w:divBdr>
      <w:divsChild>
        <w:div w:id="868494601">
          <w:marLeft w:val="0"/>
          <w:marRight w:val="0"/>
          <w:marTop w:val="0"/>
          <w:marBottom w:val="0"/>
          <w:divBdr>
            <w:top w:val="none" w:sz="0" w:space="0" w:color="auto"/>
            <w:left w:val="none" w:sz="0" w:space="0" w:color="auto"/>
            <w:bottom w:val="none" w:sz="0" w:space="0" w:color="auto"/>
            <w:right w:val="none" w:sz="0" w:space="0" w:color="auto"/>
          </w:divBdr>
        </w:div>
      </w:divsChild>
    </w:div>
    <w:div w:id="879172158">
      <w:bodyDiv w:val="1"/>
      <w:marLeft w:val="0"/>
      <w:marRight w:val="0"/>
      <w:marTop w:val="0"/>
      <w:marBottom w:val="0"/>
      <w:divBdr>
        <w:top w:val="none" w:sz="0" w:space="0" w:color="auto"/>
        <w:left w:val="none" w:sz="0" w:space="0" w:color="auto"/>
        <w:bottom w:val="none" w:sz="0" w:space="0" w:color="auto"/>
        <w:right w:val="none" w:sz="0" w:space="0" w:color="auto"/>
      </w:divBdr>
      <w:divsChild>
        <w:div w:id="1720589911">
          <w:marLeft w:val="0"/>
          <w:marRight w:val="0"/>
          <w:marTop w:val="0"/>
          <w:marBottom w:val="0"/>
          <w:divBdr>
            <w:top w:val="none" w:sz="0" w:space="0" w:color="auto"/>
            <w:left w:val="none" w:sz="0" w:space="0" w:color="auto"/>
            <w:bottom w:val="none" w:sz="0" w:space="0" w:color="auto"/>
            <w:right w:val="none" w:sz="0" w:space="0" w:color="auto"/>
          </w:divBdr>
        </w:div>
      </w:divsChild>
    </w:div>
    <w:div w:id="960499130">
      <w:bodyDiv w:val="1"/>
      <w:marLeft w:val="0"/>
      <w:marRight w:val="0"/>
      <w:marTop w:val="0"/>
      <w:marBottom w:val="0"/>
      <w:divBdr>
        <w:top w:val="none" w:sz="0" w:space="0" w:color="auto"/>
        <w:left w:val="none" w:sz="0" w:space="0" w:color="auto"/>
        <w:bottom w:val="none" w:sz="0" w:space="0" w:color="auto"/>
        <w:right w:val="none" w:sz="0" w:space="0" w:color="auto"/>
      </w:divBdr>
      <w:divsChild>
        <w:div w:id="1928348324">
          <w:marLeft w:val="0"/>
          <w:marRight w:val="0"/>
          <w:marTop w:val="0"/>
          <w:marBottom w:val="0"/>
          <w:divBdr>
            <w:top w:val="none" w:sz="0" w:space="0" w:color="auto"/>
            <w:left w:val="none" w:sz="0" w:space="0" w:color="auto"/>
            <w:bottom w:val="none" w:sz="0" w:space="0" w:color="auto"/>
            <w:right w:val="none" w:sz="0" w:space="0" w:color="auto"/>
          </w:divBdr>
        </w:div>
      </w:divsChild>
    </w:div>
    <w:div w:id="969439889">
      <w:bodyDiv w:val="1"/>
      <w:marLeft w:val="0"/>
      <w:marRight w:val="0"/>
      <w:marTop w:val="0"/>
      <w:marBottom w:val="0"/>
      <w:divBdr>
        <w:top w:val="none" w:sz="0" w:space="0" w:color="auto"/>
        <w:left w:val="none" w:sz="0" w:space="0" w:color="auto"/>
        <w:bottom w:val="none" w:sz="0" w:space="0" w:color="auto"/>
        <w:right w:val="none" w:sz="0" w:space="0" w:color="auto"/>
      </w:divBdr>
      <w:divsChild>
        <w:div w:id="1849639745">
          <w:marLeft w:val="0"/>
          <w:marRight w:val="0"/>
          <w:marTop w:val="0"/>
          <w:marBottom w:val="0"/>
          <w:divBdr>
            <w:top w:val="none" w:sz="0" w:space="0" w:color="auto"/>
            <w:left w:val="none" w:sz="0" w:space="0" w:color="auto"/>
            <w:bottom w:val="none" w:sz="0" w:space="0" w:color="auto"/>
            <w:right w:val="none" w:sz="0" w:space="0" w:color="auto"/>
          </w:divBdr>
        </w:div>
      </w:divsChild>
    </w:div>
    <w:div w:id="1014771513">
      <w:bodyDiv w:val="1"/>
      <w:marLeft w:val="0"/>
      <w:marRight w:val="0"/>
      <w:marTop w:val="0"/>
      <w:marBottom w:val="0"/>
      <w:divBdr>
        <w:top w:val="none" w:sz="0" w:space="0" w:color="auto"/>
        <w:left w:val="none" w:sz="0" w:space="0" w:color="auto"/>
        <w:bottom w:val="none" w:sz="0" w:space="0" w:color="auto"/>
        <w:right w:val="none" w:sz="0" w:space="0" w:color="auto"/>
      </w:divBdr>
      <w:divsChild>
        <w:div w:id="92746448">
          <w:marLeft w:val="0"/>
          <w:marRight w:val="0"/>
          <w:marTop w:val="0"/>
          <w:marBottom w:val="0"/>
          <w:divBdr>
            <w:top w:val="none" w:sz="0" w:space="0" w:color="auto"/>
            <w:left w:val="none" w:sz="0" w:space="0" w:color="auto"/>
            <w:bottom w:val="none" w:sz="0" w:space="0" w:color="auto"/>
            <w:right w:val="none" w:sz="0" w:space="0" w:color="auto"/>
          </w:divBdr>
        </w:div>
      </w:divsChild>
    </w:div>
    <w:div w:id="1069692876">
      <w:bodyDiv w:val="1"/>
      <w:marLeft w:val="0"/>
      <w:marRight w:val="0"/>
      <w:marTop w:val="0"/>
      <w:marBottom w:val="0"/>
      <w:divBdr>
        <w:top w:val="none" w:sz="0" w:space="0" w:color="auto"/>
        <w:left w:val="none" w:sz="0" w:space="0" w:color="auto"/>
        <w:bottom w:val="none" w:sz="0" w:space="0" w:color="auto"/>
        <w:right w:val="none" w:sz="0" w:space="0" w:color="auto"/>
      </w:divBdr>
      <w:divsChild>
        <w:div w:id="110128558">
          <w:marLeft w:val="0"/>
          <w:marRight w:val="0"/>
          <w:marTop w:val="0"/>
          <w:marBottom w:val="0"/>
          <w:divBdr>
            <w:top w:val="none" w:sz="0" w:space="0" w:color="auto"/>
            <w:left w:val="none" w:sz="0" w:space="0" w:color="auto"/>
            <w:bottom w:val="none" w:sz="0" w:space="0" w:color="auto"/>
            <w:right w:val="none" w:sz="0" w:space="0" w:color="auto"/>
          </w:divBdr>
        </w:div>
      </w:divsChild>
    </w:div>
    <w:div w:id="1111893987">
      <w:bodyDiv w:val="1"/>
      <w:marLeft w:val="0"/>
      <w:marRight w:val="0"/>
      <w:marTop w:val="0"/>
      <w:marBottom w:val="0"/>
      <w:divBdr>
        <w:top w:val="none" w:sz="0" w:space="0" w:color="auto"/>
        <w:left w:val="none" w:sz="0" w:space="0" w:color="auto"/>
        <w:bottom w:val="none" w:sz="0" w:space="0" w:color="auto"/>
        <w:right w:val="none" w:sz="0" w:space="0" w:color="auto"/>
      </w:divBdr>
      <w:divsChild>
        <w:div w:id="686056954">
          <w:marLeft w:val="0"/>
          <w:marRight w:val="0"/>
          <w:marTop w:val="0"/>
          <w:marBottom w:val="0"/>
          <w:divBdr>
            <w:top w:val="none" w:sz="0" w:space="0" w:color="auto"/>
            <w:left w:val="none" w:sz="0" w:space="0" w:color="auto"/>
            <w:bottom w:val="none" w:sz="0" w:space="0" w:color="auto"/>
            <w:right w:val="none" w:sz="0" w:space="0" w:color="auto"/>
          </w:divBdr>
        </w:div>
      </w:divsChild>
    </w:div>
    <w:div w:id="1182671837">
      <w:bodyDiv w:val="1"/>
      <w:marLeft w:val="0"/>
      <w:marRight w:val="0"/>
      <w:marTop w:val="0"/>
      <w:marBottom w:val="0"/>
      <w:divBdr>
        <w:top w:val="none" w:sz="0" w:space="0" w:color="auto"/>
        <w:left w:val="none" w:sz="0" w:space="0" w:color="auto"/>
        <w:bottom w:val="none" w:sz="0" w:space="0" w:color="auto"/>
        <w:right w:val="none" w:sz="0" w:space="0" w:color="auto"/>
      </w:divBdr>
      <w:divsChild>
        <w:div w:id="643118846">
          <w:marLeft w:val="0"/>
          <w:marRight w:val="0"/>
          <w:marTop w:val="0"/>
          <w:marBottom w:val="0"/>
          <w:divBdr>
            <w:top w:val="none" w:sz="0" w:space="0" w:color="auto"/>
            <w:left w:val="none" w:sz="0" w:space="0" w:color="auto"/>
            <w:bottom w:val="none" w:sz="0" w:space="0" w:color="auto"/>
            <w:right w:val="none" w:sz="0" w:space="0" w:color="auto"/>
          </w:divBdr>
        </w:div>
      </w:divsChild>
    </w:div>
    <w:div w:id="1204294088">
      <w:bodyDiv w:val="1"/>
      <w:marLeft w:val="0"/>
      <w:marRight w:val="0"/>
      <w:marTop w:val="0"/>
      <w:marBottom w:val="0"/>
      <w:divBdr>
        <w:top w:val="none" w:sz="0" w:space="0" w:color="auto"/>
        <w:left w:val="none" w:sz="0" w:space="0" w:color="auto"/>
        <w:bottom w:val="none" w:sz="0" w:space="0" w:color="auto"/>
        <w:right w:val="none" w:sz="0" w:space="0" w:color="auto"/>
      </w:divBdr>
      <w:divsChild>
        <w:div w:id="1548881691">
          <w:marLeft w:val="0"/>
          <w:marRight w:val="0"/>
          <w:marTop w:val="0"/>
          <w:marBottom w:val="0"/>
          <w:divBdr>
            <w:top w:val="none" w:sz="0" w:space="0" w:color="auto"/>
            <w:left w:val="none" w:sz="0" w:space="0" w:color="auto"/>
            <w:bottom w:val="none" w:sz="0" w:space="0" w:color="auto"/>
            <w:right w:val="none" w:sz="0" w:space="0" w:color="auto"/>
          </w:divBdr>
        </w:div>
      </w:divsChild>
    </w:div>
    <w:div w:id="1261256141">
      <w:bodyDiv w:val="1"/>
      <w:marLeft w:val="0"/>
      <w:marRight w:val="0"/>
      <w:marTop w:val="0"/>
      <w:marBottom w:val="0"/>
      <w:divBdr>
        <w:top w:val="none" w:sz="0" w:space="0" w:color="auto"/>
        <w:left w:val="none" w:sz="0" w:space="0" w:color="auto"/>
        <w:bottom w:val="none" w:sz="0" w:space="0" w:color="auto"/>
        <w:right w:val="none" w:sz="0" w:space="0" w:color="auto"/>
      </w:divBdr>
      <w:divsChild>
        <w:div w:id="1331710910">
          <w:marLeft w:val="0"/>
          <w:marRight w:val="0"/>
          <w:marTop w:val="0"/>
          <w:marBottom w:val="0"/>
          <w:divBdr>
            <w:top w:val="none" w:sz="0" w:space="0" w:color="auto"/>
            <w:left w:val="none" w:sz="0" w:space="0" w:color="auto"/>
            <w:bottom w:val="none" w:sz="0" w:space="0" w:color="auto"/>
            <w:right w:val="none" w:sz="0" w:space="0" w:color="auto"/>
          </w:divBdr>
        </w:div>
        <w:div w:id="1396007980">
          <w:marLeft w:val="0"/>
          <w:marRight w:val="0"/>
          <w:marTop w:val="0"/>
          <w:marBottom w:val="0"/>
          <w:divBdr>
            <w:top w:val="none" w:sz="0" w:space="0" w:color="auto"/>
            <w:left w:val="none" w:sz="0" w:space="0" w:color="auto"/>
            <w:bottom w:val="none" w:sz="0" w:space="0" w:color="auto"/>
            <w:right w:val="none" w:sz="0" w:space="0" w:color="auto"/>
          </w:divBdr>
        </w:div>
        <w:div w:id="427164581">
          <w:marLeft w:val="0"/>
          <w:marRight w:val="0"/>
          <w:marTop w:val="0"/>
          <w:marBottom w:val="0"/>
          <w:divBdr>
            <w:top w:val="none" w:sz="0" w:space="0" w:color="auto"/>
            <w:left w:val="none" w:sz="0" w:space="0" w:color="auto"/>
            <w:bottom w:val="none" w:sz="0" w:space="0" w:color="auto"/>
            <w:right w:val="none" w:sz="0" w:space="0" w:color="auto"/>
          </w:divBdr>
        </w:div>
        <w:div w:id="1773546950">
          <w:marLeft w:val="0"/>
          <w:marRight w:val="0"/>
          <w:marTop w:val="0"/>
          <w:marBottom w:val="0"/>
          <w:divBdr>
            <w:top w:val="none" w:sz="0" w:space="0" w:color="auto"/>
            <w:left w:val="none" w:sz="0" w:space="0" w:color="auto"/>
            <w:bottom w:val="none" w:sz="0" w:space="0" w:color="auto"/>
            <w:right w:val="none" w:sz="0" w:space="0" w:color="auto"/>
          </w:divBdr>
        </w:div>
        <w:div w:id="576593642">
          <w:marLeft w:val="0"/>
          <w:marRight w:val="0"/>
          <w:marTop w:val="0"/>
          <w:marBottom w:val="0"/>
          <w:divBdr>
            <w:top w:val="none" w:sz="0" w:space="0" w:color="auto"/>
            <w:left w:val="none" w:sz="0" w:space="0" w:color="auto"/>
            <w:bottom w:val="none" w:sz="0" w:space="0" w:color="auto"/>
            <w:right w:val="none" w:sz="0" w:space="0" w:color="auto"/>
          </w:divBdr>
        </w:div>
        <w:div w:id="394820024">
          <w:marLeft w:val="0"/>
          <w:marRight w:val="0"/>
          <w:marTop w:val="0"/>
          <w:marBottom w:val="0"/>
          <w:divBdr>
            <w:top w:val="none" w:sz="0" w:space="0" w:color="auto"/>
            <w:left w:val="none" w:sz="0" w:space="0" w:color="auto"/>
            <w:bottom w:val="none" w:sz="0" w:space="0" w:color="auto"/>
            <w:right w:val="none" w:sz="0" w:space="0" w:color="auto"/>
          </w:divBdr>
        </w:div>
        <w:div w:id="1037123350">
          <w:marLeft w:val="0"/>
          <w:marRight w:val="0"/>
          <w:marTop w:val="0"/>
          <w:marBottom w:val="0"/>
          <w:divBdr>
            <w:top w:val="none" w:sz="0" w:space="0" w:color="auto"/>
            <w:left w:val="none" w:sz="0" w:space="0" w:color="auto"/>
            <w:bottom w:val="none" w:sz="0" w:space="0" w:color="auto"/>
            <w:right w:val="none" w:sz="0" w:space="0" w:color="auto"/>
          </w:divBdr>
        </w:div>
        <w:div w:id="1051686749">
          <w:marLeft w:val="0"/>
          <w:marRight w:val="0"/>
          <w:marTop w:val="0"/>
          <w:marBottom w:val="0"/>
          <w:divBdr>
            <w:top w:val="none" w:sz="0" w:space="0" w:color="auto"/>
            <w:left w:val="none" w:sz="0" w:space="0" w:color="auto"/>
            <w:bottom w:val="none" w:sz="0" w:space="0" w:color="auto"/>
            <w:right w:val="none" w:sz="0" w:space="0" w:color="auto"/>
          </w:divBdr>
        </w:div>
      </w:divsChild>
    </w:div>
    <w:div w:id="1275091968">
      <w:bodyDiv w:val="1"/>
      <w:marLeft w:val="0"/>
      <w:marRight w:val="0"/>
      <w:marTop w:val="0"/>
      <w:marBottom w:val="0"/>
      <w:divBdr>
        <w:top w:val="none" w:sz="0" w:space="0" w:color="auto"/>
        <w:left w:val="none" w:sz="0" w:space="0" w:color="auto"/>
        <w:bottom w:val="none" w:sz="0" w:space="0" w:color="auto"/>
        <w:right w:val="none" w:sz="0" w:space="0" w:color="auto"/>
      </w:divBdr>
      <w:divsChild>
        <w:div w:id="973219688">
          <w:marLeft w:val="0"/>
          <w:marRight w:val="0"/>
          <w:marTop w:val="0"/>
          <w:marBottom w:val="0"/>
          <w:divBdr>
            <w:top w:val="none" w:sz="0" w:space="0" w:color="auto"/>
            <w:left w:val="none" w:sz="0" w:space="0" w:color="auto"/>
            <w:bottom w:val="none" w:sz="0" w:space="0" w:color="auto"/>
            <w:right w:val="none" w:sz="0" w:space="0" w:color="auto"/>
          </w:divBdr>
        </w:div>
      </w:divsChild>
    </w:div>
    <w:div w:id="1327631349">
      <w:bodyDiv w:val="1"/>
      <w:marLeft w:val="0"/>
      <w:marRight w:val="0"/>
      <w:marTop w:val="0"/>
      <w:marBottom w:val="0"/>
      <w:divBdr>
        <w:top w:val="none" w:sz="0" w:space="0" w:color="auto"/>
        <w:left w:val="none" w:sz="0" w:space="0" w:color="auto"/>
        <w:bottom w:val="none" w:sz="0" w:space="0" w:color="auto"/>
        <w:right w:val="none" w:sz="0" w:space="0" w:color="auto"/>
      </w:divBdr>
      <w:divsChild>
        <w:div w:id="2048329368">
          <w:marLeft w:val="0"/>
          <w:marRight w:val="0"/>
          <w:marTop w:val="0"/>
          <w:marBottom w:val="0"/>
          <w:divBdr>
            <w:top w:val="none" w:sz="0" w:space="0" w:color="auto"/>
            <w:left w:val="none" w:sz="0" w:space="0" w:color="auto"/>
            <w:bottom w:val="none" w:sz="0" w:space="0" w:color="auto"/>
            <w:right w:val="none" w:sz="0" w:space="0" w:color="auto"/>
          </w:divBdr>
        </w:div>
      </w:divsChild>
    </w:div>
    <w:div w:id="1366254244">
      <w:bodyDiv w:val="1"/>
      <w:marLeft w:val="0"/>
      <w:marRight w:val="0"/>
      <w:marTop w:val="0"/>
      <w:marBottom w:val="0"/>
      <w:divBdr>
        <w:top w:val="none" w:sz="0" w:space="0" w:color="auto"/>
        <w:left w:val="none" w:sz="0" w:space="0" w:color="auto"/>
        <w:bottom w:val="none" w:sz="0" w:space="0" w:color="auto"/>
        <w:right w:val="none" w:sz="0" w:space="0" w:color="auto"/>
      </w:divBdr>
      <w:divsChild>
        <w:div w:id="492524251">
          <w:marLeft w:val="0"/>
          <w:marRight w:val="0"/>
          <w:marTop w:val="0"/>
          <w:marBottom w:val="0"/>
          <w:divBdr>
            <w:top w:val="none" w:sz="0" w:space="0" w:color="auto"/>
            <w:left w:val="none" w:sz="0" w:space="0" w:color="auto"/>
            <w:bottom w:val="none" w:sz="0" w:space="0" w:color="auto"/>
            <w:right w:val="none" w:sz="0" w:space="0" w:color="auto"/>
          </w:divBdr>
        </w:div>
      </w:divsChild>
    </w:div>
    <w:div w:id="1460493640">
      <w:bodyDiv w:val="1"/>
      <w:marLeft w:val="0"/>
      <w:marRight w:val="0"/>
      <w:marTop w:val="0"/>
      <w:marBottom w:val="0"/>
      <w:divBdr>
        <w:top w:val="none" w:sz="0" w:space="0" w:color="auto"/>
        <w:left w:val="none" w:sz="0" w:space="0" w:color="auto"/>
        <w:bottom w:val="none" w:sz="0" w:space="0" w:color="auto"/>
        <w:right w:val="none" w:sz="0" w:space="0" w:color="auto"/>
      </w:divBdr>
      <w:divsChild>
        <w:div w:id="1324164787">
          <w:marLeft w:val="0"/>
          <w:marRight w:val="0"/>
          <w:marTop w:val="0"/>
          <w:marBottom w:val="0"/>
          <w:divBdr>
            <w:top w:val="none" w:sz="0" w:space="0" w:color="auto"/>
            <w:left w:val="none" w:sz="0" w:space="0" w:color="auto"/>
            <w:bottom w:val="none" w:sz="0" w:space="0" w:color="auto"/>
            <w:right w:val="none" w:sz="0" w:space="0" w:color="auto"/>
          </w:divBdr>
        </w:div>
        <w:div w:id="921647263">
          <w:marLeft w:val="0"/>
          <w:marRight w:val="0"/>
          <w:marTop w:val="0"/>
          <w:marBottom w:val="0"/>
          <w:divBdr>
            <w:top w:val="none" w:sz="0" w:space="0" w:color="auto"/>
            <w:left w:val="none" w:sz="0" w:space="0" w:color="auto"/>
            <w:bottom w:val="none" w:sz="0" w:space="0" w:color="auto"/>
            <w:right w:val="none" w:sz="0" w:space="0" w:color="auto"/>
          </w:divBdr>
        </w:div>
      </w:divsChild>
    </w:div>
    <w:div w:id="1499422638">
      <w:bodyDiv w:val="1"/>
      <w:marLeft w:val="0"/>
      <w:marRight w:val="0"/>
      <w:marTop w:val="0"/>
      <w:marBottom w:val="0"/>
      <w:divBdr>
        <w:top w:val="none" w:sz="0" w:space="0" w:color="auto"/>
        <w:left w:val="none" w:sz="0" w:space="0" w:color="auto"/>
        <w:bottom w:val="none" w:sz="0" w:space="0" w:color="auto"/>
        <w:right w:val="none" w:sz="0" w:space="0" w:color="auto"/>
      </w:divBdr>
      <w:divsChild>
        <w:div w:id="1554807047">
          <w:marLeft w:val="0"/>
          <w:marRight w:val="0"/>
          <w:marTop w:val="0"/>
          <w:marBottom w:val="0"/>
          <w:divBdr>
            <w:top w:val="none" w:sz="0" w:space="0" w:color="auto"/>
            <w:left w:val="none" w:sz="0" w:space="0" w:color="auto"/>
            <w:bottom w:val="none" w:sz="0" w:space="0" w:color="auto"/>
            <w:right w:val="none" w:sz="0" w:space="0" w:color="auto"/>
          </w:divBdr>
        </w:div>
      </w:divsChild>
    </w:div>
    <w:div w:id="1571964781">
      <w:bodyDiv w:val="1"/>
      <w:marLeft w:val="0"/>
      <w:marRight w:val="0"/>
      <w:marTop w:val="0"/>
      <w:marBottom w:val="0"/>
      <w:divBdr>
        <w:top w:val="none" w:sz="0" w:space="0" w:color="auto"/>
        <w:left w:val="none" w:sz="0" w:space="0" w:color="auto"/>
        <w:bottom w:val="none" w:sz="0" w:space="0" w:color="auto"/>
        <w:right w:val="none" w:sz="0" w:space="0" w:color="auto"/>
      </w:divBdr>
      <w:divsChild>
        <w:div w:id="1301106740">
          <w:marLeft w:val="0"/>
          <w:marRight w:val="0"/>
          <w:marTop w:val="0"/>
          <w:marBottom w:val="0"/>
          <w:divBdr>
            <w:top w:val="none" w:sz="0" w:space="0" w:color="auto"/>
            <w:left w:val="none" w:sz="0" w:space="0" w:color="auto"/>
            <w:bottom w:val="none" w:sz="0" w:space="0" w:color="auto"/>
            <w:right w:val="none" w:sz="0" w:space="0" w:color="auto"/>
          </w:divBdr>
        </w:div>
      </w:divsChild>
    </w:div>
    <w:div w:id="1571966558">
      <w:bodyDiv w:val="1"/>
      <w:marLeft w:val="0"/>
      <w:marRight w:val="0"/>
      <w:marTop w:val="0"/>
      <w:marBottom w:val="0"/>
      <w:divBdr>
        <w:top w:val="none" w:sz="0" w:space="0" w:color="auto"/>
        <w:left w:val="none" w:sz="0" w:space="0" w:color="auto"/>
        <w:bottom w:val="none" w:sz="0" w:space="0" w:color="auto"/>
        <w:right w:val="none" w:sz="0" w:space="0" w:color="auto"/>
      </w:divBdr>
      <w:divsChild>
        <w:div w:id="1293554644">
          <w:marLeft w:val="0"/>
          <w:marRight w:val="0"/>
          <w:marTop w:val="0"/>
          <w:marBottom w:val="0"/>
          <w:divBdr>
            <w:top w:val="none" w:sz="0" w:space="0" w:color="auto"/>
            <w:left w:val="none" w:sz="0" w:space="0" w:color="auto"/>
            <w:bottom w:val="none" w:sz="0" w:space="0" w:color="auto"/>
            <w:right w:val="none" w:sz="0" w:space="0" w:color="auto"/>
          </w:divBdr>
        </w:div>
        <w:div w:id="1273171197">
          <w:marLeft w:val="0"/>
          <w:marRight w:val="0"/>
          <w:marTop w:val="0"/>
          <w:marBottom w:val="0"/>
          <w:divBdr>
            <w:top w:val="none" w:sz="0" w:space="0" w:color="auto"/>
            <w:left w:val="none" w:sz="0" w:space="0" w:color="auto"/>
            <w:bottom w:val="none" w:sz="0" w:space="0" w:color="auto"/>
            <w:right w:val="none" w:sz="0" w:space="0" w:color="auto"/>
          </w:divBdr>
        </w:div>
      </w:divsChild>
    </w:div>
    <w:div w:id="1630623358">
      <w:bodyDiv w:val="1"/>
      <w:marLeft w:val="0"/>
      <w:marRight w:val="0"/>
      <w:marTop w:val="0"/>
      <w:marBottom w:val="0"/>
      <w:divBdr>
        <w:top w:val="none" w:sz="0" w:space="0" w:color="auto"/>
        <w:left w:val="none" w:sz="0" w:space="0" w:color="auto"/>
        <w:bottom w:val="none" w:sz="0" w:space="0" w:color="auto"/>
        <w:right w:val="none" w:sz="0" w:space="0" w:color="auto"/>
      </w:divBdr>
      <w:divsChild>
        <w:div w:id="2071003280">
          <w:marLeft w:val="0"/>
          <w:marRight w:val="0"/>
          <w:marTop w:val="0"/>
          <w:marBottom w:val="0"/>
          <w:divBdr>
            <w:top w:val="none" w:sz="0" w:space="0" w:color="auto"/>
            <w:left w:val="none" w:sz="0" w:space="0" w:color="auto"/>
            <w:bottom w:val="none" w:sz="0" w:space="0" w:color="auto"/>
            <w:right w:val="none" w:sz="0" w:space="0" w:color="auto"/>
          </w:divBdr>
        </w:div>
      </w:divsChild>
    </w:div>
    <w:div w:id="1699156713">
      <w:bodyDiv w:val="1"/>
      <w:marLeft w:val="0"/>
      <w:marRight w:val="0"/>
      <w:marTop w:val="0"/>
      <w:marBottom w:val="0"/>
      <w:divBdr>
        <w:top w:val="none" w:sz="0" w:space="0" w:color="auto"/>
        <w:left w:val="none" w:sz="0" w:space="0" w:color="auto"/>
        <w:bottom w:val="none" w:sz="0" w:space="0" w:color="auto"/>
        <w:right w:val="none" w:sz="0" w:space="0" w:color="auto"/>
      </w:divBdr>
      <w:divsChild>
        <w:div w:id="437915878">
          <w:marLeft w:val="0"/>
          <w:marRight w:val="0"/>
          <w:marTop w:val="0"/>
          <w:marBottom w:val="0"/>
          <w:divBdr>
            <w:top w:val="none" w:sz="0" w:space="0" w:color="auto"/>
            <w:left w:val="none" w:sz="0" w:space="0" w:color="auto"/>
            <w:bottom w:val="none" w:sz="0" w:space="0" w:color="auto"/>
            <w:right w:val="none" w:sz="0" w:space="0" w:color="auto"/>
          </w:divBdr>
        </w:div>
      </w:divsChild>
    </w:div>
    <w:div w:id="1744989675">
      <w:bodyDiv w:val="1"/>
      <w:marLeft w:val="0"/>
      <w:marRight w:val="0"/>
      <w:marTop w:val="0"/>
      <w:marBottom w:val="0"/>
      <w:divBdr>
        <w:top w:val="none" w:sz="0" w:space="0" w:color="auto"/>
        <w:left w:val="none" w:sz="0" w:space="0" w:color="auto"/>
        <w:bottom w:val="none" w:sz="0" w:space="0" w:color="auto"/>
        <w:right w:val="none" w:sz="0" w:space="0" w:color="auto"/>
      </w:divBdr>
      <w:divsChild>
        <w:div w:id="364796290">
          <w:marLeft w:val="0"/>
          <w:marRight w:val="0"/>
          <w:marTop w:val="0"/>
          <w:marBottom w:val="0"/>
          <w:divBdr>
            <w:top w:val="none" w:sz="0" w:space="0" w:color="auto"/>
            <w:left w:val="none" w:sz="0" w:space="0" w:color="auto"/>
            <w:bottom w:val="none" w:sz="0" w:space="0" w:color="auto"/>
            <w:right w:val="none" w:sz="0" w:space="0" w:color="auto"/>
          </w:divBdr>
        </w:div>
      </w:divsChild>
    </w:div>
    <w:div w:id="1825583997">
      <w:bodyDiv w:val="1"/>
      <w:marLeft w:val="0"/>
      <w:marRight w:val="0"/>
      <w:marTop w:val="0"/>
      <w:marBottom w:val="0"/>
      <w:divBdr>
        <w:top w:val="none" w:sz="0" w:space="0" w:color="auto"/>
        <w:left w:val="none" w:sz="0" w:space="0" w:color="auto"/>
        <w:bottom w:val="none" w:sz="0" w:space="0" w:color="auto"/>
        <w:right w:val="none" w:sz="0" w:space="0" w:color="auto"/>
      </w:divBdr>
      <w:divsChild>
        <w:div w:id="1247301243">
          <w:marLeft w:val="0"/>
          <w:marRight w:val="0"/>
          <w:marTop w:val="0"/>
          <w:marBottom w:val="0"/>
          <w:divBdr>
            <w:top w:val="none" w:sz="0" w:space="0" w:color="auto"/>
            <w:left w:val="none" w:sz="0" w:space="0" w:color="auto"/>
            <w:bottom w:val="none" w:sz="0" w:space="0" w:color="auto"/>
            <w:right w:val="none" w:sz="0" w:space="0" w:color="auto"/>
          </w:divBdr>
        </w:div>
      </w:divsChild>
    </w:div>
    <w:div w:id="1874226785">
      <w:bodyDiv w:val="1"/>
      <w:marLeft w:val="0"/>
      <w:marRight w:val="0"/>
      <w:marTop w:val="0"/>
      <w:marBottom w:val="0"/>
      <w:divBdr>
        <w:top w:val="none" w:sz="0" w:space="0" w:color="auto"/>
        <w:left w:val="none" w:sz="0" w:space="0" w:color="auto"/>
        <w:bottom w:val="none" w:sz="0" w:space="0" w:color="auto"/>
        <w:right w:val="none" w:sz="0" w:space="0" w:color="auto"/>
      </w:divBdr>
      <w:divsChild>
        <w:div w:id="1050962837">
          <w:marLeft w:val="0"/>
          <w:marRight w:val="0"/>
          <w:marTop w:val="0"/>
          <w:marBottom w:val="0"/>
          <w:divBdr>
            <w:top w:val="none" w:sz="0" w:space="0" w:color="auto"/>
            <w:left w:val="none" w:sz="0" w:space="0" w:color="auto"/>
            <w:bottom w:val="none" w:sz="0" w:space="0" w:color="auto"/>
            <w:right w:val="none" w:sz="0" w:space="0" w:color="auto"/>
          </w:divBdr>
        </w:div>
      </w:divsChild>
    </w:div>
    <w:div w:id="1908801938">
      <w:bodyDiv w:val="1"/>
      <w:marLeft w:val="0"/>
      <w:marRight w:val="0"/>
      <w:marTop w:val="0"/>
      <w:marBottom w:val="0"/>
      <w:divBdr>
        <w:top w:val="none" w:sz="0" w:space="0" w:color="auto"/>
        <w:left w:val="none" w:sz="0" w:space="0" w:color="auto"/>
        <w:bottom w:val="none" w:sz="0" w:space="0" w:color="auto"/>
        <w:right w:val="none" w:sz="0" w:space="0" w:color="auto"/>
      </w:divBdr>
      <w:divsChild>
        <w:div w:id="398795243">
          <w:marLeft w:val="0"/>
          <w:marRight w:val="0"/>
          <w:marTop w:val="0"/>
          <w:marBottom w:val="0"/>
          <w:divBdr>
            <w:top w:val="none" w:sz="0" w:space="0" w:color="auto"/>
            <w:left w:val="none" w:sz="0" w:space="0" w:color="auto"/>
            <w:bottom w:val="none" w:sz="0" w:space="0" w:color="auto"/>
            <w:right w:val="none" w:sz="0" w:space="0" w:color="auto"/>
          </w:divBdr>
        </w:div>
      </w:divsChild>
    </w:div>
    <w:div w:id="2123453604">
      <w:bodyDiv w:val="1"/>
      <w:marLeft w:val="0"/>
      <w:marRight w:val="0"/>
      <w:marTop w:val="0"/>
      <w:marBottom w:val="0"/>
      <w:divBdr>
        <w:top w:val="none" w:sz="0" w:space="0" w:color="auto"/>
        <w:left w:val="none" w:sz="0" w:space="0" w:color="auto"/>
        <w:bottom w:val="none" w:sz="0" w:space="0" w:color="auto"/>
        <w:right w:val="none" w:sz="0" w:space="0" w:color="auto"/>
      </w:divBdr>
      <w:divsChild>
        <w:div w:id="163203331">
          <w:marLeft w:val="0"/>
          <w:marRight w:val="0"/>
          <w:marTop w:val="0"/>
          <w:marBottom w:val="0"/>
          <w:divBdr>
            <w:top w:val="none" w:sz="0" w:space="0" w:color="auto"/>
            <w:left w:val="none" w:sz="0" w:space="0" w:color="auto"/>
            <w:bottom w:val="none" w:sz="0" w:space="0" w:color="auto"/>
            <w:right w:val="none" w:sz="0" w:space="0" w:color="auto"/>
          </w:divBdr>
        </w:div>
        <w:div w:id="369257756">
          <w:marLeft w:val="0"/>
          <w:marRight w:val="0"/>
          <w:marTop w:val="0"/>
          <w:marBottom w:val="0"/>
          <w:divBdr>
            <w:top w:val="none" w:sz="0" w:space="0" w:color="auto"/>
            <w:left w:val="none" w:sz="0" w:space="0" w:color="auto"/>
            <w:bottom w:val="none" w:sz="0" w:space="0" w:color="auto"/>
            <w:right w:val="none" w:sz="0" w:space="0" w:color="auto"/>
          </w:divBdr>
        </w:div>
        <w:div w:id="17325822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9005</TotalTime>
  <Pages>13</Pages>
  <Words>5174</Words>
  <Characters>29497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34602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Dru Sutherland</dc:creator>
  <cp:lastModifiedBy>Dru Sutherland</cp:lastModifiedBy>
  <cp:revision>2</cp:revision>
  <dcterms:created xsi:type="dcterms:W3CDTF">2023-10-13T18:19:00Z</dcterms:created>
  <dcterms:modified xsi:type="dcterms:W3CDTF">2023-10-20T00:25:00Z</dcterms:modified>
</cp:coreProperties>
</file>