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70E781" w14:textId="6651F70F" w:rsidR="00B46D6C" w:rsidRPr="00555052" w:rsidRDefault="00CB29E5">
      <w:pPr>
        <w:rPr>
          <w:b/>
          <w:bCs/>
          <w:i/>
          <w:iCs/>
          <w:sz w:val="28"/>
          <w:szCs w:val="28"/>
          <w:u w:val="single"/>
        </w:rPr>
      </w:pPr>
      <w:r w:rsidRPr="00555052">
        <w:rPr>
          <w:b/>
          <w:bCs/>
          <w:i/>
          <w:iCs/>
          <w:sz w:val="28"/>
          <w:szCs w:val="28"/>
          <w:u w:val="single"/>
        </w:rPr>
        <w:t xml:space="preserve">What was the impact of the Yalta and Potsdam conferences on the balance of power in Europe? </w:t>
      </w:r>
    </w:p>
    <w:p w14:paraId="19B1DF14" w14:textId="3AFDF781" w:rsidR="00350556" w:rsidRDefault="00350556">
      <w:pPr>
        <w:rPr>
          <w:sz w:val="20"/>
          <w:szCs w:val="20"/>
        </w:rPr>
      </w:pPr>
    </w:p>
    <w:p w14:paraId="1A5C69BB" w14:textId="33F233FA" w:rsidR="00F62F2A" w:rsidRPr="00555052" w:rsidRDefault="00350556" w:rsidP="00555052">
      <w:pPr>
        <w:spacing w:line="360" w:lineRule="auto"/>
        <w:rPr>
          <w:sz w:val="20"/>
          <w:szCs w:val="20"/>
        </w:rPr>
      </w:pPr>
      <w:r w:rsidRPr="00555052">
        <w:rPr>
          <w:sz w:val="20"/>
          <w:szCs w:val="20"/>
        </w:rPr>
        <w:t>This essay will combine a summary of the Yalta and Potsdam conferences and other supporting sources to give an overview of their effect on the balance of power in Europe. The politics and actions of the United States of America (USA) and the Union of Soviet Socialist Republics (USSR) will provide the main lens through which to view that change of balance. These conference were not the only factors in those changes but they offer scholars and general readers clear points of reference in understanding the Cold War and with it, changes in European &amp; global politics. Post-WWII evolutions are still unfolding in the 21</w:t>
      </w:r>
      <w:r w:rsidRPr="00555052">
        <w:rPr>
          <w:sz w:val="20"/>
          <w:szCs w:val="20"/>
          <w:vertAlign w:val="superscript"/>
        </w:rPr>
        <w:t>st</w:t>
      </w:r>
      <w:r w:rsidRPr="00555052">
        <w:rPr>
          <w:sz w:val="20"/>
          <w:szCs w:val="20"/>
        </w:rPr>
        <w:t xml:space="preserve"> century</w:t>
      </w:r>
      <w:r w:rsidR="00F62F2A" w:rsidRPr="00555052">
        <w:rPr>
          <w:sz w:val="20"/>
          <w:szCs w:val="20"/>
        </w:rPr>
        <w:t>.</w:t>
      </w:r>
      <w:r w:rsidRPr="00555052">
        <w:rPr>
          <w:sz w:val="20"/>
          <w:szCs w:val="20"/>
        </w:rPr>
        <w:t xml:space="preserve"> </w:t>
      </w:r>
      <w:r w:rsidR="00F62F2A" w:rsidRPr="00555052">
        <w:rPr>
          <w:sz w:val="20"/>
          <w:szCs w:val="20"/>
        </w:rPr>
        <w:t>T</w:t>
      </w:r>
      <w:r w:rsidRPr="00555052">
        <w:rPr>
          <w:sz w:val="20"/>
          <w:szCs w:val="20"/>
        </w:rPr>
        <w:t xml:space="preserve">herefore the reader should be aware </w:t>
      </w:r>
      <w:r w:rsidR="00F62F2A" w:rsidRPr="00555052">
        <w:rPr>
          <w:sz w:val="20"/>
          <w:szCs w:val="20"/>
        </w:rPr>
        <w:t xml:space="preserve">that the scope of this essay </w:t>
      </w:r>
      <w:r w:rsidR="00C90BAB" w:rsidRPr="00555052">
        <w:rPr>
          <w:sz w:val="20"/>
          <w:szCs w:val="20"/>
        </w:rPr>
        <w:t>will</w:t>
      </w:r>
      <w:r w:rsidR="00F62F2A" w:rsidRPr="00555052">
        <w:rPr>
          <w:sz w:val="20"/>
          <w:szCs w:val="20"/>
        </w:rPr>
        <w:t xml:space="preserve"> offer select evidence of changes. </w:t>
      </w:r>
    </w:p>
    <w:p w14:paraId="163F4600" w14:textId="6F4ABC06" w:rsidR="00F62F2A" w:rsidRPr="00555052" w:rsidRDefault="00F62F2A" w:rsidP="00555052">
      <w:pPr>
        <w:spacing w:line="360" w:lineRule="auto"/>
        <w:rPr>
          <w:sz w:val="20"/>
          <w:szCs w:val="20"/>
        </w:rPr>
      </w:pPr>
      <w:r w:rsidRPr="00555052">
        <w:rPr>
          <w:sz w:val="20"/>
          <w:szCs w:val="20"/>
        </w:rPr>
        <w:t>Study of the Cold War can be divided into many themes. containment, expansion, economic ideologies and the threat of nuclear war are</w:t>
      </w:r>
      <w:r w:rsidR="00B23866" w:rsidRPr="00555052">
        <w:rPr>
          <w:sz w:val="20"/>
          <w:szCs w:val="20"/>
        </w:rPr>
        <w:t xml:space="preserve"> common references</w:t>
      </w:r>
      <w:r w:rsidR="00B23866" w:rsidRPr="00555052">
        <w:rPr>
          <w:rStyle w:val="FootnoteReference"/>
          <w:sz w:val="20"/>
          <w:szCs w:val="20"/>
        </w:rPr>
        <w:footnoteReference w:id="1"/>
      </w:r>
      <w:r w:rsidR="00B23866" w:rsidRPr="00555052">
        <w:rPr>
          <w:sz w:val="20"/>
          <w:szCs w:val="20"/>
        </w:rPr>
        <w:t>. This essay will not give exclusive focus on one particular theme, rather demonstrate general narratives between the Grand Alliance, particularly the distrust and unease of that relationship in the aftermath of WWII.</w:t>
      </w:r>
      <w:r w:rsidR="00DF49CD">
        <w:rPr>
          <w:sz w:val="20"/>
          <w:szCs w:val="20"/>
        </w:rPr>
        <w:t xml:space="preserve"> To dicuss the change in power, it will first be neccesary to set the contexual scene of the Second World War, then extract important details of the two conferences in order to conclude on the shift in the balance of power. As will be demonstrated, the balance of power in Europe, under the spectre of established superpowers shifted due to the declarations presented in this essay.</w:t>
      </w:r>
    </w:p>
    <w:p w14:paraId="6511EC96" w14:textId="2B45B3DD" w:rsidR="0087364B" w:rsidRPr="00555052" w:rsidRDefault="00563A5D" w:rsidP="00555052">
      <w:pPr>
        <w:spacing w:line="360" w:lineRule="auto"/>
        <w:rPr>
          <w:sz w:val="20"/>
          <w:szCs w:val="20"/>
        </w:rPr>
      </w:pPr>
      <w:r w:rsidRPr="00555052">
        <w:rPr>
          <w:sz w:val="20"/>
          <w:szCs w:val="20"/>
        </w:rPr>
        <w:t xml:space="preserve">The emergence of an alliance between the Soviet and Anglo-American forces was forged in tandem with </w:t>
      </w:r>
      <w:bookmarkStart w:id="0" w:name="_Hlk151039853"/>
      <w:r w:rsidR="0087364B" w:rsidRPr="00555052">
        <w:rPr>
          <w:sz w:val="20"/>
          <w:szCs w:val="20"/>
        </w:rPr>
        <w:t>their different outlooks and approaches. ‘Every principle of the Anglo-Saxon democracies was contradcited by the soviet system’</w:t>
      </w:r>
      <w:r w:rsidR="0087364B" w:rsidRPr="00555052">
        <w:rPr>
          <w:rStyle w:val="FootnoteReference"/>
          <w:sz w:val="20"/>
          <w:szCs w:val="20"/>
        </w:rPr>
        <w:footnoteReference w:id="2"/>
      </w:r>
      <w:r w:rsidR="0087364B" w:rsidRPr="00555052">
        <w:rPr>
          <w:sz w:val="20"/>
          <w:szCs w:val="20"/>
        </w:rPr>
        <w:t>. Distrust and unease defined the alliance, but a common goal in sight allowed for joint and decisive action.</w:t>
      </w:r>
      <w:r w:rsidR="00EF3931" w:rsidRPr="00555052">
        <w:rPr>
          <w:sz w:val="20"/>
          <w:szCs w:val="20"/>
        </w:rPr>
        <w:t xml:space="preserve"> </w:t>
      </w:r>
      <w:r w:rsidRPr="00555052">
        <w:rPr>
          <w:sz w:val="20"/>
          <w:szCs w:val="20"/>
        </w:rPr>
        <w:t xml:space="preserve">By the </w:t>
      </w:r>
      <w:r w:rsidR="00EF3931" w:rsidRPr="00555052">
        <w:rPr>
          <w:sz w:val="20"/>
          <w:szCs w:val="20"/>
        </w:rPr>
        <w:t>february</w:t>
      </w:r>
      <w:r w:rsidRPr="00555052">
        <w:rPr>
          <w:sz w:val="20"/>
          <w:szCs w:val="20"/>
        </w:rPr>
        <w:t xml:space="preserve"> 1945, </w:t>
      </w:r>
      <w:r w:rsidR="00FD7E82">
        <w:rPr>
          <w:sz w:val="20"/>
          <w:szCs w:val="20"/>
        </w:rPr>
        <w:t>m</w:t>
      </w:r>
      <w:r w:rsidRPr="00555052">
        <w:rPr>
          <w:sz w:val="20"/>
          <w:szCs w:val="20"/>
        </w:rPr>
        <w:t>uch damage had been inflicted on nations, peoples, economies and ideologies. The defeat of Hitler was in sight, brought forward by the collabarative efforts of Soviet, British and American military force.</w:t>
      </w:r>
      <w:r w:rsidR="0087364B" w:rsidRPr="00555052">
        <w:rPr>
          <w:sz w:val="20"/>
          <w:szCs w:val="20"/>
        </w:rPr>
        <w:t xml:space="preserve"> Norman Davies in </w:t>
      </w:r>
      <w:r w:rsidR="0087364B" w:rsidRPr="00555052">
        <w:rPr>
          <w:i/>
          <w:iCs/>
          <w:sz w:val="20"/>
          <w:szCs w:val="20"/>
        </w:rPr>
        <w:t>Europe: A History</w:t>
      </w:r>
      <w:r w:rsidR="0087364B" w:rsidRPr="00555052">
        <w:rPr>
          <w:sz w:val="20"/>
          <w:szCs w:val="20"/>
        </w:rPr>
        <w:t xml:space="preserve"> </w:t>
      </w:r>
      <w:r w:rsidR="00B1417D" w:rsidRPr="00555052">
        <w:rPr>
          <w:sz w:val="20"/>
          <w:szCs w:val="20"/>
        </w:rPr>
        <w:t>describes the collaboration in effect:</w:t>
      </w:r>
    </w:p>
    <w:p w14:paraId="47CE21BE" w14:textId="7151FF8F" w:rsidR="00B1417D" w:rsidRPr="00555052" w:rsidRDefault="00B1417D" w:rsidP="00555052">
      <w:pPr>
        <w:spacing w:line="360" w:lineRule="auto"/>
        <w:ind w:left="720"/>
        <w:rPr>
          <w:sz w:val="20"/>
          <w:szCs w:val="20"/>
        </w:rPr>
      </w:pPr>
      <w:r w:rsidRPr="00555052">
        <w:rPr>
          <w:sz w:val="20"/>
          <w:szCs w:val="20"/>
        </w:rPr>
        <w:t>“From mid-1943 the Grand Alliance held the upper hand in almost every sphere. The Reich, though fighting hard, was under siege. The soviets held the initiative on land. The Anglo-Americans held mastery of sea and air. The combined resources of American industrial strength, of Russian manpower, and of the British Empire could not be matched by Hitler’s shrinking realm.”</w:t>
      </w:r>
      <w:r w:rsidRPr="00555052">
        <w:rPr>
          <w:rStyle w:val="FootnoteReference"/>
          <w:sz w:val="20"/>
          <w:szCs w:val="20"/>
        </w:rPr>
        <w:footnoteReference w:id="3"/>
      </w:r>
    </w:p>
    <w:p w14:paraId="0A248BB0" w14:textId="40C0ADD5" w:rsidR="00EF3931" w:rsidRPr="00555052" w:rsidRDefault="00563A5D" w:rsidP="00555052">
      <w:pPr>
        <w:spacing w:line="360" w:lineRule="auto"/>
        <w:rPr>
          <w:sz w:val="20"/>
          <w:szCs w:val="20"/>
        </w:rPr>
      </w:pPr>
      <w:r w:rsidRPr="00555052">
        <w:rPr>
          <w:sz w:val="20"/>
          <w:szCs w:val="20"/>
        </w:rPr>
        <w:t>There remained however, differences in the vision for post-war Europe, and the challenges that would come with it.</w:t>
      </w:r>
      <w:r w:rsidR="00803FAC" w:rsidRPr="00555052">
        <w:rPr>
          <w:sz w:val="20"/>
          <w:szCs w:val="20"/>
        </w:rPr>
        <w:t xml:space="preserve"> Those very differences are what brought these powers together in Yalta (Crimea) for a conference </w:t>
      </w:r>
      <w:r w:rsidR="00803FAC" w:rsidRPr="00555052">
        <w:rPr>
          <w:sz w:val="20"/>
          <w:szCs w:val="20"/>
        </w:rPr>
        <w:lastRenderedPageBreak/>
        <w:t>designed to iron out particular military and economic topics</w:t>
      </w:r>
      <w:r w:rsidR="00803FAC" w:rsidRPr="00555052">
        <w:rPr>
          <w:rStyle w:val="FootnoteReference"/>
          <w:sz w:val="20"/>
          <w:szCs w:val="20"/>
        </w:rPr>
        <w:footnoteReference w:id="4"/>
      </w:r>
      <w:r w:rsidR="00803FAC" w:rsidRPr="00555052">
        <w:rPr>
          <w:rStyle w:val="FootnoteReference"/>
          <w:sz w:val="20"/>
          <w:szCs w:val="20"/>
        </w:rPr>
        <w:footnoteReference w:id="5"/>
      </w:r>
      <w:r w:rsidR="00803FAC" w:rsidRPr="00555052">
        <w:rPr>
          <w:sz w:val="20"/>
          <w:szCs w:val="20"/>
        </w:rPr>
        <w:t xml:space="preserve">. The conference was held on February 11, 1945, with President </w:t>
      </w:r>
      <w:r w:rsidR="00ED7D93" w:rsidRPr="00555052">
        <w:rPr>
          <w:sz w:val="20"/>
          <w:szCs w:val="20"/>
        </w:rPr>
        <w:t xml:space="preserve">Franklin D. Roosevelt </w:t>
      </w:r>
      <w:r w:rsidR="00803FAC" w:rsidRPr="00555052">
        <w:rPr>
          <w:sz w:val="20"/>
          <w:szCs w:val="20"/>
        </w:rPr>
        <w:t>, Prime Minister Winston Churchill and General</w:t>
      </w:r>
      <w:r w:rsidR="00ED7D93" w:rsidRPr="00555052">
        <w:rPr>
          <w:sz w:val="20"/>
          <w:szCs w:val="20"/>
        </w:rPr>
        <w:t xml:space="preserve"> Secretary</w:t>
      </w:r>
      <w:r w:rsidR="00803FAC" w:rsidRPr="00555052">
        <w:rPr>
          <w:sz w:val="20"/>
          <w:szCs w:val="20"/>
        </w:rPr>
        <w:t xml:space="preserve"> </w:t>
      </w:r>
      <w:r w:rsidR="00ED7D93" w:rsidRPr="00555052">
        <w:rPr>
          <w:sz w:val="20"/>
          <w:szCs w:val="20"/>
        </w:rPr>
        <w:t xml:space="preserve">Joseph </w:t>
      </w:r>
      <w:r w:rsidR="00803FAC" w:rsidRPr="00555052">
        <w:rPr>
          <w:sz w:val="20"/>
          <w:szCs w:val="20"/>
        </w:rPr>
        <w:t>Stalin in discussion</w:t>
      </w:r>
      <w:r w:rsidR="00803FAC" w:rsidRPr="00555052">
        <w:rPr>
          <w:rStyle w:val="FootnoteReference"/>
          <w:sz w:val="20"/>
          <w:szCs w:val="20"/>
        </w:rPr>
        <w:footnoteReference w:id="6"/>
      </w:r>
      <w:r w:rsidR="00EF3931" w:rsidRPr="00555052">
        <w:rPr>
          <w:sz w:val="20"/>
          <w:szCs w:val="20"/>
        </w:rPr>
        <w:t>. Listed below are the subtitles that were discussed in the conference:</w:t>
      </w:r>
    </w:p>
    <w:p w14:paraId="2BCACDB9" w14:textId="77777777" w:rsidR="00EF3931" w:rsidRPr="00555052" w:rsidRDefault="00EF3931" w:rsidP="00555052">
      <w:pPr>
        <w:pStyle w:val="ListParagraph"/>
        <w:numPr>
          <w:ilvl w:val="0"/>
          <w:numId w:val="5"/>
        </w:numPr>
        <w:spacing w:line="360" w:lineRule="auto"/>
        <w:rPr>
          <w:sz w:val="20"/>
          <w:szCs w:val="20"/>
        </w:rPr>
      </w:pPr>
      <w:r w:rsidRPr="00555052">
        <w:rPr>
          <w:sz w:val="20"/>
          <w:szCs w:val="20"/>
        </w:rPr>
        <w:t>World Organisation</w:t>
      </w:r>
    </w:p>
    <w:p w14:paraId="15555D0E" w14:textId="718A5428" w:rsidR="00563A5D" w:rsidRPr="00555052" w:rsidRDefault="00EF3931" w:rsidP="00555052">
      <w:pPr>
        <w:pStyle w:val="ListParagraph"/>
        <w:numPr>
          <w:ilvl w:val="0"/>
          <w:numId w:val="5"/>
        </w:numPr>
        <w:spacing w:line="360" w:lineRule="auto"/>
        <w:rPr>
          <w:sz w:val="20"/>
          <w:szCs w:val="20"/>
        </w:rPr>
      </w:pPr>
      <w:r w:rsidRPr="00555052">
        <w:rPr>
          <w:sz w:val="20"/>
          <w:szCs w:val="20"/>
        </w:rPr>
        <w:t xml:space="preserve">Declaration of Liberated Europe </w:t>
      </w:r>
    </w:p>
    <w:p w14:paraId="117D91F5" w14:textId="2C283412" w:rsidR="00EF3931" w:rsidRPr="00555052" w:rsidRDefault="00EF3931" w:rsidP="00555052">
      <w:pPr>
        <w:pStyle w:val="ListParagraph"/>
        <w:numPr>
          <w:ilvl w:val="0"/>
          <w:numId w:val="5"/>
        </w:numPr>
        <w:spacing w:line="360" w:lineRule="auto"/>
        <w:rPr>
          <w:sz w:val="20"/>
          <w:szCs w:val="20"/>
        </w:rPr>
      </w:pPr>
      <w:r w:rsidRPr="00555052">
        <w:rPr>
          <w:sz w:val="20"/>
          <w:szCs w:val="20"/>
        </w:rPr>
        <w:t>Dismemberment of Germany</w:t>
      </w:r>
    </w:p>
    <w:p w14:paraId="61DA894D" w14:textId="2A50C974" w:rsidR="00EF3931" w:rsidRPr="00555052" w:rsidRDefault="00EF3931" w:rsidP="00555052">
      <w:pPr>
        <w:pStyle w:val="ListParagraph"/>
        <w:numPr>
          <w:ilvl w:val="0"/>
          <w:numId w:val="5"/>
        </w:numPr>
        <w:spacing w:line="360" w:lineRule="auto"/>
        <w:rPr>
          <w:sz w:val="20"/>
          <w:szCs w:val="20"/>
        </w:rPr>
      </w:pPr>
      <w:r w:rsidRPr="00555052">
        <w:rPr>
          <w:sz w:val="20"/>
          <w:szCs w:val="20"/>
        </w:rPr>
        <w:t>Zone of Occupation for the French and Control Council for Germany</w:t>
      </w:r>
    </w:p>
    <w:p w14:paraId="24A71A55" w14:textId="63E4BB3D" w:rsidR="00EF3931" w:rsidRPr="00555052" w:rsidRDefault="00EF3931" w:rsidP="00555052">
      <w:pPr>
        <w:pStyle w:val="ListParagraph"/>
        <w:numPr>
          <w:ilvl w:val="0"/>
          <w:numId w:val="5"/>
        </w:numPr>
        <w:spacing w:line="360" w:lineRule="auto"/>
        <w:rPr>
          <w:sz w:val="20"/>
          <w:szCs w:val="20"/>
        </w:rPr>
      </w:pPr>
      <w:r w:rsidRPr="00555052">
        <w:rPr>
          <w:sz w:val="20"/>
          <w:szCs w:val="20"/>
        </w:rPr>
        <w:t>Reparation</w:t>
      </w:r>
    </w:p>
    <w:p w14:paraId="0077313B" w14:textId="203A9C57" w:rsidR="00EF3931" w:rsidRPr="00555052" w:rsidRDefault="00EF3931" w:rsidP="00555052">
      <w:pPr>
        <w:pStyle w:val="ListParagraph"/>
        <w:numPr>
          <w:ilvl w:val="0"/>
          <w:numId w:val="5"/>
        </w:numPr>
        <w:spacing w:line="360" w:lineRule="auto"/>
        <w:rPr>
          <w:sz w:val="20"/>
          <w:szCs w:val="20"/>
        </w:rPr>
      </w:pPr>
      <w:r w:rsidRPr="00555052">
        <w:rPr>
          <w:sz w:val="20"/>
          <w:szCs w:val="20"/>
        </w:rPr>
        <w:t>Major War Criminals</w:t>
      </w:r>
    </w:p>
    <w:p w14:paraId="06E1F436" w14:textId="390B59AF" w:rsidR="00EF3931" w:rsidRPr="00555052" w:rsidRDefault="00EF3931" w:rsidP="00555052">
      <w:pPr>
        <w:pStyle w:val="ListParagraph"/>
        <w:numPr>
          <w:ilvl w:val="0"/>
          <w:numId w:val="5"/>
        </w:numPr>
        <w:spacing w:line="360" w:lineRule="auto"/>
        <w:rPr>
          <w:sz w:val="20"/>
          <w:szCs w:val="20"/>
        </w:rPr>
      </w:pPr>
      <w:r w:rsidRPr="00555052">
        <w:rPr>
          <w:sz w:val="20"/>
          <w:szCs w:val="20"/>
        </w:rPr>
        <w:t>Poland</w:t>
      </w:r>
    </w:p>
    <w:p w14:paraId="57C41069" w14:textId="6B98645A" w:rsidR="00EF3931" w:rsidRPr="00555052" w:rsidRDefault="00EF3931" w:rsidP="00555052">
      <w:pPr>
        <w:pStyle w:val="ListParagraph"/>
        <w:numPr>
          <w:ilvl w:val="0"/>
          <w:numId w:val="5"/>
        </w:numPr>
        <w:spacing w:line="360" w:lineRule="auto"/>
        <w:rPr>
          <w:sz w:val="20"/>
          <w:szCs w:val="20"/>
        </w:rPr>
      </w:pPr>
      <w:r w:rsidRPr="00555052">
        <w:rPr>
          <w:sz w:val="20"/>
          <w:szCs w:val="20"/>
        </w:rPr>
        <w:t>Yugoslavia</w:t>
      </w:r>
    </w:p>
    <w:p w14:paraId="79B6C47A" w14:textId="075A090D" w:rsidR="00EF3931" w:rsidRPr="00555052" w:rsidRDefault="00EF3931" w:rsidP="00555052">
      <w:pPr>
        <w:pStyle w:val="ListParagraph"/>
        <w:numPr>
          <w:ilvl w:val="0"/>
          <w:numId w:val="5"/>
        </w:numPr>
        <w:spacing w:line="360" w:lineRule="auto"/>
        <w:rPr>
          <w:sz w:val="20"/>
          <w:szCs w:val="20"/>
          <w:lang w:val="es-ES"/>
        </w:rPr>
      </w:pPr>
      <w:r w:rsidRPr="00555052">
        <w:rPr>
          <w:sz w:val="20"/>
          <w:szCs w:val="20"/>
          <w:lang w:val="es-ES"/>
        </w:rPr>
        <w:t>Italo-Y</w:t>
      </w:r>
      <w:r w:rsidR="00F8208B">
        <w:rPr>
          <w:sz w:val="20"/>
          <w:szCs w:val="20"/>
          <w:lang w:val="es-ES"/>
        </w:rPr>
        <w:t>u</w:t>
      </w:r>
      <w:r w:rsidRPr="00555052">
        <w:rPr>
          <w:sz w:val="20"/>
          <w:szCs w:val="20"/>
          <w:lang w:val="es-ES"/>
        </w:rPr>
        <w:t>goslav Frontier --- Italo-A</w:t>
      </w:r>
      <w:r w:rsidR="00F8208B">
        <w:rPr>
          <w:sz w:val="20"/>
          <w:szCs w:val="20"/>
          <w:lang w:val="es-ES"/>
        </w:rPr>
        <w:t>us</w:t>
      </w:r>
      <w:r w:rsidRPr="00555052">
        <w:rPr>
          <w:sz w:val="20"/>
          <w:szCs w:val="20"/>
          <w:lang w:val="es-ES"/>
        </w:rPr>
        <w:t>trian Frontier</w:t>
      </w:r>
    </w:p>
    <w:p w14:paraId="738E6518" w14:textId="33D7FDD5" w:rsidR="00EF3931" w:rsidRPr="00555052" w:rsidRDefault="00EF3931" w:rsidP="00555052">
      <w:pPr>
        <w:pStyle w:val="ListParagraph"/>
        <w:numPr>
          <w:ilvl w:val="0"/>
          <w:numId w:val="5"/>
        </w:numPr>
        <w:spacing w:line="360" w:lineRule="auto"/>
        <w:rPr>
          <w:sz w:val="20"/>
          <w:szCs w:val="20"/>
          <w:lang w:val="es-ES"/>
        </w:rPr>
      </w:pPr>
      <w:r w:rsidRPr="00555052">
        <w:rPr>
          <w:sz w:val="20"/>
          <w:szCs w:val="20"/>
          <w:lang w:val="es-ES"/>
        </w:rPr>
        <w:t>Yugoslav-Bulgarian Relations</w:t>
      </w:r>
    </w:p>
    <w:p w14:paraId="0D34A92D" w14:textId="78ADA8FD" w:rsidR="00EF3931" w:rsidRPr="00555052" w:rsidRDefault="00EF3931" w:rsidP="00555052">
      <w:pPr>
        <w:pStyle w:val="ListParagraph"/>
        <w:numPr>
          <w:ilvl w:val="0"/>
          <w:numId w:val="5"/>
        </w:numPr>
        <w:spacing w:line="360" w:lineRule="auto"/>
        <w:rPr>
          <w:sz w:val="20"/>
          <w:szCs w:val="20"/>
          <w:lang w:val="es-ES"/>
        </w:rPr>
      </w:pPr>
      <w:r w:rsidRPr="00555052">
        <w:rPr>
          <w:sz w:val="20"/>
          <w:szCs w:val="20"/>
          <w:lang w:val="es-ES"/>
        </w:rPr>
        <w:t>Southeastern Europe</w:t>
      </w:r>
    </w:p>
    <w:p w14:paraId="58179B01" w14:textId="6772A616" w:rsidR="00EF3931" w:rsidRPr="00555052" w:rsidRDefault="00EF3931" w:rsidP="00555052">
      <w:pPr>
        <w:pStyle w:val="ListParagraph"/>
        <w:numPr>
          <w:ilvl w:val="0"/>
          <w:numId w:val="5"/>
        </w:numPr>
        <w:spacing w:line="360" w:lineRule="auto"/>
        <w:rPr>
          <w:sz w:val="20"/>
          <w:szCs w:val="20"/>
          <w:lang w:val="es-ES"/>
        </w:rPr>
      </w:pPr>
      <w:r w:rsidRPr="00555052">
        <w:rPr>
          <w:sz w:val="20"/>
          <w:szCs w:val="20"/>
          <w:lang w:val="es-ES"/>
        </w:rPr>
        <w:t>Iran</w:t>
      </w:r>
    </w:p>
    <w:p w14:paraId="0DBB7CD0" w14:textId="1C296464" w:rsidR="00EF3931" w:rsidRPr="00555052" w:rsidRDefault="00EF3931" w:rsidP="00555052">
      <w:pPr>
        <w:pStyle w:val="ListParagraph"/>
        <w:numPr>
          <w:ilvl w:val="0"/>
          <w:numId w:val="5"/>
        </w:numPr>
        <w:spacing w:line="360" w:lineRule="auto"/>
        <w:rPr>
          <w:sz w:val="20"/>
          <w:szCs w:val="20"/>
        </w:rPr>
      </w:pPr>
      <w:r w:rsidRPr="00555052">
        <w:rPr>
          <w:sz w:val="20"/>
          <w:szCs w:val="20"/>
        </w:rPr>
        <w:t>Meetings of the Three Foreign Secrataries</w:t>
      </w:r>
    </w:p>
    <w:p w14:paraId="590EB5EB" w14:textId="12F21585" w:rsidR="00EF3931" w:rsidRPr="00555052" w:rsidRDefault="00EF3931" w:rsidP="00555052">
      <w:pPr>
        <w:pStyle w:val="ListParagraph"/>
        <w:numPr>
          <w:ilvl w:val="0"/>
          <w:numId w:val="5"/>
        </w:numPr>
        <w:spacing w:line="360" w:lineRule="auto"/>
        <w:rPr>
          <w:sz w:val="20"/>
          <w:szCs w:val="20"/>
        </w:rPr>
      </w:pPr>
      <w:r w:rsidRPr="00555052">
        <w:rPr>
          <w:sz w:val="20"/>
          <w:szCs w:val="20"/>
        </w:rPr>
        <w:t>The Montreaux Convention and the Straits</w:t>
      </w:r>
    </w:p>
    <w:p w14:paraId="13093137" w14:textId="4DEB5A35" w:rsidR="00EF3931" w:rsidRPr="00555052" w:rsidRDefault="00EF3931" w:rsidP="00555052">
      <w:pPr>
        <w:pStyle w:val="ListParagraph"/>
        <w:numPr>
          <w:ilvl w:val="0"/>
          <w:numId w:val="5"/>
        </w:numPr>
        <w:spacing w:line="360" w:lineRule="auto"/>
        <w:rPr>
          <w:sz w:val="20"/>
          <w:szCs w:val="20"/>
        </w:rPr>
      </w:pPr>
      <w:r w:rsidRPr="00555052">
        <w:rPr>
          <w:sz w:val="20"/>
          <w:szCs w:val="20"/>
        </w:rPr>
        <w:t>Agreement Regarding Japan</w:t>
      </w:r>
    </w:p>
    <w:p w14:paraId="14524D32" w14:textId="34A0AD79" w:rsidR="00EF3931" w:rsidRPr="00555052" w:rsidRDefault="006A41A2" w:rsidP="00555052">
      <w:pPr>
        <w:spacing w:line="360" w:lineRule="auto"/>
        <w:rPr>
          <w:sz w:val="20"/>
          <w:szCs w:val="20"/>
        </w:rPr>
      </w:pPr>
      <w:r w:rsidRPr="00555052">
        <w:rPr>
          <w:sz w:val="20"/>
          <w:szCs w:val="20"/>
        </w:rPr>
        <w:t>Although this essay does not touch upon each individua</w:t>
      </w:r>
      <w:r w:rsidR="00EF3931" w:rsidRPr="00555052">
        <w:rPr>
          <w:sz w:val="20"/>
          <w:szCs w:val="20"/>
        </w:rPr>
        <w:t>I</w:t>
      </w:r>
      <w:r w:rsidRPr="00555052">
        <w:rPr>
          <w:sz w:val="20"/>
          <w:szCs w:val="20"/>
        </w:rPr>
        <w:t xml:space="preserve"> topic,</w:t>
      </w:r>
      <w:r w:rsidR="00EF3931" w:rsidRPr="00555052">
        <w:rPr>
          <w:sz w:val="20"/>
          <w:szCs w:val="20"/>
        </w:rPr>
        <w:t xml:space="preserve"> </w:t>
      </w:r>
      <w:r w:rsidRPr="00555052">
        <w:rPr>
          <w:sz w:val="20"/>
          <w:szCs w:val="20"/>
        </w:rPr>
        <w:t>there</w:t>
      </w:r>
      <w:r w:rsidR="00EF3931" w:rsidRPr="00555052">
        <w:rPr>
          <w:sz w:val="20"/>
          <w:szCs w:val="20"/>
        </w:rPr>
        <w:t xml:space="preserve"> </w:t>
      </w:r>
      <w:r w:rsidRPr="00555052">
        <w:rPr>
          <w:sz w:val="20"/>
          <w:szCs w:val="20"/>
        </w:rPr>
        <w:t xml:space="preserve">is </w:t>
      </w:r>
      <w:r w:rsidR="00EF3931" w:rsidRPr="00555052">
        <w:rPr>
          <w:sz w:val="20"/>
          <w:szCs w:val="20"/>
        </w:rPr>
        <w:t>included all points of discussion in the Yalta Conference</w:t>
      </w:r>
      <w:r w:rsidRPr="00555052">
        <w:rPr>
          <w:sz w:val="20"/>
          <w:szCs w:val="20"/>
        </w:rPr>
        <w:t xml:space="preserve"> for a few reasons.</w:t>
      </w:r>
      <w:r w:rsidR="00EF3931" w:rsidRPr="00555052">
        <w:rPr>
          <w:sz w:val="20"/>
          <w:szCs w:val="20"/>
        </w:rPr>
        <w:t xml:space="preserve"> </w:t>
      </w:r>
      <w:r w:rsidRPr="00555052">
        <w:rPr>
          <w:sz w:val="20"/>
          <w:szCs w:val="20"/>
        </w:rPr>
        <w:t>F</w:t>
      </w:r>
      <w:r w:rsidR="00EF3931" w:rsidRPr="00555052">
        <w:rPr>
          <w:sz w:val="20"/>
          <w:szCs w:val="20"/>
        </w:rPr>
        <w:t xml:space="preserve">irstly, to give a clear overview of the </w:t>
      </w:r>
      <w:r w:rsidRPr="00555052">
        <w:rPr>
          <w:sz w:val="20"/>
          <w:szCs w:val="20"/>
        </w:rPr>
        <w:t xml:space="preserve">issues that the Allied forces felt were most pressing at the time, requiring negotiation. The second reason is for those readers who are interested in any of these particular points, so that they can return to the relevant sections. As this essay is concerned with the changes in the balance of power, it is important to appreciate the geographical and ideological </w:t>
      </w:r>
      <w:r w:rsidR="009347E7" w:rsidRPr="00555052">
        <w:rPr>
          <w:sz w:val="20"/>
          <w:szCs w:val="20"/>
        </w:rPr>
        <w:t>context</w:t>
      </w:r>
      <w:r w:rsidRPr="00555052">
        <w:rPr>
          <w:sz w:val="20"/>
          <w:szCs w:val="20"/>
        </w:rPr>
        <w:t xml:space="preserve"> of which this and other conferences were concerned.</w:t>
      </w:r>
      <w:r w:rsidR="009347E7" w:rsidRPr="00555052">
        <w:rPr>
          <w:sz w:val="20"/>
          <w:szCs w:val="20"/>
        </w:rPr>
        <w:t xml:space="preserve"> </w:t>
      </w:r>
    </w:p>
    <w:p w14:paraId="7CD63917" w14:textId="076CD1F9" w:rsidR="00FE351A" w:rsidRPr="00555052" w:rsidRDefault="009347E7" w:rsidP="00555052">
      <w:pPr>
        <w:spacing w:before="240" w:line="360" w:lineRule="auto"/>
        <w:rPr>
          <w:i/>
          <w:iCs/>
          <w:sz w:val="20"/>
          <w:szCs w:val="20"/>
        </w:rPr>
      </w:pPr>
      <w:r w:rsidRPr="00555052">
        <w:rPr>
          <w:sz w:val="20"/>
          <w:szCs w:val="20"/>
        </w:rPr>
        <w:t>The Potsdam conference, July 17-August 2, 1945</w:t>
      </w:r>
      <w:r w:rsidR="00A87A25" w:rsidRPr="00555052">
        <w:rPr>
          <w:rStyle w:val="FootnoteReference"/>
          <w:sz w:val="20"/>
          <w:szCs w:val="20"/>
        </w:rPr>
        <w:footnoteReference w:id="7"/>
      </w:r>
      <w:r w:rsidRPr="00555052">
        <w:rPr>
          <w:sz w:val="20"/>
          <w:szCs w:val="20"/>
        </w:rPr>
        <w:t xml:space="preserve">, was similar in many respects. </w:t>
      </w:r>
      <w:r w:rsidR="00A87A25" w:rsidRPr="00555052">
        <w:rPr>
          <w:sz w:val="20"/>
          <w:szCs w:val="20"/>
        </w:rPr>
        <w:t>May 1945 saw the downfall of Nazi Germany</w:t>
      </w:r>
      <w:r w:rsidR="00A87A25" w:rsidRPr="00555052">
        <w:rPr>
          <w:rStyle w:val="FootnoteReference"/>
          <w:sz w:val="20"/>
          <w:szCs w:val="20"/>
        </w:rPr>
        <w:footnoteReference w:id="8"/>
      </w:r>
      <w:r w:rsidR="00A87A25" w:rsidRPr="00555052">
        <w:rPr>
          <w:sz w:val="20"/>
          <w:szCs w:val="20"/>
        </w:rPr>
        <w:t>, allowing the Grand Alliance to develop</w:t>
      </w:r>
      <w:r w:rsidR="004A544C" w:rsidRPr="00555052">
        <w:rPr>
          <w:sz w:val="20"/>
          <w:szCs w:val="20"/>
        </w:rPr>
        <w:t xml:space="preserve"> their actions</w:t>
      </w:r>
      <w:r w:rsidR="00A87A25" w:rsidRPr="00555052">
        <w:rPr>
          <w:sz w:val="20"/>
          <w:szCs w:val="20"/>
        </w:rPr>
        <w:t xml:space="preserve"> previously</w:t>
      </w:r>
      <w:r w:rsidR="004A544C" w:rsidRPr="00555052">
        <w:rPr>
          <w:sz w:val="20"/>
          <w:szCs w:val="20"/>
        </w:rPr>
        <w:t xml:space="preserve"> discussed</w:t>
      </w:r>
      <w:r w:rsidR="00A87A25" w:rsidRPr="00555052">
        <w:rPr>
          <w:sz w:val="20"/>
          <w:szCs w:val="20"/>
        </w:rPr>
        <w:t xml:space="preserve"> in Tehran and Yalta.</w:t>
      </w:r>
      <w:r w:rsidR="00FE351A" w:rsidRPr="00555052">
        <w:rPr>
          <w:sz w:val="20"/>
          <w:szCs w:val="20"/>
        </w:rPr>
        <w:t xml:space="preserve"> With the military combat at an end in Europe, focus on Japanese resistance was increased</w:t>
      </w:r>
      <w:r w:rsidR="00FE351A" w:rsidRPr="00555052">
        <w:rPr>
          <w:rStyle w:val="FootnoteReference"/>
          <w:sz w:val="20"/>
          <w:szCs w:val="20"/>
        </w:rPr>
        <w:footnoteReference w:id="9"/>
      </w:r>
      <w:r w:rsidR="00FE351A" w:rsidRPr="00555052">
        <w:rPr>
          <w:sz w:val="20"/>
          <w:szCs w:val="20"/>
        </w:rPr>
        <w:t>. ‘The postwar world was coming upon the victors before they were ready for it’</w:t>
      </w:r>
      <w:r w:rsidR="00FE351A" w:rsidRPr="00555052">
        <w:rPr>
          <w:rStyle w:val="FootnoteReference"/>
          <w:sz w:val="20"/>
          <w:szCs w:val="20"/>
        </w:rPr>
        <w:footnoteReference w:id="10"/>
      </w:r>
      <w:r w:rsidR="00FE351A" w:rsidRPr="00555052">
        <w:rPr>
          <w:sz w:val="20"/>
          <w:szCs w:val="20"/>
        </w:rPr>
        <w:t xml:space="preserve">. These developments brought along the need for </w:t>
      </w:r>
      <w:r w:rsidR="00FE351A" w:rsidRPr="00555052">
        <w:rPr>
          <w:sz w:val="20"/>
          <w:szCs w:val="20"/>
        </w:rPr>
        <w:lastRenderedPageBreak/>
        <w:t xml:space="preserve">further consolidation of security, with the military might of the Alliance turning towards the Pacific and East Asia. In practical and industrial terms, Japan had </w:t>
      </w:r>
      <w:r w:rsidR="00C573A1" w:rsidRPr="00555052">
        <w:rPr>
          <w:sz w:val="20"/>
          <w:szCs w:val="20"/>
        </w:rPr>
        <w:t>lost the capability to defend itself</w:t>
      </w:r>
      <w:r w:rsidR="00C573A1" w:rsidRPr="00555052">
        <w:rPr>
          <w:rStyle w:val="FootnoteReference"/>
          <w:sz w:val="20"/>
          <w:szCs w:val="20"/>
        </w:rPr>
        <w:footnoteReference w:id="11"/>
      </w:r>
      <w:r w:rsidR="00C573A1" w:rsidRPr="00555052">
        <w:rPr>
          <w:sz w:val="20"/>
          <w:szCs w:val="20"/>
        </w:rPr>
        <w:t>.</w:t>
      </w:r>
    </w:p>
    <w:p w14:paraId="3161225F" w14:textId="511BB68C" w:rsidR="004A544C" w:rsidRPr="00555052" w:rsidRDefault="00A87A25" w:rsidP="00555052">
      <w:pPr>
        <w:spacing w:line="360" w:lineRule="auto"/>
        <w:rPr>
          <w:sz w:val="20"/>
          <w:szCs w:val="20"/>
        </w:rPr>
      </w:pPr>
      <w:r w:rsidRPr="00555052">
        <w:rPr>
          <w:sz w:val="20"/>
          <w:szCs w:val="20"/>
        </w:rPr>
        <w:t xml:space="preserve">The first point set out in the declaration </w:t>
      </w:r>
      <w:r w:rsidR="004A544C" w:rsidRPr="00555052">
        <w:rPr>
          <w:sz w:val="20"/>
          <w:szCs w:val="20"/>
        </w:rPr>
        <w:t>is the establishment of a ‘Council of Foreign Ministers’</w:t>
      </w:r>
      <w:r w:rsidR="004A544C" w:rsidRPr="00555052">
        <w:rPr>
          <w:rStyle w:val="FootnoteReference"/>
          <w:sz w:val="20"/>
          <w:szCs w:val="20"/>
        </w:rPr>
        <w:footnoteReference w:id="12"/>
      </w:r>
      <w:r w:rsidR="004A544C" w:rsidRPr="00555052">
        <w:rPr>
          <w:sz w:val="20"/>
          <w:szCs w:val="20"/>
        </w:rPr>
        <w:t>. In addition to the representatives of USA, UK and USSR was to be added representatives of China and France.</w:t>
      </w:r>
      <w:r w:rsidR="00430376" w:rsidRPr="00555052">
        <w:rPr>
          <w:sz w:val="20"/>
          <w:szCs w:val="20"/>
        </w:rPr>
        <w:t xml:space="preserve"> This council set out to meet again, at latest September 1, demonst</w:t>
      </w:r>
      <w:r w:rsidR="009E2117" w:rsidRPr="00555052">
        <w:rPr>
          <w:sz w:val="20"/>
          <w:szCs w:val="20"/>
        </w:rPr>
        <w:t>ra</w:t>
      </w:r>
      <w:r w:rsidR="00430376" w:rsidRPr="00555052">
        <w:rPr>
          <w:sz w:val="20"/>
          <w:szCs w:val="20"/>
        </w:rPr>
        <w:t>ting the urgency and seriousness of the involved parties. One of these urgent tasks that the Potsdam conference declared</w:t>
      </w:r>
      <w:r w:rsidR="00D51C85" w:rsidRPr="00555052">
        <w:rPr>
          <w:sz w:val="20"/>
          <w:szCs w:val="20"/>
        </w:rPr>
        <w:t>, under the</w:t>
      </w:r>
      <w:r w:rsidR="008B3C3B" w:rsidRPr="00555052">
        <w:rPr>
          <w:sz w:val="20"/>
          <w:szCs w:val="20"/>
        </w:rPr>
        <w:t xml:space="preserve"> sub-</w:t>
      </w:r>
      <w:r w:rsidR="00D51C85" w:rsidRPr="00555052">
        <w:rPr>
          <w:sz w:val="20"/>
          <w:szCs w:val="20"/>
        </w:rPr>
        <w:t>heading ‘Establishment of a Council of Foreign Ministers’, is seen below</w:t>
      </w:r>
      <w:r w:rsidR="00430376" w:rsidRPr="00555052">
        <w:rPr>
          <w:sz w:val="20"/>
          <w:szCs w:val="20"/>
        </w:rPr>
        <w:t>:</w:t>
      </w:r>
    </w:p>
    <w:p w14:paraId="7D8D0B2B" w14:textId="56ACFC83" w:rsidR="00430376" w:rsidRPr="00555052" w:rsidRDefault="00430376" w:rsidP="00555052">
      <w:pPr>
        <w:spacing w:line="360" w:lineRule="auto"/>
        <w:ind w:left="720"/>
        <w:rPr>
          <w:sz w:val="20"/>
          <w:szCs w:val="20"/>
        </w:rPr>
      </w:pPr>
      <w:r w:rsidRPr="00555052">
        <w:rPr>
          <w:sz w:val="20"/>
          <w:szCs w:val="20"/>
        </w:rPr>
        <w:t>“(3) (i) As its immediate important task, the Council shall be authorized to draw up, with a view to their submission to the United Nations, treaties of peace with Italy, Rumania, Bulgaria, Hungary and Finland, and to propose settlements of territorial questions outstanding on the termination of war in Europe….”</w:t>
      </w:r>
      <w:r w:rsidR="00C573A1" w:rsidRPr="00555052">
        <w:rPr>
          <w:rStyle w:val="FootnoteReference"/>
          <w:sz w:val="20"/>
          <w:szCs w:val="20"/>
        </w:rPr>
        <w:footnoteReference w:id="13"/>
      </w:r>
    </w:p>
    <w:p w14:paraId="52BB7062" w14:textId="127A23EC" w:rsidR="007C70F3" w:rsidRPr="00555052" w:rsidRDefault="00F13921" w:rsidP="00555052">
      <w:pPr>
        <w:spacing w:line="360" w:lineRule="auto"/>
        <w:rPr>
          <w:sz w:val="20"/>
          <w:szCs w:val="20"/>
        </w:rPr>
      </w:pPr>
      <w:r w:rsidRPr="00555052">
        <w:rPr>
          <w:sz w:val="20"/>
          <w:szCs w:val="20"/>
        </w:rPr>
        <w:t>Illuminated</w:t>
      </w:r>
      <w:r w:rsidR="00D51C85" w:rsidRPr="00555052">
        <w:rPr>
          <w:sz w:val="20"/>
          <w:szCs w:val="20"/>
        </w:rPr>
        <w:t xml:space="preserve"> by this point was </w:t>
      </w:r>
      <w:r w:rsidR="00F8208B">
        <w:rPr>
          <w:sz w:val="20"/>
          <w:szCs w:val="20"/>
        </w:rPr>
        <w:t xml:space="preserve">an </w:t>
      </w:r>
      <w:r w:rsidR="00D51C85" w:rsidRPr="00555052">
        <w:rPr>
          <w:sz w:val="20"/>
          <w:szCs w:val="20"/>
        </w:rPr>
        <w:t>underlying desire for control</w:t>
      </w:r>
      <w:r w:rsidR="0041212F" w:rsidRPr="00555052">
        <w:rPr>
          <w:sz w:val="20"/>
          <w:szCs w:val="20"/>
        </w:rPr>
        <w:t>, as well as consolidation of territorial gains made</w:t>
      </w:r>
      <w:r w:rsidR="00D51C85" w:rsidRPr="00555052">
        <w:rPr>
          <w:sz w:val="20"/>
          <w:szCs w:val="20"/>
        </w:rPr>
        <w:t xml:space="preserve"> across the </w:t>
      </w:r>
      <w:r w:rsidR="00ED7D93" w:rsidRPr="00555052">
        <w:rPr>
          <w:sz w:val="20"/>
          <w:szCs w:val="20"/>
        </w:rPr>
        <w:t>E</w:t>
      </w:r>
      <w:r w:rsidR="00D51C85" w:rsidRPr="00555052">
        <w:rPr>
          <w:sz w:val="20"/>
          <w:szCs w:val="20"/>
        </w:rPr>
        <w:t xml:space="preserve">uropean continent. The demise of German hegemony </w:t>
      </w:r>
      <w:r w:rsidR="00F8208B">
        <w:rPr>
          <w:sz w:val="20"/>
          <w:szCs w:val="20"/>
        </w:rPr>
        <w:t>created</w:t>
      </w:r>
      <w:r w:rsidR="00D51C85" w:rsidRPr="00555052">
        <w:rPr>
          <w:sz w:val="20"/>
          <w:szCs w:val="20"/>
        </w:rPr>
        <w:t xml:space="preserve"> a vac</w:t>
      </w:r>
      <w:r w:rsidR="00ED7D93" w:rsidRPr="00555052">
        <w:rPr>
          <w:sz w:val="20"/>
          <w:szCs w:val="20"/>
        </w:rPr>
        <w:t>u</w:t>
      </w:r>
      <w:r w:rsidR="00D51C85" w:rsidRPr="00555052">
        <w:rPr>
          <w:sz w:val="20"/>
          <w:szCs w:val="20"/>
        </w:rPr>
        <w:t>um of power, waiting for clear direction from the Grand Alliance on exactly what was to happen next. This conference in particular lays out clues to the unfolding conditions of the Cold War and how balance of power in Europe was starting to shift.</w:t>
      </w:r>
      <w:r w:rsidR="008B3C3B" w:rsidRPr="00555052">
        <w:rPr>
          <w:sz w:val="20"/>
          <w:szCs w:val="20"/>
        </w:rPr>
        <w:t xml:space="preserve"> In relation to our question then: </w:t>
      </w:r>
      <w:r w:rsidR="008B3C3B" w:rsidRPr="00555052">
        <w:rPr>
          <w:i/>
          <w:iCs/>
          <w:sz w:val="20"/>
          <w:szCs w:val="20"/>
        </w:rPr>
        <w:t xml:space="preserve">‘What was the impact of the Yalta and Potsdam conferences on the balance of power in Europe?’, </w:t>
      </w:r>
      <w:r w:rsidR="008B3C3B" w:rsidRPr="00555052">
        <w:rPr>
          <w:sz w:val="20"/>
          <w:szCs w:val="20"/>
        </w:rPr>
        <w:t>It is reasonable to pay close attention to specifc points in the Yalta and Potsdam conferences, particularly the latter. Of these points of discussion, few could argue against the importance of ‘II. The Principles to Govern the Treatment of Germany in the Initial Control Period’</w:t>
      </w:r>
      <w:r w:rsidR="008B3C3B" w:rsidRPr="00555052">
        <w:rPr>
          <w:rStyle w:val="FootnoteReference"/>
          <w:sz w:val="20"/>
          <w:szCs w:val="20"/>
        </w:rPr>
        <w:footnoteReference w:id="14"/>
      </w:r>
      <w:r w:rsidR="008B3C3B" w:rsidRPr="00555052">
        <w:rPr>
          <w:sz w:val="20"/>
          <w:szCs w:val="20"/>
        </w:rPr>
        <w:t xml:space="preserve">. </w:t>
      </w:r>
      <w:r w:rsidR="009E2117" w:rsidRPr="00555052">
        <w:rPr>
          <w:sz w:val="20"/>
          <w:szCs w:val="20"/>
        </w:rPr>
        <w:t xml:space="preserve">In these writings are the conditions that will be set upon the </w:t>
      </w:r>
      <w:r w:rsidR="0041212F" w:rsidRPr="00555052">
        <w:rPr>
          <w:sz w:val="20"/>
          <w:szCs w:val="20"/>
        </w:rPr>
        <w:t>division</w:t>
      </w:r>
      <w:r w:rsidR="009E2117" w:rsidRPr="00555052">
        <w:rPr>
          <w:sz w:val="20"/>
          <w:szCs w:val="20"/>
        </w:rPr>
        <w:t>, disarmament</w:t>
      </w:r>
      <w:r w:rsidR="00E14819" w:rsidRPr="00555052">
        <w:rPr>
          <w:sz w:val="20"/>
          <w:szCs w:val="20"/>
        </w:rPr>
        <w:t xml:space="preserve"> and governance of post-war Germany. This entire sub-heading is a strong reflection of Anglo-American interest in implementing principles</w:t>
      </w:r>
      <w:r w:rsidR="00ED7D93" w:rsidRPr="00555052">
        <w:rPr>
          <w:sz w:val="20"/>
          <w:szCs w:val="20"/>
        </w:rPr>
        <w:t xml:space="preserve"> from</w:t>
      </w:r>
      <w:r w:rsidR="00E14819" w:rsidRPr="00555052">
        <w:rPr>
          <w:sz w:val="20"/>
          <w:szCs w:val="20"/>
        </w:rPr>
        <w:t xml:space="preserve"> the Atlantic Charter</w:t>
      </w:r>
      <w:r w:rsidR="00555052" w:rsidRPr="00555052">
        <w:rPr>
          <w:rStyle w:val="FootnoteReference"/>
          <w:sz w:val="20"/>
          <w:szCs w:val="20"/>
        </w:rPr>
        <w:footnoteReference w:id="15"/>
      </w:r>
      <w:r w:rsidR="00E14819" w:rsidRPr="00555052">
        <w:rPr>
          <w:sz w:val="20"/>
          <w:szCs w:val="20"/>
        </w:rPr>
        <w:t>. Alongside this was a common will to avoid some of the political condtions such as they were in the aftermath of the First World War</w:t>
      </w:r>
      <w:r w:rsidR="00E14819" w:rsidRPr="00555052">
        <w:rPr>
          <w:rStyle w:val="FootnoteReference"/>
          <w:sz w:val="20"/>
          <w:szCs w:val="20"/>
        </w:rPr>
        <w:footnoteReference w:id="16"/>
      </w:r>
      <w:r w:rsidR="00E14819" w:rsidRPr="00555052">
        <w:rPr>
          <w:sz w:val="20"/>
          <w:szCs w:val="20"/>
        </w:rPr>
        <w:t>.</w:t>
      </w:r>
      <w:r w:rsidRPr="00555052">
        <w:rPr>
          <w:sz w:val="20"/>
          <w:szCs w:val="20"/>
        </w:rPr>
        <w:t xml:space="preserve"> The grievances of reparations and responsibility were a driving force for the unified nature of Nazi Germany</w:t>
      </w:r>
      <w:r w:rsidRPr="00555052">
        <w:rPr>
          <w:rStyle w:val="FootnoteReference"/>
          <w:sz w:val="20"/>
          <w:szCs w:val="20"/>
        </w:rPr>
        <w:footnoteReference w:id="17"/>
      </w:r>
      <w:r w:rsidRPr="00555052">
        <w:rPr>
          <w:sz w:val="20"/>
          <w:szCs w:val="20"/>
        </w:rPr>
        <w:t xml:space="preserve">. A major task of the Potsdam Conference therefore was an attempt to secure </w:t>
      </w:r>
      <w:r w:rsidRPr="00555052">
        <w:rPr>
          <w:sz w:val="20"/>
          <w:szCs w:val="20"/>
        </w:rPr>
        <w:lastRenderedPageBreak/>
        <w:t>peace on the continent, and a sustainable one at that.</w:t>
      </w:r>
      <w:r w:rsidR="007C70F3" w:rsidRPr="00555052">
        <w:rPr>
          <w:sz w:val="20"/>
          <w:szCs w:val="20"/>
        </w:rPr>
        <w:t xml:space="preserve"> Listed below </w:t>
      </w:r>
      <w:r w:rsidR="00ED7D93" w:rsidRPr="00555052">
        <w:rPr>
          <w:sz w:val="20"/>
          <w:szCs w:val="20"/>
        </w:rPr>
        <w:t>is</w:t>
      </w:r>
      <w:r w:rsidR="007C70F3" w:rsidRPr="00555052">
        <w:rPr>
          <w:sz w:val="20"/>
          <w:szCs w:val="20"/>
        </w:rPr>
        <w:t xml:space="preserve"> a selected collection</w:t>
      </w:r>
      <w:r w:rsidR="00ED7D93" w:rsidRPr="00555052">
        <w:rPr>
          <w:sz w:val="20"/>
          <w:szCs w:val="20"/>
        </w:rPr>
        <w:t xml:space="preserve"> of</w:t>
      </w:r>
      <w:r w:rsidR="007C70F3" w:rsidRPr="00555052">
        <w:rPr>
          <w:sz w:val="20"/>
          <w:szCs w:val="20"/>
        </w:rPr>
        <w:t xml:space="preserve"> the points set out:</w:t>
      </w:r>
    </w:p>
    <w:p w14:paraId="3FDF111D" w14:textId="35B8C123" w:rsidR="007C70F3" w:rsidRPr="00555052" w:rsidRDefault="007C70F3" w:rsidP="00555052">
      <w:pPr>
        <w:spacing w:line="360" w:lineRule="auto"/>
        <w:rPr>
          <w:sz w:val="20"/>
          <w:szCs w:val="20"/>
        </w:rPr>
      </w:pPr>
      <w:r w:rsidRPr="00555052">
        <w:rPr>
          <w:sz w:val="20"/>
          <w:szCs w:val="20"/>
        </w:rPr>
        <w:t>2. “So far as is practicable, there shall be uniformity of treatment of the German population throughout Germany”.</w:t>
      </w:r>
    </w:p>
    <w:p w14:paraId="2F9B6AC2" w14:textId="14657B1B" w:rsidR="007C70F3" w:rsidRPr="00555052" w:rsidRDefault="007C70F3" w:rsidP="00555052">
      <w:pPr>
        <w:spacing w:line="360" w:lineRule="auto"/>
        <w:rPr>
          <w:sz w:val="20"/>
          <w:szCs w:val="20"/>
        </w:rPr>
      </w:pPr>
      <w:r w:rsidRPr="00555052">
        <w:rPr>
          <w:sz w:val="20"/>
          <w:szCs w:val="20"/>
        </w:rPr>
        <w:t>3. (i) “The complete disarmament and demilitarization of Germany and the elimination or control of all German industry that could be used for military production”.</w:t>
      </w:r>
    </w:p>
    <w:p w14:paraId="20238248" w14:textId="697CE966" w:rsidR="007C70F3" w:rsidRPr="00555052" w:rsidRDefault="007C70F3" w:rsidP="00555052">
      <w:pPr>
        <w:spacing w:line="360" w:lineRule="auto"/>
        <w:rPr>
          <w:sz w:val="20"/>
          <w:szCs w:val="20"/>
        </w:rPr>
      </w:pPr>
      <w:r w:rsidRPr="00555052">
        <w:rPr>
          <w:sz w:val="20"/>
          <w:szCs w:val="20"/>
        </w:rPr>
        <w:t>(ii) “To convince the German people that they have suffered a total military defeat and that they cannot escape responsibility for what they have brought upon themselves, since their own ruthless warfare and the fanatical Nazi resistance have destroyed German econom</w:t>
      </w:r>
      <w:r w:rsidR="00F8208B">
        <w:rPr>
          <w:sz w:val="20"/>
          <w:szCs w:val="20"/>
        </w:rPr>
        <w:t>y</w:t>
      </w:r>
      <w:r w:rsidRPr="00555052">
        <w:rPr>
          <w:sz w:val="20"/>
          <w:szCs w:val="20"/>
        </w:rPr>
        <w:t xml:space="preserve"> and made chaos and suffering inevitable”.</w:t>
      </w:r>
    </w:p>
    <w:p w14:paraId="70A416BC" w14:textId="3BEAC9D6" w:rsidR="009E2117" w:rsidRPr="00555052" w:rsidRDefault="007C70F3" w:rsidP="00555052">
      <w:pPr>
        <w:spacing w:line="360" w:lineRule="auto"/>
        <w:rPr>
          <w:sz w:val="20"/>
          <w:szCs w:val="20"/>
        </w:rPr>
      </w:pPr>
      <w:r w:rsidRPr="00555052">
        <w:rPr>
          <w:sz w:val="20"/>
          <w:szCs w:val="20"/>
        </w:rPr>
        <w:t>(iv) “To prepare for the eventual reconstruction of German political life on a democratic basis and for eventual peaceful cooperation in international life by Germany”.</w:t>
      </w:r>
    </w:p>
    <w:p w14:paraId="104E22B1" w14:textId="55BFD3E7" w:rsidR="003D3A1A" w:rsidRPr="00555052" w:rsidRDefault="00143B33" w:rsidP="00555052">
      <w:pPr>
        <w:spacing w:line="360" w:lineRule="auto"/>
        <w:rPr>
          <w:sz w:val="20"/>
          <w:szCs w:val="20"/>
        </w:rPr>
      </w:pPr>
      <w:r w:rsidRPr="00555052">
        <w:rPr>
          <w:sz w:val="20"/>
          <w:szCs w:val="20"/>
        </w:rPr>
        <w:t>The Potsdam conference laid out a</w:t>
      </w:r>
      <w:r w:rsidR="00F8208B">
        <w:rPr>
          <w:sz w:val="20"/>
          <w:szCs w:val="20"/>
        </w:rPr>
        <w:t xml:space="preserve"> concise</w:t>
      </w:r>
      <w:r w:rsidRPr="00555052">
        <w:rPr>
          <w:sz w:val="20"/>
          <w:szCs w:val="20"/>
        </w:rPr>
        <w:t xml:space="preserve"> mandate for the victorious parties to act on the European continent.</w:t>
      </w:r>
      <w:r w:rsidR="003D3A1A" w:rsidRPr="00555052">
        <w:rPr>
          <w:sz w:val="20"/>
          <w:szCs w:val="20"/>
        </w:rPr>
        <w:t xml:space="preserve"> The strength of that mandate increased after a succseful testing of the atomic bomb on July 16</w:t>
      </w:r>
      <w:r w:rsidR="003D3A1A" w:rsidRPr="00555052">
        <w:rPr>
          <w:rStyle w:val="FootnoteReference"/>
          <w:sz w:val="20"/>
          <w:szCs w:val="20"/>
        </w:rPr>
        <w:footnoteReference w:id="18"/>
      </w:r>
      <w:r w:rsidR="003D3A1A" w:rsidRPr="00555052">
        <w:rPr>
          <w:sz w:val="20"/>
          <w:szCs w:val="20"/>
        </w:rPr>
        <w:t>, one day prior to the Potsdam conference. The final declaration of the conference hinted at the new weapon of mass destruction in reference to the surrendering of Japan:</w:t>
      </w:r>
    </w:p>
    <w:p w14:paraId="4BB7C1AA" w14:textId="70A29435" w:rsidR="003D3A1A" w:rsidRPr="00555052" w:rsidRDefault="003D3A1A" w:rsidP="00555052">
      <w:pPr>
        <w:spacing w:line="360" w:lineRule="auto"/>
        <w:rPr>
          <w:sz w:val="20"/>
          <w:szCs w:val="20"/>
        </w:rPr>
      </w:pPr>
      <w:r w:rsidRPr="00555052">
        <w:rPr>
          <w:sz w:val="20"/>
          <w:szCs w:val="20"/>
        </w:rPr>
        <w:t>(13) “We call upon the government of Japan to proclaim now the unconditional surrender of all Japanese armed forces, and to provide proper and adeqaute assurances of their good faith in such action. The alternative for Japan is prompt and utter destruction”</w:t>
      </w:r>
      <w:r w:rsidRPr="00555052">
        <w:rPr>
          <w:rStyle w:val="FootnoteReference"/>
          <w:sz w:val="20"/>
          <w:szCs w:val="20"/>
        </w:rPr>
        <w:footnoteReference w:id="19"/>
      </w:r>
      <w:r w:rsidRPr="00555052">
        <w:rPr>
          <w:sz w:val="20"/>
          <w:szCs w:val="20"/>
        </w:rPr>
        <w:t xml:space="preserve">. </w:t>
      </w:r>
    </w:p>
    <w:p w14:paraId="5D6FB35D" w14:textId="59A01F27" w:rsidR="00143B33" w:rsidRPr="00555052" w:rsidRDefault="0030607D" w:rsidP="00555052">
      <w:pPr>
        <w:spacing w:line="360" w:lineRule="auto"/>
        <w:rPr>
          <w:sz w:val="20"/>
          <w:szCs w:val="20"/>
        </w:rPr>
      </w:pPr>
      <w:r w:rsidRPr="00555052">
        <w:rPr>
          <w:sz w:val="20"/>
          <w:szCs w:val="20"/>
        </w:rPr>
        <w:t>Destruction of the Japanese cities Hiroshima (August 6 1945) and Nagasaki (August 9 1945) by means of nuclear destruction ‘…created the psychological atmosphere of the postwar world upon which the nations now looked out as the smoke cleared away from the ruins’</w:t>
      </w:r>
      <w:r w:rsidRPr="00555052">
        <w:rPr>
          <w:rStyle w:val="FootnoteReference"/>
          <w:sz w:val="20"/>
          <w:szCs w:val="20"/>
        </w:rPr>
        <w:footnoteReference w:id="20"/>
      </w:r>
      <w:r w:rsidR="00410DDF" w:rsidRPr="00555052">
        <w:rPr>
          <w:sz w:val="20"/>
          <w:szCs w:val="20"/>
        </w:rPr>
        <w:t>. Although this essay is concerned with the changes of power in Europe, it is necessary to insist that this decisive end to axis resistance shaped those changes immensely. The</w:t>
      </w:r>
      <w:r w:rsidR="00C517A0" w:rsidRPr="00555052">
        <w:rPr>
          <w:sz w:val="20"/>
          <w:szCs w:val="20"/>
        </w:rPr>
        <w:t xml:space="preserve"> Yalta and</w:t>
      </w:r>
      <w:r w:rsidR="00410DDF" w:rsidRPr="00555052">
        <w:rPr>
          <w:sz w:val="20"/>
          <w:szCs w:val="20"/>
        </w:rPr>
        <w:t xml:space="preserve"> Potsdam conference</w:t>
      </w:r>
      <w:r w:rsidR="00C517A0" w:rsidRPr="00555052">
        <w:rPr>
          <w:sz w:val="20"/>
          <w:szCs w:val="20"/>
        </w:rPr>
        <w:t>s</w:t>
      </w:r>
      <w:r w:rsidR="00410DDF" w:rsidRPr="00555052">
        <w:rPr>
          <w:sz w:val="20"/>
          <w:szCs w:val="20"/>
        </w:rPr>
        <w:t xml:space="preserve"> </w:t>
      </w:r>
      <w:r w:rsidR="00C517A0" w:rsidRPr="00555052">
        <w:rPr>
          <w:sz w:val="20"/>
          <w:szCs w:val="20"/>
        </w:rPr>
        <w:t>were foundational to the changes</w:t>
      </w:r>
      <w:r w:rsidR="00410DDF" w:rsidRPr="00555052">
        <w:rPr>
          <w:sz w:val="20"/>
          <w:szCs w:val="20"/>
        </w:rPr>
        <w:t>.</w:t>
      </w:r>
      <w:r w:rsidR="00D91C57">
        <w:rPr>
          <w:sz w:val="20"/>
          <w:szCs w:val="20"/>
        </w:rPr>
        <w:t xml:space="preserve"> The involvment of the United States acting in territories outside of Europe dampened tensions in bordering Soviet territories inside Europe. Any heat during the Cold War was most fierce in Vietnam, Korea, Cuba and the Middle East. With much of arms and space races taking place domestically, it allowed the balance of power in Europe to reach some stability.</w:t>
      </w:r>
    </w:p>
    <w:p w14:paraId="44FDE9A4" w14:textId="18633E72" w:rsidR="00555052" w:rsidRPr="00555052" w:rsidRDefault="00C517A0" w:rsidP="00555052">
      <w:pPr>
        <w:spacing w:line="360" w:lineRule="auto"/>
        <w:rPr>
          <w:sz w:val="20"/>
          <w:szCs w:val="20"/>
        </w:rPr>
      </w:pPr>
      <w:r w:rsidRPr="00555052">
        <w:rPr>
          <w:sz w:val="20"/>
          <w:szCs w:val="20"/>
        </w:rPr>
        <w:t>The establishment of a new world order (or disorder) was the task of the victorious parties. However succ</w:t>
      </w:r>
      <w:r w:rsidR="00F8208B">
        <w:rPr>
          <w:sz w:val="20"/>
          <w:szCs w:val="20"/>
        </w:rPr>
        <w:t>ess</w:t>
      </w:r>
      <w:r w:rsidRPr="00555052">
        <w:rPr>
          <w:sz w:val="20"/>
          <w:szCs w:val="20"/>
        </w:rPr>
        <w:t xml:space="preserve">ful </w:t>
      </w:r>
      <w:r w:rsidR="00F8208B">
        <w:rPr>
          <w:sz w:val="20"/>
          <w:szCs w:val="20"/>
        </w:rPr>
        <w:t xml:space="preserve">in </w:t>
      </w:r>
      <w:r w:rsidRPr="00555052">
        <w:rPr>
          <w:sz w:val="20"/>
          <w:szCs w:val="20"/>
        </w:rPr>
        <w:t>the</w:t>
      </w:r>
      <w:r w:rsidR="00F8208B">
        <w:rPr>
          <w:sz w:val="20"/>
          <w:szCs w:val="20"/>
        </w:rPr>
        <w:t>ir</w:t>
      </w:r>
      <w:r w:rsidR="001603DA">
        <w:rPr>
          <w:sz w:val="20"/>
          <w:szCs w:val="20"/>
        </w:rPr>
        <w:t xml:space="preserve"> </w:t>
      </w:r>
      <w:r w:rsidRPr="00555052">
        <w:rPr>
          <w:sz w:val="20"/>
          <w:szCs w:val="20"/>
        </w:rPr>
        <w:t>collaboration defeating the Axis</w:t>
      </w:r>
      <w:r w:rsidR="00F8208B">
        <w:rPr>
          <w:sz w:val="20"/>
          <w:szCs w:val="20"/>
        </w:rPr>
        <w:t xml:space="preserve"> </w:t>
      </w:r>
      <w:r w:rsidRPr="00555052">
        <w:rPr>
          <w:sz w:val="20"/>
          <w:szCs w:val="20"/>
        </w:rPr>
        <w:t>and meeting to discuss post-war terms</w:t>
      </w:r>
      <w:r w:rsidR="001603DA">
        <w:rPr>
          <w:sz w:val="20"/>
          <w:szCs w:val="20"/>
        </w:rPr>
        <w:t xml:space="preserve"> rather amicably</w:t>
      </w:r>
      <w:r w:rsidR="00F973D2">
        <w:rPr>
          <w:sz w:val="20"/>
          <w:szCs w:val="20"/>
        </w:rPr>
        <w:t xml:space="preserve">; </w:t>
      </w:r>
      <w:r w:rsidRPr="00555052">
        <w:rPr>
          <w:sz w:val="20"/>
          <w:szCs w:val="20"/>
        </w:rPr>
        <w:t>underlining the</w:t>
      </w:r>
      <w:r w:rsidR="00F8208B">
        <w:rPr>
          <w:sz w:val="20"/>
          <w:szCs w:val="20"/>
        </w:rPr>
        <w:t xml:space="preserve"> actions the Allies</w:t>
      </w:r>
      <w:r w:rsidR="00F973D2">
        <w:rPr>
          <w:sz w:val="20"/>
          <w:szCs w:val="20"/>
        </w:rPr>
        <w:t xml:space="preserve"> took</w:t>
      </w:r>
      <w:r w:rsidR="00F8208B">
        <w:rPr>
          <w:sz w:val="20"/>
          <w:szCs w:val="20"/>
        </w:rPr>
        <w:t xml:space="preserve"> </w:t>
      </w:r>
      <w:r w:rsidRPr="00555052">
        <w:rPr>
          <w:sz w:val="20"/>
          <w:szCs w:val="20"/>
        </w:rPr>
        <w:t>w</w:t>
      </w:r>
      <w:r w:rsidR="001603DA">
        <w:rPr>
          <w:sz w:val="20"/>
          <w:szCs w:val="20"/>
        </w:rPr>
        <w:t>as</w:t>
      </w:r>
      <w:r w:rsidRPr="00555052">
        <w:rPr>
          <w:sz w:val="20"/>
          <w:szCs w:val="20"/>
        </w:rPr>
        <w:t xml:space="preserve"> implicit mistrust and ideological incompatibility.</w:t>
      </w:r>
      <w:r w:rsidR="006844D7" w:rsidRPr="00555052">
        <w:rPr>
          <w:sz w:val="20"/>
          <w:szCs w:val="20"/>
        </w:rPr>
        <w:t xml:space="preserve"> The </w:t>
      </w:r>
      <w:r w:rsidR="00F973D2">
        <w:rPr>
          <w:sz w:val="20"/>
          <w:szCs w:val="20"/>
        </w:rPr>
        <w:t>A</w:t>
      </w:r>
      <w:r w:rsidR="00E32701" w:rsidRPr="00555052">
        <w:rPr>
          <w:sz w:val="20"/>
          <w:szCs w:val="20"/>
        </w:rPr>
        <w:t>llies of the west had to face the fact that as the USSR pushed back Axis resistance in eastern Europe,</w:t>
      </w:r>
      <w:r w:rsidR="00F973D2">
        <w:rPr>
          <w:sz w:val="20"/>
          <w:szCs w:val="20"/>
        </w:rPr>
        <w:t xml:space="preserve"> they had oppurtune time to seize</w:t>
      </w:r>
      <w:r w:rsidR="00E32701" w:rsidRPr="00555052">
        <w:rPr>
          <w:sz w:val="20"/>
          <w:szCs w:val="20"/>
        </w:rPr>
        <w:t xml:space="preserve"> </w:t>
      </w:r>
      <w:r w:rsidR="00F973D2">
        <w:rPr>
          <w:sz w:val="20"/>
          <w:szCs w:val="20"/>
        </w:rPr>
        <w:lastRenderedPageBreak/>
        <w:t xml:space="preserve">control in </w:t>
      </w:r>
      <w:r w:rsidR="00E32701" w:rsidRPr="00555052">
        <w:rPr>
          <w:sz w:val="20"/>
          <w:szCs w:val="20"/>
        </w:rPr>
        <w:t>Hungary, Romania</w:t>
      </w:r>
      <w:r w:rsidR="00F973D2">
        <w:rPr>
          <w:sz w:val="20"/>
          <w:szCs w:val="20"/>
        </w:rPr>
        <w:t>,</w:t>
      </w:r>
      <w:r w:rsidR="00E32701" w:rsidRPr="00555052">
        <w:rPr>
          <w:sz w:val="20"/>
          <w:szCs w:val="20"/>
        </w:rPr>
        <w:t xml:space="preserve"> Bulgaria and the eastern part of Austria</w:t>
      </w:r>
      <w:r w:rsidR="00E32701" w:rsidRPr="00555052">
        <w:rPr>
          <w:rStyle w:val="FootnoteReference"/>
          <w:sz w:val="20"/>
          <w:szCs w:val="20"/>
        </w:rPr>
        <w:footnoteReference w:id="21"/>
      </w:r>
      <w:r w:rsidR="00247DDA" w:rsidRPr="00555052">
        <w:rPr>
          <w:sz w:val="20"/>
          <w:szCs w:val="20"/>
        </w:rPr>
        <w:t>. The Red Army was also in Yugoslavia, but not in total occupation of it</w:t>
      </w:r>
      <w:r w:rsidR="00247DDA" w:rsidRPr="00555052">
        <w:rPr>
          <w:rStyle w:val="FootnoteReference"/>
          <w:sz w:val="20"/>
          <w:szCs w:val="20"/>
        </w:rPr>
        <w:footnoteReference w:id="22"/>
      </w:r>
      <w:r w:rsidR="00247DDA" w:rsidRPr="00555052">
        <w:rPr>
          <w:rStyle w:val="FootnoteReference"/>
          <w:sz w:val="20"/>
          <w:szCs w:val="20"/>
        </w:rPr>
        <w:footnoteReference w:id="23"/>
      </w:r>
      <w:r w:rsidR="00555052" w:rsidRPr="00555052">
        <w:rPr>
          <w:sz w:val="20"/>
          <w:szCs w:val="20"/>
        </w:rPr>
        <w:t>.</w:t>
      </w:r>
      <w:r w:rsidR="001603DA">
        <w:rPr>
          <w:sz w:val="20"/>
          <w:szCs w:val="20"/>
        </w:rPr>
        <w:t xml:space="preserve"> In order to avoid total warfare with eachother, there had to be some succes in compromise and coexistence. In spite of the fact that the two fought proxy wars in the second half of the century, Europe, as a union, built a solidarity to recover economically, and acted often as a place of order in the faces of chaos. The Yalta and Potsdam Conferences played a big part in neutralising hostile powers in Europe, at least in so far as there was no dominating hegemony by this essay’s estimations. It may be the case however, that this stability will not last as the challenges of the post-Cold War world dwells upon its populations. How the Yalta and Potsdam conferences affected the balance of power in Europe will no doubt have to be revisited.</w:t>
      </w:r>
    </w:p>
    <w:p w14:paraId="6962B503" w14:textId="63FCE768" w:rsidR="00555052" w:rsidRPr="00555052" w:rsidRDefault="00555052" w:rsidP="00555052">
      <w:pPr>
        <w:spacing w:line="360" w:lineRule="auto"/>
        <w:rPr>
          <w:sz w:val="20"/>
          <w:szCs w:val="20"/>
        </w:rPr>
      </w:pPr>
      <w:r w:rsidRPr="00555052">
        <w:rPr>
          <w:sz w:val="20"/>
          <w:szCs w:val="20"/>
        </w:rPr>
        <w:t>In conclusion, the Yalta and Potsdam conferences are some of the key meetings and delcarations of the 20</w:t>
      </w:r>
      <w:r w:rsidRPr="00555052">
        <w:rPr>
          <w:sz w:val="20"/>
          <w:szCs w:val="20"/>
          <w:vertAlign w:val="superscript"/>
        </w:rPr>
        <w:t>th</w:t>
      </w:r>
      <w:r w:rsidRPr="00555052">
        <w:rPr>
          <w:sz w:val="20"/>
          <w:szCs w:val="20"/>
        </w:rPr>
        <w:t xml:space="preserve"> century that shaped the balance of power in Europe. The splitting of Germany into East and West put side by side the two superpower</w:t>
      </w:r>
      <w:r w:rsidR="00F973D2">
        <w:rPr>
          <w:sz w:val="20"/>
          <w:szCs w:val="20"/>
        </w:rPr>
        <w:t xml:space="preserve">s </w:t>
      </w:r>
      <w:r w:rsidRPr="00555052">
        <w:rPr>
          <w:sz w:val="20"/>
          <w:szCs w:val="20"/>
        </w:rPr>
        <w:t>of the 20</w:t>
      </w:r>
      <w:r w:rsidRPr="00555052">
        <w:rPr>
          <w:sz w:val="20"/>
          <w:szCs w:val="20"/>
          <w:vertAlign w:val="superscript"/>
        </w:rPr>
        <w:t>th</w:t>
      </w:r>
      <w:r w:rsidRPr="00555052">
        <w:rPr>
          <w:sz w:val="20"/>
          <w:szCs w:val="20"/>
        </w:rPr>
        <w:t xml:space="preserve"> century, the United States of America and the Union of Soviet Socialist Republics</w:t>
      </w:r>
      <w:r w:rsidR="001A758B">
        <w:rPr>
          <w:sz w:val="20"/>
          <w:szCs w:val="20"/>
        </w:rPr>
        <w:t xml:space="preserve"> in different spheres</w:t>
      </w:r>
      <w:r w:rsidRPr="00555052">
        <w:rPr>
          <w:sz w:val="20"/>
          <w:szCs w:val="20"/>
        </w:rPr>
        <w:t xml:space="preserve">. </w:t>
      </w:r>
      <w:r w:rsidR="001A758B">
        <w:rPr>
          <w:sz w:val="20"/>
          <w:szCs w:val="20"/>
        </w:rPr>
        <w:t xml:space="preserve"> Though those superpower</w:t>
      </w:r>
      <w:r w:rsidR="00F973D2">
        <w:rPr>
          <w:sz w:val="20"/>
          <w:szCs w:val="20"/>
        </w:rPr>
        <w:t>s</w:t>
      </w:r>
      <w:r w:rsidR="001A758B">
        <w:rPr>
          <w:sz w:val="20"/>
          <w:szCs w:val="20"/>
        </w:rPr>
        <w:t xml:space="preserve"> competed else</w:t>
      </w:r>
      <w:r w:rsidR="00F973D2">
        <w:rPr>
          <w:sz w:val="20"/>
          <w:szCs w:val="20"/>
        </w:rPr>
        <w:t>wh</w:t>
      </w:r>
      <w:r w:rsidR="001A758B">
        <w:rPr>
          <w:sz w:val="20"/>
          <w:szCs w:val="20"/>
        </w:rPr>
        <w:t xml:space="preserve">ere, the formulation and resepct of the two conferences allowed Europe to go from a polarised and conflicted continent, to a unified superpower in its own rights, albeit with its limitations and often times political unrest. As with many other considerations, facts and questions surrounding the Cold War, they will undoubtedly need revisiting. In short the shift in balance of power in Europe, following the Yalta and Potsdam conferences, has been a beneficial one for Europe, with many aspects to be celebrated. But power never remains static, there </w:t>
      </w:r>
      <w:r w:rsidR="00F973D2">
        <w:rPr>
          <w:sz w:val="20"/>
          <w:szCs w:val="20"/>
        </w:rPr>
        <w:t>will likely</w:t>
      </w:r>
      <w:r w:rsidR="001A758B">
        <w:rPr>
          <w:sz w:val="20"/>
          <w:szCs w:val="20"/>
        </w:rPr>
        <w:t xml:space="preserve"> be more chapters in those shifts.</w:t>
      </w:r>
    </w:p>
    <w:bookmarkEnd w:id="0"/>
    <w:p w14:paraId="6482AEF9" w14:textId="77777777" w:rsidR="009347E7" w:rsidRPr="00EF3931" w:rsidRDefault="009347E7" w:rsidP="00EF3931">
      <w:pPr>
        <w:rPr>
          <w:b/>
          <w:bCs/>
          <w:sz w:val="20"/>
          <w:szCs w:val="20"/>
        </w:rPr>
      </w:pPr>
    </w:p>
    <w:sdt>
      <w:sdtPr>
        <w:rPr>
          <w:rFonts w:asciiTheme="minorHAnsi" w:eastAsiaTheme="minorHAnsi" w:hAnsiTheme="minorHAnsi" w:cstheme="minorBidi"/>
          <w:color w:val="auto"/>
          <w:kern w:val="2"/>
          <w:sz w:val="22"/>
          <w:szCs w:val="22"/>
          <w:lang w:val="en-GB"/>
          <w14:ligatures w14:val="standardContextual"/>
        </w:rPr>
        <w:id w:val="-969513260"/>
        <w:docPartObj>
          <w:docPartGallery w:val="Bibliographies"/>
          <w:docPartUnique/>
        </w:docPartObj>
      </w:sdtPr>
      <w:sdtContent>
        <w:p w14:paraId="66A56AE6" w14:textId="70FE33F1" w:rsidR="00851830" w:rsidRDefault="00851830">
          <w:pPr>
            <w:pStyle w:val="Heading1"/>
          </w:pPr>
          <w:r>
            <w:t>Bibliography</w:t>
          </w:r>
        </w:p>
        <w:sdt>
          <w:sdtPr>
            <w:id w:val="111145805"/>
            <w:bibliography/>
          </w:sdtPr>
          <w:sdtContent>
            <w:p w14:paraId="5EC478AD" w14:textId="77777777" w:rsidR="00555052" w:rsidRDefault="00851830" w:rsidP="00555052">
              <w:pPr>
                <w:pStyle w:val="Bibliography"/>
                <w:ind w:left="720" w:hanging="720"/>
                <w:rPr>
                  <w:noProof/>
                  <w:kern w:val="0"/>
                  <w:sz w:val="24"/>
                  <w:szCs w:val="24"/>
                  <w:lang w:val="en-US"/>
                  <w14:ligatures w14:val="none"/>
                </w:rPr>
              </w:pPr>
              <w:r>
                <w:fldChar w:fldCharType="begin"/>
              </w:r>
              <w:r>
                <w:instrText xml:space="preserve"> BIBLIOGRAPHY </w:instrText>
              </w:r>
              <w:r>
                <w:fldChar w:fldCharType="separate"/>
              </w:r>
              <w:r w:rsidR="00555052">
                <w:rPr>
                  <w:noProof/>
                  <w:lang w:val="en-US"/>
                </w:rPr>
                <w:t xml:space="preserve">Davies, N. (1997). </w:t>
              </w:r>
              <w:r w:rsidR="00555052">
                <w:rPr>
                  <w:i/>
                  <w:iCs/>
                  <w:noProof/>
                  <w:lang w:val="en-US"/>
                </w:rPr>
                <w:t>Europe: A History.</w:t>
              </w:r>
              <w:r w:rsidR="00555052">
                <w:rPr>
                  <w:noProof/>
                  <w:lang w:val="en-US"/>
                </w:rPr>
                <w:t xml:space="preserve"> Oxford: Oxford University Press.</w:t>
              </w:r>
            </w:p>
            <w:p w14:paraId="3256614F" w14:textId="77777777" w:rsidR="00555052" w:rsidRDefault="00555052" w:rsidP="00555052">
              <w:pPr>
                <w:pStyle w:val="Bibliography"/>
                <w:ind w:left="720" w:hanging="720"/>
                <w:rPr>
                  <w:noProof/>
                  <w:lang w:val="en-US"/>
                </w:rPr>
              </w:pPr>
              <w:r>
                <w:rPr>
                  <w:noProof/>
                  <w:lang w:val="en-US"/>
                </w:rPr>
                <w:t xml:space="preserve">Davis, L. E. (1974). </w:t>
              </w:r>
              <w:r>
                <w:rPr>
                  <w:i/>
                  <w:iCs/>
                  <w:noProof/>
                  <w:lang w:val="en-US"/>
                </w:rPr>
                <w:t>The Cold War Begins.</w:t>
              </w:r>
              <w:r>
                <w:rPr>
                  <w:noProof/>
                  <w:lang w:val="en-US"/>
                </w:rPr>
                <w:t xml:space="preserve"> New Jersey: Princeton University Press.</w:t>
              </w:r>
            </w:p>
            <w:p w14:paraId="36DFF315" w14:textId="77777777" w:rsidR="00555052" w:rsidRDefault="00555052" w:rsidP="00555052">
              <w:pPr>
                <w:pStyle w:val="Bibliography"/>
                <w:ind w:left="720" w:hanging="720"/>
                <w:rPr>
                  <w:noProof/>
                  <w:lang w:val="en-US"/>
                </w:rPr>
              </w:pPr>
              <w:r>
                <w:rPr>
                  <w:noProof/>
                  <w:lang w:val="en-US"/>
                </w:rPr>
                <w:t xml:space="preserve">Freedman, L. (1998). The Confrontation of the Superpowers, 1945-1990. In M. Howard, &amp; R. Louis (Eds.), </w:t>
              </w:r>
              <w:r>
                <w:rPr>
                  <w:i/>
                  <w:iCs/>
                  <w:noProof/>
                  <w:lang w:val="en-US"/>
                </w:rPr>
                <w:t>The Oxford History of the Twentieth Century</w:t>
              </w:r>
              <w:r>
                <w:rPr>
                  <w:noProof/>
                  <w:lang w:val="en-US"/>
                </w:rPr>
                <w:t xml:space="preserve"> (pp. 153-164). New York: Oxford University Press.</w:t>
              </w:r>
            </w:p>
            <w:p w14:paraId="487D4F3C" w14:textId="77777777" w:rsidR="00555052" w:rsidRDefault="00555052" w:rsidP="00555052">
              <w:pPr>
                <w:pStyle w:val="Bibliography"/>
                <w:ind w:left="720" w:hanging="720"/>
                <w:rPr>
                  <w:noProof/>
                  <w:lang w:val="en-US"/>
                </w:rPr>
              </w:pPr>
              <w:r>
                <w:rPr>
                  <w:noProof/>
                  <w:lang w:val="en-US"/>
                </w:rPr>
                <w:t xml:space="preserve">Halle, L. (1967). </w:t>
              </w:r>
              <w:r>
                <w:rPr>
                  <w:i/>
                  <w:iCs/>
                  <w:noProof/>
                  <w:lang w:val="en-US"/>
                </w:rPr>
                <w:t>The Cold War As History.</w:t>
              </w:r>
              <w:r>
                <w:rPr>
                  <w:noProof/>
                  <w:lang w:val="en-US"/>
                </w:rPr>
                <w:t xml:space="preserve"> London: Chatto and Windus.</w:t>
              </w:r>
            </w:p>
            <w:p w14:paraId="0A558C23" w14:textId="77777777" w:rsidR="00555052" w:rsidRDefault="00555052" w:rsidP="00555052">
              <w:pPr>
                <w:pStyle w:val="Bibliography"/>
                <w:ind w:left="720" w:hanging="720"/>
                <w:rPr>
                  <w:noProof/>
                  <w:lang w:val="en-US"/>
                </w:rPr>
              </w:pPr>
              <w:r>
                <w:rPr>
                  <w:noProof/>
                  <w:lang w:val="en-US"/>
                </w:rPr>
                <w:t xml:space="preserve">Howard, M. (1998). Europe In The Age Of Two World Wars. In M. Howard, &amp; R. Louis (Eds.), </w:t>
              </w:r>
              <w:r>
                <w:rPr>
                  <w:i/>
                  <w:iCs/>
                  <w:noProof/>
                  <w:lang w:val="en-US"/>
                </w:rPr>
                <w:t>The Oxford History Of The Twentieth Century</w:t>
              </w:r>
              <w:r>
                <w:rPr>
                  <w:noProof/>
                  <w:lang w:val="en-US"/>
                </w:rPr>
                <w:t xml:space="preserve"> (pp. 103-116). New York: Oxford University Press.</w:t>
              </w:r>
            </w:p>
            <w:p w14:paraId="0EEDDE4E" w14:textId="77777777" w:rsidR="00555052" w:rsidRDefault="00555052" w:rsidP="00555052">
              <w:pPr>
                <w:pStyle w:val="Bibliography"/>
                <w:ind w:left="720" w:hanging="720"/>
                <w:rPr>
                  <w:noProof/>
                  <w:lang w:val="en-US"/>
                </w:rPr>
              </w:pPr>
              <w:r>
                <w:rPr>
                  <w:noProof/>
                  <w:lang w:val="en-US"/>
                </w:rPr>
                <w:t xml:space="preserve">NATO. (1941, August 14). </w:t>
              </w:r>
              <w:r>
                <w:rPr>
                  <w:i/>
                  <w:iCs/>
                  <w:noProof/>
                  <w:lang w:val="en-US"/>
                </w:rPr>
                <w:t>'The Atlantic Charter'.</w:t>
              </w:r>
              <w:r>
                <w:rPr>
                  <w:noProof/>
                  <w:lang w:val="en-US"/>
                </w:rPr>
                <w:t xml:space="preserve"> Retrieved November 18, 2023, from https://www.nato.int/cps/en/natohq/official_texts_16912.htm</w:t>
              </w:r>
            </w:p>
            <w:p w14:paraId="567603AB" w14:textId="77777777" w:rsidR="00555052" w:rsidRDefault="00555052" w:rsidP="00555052">
              <w:pPr>
                <w:pStyle w:val="Bibliography"/>
                <w:ind w:left="720" w:hanging="720"/>
                <w:rPr>
                  <w:noProof/>
                  <w:lang w:val="en-US"/>
                </w:rPr>
              </w:pPr>
              <w:r>
                <w:rPr>
                  <w:noProof/>
                  <w:lang w:val="en-US"/>
                </w:rPr>
                <w:t xml:space="preserve">Potsdam Agreement, Protocol of the Proceedings, August 1. (1945). </w:t>
              </w:r>
              <w:r>
                <w:rPr>
                  <w:i/>
                  <w:iCs/>
                  <w:noProof/>
                  <w:lang w:val="en-US"/>
                </w:rPr>
                <w:t>A Decade of American Foreign Policy: 1941-49</w:t>
              </w:r>
              <w:r>
                <w:rPr>
                  <w:noProof/>
                  <w:lang w:val="en-US"/>
                </w:rPr>
                <w:t xml:space="preserve"> (pp. 1-16). Washington, DC: Government Printing Office.</w:t>
              </w:r>
            </w:p>
            <w:p w14:paraId="08778CD8" w14:textId="77777777" w:rsidR="00555052" w:rsidRDefault="00555052" w:rsidP="00555052">
              <w:pPr>
                <w:pStyle w:val="Bibliography"/>
                <w:ind w:left="720" w:hanging="720"/>
                <w:rPr>
                  <w:noProof/>
                  <w:lang w:val="en-US"/>
                </w:rPr>
              </w:pPr>
              <w:r>
                <w:rPr>
                  <w:noProof/>
                  <w:lang w:val="en-US"/>
                </w:rPr>
                <w:lastRenderedPageBreak/>
                <w:t xml:space="preserve">Rosenberg, N., &amp; Rosenberg, E. S. (1994). Rethinking Themes for Teaching the Era of the Cold War. </w:t>
              </w:r>
              <w:r>
                <w:rPr>
                  <w:i/>
                  <w:iCs/>
                  <w:noProof/>
                  <w:lang w:val="en-US"/>
                </w:rPr>
                <w:t>OAH Magazine of History, 8</w:t>
              </w:r>
              <w:r>
                <w:rPr>
                  <w:noProof/>
                  <w:lang w:val="en-US"/>
                </w:rPr>
                <w:t>(2), 5-9.</w:t>
              </w:r>
            </w:p>
            <w:p w14:paraId="6D62E626" w14:textId="77777777" w:rsidR="00555052" w:rsidRDefault="00555052" w:rsidP="00555052">
              <w:pPr>
                <w:pStyle w:val="Bibliography"/>
                <w:ind w:left="720" w:hanging="720"/>
                <w:rPr>
                  <w:noProof/>
                  <w:lang w:val="en-US"/>
                </w:rPr>
              </w:pPr>
              <w:r>
                <w:rPr>
                  <w:noProof/>
                  <w:lang w:val="en-US"/>
                </w:rPr>
                <w:t xml:space="preserve">Wilson Center Digital Archive. (1946). George Kennan's 'Long Telegram'. </w:t>
              </w:r>
              <w:r>
                <w:rPr>
                  <w:i/>
                  <w:iCs/>
                  <w:noProof/>
                  <w:lang w:val="en-US"/>
                </w:rPr>
                <w:t>Department of State Incoming Telegram</w:t>
              </w:r>
              <w:r>
                <w:rPr>
                  <w:noProof/>
                  <w:lang w:val="en-US"/>
                </w:rPr>
                <w:t xml:space="preserve"> (pp. 1-30). Washingston, DC: Wilson Center.</w:t>
              </w:r>
            </w:p>
            <w:p w14:paraId="06243C0A" w14:textId="77777777" w:rsidR="00555052" w:rsidRDefault="00555052" w:rsidP="00555052">
              <w:pPr>
                <w:pStyle w:val="Bibliography"/>
                <w:ind w:left="720" w:hanging="720"/>
                <w:rPr>
                  <w:noProof/>
                  <w:lang w:val="en-US"/>
                </w:rPr>
              </w:pPr>
              <w:r>
                <w:rPr>
                  <w:noProof/>
                  <w:lang w:val="en-US"/>
                </w:rPr>
                <w:t xml:space="preserve">Wilson Centre Digital Archive, National Archives. (1945). Yalta Conference Agreement, Declaration of a Liberated Europe. </w:t>
              </w:r>
              <w:r>
                <w:rPr>
                  <w:i/>
                  <w:iCs/>
                  <w:noProof/>
                  <w:lang w:val="en-US"/>
                </w:rPr>
                <w:t xml:space="preserve">Yalta (Crimea) Conference </w:t>
              </w:r>
              <w:r>
                <w:rPr>
                  <w:noProof/>
                  <w:lang w:val="en-US"/>
                </w:rPr>
                <w:t>(pp. 1-10). Yalta, Crimea: Wilson Center .</w:t>
              </w:r>
            </w:p>
            <w:p w14:paraId="7302EDD7" w14:textId="33A58C25" w:rsidR="00851830" w:rsidRDefault="00851830" w:rsidP="00555052">
              <w:r>
                <w:rPr>
                  <w:b/>
                  <w:bCs/>
                  <w:noProof/>
                </w:rPr>
                <w:fldChar w:fldCharType="end"/>
              </w:r>
            </w:p>
          </w:sdtContent>
        </w:sdt>
      </w:sdtContent>
    </w:sdt>
    <w:p w14:paraId="5F1C95A3" w14:textId="77777777" w:rsidR="00851830" w:rsidRDefault="00851830" w:rsidP="00EF7813">
      <w:pPr>
        <w:jc w:val="both"/>
      </w:pPr>
    </w:p>
    <w:sectPr w:rsidR="008518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AEFBE5" w14:textId="77777777" w:rsidR="009C7250" w:rsidRDefault="009C7250" w:rsidP="0087364B">
      <w:pPr>
        <w:spacing w:after="0" w:line="240" w:lineRule="auto"/>
      </w:pPr>
      <w:r>
        <w:separator/>
      </w:r>
    </w:p>
  </w:endnote>
  <w:endnote w:type="continuationSeparator" w:id="0">
    <w:p w14:paraId="73FD5C57" w14:textId="77777777" w:rsidR="009C7250" w:rsidRDefault="009C7250" w:rsidP="008736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07C71A" w14:textId="77777777" w:rsidR="009C7250" w:rsidRDefault="009C7250" w:rsidP="0087364B">
      <w:pPr>
        <w:spacing w:after="0" w:line="240" w:lineRule="auto"/>
      </w:pPr>
      <w:r>
        <w:separator/>
      </w:r>
    </w:p>
  </w:footnote>
  <w:footnote w:type="continuationSeparator" w:id="0">
    <w:p w14:paraId="59D26116" w14:textId="77777777" w:rsidR="009C7250" w:rsidRDefault="009C7250" w:rsidP="0087364B">
      <w:pPr>
        <w:spacing w:after="0" w:line="240" w:lineRule="auto"/>
      </w:pPr>
      <w:r>
        <w:continuationSeparator/>
      </w:r>
    </w:p>
  </w:footnote>
  <w:footnote w:id="1">
    <w:p w14:paraId="2F12279A" w14:textId="01159ADA" w:rsidR="00B23866" w:rsidRPr="003D3A1A" w:rsidRDefault="00B23866">
      <w:pPr>
        <w:pStyle w:val="FootnoteText"/>
        <w:rPr>
          <w:lang w:val="en-US"/>
        </w:rPr>
      </w:pPr>
      <w:r w:rsidRPr="003D3A1A">
        <w:rPr>
          <w:rStyle w:val="FootnoteReference"/>
        </w:rPr>
        <w:footnoteRef/>
      </w:r>
      <w:r w:rsidRPr="003D3A1A">
        <w:t xml:space="preserve"> Rosenberg, N., &amp; Rosenberg, E. S. (1994). Rethinking Themes for Teaching the Era of the Cold War. OAH Magazine of History, 8(2), </w:t>
      </w:r>
      <w:r w:rsidR="00247DDA">
        <w:t xml:space="preserve">pp. </w:t>
      </w:r>
      <w:r w:rsidRPr="003D3A1A">
        <w:t>5-9</w:t>
      </w:r>
    </w:p>
  </w:footnote>
  <w:footnote w:id="2">
    <w:p w14:paraId="67E6B0F7" w14:textId="4D481419" w:rsidR="0087364B" w:rsidRPr="003D3A1A" w:rsidRDefault="0087364B" w:rsidP="0087364B">
      <w:pPr>
        <w:pStyle w:val="Bibliography"/>
        <w:ind w:left="720" w:hanging="720"/>
        <w:rPr>
          <w:sz w:val="20"/>
          <w:szCs w:val="20"/>
          <w:lang w:val="en-US"/>
        </w:rPr>
      </w:pPr>
      <w:r w:rsidRPr="003D3A1A">
        <w:rPr>
          <w:rStyle w:val="FootnoteReference"/>
          <w:sz w:val="20"/>
          <w:szCs w:val="20"/>
        </w:rPr>
        <w:footnoteRef/>
      </w:r>
      <w:r w:rsidRPr="003D3A1A">
        <w:rPr>
          <w:sz w:val="20"/>
          <w:szCs w:val="20"/>
        </w:rPr>
        <w:t xml:space="preserve"> Davies, N. (1997). Europe: A History. Oxford: Oxford University Press. p.1028</w:t>
      </w:r>
    </w:p>
  </w:footnote>
  <w:footnote w:id="3">
    <w:p w14:paraId="296399A6" w14:textId="2D95A950" w:rsidR="00B1417D" w:rsidRPr="003D3A1A" w:rsidRDefault="00B1417D" w:rsidP="00803FAC">
      <w:pPr>
        <w:pStyle w:val="Bibliography"/>
        <w:rPr>
          <w:sz w:val="20"/>
          <w:szCs w:val="20"/>
          <w:lang w:val="en-US"/>
        </w:rPr>
      </w:pPr>
      <w:r w:rsidRPr="003D3A1A">
        <w:rPr>
          <w:rStyle w:val="FootnoteReference"/>
          <w:sz w:val="20"/>
          <w:szCs w:val="20"/>
        </w:rPr>
        <w:footnoteRef/>
      </w:r>
      <w:r w:rsidRPr="003D3A1A">
        <w:rPr>
          <w:sz w:val="20"/>
          <w:szCs w:val="20"/>
        </w:rPr>
        <w:t xml:space="preserve"> Davies, N. (1997). Europe: A History. Oxford: Oxford University Press. p.1036</w:t>
      </w:r>
    </w:p>
  </w:footnote>
  <w:footnote w:id="4">
    <w:p w14:paraId="04A4F1BB" w14:textId="3BF72D26" w:rsidR="00803FAC" w:rsidRPr="003D3A1A" w:rsidRDefault="00803FAC">
      <w:pPr>
        <w:pStyle w:val="FootnoteText"/>
        <w:rPr>
          <w:lang w:val="en-US"/>
        </w:rPr>
      </w:pPr>
      <w:r w:rsidRPr="003D3A1A">
        <w:rPr>
          <w:rStyle w:val="FootnoteReference"/>
        </w:rPr>
        <w:footnoteRef/>
      </w:r>
      <w:r w:rsidRPr="003D3A1A">
        <w:t xml:space="preserve"> Davis, L. E. (1974). The Cold War Begins. New Jersey: Princeton University Press. p.172</w:t>
      </w:r>
    </w:p>
  </w:footnote>
  <w:footnote w:id="5">
    <w:p w14:paraId="7105B15A" w14:textId="2719621E" w:rsidR="00803FAC" w:rsidRPr="003D3A1A" w:rsidRDefault="00803FAC">
      <w:pPr>
        <w:pStyle w:val="FootnoteText"/>
      </w:pPr>
      <w:r w:rsidRPr="003D3A1A">
        <w:rPr>
          <w:rStyle w:val="FootnoteReference"/>
        </w:rPr>
        <w:footnoteRef/>
      </w:r>
      <w:r w:rsidRPr="003D3A1A">
        <w:t xml:space="preserve"> </w:t>
      </w:r>
      <w:r w:rsidR="00EF3931" w:rsidRPr="003D3A1A">
        <w:t>Freedman, L. (1998). The Confrontation of the Superpowers, 1945-1990. In M. Howard, &amp; R. Louis (Eds.), The Oxford History of the Twentieth Century (pp. 153-164). New York: Oxford University Press. p.153</w:t>
      </w:r>
    </w:p>
  </w:footnote>
  <w:footnote w:id="6">
    <w:p w14:paraId="65558E4D" w14:textId="4F1155C5" w:rsidR="00803FAC" w:rsidRPr="00803FAC" w:rsidRDefault="00803FAC">
      <w:pPr>
        <w:pStyle w:val="FootnoteText"/>
        <w:rPr>
          <w:sz w:val="16"/>
          <w:szCs w:val="16"/>
          <w:lang w:val="en-US"/>
        </w:rPr>
      </w:pPr>
      <w:r w:rsidRPr="003D3A1A">
        <w:rPr>
          <w:rStyle w:val="FootnoteReference"/>
        </w:rPr>
        <w:footnoteRef/>
      </w:r>
      <w:r w:rsidRPr="003D3A1A">
        <w:t xml:space="preserve"> Wilson Centre Digital Archive, National Archives. (1945). Yalta Conference Agreement, Declaration of a Liberated Europe. Yalta (Crimea) Conference (pp. 1-10). Yalta, Crimea: Wilson Center.</w:t>
      </w:r>
      <w:r w:rsidR="00EF3931" w:rsidRPr="003D3A1A">
        <w:t xml:space="preserve"> </w:t>
      </w:r>
      <w:r w:rsidR="00247DDA">
        <w:t>p</w:t>
      </w:r>
      <w:r w:rsidR="00EF3931" w:rsidRPr="003D3A1A">
        <w:t>.1</w:t>
      </w:r>
    </w:p>
  </w:footnote>
  <w:footnote w:id="7">
    <w:p w14:paraId="070F63BF" w14:textId="6E78504D" w:rsidR="00A87A25" w:rsidRPr="003D3A1A" w:rsidRDefault="00A87A25" w:rsidP="00A87A25">
      <w:pPr>
        <w:pStyle w:val="Bibliography"/>
        <w:ind w:left="720" w:hanging="720"/>
        <w:rPr>
          <w:noProof/>
          <w:sz w:val="20"/>
          <w:szCs w:val="20"/>
          <w:lang w:val="en-US"/>
        </w:rPr>
      </w:pPr>
      <w:r w:rsidRPr="003D3A1A">
        <w:rPr>
          <w:rStyle w:val="FootnoteReference"/>
          <w:sz w:val="20"/>
          <w:szCs w:val="20"/>
        </w:rPr>
        <w:footnoteRef/>
      </w:r>
      <w:r w:rsidRPr="003D3A1A">
        <w:rPr>
          <w:sz w:val="20"/>
          <w:szCs w:val="20"/>
        </w:rPr>
        <w:t xml:space="preserve"> Potsdam Agreement, Protocol of the Proceedings, August 1. (1945). A Decade of American Foreign Policy: 1941-49 (pp. 1-16). Washington, DC: Government Printing Office.</w:t>
      </w:r>
      <w:r w:rsidR="004A544C" w:rsidRPr="003D3A1A">
        <w:rPr>
          <w:sz w:val="20"/>
          <w:szCs w:val="20"/>
        </w:rPr>
        <w:t xml:space="preserve"> p.1</w:t>
      </w:r>
    </w:p>
  </w:footnote>
  <w:footnote w:id="8">
    <w:p w14:paraId="58D433E1" w14:textId="18AD8160" w:rsidR="00A87A25" w:rsidRPr="003D3A1A" w:rsidRDefault="00A87A25">
      <w:pPr>
        <w:pStyle w:val="FootnoteText"/>
        <w:rPr>
          <w:lang w:val="en-US"/>
        </w:rPr>
      </w:pPr>
      <w:r w:rsidRPr="003D3A1A">
        <w:rPr>
          <w:rStyle w:val="FootnoteReference"/>
        </w:rPr>
        <w:footnoteRef/>
      </w:r>
      <w:r w:rsidR="00143B33" w:rsidRPr="003D3A1A">
        <w:t xml:space="preserve"> </w:t>
      </w:r>
      <w:r w:rsidRPr="003D3A1A">
        <w:t>Halle, L. (1967). The Cold War As History. London: Chatto and Windus.</w:t>
      </w:r>
      <w:r w:rsidR="004A544C" w:rsidRPr="003D3A1A">
        <w:t xml:space="preserve"> p.89</w:t>
      </w:r>
    </w:p>
  </w:footnote>
  <w:footnote w:id="9">
    <w:p w14:paraId="5329A3A2" w14:textId="61049D5C" w:rsidR="00FE351A" w:rsidRPr="003D3A1A" w:rsidRDefault="00FE351A">
      <w:pPr>
        <w:pStyle w:val="FootnoteText"/>
      </w:pPr>
      <w:r w:rsidRPr="003D3A1A">
        <w:rPr>
          <w:rStyle w:val="FootnoteReference"/>
        </w:rPr>
        <w:footnoteRef/>
      </w:r>
      <w:r w:rsidRPr="003D3A1A">
        <w:t xml:space="preserve"> Halle, L. (1967). The Cold War As History. London: Chatto and Windus. p.89</w:t>
      </w:r>
    </w:p>
  </w:footnote>
  <w:footnote w:id="10">
    <w:p w14:paraId="6D283334" w14:textId="16F9C13C" w:rsidR="00FE351A" w:rsidRPr="003D3A1A" w:rsidRDefault="00FE351A">
      <w:pPr>
        <w:pStyle w:val="FootnoteText"/>
      </w:pPr>
      <w:r w:rsidRPr="003D3A1A">
        <w:rPr>
          <w:rStyle w:val="FootnoteReference"/>
        </w:rPr>
        <w:footnoteRef/>
      </w:r>
      <w:r w:rsidRPr="003D3A1A">
        <w:t xml:space="preserve"> Halle, L. (1967). The Cold War As History. London: Chatto and Windus. p.89</w:t>
      </w:r>
    </w:p>
  </w:footnote>
  <w:footnote w:id="11">
    <w:p w14:paraId="2F5EEF6A" w14:textId="2E6E407E" w:rsidR="00C573A1" w:rsidRPr="003D3A1A" w:rsidRDefault="00C573A1">
      <w:pPr>
        <w:pStyle w:val="FootnoteText"/>
      </w:pPr>
      <w:r w:rsidRPr="003D3A1A">
        <w:rPr>
          <w:rStyle w:val="FootnoteReference"/>
        </w:rPr>
        <w:footnoteRef/>
      </w:r>
      <w:r w:rsidRPr="003D3A1A">
        <w:t xml:space="preserve"> Halle, L. (1967). The Cold War As History. London: Chatto and Windus. p.90</w:t>
      </w:r>
    </w:p>
  </w:footnote>
  <w:footnote w:id="12">
    <w:p w14:paraId="78674C8B" w14:textId="65F89EE0" w:rsidR="004A544C" w:rsidRPr="003D3A1A" w:rsidRDefault="004A544C">
      <w:pPr>
        <w:pStyle w:val="FootnoteText"/>
        <w:rPr>
          <w:lang w:val="en-US"/>
        </w:rPr>
      </w:pPr>
      <w:r w:rsidRPr="003D3A1A">
        <w:rPr>
          <w:rStyle w:val="FootnoteReference"/>
        </w:rPr>
        <w:footnoteRef/>
      </w:r>
      <w:r w:rsidRPr="003D3A1A">
        <w:t xml:space="preserve"> Potsdam Agreement, Protocol of the Proceedings, August 1. (1945). A Decade of American Foreign Policy: 1941-49 (pp. 1-16). Washington, DC: Government Printing Office. p.1</w:t>
      </w:r>
    </w:p>
  </w:footnote>
  <w:footnote w:id="13">
    <w:p w14:paraId="45600628" w14:textId="48B12C6E" w:rsidR="00C573A1" w:rsidRPr="003D3A1A" w:rsidRDefault="00C573A1">
      <w:pPr>
        <w:pStyle w:val="FootnoteText"/>
        <w:rPr>
          <w:lang w:val="en-US"/>
        </w:rPr>
      </w:pPr>
      <w:r w:rsidRPr="003D3A1A">
        <w:rPr>
          <w:rStyle w:val="FootnoteReference"/>
        </w:rPr>
        <w:footnoteRef/>
      </w:r>
      <w:r w:rsidRPr="003D3A1A">
        <w:t xml:space="preserve"> Potsdam Agreement, Protocol of the Proceedings, August 1. (1945). A Decade of American Foreign Policy: 1941-49 (pp. 1-16). Washington, DC: Government Printing Office. p.1</w:t>
      </w:r>
    </w:p>
  </w:footnote>
  <w:footnote w:id="14">
    <w:p w14:paraId="54191BA2" w14:textId="6A8431A1" w:rsidR="008B3C3B" w:rsidRPr="003D3A1A" w:rsidRDefault="008B3C3B" w:rsidP="008B3C3B">
      <w:pPr>
        <w:pStyle w:val="FootnoteText"/>
        <w:rPr>
          <w:lang w:val="en-US"/>
        </w:rPr>
      </w:pPr>
      <w:r w:rsidRPr="003D3A1A">
        <w:rPr>
          <w:rStyle w:val="FootnoteReference"/>
        </w:rPr>
        <w:footnoteRef/>
      </w:r>
      <w:r w:rsidRPr="003D3A1A">
        <w:t xml:space="preserve"> Potsdam Agreement, Protocol of the Proceedings, August 1. (1945). A Decade of American Foreign Policy: 1941-49 (pp. 1-16). Washington, DC: Government Printing Office. p.2</w:t>
      </w:r>
    </w:p>
    <w:p w14:paraId="056F6333" w14:textId="6245F96E" w:rsidR="008B3C3B" w:rsidRPr="008B3C3B" w:rsidRDefault="008B3C3B">
      <w:pPr>
        <w:pStyle w:val="FootnoteText"/>
        <w:rPr>
          <w:lang w:val="en-US"/>
        </w:rPr>
      </w:pPr>
    </w:p>
  </w:footnote>
  <w:footnote w:id="15">
    <w:p w14:paraId="42C1FD41" w14:textId="3163B5D7" w:rsidR="00555052" w:rsidRPr="00555052" w:rsidRDefault="00555052" w:rsidP="00555052">
      <w:pPr>
        <w:pStyle w:val="Bibliography"/>
        <w:ind w:left="720" w:hanging="720"/>
        <w:rPr>
          <w:noProof/>
          <w:lang w:val="en-US"/>
        </w:rPr>
      </w:pPr>
      <w:r>
        <w:rPr>
          <w:rStyle w:val="FootnoteReference"/>
        </w:rPr>
        <w:footnoteRef/>
      </w:r>
      <w:r>
        <w:t xml:space="preserve"> </w:t>
      </w:r>
      <w:r>
        <w:rPr>
          <w:noProof/>
          <w:lang w:val="en-US"/>
        </w:rPr>
        <w:t xml:space="preserve">NATO. (1941, August 14). </w:t>
      </w:r>
      <w:r>
        <w:rPr>
          <w:i/>
          <w:iCs/>
          <w:noProof/>
          <w:lang w:val="en-US"/>
        </w:rPr>
        <w:t>'The Atlantic Charter'.</w:t>
      </w:r>
      <w:r>
        <w:rPr>
          <w:noProof/>
          <w:lang w:val="en-US"/>
        </w:rPr>
        <w:t xml:space="preserve"> Retrieved November 18, 2023, from https://www.nato.int/cps/en/natohq/official_texts_16912.htm</w:t>
      </w:r>
    </w:p>
  </w:footnote>
  <w:footnote w:id="16">
    <w:p w14:paraId="3A32DCEB" w14:textId="0B8EEEA6" w:rsidR="00E14819" w:rsidRPr="003D3A1A" w:rsidRDefault="00E14819">
      <w:pPr>
        <w:pStyle w:val="FootnoteText"/>
        <w:rPr>
          <w:lang w:val="en-US"/>
        </w:rPr>
      </w:pPr>
      <w:r w:rsidRPr="003D3A1A">
        <w:rPr>
          <w:rStyle w:val="FootnoteReference"/>
        </w:rPr>
        <w:footnoteRef/>
      </w:r>
      <w:r w:rsidRPr="003D3A1A">
        <w:t xml:space="preserve"> Howard, M. (1998). The Confrontation of the Superpowers, 1945-1990. In M. Howard, &amp; R. Louis (Eds.), The Oxford History of the Twentieth Century (pp. 103-116). New York: Oxford University Press. p</w:t>
      </w:r>
      <w:r w:rsidR="00F13921" w:rsidRPr="003D3A1A">
        <w:t>p</w:t>
      </w:r>
      <w:r w:rsidRPr="003D3A1A">
        <w:t>.108-</w:t>
      </w:r>
      <w:r w:rsidR="00F13921" w:rsidRPr="003D3A1A">
        <w:t>109</w:t>
      </w:r>
    </w:p>
  </w:footnote>
  <w:footnote w:id="17">
    <w:p w14:paraId="4B9864EF" w14:textId="6A62723F" w:rsidR="00F13921" w:rsidRPr="003D3A1A" w:rsidRDefault="00F13921">
      <w:pPr>
        <w:pStyle w:val="FootnoteText"/>
        <w:rPr>
          <w:lang w:val="en-US"/>
        </w:rPr>
      </w:pPr>
      <w:r w:rsidRPr="003D3A1A">
        <w:rPr>
          <w:rStyle w:val="FootnoteReference"/>
        </w:rPr>
        <w:footnoteRef/>
      </w:r>
      <w:r w:rsidRPr="003D3A1A">
        <w:t xml:space="preserve"> </w:t>
      </w:r>
      <w:r w:rsidR="0078218F" w:rsidRPr="003D3A1A">
        <w:t>Howard, M. (1998). Europe In The Age Of Two World Wars. In M. Howard, &amp; R. Louis (Eds.), The Oxford History Of The Twentieth Century (pp. 103-116). New York: Oxford University Press. p.109</w:t>
      </w:r>
    </w:p>
  </w:footnote>
  <w:footnote w:id="18">
    <w:p w14:paraId="5DE3AFEB" w14:textId="46C79E3C" w:rsidR="003D3A1A" w:rsidRPr="003D3A1A" w:rsidRDefault="003D3A1A">
      <w:pPr>
        <w:pStyle w:val="FootnoteText"/>
        <w:rPr>
          <w:lang w:val="en-US"/>
        </w:rPr>
      </w:pPr>
      <w:r w:rsidRPr="003D3A1A">
        <w:rPr>
          <w:rStyle w:val="FootnoteReference"/>
        </w:rPr>
        <w:footnoteRef/>
      </w:r>
      <w:r w:rsidRPr="003D3A1A">
        <w:t xml:space="preserve"> Halle, L. (1967). The Cold War As History. London: Chatto and Windus. </w:t>
      </w:r>
      <w:r w:rsidR="00E32701">
        <w:t>p</w:t>
      </w:r>
      <w:r w:rsidRPr="003D3A1A">
        <w:t>.94</w:t>
      </w:r>
    </w:p>
  </w:footnote>
  <w:footnote w:id="19">
    <w:p w14:paraId="281C995C" w14:textId="2273E585" w:rsidR="003D3A1A" w:rsidRPr="003D3A1A" w:rsidRDefault="003D3A1A">
      <w:pPr>
        <w:pStyle w:val="FootnoteText"/>
        <w:rPr>
          <w:lang w:val="en-US"/>
        </w:rPr>
      </w:pPr>
      <w:r w:rsidRPr="003D3A1A">
        <w:rPr>
          <w:rStyle w:val="FootnoteReference"/>
        </w:rPr>
        <w:footnoteRef/>
      </w:r>
      <w:r w:rsidRPr="003D3A1A">
        <w:t xml:space="preserve"> Potsdam Agreement, Protocol of the Proceedings, August 1. (1945). A Decade of American Foreign Policy: 1941-49 (pp. 1-16). Washington, DC: Government Printing Office. </w:t>
      </w:r>
      <w:r w:rsidR="00E32701">
        <w:t>p</w:t>
      </w:r>
      <w:r w:rsidRPr="003D3A1A">
        <w:t>.16</w:t>
      </w:r>
    </w:p>
  </w:footnote>
  <w:footnote w:id="20">
    <w:p w14:paraId="53DC4347" w14:textId="7E6906F5" w:rsidR="0030607D" w:rsidRPr="0030607D" w:rsidRDefault="0030607D">
      <w:pPr>
        <w:pStyle w:val="FootnoteText"/>
        <w:rPr>
          <w:lang w:val="en-US"/>
        </w:rPr>
      </w:pPr>
      <w:r w:rsidRPr="003D3A1A">
        <w:rPr>
          <w:rStyle w:val="FootnoteReference"/>
        </w:rPr>
        <w:footnoteRef/>
      </w:r>
      <w:r w:rsidRPr="003D3A1A">
        <w:t xml:space="preserve"> Halle, L. (1967). The Cold War As History. London: Chatto and Windus. </w:t>
      </w:r>
      <w:r w:rsidR="00E32701">
        <w:t>p.96</w:t>
      </w:r>
    </w:p>
  </w:footnote>
  <w:footnote w:id="21">
    <w:p w14:paraId="5B24719A" w14:textId="13669B62" w:rsidR="00E32701" w:rsidRPr="00E32701" w:rsidRDefault="00E32701">
      <w:pPr>
        <w:pStyle w:val="FootnoteText"/>
        <w:rPr>
          <w:lang w:val="en-US"/>
        </w:rPr>
      </w:pPr>
      <w:r>
        <w:rPr>
          <w:rStyle w:val="FootnoteReference"/>
        </w:rPr>
        <w:footnoteRef/>
      </w:r>
      <w:r>
        <w:t xml:space="preserve"> </w:t>
      </w:r>
      <w:r w:rsidRPr="003D3A1A">
        <w:t xml:space="preserve">Halle, L. (1967). The Cold War As History. London: Chatto and Windus. </w:t>
      </w:r>
      <w:r w:rsidR="00247DDA">
        <w:t>p</w:t>
      </w:r>
      <w:r>
        <w:t>.1</w:t>
      </w:r>
    </w:p>
  </w:footnote>
  <w:footnote w:id="22">
    <w:p w14:paraId="4913F1BF" w14:textId="6BF4406A" w:rsidR="00247DDA" w:rsidRPr="00247DDA" w:rsidRDefault="00247DDA">
      <w:pPr>
        <w:pStyle w:val="FootnoteText"/>
        <w:rPr>
          <w:lang w:val="en-US"/>
        </w:rPr>
      </w:pPr>
      <w:r>
        <w:rPr>
          <w:rStyle w:val="FootnoteReference"/>
        </w:rPr>
        <w:footnoteRef/>
      </w:r>
      <w:r>
        <w:t xml:space="preserve"> </w:t>
      </w:r>
      <w:r w:rsidRPr="003D3A1A">
        <w:t xml:space="preserve">Halle, L. (1967). The Cold War As History. London: Chatto and Windus. </w:t>
      </w:r>
      <w:r>
        <w:t>P.1</w:t>
      </w:r>
    </w:p>
  </w:footnote>
  <w:footnote w:id="23">
    <w:p w14:paraId="26D00E23" w14:textId="2DE9D402" w:rsidR="00247DDA" w:rsidRPr="00247DDA" w:rsidRDefault="00247DDA">
      <w:pPr>
        <w:pStyle w:val="FootnoteText"/>
        <w:rPr>
          <w:lang w:val="en-US"/>
        </w:rPr>
      </w:pPr>
      <w:r>
        <w:rPr>
          <w:rStyle w:val="FootnoteReference"/>
        </w:rPr>
        <w:footnoteRef/>
      </w:r>
      <w:r>
        <w:t xml:space="preserve"> </w:t>
      </w:r>
      <w:r w:rsidRPr="003D3A1A">
        <w:t xml:space="preserve">Halle, L. (1967). The Cold War As History. London: Chatto and Windus. </w:t>
      </w:r>
      <w:r>
        <w:t>P.78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27203"/>
    <w:multiLevelType w:val="hybridMultilevel"/>
    <w:tmpl w:val="1E006B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9812EC"/>
    <w:multiLevelType w:val="hybridMultilevel"/>
    <w:tmpl w:val="561E0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4B55B9"/>
    <w:multiLevelType w:val="hybridMultilevel"/>
    <w:tmpl w:val="C9DA4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FA4FA2"/>
    <w:multiLevelType w:val="hybridMultilevel"/>
    <w:tmpl w:val="04D84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7C6CE2"/>
    <w:multiLevelType w:val="hybridMultilevel"/>
    <w:tmpl w:val="D318F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31858">
    <w:abstractNumId w:val="1"/>
  </w:num>
  <w:num w:numId="2" w16cid:durableId="180972395">
    <w:abstractNumId w:val="3"/>
  </w:num>
  <w:num w:numId="3" w16cid:durableId="2110734229">
    <w:abstractNumId w:val="4"/>
  </w:num>
  <w:num w:numId="4" w16cid:durableId="853686376">
    <w:abstractNumId w:val="2"/>
  </w:num>
  <w:num w:numId="5" w16cid:durableId="20356167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29E5"/>
    <w:rsid w:val="0000001A"/>
    <w:rsid w:val="00021E65"/>
    <w:rsid w:val="000479CF"/>
    <w:rsid w:val="00143B33"/>
    <w:rsid w:val="001603DA"/>
    <w:rsid w:val="001A758B"/>
    <w:rsid w:val="001F700B"/>
    <w:rsid w:val="002410BD"/>
    <w:rsid w:val="00247DDA"/>
    <w:rsid w:val="002C5F81"/>
    <w:rsid w:val="002E720B"/>
    <w:rsid w:val="0030607D"/>
    <w:rsid w:val="00350556"/>
    <w:rsid w:val="00376B3C"/>
    <w:rsid w:val="003D3A1A"/>
    <w:rsid w:val="003E437A"/>
    <w:rsid w:val="00410DDF"/>
    <w:rsid w:val="0041212F"/>
    <w:rsid w:val="00430376"/>
    <w:rsid w:val="004A544C"/>
    <w:rsid w:val="004F495D"/>
    <w:rsid w:val="004F4B6A"/>
    <w:rsid w:val="00555052"/>
    <w:rsid w:val="00563A5D"/>
    <w:rsid w:val="005916F7"/>
    <w:rsid w:val="005B3C97"/>
    <w:rsid w:val="00644F3C"/>
    <w:rsid w:val="006844D7"/>
    <w:rsid w:val="006A41A2"/>
    <w:rsid w:val="006A69BD"/>
    <w:rsid w:val="00753F66"/>
    <w:rsid w:val="0078218F"/>
    <w:rsid w:val="007C70F3"/>
    <w:rsid w:val="007F3096"/>
    <w:rsid w:val="00803FAC"/>
    <w:rsid w:val="00851830"/>
    <w:rsid w:val="0087364B"/>
    <w:rsid w:val="008B3C3B"/>
    <w:rsid w:val="008D3B2D"/>
    <w:rsid w:val="00906235"/>
    <w:rsid w:val="009347E7"/>
    <w:rsid w:val="00981DF9"/>
    <w:rsid w:val="009C7250"/>
    <w:rsid w:val="009E2117"/>
    <w:rsid w:val="009E42A3"/>
    <w:rsid w:val="00A61321"/>
    <w:rsid w:val="00A87A25"/>
    <w:rsid w:val="00AC62BD"/>
    <w:rsid w:val="00B1417D"/>
    <w:rsid w:val="00B23866"/>
    <w:rsid w:val="00B46D6C"/>
    <w:rsid w:val="00BA0257"/>
    <w:rsid w:val="00C02945"/>
    <w:rsid w:val="00C517A0"/>
    <w:rsid w:val="00C573A1"/>
    <w:rsid w:val="00C90BAB"/>
    <w:rsid w:val="00CB29E5"/>
    <w:rsid w:val="00D51C85"/>
    <w:rsid w:val="00D80265"/>
    <w:rsid w:val="00D91C57"/>
    <w:rsid w:val="00D97437"/>
    <w:rsid w:val="00DC1B7A"/>
    <w:rsid w:val="00DF49CD"/>
    <w:rsid w:val="00E126A1"/>
    <w:rsid w:val="00E14819"/>
    <w:rsid w:val="00E32701"/>
    <w:rsid w:val="00E51691"/>
    <w:rsid w:val="00ED7D93"/>
    <w:rsid w:val="00EF3931"/>
    <w:rsid w:val="00EF7813"/>
    <w:rsid w:val="00F13921"/>
    <w:rsid w:val="00F62F2A"/>
    <w:rsid w:val="00F8208B"/>
    <w:rsid w:val="00F973D2"/>
    <w:rsid w:val="00FD7E82"/>
    <w:rsid w:val="00FE351A"/>
    <w:rsid w:val="00FF7F9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AF2E0"/>
  <w15:docId w15:val="{2EE8FB11-6118-43D3-B07F-AF6FED85F2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1830"/>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6235"/>
    <w:pPr>
      <w:ind w:left="720"/>
      <w:contextualSpacing/>
    </w:pPr>
  </w:style>
  <w:style w:type="character" w:customStyle="1" w:styleId="Heading1Char">
    <w:name w:val="Heading 1 Char"/>
    <w:basedOn w:val="DefaultParagraphFont"/>
    <w:link w:val="Heading1"/>
    <w:uiPriority w:val="9"/>
    <w:rsid w:val="00851830"/>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851830"/>
  </w:style>
  <w:style w:type="paragraph" w:styleId="FootnoteText">
    <w:name w:val="footnote text"/>
    <w:basedOn w:val="Normal"/>
    <w:link w:val="FootnoteTextChar"/>
    <w:uiPriority w:val="99"/>
    <w:semiHidden/>
    <w:unhideWhenUsed/>
    <w:rsid w:val="0087364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7364B"/>
    <w:rPr>
      <w:sz w:val="20"/>
      <w:szCs w:val="20"/>
    </w:rPr>
  </w:style>
  <w:style w:type="character" w:styleId="FootnoteReference">
    <w:name w:val="footnote reference"/>
    <w:basedOn w:val="DefaultParagraphFont"/>
    <w:uiPriority w:val="99"/>
    <w:semiHidden/>
    <w:unhideWhenUsed/>
    <w:rsid w:val="0087364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585357">
      <w:bodyDiv w:val="1"/>
      <w:marLeft w:val="0"/>
      <w:marRight w:val="0"/>
      <w:marTop w:val="0"/>
      <w:marBottom w:val="0"/>
      <w:divBdr>
        <w:top w:val="none" w:sz="0" w:space="0" w:color="auto"/>
        <w:left w:val="none" w:sz="0" w:space="0" w:color="auto"/>
        <w:bottom w:val="none" w:sz="0" w:space="0" w:color="auto"/>
        <w:right w:val="none" w:sz="0" w:space="0" w:color="auto"/>
      </w:divBdr>
    </w:div>
    <w:div w:id="625815787">
      <w:bodyDiv w:val="1"/>
      <w:marLeft w:val="0"/>
      <w:marRight w:val="0"/>
      <w:marTop w:val="0"/>
      <w:marBottom w:val="0"/>
      <w:divBdr>
        <w:top w:val="none" w:sz="0" w:space="0" w:color="auto"/>
        <w:left w:val="none" w:sz="0" w:space="0" w:color="auto"/>
        <w:bottom w:val="none" w:sz="0" w:space="0" w:color="auto"/>
        <w:right w:val="none" w:sz="0" w:space="0" w:color="auto"/>
      </w:divBdr>
    </w:div>
    <w:div w:id="771320857">
      <w:bodyDiv w:val="1"/>
      <w:marLeft w:val="0"/>
      <w:marRight w:val="0"/>
      <w:marTop w:val="0"/>
      <w:marBottom w:val="0"/>
      <w:divBdr>
        <w:top w:val="none" w:sz="0" w:space="0" w:color="auto"/>
        <w:left w:val="none" w:sz="0" w:space="0" w:color="auto"/>
        <w:bottom w:val="none" w:sz="0" w:space="0" w:color="auto"/>
        <w:right w:val="none" w:sz="0" w:space="0" w:color="auto"/>
      </w:divBdr>
    </w:div>
    <w:div w:id="1178933149">
      <w:bodyDiv w:val="1"/>
      <w:marLeft w:val="0"/>
      <w:marRight w:val="0"/>
      <w:marTop w:val="0"/>
      <w:marBottom w:val="0"/>
      <w:divBdr>
        <w:top w:val="none" w:sz="0" w:space="0" w:color="auto"/>
        <w:left w:val="none" w:sz="0" w:space="0" w:color="auto"/>
        <w:bottom w:val="none" w:sz="0" w:space="0" w:color="auto"/>
        <w:right w:val="none" w:sz="0" w:space="0" w:color="auto"/>
      </w:divBdr>
    </w:div>
    <w:div w:id="1316689544">
      <w:bodyDiv w:val="1"/>
      <w:marLeft w:val="0"/>
      <w:marRight w:val="0"/>
      <w:marTop w:val="0"/>
      <w:marBottom w:val="0"/>
      <w:divBdr>
        <w:top w:val="none" w:sz="0" w:space="0" w:color="auto"/>
        <w:left w:val="none" w:sz="0" w:space="0" w:color="auto"/>
        <w:bottom w:val="none" w:sz="0" w:space="0" w:color="auto"/>
        <w:right w:val="none" w:sz="0" w:space="0" w:color="auto"/>
      </w:divBdr>
    </w:div>
    <w:div w:id="1501702342">
      <w:bodyDiv w:val="1"/>
      <w:marLeft w:val="0"/>
      <w:marRight w:val="0"/>
      <w:marTop w:val="0"/>
      <w:marBottom w:val="0"/>
      <w:divBdr>
        <w:top w:val="none" w:sz="0" w:space="0" w:color="auto"/>
        <w:left w:val="none" w:sz="0" w:space="0" w:color="auto"/>
        <w:bottom w:val="none" w:sz="0" w:space="0" w:color="auto"/>
        <w:right w:val="none" w:sz="0" w:space="0" w:color="auto"/>
      </w:divBdr>
    </w:div>
    <w:div w:id="1607620951">
      <w:bodyDiv w:val="1"/>
      <w:marLeft w:val="0"/>
      <w:marRight w:val="0"/>
      <w:marTop w:val="0"/>
      <w:marBottom w:val="0"/>
      <w:divBdr>
        <w:top w:val="none" w:sz="0" w:space="0" w:color="auto"/>
        <w:left w:val="none" w:sz="0" w:space="0" w:color="auto"/>
        <w:bottom w:val="none" w:sz="0" w:space="0" w:color="auto"/>
        <w:right w:val="none" w:sz="0" w:space="0" w:color="auto"/>
      </w:divBdr>
    </w:div>
    <w:div w:id="1818834332">
      <w:bodyDiv w:val="1"/>
      <w:marLeft w:val="0"/>
      <w:marRight w:val="0"/>
      <w:marTop w:val="0"/>
      <w:marBottom w:val="0"/>
      <w:divBdr>
        <w:top w:val="none" w:sz="0" w:space="0" w:color="auto"/>
        <w:left w:val="none" w:sz="0" w:space="0" w:color="auto"/>
        <w:bottom w:val="none" w:sz="0" w:space="0" w:color="auto"/>
        <w:right w:val="none" w:sz="0" w:space="0" w:color="auto"/>
      </w:divBdr>
    </w:div>
    <w:div w:id="1879706305">
      <w:bodyDiv w:val="1"/>
      <w:marLeft w:val="0"/>
      <w:marRight w:val="0"/>
      <w:marTop w:val="0"/>
      <w:marBottom w:val="0"/>
      <w:divBdr>
        <w:top w:val="none" w:sz="0" w:space="0" w:color="auto"/>
        <w:left w:val="none" w:sz="0" w:space="0" w:color="auto"/>
        <w:bottom w:val="none" w:sz="0" w:space="0" w:color="auto"/>
        <w:right w:val="none" w:sz="0" w:space="0" w:color="auto"/>
      </w:divBdr>
    </w:div>
    <w:div w:id="20432887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Wil45</b:Tag>
    <b:SourceType>ConferenceProceedings</b:SourceType>
    <b:Guid>{5293D2BD-FAB2-426D-98C6-A06E3D9CD49E}</b:Guid>
    <b:Title>Yalta Conference Agreement, Declaration of a Liberated Europe</b:Title>
    <b:Year>1945</b:Year>
    <b:City>Yalta, Crimea</b:City>
    <b:Publisher>Wilson Center </b:Publisher>
    <b:Pages>1-10</b:Pages>
    <b:Author>
      <b:Author>
        <b:Corporate>Wilson Centre Digital Archive, National Archives</b:Corporate>
      </b:Author>
    </b:Author>
    <b:ConferenceName>Yalta (Crimea) Conference </b:ConferenceName>
    <b:RefOrder>1</b:RefOrder>
  </b:Source>
  <b:Source>
    <b:Tag>Pot45</b:Tag>
    <b:SourceType>ConferenceProceedings</b:SourceType>
    <b:Guid>{459D4C97-2382-41EF-BCFC-AB068F6E7185}</b:Guid>
    <b:Title>Potsdam Agreement, Protocol of the Proceedings, August 1</b:Title>
    <b:Pages>1-16</b:Pages>
    <b:Year>1945</b:Year>
    <b:ConferenceName>A Decade of American Foreign Policy: 1941-49</b:ConferenceName>
    <b:City>Washington, DC</b:City>
    <b:Publisher>Government Printing Office</b:Publisher>
    <b:RefOrder>2</b:RefOrder>
  </b:Source>
  <b:Source>
    <b:Tag>Wil46</b:Tag>
    <b:SourceType>ConferenceProceedings</b:SourceType>
    <b:Guid>{505194F7-4642-4C54-B35D-6E4C211683CB}</b:Guid>
    <b:Author>
      <b:Author>
        <b:Corporate>Wilson Center Digital Archive</b:Corporate>
      </b:Author>
    </b:Author>
    <b:Title>George Kennan's 'Long Telegram'</b:Title>
    <b:Pages>1-30</b:Pages>
    <b:Year>1946</b:Year>
    <b:ConferenceName>Department of State Incoming Telegram</b:ConferenceName>
    <b:City>Washingston, DC</b:City>
    <b:Publisher>Wilson Center</b:Publisher>
    <b:RefOrder>3</b:RefOrder>
  </b:Source>
  <b:Source>
    <b:Tag>Lyn74</b:Tag>
    <b:SourceType>Book</b:SourceType>
    <b:Guid>{D5A803A5-FAD7-481E-9D81-F0B23D95E3E1}</b:Guid>
    <b:Title>The Cold War Begins</b:Title>
    <b:Year>1974</b:Year>
    <b:Author>
      <b:Author>
        <b:NameList>
          <b:Person>
            <b:Last>Davis</b:Last>
            <b:First>Lynn</b:First>
            <b:Middle>Etheridge</b:Middle>
          </b:Person>
        </b:NameList>
      </b:Author>
    </b:Author>
    <b:City>New Jersey</b:City>
    <b:Publisher>Princeton University Press</b:Publisher>
    <b:RefOrder>4</b:RefOrder>
  </b:Source>
  <b:Source>
    <b:Tag>Nor97</b:Tag>
    <b:SourceType>Book</b:SourceType>
    <b:Guid>{622545CD-EEF0-46E5-A5D2-DE8A193095F0}</b:Guid>
    <b:Title>Europe: A History</b:Title>
    <b:Year>1997</b:Year>
    <b:Author>
      <b:Author>
        <b:NameList>
          <b:Person>
            <b:Last>Davies</b:Last>
            <b:First>Norman</b:First>
          </b:Person>
        </b:NameList>
      </b:Author>
    </b:Author>
    <b:City>Oxford</b:City>
    <b:Publisher>Oxford University Press</b:Publisher>
    <b:RefOrder>5</b:RefOrder>
  </b:Source>
  <b:Source>
    <b:Tag>Fre98</b:Tag>
    <b:SourceType>BookSection</b:SourceType>
    <b:Guid>{08EA4107-7F07-4A37-A8AA-AADA7CF0E6F1}</b:Guid>
    <b:Title>The Confrontation of the Superpowers, 1945-1990</b:Title>
    <b:Year>1998</b:Year>
    <b:City>New York</b:City>
    <b:Publisher>Oxford University Press</b:Publisher>
    <b:Author>
      <b:Author>
        <b:NameList>
          <b:Person>
            <b:Last>Freedman</b:Last>
            <b:First>Lawrence</b:First>
          </b:Person>
        </b:NameList>
      </b:Author>
      <b:Editor>
        <b:NameList>
          <b:Person>
            <b:Last>Howard</b:Last>
            <b:First>MIchael</b:First>
          </b:Person>
          <b:Person>
            <b:Last>Louis</b:Last>
            <b:First>Roger</b:First>
          </b:Person>
        </b:NameList>
      </b:Editor>
    </b:Author>
    <b:BookTitle>The Oxford History of the Twentieth Century</b:BookTitle>
    <b:Pages>153-164</b:Pages>
    <b:RefOrder>6</b:RefOrder>
  </b:Source>
  <b:Source>
    <b:Tag>Lou67</b:Tag>
    <b:SourceType>Book</b:SourceType>
    <b:Guid>{CB22881D-3FBC-4B67-B8B1-151644DF9C1E}</b:Guid>
    <b:Title>The Cold War As History</b:Title>
    <b:Year>1967</b:Year>
    <b:City>London</b:City>
    <b:Publisher>Chatto and Windus</b:Publisher>
    <b:Author>
      <b:Author>
        <b:NameList>
          <b:Person>
            <b:Last>Halle</b:Last>
            <b:First>Louis</b:First>
          </b:Person>
        </b:NameList>
      </b:Author>
    </b:Author>
    <b:RefOrder>7</b:RefOrder>
  </b:Source>
  <b:Source>
    <b:Tag>How98</b:Tag>
    <b:SourceType>BookSection</b:SourceType>
    <b:Guid>{79C6CA2F-9E51-40CE-A29F-3BE57BF92D7B}</b:Guid>
    <b:Author>
      <b:Author>
        <b:NameList>
          <b:Person>
            <b:Last>Howard</b:Last>
            <b:First>Michael</b:First>
          </b:Person>
        </b:NameList>
      </b:Author>
      <b:Editor>
        <b:NameList>
          <b:Person>
            <b:Last>Howard</b:Last>
            <b:First>MIchael</b:First>
          </b:Person>
          <b:Person>
            <b:Last>Louis</b:Last>
            <b:First>Roger</b:First>
          </b:Person>
        </b:NameList>
      </b:Editor>
    </b:Author>
    <b:Title>Europe In The Age Of Two World Wars</b:Title>
    <b:BookTitle>The Oxford History Of The Twentieth Century</b:BookTitle>
    <b:Year>1998</b:Year>
    <b:Pages>103-116</b:Pages>
    <b:City>New York</b:City>
    <b:Publisher>Oxford University Press</b:Publisher>
    <b:RefOrder>8</b:RefOrder>
  </b:Source>
  <b:Source>
    <b:Tag>Ros94</b:Tag>
    <b:SourceType>JournalArticle</b:SourceType>
    <b:Guid>{8F582EBF-9D45-40C0-A358-2B45B6B41040}</b:Guid>
    <b:Title>Rethinking Themes for Teaching the Era of the Cold War</b:Title>
    <b:Year>1994</b:Year>
    <b:Pages>5-9</b:Pages>
    <b:Publisher>Oxford University Press</b:Publisher>
    <b:Author>
      <b:Author>
        <b:NameList>
          <b:Person>
            <b:Last>Rosenberg</b:Last>
            <b:First>Norman</b:First>
          </b:Person>
          <b:Person>
            <b:Last>Rosenberg</b:Last>
            <b:Middle>S.</b:Middle>
            <b:First>Emily</b:First>
          </b:Person>
        </b:NameList>
      </b:Author>
    </b:Author>
    <b:JournalName>OAH Magazine of History</b:JournalName>
    <b:Volume>8</b:Volume>
    <b:Issue>2</b:Issue>
    <b:RefOrder>9</b:RefOrder>
  </b:Source>
  <b:Source>
    <b:Tag>NAT41</b:Tag>
    <b:SourceType>DocumentFromInternetSite</b:SourceType>
    <b:Guid>{CAE2BCC3-1132-4797-A648-A67EF083814C}</b:Guid>
    <b:Author>
      <b:Author>
        <b:Corporate>NATO</b:Corporate>
      </b:Author>
    </b:Author>
    <b:Title>'The Atlantic Charter'</b:Title>
    <b:Year>1941</b:Year>
    <b:Month>August</b:Month>
    <b:Day>14</b:Day>
    <b:URL>https://www.nato.int/cps/en/natohq/official_texts_16912.htm</b:URL>
    <b:YearAccessed>2023</b:YearAccessed>
    <b:MonthAccessed>November</b:MonthAccessed>
    <b:DayAccessed>18</b:DayAccessed>
    <b:RefOrder>10</b:RefOrder>
  </b:Source>
</b:Sources>
</file>

<file path=customXml/itemProps1.xml><?xml version="1.0" encoding="utf-8"?>
<ds:datastoreItem xmlns:ds="http://schemas.openxmlformats.org/officeDocument/2006/customXml" ds:itemID="{E4FD564B-DB5B-498F-A41E-8524C9D078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392</TotalTime>
  <Pages>6</Pages>
  <Words>1958</Words>
  <Characters>11167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Ferguson</dc:creator>
  <cp:keywords/>
  <dc:description/>
  <cp:lastModifiedBy>Elis Williams-Huw (2100766)</cp:lastModifiedBy>
  <cp:revision>11</cp:revision>
  <dcterms:created xsi:type="dcterms:W3CDTF">2023-11-16T15:04:00Z</dcterms:created>
  <dcterms:modified xsi:type="dcterms:W3CDTF">2023-11-19T23:51:00Z</dcterms:modified>
</cp:coreProperties>
</file>