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Helvetica Neue" w:cs="Helvetica Neue" w:hAnsi="Helvetica Neue" w:eastAsia="Helvetica Neue"/>
          <w:caps w:val="0"/>
          <w:smallCaps w:val="0"/>
          <w:strike w:val="0"/>
          <w:dstrike w:val="0"/>
          <w:outline w:val="0"/>
          <w:color w:val="000000"/>
          <w:spacing w:val="0"/>
          <w:kern w:val="0"/>
          <w:position w:val="0"/>
          <w:sz w:val="30"/>
          <w:szCs w:val="30"/>
          <w:u w:val="none" w:color="000000"/>
          <w:shd w:val="nil" w:color="auto" w:fill="auto"/>
          <w:vertAlign w:val="baseline"/>
          <w14:textOutline w14:w="12700" w14:cap="flat">
            <w14:noFill/>
            <w14:miter w14:lim="400000"/>
          </w14:textOutline>
          <w14:textFill>
            <w14:solidFill>
              <w14:srgbClr w14:val="000000"/>
            </w14:solidFill>
          </w14:textFill>
        </w:rPr>
      </w:pPr>
      <w:r>
        <w:rPr>
          <w:rFonts w:ascii="Helvetica Neue" w:cs="Helvetica Neue" w:hAnsi="Helvetica Neue" w:eastAsia="Helvetica Neue"/>
          <w:caps w:val="0"/>
          <w:smallCaps w:val="0"/>
          <w:strike w:val="0"/>
          <w:dstrike w:val="0"/>
          <w:outline w:val="0"/>
          <w:color w:val="000000"/>
          <w:spacing w:val="0"/>
          <w:kern w:val="0"/>
          <w:position w:val="0"/>
          <w:sz w:val="30"/>
          <w:szCs w:val="30"/>
          <w:u w:val="none" w:color="000000"/>
          <w:shd w:val="nil" w:color="auto" w:fill="auto"/>
          <w:vertAlign w:val="baseline"/>
          <w14:textOutline w14:w="12700" w14:cap="flat">
            <w14:noFill/>
            <w14:miter w14:lim="400000"/>
          </w14:textOutline>
          <w14:textFill>
            <w14:solidFill>
              <w14:srgbClr w14:val="000000"/>
            </w14:solidFill>
          </w14:textFill>
        </w:rPr>
        <w:drawing xmlns:a="http://schemas.openxmlformats.org/drawingml/2006/main">
          <wp:anchor distT="152400" distB="152400" distL="152400" distR="152400" simplePos="0" relativeHeight="251659264" behindDoc="0" locked="0" layoutInCell="1" allowOverlap="1">
            <wp:simplePos x="0" y="0"/>
            <wp:positionH relativeFrom="page">
              <wp:posOffset>368926</wp:posOffset>
            </wp:positionH>
            <wp:positionV relativeFrom="line">
              <wp:posOffset>148589</wp:posOffset>
            </wp:positionV>
            <wp:extent cx="2705849" cy="895014"/>
            <wp:effectExtent l="0" t="0" r="0" b="0"/>
            <wp:wrapThrough wrapText="bothSides" distL="152400" distR="152400">
              <wp:wrapPolygon edited="1">
                <wp:start x="0" y="0"/>
                <wp:lineTo x="21600" y="0"/>
                <wp:lineTo x="21600" y="21600"/>
                <wp:lineTo x="0" y="21600"/>
                <wp:lineTo x="0" y="0"/>
              </wp:wrapPolygon>
            </wp:wrapThrough>
            <wp:docPr id="1073741825" name="officeArt object" descr="Unknown.png"/>
            <wp:cNvGraphicFramePr/>
            <a:graphic xmlns:a="http://schemas.openxmlformats.org/drawingml/2006/main">
              <a:graphicData uri="http://schemas.openxmlformats.org/drawingml/2006/picture">
                <pic:pic xmlns:pic="http://schemas.openxmlformats.org/drawingml/2006/picture">
                  <pic:nvPicPr>
                    <pic:cNvPr id="1073741825" name="Unknown.png" descr="Unknown.png"/>
                    <pic:cNvPicPr>
                      <a:picLocks noChangeAspect="1"/>
                    </pic:cNvPicPr>
                  </pic:nvPicPr>
                  <pic:blipFill>
                    <a:blip r:embed="rId4">
                      <a:extLst/>
                    </a:blip>
                    <a:stretch>
                      <a:fillRect/>
                    </a:stretch>
                  </pic:blipFill>
                  <pic:spPr>
                    <a:xfrm>
                      <a:off x="0" y="0"/>
                      <a:ext cx="2705849" cy="895014"/>
                    </a:xfrm>
                    <a:prstGeom prst="rect">
                      <a:avLst/>
                    </a:prstGeom>
                    <a:ln w="12700" cap="flat">
                      <a:noFill/>
                      <a:miter lim="400000"/>
                    </a:ln>
                    <a:effectLst/>
                  </pic:spPr>
                </pic:pic>
              </a:graphicData>
            </a:graphic>
          </wp:anchor>
        </w:drawing>
      </w:r>
    </w:p>
    <w:p>
      <w:pPr>
        <w:pStyle w:val="Body"/>
        <w:rPr>
          <w:rFonts w:ascii="Helvetica Neue" w:cs="Helvetica Neue" w:hAnsi="Helvetica Neue" w:eastAsia="Helvetica Neue"/>
          <w:caps w:val="0"/>
          <w:smallCaps w:val="0"/>
          <w:strike w:val="0"/>
          <w:dstrike w:val="0"/>
          <w:outline w:val="0"/>
          <w:color w:val="000000"/>
          <w:spacing w:val="0"/>
          <w:kern w:val="0"/>
          <w:position w:val="0"/>
          <w:sz w:val="30"/>
          <w:szCs w:val="3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jc w:val="center"/>
        <w:rPr>
          <w:rFonts w:ascii="Arial" w:cs="Arial" w:hAnsi="Arial" w:eastAsia="Arial"/>
          <w:caps w:val="0"/>
          <w:smallCaps w:val="0"/>
          <w:strike w:val="0"/>
          <w:dstrike w:val="0"/>
          <w:outline w:val="0"/>
          <w:color w:val="000000"/>
          <w:spacing w:val="0"/>
          <w:kern w:val="0"/>
          <w:position w:val="0"/>
          <w:u w:val="none" w:color="000000"/>
          <w:shd w:val="nil" w:color="auto" w:fill="auto"/>
          <w:vertAlign w:val="baseline"/>
          <w14:textOutline w14:w="12700" w14:cap="flat">
            <w14:noFill/>
            <w14:miter w14:lim="400000"/>
          </w14:textOutline>
          <w14:textFill>
            <w14:solidFill>
              <w14:srgbClr w14:val="000000"/>
            </w14:solidFill>
          </w14:textFill>
        </w:rPr>
      </w:pPr>
    </w:p>
    <w:p>
      <w:pPr>
        <w:pStyle w:val="Default"/>
        <w:spacing w:before="0" w:after="240"/>
        <w:jc w:val="center"/>
        <w:rPr>
          <w:rFonts w:ascii="Arial" w:cs="Arial" w:hAnsi="Arial" w:eastAsia="Arial"/>
          <w:b w:val="1"/>
          <w:bCs w:val="1"/>
          <w:sz w:val="28"/>
          <w:szCs w:val="28"/>
        </w:rPr>
      </w:pPr>
      <w:r>
        <w:rPr>
          <w:rFonts w:ascii="Arial" w:hAnsi="Arial"/>
          <w:b w:val="1"/>
          <w:bCs w:val="1"/>
          <w:sz w:val="28"/>
          <w:szCs w:val="28"/>
          <w:rtl w:val="0"/>
          <w:lang w:val="en-US"/>
        </w:rPr>
        <w:t>The Global Business Environment (LCBB4005)</w:t>
      </w:r>
    </w:p>
    <w:p>
      <w:pPr>
        <w:pStyle w:val="Subtitle"/>
        <w:jc w:val="center"/>
        <w:rPr>
          <w:rFonts w:ascii="Arial" w:cs="Arial" w:hAnsi="Arial" w:eastAsia="Arial"/>
          <w:sz w:val="28"/>
          <w:szCs w:val="28"/>
          <w:u w:color="000000"/>
          <w:lang w:val="en-US"/>
          <w14:textOutline w14:w="12700" w14:cap="flat">
            <w14:noFill/>
            <w14:miter w14:lim="400000"/>
          </w14:textOutline>
        </w:rPr>
      </w:pPr>
    </w:p>
    <w:p>
      <w:pPr>
        <w:pStyle w:val="Subtitle"/>
        <w:jc w:val="center"/>
        <w:rPr>
          <w:rFonts w:ascii="Arial" w:cs="Arial" w:hAnsi="Arial" w:eastAsia="Arial"/>
          <w:sz w:val="32"/>
          <w:szCs w:val="32"/>
        </w:rPr>
      </w:pPr>
      <w:r>
        <w:rPr>
          <w:rFonts w:ascii="Arial" w:hAnsi="Arial"/>
          <w:sz w:val="32"/>
          <w:szCs w:val="32"/>
          <w:rtl w:val="0"/>
          <w:lang w:val="en-US"/>
        </w:rPr>
        <w:t xml:space="preserve">Lectures Names: </w:t>
      </w:r>
      <w:r>
        <w:rPr>
          <w:rFonts w:ascii="Arial" w:hAnsi="Arial"/>
          <w:sz w:val="32"/>
          <w:szCs w:val="32"/>
          <w:rtl w:val="0"/>
        </w:rPr>
        <w:t>Dr Gregory Cowan</w:t>
      </w:r>
    </w:p>
    <w:p>
      <w:pPr>
        <w:pStyle w:val="Subtitle"/>
        <w:jc w:val="center"/>
        <w:rPr>
          <w:rFonts w:ascii="Arial" w:cs="Arial" w:hAnsi="Arial" w:eastAsia="Aria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Title"/>
        <w:jc w:val="center"/>
        <w:rPr>
          <w:rFonts w:ascii="Arial" w:cs="Arial" w:hAnsi="Arial" w:eastAsia="Arial"/>
          <w:sz w:val="28"/>
          <w:szCs w:val="28"/>
          <w:u w:color="000000"/>
          <w14:textOutline w14:w="12700" w14:cap="flat">
            <w14:noFill/>
            <w14:miter w14:lim="400000"/>
          </w14:textOutline>
        </w:rPr>
      </w:pPr>
      <w:r>
        <w:rPr>
          <w:rFonts w:ascii="Arial" w:hAnsi="Arial"/>
          <w:sz w:val="28"/>
          <w:szCs w:val="28"/>
          <w:u w:color="000000"/>
          <w:rtl w:val="0"/>
          <w:lang w:val="en-US"/>
          <w14:textOutline w14:w="12700" w14:cap="flat">
            <w14:noFill/>
            <w14:miter w14:lim="400000"/>
          </w14:textOutline>
        </w:rPr>
        <w:t>Assessment 2</w:t>
      </w: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heading 4"/>
        <w:rPr>
          <w:rFonts w:ascii="Arial" w:cs="Arial" w:hAnsi="Arial" w:eastAsia="Arial"/>
          <w:sz w:val="28"/>
          <w:szCs w:val="28"/>
        </w:rPr>
      </w:pPr>
      <w:bookmarkStart w:name="_Toc" w:id="0"/>
      <w:r>
        <w:rPr>
          <w:rFonts w:ascii="Arial" w:hAnsi="Arial"/>
          <w:sz w:val="28"/>
          <w:szCs w:val="28"/>
          <w:rtl w:val="0"/>
          <w:lang w:val="en-US"/>
        </w:rPr>
        <w:t>Environmental Analysis of the Fashion Industry</w:t>
      </w:r>
      <w:bookmarkEnd w:id="0"/>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r>
        <w:rPr>
          <w:rFonts w:ascii="Arial" w:hAnsi="Arial"/>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Student Names: Manuela Manolova</w:t>
      </w:r>
    </w:p>
    <w:p>
      <w:pPr>
        <w:pStyle w:val="Body"/>
        <w:rPr>
          <w:rFonts w:ascii="Arial" w:cs="Arial" w:hAnsi="Arial" w:eastAsia="Arial"/>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pPr>
      <w:r>
        <w:rPr>
          <w:rFonts w:ascii="Arial" w:hAnsi="Arial"/>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Student ID: 2018271</w:t>
      </w:r>
    </w:p>
    <w:p>
      <w:pPr>
        <w:pStyle w:val="Body A"/>
      </w:pPr>
    </w:p>
    <w:p>
      <w:pPr>
        <w:pStyle w:val="Body A"/>
        <w:jc w:val="center"/>
      </w:pPr>
    </w:p>
    <w:p>
      <w:pPr>
        <w:pStyle w:val="Body A"/>
        <w:rPr>
          <w:rFonts w:ascii="Times New Roman" w:cs="Times New Roman" w:hAnsi="Times New Roman" w:eastAsia="Times New Roman"/>
        </w:rPr>
      </w:pPr>
    </w:p>
    <w:p>
      <w:pPr>
        <w:pStyle w:val="TOC Heading"/>
        <w:rPr>
          <w:rFonts w:ascii="Times New Roman" w:cs="Times New Roman" w:hAnsi="Times New Roman" w:eastAsia="Times New Roman"/>
          <w:sz w:val="24"/>
          <w:szCs w:val="24"/>
        </w:rPr>
      </w:pPr>
      <w:r>
        <w:rPr>
          <w:rFonts w:ascii="Times New Roman" w:hAnsi="Times New Roman"/>
          <w:sz w:val="24"/>
          <w:szCs w:val="24"/>
          <w:rtl w:val="0"/>
          <w:lang w:val="en-US"/>
        </w:rPr>
        <w:t>Table of Contents</w:t>
      </w:r>
    </w:p>
    <w:p>
      <w:pPr>
        <w:pStyle w:val="Body A"/>
      </w:pP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TOC \o 1-3 \t "heading 4, 4"</w:instrText>
      </w:r>
      <w:r>
        <w:rPr>
          <w:rFonts w:ascii="Times New Roman" w:cs="Times New Roman" w:hAnsi="Times New Roman" w:eastAsia="Times New Roman"/>
          <w:sz w:val="24"/>
          <w:szCs w:val="24"/>
        </w:rPr>
        <w:fldChar w:fldCharType="separate" w:fldLock="0"/>
      </w:r>
    </w:p>
    <w:p>
      <w:pPr>
        <w:pStyle w:val="TOC 4"/>
      </w:pPr>
      <w:r>
        <w:rPr>
          <w:rFonts w:cs="Arial Unicode MS" w:eastAsia="Arial Unicode MS"/>
          <w:rtl w:val="0"/>
          <w:lang w:val="en-US"/>
        </w:rPr>
        <w:t>Environmental Analysis of the Fashion Industry</w:t>
        <w:tab/>
      </w:r>
      <w:r>
        <w:rPr/>
        <w:fldChar w:fldCharType="begin" w:fldLock="0"/>
      </w:r>
      <w:r>
        <w:instrText xml:space="preserve"> PAGEREF _Toc \h </w:instrText>
      </w:r>
      <w:r>
        <w:rPr/>
        <w:fldChar w:fldCharType="separate" w:fldLock="0"/>
      </w:r>
      <w:r>
        <w:rPr>
          <w:rFonts w:cs="Arial Unicode MS" w:eastAsia="Arial Unicode MS"/>
          <w:rtl w:val="0"/>
        </w:rPr>
        <w:t>1</w:t>
      </w:r>
      <w:r>
        <w:rPr/>
        <w:fldChar w:fldCharType="end" w:fldLock="0"/>
      </w:r>
    </w:p>
    <w:p>
      <w:pPr>
        <w:pStyle w:val="TOC 1"/>
      </w:pPr>
      <w:r>
        <w:rPr>
          <w:rFonts w:cs="Arial Unicode MS" w:eastAsia="Arial Unicode MS"/>
          <w:rtl w:val="0"/>
        </w:rPr>
        <w:t>Introduction</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numPr>
          <w:ilvl w:val="0"/>
          <w:numId w:val="1"/>
        </w:numPr>
      </w:pPr>
      <w:r>
        <w:rPr>
          <w:rFonts w:cs="Arial Unicode MS" w:eastAsia="Arial Unicode MS"/>
          <w:rtl w:val="0"/>
        </w:rPr>
        <w:t>Analysis of Recent Changes in the Business Model of Marks &amp; Spencer</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1"/>
        <w:numPr>
          <w:ilvl w:val="0"/>
          <w:numId w:val="1"/>
        </w:numPr>
      </w:pPr>
      <w:r>
        <w:rPr>
          <w:rFonts w:cs="Arial Unicode MS" w:eastAsia="Arial Unicode MS"/>
          <w:rtl w:val="0"/>
        </w:rPr>
        <w:t>Effects of the Changes on the Competitiveness of Marks &amp; Spencer</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PESTEL Analysis of Marks &amp; Spencer</w:t>
        <w:tab/>
      </w:r>
      <w:r>
        <w:rPr/>
        <w:fldChar w:fldCharType="begin" w:fldLock="0"/>
      </w:r>
      <w:r>
        <w:instrText xml:space="preserve"> PAGEREF _Toc4 \h </w:instrText>
      </w:r>
      <w:r>
        <w:rPr/>
        <w:fldChar w:fldCharType="separate" w:fldLock="0"/>
      </w:r>
      <w:r>
        <w:rPr>
          <w:rFonts w:cs="Arial Unicode MS" w:eastAsia="Arial Unicode MS"/>
          <w:rtl w:val="0"/>
        </w:rPr>
        <w:t>5</w:t>
      </w:r>
      <w:r>
        <w:rPr/>
        <w:fldChar w:fldCharType="end" w:fldLock="0"/>
      </w:r>
    </w:p>
    <w:p>
      <w:pPr>
        <w:pStyle w:val="TOC 3"/>
      </w:pPr>
      <w:r>
        <w:rPr>
          <w:rFonts w:cs="Arial Unicode MS" w:eastAsia="Arial Unicode MS"/>
          <w:rtl w:val="0"/>
        </w:rPr>
        <w:t>Political Factors</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3"/>
      </w:pPr>
      <w:r>
        <w:rPr>
          <w:rFonts w:cs="Arial Unicode MS" w:eastAsia="Arial Unicode MS"/>
          <w:rtl w:val="0"/>
        </w:rPr>
        <w:t>Economic Factors</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3"/>
      </w:pPr>
      <w:r>
        <w:rPr>
          <w:rFonts w:cs="Arial Unicode MS" w:eastAsia="Arial Unicode MS"/>
          <w:rtl w:val="0"/>
        </w:rPr>
        <w:t>Social Factors</w:t>
        <w:tab/>
      </w:r>
      <w:r>
        <w:rPr/>
        <w:fldChar w:fldCharType="begin" w:fldLock="0"/>
      </w:r>
      <w:r>
        <w:instrText xml:space="preserve"> PAGEREF _Toc7 \h </w:instrText>
      </w:r>
      <w:r>
        <w:rPr/>
        <w:fldChar w:fldCharType="separate" w:fldLock="0"/>
      </w:r>
      <w:r>
        <w:rPr>
          <w:rFonts w:cs="Arial Unicode MS" w:eastAsia="Arial Unicode MS"/>
          <w:rtl w:val="0"/>
        </w:rPr>
        <w:t>7</w:t>
      </w:r>
      <w:r>
        <w:rPr/>
        <w:fldChar w:fldCharType="end" w:fldLock="0"/>
      </w:r>
    </w:p>
    <w:p>
      <w:pPr>
        <w:pStyle w:val="TOC 3"/>
      </w:pPr>
      <w:r>
        <w:rPr>
          <w:rFonts w:cs="Arial Unicode MS" w:eastAsia="Arial Unicode MS"/>
          <w:rtl w:val="0"/>
        </w:rPr>
        <w:t>Technological Factors</w:t>
        <w:tab/>
      </w:r>
      <w:r>
        <w:rPr/>
        <w:fldChar w:fldCharType="begin" w:fldLock="0"/>
      </w:r>
      <w:r>
        <w:instrText xml:space="preserve"> PAGEREF _Toc8 \h </w:instrText>
      </w:r>
      <w:r>
        <w:rPr/>
        <w:fldChar w:fldCharType="separate" w:fldLock="0"/>
      </w:r>
      <w:r>
        <w:rPr>
          <w:rFonts w:cs="Arial Unicode MS" w:eastAsia="Arial Unicode MS"/>
          <w:rtl w:val="0"/>
        </w:rPr>
        <w:t>7</w:t>
      </w:r>
      <w:r>
        <w:rPr/>
        <w:fldChar w:fldCharType="end" w:fldLock="0"/>
      </w:r>
    </w:p>
    <w:p>
      <w:pPr>
        <w:pStyle w:val="TOC 3"/>
      </w:pPr>
      <w:r>
        <w:rPr>
          <w:rFonts w:cs="Arial Unicode MS" w:eastAsia="Arial Unicode MS"/>
          <w:rtl w:val="0"/>
        </w:rPr>
        <w:t>Environmental Factors</w:t>
        <w:tab/>
      </w:r>
      <w:r>
        <w:rPr/>
        <w:fldChar w:fldCharType="begin" w:fldLock="0"/>
      </w:r>
      <w:r>
        <w:instrText xml:space="preserve"> PAGEREF _Toc9 \h </w:instrText>
      </w:r>
      <w:r>
        <w:rPr/>
        <w:fldChar w:fldCharType="separate" w:fldLock="0"/>
      </w:r>
      <w:r>
        <w:rPr>
          <w:rFonts w:cs="Arial Unicode MS" w:eastAsia="Arial Unicode MS"/>
          <w:rtl w:val="0"/>
        </w:rPr>
        <w:t>8</w:t>
      </w:r>
      <w:r>
        <w:rPr/>
        <w:fldChar w:fldCharType="end" w:fldLock="0"/>
      </w:r>
    </w:p>
    <w:p>
      <w:pPr>
        <w:pStyle w:val="TOC 3"/>
      </w:pPr>
      <w:r>
        <w:rPr>
          <w:rFonts w:cs="Arial Unicode MS" w:eastAsia="Arial Unicode MS"/>
          <w:rtl w:val="0"/>
        </w:rPr>
        <w:t>Legal Factors</w:t>
        <w:tab/>
      </w:r>
      <w:r>
        <w:rPr/>
        <w:fldChar w:fldCharType="begin" w:fldLock="0"/>
      </w:r>
      <w:r>
        <w:instrText xml:space="preserve"> PAGEREF _Toc10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SWOT Analysis of Marks &amp; Spencer</w:t>
        <w:tab/>
      </w:r>
      <w:r>
        <w:rPr/>
        <w:fldChar w:fldCharType="begin" w:fldLock="0"/>
      </w:r>
      <w:r>
        <w:instrText xml:space="preserve"> PAGEREF _Toc11 \h </w:instrText>
      </w:r>
      <w:r>
        <w:rPr/>
        <w:fldChar w:fldCharType="separate" w:fldLock="0"/>
      </w:r>
      <w:r>
        <w:rPr>
          <w:rFonts w:cs="Arial Unicode MS" w:eastAsia="Arial Unicode MS"/>
          <w:rtl w:val="0"/>
        </w:rPr>
        <w:t>9</w:t>
      </w:r>
      <w:r>
        <w:rPr/>
        <w:fldChar w:fldCharType="end" w:fldLock="0"/>
      </w:r>
    </w:p>
    <w:p>
      <w:pPr>
        <w:pStyle w:val="TOC 3"/>
      </w:pPr>
      <w:r>
        <w:rPr>
          <w:rFonts w:cs="Arial Unicode MS" w:eastAsia="Arial Unicode MS"/>
          <w:rtl w:val="0"/>
        </w:rPr>
        <w:t>Strengths of Marks &amp;Spencer</w:t>
        <w:tab/>
      </w:r>
      <w:r>
        <w:rPr/>
        <w:fldChar w:fldCharType="begin" w:fldLock="0"/>
      </w:r>
      <w:r>
        <w:instrText xml:space="preserve"> PAGEREF _Toc12 \h </w:instrText>
      </w:r>
      <w:r>
        <w:rPr/>
        <w:fldChar w:fldCharType="separate" w:fldLock="0"/>
      </w:r>
      <w:r>
        <w:rPr>
          <w:rFonts w:cs="Arial Unicode MS" w:eastAsia="Arial Unicode MS"/>
          <w:rtl w:val="0"/>
        </w:rPr>
        <w:t>9</w:t>
      </w:r>
      <w:r>
        <w:rPr/>
        <w:fldChar w:fldCharType="end" w:fldLock="0"/>
      </w:r>
    </w:p>
    <w:p>
      <w:pPr>
        <w:pStyle w:val="TOC 3"/>
      </w:pPr>
      <w:r>
        <w:rPr>
          <w:rFonts w:cs="Arial Unicode MS" w:eastAsia="Arial Unicode MS"/>
          <w:rtl w:val="0"/>
        </w:rPr>
        <w:t>Weaknesses of Marks &amp; Spencer</w:t>
        <w:tab/>
      </w:r>
      <w:r>
        <w:rPr/>
        <w:fldChar w:fldCharType="begin" w:fldLock="0"/>
      </w:r>
      <w:r>
        <w:instrText xml:space="preserve"> PAGEREF _Toc13 \h </w:instrText>
      </w:r>
      <w:r>
        <w:rPr/>
        <w:fldChar w:fldCharType="separate" w:fldLock="0"/>
      </w:r>
      <w:r>
        <w:rPr>
          <w:rFonts w:cs="Arial Unicode MS" w:eastAsia="Arial Unicode MS"/>
          <w:rtl w:val="0"/>
        </w:rPr>
        <w:t>9</w:t>
      </w:r>
      <w:r>
        <w:rPr/>
        <w:fldChar w:fldCharType="end" w:fldLock="0"/>
      </w:r>
    </w:p>
    <w:p>
      <w:pPr>
        <w:pStyle w:val="TOC 3"/>
      </w:pPr>
      <w:r>
        <w:rPr>
          <w:rFonts w:cs="Arial Unicode MS" w:eastAsia="Arial Unicode MS"/>
          <w:rtl w:val="0"/>
        </w:rPr>
        <w:t>Opportunities of Marks &amp; Spencer</w:t>
        <w:tab/>
      </w:r>
      <w:r>
        <w:rPr/>
        <w:fldChar w:fldCharType="begin" w:fldLock="0"/>
      </w:r>
      <w:r>
        <w:instrText xml:space="preserve"> PAGEREF _Toc14 \h </w:instrText>
      </w:r>
      <w:r>
        <w:rPr/>
        <w:fldChar w:fldCharType="separate" w:fldLock="0"/>
      </w:r>
      <w:r>
        <w:rPr>
          <w:rFonts w:cs="Arial Unicode MS" w:eastAsia="Arial Unicode MS"/>
          <w:rtl w:val="0"/>
        </w:rPr>
        <w:t>9</w:t>
      </w:r>
      <w:r>
        <w:rPr/>
        <w:fldChar w:fldCharType="end" w:fldLock="0"/>
      </w:r>
    </w:p>
    <w:p>
      <w:pPr>
        <w:pStyle w:val="TOC 3"/>
      </w:pPr>
      <w:r>
        <w:rPr>
          <w:rFonts w:cs="Arial Unicode MS" w:eastAsia="Arial Unicode MS"/>
          <w:rtl w:val="0"/>
        </w:rPr>
        <w:t>Threats to Marks and Spencer</w:t>
        <w:tab/>
      </w:r>
      <w:r>
        <w:rPr/>
        <w:fldChar w:fldCharType="begin" w:fldLock="0"/>
      </w:r>
      <w:r>
        <w:instrText xml:space="preserve"> PAGEREF _Toc15 \h </w:instrText>
      </w:r>
      <w:r>
        <w:rPr/>
        <w:fldChar w:fldCharType="separate" w:fldLock="0"/>
      </w:r>
      <w:r>
        <w:rPr>
          <w:rFonts w:cs="Arial Unicode MS" w:eastAsia="Arial Unicode MS"/>
          <w:rtl w:val="0"/>
        </w:rPr>
        <w:t>10</w:t>
      </w:r>
      <w:r>
        <w:rPr/>
        <w:fldChar w:fldCharType="end" w:fldLock="0"/>
      </w:r>
    </w:p>
    <w:p>
      <w:pPr>
        <w:pStyle w:val="Body A"/>
        <w:rPr>
          <w:rFonts w:ascii="Times New Roman" w:cs="Times New Roman" w:hAnsi="Times New Roman" w:eastAsia="Times New Roman"/>
          <w:sz w:val="24"/>
          <w:szCs w:val="24"/>
        </w:rPr>
      </w:pPr>
      <w:r>
        <w:rPr>
          <w:rFonts w:ascii="Times New Roman" w:cs="Times New Roman" w:hAnsi="Times New Roman" w:eastAsia="Times New Roman"/>
          <w:sz w:val="24"/>
          <w:szCs w:val="24"/>
        </w:rPr>
        <w:fldChar w:fldCharType="end" w:fldLock="0"/>
      </w:r>
    </w:p>
    <w:p>
      <w:pPr>
        <w:pStyle w:val="Body Text Indent"/>
      </w:pPr>
    </w:p>
    <w:p>
      <w:pPr>
        <w:pStyle w:val="Body Text Indent"/>
        <w:rPr>
          <w:b w:val="1"/>
          <w:bCs w:val="1"/>
        </w:rPr>
      </w:pPr>
    </w:p>
    <w:p>
      <w:pPr>
        <w:pStyle w:val="Body Text Indent"/>
        <w:rPr>
          <w:b w:val="1"/>
          <w:bCs w:val="1"/>
        </w:rPr>
      </w:pPr>
    </w:p>
    <w:p>
      <w:pPr>
        <w:pStyle w:val="Body Text Indent"/>
        <w:rPr>
          <w:b w:val="1"/>
          <w:bCs w:val="1"/>
        </w:rPr>
      </w:pPr>
    </w:p>
    <w:p>
      <w:pPr>
        <w:pStyle w:val="Body Text Indent"/>
        <w:rPr>
          <w:b w:val="1"/>
          <w:bCs w:val="1"/>
        </w:rPr>
      </w:pPr>
    </w:p>
    <w:p>
      <w:pPr>
        <w:pStyle w:val="Body Text Indent"/>
        <w:ind w:firstLine="0"/>
        <w:rPr>
          <w:b w:val="1"/>
          <w:bCs w:val="1"/>
        </w:rPr>
      </w:pPr>
    </w:p>
    <w:p>
      <w:pPr>
        <w:pStyle w:val="Body Text Indent"/>
        <w:rPr>
          <w:b w:val="1"/>
          <w:bCs w:val="1"/>
        </w:rPr>
      </w:pPr>
    </w:p>
    <w:p>
      <w:pPr>
        <w:pStyle w:val="Body Text Indent"/>
        <w:jc w:val="center"/>
        <w:rPr>
          <w:b w:val="1"/>
          <w:bCs w:val="1"/>
        </w:rPr>
      </w:pPr>
    </w:p>
    <w:p>
      <w:pPr>
        <w:pStyle w:val="Heading"/>
        <w:jc w:val="center"/>
      </w:pPr>
      <w:bookmarkStart w:name="_Toc1" w:id="1"/>
      <w:r>
        <w:rPr>
          <w:rtl w:val="0"/>
          <w:lang w:val="fr-FR"/>
        </w:rPr>
        <w:t>Introduction</w:t>
      </w:r>
      <w:bookmarkEnd w:id="1"/>
    </w:p>
    <w:p>
      <w:pPr>
        <w:pStyle w:val="Body Text Indent"/>
      </w:pPr>
      <w:r>
        <w:rPr>
          <w:rFonts w:cs="Arial Unicode MS" w:eastAsia="Arial Unicode MS"/>
          <w:rtl w:val="0"/>
          <w:lang w:val="en-US"/>
        </w:rPr>
        <w:t>Fashion is a vital factor that determines how people define themselves and others. This effect can be direct where an individual</w:t>
      </w:r>
      <w:r>
        <w:rPr>
          <w:rFonts w:cs="Arial Unicode MS" w:eastAsia="Arial Unicode MS" w:hint="default"/>
          <w:rtl w:val="0"/>
          <w:lang w:val="en-US"/>
        </w:rPr>
        <w:t>’</w:t>
      </w:r>
      <w:r>
        <w:rPr>
          <w:rFonts w:cs="Arial Unicode MS" w:eastAsia="Arial Unicode MS"/>
          <w:rtl w:val="0"/>
          <w:lang w:val="en-US"/>
        </w:rPr>
        <w:t>s dressing influences the perspective of others or indirect where it yields some level of soft power. Consequently, the fashion industry is one of the biggest industries in the world attracting billions of pounds in turnover and employing millions of people. For instance, in the United Kingdom, the sector is worth over 26 billion pounds and employs over 800,000 people (Donaldson, 2021).</w:t>
      </w: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various value chain activities have an impact on climate change either directly or indirectly. For instance, 93 billion cubic meters of water are used annually by the industry, while 87 per cent of the fibre input is either disposed of in landfills or incinerated (How Much Do Our Wardrobes Cost to the Environment? 2019). Further, approximately 500,000 tons of plastics end up in the oceans leading to the danger of microfibers ending up in the food chain. Indeed, according to How Much Do Our Wardrobes Cost to the Environment? (2019), the fashion sector contributes ten per cent of the annual world greenhouse gases emissions and is projected to rise to over fifty per cent in 2030. </w:t>
      </w: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Confronted with these challenges, the players in the industry have adopted changes in their business models to self-regulate in the absence of proper labour market regulations. In light of this reality, this paper seeks to study the evolution of the fashion industry with an emphasis on Marks &amp; Spencer</w:t>
      </w:r>
      <w:r>
        <w:rPr>
          <w:rFonts w:ascii="Times New Roman" w:hAnsi="Times New Roman" w:hint="default"/>
          <w:sz w:val="24"/>
          <w:szCs w:val="24"/>
          <w:rtl w:val="0"/>
          <w:lang w:val="en-US"/>
        </w:rPr>
        <w:t>’</w:t>
      </w:r>
      <w:r>
        <w:rPr>
          <w:rFonts w:ascii="Times New Roman" w:hAnsi="Times New Roman"/>
          <w:sz w:val="24"/>
          <w:szCs w:val="24"/>
          <w:rtl w:val="0"/>
          <w:lang w:val="en-US"/>
        </w:rPr>
        <w:t>s business model. Further, the paper will show how the changes affect the competitive advantage while making appropriate recommendations.</w:t>
      </w:r>
    </w:p>
    <w:p>
      <w:pPr>
        <w:pStyle w:val="Body A"/>
        <w:spacing w:line="480" w:lineRule="auto"/>
        <w:jc w:val="center"/>
        <w:rPr>
          <w:rFonts w:ascii="Times New Roman" w:cs="Times New Roman" w:hAnsi="Times New Roman" w:eastAsia="Times New Roman"/>
          <w:sz w:val="24"/>
          <w:szCs w:val="24"/>
        </w:rPr>
      </w:pPr>
    </w:p>
    <w:p>
      <w:pPr>
        <w:pStyle w:val="Heading"/>
        <w:numPr>
          <w:ilvl w:val="0"/>
          <w:numId w:val="3"/>
        </w:numPr>
      </w:pPr>
      <w:bookmarkStart w:name="_Toc2" w:id="2"/>
      <w:r>
        <w:rPr>
          <w:rtl w:val="0"/>
          <w:lang w:val="en-US"/>
        </w:rPr>
        <w:t>Analysis of Recent Changes in the Business Model of Marks &amp; Spencer</w:t>
      </w:r>
      <w:bookmarkEnd w:id="2"/>
    </w:p>
    <w:p>
      <w:pPr>
        <w:pStyle w:val="Body Text Indent"/>
      </w:pPr>
      <w:r>
        <w:rPr>
          <w:rFonts w:cs="Arial Unicode MS" w:eastAsia="Arial Unicode MS"/>
          <w:rtl w:val="0"/>
          <w:lang w:val="en-US"/>
        </w:rPr>
        <w:t>Marks &amp; Spencer is one of the largest British retailers that specialise in food and clothing. The company was started in 1884 as a stall in Leeds (Marks &amp; Spencer, 2021). Currently, the firm operates both in the UK and in the international geographical segment. The prior segment engages in franchise operations and retail business, while the latter includes the company's owned businesses in Asia and Europe and the international franchise operations. The company has 1,380 stores, with 910 of them based in the United Kingdom.</w:t>
      </w:r>
    </w:p>
    <w:p>
      <w:pPr>
        <w:pStyle w:val="Body Text Indent"/>
      </w:pPr>
      <w:r>
        <w:rPr>
          <w:rFonts w:cs="Arial Unicode MS" w:eastAsia="Arial Unicode MS"/>
          <w:rtl w:val="0"/>
          <w:lang w:val="en-US"/>
        </w:rPr>
        <w:t xml:space="preserve">In the last few years, Marks &amp; Spencer Group has adopted an accelerated change to address the concerns of the different stakeholders. The first primary concern is pollution. Here, the company has responded to the concern in various ways. First, the firm has upgraded its supply chain in clothing to enable it to cut stock levels, thus improving availability and waste. Continuously, less fabric waste has ended in the environment, thus helping curb pollution. To complement this effort, M&amp;S also introduced a recycling scheme known as 'Shwopping' that allows customers to donate unwanted clothing in almost all their physical stores. The plan does not only conserve the environment but helped raise over 23 million pounds from 2008 to 2020 (M&amp;S BRINGS BACK SHWOPPING: MAKING SUSTAINABLE SHOPPING EASIER, 2020). </w:t>
      </w:r>
    </w:p>
    <w:p>
      <w:pPr>
        <w:pStyle w:val="Body Text Indent"/>
      </w:pPr>
      <w:r>
        <w:rPr>
          <w:rFonts w:cs="Arial Unicode MS" w:eastAsia="Arial Unicode MS"/>
          <w:rtl w:val="0"/>
          <w:lang w:val="en-US"/>
        </w:rPr>
        <w:t xml:space="preserve">In addition, the company acknowledges that every human activity has a carbon footprint. Among the raft changes embarked on in recent times include setting a commitment plan and targets. For instance, in 2007, Marks &amp; Spencer committed to having carbon-neutral operations by 2012. The company also committed to a science-based target in 2017 to further cut carbon emissions from the broader value chain. By 2035, the organisation seeks to achieve a net-zero across all of its activities. </w:t>
      </w:r>
    </w:p>
    <w:p>
      <w:pPr>
        <w:pStyle w:val="Body Text Indent"/>
      </w:pPr>
    </w:p>
    <w:p>
      <w:pPr>
        <w:pStyle w:val="Body Text Indent"/>
      </w:pPr>
    </w:p>
    <w:p>
      <w:pPr>
        <w:pStyle w:val="Body Text Indent"/>
      </w:pPr>
      <w:r>
        <w:rPr>
          <w:rFonts w:cs="Arial Unicode MS" w:eastAsia="Arial Unicode MS"/>
          <w:rtl w:val="0"/>
          <w:lang w:val="en-US"/>
        </w:rPr>
        <w:t>The use of non-renewable energy is a significant source of pollution in the fashion industry and across all other sectors. M&amp; S completed fixing the UK's leading solar panel array at the Castle distribution centre in 2015. Currently, the firm sources all its electricity from renewable sources to combat greenhouse gas emissions. This has brought about efficiency in operations from production to delivery to the final consumer.</w:t>
      </w:r>
    </w:p>
    <w:p>
      <w:pPr>
        <w:pStyle w:val="Body Text Indent"/>
      </w:pPr>
      <w:r>
        <w:rPr>
          <w:rFonts w:cs="Arial Unicode MS" w:eastAsia="Arial Unicode MS"/>
          <w:rtl w:val="0"/>
          <w:lang w:val="en-US"/>
        </w:rPr>
        <w:t>The second concern by the stakeholders involves employees</w:t>
      </w:r>
      <w:r>
        <w:rPr>
          <w:rFonts w:cs="Arial Unicode MS" w:eastAsia="Arial Unicode MS" w:hint="default"/>
          <w:rtl w:val="0"/>
          <w:lang w:val="en-US"/>
        </w:rPr>
        <w:t xml:space="preserve">’ </w:t>
      </w:r>
      <w:r>
        <w:rPr>
          <w:rFonts w:cs="Arial Unicode MS" w:eastAsia="Arial Unicode MS"/>
          <w:rtl w:val="0"/>
          <w:lang w:val="en-US"/>
        </w:rPr>
        <w:t>welfare and safety. Workers in different stages of the value chain may face exploitation in the forms of poor working conditions, low compensation, human rights abuse, among others. According to Transformation Underway: Plan A Report (2018), M&amp;S has taken various measures to guarantee wellbeing. The company has put in place feedback channels for its employees, including Plan A email and social media, business involvement groups, surveys, and participation in employee campaigns and activities. Besides, the organisation</w:t>
      </w:r>
      <w:r>
        <w:rPr>
          <w:rFonts w:cs="Arial Unicode MS" w:eastAsia="Arial Unicode MS" w:hint="default"/>
          <w:rtl w:val="0"/>
          <w:lang w:val="en-US"/>
        </w:rPr>
        <w:t>’</w:t>
      </w:r>
      <w:r>
        <w:rPr>
          <w:rFonts w:cs="Arial Unicode MS" w:eastAsia="Arial Unicode MS"/>
          <w:rtl w:val="0"/>
          <w:lang w:val="en-US"/>
        </w:rPr>
        <w:t xml:space="preserve">s pension scheme is a signatory of the UN-backed </w:t>
      </w:r>
      <w:r>
        <w:rPr>
          <w:rFonts w:cs="Arial Unicode MS" w:eastAsia="Arial Unicode MS" w:hint="default"/>
          <w:rtl w:val="0"/>
          <w:lang w:val="en-US"/>
        </w:rPr>
        <w:t>‘</w:t>
      </w:r>
      <w:r>
        <w:rPr>
          <w:rFonts w:cs="Arial Unicode MS" w:eastAsia="Arial Unicode MS"/>
          <w:rtl w:val="0"/>
          <w:lang w:val="en-US"/>
        </w:rPr>
        <w:t>Principles for Responsible Investment</w:t>
      </w:r>
      <w:r>
        <w:rPr>
          <w:rFonts w:cs="Arial Unicode MS" w:eastAsia="Arial Unicode MS" w:hint="default"/>
          <w:rtl w:val="0"/>
          <w:lang w:val="en-US"/>
        </w:rPr>
        <w:t xml:space="preserve">’ </w:t>
      </w:r>
      <w:r>
        <w:rPr>
          <w:rFonts w:cs="Arial Unicode MS" w:eastAsia="Arial Unicode MS"/>
          <w:rtl w:val="0"/>
          <w:lang w:val="en-US"/>
        </w:rPr>
        <w:t>(PRI) that advocates for employees</w:t>
      </w:r>
      <w:r>
        <w:rPr>
          <w:rFonts w:cs="Arial Unicode MS" w:eastAsia="Arial Unicode MS" w:hint="default"/>
          <w:rtl w:val="0"/>
          <w:lang w:val="en-US"/>
        </w:rPr>
        <w:t xml:space="preserve">’ </w:t>
      </w:r>
      <w:r>
        <w:rPr>
          <w:rFonts w:cs="Arial Unicode MS" w:eastAsia="Arial Unicode MS"/>
          <w:rtl w:val="0"/>
          <w:lang w:val="en-US"/>
        </w:rPr>
        <w:t xml:space="preserve">rights regarding their pension. </w:t>
      </w:r>
    </w:p>
    <w:p>
      <w:pPr>
        <w:pStyle w:val="Heading"/>
        <w:numPr>
          <w:ilvl w:val="0"/>
          <w:numId w:val="3"/>
        </w:numPr>
      </w:pPr>
      <w:bookmarkStart w:name="_Toc3" w:id="3"/>
      <w:r>
        <w:rPr>
          <w:rtl w:val="0"/>
          <w:lang w:val="en-US"/>
        </w:rPr>
        <w:t>Effects of the Changes on the Competitiveness of Marks &amp; Spencer</w:t>
      </w:r>
      <w:bookmarkEnd w:id="3"/>
    </w:p>
    <w:p>
      <w:pPr>
        <w:pStyle w:val="Heading 2"/>
        <w:jc w:val="center"/>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4" w:id="4"/>
      <w:r>
        <w:rPr>
          <w:rFonts w:ascii="Times New Roman" w:hAnsi="Times New Roman"/>
          <w:b w:val="1"/>
          <w:bCs w:val="1"/>
          <w:outline w:val="0"/>
          <w:color w:val="000000"/>
          <w:sz w:val="24"/>
          <w:szCs w:val="24"/>
          <w:u w:color="000000"/>
          <w:rtl w:val="0"/>
          <w:lang w:val="en-US"/>
          <w14:textFill>
            <w14:solidFill>
              <w14:srgbClr w14:val="000000"/>
            </w14:solidFill>
          </w14:textFill>
        </w:rPr>
        <w:t>PESTEL Analysis of Marks &amp; Spencer</w:t>
      </w:r>
      <w:bookmarkEnd w:id="4"/>
    </w:p>
    <w:p>
      <w:pPr>
        <w:pStyle w:val="Body Text Indent"/>
      </w:pPr>
      <w:r>
        <w:rPr>
          <w:rFonts w:cs="Arial Unicode MS" w:eastAsia="Arial Unicode MS"/>
          <w:rtl w:val="0"/>
          <w:lang w:val="en-US"/>
        </w:rPr>
        <w:t>PESTEL is an acronym for a detailed report of the crucial factors that influence the external macro-environment of a company (Kuusela, 2019, 7). These factors influence the business strategy and its competitiveness. PESTEL analysis is also essential to Marks &amp; Spencer. It highlights the operational challenges that the company is likely to face in the prevailing macro environment and not necessarily the competitive forces. For instance, the industry's profitability and growth trajectory may be strong, but the company may not benefit if macroeconomic factors are unstable.</w:t>
      </w:r>
    </w:p>
    <w:p>
      <w:pPr>
        <w:pStyle w:val="Heading 3"/>
        <w:jc w:val="center"/>
        <w:rPr>
          <w:rFonts w:ascii="Times New Roman" w:cs="Times New Roman" w:hAnsi="Times New Roman" w:eastAsia="Times New Roman"/>
          <w:b w:val="1"/>
          <w:bCs w:val="1"/>
          <w:i w:val="1"/>
          <w:iCs w:val="1"/>
          <w:outline w:val="0"/>
          <w:color w:val="000000"/>
          <w:u w:color="000000"/>
          <w14:textFill>
            <w14:solidFill>
              <w14:srgbClr w14:val="000000"/>
            </w14:solidFill>
          </w14:textFill>
        </w:rPr>
      </w:pPr>
      <w:bookmarkStart w:name="_Toc5" w:id="5"/>
      <w:r>
        <w:rPr>
          <w:rFonts w:ascii="Times New Roman" w:hAnsi="Times New Roman"/>
          <w:b w:val="1"/>
          <w:bCs w:val="1"/>
          <w:i w:val="1"/>
          <w:iCs w:val="1"/>
          <w:outline w:val="0"/>
          <w:color w:val="000000"/>
          <w:u w:color="000000"/>
          <w:rtl w:val="0"/>
          <w:lang w:val="en-US"/>
          <w14:textFill>
            <w14:solidFill>
              <w14:srgbClr w14:val="000000"/>
            </w14:solidFill>
          </w14:textFill>
        </w:rPr>
        <w:t>Political Factors</w:t>
      </w:r>
      <w:bookmarkEnd w:id="5"/>
    </w:p>
    <w:p>
      <w:pPr>
        <w:pStyle w:val="Body Text Indent"/>
      </w:pPr>
      <w:r>
        <w:rPr>
          <w:rFonts w:cs="Arial Unicode MS" w:eastAsia="Arial Unicode MS"/>
          <w:rtl w:val="0"/>
          <w:lang w:val="en-US"/>
        </w:rPr>
        <w:t xml:space="preserve">Political factors have a crucial influence on the long term profitability of Marks &amp; Spencer in a particular country or region. Since the company operates retail in over 29 different countries, it is exposed to various types of political environments as well as political system risks (M&amp;S aims to open 150 new stores overseas, 2021). To avert the uncertainties posed by the dynamic political policies and systems, the company has adopted diversification of systematic risks of the political environment. Therefore, before entering a region, the organisation closely analyses political stability, government regulation regarding retail business, corruption level, intellectual property protection, military invasion risk, and tax regime. It is also paramount to consider trade regulations and tariffs, labour laws, and anti-trust laws. </w:t>
      </w:r>
    </w:p>
    <w:p>
      <w:pPr>
        <w:pStyle w:val="Body Text Indent"/>
      </w:pPr>
      <w:r>
        <w:rPr>
          <w:rFonts w:cs="Arial Unicode MS" w:eastAsia="Arial Unicode MS"/>
          <w:rtl w:val="0"/>
          <w:lang w:val="en-US"/>
        </w:rPr>
        <w:t>Recently, different countries have enacted various regulations on the fashion industry to curb global warming. These regulations have impacted the way of doing business, thereby forcing Mark &amp; Spencer to alter the business model to abide by the laws. For instance, the Paris agreement on climate change requires member countries to report on carbon emissions accurately. M &amp; S has been compliant in reporting its emissions to regulators in line with this policy. This is a source of competitive advantage as the company enjoys goodwill in member states of the convention.</w:t>
      </w:r>
    </w:p>
    <w:p>
      <w:pPr>
        <w:pStyle w:val="Heading 3"/>
        <w:rPr>
          <w:rFonts w:ascii="Times New Roman" w:cs="Times New Roman" w:hAnsi="Times New Roman" w:eastAsia="Times New Roman"/>
          <w:b w:val="1"/>
          <w:bCs w:val="1"/>
          <w:i w:val="1"/>
          <w:iCs w:val="1"/>
        </w:rPr>
      </w:pPr>
      <w:bookmarkStart w:name="_Toc6" w:id="6"/>
      <w:r>
        <w:rPr>
          <w:rFonts w:ascii="Times New Roman" w:hAnsi="Times New Roman"/>
          <w:b w:val="1"/>
          <w:bCs w:val="1"/>
          <w:i w:val="1"/>
          <w:iCs w:val="1"/>
          <w:outline w:val="0"/>
          <w:color w:val="000000"/>
          <w:u w:color="000000"/>
          <w:rtl w:val="0"/>
          <w:lang w:val="en-US"/>
          <w14:textFill>
            <w14:solidFill>
              <w14:srgbClr w14:val="000000"/>
            </w14:solidFill>
          </w14:textFill>
        </w:rPr>
        <w:t>Economic Factors</w:t>
      </w:r>
      <w:bookmarkEnd w:id="6"/>
    </w:p>
    <w:p>
      <w:pPr>
        <w:pStyle w:val="Body Text Indent"/>
      </w:pPr>
      <w:r>
        <w:rPr>
          <w:rFonts w:cs="Arial Unicode MS" w:eastAsia="Arial Unicode MS"/>
          <w:rtl w:val="0"/>
          <w:lang w:val="en-US"/>
        </w:rPr>
        <w:t xml:space="preserve">These factors involve both macro and microeconomic factors of an economy. Macro environmental factors affect the business at an aggregate level, while the micro factors relate to the specific aspects. Economic cycles such as booms and recessions are beyond the control of industry and individual firms thus have significant impacts when they occur. On the other hand, factors such as savings rate and interest rates affect consumer consumption behaviour and hence can be predictable. The 2008 recession cost Marks and Spencer millions of pounds in clothing sales. This period witnessed many supermarkets and other low-price clothing stores pop up, presenting intense competition to the high street retailers. Consequently, M&amp;S responded by, among others, turning to foreign and cheap suppliers to remain competitive and retain their market share. </w:t>
      </w:r>
    </w:p>
    <w:p>
      <w:pPr>
        <w:pStyle w:val="Heading 3"/>
        <w:rPr>
          <w:rFonts w:ascii="Times New Roman" w:cs="Times New Roman" w:hAnsi="Times New Roman" w:eastAsia="Times New Roman"/>
          <w:b w:val="1"/>
          <w:bCs w:val="1"/>
          <w:i w:val="1"/>
          <w:iCs w:val="1"/>
          <w:outline w:val="0"/>
          <w:color w:val="000000"/>
          <w:u w:color="000000"/>
          <w14:textFill>
            <w14:solidFill>
              <w14:srgbClr w14:val="000000"/>
            </w14:solidFill>
          </w14:textFill>
        </w:rPr>
      </w:pPr>
      <w:bookmarkStart w:name="_Toc7" w:id="7"/>
      <w:r>
        <w:rPr>
          <w:rFonts w:ascii="Times New Roman" w:hAnsi="Times New Roman"/>
          <w:b w:val="1"/>
          <w:bCs w:val="1"/>
          <w:i w:val="1"/>
          <w:iCs w:val="1"/>
          <w:outline w:val="0"/>
          <w:color w:val="000000"/>
          <w:u w:color="000000"/>
          <w:rtl w:val="0"/>
          <w:lang w:val="da-DK"/>
          <w14:textFill>
            <w14:solidFill>
              <w14:srgbClr w14:val="000000"/>
            </w14:solidFill>
          </w14:textFill>
        </w:rPr>
        <w:t>Social Factors</w:t>
      </w:r>
      <w:bookmarkEnd w:id="7"/>
    </w:p>
    <w:p>
      <w:pPr>
        <w:pStyle w:val="Body Text Indent"/>
      </w:pPr>
      <w:r>
        <w:rPr>
          <w:rFonts w:cs="Arial Unicode MS" w:eastAsia="Arial Unicode MS"/>
          <w:rtl w:val="0"/>
          <w:lang w:val="en-US"/>
        </w:rPr>
        <w:t>A society</w:t>
      </w:r>
      <w:r>
        <w:rPr>
          <w:rFonts w:cs="Arial Unicode MS" w:eastAsia="Arial Unicode MS" w:hint="default"/>
          <w:rtl w:val="0"/>
          <w:lang w:val="en-US"/>
        </w:rPr>
        <w:t>’</w:t>
      </w:r>
      <w:r>
        <w:rPr>
          <w:rFonts w:cs="Arial Unicode MS" w:eastAsia="Arial Unicode MS"/>
          <w:rtl w:val="0"/>
          <w:lang w:val="en-US"/>
        </w:rPr>
        <w:t xml:space="preserve">s way of doing things and its culture may affect how an organisation operates in a given environment. With retail stores in different parts of the world, marketers at Marks &amp; Spencer are faced with designing and packaging marketing information to suit the shared beliefs and attitudes of the specific market. Besides, different cultures have different clothing tastes. </w:t>
      </w:r>
    </w:p>
    <w:p>
      <w:pPr>
        <w:pStyle w:val="Body Text Indent"/>
      </w:pPr>
      <w:r>
        <w:rPr>
          <w:rFonts w:cs="Arial Unicode MS" w:eastAsia="Arial Unicode MS"/>
          <w:rtl w:val="0"/>
          <w:lang w:val="en-US"/>
        </w:rPr>
        <w:t>In the last few years, supermarkets in the UK and other parts of the world have increasingly offered cheap clothing allowing them to compete with high street clothing stores. As a result, Marks &amp; Spencer has reacted by updating its clothing stores with the latest fashion trends to meet consumer</w:t>
      </w:r>
      <w:r>
        <w:rPr>
          <w:rFonts w:cs="Arial Unicode MS" w:eastAsia="Arial Unicode MS" w:hint="default"/>
          <w:rtl w:val="0"/>
          <w:lang w:val="en-US"/>
        </w:rPr>
        <w:t>’</w:t>
      </w:r>
      <w:r>
        <w:rPr>
          <w:rFonts w:cs="Arial Unicode MS" w:eastAsia="Arial Unicode MS"/>
          <w:rtl w:val="0"/>
          <w:lang w:val="en-US"/>
        </w:rPr>
        <w:t>s satisfaction. Further, the company has integrated cultural tastes into its clothing products to match the different cultural demands.</w:t>
      </w:r>
    </w:p>
    <w:p>
      <w:pPr>
        <w:pStyle w:val="Heading 3"/>
        <w:rPr>
          <w:rFonts w:ascii="Times New Roman" w:cs="Times New Roman" w:hAnsi="Times New Roman" w:eastAsia="Times New Roman"/>
          <w:b w:val="1"/>
          <w:bCs w:val="1"/>
          <w:i w:val="1"/>
          <w:iCs w:val="1"/>
          <w:outline w:val="0"/>
          <w:color w:val="000000"/>
          <w:u w:color="000000"/>
          <w14:textFill>
            <w14:solidFill>
              <w14:srgbClr w14:val="000000"/>
            </w14:solidFill>
          </w14:textFill>
        </w:rPr>
      </w:pPr>
      <w:bookmarkStart w:name="_Toc8" w:id="8"/>
      <w:r>
        <w:rPr>
          <w:rFonts w:ascii="Times New Roman" w:hAnsi="Times New Roman"/>
          <w:b w:val="1"/>
          <w:bCs w:val="1"/>
          <w:i w:val="1"/>
          <w:iCs w:val="1"/>
          <w:outline w:val="0"/>
          <w:color w:val="000000"/>
          <w:u w:color="000000"/>
          <w:rtl w:val="0"/>
          <w:lang w:val="en-US"/>
          <w14:textFill>
            <w14:solidFill>
              <w14:srgbClr w14:val="000000"/>
            </w14:solidFill>
          </w14:textFill>
        </w:rPr>
        <w:t>Technological Factors</w:t>
      </w:r>
      <w:bookmarkEnd w:id="8"/>
    </w:p>
    <w:p>
      <w:pPr>
        <w:pStyle w:val="Body Text Indent"/>
      </w:pPr>
      <w:r>
        <w:rPr>
          <w:rFonts w:cs="Arial Unicode MS" w:eastAsia="Arial Unicode MS"/>
          <w:rtl w:val="0"/>
          <w:lang w:val="en-US"/>
        </w:rPr>
        <w:t>Technology is a vital influencer in the fashion industry and the retail market due to its ability to cause disruption (Upadhyay et al., 2019, 6). First, it is a tool to communicate brand position to the consumers continuously. Also, technology helps to create brand awareness and develop preference and loyalty. It is, therefore, necessary for a business to understand the technological situation of the industry and the speed of disruption. Marks &amp; Spencer has recently conducted a technological study to gain insight into the effects of technology on product offering, the structure of cost in the retail market, value chain, and the rate of technological integration. The analysis has helped the firm to stay ahead of its rivals while earning a competitive advantage.</w:t>
      </w:r>
    </w:p>
    <w:p>
      <w:pPr>
        <w:pStyle w:val="Heading 3"/>
        <w:rPr>
          <w:rFonts w:ascii="Times New Roman" w:cs="Times New Roman" w:hAnsi="Times New Roman" w:eastAsia="Times New Roman"/>
          <w:b w:val="1"/>
          <w:bCs w:val="1"/>
          <w:i w:val="1"/>
          <w:iCs w:val="1"/>
          <w:outline w:val="0"/>
          <w:color w:val="000000"/>
          <w:u w:color="000000"/>
          <w14:textFill>
            <w14:solidFill>
              <w14:srgbClr w14:val="000000"/>
            </w14:solidFill>
          </w14:textFill>
        </w:rPr>
      </w:pPr>
      <w:bookmarkStart w:name="_Toc9" w:id="9"/>
      <w:r>
        <w:rPr>
          <w:rFonts w:ascii="Times New Roman" w:hAnsi="Times New Roman"/>
          <w:b w:val="1"/>
          <w:bCs w:val="1"/>
          <w:i w:val="1"/>
          <w:iCs w:val="1"/>
          <w:outline w:val="0"/>
          <w:color w:val="000000"/>
          <w:u w:color="000000"/>
          <w:rtl w:val="0"/>
          <w:lang w:val="en-US"/>
          <w14:textFill>
            <w14:solidFill>
              <w14:srgbClr w14:val="000000"/>
            </w14:solidFill>
          </w14:textFill>
        </w:rPr>
        <w:t>Environmental Factors</w:t>
      </w:r>
      <w:bookmarkEnd w:id="9"/>
    </w:p>
    <w:p>
      <w:pPr>
        <w:pStyle w:val="Body Text Indent"/>
        <w:tabs>
          <w:tab w:val="left" w:pos="4035"/>
        </w:tabs>
      </w:pPr>
      <w:r>
        <w:rPr>
          <w:rtl w:val="0"/>
          <w:lang w:val="en-US"/>
        </w:rPr>
        <w:t xml:space="preserve">Environment plays a crucial role in the profitability of a business. This is because different backgrounds have different environmental standards that must be adhered to by organisations operating in the market. For instance, various regulations govern companies' operations in the UK on the disposal of wastes and regarding pollution. Therefore, Marks &amp; Spencer must conduct an in-depth evaluation of the environmental norms before entering new or existing markets. Some factors to consider are climate change, weather, recycling regulations, waste management requirements, and availability of renewable energy alternatives. </w:t>
      </w:r>
    </w:p>
    <w:p>
      <w:pPr>
        <w:pStyle w:val="Heading 3"/>
        <w:rPr>
          <w:rFonts w:ascii="Times New Roman" w:cs="Times New Roman" w:hAnsi="Times New Roman" w:eastAsia="Times New Roman"/>
          <w:b w:val="1"/>
          <w:bCs w:val="1"/>
          <w:i w:val="1"/>
          <w:iCs w:val="1"/>
          <w:outline w:val="0"/>
          <w:color w:val="000000"/>
          <w:u w:color="000000"/>
          <w14:textFill>
            <w14:solidFill>
              <w14:srgbClr w14:val="000000"/>
            </w14:solidFill>
          </w14:textFill>
        </w:rPr>
      </w:pPr>
      <w:bookmarkStart w:name="_Toc10" w:id="10"/>
      <w:r>
        <w:rPr>
          <w:rFonts w:ascii="Times New Roman" w:hAnsi="Times New Roman"/>
          <w:b w:val="1"/>
          <w:bCs w:val="1"/>
          <w:i w:val="1"/>
          <w:iCs w:val="1"/>
          <w:outline w:val="0"/>
          <w:color w:val="000000"/>
          <w:u w:color="000000"/>
          <w:rtl w:val="0"/>
          <w:lang w:val="da-DK"/>
          <w14:textFill>
            <w14:solidFill>
              <w14:srgbClr w14:val="000000"/>
            </w14:solidFill>
          </w14:textFill>
        </w:rPr>
        <w:t>Legal Factors</w:t>
      </w:r>
      <w:bookmarkEnd w:id="10"/>
    </w:p>
    <w:p>
      <w:pPr>
        <w:pStyle w:val="Body Text Indent"/>
        <w:tabs>
          <w:tab w:val="left" w:pos="4035"/>
        </w:tabs>
      </w:pPr>
      <w:r>
        <w:rPr>
          <w:rtl w:val="0"/>
          <w:lang w:val="en-US"/>
        </w:rPr>
        <w:t>This element relates to the laws and regulations that apply in a given jurisdiction. Legal factors are always dynamic and can have a tremendous effect on a business's success in a given market. Therefore, it is vital for a firm to carefully study the legal environment of a particular area before entering the market. Some factors include anti-trust law, employment law, and intellectual property laws applicable in a jurisdiction it intends to enter.</w:t>
      </w:r>
    </w:p>
    <w:p>
      <w:pPr>
        <w:pStyle w:val="Body Text Indent"/>
        <w:tabs>
          <w:tab w:val="left" w:pos="4035"/>
        </w:tabs>
      </w:pPr>
      <w:r>
        <w:rPr>
          <w:rtl w:val="0"/>
          <w:lang w:val="en-US"/>
        </w:rPr>
        <w:t>Marks &amp;Spencer is engaged in continuous retraining of its staff and updating its business model to match the new laws and regulations in the different regions. For instance, the Fair Packaging and Labelling Act of 1996 required manufacturers to follow the packaging and labelling guidelines as contained in the Act and clearly show the content, the manufacturer, and the quantity (Wall, 2002). The company on its websites acknowledges its compliance with the legislation. Consequently, the submission gives M&amp;S a competitive advantage over its rivals who do not abide and eventually face out.</w:t>
      </w:r>
    </w:p>
    <w:p>
      <w:pPr>
        <w:pStyle w:val="Heading 2"/>
        <w:jc w:val="center"/>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11" w:id="11"/>
      <w:r>
        <w:rPr>
          <w:rFonts w:ascii="Times New Roman" w:hAnsi="Times New Roman"/>
          <w:b w:val="1"/>
          <w:bCs w:val="1"/>
          <w:outline w:val="0"/>
          <w:color w:val="000000"/>
          <w:sz w:val="24"/>
          <w:szCs w:val="24"/>
          <w:u w:color="000000"/>
          <w:rtl w:val="0"/>
          <w:lang w:val="en-US"/>
          <w14:textFill>
            <w14:solidFill>
              <w14:srgbClr w14:val="000000"/>
            </w14:solidFill>
          </w14:textFill>
        </w:rPr>
        <w:t>SWOT Analysis of Marks &amp; Spencer</w:t>
      </w:r>
      <w:bookmarkEnd w:id="11"/>
    </w:p>
    <w:p>
      <w:pPr>
        <w:pStyle w:val="Body Text Indent"/>
        <w:tabs>
          <w:tab w:val="left" w:pos="4035"/>
        </w:tabs>
      </w:pPr>
      <w:r>
        <w:rPr>
          <w:rtl w:val="0"/>
          <w:lang w:val="en-US"/>
        </w:rPr>
        <w:t>SWOT analysis is a valuable tool in examining the environment of a business in terms of its strengths, weaknesses, opportunities, and external threats. This analysis can spark a strategic ray and allow the calculation of facts and figures helpful in strategic planning.</w:t>
      </w:r>
    </w:p>
    <w:p>
      <w:pPr>
        <w:pStyle w:val="Heading 3"/>
        <w:rPr>
          <w:rFonts w:ascii="Times New Roman" w:cs="Times New Roman" w:hAnsi="Times New Roman" w:eastAsia="Times New Roman"/>
          <w:b w:val="1"/>
          <w:bCs w:val="1"/>
          <w:i w:val="1"/>
          <w:iCs w:val="1"/>
          <w:outline w:val="0"/>
          <w:color w:val="000000"/>
          <w:u w:color="000000"/>
          <w14:textFill>
            <w14:solidFill>
              <w14:srgbClr w14:val="000000"/>
            </w14:solidFill>
          </w14:textFill>
        </w:rPr>
      </w:pPr>
      <w:bookmarkStart w:name="_Toc12" w:id="12"/>
      <w:r>
        <w:rPr>
          <w:rFonts w:ascii="Times New Roman" w:hAnsi="Times New Roman"/>
          <w:b w:val="1"/>
          <w:bCs w:val="1"/>
          <w:i w:val="1"/>
          <w:iCs w:val="1"/>
          <w:outline w:val="0"/>
          <w:color w:val="000000"/>
          <w:u w:color="000000"/>
          <w:rtl w:val="0"/>
          <w:lang w:val="en-US"/>
          <w14:textFill>
            <w14:solidFill>
              <w14:srgbClr w14:val="000000"/>
            </w14:solidFill>
          </w14:textFill>
        </w:rPr>
        <w:t>Strengths of Marks &amp;Spencer</w:t>
      </w:r>
      <w:bookmarkEnd w:id="12"/>
    </w:p>
    <w:p>
      <w:pPr>
        <w:pStyle w:val="Body Text Indent"/>
        <w:tabs>
          <w:tab w:val="left" w:pos="4035"/>
        </w:tabs>
      </w:pPr>
      <w:r>
        <w:rPr>
          <w:rtl w:val="0"/>
          <w:lang w:val="en-US"/>
        </w:rPr>
        <w:t>Among the company's strengths is the high recognition of the brand. The brand is well known for many years for its quality fashion products in the UK and globally. Also, the company enjoys a wide range of products that serves as a competitive advantage. With many stores locally and internationally, Marks &amp; Spencer has the strength to compete easily against rivals. Lastly, the firm enjoys popular designer brands for men, women, and children.</w:t>
      </w:r>
    </w:p>
    <w:p>
      <w:pPr>
        <w:pStyle w:val="Heading 3"/>
        <w:rPr>
          <w:rFonts w:ascii="Times New Roman" w:cs="Times New Roman" w:hAnsi="Times New Roman" w:eastAsia="Times New Roman"/>
          <w:b w:val="1"/>
          <w:bCs w:val="1"/>
          <w:i w:val="1"/>
          <w:iCs w:val="1"/>
          <w:outline w:val="0"/>
          <w:color w:val="000000"/>
          <w:u w:color="000000"/>
          <w14:textFill>
            <w14:solidFill>
              <w14:srgbClr w14:val="000000"/>
            </w14:solidFill>
          </w14:textFill>
        </w:rPr>
      </w:pPr>
      <w:bookmarkStart w:name="_Toc13" w:id="13"/>
      <w:r>
        <w:rPr>
          <w:rFonts w:ascii="Times New Roman" w:hAnsi="Times New Roman"/>
          <w:b w:val="1"/>
          <w:bCs w:val="1"/>
          <w:i w:val="1"/>
          <w:iCs w:val="1"/>
          <w:outline w:val="0"/>
          <w:color w:val="000000"/>
          <w:u w:color="000000"/>
          <w:rtl w:val="0"/>
          <w:lang w:val="en-US"/>
          <w14:textFill>
            <w14:solidFill>
              <w14:srgbClr w14:val="000000"/>
            </w14:solidFill>
          </w14:textFill>
        </w:rPr>
        <w:t>Weaknesses of Marks &amp; Spencer</w:t>
      </w:r>
      <w:bookmarkEnd w:id="13"/>
    </w:p>
    <w:p>
      <w:pPr>
        <w:pStyle w:val="Body Text Indent"/>
        <w:tabs>
          <w:tab w:val="left" w:pos="4035"/>
        </w:tabs>
      </w:pPr>
      <w:r>
        <w:rPr>
          <w:rtl w:val="0"/>
          <w:lang w:val="en-US"/>
        </w:rPr>
        <w:t>For a long time, the company has suffered the 'non-trendy store' publicity. Locally and abroad, there has been an assumption that the company trends only suit the elderly. However, recently, Marks &amp; Spencer has tried to shed off this tag by producing classy and modern clothing trends. Secondly, the company employs old manual techniques instead of new techniques that are efficient and cost-effective.</w:t>
      </w:r>
    </w:p>
    <w:p>
      <w:pPr>
        <w:pStyle w:val="Heading 3"/>
        <w:rPr>
          <w:rFonts w:ascii="Times New Roman" w:cs="Times New Roman" w:hAnsi="Times New Roman" w:eastAsia="Times New Roman"/>
          <w:b w:val="1"/>
          <w:bCs w:val="1"/>
          <w:i w:val="1"/>
          <w:iCs w:val="1"/>
          <w:outline w:val="0"/>
          <w:color w:val="000000"/>
          <w:u w:color="000000"/>
          <w14:textFill>
            <w14:solidFill>
              <w14:srgbClr w14:val="000000"/>
            </w14:solidFill>
          </w14:textFill>
        </w:rPr>
      </w:pPr>
      <w:bookmarkStart w:name="_Toc14" w:id="14"/>
      <w:r>
        <w:rPr>
          <w:rFonts w:ascii="Times New Roman" w:hAnsi="Times New Roman"/>
          <w:b w:val="1"/>
          <w:bCs w:val="1"/>
          <w:i w:val="1"/>
          <w:iCs w:val="1"/>
          <w:outline w:val="0"/>
          <w:color w:val="000000"/>
          <w:u w:color="000000"/>
          <w:rtl w:val="0"/>
          <w:lang w:val="en-US"/>
          <w14:textFill>
            <w14:solidFill>
              <w14:srgbClr w14:val="000000"/>
            </w14:solidFill>
          </w14:textFill>
        </w:rPr>
        <w:t>Opportunities of Marks &amp; Spencer</w:t>
      </w:r>
      <w:bookmarkEnd w:id="14"/>
    </w:p>
    <w:p>
      <w:pPr>
        <w:pStyle w:val="Body Text Indent"/>
        <w:tabs>
          <w:tab w:val="left" w:pos="4035"/>
        </w:tabs>
      </w:pPr>
      <w:r>
        <w:rPr>
          <w:rtl w:val="0"/>
          <w:lang w:val="en-US"/>
        </w:rPr>
        <w:t>Global expansion is one of the opportunities available to the company. Being an international brand, the company should consider expanding more in Poland, India, and Brazil, where it has recently set up stores. Secondly, the firm can increase its online presence to compete with other online stores such as Amazon. Further, the organisation should revise its business model of opening megastores and adopt market segmentation where products are offered depending on customers' needs.</w:t>
      </w:r>
    </w:p>
    <w:p>
      <w:pPr>
        <w:pStyle w:val="Heading 3"/>
        <w:rPr>
          <w:rFonts w:ascii="Times New Roman" w:cs="Times New Roman" w:hAnsi="Times New Roman" w:eastAsia="Times New Roman"/>
          <w:b w:val="1"/>
          <w:bCs w:val="1"/>
          <w:i w:val="1"/>
          <w:iCs w:val="1"/>
          <w:outline w:val="0"/>
          <w:color w:val="000000"/>
          <w:u w:color="000000"/>
          <w14:textFill>
            <w14:solidFill>
              <w14:srgbClr w14:val="000000"/>
            </w14:solidFill>
          </w14:textFill>
        </w:rPr>
      </w:pPr>
      <w:bookmarkStart w:name="_Toc15" w:id="15"/>
      <w:r>
        <w:rPr>
          <w:rFonts w:ascii="Times New Roman" w:hAnsi="Times New Roman"/>
          <w:b w:val="1"/>
          <w:bCs w:val="1"/>
          <w:i w:val="1"/>
          <w:iCs w:val="1"/>
          <w:outline w:val="0"/>
          <w:color w:val="000000"/>
          <w:u w:color="000000"/>
          <w:rtl w:val="0"/>
          <w:lang w:val="en-US"/>
          <w14:textFill>
            <w14:solidFill>
              <w14:srgbClr w14:val="000000"/>
            </w14:solidFill>
          </w14:textFill>
        </w:rPr>
        <w:t>Threats to Marks and Spencer</w:t>
      </w:r>
      <w:bookmarkEnd w:id="15"/>
    </w:p>
    <w:p>
      <w:pPr>
        <w:pStyle w:val="Body Text Indent"/>
        <w:tabs>
          <w:tab w:val="left" w:pos="4035"/>
        </w:tabs>
      </w:pPr>
      <w:r>
        <w:rPr>
          <w:rtl w:val="0"/>
          <w:lang w:val="en-US"/>
        </w:rPr>
        <w:t xml:space="preserve"> The recession from the Covid-19 pandemic is likely to continue affecting many retailers, including Marks &amp;Spencer. Recent historical data shows that the 2008 global financial crisis saw the company's clothing sales slump massively in 2009, a four-year drop in clothing sales, while sales in 2016 hit a ten-year low. Uncertain political conditions, especially in the Middle East, Ukraine, and Russia, also threaten the firm's development and franchise receivables in these areas, according to Marks and Spencer (2015). Lastly, the increased threat of terrorism in Europe is likely to affect consumer spending on clothing since most of the stores are situated in areas that are highly prone to terror attacks.</w:t>
      </w:r>
    </w:p>
    <w:p>
      <w:pPr>
        <w:pStyle w:val="Body Text Indent"/>
        <w:tabs>
          <w:tab w:val="left" w:pos="4035"/>
        </w:tabs>
        <w:jc w:val="center"/>
        <w:rPr>
          <w:b w:val="1"/>
          <w:bCs w:val="1"/>
        </w:rPr>
      </w:pPr>
    </w:p>
    <w:p>
      <w:pPr>
        <w:pStyle w:val="Body Text Indent"/>
        <w:tabs>
          <w:tab w:val="left" w:pos="4035"/>
        </w:tabs>
        <w:rPr>
          <w:b w:val="1"/>
          <w:bCs w:val="1"/>
        </w:rPr>
      </w:pPr>
      <w:r>
        <w:rPr>
          <w:b w:val="1"/>
          <w:bCs w:val="1"/>
          <w:rtl w:val="0"/>
          <w:lang w:val="en-US"/>
        </w:rPr>
        <w:t xml:space="preserve">Conclusion </w:t>
      </w:r>
    </w:p>
    <w:p>
      <w:pPr>
        <w:pStyle w:val="Body Text Indent"/>
        <w:tabs>
          <w:tab w:val="left" w:pos="4035"/>
        </w:tabs>
      </w:pPr>
      <w:r>
        <w:rPr>
          <w:rtl w:val="0"/>
          <w:lang w:val="en-US"/>
        </w:rPr>
        <w:t xml:space="preserve">It is been shown by the real case study of Marks and Spencer how an organisation that produce a fashion products is able to adapt to the new ethical requirements and comply with its stakeholders. Furthermore through the use of PESTEL analysis the organisation is able to be very adaptable to the external factors that affect its performance and long term prosperity. </w:t>
      </w:r>
    </w:p>
    <w:p>
      <w:pPr>
        <w:pStyle w:val="Body Text Indent"/>
        <w:tabs>
          <w:tab w:val="left" w:pos="4035"/>
        </w:tabs>
        <w:jc w:val="center"/>
        <w:rPr>
          <w:b w:val="1"/>
          <w:bCs w:val="1"/>
        </w:rPr>
      </w:pPr>
    </w:p>
    <w:p>
      <w:pPr>
        <w:pStyle w:val="Body Text Indent"/>
        <w:tabs>
          <w:tab w:val="left" w:pos="4035"/>
        </w:tabs>
        <w:jc w:val="center"/>
        <w:rPr>
          <w:b w:val="1"/>
          <w:bCs w:val="1"/>
        </w:rPr>
      </w:pPr>
    </w:p>
    <w:p>
      <w:pPr>
        <w:pStyle w:val="Body Text Indent"/>
        <w:tabs>
          <w:tab w:val="left" w:pos="4035"/>
        </w:tabs>
        <w:jc w:val="center"/>
        <w:rPr>
          <w:b w:val="1"/>
          <w:bCs w:val="1"/>
        </w:rPr>
      </w:pPr>
    </w:p>
    <w:p>
      <w:pPr>
        <w:pStyle w:val="Body Text Indent"/>
        <w:tabs>
          <w:tab w:val="left" w:pos="4035"/>
        </w:tabs>
        <w:jc w:val="center"/>
        <w:rPr>
          <w:b w:val="1"/>
          <w:bCs w:val="1"/>
        </w:rPr>
      </w:pPr>
    </w:p>
    <w:p>
      <w:pPr>
        <w:pStyle w:val="Body Text Indent"/>
        <w:tabs>
          <w:tab w:val="left" w:pos="4035"/>
        </w:tabs>
        <w:jc w:val="center"/>
      </w:pPr>
    </w:p>
    <w:p>
      <w:pPr>
        <w:pStyle w:val="Body Text Indent"/>
        <w:tabs>
          <w:tab w:val="left" w:pos="4035"/>
        </w:tabs>
        <w:jc w:val="center"/>
        <w:rPr>
          <w:b w:val="1"/>
          <w:bCs w:val="1"/>
        </w:rPr>
      </w:pPr>
      <w:r>
        <w:rPr>
          <w:b w:val="1"/>
          <w:bCs w:val="1"/>
          <w:rtl w:val="0"/>
          <w:lang w:val="en-US"/>
        </w:rPr>
        <w:t>References</w:t>
      </w:r>
    </w:p>
    <w:p>
      <w:pPr>
        <w:pStyle w:val="Body A"/>
        <w:spacing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Corporate.marksandspencer.com. 2018.</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Transformation Underway: Plan A Report</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[online] Available at: &lt;https://corporate.marksandspencer.com/documents/plan-a-our-approach/mns-human-rights-report-june2017.pdf&gt; [Accessed 31 August 2021].</w:t>
      </w:r>
    </w:p>
    <w:p>
      <w:pPr>
        <w:pStyle w:val="Body A"/>
        <w:spacing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Donaldson, A., 2021.</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The power of fashion</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[online] British Council. Available at: &lt;https://www.britishcouncil.org/research-policy-insight/insight-articles/power-fashion&gt; [Accessed 30 August 2021].</w:t>
      </w:r>
    </w:p>
    <w:p>
      <w:pPr>
        <w:pStyle w:val="Body A"/>
        <w:spacing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Forbes. 2021.</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it-IT"/>
          <w14:textFill>
            <w14:solidFill>
              <w14:srgbClr w14:val="000000"/>
            </w14:solidFill>
          </w14:textFill>
        </w:rPr>
        <w:t>Marks &amp; Spencer</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[online] Available at: &lt;https://www.forbes.com/companies/marks-spencer/?sh=2db3f2467de1&gt; [Accessed 30 August 2021].</w:t>
      </w:r>
    </w:p>
    <w:p>
      <w:pPr>
        <w:pStyle w:val="Body A"/>
        <w:spacing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Kuusela, E., 2019. Sustainability trends affecting modern business practices.</w:t>
      </w:r>
    </w:p>
    <w:p>
      <w:pPr>
        <w:pStyle w:val="Body A"/>
        <w:spacing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M&amp;S. 2020.</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M&amp;S BRINGS BACK SHWOPPING: MAKING SUSTAINABLE SHOPPING EASIER</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[online] Available at: &lt;https://corporate.marksandspencer.com/media/press-releases/5e0f046f7880b21924350282/m-and-s-brings-back-shwopping-making-sustainable-shopping-easier&gt; [Accessed 31 August 2021].</w:t>
      </w:r>
    </w:p>
    <w:p>
      <w:pPr>
        <w:pStyle w:val="Body A"/>
        <w:spacing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sz w:val="24"/>
          <w:szCs w:val="24"/>
          <w:rtl w:val="0"/>
          <w:lang w:val="it-IT"/>
        </w:rPr>
        <w:t xml:space="preserve">Marks &amp; Spencer. (2015). </w:t>
      </w:r>
      <w:r>
        <w:rPr>
          <w:rFonts w:ascii="Times New Roman" w:hAnsi="Times New Roman"/>
          <w:i w:val="1"/>
          <w:iCs w:val="1"/>
          <w:sz w:val="24"/>
          <w:szCs w:val="24"/>
          <w:rtl w:val="0"/>
          <w:lang w:val="en-US"/>
        </w:rPr>
        <w:t>Annual Report and Financial Statements</w:t>
      </w:r>
      <w:r>
        <w:rPr>
          <w:rFonts w:ascii="Times New Roman" w:hAnsi="Times New Roman"/>
          <w:sz w:val="24"/>
          <w:szCs w:val="24"/>
          <w:rtl w:val="0"/>
          <w:lang w:val="it-IT"/>
        </w:rPr>
        <w:t>. London: Marks &amp; Spencer.</w:t>
      </w:r>
    </w:p>
    <w:p>
      <w:pPr>
        <w:pStyle w:val="Body A"/>
        <w:spacing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it-IT"/>
          <w14:textFill>
            <w14:solidFill>
              <w14:srgbClr w14:val="000000"/>
            </w14:solidFill>
          </w14:textFill>
        </w:rPr>
        <w:t>The Guardian. 2021.</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M&amp;S aims to open 150 new stores overseas</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[online] Available at: &lt;https://www.theguardian.com/business/2006/jun/21/marksspencer.supermarkets&gt; [Accessed 31 August 2021].</w:t>
      </w:r>
    </w:p>
    <w:p>
      <w:pPr>
        <w:pStyle w:val="Body A"/>
        <w:spacing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The World Bank. 2019.</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How Much Do Our Wardrobes Cost to the Environment?</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[online] Available at: &lt;https://www.worldbank.org/en/news/feature/2019/09/23/costo-moda-medio-ambiente&gt; [Accessed 31 August 2021].</w:t>
      </w:r>
    </w:p>
    <w:p>
      <w:pPr>
        <w:pStyle w:val="Body A"/>
        <w:spacing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Upadhyay, A., Kumar, A. and Akter, S., 2021. An analysis of UK retailers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xml:space="preserve">’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initiatives towards circular economy transition and policy-driven directions.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Clean Technologies and Environmental Policy</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pp.1-9.</w:t>
      </w:r>
    </w:p>
    <w:p>
      <w:pPr>
        <w:pStyle w:val="Body A"/>
        <w:spacing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Wall, E., 2002. A Comprehensive Look at the Fair Packaging and Labeling Act of 1966 and the FDA Regulation of Deceptive Labeling and Packaging Practices: 1906 to Today.</w:t>
      </w:r>
    </w:p>
    <w:p>
      <w:pPr>
        <w:pStyle w:val="Body Text Indent"/>
        <w:tabs>
          <w:tab w:val="left" w:pos="4035"/>
        </w:tabs>
      </w:pPr>
    </w:p>
    <w:p>
      <w:pPr>
        <w:pStyle w:val="Body Text Indent"/>
      </w:pPr>
    </w:p>
    <w:p>
      <w:pPr>
        <w:pStyle w:val="Body Text Indent"/>
      </w:pPr>
    </w:p>
    <w:p>
      <w:pPr>
        <w:pStyle w:val="Body Text Indent"/>
      </w:pPr>
    </w:p>
    <w:p>
      <w:pPr>
        <w:pStyle w:val="Body Text Indent"/>
      </w:pPr>
      <w:r/>
    </w:p>
    <w:sectPr>
      <w:headerReference w:type="default" r:id="rId5"/>
      <w:footerReference w:type="default" r:id="rId6"/>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000"/>
        <w:tab w:val="clear" w:pos="9026"/>
      </w:tabs>
    </w:pPr>
    <w:r>
      <w:rPr>
        <w:rFonts w:ascii="Times New Roman" w:hAnsi="Times New Roman"/>
        <w:sz w:val="24"/>
        <w:szCs w:val="24"/>
        <w:rtl w:val="0"/>
        <w:lang w:val="en-US"/>
      </w:rPr>
      <w:t xml:space="preserve">Page </w:t>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 </w:instrText>
    </w:r>
    <w:r>
      <w:rPr>
        <w:rFonts w:ascii="Times New Roman" w:cs="Times New Roman" w:hAnsi="Times New Roman" w:eastAsia="Times New Roman"/>
        <w:sz w:val="24"/>
        <w:szCs w:val="24"/>
      </w:rPr>
      <w:fldChar w:fldCharType="separate" w:fldLock="0"/>
    </w:r>
    <w:r>
      <w:rPr>
        <w:rFonts w:ascii="Times New Roman" w:cs="Times New Roman" w:hAnsi="Times New Roman" w:eastAsia="Times New Roman"/>
        <w:sz w:val="24"/>
        <w:szCs w:val="24"/>
      </w:rPr>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of </w:t>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NUMPAGES </w:instrText>
    </w:r>
    <w:r>
      <w:rPr>
        <w:rFonts w:ascii="Times New Roman" w:cs="Times New Roman" w:hAnsi="Times New Roman" w:eastAsia="Times New Roman"/>
        <w:sz w:val="24"/>
        <w:szCs w:val="24"/>
      </w:rPr>
      <w:fldChar w:fldCharType="separate" w:fldLock="0"/>
    </w:r>
    <w:r>
      <w:rPr>
        <w:rFonts w:ascii="Times New Roman" w:cs="Times New Roman" w:hAnsi="Times New Roman" w:eastAsia="Times New Roman"/>
        <w:sz w:val="24"/>
        <w:szCs w:val="24"/>
      </w:rPr>
    </w:r>
    <w:r>
      <w:rPr>
        <w:rFonts w:ascii="Times New Roman" w:cs="Times New Roman" w:hAnsi="Times New Roman" w:eastAsia="Times New Roman"/>
        <w:sz w:val="24"/>
        <w:szCs w:val="24"/>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upperLetter"/>
      <w:suff w:val="tab"/>
      <w:lvlText w:val="%1."/>
      <w:lvlJc w:val="left"/>
      <w:pPr>
        <w:tabs>
          <w:tab w:val="num" w:pos="1770"/>
        </w:tabs>
        <w:ind w:left="1050" w:firstLine="39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num" w:pos="2490"/>
        </w:tabs>
        <w:ind w:left="1770" w:firstLine="39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num" w:pos="3215"/>
        </w:tabs>
        <w:ind w:left="2495" w:firstLine="44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num" w:pos="3930"/>
        </w:tabs>
        <w:ind w:left="3210" w:firstLine="39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num" w:pos="4650"/>
        </w:tabs>
        <w:ind w:left="3930" w:firstLine="39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num" w:pos="5375"/>
        </w:tabs>
        <w:ind w:left="4655" w:firstLine="44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num" w:pos="6090"/>
        </w:tabs>
        <w:ind w:left="5370" w:firstLine="39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num" w:pos="6810"/>
        </w:tabs>
        <w:ind w:left="6090" w:firstLine="39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num" w:pos="7535"/>
        </w:tabs>
        <w:ind w:left="6815" w:firstLine="44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1"/>
  </w:abstractNum>
  <w:abstractNum w:abstractNumId="2">
    <w:multiLevelType w:val="hybridMultilevel"/>
    <w:styleLink w:val="Imported Style 1"/>
    <w:lvl w:ilvl="0">
      <w:start w:val="1"/>
      <w:numFmt w:val="upperLetter"/>
      <w:suff w:val="tab"/>
      <w:lvlText w:val="%1."/>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8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52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8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1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4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72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Subtitle">
    <w:name w:val="Subtitle"/>
    <w:next w:val="Subtitle"/>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itle">
    <w:name w:val="Title"/>
    <w:next w:val="Title"/>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heading 4">
    <w:name w:val="heading 4"/>
    <w:next w:val="Body A"/>
    <w:pPr>
      <w:keepNext w:val="1"/>
      <w:keepLines w:val="0"/>
      <w:pageBreakBefore w:val="0"/>
      <w:widowControl w:val="1"/>
      <w:shd w:val="clear" w:color="auto" w:fill="auto"/>
      <w:suppressAutoHyphens w:val="0"/>
      <w:bidi w:val="0"/>
      <w:spacing w:before="0" w:after="0" w:line="240" w:lineRule="auto"/>
      <w:ind w:left="0" w:right="0" w:firstLine="720"/>
      <w:jc w:val="center"/>
      <w:outlineLvl w:val="3"/>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clear" w:color="auto" w:fill="ffffff"/>
      <w:vertAlign w:val="baseline"/>
      <w:lang w:val="en-US"/>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72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Heading">
    <w:name w:val="TOC Heading"/>
    <w:next w:val="Body A"/>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e74b5"/>
      <w:spacing w:val="0"/>
      <w:kern w:val="0"/>
      <w:position w:val="0"/>
      <w:sz w:val="32"/>
      <w:szCs w:val="32"/>
      <w:u w:val="none" w:color="2e74b5"/>
      <w:shd w:val="nil" w:color="auto" w:fill="auto"/>
      <w:vertAlign w:val="baseline"/>
      <w:lang w:val="en-US"/>
      <w14:textFill>
        <w14:solidFill>
          <w14:srgbClr w14:val="2E74B5"/>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259" w:lineRule="auto"/>
      <w:ind w:left="0" w:right="0" w:firstLine="72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A"/>
    <w:pPr>
      <w:keepNext w:val="1"/>
      <w:keepLines w:val="0"/>
      <w:pageBreakBefore w:val="0"/>
      <w:widowControl w:val="1"/>
      <w:shd w:val="clear" w:color="auto" w:fill="auto"/>
      <w:suppressAutoHyphens w:val="0"/>
      <w:bidi w:val="0"/>
      <w:spacing w:before="0" w:after="160" w:line="480" w:lineRule="auto"/>
      <w:ind w:left="0" w:right="0" w:firstLine="720"/>
      <w:jc w:val="left"/>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259" w:lineRule="auto"/>
      <w:ind w:left="220" w:right="0" w:firstLine="72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A"/>
    <w:pPr>
      <w:keepNext w:val="1"/>
      <w:keepLines w:val="1"/>
      <w:pageBreakBefore w:val="0"/>
      <w:widowControl w:val="1"/>
      <w:shd w:val="clear" w:color="auto" w:fill="auto"/>
      <w:suppressAutoHyphens w:val="0"/>
      <w:bidi w:val="0"/>
      <w:spacing w:before="40" w:after="0" w:line="259" w:lineRule="auto"/>
      <w:ind w:left="0" w:right="0" w:firstLine="720"/>
      <w:jc w:val="left"/>
      <w:outlineLvl w:val="1"/>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26"/>
      <w:szCs w:val="26"/>
      <w:u w:val="none" w:color="2e74b5"/>
      <w:shd w:val="nil" w:color="auto" w:fill="auto"/>
      <w:vertAlign w:val="baseline"/>
      <w14:textOutline w14:w="12700" w14:cap="flat">
        <w14:noFill/>
        <w14:miter w14:lim="400000"/>
      </w14:textOutline>
      <w14:textFill>
        <w14:solidFill>
          <w14:srgbClr w14:val="2E74B5"/>
        </w14:solidFill>
      </w14:textFill>
    </w:rPr>
  </w:style>
  <w:style w:type="paragraph" w:styleId="TOC 3">
    <w:name w:val="TOC 3"/>
    <w:next w:val="TOC 3"/>
    <w:pPr>
      <w:keepNext w:val="0"/>
      <w:keepLines w:val="0"/>
      <w:pageBreakBefore w:val="0"/>
      <w:widowControl w:val="1"/>
      <w:shd w:val="clear" w:color="auto" w:fill="auto"/>
      <w:tabs>
        <w:tab w:val="right" w:pos="9000" w:leader="dot"/>
      </w:tabs>
      <w:suppressAutoHyphens w:val="0"/>
      <w:bidi w:val="0"/>
      <w:spacing w:before="0" w:after="100" w:line="259" w:lineRule="auto"/>
      <w:ind w:left="440" w:right="0" w:firstLine="72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3">
    <w:name w:val="Heading 3"/>
    <w:next w:val="Body A"/>
    <w:pPr>
      <w:keepNext w:val="1"/>
      <w:keepLines w:val="1"/>
      <w:pageBreakBefore w:val="0"/>
      <w:widowControl w:val="1"/>
      <w:shd w:val="clear" w:color="auto" w:fill="auto"/>
      <w:suppressAutoHyphens w:val="0"/>
      <w:bidi w:val="0"/>
      <w:spacing w:before="40" w:after="0" w:line="259" w:lineRule="auto"/>
      <w:ind w:left="0" w:right="0" w:firstLine="720"/>
      <w:jc w:val="left"/>
      <w:outlineLvl w:val="2"/>
    </w:pPr>
    <w:rPr>
      <w:rFonts w:ascii="Calibri Light" w:cs="Calibri Light" w:hAnsi="Calibri Light" w:eastAsia="Calibri Light"/>
      <w:b w:val="0"/>
      <w:bCs w:val="0"/>
      <w:i w:val="0"/>
      <w:iCs w:val="0"/>
      <w:caps w:val="0"/>
      <w:smallCaps w:val="0"/>
      <w:strike w:val="0"/>
      <w:dstrike w:val="0"/>
      <w:outline w:val="0"/>
      <w:color w:val="1f4d78"/>
      <w:spacing w:val="0"/>
      <w:kern w:val="0"/>
      <w:position w:val="0"/>
      <w:sz w:val="24"/>
      <w:szCs w:val="24"/>
      <w:u w:val="none" w:color="1f4d78"/>
      <w:shd w:val="nil" w:color="auto" w:fill="auto"/>
      <w:vertAlign w:val="baseline"/>
      <w14:textOutline w14:w="12700" w14:cap="flat">
        <w14:noFill/>
        <w14:miter w14:lim="400000"/>
      </w14:textOutline>
      <w14:textFill>
        <w14:solidFill>
          <w14:srgbClr w14:val="1F4D78"/>
        </w14:solidFill>
      </w14:textFill>
    </w:rPr>
  </w:style>
  <w:style w:type="paragraph" w:styleId="TOC 4">
    <w:name w:val="TOC 4"/>
    <w:next w:val="TOC 4"/>
    <w:pPr>
      <w:keepNext w:val="0"/>
      <w:keepLines w:val="0"/>
      <w:pageBreakBefore w:val="0"/>
      <w:widowControl w:val="1"/>
      <w:shd w:val="clear" w:color="auto" w:fill="auto"/>
      <w:tabs>
        <w:tab w:val="right" w:pos="9000" w:leader="dot"/>
      </w:tabs>
      <w:suppressAutoHyphens w:val="0"/>
      <w:bidi w:val="0"/>
      <w:spacing w:before="160" w:after="0" w:line="240" w:lineRule="auto"/>
      <w:ind w:left="0" w:right="0" w:firstLine="140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Text Indent">
    <w:name w:val="Body Text Indent"/>
    <w:next w:val="Body Text Indent"/>
    <w:pPr>
      <w:keepNext w:val="0"/>
      <w:keepLines w:val="0"/>
      <w:pageBreakBefore w:val="0"/>
      <w:widowControl w:val="1"/>
      <w:shd w:val="clear" w:color="auto" w:fill="auto"/>
      <w:suppressAutoHyphens w:val="0"/>
      <w:bidi w:val="0"/>
      <w:spacing w:before="0" w:after="160" w:line="480" w:lineRule="auto"/>
      <w:ind w:left="0" w:right="0" w:firstLine="72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2"/>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