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27DE44" w14:textId="77777777" w:rsidR="005C6948" w:rsidRPr="0036198E" w:rsidRDefault="005C6948" w:rsidP="005C6948">
      <w:pPr>
        <w:pBdr>
          <w:top w:val="nil"/>
          <w:left w:val="nil"/>
          <w:bottom w:val="nil"/>
          <w:right w:val="nil"/>
          <w:between w:val="nil"/>
        </w:pBdr>
        <w:spacing w:before="1540" w:after="240" w:line="360" w:lineRule="auto"/>
        <w:jc w:val="center"/>
        <w:rPr>
          <w:rFonts w:eastAsia="Arial"/>
          <w:color w:val="5B9BD5"/>
        </w:rPr>
      </w:pPr>
      <w:r w:rsidRPr="0036198E">
        <w:rPr>
          <w:rFonts w:eastAsia="Arial"/>
          <w:noProof/>
          <w:color w:val="5B9BD5"/>
        </w:rPr>
        <w:drawing>
          <wp:inline distT="0" distB="0" distL="0" distR="0" wp14:anchorId="1BDBB2E3" wp14:editId="566A798B">
            <wp:extent cx="1417320" cy="75089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1417320" cy="750898"/>
                    </a:xfrm>
                    <a:prstGeom prst="rect">
                      <a:avLst/>
                    </a:prstGeom>
                    <a:ln/>
                  </pic:spPr>
                </pic:pic>
              </a:graphicData>
            </a:graphic>
          </wp:inline>
        </w:drawing>
      </w:r>
    </w:p>
    <w:p w14:paraId="7686B902" w14:textId="77777777" w:rsidR="005C6948" w:rsidRPr="0036198E" w:rsidRDefault="005C6948" w:rsidP="00533909">
      <w:pPr>
        <w:pStyle w:val="IntenseQuote"/>
        <w:rPr>
          <w:sz w:val="32"/>
          <w:szCs w:val="32"/>
        </w:rPr>
      </w:pPr>
      <w:r w:rsidRPr="0036198E">
        <w:rPr>
          <w:sz w:val="32"/>
          <w:szCs w:val="32"/>
        </w:rPr>
        <w:t>FINANCIAL PERFORMANCE ANALYSIS AND CAPITAL INVESTMENT APPRAISAL OF BP PLC AND BEARD PLC: STRATEGIC DECISION-MAKING USING RATIO ANALYSIS, NPV, IRR, AND FINANCING EVALUATION</w:t>
      </w:r>
    </w:p>
    <w:p w14:paraId="43C89705" w14:textId="77777777" w:rsidR="00C52D7E" w:rsidRPr="0036198E" w:rsidRDefault="00C52D7E" w:rsidP="005C6948">
      <w:pPr>
        <w:pBdr>
          <w:top w:val="nil"/>
          <w:left w:val="nil"/>
          <w:bottom w:val="nil"/>
          <w:right w:val="nil"/>
          <w:between w:val="nil"/>
        </w:pBdr>
        <w:spacing w:after="0" w:line="360" w:lineRule="auto"/>
        <w:jc w:val="center"/>
        <w:rPr>
          <w:rFonts w:eastAsia="Arial"/>
          <w:b/>
          <w:bCs/>
          <w:smallCaps/>
          <w:color w:val="5B9BD5"/>
        </w:rPr>
      </w:pPr>
    </w:p>
    <w:p w14:paraId="157E04F0" w14:textId="7AF21754" w:rsidR="008B14BF" w:rsidRPr="0036198E" w:rsidRDefault="005C6948" w:rsidP="00A54F6B">
      <w:pPr>
        <w:pBdr>
          <w:top w:val="nil"/>
          <w:left w:val="nil"/>
          <w:bottom w:val="nil"/>
          <w:right w:val="nil"/>
          <w:between w:val="nil"/>
        </w:pBdr>
        <w:spacing w:after="0" w:line="240" w:lineRule="auto"/>
        <w:jc w:val="center"/>
        <w:rPr>
          <w:rFonts w:eastAsia="Arial"/>
          <w:color w:val="5B9BD5"/>
        </w:rPr>
      </w:pPr>
      <w:r w:rsidRPr="0036198E">
        <w:rPr>
          <w:rFonts w:eastAsia="Arial"/>
          <w:color w:val="5B9BD5"/>
        </w:rPr>
        <w:t>F</w:t>
      </w:r>
      <w:r w:rsidR="003A2CF6" w:rsidRPr="0036198E">
        <w:rPr>
          <w:rFonts w:eastAsia="Arial"/>
          <w:color w:val="5B9BD5"/>
        </w:rPr>
        <w:t>I</w:t>
      </w:r>
      <w:r w:rsidR="00C52D7E" w:rsidRPr="0036198E">
        <w:rPr>
          <w:rFonts w:eastAsia="Arial"/>
          <w:color w:val="5B9BD5"/>
        </w:rPr>
        <w:t>NAN</w:t>
      </w:r>
      <w:r w:rsidR="003A2CF6" w:rsidRPr="0036198E">
        <w:rPr>
          <w:rFonts w:eastAsia="Arial"/>
          <w:color w:val="5B9BD5"/>
        </w:rPr>
        <w:t>CE</w:t>
      </w:r>
      <w:r w:rsidRPr="0036198E">
        <w:rPr>
          <w:rFonts w:eastAsia="Arial"/>
          <w:color w:val="5B9BD5"/>
        </w:rPr>
        <w:t xml:space="preserve"> </w:t>
      </w:r>
      <w:r w:rsidR="003A2CF6" w:rsidRPr="0036198E">
        <w:rPr>
          <w:rFonts w:eastAsia="Arial"/>
          <w:color w:val="5B9BD5"/>
        </w:rPr>
        <w:t>FOR</w:t>
      </w:r>
      <w:r w:rsidRPr="0036198E">
        <w:rPr>
          <w:rFonts w:eastAsia="Arial"/>
          <w:color w:val="5B9BD5"/>
        </w:rPr>
        <w:t xml:space="preserve"> B</w:t>
      </w:r>
      <w:r w:rsidR="003A2CF6" w:rsidRPr="0036198E">
        <w:rPr>
          <w:rFonts w:eastAsia="Arial"/>
          <w:color w:val="5B9BD5"/>
        </w:rPr>
        <w:t>US</w:t>
      </w:r>
      <w:r w:rsidR="00EA2A03" w:rsidRPr="0036198E">
        <w:rPr>
          <w:rFonts w:eastAsia="Arial"/>
          <w:color w:val="5B9BD5"/>
        </w:rPr>
        <w:t>INESS</w:t>
      </w:r>
      <w:r w:rsidRPr="0036198E">
        <w:rPr>
          <w:rFonts w:eastAsia="Arial"/>
          <w:color w:val="5B9BD5"/>
        </w:rPr>
        <w:t xml:space="preserve"> M</w:t>
      </w:r>
      <w:r w:rsidR="00EA2A03" w:rsidRPr="0036198E">
        <w:rPr>
          <w:rFonts w:eastAsia="Arial"/>
          <w:color w:val="5B9BD5"/>
        </w:rPr>
        <w:t>ANAGER</w:t>
      </w:r>
      <w:r w:rsidRPr="0036198E">
        <w:rPr>
          <w:rFonts w:eastAsia="Arial"/>
          <w:noProof/>
          <w:color w:val="5B9BD5"/>
        </w:rPr>
        <mc:AlternateContent>
          <mc:Choice Requires="wps">
            <w:drawing>
              <wp:anchor distT="0" distB="0" distL="114300" distR="114300" simplePos="0" relativeHeight="251659264" behindDoc="0" locked="0" layoutInCell="1" hidden="0" allowOverlap="1" wp14:anchorId="4DC5A37C" wp14:editId="321DABA8">
                <wp:simplePos x="0" y="0"/>
                <wp:positionH relativeFrom="margin">
                  <wp:align>center</wp:align>
                </wp:positionH>
                <wp:positionV relativeFrom="page">
                  <wp:posOffset>9088120</wp:posOffset>
                </wp:positionV>
                <wp:extent cx="5731510" cy="589915"/>
                <wp:effectExtent l="0" t="0" r="0" b="12700"/>
                <wp:wrapNone/>
                <wp:docPr id="1" name="Text Box 1"/>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0T00:00:00Z">
                                <w:dateFormat w:val="MMMM d, yyyy"/>
                                <w:lid w:val="en-US"/>
                                <w:storeMappedDataAs w:val="dateTime"/>
                                <w:calendar w:val="gregorian"/>
                              </w:date>
                            </w:sdtPr>
                            <w:sdtEndPr/>
                            <w:sdtContent>
                              <w:p w14:paraId="3A651454" w14:textId="6B1DD22E" w:rsidR="005C6948" w:rsidRDefault="005B20B7" w:rsidP="005C6948">
                                <w:pPr>
                                  <w:spacing w:after="40"/>
                                  <w:jc w:val="center"/>
                                  <w:rPr>
                                    <w:caps/>
                                    <w:color w:val="156082" w:themeColor="accent1"/>
                                    <w:sz w:val="28"/>
                                    <w:szCs w:val="28"/>
                                  </w:rPr>
                                </w:pPr>
                                <w:r>
                                  <w:rPr>
                                    <w:caps/>
                                    <w:color w:val="156082" w:themeColor="accent1"/>
                                    <w:sz w:val="28"/>
                                    <w:szCs w:val="28"/>
                                    <w:lang w:val="en-US"/>
                                  </w:rPr>
                                  <w:t>April 20, 2026</w:t>
                                </w:r>
                              </w:p>
                            </w:sdtContent>
                          </w:sdt>
                          <w:p w14:paraId="52C9C00B" w14:textId="77777777" w:rsidR="005C6948" w:rsidRDefault="005B5511" w:rsidP="005C6948">
                            <w:pPr>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5C6948">
                                  <w:rPr>
                                    <w:caps/>
                                    <w:color w:val="156082" w:themeColor="accent1"/>
                                  </w:rPr>
                                  <w:t xml:space="preserve">     </w:t>
                                </w:r>
                              </w:sdtContent>
                            </w:sdt>
                          </w:p>
                          <w:p w14:paraId="20D9448F" w14:textId="77777777" w:rsidR="005C6948" w:rsidRDefault="005B5511" w:rsidP="005C6948">
                            <w:pPr>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5C6948">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anchor>
            </w:drawing>
          </mc:Choice>
          <mc:Fallback>
            <w:pict>
              <v:shapetype w14:anchorId="4DC5A37C" id="_x0000_t202" coordsize="21600,21600" o:spt="202" path="m,l,21600r21600,l21600,xe">
                <v:stroke joinstyle="miter"/>
                <v:path gradientshapeok="t" o:connecttype="rect"/>
              </v:shapetype>
              <v:shape id="Text Box 1" o:spid="_x0000_s1026" type="#_x0000_t202" style="position:absolute;left:0;text-align:left;margin-left:0;margin-top:715.6pt;width:451.3pt;height:46.45pt;z-index:251659264;visibility:visible;mso-wrap-style:square;mso-wrap-distance-left:9pt;mso-wrap-distance-top:0;mso-wrap-distance-right:9pt;mso-wrap-distance-bottom:0;mso-position-horizontal:center;mso-position-horizontal-relative:margin;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0T00:00:00Z">
                          <w:dateFormat w:val="MMMM d, yyyy"/>
                          <w:lid w:val="en-US"/>
                          <w:storeMappedDataAs w:val="dateTime"/>
                          <w:calendar w:val="gregorian"/>
                        </w:date>
                      </w:sdtPr>
                      <w:sdtContent>
                        <w:p w14:paraId="3A651454" w14:textId="6B1DD22E" w:rsidR="005C6948" w:rsidRDefault="005B20B7" w:rsidP="005C6948">
                          <w:pPr>
                            <w:spacing w:after="40"/>
                            <w:jc w:val="center"/>
                            <w:rPr>
                              <w:caps/>
                              <w:color w:val="156082" w:themeColor="accent1"/>
                              <w:sz w:val="28"/>
                              <w:szCs w:val="28"/>
                            </w:rPr>
                          </w:pPr>
                          <w:r>
                            <w:rPr>
                              <w:caps/>
                              <w:color w:val="156082" w:themeColor="accent1"/>
                              <w:sz w:val="28"/>
                              <w:szCs w:val="28"/>
                              <w:lang w:val="en-US"/>
                            </w:rPr>
                            <w:t>April 20, 2026</w:t>
                          </w:r>
                        </w:p>
                      </w:sdtContent>
                    </w:sdt>
                    <w:p w14:paraId="52C9C00B" w14:textId="77777777" w:rsidR="005C6948" w:rsidRDefault="00000000" w:rsidP="005C6948">
                      <w:pPr>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5C6948">
                            <w:rPr>
                              <w:caps/>
                              <w:color w:val="156082" w:themeColor="accent1"/>
                            </w:rPr>
                            <w:t xml:space="preserve">     </w:t>
                          </w:r>
                        </w:sdtContent>
                      </w:sdt>
                    </w:p>
                    <w:p w14:paraId="20D9448F" w14:textId="77777777" w:rsidR="005C6948" w:rsidRDefault="00000000" w:rsidP="005C6948">
                      <w:pPr>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5C6948">
                            <w:rPr>
                              <w:color w:val="156082" w:themeColor="accent1"/>
                            </w:rPr>
                            <w:t xml:space="preserve">     </w:t>
                          </w:r>
                        </w:sdtContent>
                      </w:sdt>
                    </w:p>
                  </w:txbxContent>
                </v:textbox>
                <w10:wrap anchorx="margin" anchory="page"/>
              </v:shape>
            </w:pict>
          </mc:Fallback>
        </mc:AlternateContent>
      </w:r>
      <w:r w:rsidR="00EA2A03" w:rsidRPr="0036198E">
        <w:rPr>
          <w:rFonts w:eastAsia="Arial"/>
          <w:color w:val="5B9BD5"/>
        </w:rPr>
        <w:t>S</w:t>
      </w:r>
      <w:r w:rsidR="00FE6E75" w:rsidRPr="0036198E">
        <w:rPr>
          <w:rFonts w:eastAsia="Arial"/>
          <w:color w:val="5B9BD5"/>
        </w:rPr>
        <w:t xml:space="preserve"> </w:t>
      </w:r>
      <w:r w:rsidR="00744A2B" w:rsidRPr="0036198E">
        <w:rPr>
          <w:rFonts w:eastAsia="Arial"/>
          <w:color w:val="5B9BD5"/>
        </w:rPr>
        <w:t>(BMMB</w:t>
      </w:r>
      <w:r w:rsidR="008B14BF" w:rsidRPr="0036198E">
        <w:rPr>
          <w:rFonts w:eastAsia="Arial"/>
          <w:color w:val="5B9BD5"/>
        </w:rPr>
        <w:t>7005)</w:t>
      </w:r>
    </w:p>
    <w:p w14:paraId="61F560BE" w14:textId="39607E13" w:rsidR="008B14BF" w:rsidRPr="0036198E" w:rsidRDefault="008B14BF" w:rsidP="00A54F6B">
      <w:pPr>
        <w:pBdr>
          <w:top w:val="nil"/>
          <w:left w:val="nil"/>
          <w:bottom w:val="nil"/>
          <w:right w:val="nil"/>
          <w:between w:val="nil"/>
        </w:pBdr>
        <w:spacing w:after="0" w:line="240" w:lineRule="auto"/>
        <w:jc w:val="center"/>
        <w:rPr>
          <w:rFonts w:eastAsia="Arial"/>
          <w:color w:val="5B9BD5"/>
        </w:rPr>
      </w:pPr>
      <w:r w:rsidRPr="0036198E">
        <w:rPr>
          <w:rFonts w:eastAsia="Arial"/>
          <w:color w:val="5B9BD5"/>
        </w:rPr>
        <w:t xml:space="preserve">SMIT BHARATKUMAR </w:t>
      </w:r>
      <w:r w:rsidR="00A54F6B" w:rsidRPr="0036198E">
        <w:rPr>
          <w:rFonts w:eastAsia="Arial"/>
          <w:color w:val="5B9BD5"/>
        </w:rPr>
        <w:t>BAROT</w:t>
      </w:r>
      <w:r w:rsidR="00E928A3" w:rsidRPr="0036198E">
        <w:rPr>
          <w:rFonts w:eastAsia="Arial"/>
          <w:color w:val="5B9BD5"/>
        </w:rPr>
        <w:t xml:space="preserve"> </w:t>
      </w:r>
      <w:r w:rsidR="00A54F6B" w:rsidRPr="0036198E">
        <w:rPr>
          <w:rFonts w:eastAsia="Arial"/>
          <w:color w:val="5B9BD5"/>
        </w:rPr>
        <w:t>(</w:t>
      </w:r>
      <w:r w:rsidR="00FE6E75" w:rsidRPr="0036198E">
        <w:rPr>
          <w:rFonts w:eastAsia="Arial"/>
          <w:color w:val="5B9BD5"/>
        </w:rPr>
        <w:t>2</w:t>
      </w:r>
      <w:r w:rsidR="002F29F0" w:rsidRPr="0036198E">
        <w:rPr>
          <w:rFonts w:eastAsia="Arial"/>
          <w:color w:val="5B9BD5"/>
        </w:rPr>
        <w:t>526</w:t>
      </w:r>
      <w:r w:rsidR="00A54F6B" w:rsidRPr="0036198E">
        <w:rPr>
          <w:rFonts w:eastAsia="Arial"/>
          <w:color w:val="5B9BD5"/>
        </w:rPr>
        <w:t>323)</w:t>
      </w:r>
    </w:p>
    <w:p w14:paraId="46510D1F" w14:textId="77777777" w:rsidR="000C6957" w:rsidRPr="0036198E" w:rsidRDefault="000C6957" w:rsidP="00A54F6B">
      <w:pPr>
        <w:pBdr>
          <w:top w:val="nil"/>
          <w:left w:val="nil"/>
          <w:bottom w:val="nil"/>
          <w:right w:val="nil"/>
          <w:between w:val="nil"/>
        </w:pBdr>
        <w:spacing w:after="0" w:line="240" w:lineRule="auto"/>
        <w:jc w:val="center"/>
        <w:rPr>
          <w:rFonts w:eastAsia="Arial"/>
          <w:color w:val="5B9BD5"/>
        </w:rPr>
      </w:pPr>
    </w:p>
    <w:p w14:paraId="71B586BA" w14:textId="37386632" w:rsidR="005C6948" w:rsidRPr="0094299C" w:rsidRDefault="005C6948" w:rsidP="00DD4D1D">
      <w:pPr>
        <w:jc w:val="center"/>
        <w:rPr>
          <w:rStyle w:val="Heading1Char"/>
        </w:rPr>
      </w:pPr>
      <w:r w:rsidRPr="00083AD1">
        <w:rPr>
          <w:noProof/>
        </w:rPr>
        <w:drawing>
          <wp:inline distT="0" distB="0" distL="0" distR="0" wp14:anchorId="374F1D2E" wp14:editId="711F3CAF">
            <wp:extent cx="758952" cy="478932"/>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758952" cy="478932"/>
                    </a:xfrm>
                    <a:prstGeom prst="rect">
                      <a:avLst/>
                    </a:prstGeom>
                    <a:ln/>
                  </pic:spPr>
                </pic:pic>
              </a:graphicData>
            </a:graphic>
          </wp:inline>
        </w:drawing>
      </w:r>
      <w:r w:rsidRPr="00083AD1">
        <w:br w:type="page"/>
      </w:r>
      <w:r w:rsidRPr="00880C46">
        <w:rPr>
          <w:rStyle w:val="Heading1Char"/>
        </w:rPr>
        <w:lastRenderedPageBreak/>
        <w:t>Executive Summary</w:t>
      </w:r>
    </w:p>
    <w:p w14:paraId="5BFE8D19" w14:textId="77777777" w:rsidR="005C6948" w:rsidRPr="0036198E" w:rsidRDefault="005C6948" w:rsidP="005C6948">
      <w:pPr>
        <w:spacing w:line="360" w:lineRule="auto"/>
        <w:jc w:val="both"/>
        <w:rPr>
          <w:rFonts w:eastAsia="Arial"/>
          <w:szCs w:val="24"/>
        </w:rPr>
      </w:pPr>
      <w:r w:rsidRPr="0036198E">
        <w:rPr>
          <w:rFonts w:eastAsia="Arial"/>
          <w:szCs w:val="24"/>
        </w:rPr>
        <w:t xml:space="preserve">This report aims at discussing financial performance of BP PLC and assessing investment and financing decision of Beard Plc applying various financial techniques and theoretical frameworks. The report is divided into two key sections that are the ratio analysis of BP PLC and capital investment appraisal of Beard Plc that will be backed up with the consideration of financing and qualitative factors influencing decision-making. Financial performance of BP PLC in the first part is calculated in terms of profitability, liquidity, efficiency, gearing and investor ratios over a period of two years. The results indicate a net increase of profitability, gross profit margin, operating profit margin, net profit margin and return on capital employed (ROCE). This shows better operations and cost management. Nonetheless, efficiency ratios indicate issues, especially </w:t>
      </w:r>
      <w:proofErr w:type="gramStart"/>
      <w:r w:rsidRPr="0036198E">
        <w:rPr>
          <w:rFonts w:eastAsia="Arial"/>
          <w:szCs w:val="24"/>
        </w:rPr>
        <w:t>with regard to</w:t>
      </w:r>
      <w:proofErr w:type="gramEnd"/>
      <w:r w:rsidRPr="0036198E">
        <w:rPr>
          <w:rFonts w:eastAsia="Arial"/>
          <w:szCs w:val="24"/>
        </w:rPr>
        <w:t xml:space="preserve"> receivables collection and asset utilisation, which implies less efficient operations. The liquidity is stable but somewhat tight whereas the level of gearing has gone up which implies the increased dependence on debt financing. Although earnings per share (EPS) is stronger, investor confidence seems to be a little lower, which is indicated by the deteriorating price-to-earnings (P/E) ratio.</w:t>
      </w:r>
    </w:p>
    <w:p w14:paraId="4F77D7EA" w14:textId="1E740D10" w:rsidR="005C6948" w:rsidRPr="0036198E" w:rsidRDefault="005C6948" w:rsidP="005C6948">
      <w:pPr>
        <w:spacing w:line="360" w:lineRule="auto"/>
        <w:jc w:val="both"/>
        <w:rPr>
          <w:rFonts w:eastAsia="Arial"/>
        </w:rPr>
      </w:pPr>
      <w:r w:rsidRPr="0036198E">
        <w:rPr>
          <w:rFonts w:eastAsia="Arial"/>
          <w:szCs w:val="24"/>
        </w:rPr>
        <w:t>The second section analyses the three investment opportunities available to Beard Plc, which include retail expansion, online development, and product diversification, using Net Present Value (NPV), and Internal Rate of Return (IRR). Project C is the feasible one, because it provides the largest NPV (£91,208) and IRR (13.2%), much higher than the cost of capital (5%). Project B is also feasible but not as attractive whereas Project A is rejected on account of negative returns. In the frontier of capital rationing of £1.5 million, the best plan will be to invest in Project C with full investment and partial investment in Project B to form a combination of NPV of portfolio of £132,295. Another important critical analysis of the report is the investment appraisal theory, which emphasizes that NPV is the most-sound method, but the practicality of non-discounting methods, like payback period and ARR are also mentioned. Last, it suggests a moderate debt and a balanced financing approach through retained earnings to finance growth and financial risk management.</w:t>
      </w:r>
      <w:r w:rsidR="00015898" w:rsidRPr="0036198E">
        <w:rPr>
          <w:rFonts w:eastAsia="Arial"/>
          <w:szCs w:val="24"/>
        </w:rPr>
        <w:t xml:space="preserve"> </w:t>
      </w:r>
    </w:p>
    <w:p w14:paraId="61F8B26C" w14:textId="2CCD0F5D" w:rsidR="005C6948" w:rsidRPr="007F52B8" w:rsidRDefault="005C6948" w:rsidP="007F52B8">
      <w:pPr>
        <w:keepNext/>
        <w:keepLines/>
        <w:pBdr>
          <w:top w:val="nil"/>
          <w:left w:val="nil"/>
          <w:bottom w:val="nil"/>
          <w:right w:val="nil"/>
          <w:between w:val="nil"/>
        </w:pBdr>
        <w:spacing w:before="240" w:after="0" w:line="360" w:lineRule="auto"/>
        <w:jc w:val="center"/>
        <w:rPr>
          <w:rFonts w:eastAsia="Arial"/>
          <w:b/>
          <w:bCs/>
          <w:sz w:val="28"/>
          <w:szCs w:val="28"/>
        </w:rPr>
      </w:pPr>
      <w:r w:rsidRPr="0036198E">
        <w:br w:type="page"/>
      </w:r>
      <w:r w:rsidRPr="00387509">
        <w:rPr>
          <w:rFonts w:eastAsia="Arial"/>
          <w:color w:val="000000"/>
          <w:sz w:val="28"/>
          <w:szCs w:val="28"/>
        </w:rPr>
        <w:lastRenderedPageBreak/>
        <w:t>Table of Contents</w:t>
      </w:r>
    </w:p>
    <w:sdt>
      <w:sdtPr>
        <w:rPr>
          <w:rFonts w:eastAsia="Calibri"/>
          <w:b w:val="0"/>
          <w:bCs w:val="0"/>
          <w:noProof w:val="0"/>
          <w:sz w:val="22"/>
          <w:szCs w:val="22"/>
        </w:rPr>
        <w:id w:val="-1689797345"/>
        <w:docPartObj>
          <w:docPartGallery w:val="Table of Contents"/>
          <w:docPartUnique/>
        </w:docPartObj>
      </w:sdtPr>
      <w:sdtEndPr>
        <w:rPr>
          <w:sz w:val="24"/>
        </w:rPr>
      </w:sdtEndPr>
      <w:sdtContent>
        <w:p w14:paraId="73A050EF" w14:textId="0D364586" w:rsidR="007946DE" w:rsidRDefault="005C6948">
          <w:pPr>
            <w:pStyle w:val="TOC1"/>
            <w:rPr>
              <w:rFonts w:asciiTheme="minorHAnsi" w:eastAsiaTheme="minorEastAsia" w:hAnsiTheme="minorHAnsi" w:cstheme="minorBidi"/>
              <w:b w:val="0"/>
              <w:bCs w:val="0"/>
              <w:kern w:val="2"/>
              <w14:ligatures w14:val="standardContextual"/>
            </w:rPr>
          </w:pPr>
          <w:r w:rsidRPr="00387509">
            <w:rPr>
              <w:sz w:val="28"/>
              <w:szCs w:val="28"/>
            </w:rPr>
            <w:fldChar w:fldCharType="begin"/>
          </w:r>
          <w:r w:rsidRPr="00387509">
            <w:instrText xml:space="preserve"> TOC \h \u \z \t "Heading 1,1,Heading 2,2,Heading 3,3,"</w:instrText>
          </w:r>
          <w:r w:rsidRPr="00387509">
            <w:rPr>
              <w:sz w:val="28"/>
              <w:szCs w:val="28"/>
            </w:rPr>
            <w:fldChar w:fldCharType="separate"/>
          </w:r>
          <w:hyperlink w:anchor="_Toc227610511" w:history="1">
            <w:r w:rsidR="007946DE" w:rsidRPr="00F50CF7">
              <w:rPr>
                <w:rStyle w:val="Hyperlink"/>
              </w:rPr>
              <w:t>Introduction</w:t>
            </w:r>
            <w:r w:rsidR="007946DE">
              <w:rPr>
                <w:webHidden/>
              </w:rPr>
              <w:tab/>
            </w:r>
            <w:r w:rsidR="007946DE">
              <w:rPr>
                <w:webHidden/>
              </w:rPr>
              <w:fldChar w:fldCharType="begin"/>
            </w:r>
            <w:r w:rsidR="007946DE">
              <w:rPr>
                <w:webHidden/>
              </w:rPr>
              <w:instrText xml:space="preserve"> PAGEREF _Toc227610511 \h </w:instrText>
            </w:r>
            <w:r w:rsidR="007946DE">
              <w:rPr>
                <w:webHidden/>
              </w:rPr>
            </w:r>
            <w:r w:rsidR="007946DE">
              <w:rPr>
                <w:webHidden/>
              </w:rPr>
              <w:fldChar w:fldCharType="separate"/>
            </w:r>
            <w:r w:rsidR="007946DE">
              <w:rPr>
                <w:webHidden/>
              </w:rPr>
              <w:t>4</w:t>
            </w:r>
            <w:r w:rsidR="007946DE">
              <w:rPr>
                <w:webHidden/>
              </w:rPr>
              <w:fldChar w:fldCharType="end"/>
            </w:r>
          </w:hyperlink>
        </w:p>
        <w:p w14:paraId="684DCAD8" w14:textId="3F8641B6" w:rsidR="007946DE" w:rsidRDefault="007946DE">
          <w:pPr>
            <w:pStyle w:val="TOC1"/>
            <w:rPr>
              <w:rFonts w:asciiTheme="minorHAnsi" w:eastAsiaTheme="minorEastAsia" w:hAnsiTheme="minorHAnsi" w:cstheme="minorBidi"/>
              <w:b w:val="0"/>
              <w:bCs w:val="0"/>
              <w:kern w:val="2"/>
              <w14:ligatures w14:val="standardContextual"/>
            </w:rPr>
          </w:pPr>
          <w:hyperlink w:anchor="_Toc227610512" w:history="1">
            <w:r w:rsidRPr="00F50CF7">
              <w:rPr>
                <w:rStyle w:val="Hyperlink"/>
              </w:rPr>
              <w:t>Main Findings</w:t>
            </w:r>
            <w:r>
              <w:rPr>
                <w:webHidden/>
              </w:rPr>
              <w:tab/>
            </w:r>
            <w:r>
              <w:rPr>
                <w:webHidden/>
              </w:rPr>
              <w:fldChar w:fldCharType="begin"/>
            </w:r>
            <w:r>
              <w:rPr>
                <w:webHidden/>
              </w:rPr>
              <w:instrText xml:space="preserve"> PAGEREF _Toc227610512 \h </w:instrText>
            </w:r>
            <w:r>
              <w:rPr>
                <w:webHidden/>
              </w:rPr>
            </w:r>
            <w:r>
              <w:rPr>
                <w:webHidden/>
              </w:rPr>
              <w:fldChar w:fldCharType="separate"/>
            </w:r>
            <w:r>
              <w:rPr>
                <w:webHidden/>
              </w:rPr>
              <w:t>5</w:t>
            </w:r>
            <w:r>
              <w:rPr>
                <w:webHidden/>
              </w:rPr>
              <w:fldChar w:fldCharType="end"/>
            </w:r>
          </w:hyperlink>
        </w:p>
        <w:p w14:paraId="0B6BC193" w14:textId="6B490EB9" w:rsidR="007946DE" w:rsidRDefault="007946DE">
          <w:pPr>
            <w:pStyle w:val="TOC2"/>
            <w:rPr>
              <w:rFonts w:asciiTheme="minorHAnsi" w:eastAsiaTheme="minorEastAsia" w:hAnsiTheme="minorHAnsi" w:cstheme="minorBidi"/>
              <w:b w:val="0"/>
              <w:bCs w:val="0"/>
              <w:kern w:val="2"/>
              <w14:ligatures w14:val="standardContextual"/>
            </w:rPr>
          </w:pPr>
          <w:hyperlink w:anchor="_Toc227610513" w:history="1">
            <w:r w:rsidRPr="00F50CF7">
              <w:rPr>
                <w:rStyle w:val="Hyperlink"/>
              </w:rPr>
              <w:t>Part A: A Critical Financial Performance Evaluation of BP PLC: Ratio Analysis and Strategic Recommendations</w:t>
            </w:r>
            <w:r>
              <w:rPr>
                <w:webHidden/>
              </w:rPr>
              <w:tab/>
            </w:r>
            <w:r>
              <w:rPr>
                <w:webHidden/>
              </w:rPr>
              <w:fldChar w:fldCharType="begin"/>
            </w:r>
            <w:r>
              <w:rPr>
                <w:webHidden/>
              </w:rPr>
              <w:instrText xml:space="preserve"> PAGEREF _Toc227610513 \h </w:instrText>
            </w:r>
            <w:r>
              <w:rPr>
                <w:webHidden/>
              </w:rPr>
            </w:r>
            <w:r>
              <w:rPr>
                <w:webHidden/>
              </w:rPr>
              <w:fldChar w:fldCharType="separate"/>
            </w:r>
            <w:r>
              <w:rPr>
                <w:webHidden/>
              </w:rPr>
              <w:t>5</w:t>
            </w:r>
            <w:r>
              <w:rPr>
                <w:webHidden/>
              </w:rPr>
              <w:fldChar w:fldCharType="end"/>
            </w:r>
          </w:hyperlink>
        </w:p>
        <w:p w14:paraId="3FEDD69B" w14:textId="2254BDCA" w:rsidR="007946DE" w:rsidRDefault="007946DE">
          <w:pPr>
            <w:pStyle w:val="TOC1"/>
            <w:rPr>
              <w:rFonts w:asciiTheme="minorHAnsi" w:eastAsiaTheme="minorEastAsia" w:hAnsiTheme="minorHAnsi" w:cstheme="minorBidi"/>
              <w:b w:val="0"/>
              <w:bCs w:val="0"/>
              <w:kern w:val="2"/>
              <w14:ligatures w14:val="standardContextual"/>
            </w:rPr>
          </w:pPr>
          <w:hyperlink w:anchor="_Toc227610514" w:history="1">
            <w:r w:rsidRPr="00F50CF7">
              <w:rPr>
                <w:rStyle w:val="Hyperlink"/>
              </w:rPr>
              <w:t>1. Financial Ratio Analysis</w:t>
            </w:r>
            <w:r>
              <w:rPr>
                <w:webHidden/>
              </w:rPr>
              <w:tab/>
            </w:r>
            <w:r>
              <w:rPr>
                <w:webHidden/>
              </w:rPr>
              <w:fldChar w:fldCharType="begin"/>
            </w:r>
            <w:r>
              <w:rPr>
                <w:webHidden/>
              </w:rPr>
              <w:instrText xml:space="preserve"> PAGEREF _Toc227610514 \h </w:instrText>
            </w:r>
            <w:r>
              <w:rPr>
                <w:webHidden/>
              </w:rPr>
            </w:r>
            <w:r>
              <w:rPr>
                <w:webHidden/>
              </w:rPr>
              <w:fldChar w:fldCharType="separate"/>
            </w:r>
            <w:r>
              <w:rPr>
                <w:webHidden/>
              </w:rPr>
              <w:t>5</w:t>
            </w:r>
            <w:r>
              <w:rPr>
                <w:webHidden/>
              </w:rPr>
              <w:fldChar w:fldCharType="end"/>
            </w:r>
          </w:hyperlink>
        </w:p>
        <w:p w14:paraId="224EC69C" w14:textId="65151F47" w:rsidR="007946DE" w:rsidRDefault="007946DE">
          <w:pPr>
            <w:pStyle w:val="TOC2"/>
            <w:rPr>
              <w:rFonts w:asciiTheme="minorHAnsi" w:eastAsiaTheme="minorEastAsia" w:hAnsiTheme="minorHAnsi" w:cstheme="minorBidi"/>
              <w:b w:val="0"/>
              <w:bCs w:val="0"/>
              <w:kern w:val="2"/>
              <w14:ligatures w14:val="standardContextual"/>
            </w:rPr>
          </w:pPr>
          <w:hyperlink w:anchor="_Toc227610515" w:history="1">
            <w:r w:rsidRPr="00F50CF7">
              <w:rPr>
                <w:rStyle w:val="Hyperlink"/>
              </w:rPr>
              <w:t>1.1 Profitability Ratios</w:t>
            </w:r>
            <w:r>
              <w:rPr>
                <w:webHidden/>
              </w:rPr>
              <w:tab/>
            </w:r>
            <w:r>
              <w:rPr>
                <w:webHidden/>
              </w:rPr>
              <w:fldChar w:fldCharType="begin"/>
            </w:r>
            <w:r>
              <w:rPr>
                <w:webHidden/>
              </w:rPr>
              <w:instrText xml:space="preserve"> PAGEREF _Toc227610515 \h </w:instrText>
            </w:r>
            <w:r>
              <w:rPr>
                <w:webHidden/>
              </w:rPr>
            </w:r>
            <w:r>
              <w:rPr>
                <w:webHidden/>
              </w:rPr>
              <w:fldChar w:fldCharType="separate"/>
            </w:r>
            <w:r>
              <w:rPr>
                <w:webHidden/>
              </w:rPr>
              <w:t>5</w:t>
            </w:r>
            <w:r>
              <w:rPr>
                <w:webHidden/>
              </w:rPr>
              <w:fldChar w:fldCharType="end"/>
            </w:r>
          </w:hyperlink>
        </w:p>
        <w:p w14:paraId="43262165" w14:textId="079C828B" w:rsidR="007946DE" w:rsidRDefault="007946DE">
          <w:pPr>
            <w:pStyle w:val="TOC2"/>
            <w:rPr>
              <w:rFonts w:asciiTheme="minorHAnsi" w:eastAsiaTheme="minorEastAsia" w:hAnsiTheme="minorHAnsi" w:cstheme="minorBidi"/>
              <w:b w:val="0"/>
              <w:bCs w:val="0"/>
              <w:kern w:val="2"/>
              <w14:ligatures w14:val="standardContextual"/>
            </w:rPr>
          </w:pPr>
          <w:hyperlink w:anchor="_Toc227610516" w:history="1">
            <w:r w:rsidRPr="00F50CF7">
              <w:rPr>
                <w:rStyle w:val="Hyperlink"/>
              </w:rPr>
              <w:t>1.2 Efficiency Ratios</w:t>
            </w:r>
            <w:r>
              <w:rPr>
                <w:webHidden/>
              </w:rPr>
              <w:tab/>
            </w:r>
            <w:r>
              <w:rPr>
                <w:webHidden/>
              </w:rPr>
              <w:fldChar w:fldCharType="begin"/>
            </w:r>
            <w:r>
              <w:rPr>
                <w:webHidden/>
              </w:rPr>
              <w:instrText xml:space="preserve"> PAGEREF _Toc227610516 \h </w:instrText>
            </w:r>
            <w:r>
              <w:rPr>
                <w:webHidden/>
              </w:rPr>
            </w:r>
            <w:r>
              <w:rPr>
                <w:webHidden/>
              </w:rPr>
              <w:fldChar w:fldCharType="separate"/>
            </w:r>
            <w:r>
              <w:rPr>
                <w:webHidden/>
              </w:rPr>
              <w:t>7</w:t>
            </w:r>
            <w:r>
              <w:rPr>
                <w:webHidden/>
              </w:rPr>
              <w:fldChar w:fldCharType="end"/>
            </w:r>
          </w:hyperlink>
        </w:p>
        <w:p w14:paraId="28DBE78D" w14:textId="72B3D13B" w:rsidR="007946DE" w:rsidRDefault="007946DE">
          <w:pPr>
            <w:pStyle w:val="TOC2"/>
            <w:rPr>
              <w:rFonts w:asciiTheme="minorHAnsi" w:eastAsiaTheme="minorEastAsia" w:hAnsiTheme="minorHAnsi" w:cstheme="minorBidi"/>
              <w:b w:val="0"/>
              <w:bCs w:val="0"/>
              <w:kern w:val="2"/>
              <w14:ligatures w14:val="standardContextual"/>
            </w:rPr>
          </w:pPr>
          <w:hyperlink w:anchor="_Toc227610517" w:history="1">
            <w:r w:rsidRPr="00F50CF7">
              <w:rPr>
                <w:rStyle w:val="Hyperlink"/>
              </w:rPr>
              <w:t>1.3 Liquidity Ratios</w:t>
            </w:r>
            <w:r>
              <w:rPr>
                <w:webHidden/>
              </w:rPr>
              <w:tab/>
            </w:r>
            <w:r>
              <w:rPr>
                <w:webHidden/>
              </w:rPr>
              <w:fldChar w:fldCharType="begin"/>
            </w:r>
            <w:r>
              <w:rPr>
                <w:webHidden/>
              </w:rPr>
              <w:instrText xml:space="preserve"> PAGEREF _Toc227610517 \h </w:instrText>
            </w:r>
            <w:r>
              <w:rPr>
                <w:webHidden/>
              </w:rPr>
            </w:r>
            <w:r>
              <w:rPr>
                <w:webHidden/>
              </w:rPr>
              <w:fldChar w:fldCharType="separate"/>
            </w:r>
            <w:r>
              <w:rPr>
                <w:webHidden/>
              </w:rPr>
              <w:t>9</w:t>
            </w:r>
            <w:r>
              <w:rPr>
                <w:webHidden/>
              </w:rPr>
              <w:fldChar w:fldCharType="end"/>
            </w:r>
          </w:hyperlink>
        </w:p>
        <w:p w14:paraId="174EC71E" w14:textId="6FA2B126" w:rsidR="007946DE" w:rsidRDefault="007946DE">
          <w:pPr>
            <w:pStyle w:val="TOC2"/>
            <w:rPr>
              <w:rFonts w:asciiTheme="minorHAnsi" w:eastAsiaTheme="minorEastAsia" w:hAnsiTheme="minorHAnsi" w:cstheme="minorBidi"/>
              <w:b w:val="0"/>
              <w:bCs w:val="0"/>
              <w:kern w:val="2"/>
              <w14:ligatures w14:val="standardContextual"/>
            </w:rPr>
          </w:pPr>
          <w:hyperlink w:anchor="_Toc227610518" w:history="1">
            <w:r w:rsidRPr="00F50CF7">
              <w:rPr>
                <w:rStyle w:val="Hyperlink"/>
              </w:rPr>
              <w:t>1.4 Investment Ratios</w:t>
            </w:r>
            <w:r>
              <w:rPr>
                <w:webHidden/>
              </w:rPr>
              <w:tab/>
            </w:r>
            <w:r>
              <w:rPr>
                <w:webHidden/>
              </w:rPr>
              <w:fldChar w:fldCharType="begin"/>
            </w:r>
            <w:r>
              <w:rPr>
                <w:webHidden/>
              </w:rPr>
              <w:instrText xml:space="preserve"> PAGEREF _Toc227610518 \h </w:instrText>
            </w:r>
            <w:r>
              <w:rPr>
                <w:webHidden/>
              </w:rPr>
            </w:r>
            <w:r>
              <w:rPr>
                <w:webHidden/>
              </w:rPr>
              <w:fldChar w:fldCharType="separate"/>
            </w:r>
            <w:r>
              <w:rPr>
                <w:webHidden/>
              </w:rPr>
              <w:t>11</w:t>
            </w:r>
            <w:r>
              <w:rPr>
                <w:webHidden/>
              </w:rPr>
              <w:fldChar w:fldCharType="end"/>
            </w:r>
          </w:hyperlink>
        </w:p>
        <w:p w14:paraId="44399AE5" w14:textId="07C51776" w:rsidR="007946DE" w:rsidRDefault="007946DE">
          <w:pPr>
            <w:pStyle w:val="TOC2"/>
            <w:rPr>
              <w:rFonts w:asciiTheme="minorHAnsi" w:eastAsiaTheme="minorEastAsia" w:hAnsiTheme="minorHAnsi" w:cstheme="minorBidi"/>
              <w:b w:val="0"/>
              <w:bCs w:val="0"/>
              <w:kern w:val="2"/>
              <w14:ligatures w14:val="standardContextual"/>
            </w:rPr>
          </w:pPr>
          <w:hyperlink w:anchor="_Toc227610519" w:history="1">
            <w:r w:rsidRPr="00F50CF7">
              <w:rPr>
                <w:rStyle w:val="Hyperlink"/>
              </w:rPr>
              <w:t>1.5 Gearing Ratios</w:t>
            </w:r>
            <w:r>
              <w:rPr>
                <w:webHidden/>
              </w:rPr>
              <w:tab/>
            </w:r>
            <w:r>
              <w:rPr>
                <w:webHidden/>
              </w:rPr>
              <w:fldChar w:fldCharType="begin"/>
            </w:r>
            <w:r>
              <w:rPr>
                <w:webHidden/>
              </w:rPr>
              <w:instrText xml:space="preserve"> PAGEREF _Toc227610519 \h </w:instrText>
            </w:r>
            <w:r>
              <w:rPr>
                <w:webHidden/>
              </w:rPr>
            </w:r>
            <w:r>
              <w:rPr>
                <w:webHidden/>
              </w:rPr>
              <w:fldChar w:fldCharType="separate"/>
            </w:r>
            <w:r>
              <w:rPr>
                <w:webHidden/>
              </w:rPr>
              <w:t>12</w:t>
            </w:r>
            <w:r>
              <w:rPr>
                <w:webHidden/>
              </w:rPr>
              <w:fldChar w:fldCharType="end"/>
            </w:r>
          </w:hyperlink>
        </w:p>
        <w:p w14:paraId="70F82A97" w14:textId="3EE4EE0F" w:rsidR="007946DE" w:rsidRDefault="007946DE">
          <w:pPr>
            <w:pStyle w:val="TOC1"/>
            <w:rPr>
              <w:rFonts w:asciiTheme="minorHAnsi" w:eastAsiaTheme="minorEastAsia" w:hAnsiTheme="minorHAnsi" w:cstheme="minorBidi"/>
              <w:b w:val="0"/>
              <w:bCs w:val="0"/>
              <w:kern w:val="2"/>
              <w14:ligatures w14:val="standardContextual"/>
            </w:rPr>
          </w:pPr>
          <w:hyperlink w:anchor="_Toc227610520" w:history="1">
            <w:r w:rsidRPr="00F50CF7">
              <w:rPr>
                <w:rStyle w:val="Hyperlink"/>
              </w:rPr>
              <w:t>Part B: Investment Capital Budgeting and Financing Analysis of Beard Plc</w:t>
            </w:r>
            <w:r>
              <w:rPr>
                <w:webHidden/>
              </w:rPr>
              <w:tab/>
            </w:r>
            <w:r>
              <w:rPr>
                <w:webHidden/>
              </w:rPr>
              <w:fldChar w:fldCharType="begin"/>
            </w:r>
            <w:r>
              <w:rPr>
                <w:webHidden/>
              </w:rPr>
              <w:instrText xml:space="preserve"> PAGEREF _Toc227610520 \h </w:instrText>
            </w:r>
            <w:r>
              <w:rPr>
                <w:webHidden/>
              </w:rPr>
            </w:r>
            <w:r>
              <w:rPr>
                <w:webHidden/>
              </w:rPr>
              <w:fldChar w:fldCharType="separate"/>
            </w:r>
            <w:r>
              <w:rPr>
                <w:webHidden/>
              </w:rPr>
              <w:t>14</w:t>
            </w:r>
            <w:r>
              <w:rPr>
                <w:webHidden/>
              </w:rPr>
              <w:fldChar w:fldCharType="end"/>
            </w:r>
          </w:hyperlink>
        </w:p>
        <w:p w14:paraId="7B86D62B" w14:textId="262BEB22" w:rsidR="007946DE" w:rsidRDefault="007946DE">
          <w:pPr>
            <w:pStyle w:val="TOC1"/>
            <w:rPr>
              <w:rFonts w:asciiTheme="minorHAnsi" w:eastAsiaTheme="minorEastAsia" w:hAnsiTheme="minorHAnsi" w:cstheme="minorBidi"/>
              <w:b w:val="0"/>
              <w:bCs w:val="0"/>
              <w:kern w:val="2"/>
              <w14:ligatures w14:val="standardContextual"/>
            </w:rPr>
          </w:pPr>
          <w:hyperlink w:anchor="_Toc227610521" w:history="1">
            <w:r w:rsidRPr="00F50CF7">
              <w:rPr>
                <w:rStyle w:val="Hyperlink"/>
              </w:rPr>
              <w:t>1. Investment Appraisal Using NPV</w:t>
            </w:r>
            <w:r>
              <w:rPr>
                <w:webHidden/>
              </w:rPr>
              <w:tab/>
            </w:r>
            <w:r>
              <w:rPr>
                <w:webHidden/>
              </w:rPr>
              <w:fldChar w:fldCharType="begin"/>
            </w:r>
            <w:r>
              <w:rPr>
                <w:webHidden/>
              </w:rPr>
              <w:instrText xml:space="preserve"> PAGEREF _Toc227610521 \h </w:instrText>
            </w:r>
            <w:r>
              <w:rPr>
                <w:webHidden/>
              </w:rPr>
            </w:r>
            <w:r>
              <w:rPr>
                <w:webHidden/>
              </w:rPr>
              <w:fldChar w:fldCharType="separate"/>
            </w:r>
            <w:r>
              <w:rPr>
                <w:webHidden/>
              </w:rPr>
              <w:t>14</w:t>
            </w:r>
            <w:r>
              <w:rPr>
                <w:webHidden/>
              </w:rPr>
              <w:fldChar w:fldCharType="end"/>
            </w:r>
          </w:hyperlink>
        </w:p>
        <w:p w14:paraId="7ED31E70" w14:textId="50BF81AB" w:rsidR="007946DE" w:rsidRDefault="007946DE">
          <w:pPr>
            <w:pStyle w:val="TOC2"/>
            <w:tabs>
              <w:tab w:val="left" w:pos="960"/>
            </w:tabs>
            <w:rPr>
              <w:rFonts w:asciiTheme="minorHAnsi" w:eastAsiaTheme="minorEastAsia" w:hAnsiTheme="minorHAnsi" w:cstheme="minorBidi"/>
              <w:b w:val="0"/>
              <w:bCs w:val="0"/>
              <w:kern w:val="2"/>
              <w14:ligatures w14:val="standardContextual"/>
            </w:rPr>
          </w:pPr>
          <w:hyperlink w:anchor="_Toc227610522" w:history="1">
            <w:r w:rsidRPr="00F50CF7">
              <w:rPr>
                <w:rStyle w:val="Hyperlink"/>
              </w:rPr>
              <w:t>1.1</w:t>
            </w:r>
            <w:r>
              <w:rPr>
                <w:rFonts w:asciiTheme="minorHAnsi" w:eastAsiaTheme="minorEastAsia" w:hAnsiTheme="minorHAnsi" w:cstheme="minorBidi"/>
                <w:b w:val="0"/>
                <w:bCs w:val="0"/>
                <w:kern w:val="2"/>
                <w14:ligatures w14:val="standardContextual"/>
              </w:rPr>
              <w:tab/>
            </w:r>
            <w:r w:rsidRPr="00F50CF7">
              <w:rPr>
                <w:rStyle w:val="Hyperlink"/>
              </w:rPr>
              <w:t>Calculation of Cash Flows</w:t>
            </w:r>
            <w:r>
              <w:rPr>
                <w:webHidden/>
              </w:rPr>
              <w:tab/>
            </w:r>
            <w:r>
              <w:rPr>
                <w:webHidden/>
              </w:rPr>
              <w:fldChar w:fldCharType="begin"/>
            </w:r>
            <w:r>
              <w:rPr>
                <w:webHidden/>
              </w:rPr>
              <w:instrText xml:space="preserve"> PAGEREF _Toc227610522 \h </w:instrText>
            </w:r>
            <w:r>
              <w:rPr>
                <w:webHidden/>
              </w:rPr>
            </w:r>
            <w:r>
              <w:rPr>
                <w:webHidden/>
              </w:rPr>
              <w:fldChar w:fldCharType="separate"/>
            </w:r>
            <w:r>
              <w:rPr>
                <w:webHidden/>
              </w:rPr>
              <w:t>14</w:t>
            </w:r>
            <w:r>
              <w:rPr>
                <w:webHidden/>
              </w:rPr>
              <w:fldChar w:fldCharType="end"/>
            </w:r>
          </w:hyperlink>
        </w:p>
        <w:p w14:paraId="0443A168" w14:textId="34F775D6" w:rsidR="007946DE" w:rsidRDefault="007946DE">
          <w:pPr>
            <w:pStyle w:val="TOC2"/>
            <w:rPr>
              <w:rFonts w:asciiTheme="minorHAnsi" w:eastAsiaTheme="minorEastAsia" w:hAnsiTheme="minorHAnsi" w:cstheme="minorBidi"/>
              <w:b w:val="0"/>
              <w:bCs w:val="0"/>
              <w:kern w:val="2"/>
              <w14:ligatures w14:val="standardContextual"/>
            </w:rPr>
          </w:pPr>
          <w:hyperlink w:anchor="_Toc227610523" w:history="1">
            <w:r w:rsidRPr="00F50CF7">
              <w:rPr>
                <w:rStyle w:val="Hyperlink"/>
              </w:rPr>
              <w:t>1.2 Discounting Cash Flows</w:t>
            </w:r>
            <w:r>
              <w:rPr>
                <w:webHidden/>
              </w:rPr>
              <w:tab/>
            </w:r>
            <w:r>
              <w:rPr>
                <w:webHidden/>
              </w:rPr>
              <w:fldChar w:fldCharType="begin"/>
            </w:r>
            <w:r>
              <w:rPr>
                <w:webHidden/>
              </w:rPr>
              <w:instrText xml:space="preserve"> PAGEREF _Toc227610523 \h </w:instrText>
            </w:r>
            <w:r>
              <w:rPr>
                <w:webHidden/>
              </w:rPr>
            </w:r>
            <w:r>
              <w:rPr>
                <w:webHidden/>
              </w:rPr>
              <w:fldChar w:fldCharType="separate"/>
            </w:r>
            <w:r>
              <w:rPr>
                <w:webHidden/>
              </w:rPr>
              <w:t>15</w:t>
            </w:r>
            <w:r>
              <w:rPr>
                <w:webHidden/>
              </w:rPr>
              <w:fldChar w:fldCharType="end"/>
            </w:r>
          </w:hyperlink>
        </w:p>
        <w:p w14:paraId="3193C9DB" w14:textId="33F1D09E" w:rsidR="007946DE" w:rsidRDefault="007946DE">
          <w:pPr>
            <w:pStyle w:val="TOC2"/>
            <w:rPr>
              <w:rFonts w:asciiTheme="minorHAnsi" w:eastAsiaTheme="minorEastAsia" w:hAnsiTheme="minorHAnsi" w:cstheme="minorBidi"/>
              <w:b w:val="0"/>
              <w:bCs w:val="0"/>
              <w:kern w:val="2"/>
              <w14:ligatures w14:val="standardContextual"/>
            </w:rPr>
          </w:pPr>
          <w:hyperlink w:anchor="_Toc227610524" w:history="1">
            <w:r w:rsidRPr="00F50CF7">
              <w:rPr>
                <w:rStyle w:val="Hyperlink"/>
              </w:rPr>
              <w:t>2. Internal Rate of Return (IRR) – Selected Project</w:t>
            </w:r>
            <w:r>
              <w:rPr>
                <w:webHidden/>
              </w:rPr>
              <w:tab/>
            </w:r>
            <w:r>
              <w:rPr>
                <w:webHidden/>
              </w:rPr>
              <w:fldChar w:fldCharType="begin"/>
            </w:r>
            <w:r>
              <w:rPr>
                <w:webHidden/>
              </w:rPr>
              <w:instrText xml:space="preserve"> PAGEREF _Toc227610524 \h </w:instrText>
            </w:r>
            <w:r>
              <w:rPr>
                <w:webHidden/>
              </w:rPr>
            </w:r>
            <w:r>
              <w:rPr>
                <w:webHidden/>
              </w:rPr>
              <w:fldChar w:fldCharType="separate"/>
            </w:r>
            <w:r>
              <w:rPr>
                <w:webHidden/>
              </w:rPr>
              <w:t>16</w:t>
            </w:r>
            <w:r>
              <w:rPr>
                <w:webHidden/>
              </w:rPr>
              <w:fldChar w:fldCharType="end"/>
            </w:r>
          </w:hyperlink>
        </w:p>
        <w:p w14:paraId="0DB39D72" w14:textId="6219591B" w:rsidR="007946DE" w:rsidRDefault="007946DE">
          <w:pPr>
            <w:pStyle w:val="TOC2"/>
            <w:rPr>
              <w:rFonts w:asciiTheme="minorHAnsi" w:eastAsiaTheme="minorEastAsia" w:hAnsiTheme="minorHAnsi" w:cstheme="minorBidi"/>
              <w:b w:val="0"/>
              <w:bCs w:val="0"/>
              <w:kern w:val="2"/>
              <w14:ligatures w14:val="standardContextual"/>
            </w:rPr>
          </w:pPr>
          <w:hyperlink w:anchor="_Toc227610525" w:history="1">
            <w:r w:rsidRPr="00F50CF7">
              <w:rPr>
                <w:rStyle w:val="Hyperlink"/>
              </w:rPr>
              <w:t>2.1 IRR Result</w:t>
            </w:r>
            <w:r>
              <w:rPr>
                <w:webHidden/>
              </w:rPr>
              <w:tab/>
            </w:r>
            <w:r>
              <w:rPr>
                <w:webHidden/>
              </w:rPr>
              <w:fldChar w:fldCharType="begin"/>
            </w:r>
            <w:r>
              <w:rPr>
                <w:webHidden/>
              </w:rPr>
              <w:instrText xml:space="preserve"> PAGEREF _Toc227610525 \h </w:instrText>
            </w:r>
            <w:r>
              <w:rPr>
                <w:webHidden/>
              </w:rPr>
            </w:r>
            <w:r>
              <w:rPr>
                <w:webHidden/>
              </w:rPr>
              <w:fldChar w:fldCharType="separate"/>
            </w:r>
            <w:r>
              <w:rPr>
                <w:webHidden/>
              </w:rPr>
              <w:t>16</w:t>
            </w:r>
            <w:r>
              <w:rPr>
                <w:webHidden/>
              </w:rPr>
              <w:fldChar w:fldCharType="end"/>
            </w:r>
          </w:hyperlink>
        </w:p>
        <w:p w14:paraId="3EABCB72" w14:textId="1AD94AD1" w:rsidR="007946DE" w:rsidRDefault="007946DE">
          <w:pPr>
            <w:pStyle w:val="TOC2"/>
            <w:rPr>
              <w:rFonts w:asciiTheme="minorHAnsi" w:eastAsiaTheme="minorEastAsia" w:hAnsiTheme="minorHAnsi" w:cstheme="minorBidi"/>
              <w:b w:val="0"/>
              <w:bCs w:val="0"/>
              <w:kern w:val="2"/>
              <w14:ligatures w14:val="standardContextual"/>
            </w:rPr>
          </w:pPr>
          <w:hyperlink w:anchor="_Toc227610526" w:history="1">
            <w:r w:rsidRPr="00F50CF7">
              <w:rPr>
                <w:rStyle w:val="Hyperlink"/>
              </w:rPr>
              <w:t>2.2 Interpretation</w:t>
            </w:r>
            <w:r>
              <w:rPr>
                <w:webHidden/>
              </w:rPr>
              <w:tab/>
            </w:r>
            <w:r>
              <w:rPr>
                <w:webHidden/>
              </w:rPr>
              <w:fldChar w:fldCharType="begin"/>
            </w:r>
            <w:r>
              <w:rPr>
                <w:webHidden/>
              </w:rPr>
              <w:instrText xml:space="preserve"> PAGEREF _Toc227610526 \h </w:instrText>
            </w:r>
            <w:r>
              <w:rPr>
                <w:webHidden/>
              </w:rPr>
            </w:r>
            <w:r>
              <w:rPr>
                <w:webHidden/>
              </w:rPr>
              <w:fldChar w:fldCharType="separate"/>
            </w:r>
            <w:r>
              <w:rPr>
                <w:webHidden/>
              </w:rPr>
              <w:t>17</w:t>
            </w:r>
            <w:r>
              <w:rPr>
                <w:webHidden/>
              </w:rPr>
              <w:fldChar w:fldCharType="end"/>
            </w:r>
          </w:hyperlink>
        </w:p>
        <w:p w14:paraId="5FA8B49F" w14:textId="3C0095F8" w:rsidR="007946DE" w:rsidRDefault="007946DE">
          <w:pPr>
            <w:pStyle w:val="TOC1"/>
            <w:rPr>
              <w:rFonts w:asciiTheme="minorHAnsi" w:eastAsiaTheme="minorEastAsia" w:hAnsiTheme="minorHAnsi" w:cstheme="minorBidi"/>
              <w:b w:val="0"/>
              <w:bCs w:val="0"/>
              <w:kern w:val="2"/>
              <w14:ligatures w14:val="standardContextual"/>
            </w:rPr>
          </w:pPr>
          <w:hyperlink w:anchor="_Toc227610527" w:history="1">
            <w:r w:rsidRPr="00F50CF7">
              <w:rPr>
                <w:rStyle w:val="Hyperlink"/>
              </w:rPr>
              <w:t>3. Investment Appraisal Theory</w:t>
            </w:r>
            <w:r>
              <w:rPr>
                <w:webHidden/>
              </w:rPr>
              <w:tab/>
            </w:r>
            <w:r>
              <w:rPr>
                <w:webHidden/>
              </w:rPr>
              <w:fldChar w:fldCharType="begin"/>
            </w:r>
            <w:r>
              <w:rPr>
                <w:webHidden/>
              </w:rPr>
              <w:instrText xml:space="preserve"> PAGEREF _Toc227610527 \h </w:instrText>
            </w:r>
            <w:r>
              <w:rPr>
                <w:webHidden/>
              </w:rPr>
            </w:r>
            <w:r>
              <w:rPr>
                <w:webHidden/>
              </w:rPr>
              <w:fldChar w:fldCharType="separate"/>
            </w:r>
            <w:r>
              <w:rPr>
                <w:webHidden/>
              </w:rPr>
              <w:t>17</w:t>
            </w:r>
            <w:r>
              <w:rPr>
                <w:webHidden/>
              </w:rPr>
              <w:fldChar w:fldCharType="end"/>
            </w:r>
          </w:hyperlink>
        </w:p>
        <w:p w14:paraId="66261A4A" w14:textId="1B0C2B97" w:rsidR="007946DE" w:rsidRDefault="007946DE">
          <w:pPr>
            <w:pStyle w:val="TOC2"/>
            <w:rPr>
              <w:rFonts w:asciiTheme="minorHAnsi" w:eastAsiaTheme="minorEastAsia" w:hAnsiTheme="minorHAnsi" w:cstheme="minorBidi"/>
              <w:b w:val="0"/>
              <w:bCs w:val="0"/>
              <w:kern w:val="2"/>
              <w14:ligatures w14:val="standardContextual"/>
            </w:rPr>
          </w:pPr>
          <w:hyperlink w:anchor="_Toc227610528" w:history="1">
            <w:r w:rsidRPr="00F50CF7">
              <w:rPr>
                <w:rStyle w:val="Hyperlink"/>
              </w:rPr>
              <w:t>3.1 Why NPV is best method</w:t>
            </w:r>
            <w:r>
              <w:rPr>
                <w:webHidden/>
              </w:rPr>
              <w:tab/>
            </w:r>
            <w:r>
              <w:rPr>
                <w:webHidden/>
              </w:rPr>
              <w:fldChar w:fldCharType="begin"/>
            </w:r>
            <w:r>
              <w:rPr>
                <w:webHidden/>
              </w:rPr>
              <w:instrText xml:space="preserve"> PAGEREF _Toc227610528 \h </w:instrText>
            </w:r>
            <w:r>
              <w:rPr>
                <w:webHidden/>
              </w:rPr>
            </w:r>
            <w:r>
              <w:rPr>
                <w:webHidden/>
              </w:rPr>
              <w:fldChar w:fldCharType="separate"/>
            </w:r>
            <w:r>
              <w:rPr>
                <w:webHidden/>
              </w:rPr>
              <w:t>17</w:t>
            </w:r>
            <w:r>
              <w:rPr>
                <w:webHidden/>
              </w:rPr>
              <w:fldChar w:fldCharType="end"/>
            </w:r>
          </w:hyperlink>
        </w:p>
        <w:p w14:paraId="5ECB839D" w14:textId="01E4DEDE" w:rsidR="007946DE" w:rsidRDefault="007946DE">
          <w:pPr>
            <w:pStyle w:val="TOC2"/>
            <w:rPr>
              <w:rFonts w:asciiTheme="minorHAnsi" w:eastAsiaTheme="minorEastAsia" w:hAnsiTheme="minorHAnsi" w:cstheme="minorBidi"/>
              <w:b w:val="0"/>
              <w:bCs w:val="0"/>
              <w:kern w:val="2"/>
              <w14:ligatures w14:val="standardContextual"/>
            </w:rPr>
          </w:pPr>
          <w:hyperlink w:anchor="_Toc227610529" w:history="1">
            <w:r w:rsidRPr="00F50CF7">
              <w:rPr>
                <w:rStyle w:val="Hyperlink"/>
              </w:rPr>
              <w:t>3.2 Why non-discounting methods are still used</w:t>
            </w:r>
            <w:r>
              <w:rPr>
                <w:webHidden/>
              </w:rPr>
              <w:tab/>
            </w:r>
            <w:r>
              <w:rPr>
                <w:webHidden/>
              </w:rPr>
              <w:fldChar w:fldCharType="begin"/>
            </w:r>
            <w:r>
              <w:rPr>
                <w:webHidden/>
              </w:rPr>
              <w:instrText xml:space="preserve"> PAGEREF _Toc227610529 \h </w:instrText>
            </w:r>
            <w:r>
              <w:rPr>
                <w:webHidden/>
              </w:rPr>
            </w:r>
            <w:r>
              <w:rPr>
                <w:webHidden/>
              </w:rPr>
              <w:fldChar w:fldCharType="separate"/>
            </w:r>
            <w:r>
              <w:rPr>
                <w:webHidden/>
              </w:rPr>
              <w:t>17</w:t>
            </w:r>
            <w:r>
              <w:rPr>
                <w:webHidden/>
              </w:rPr>
              <w:fldChar w:fldCharType="end"/>
            </w:r>
          </w:hyperlink>
        </w:p>
        <w:p w14:paraId="40850C1B" w14:textId="6294D5A9" w:rsidR="007946DE" w:rsidRDefault="007946DE">
          <w:pPr>
            <w:pStyle w:val="TOC2"/>
            <w:rPr>
              <w:rFonts w:asciiTheme="minorHAnsi" w:eastAsiaTheme="minorEastAsia" w:hAnsiTheme="minorHAnsi" w:cstheme="minorBidi"/>
              <w:b w:val="0"/>
              <w:bCs w:val="0"/>
              <w:kern w:val="2"/>
              <w14:ligatures w14:val="standardContextual"/>
            </w:rPr>
          </w:pPr>
          <w:hyperlink w:anchor="_Toc227610530" w:history="1">
            <w:r w:rsidRPr="00F50CF7">
              <w:rPr>
                <w:rStyle w:val="Hyperlink"/>
              </w:rPr>
              <w:t>3.3 Limitations of NPV</w:t>
            </w:r>
            <w:r>
              <w:rPr>
                <w:webHidden/>
              </w:rPr>
              <w:tab/>
            </w:r>
            <w:r>
              <w:rPr>
                <w:webHidden/>
              </w:rPr>
              <w:fldChar w:fldCharType="begin"/>
            </w:r>
            <w:r>
              <w:rPr>
                <w:webHidden/>
              </w:rPr>
              <w:instrText xml:space="preserve"> PAGEREF _Toc227610530 \h </w:instrText>
            </w:r>
            <w:r>
              <w:rPr>
                <w:webHidden/>
              </w:rPr>
            </w:r>
            <w:r>
              <w:rPr>
                <w:webHidden/>
              </w:rPr>
              <w:fldChar w:fldCharType="separate"/>
            </w:r>
            <w:r>
              <w:rPr>
                <w:webHidden/>
              </w:rPr>
              <w:t>18</w:t>
            </w:r>
            <w:r>
              <w:rPr>
                <w:webHidden/>
              </w:rPr>
              <w:fldChar w:fldCharType="end"/>
            </w:r>
          </w:hyperlink>
        </w:p>
        <w:p w14:paraId="4B2E3B21" w14:textId="5A954DBA" w:rsidR="007946DE" w:rsidRDefault="007946DE">
          <w:pPr>
            <w:pStyle w:val="TOC2"/>
            <w:rPr>
              <w:rFonts w:asciiTheme="minorHAnsi" w:eastAsiaTheme="minorEastAsia" w:hAnsiTheme="minorHAnsi" w:cstheme="minorBidi"/>
              <w:b w:val="0"/>
              <w:bCs w:val="0"/>
              <w:kern w:val="2"/>
              <w14:ligatures w14:val="standardContextual"/>
            </w:rPr>
          </w:pPr>
          <w:hyperlink w:anchor="_Toc227610531" w:history="1">
            <w:r w:rsidRPr="00F50CF7">
              <w:rPr>
                <w:rStyle w:val="Hyperlink"/>
              </w:rPr>
              <w:t>3.4 Qualitative Factors</w:t>
            </w:r>
            <w:r>
              <w:rPr>
                <w:webHidden/>
              </w:rPr>
              <w:tab/>
            </w:r>
            <w:r>
              <w:rPr>
                <w:webHidden/>
              </w:rPr>
              <w:fldChar w:fldCharType="begin"/>
            </w:r>
            <w:r>
              <w:rPr>
                <w:webHidden/>
              </w:rPr>
              <w:instrText xml:space="preserve"> PAGEREF _Toc227610531 \h </w:instrText>
            </w:r>
            <w:r>
              <w:rPr>
                <w:webHidden/>
              </w:rPr>
            </w:r>
            <w:r>
              <w:rPr>
                <w:webHidden/>
              </w:rPr>
              <w:fldChar w:fldCharType="separate"/>
            </w:r>
            <w:r>
              <w:rPr>
                <w:webHidden/>
              </w:rPr>
              <w:t>18</w:t>
            </w:r>
            <w:r>
              <w:rPr>
                <w:webHidden/>
              </w:rPr>
              <w:fldChar w:fldCharType="end"/>
            </w:r>
          </w:hyperlink>
        </w:p>
        <w:p w14:paraId="479F3A3A" w14:textId="5467012B" w:rsidR="007946DE" w:rsidRDefault="007946DE">
          <w:pPr>
            <w:pStyle w:val="TOC1"/>
            <w:rPr>
              <w:rFonts w:asciiTheme="minorHAnsi" w:eastAsiaTheme="minorEastAsia" w:hAnsiTheme="minorHAnsi" w:cstheme="minorBidi"/>
              <w:b w:val="0"/>
              <w:bCs w:val="0"/>
              <w:kern w:val="2"/>
              <w14:ligatures w14:val="standardContextual"/>
            </w:rPr>
          </w:pPr>
          <w:hyperlink w:anchor="_Toc227610532" w:history="1">
            <w:r w:rsidRPr="00F50CF7">
              <w:rPr>
                <w:rStyle w:val="Hyperlink"/>
              </w:rPr>
              <w:t>4. Capital Rationing Decision</w:t>
            </w:r>
            <w:r>
              <w:rPr>
                <w:webHidden/>
              </w:rPr>
              <w:tab/>
            </w:r>
            <w:r>
              <w:rPr>
                <w:webHidden/>
              </w:rPr>
              <w:fldChar w:fldCharType="begin"/>
            </w:r>
            <w:r>
              <w:rPr>
                <w:webHidden/>
              </w:rPr>
              <w:instrText xml:space="preserve"> PAGEREF _Toc227610532 \h </w:instrText>
            </w:r>
            <w:r>
              <w:rPr>
                <w:webHidden/>
              </w:rPr>
            </w:r>
            <w:r>
              <w:rPr>
                <w:webHidden/>
              </w:rPr>
              <w:fldChar w:fldCharType="separate"/>
            </w:r>
            <w:r>
              <w:rPr>
                <w:webHidden/>
              </w:rPr>
              <w:t>18</w:t>
            </w:r>
            <w:r>
              <w:rPr>
                <w:webHidden/>
              </w:rPr>
              <w:fldChar w:fldCharType="end"/>
            </w:r>
          </w:hyperlink>
        </w:p>
        <w:p w14:paraId="4289A9B9" w14:textId="5CE853A9" w:rsidR="007946DE" w:rsidRDefault="007946DE">
          <w:pPr>
            <w:pStyle w:val="TOC2"/>
            <w:rPr>
              <w:rFonts w:asciiTheme="minorHAnsi" w:eastAsiaTheme="minorEastAsia" w:hAnsiTheme="minorHAnsi" w:cstheme="minorBidi"/>
              <w:b w:val="0"/>
              <w:bCs w:val="0"/>
              <w:kern w:val="2"/>
              <w14:ligatures w14:val="standardContextual"/>
            </w:rPr>
          </w:pPr>
          <w:hyperlink w:anchor="_Toc227610533" w:history="1">
            <w:r w:rsidRPr="00F50CF7">
              <w:rPr>
                <w:rStyle w:val="Hyperlink"/>
              </w:rPr>
              <w:t>4.1 Calculate Profitability Index (PI)</w:t>
            </w:r>
            <w:r>
              <w:rPr>
                <w:webHidden/>
              </w:rPr>
              <w:tab/>
            </w:r>
            <w:r>
              <w:rPr>
                <w:webHidden/>
              </w:rPr>
              <w:fldChar w:fldCharType="begin"/>
            </w:r>
            <w:r>
              <w:rPr>
                <w:webHidden/>
              </w:rPr>
              <w:instrText xml:space="preserve"> PAGEREF _Toc227610533 \h </w:instrText>
            </w:r>
            <w:r>
              <w:rPr>
                <w:webHidden/>
              </w:rPr>
            </w:r>
            <w:r>
              <w:rPr>
                <w:webHidden/>
              </w:rPr>
              <w:fldChar w:fldCharType="separate"/>
            </w:r>
            <w:r>
              <w:rPr>
                <w:webHidden/>
              </w:rPr>
              <w:t>19</w:t>
            </w:r>
            <w:r>
              <w:rPr>
                <w:webHidden/>
              </w:rPr>
              <w:fldChar w:fldCharType="end"/>
            </w:r>
          </w:hyperlink>
        </w:p>
        <w:p w14:paraId="3640F234" w14:textId="089FC478" w:rsidR="007946DE" w:rsidRDefault="007946DE">
          <w:pPr>
            <w:pStyle w:val="TOC2"/>
            <w:rPr>
              <w:rFonts w:asciiTheme="minorHAnsi" w:eastAsiaTheme="minorEastAsia" w:hAnsiTheme="minorHAnsi" w:cstheme="minorBidi"/>
              <w:b w:val="0"/>
              <w:bCs w:val="0"/>
              <w:kern w:val="2"/>
              <w14:ligatures w14:val="standardContextual"/>
            </w:rPr>
          </w:pPr>
          <w:hyperlink w:anchor="_Toc227610534" w:history="1">
            <w:r w:rsidRPr="00F50CF7">
              <w:rPr>
                <w:rStyle w:val="Hyperlink"/>
              </w:rPr>
              <w:t>4.3 Optimal Investment Mix</w:t>
            </w:r>
            <w:r>
              <w:rPr>
                <w:webHidden/>
              </w:rPr>
              <w:tab/>
            </w:r>
            <w:r>
              <w:rPr>
                <w:webHidden/>
              </w:rPr>
              <w:fldChar w:fldCharType="begin"/>
            </w:r>
            <w:r>
              <w:rPr>
                <w:webHidden/>
              </w:rPr>
              <w:instrText xml:space="preserve"> PAGEREF _Toc227610534 \h </w:instrText>
            </w:r>
            <w:r>
              <w:rPr>
                <w:webHidden/>
              </w:rPr>
            </w:r>
            <w:r>
              <w:rPr>
                <w:webHidden/>
              </w:rPr>
              <w:fldChar w:fldCharType="separate"/>
            </w:r>
            <w:r>
              <w:rPr>
                <w:webHidden/>
              </w:rPr>
              <w:t>19</w:t>
            </w:r>
            <w:r>
              <w:rPr>
                <w:webHidden/>
              </w:rPr>
              <w:fldChar w:fldCharType="end"/>
            </w:r>
          </w:hyperlink>
        </w:p>
        <w:p w14:paraId="7498801E" w14:textId="7B5C184A" w:rsidR="007946DE" w:rsidRDefault="007946DE">
          <w:pPr>
            <w:pStyle w:val="TOC2"/>
            <w:rPr>
              <w:rFonts w:asciiTheme="minorHAnsi" w:eastAsiaTheme="minorEastAsia" w:hAnsiTheme="minorHAnsi" w:cstheme="minorBidi"/>
              <w:b w:val="0"/>
              <w:bCs w:val="0"/>
              <w:kern w:val="2"/>
              <w14:ligatures w14:val="standardContextual"/>
            </w:rPr>
          </w:pPr>
          <w:hyperlink w:anchor="_Toc227610535" w:history="1">
            <w:r w:rsidRPr="00F50CF7">
              <w:rPr>
                <w:rStyle w:val="Hyperlink"/>
              </w:rPr>
              <w:t>4.4 Final NPV from portfolio</w:t>
            </w:r>
            <w:r>
              <w:rPr>
                <w:webHidden/>
              </w:rPr>
              <w:tab/>
            </w:r>
            <w:r>
              <w:rPr>
                <w:webHidden/>
              </w:rPr>
              <w:fldChar w:fldCharType="begin"/>
            </w:r>
            <w:r>
              <w:rPr>
                <w:webHidden/>
              </w:rPr>
              <w:instrText xml:space="preserve"> PAGEREF _Toc227610535 \h </w:instrText>
            </w:r>
            <w:r>
              <w:rPr>
                <w:webHidden/>
              </w:rPr>
            </w:r>
            <w:r>
              <w:rPr>
                <w:webHidden/>
              </w:rPr>
              <w:fldChar w:fldCharType="separate"/>
            </w:r>
            <w:r>
              <w:rPr>
                <w:webHidden/>
              </w:rPr>
              <w:t>20</w:t>
            </w:r>
            <w:r>
              <w:rPr>
                <w:webHidden/>
              </w:rPr>
              <w:fldChar w:fldCharType="end"/>
            </w:r>
          </w:hyperlink>
        </w:p>
        <w:p w14:paraId="1977E6D4" w14:textId="472A51C6" w:rsidR="007946DE" w:rsidRDefault="007946DE">
          <w:pPr>
            <w:pStyle w:val="TOC1"/>
            <w:rPr>
              <w:rFonts w:asciiTheme="minorHAnsi" w:eastAsiaTheme="minorEastAsia" w:hAnsiTheme="minorHAnsi" w:cstheme="minorBidi"/>
              <w:b w:val="0"/>
              <w:bCs w:val="0"/>
              <w:kern w:val="2"/>
              <w14:ligatures w14:val="standardContextual"/>
            </w:rPr>
          </w:pPr>
          <w:hyperlink w:anchor="_Toc227610536" w:history="1">
            <w:r w:rsidRPr="00F50CF7">
              <w:rPr>
                <w:rStyle w:val="Hyperlink"/>
              </w:rPr>
              <w:t>5. Financing the Investment Programme</w:t>
            </w:r>
            <w:r>
              <w:rPr>
                <w:webHidden/>
              </w:rPr>
              <w:tab/>
            </w:r>
            <w:r>
              <w:rPr>
                <w:webHidden/>
              </w:rPr>
              <w:fldChar w:fldCharType="begin"/>
            </w:r>
            <w:r>
              <w:rPr>
                <w:webHidden/>
              </w:rPr>
              <w:instrText xml:space="preserve"> PAGEREF _Toc227610536 \h </w:instrText>
            </w:r>
            <w:r>
              <w:rPr>
                <w:webHidden/>
              </w:rPr>
            </w:r>
            <w:r>
              <w:rPr>
                <w:webHidden/>
              </w:rPr>
              <w:fldChar w:fldCharType="separate"/>
            </w:r>
            <w:r>
              <w:rPr>
                <w:webHidden/>
              </w:rPr>
              <w:t>20</w:t>
            </w:r>
            <w:r>
              <w:rPr>
                <w:webHidden/>
              </w:rPr>
              <w:fldChar w:fldCharType="end"/>
            </w:r>
          </w:hyperlink>
        </w:p>
        <w:p w14:paraId="27DF0418" w14:textId="568C5F4C" w:rsidR="007946DE" w:rsidRDefault="007946DE">
          <w:pPr>
            <w:pStyle w:val="TOC2"/>
            <w:rPr>
              <w:rFonts w:asciiTheme="minorHAnsi" w:eastAsiaTheme="minorEastAsia" w:hAnsiTheme="minorHAnsi" w:cstheme="minorBidi"/>
              <w:b w:val="0"/>
              <w:bCs w:val="0"/>
              <w:kern w:val="2"/>
              <w14:ligatures w14:val="standardContextual"/>
            </w:rPr>
          </w:pPr>
          <w:hyperlink w:anchor="_Toc227610537" w:history="1">
            <w:r w:rsidRPr="00F50CF7">
              <w:rPr>
                <w:rStyle w:val="Hyperlink"/>
              </w:rPr>
              <w:t>5.1 Sources of Finance</w:t>
            </w:r>
            <w:r>
              <w:rPr>
                <w:webHidden/>
              </w:rPr>
              <w:tab/>
            </w:r>
            <w:r>
              <w:rPr>
                <w:webHidden/>
              </w:rPr>
              <w:fldChar w:fldCharType="begin"/>
            </w:r>
            <w:r>
              <w:rPr>
                <w:webHidden/>
              </w:rPr>
              <w:instrText xml:space="preserve"> PAGEREF _Toc227610537 \h </w:instrText>
            </w:r>
            <w:r>
              <w:rPr>
                <w:webHidden/>
              </w:rPr>
            </w:r>
            <w:r>
              <w:rPr>
                <w:webHidden/>
              </w:rPr>
              <w:fldChar w:fldCharType="separate"/>
            </w:r>
            <w:r>
              <w:rPr>
                <w:webHidden/>
              </w:rPr>
              <w:t>20</w:t>
            </w:r>
            <w:r>
              <w:rPr>
                <w:webHidden/>
              </w:rPr>
              <w:fldChar w:fldCharType="end"/>
            </w:r>
          </w:hyperlink>
        </w:p>
        <w:p w14:paraId="31ACE596" w14:textId="057E947E" w:rsidR="007946DE" w:rsidRDefault="007946DE">
          <w:pPr>
            <w:pStyle w:val="TOC2"/>
            <w:rPr>
              <w:rFonts w:asciiTheme="minorHAnsi" w:eastAsiaTheme="minorEastAsia" w:hAnsiTheme="minorHAnsi" w:cstheme="minorBidi"/>
              <w:b w:val="0"/>
              <w:bCs w:val="0"/>
              <w:kern w:val="2"/>
              <w14:ligatures w14:val="standardContextual"/>
            </w:rPr>
          </w:pPr>
          <w:hyperlink w:anchor="_Toc227610538" w:history="1">
            <w:r w:rsidRPr="00F50CF7">
              <w:rPr>
                <w:rStyle w:val="Hyperlink"/>
              </w:rPr>
              <w:t>5.2 Evaluation of Each Source</w:t>
            </w:r>
            <w:r>
              <w:rPr>
                <w:webHidden/>
              </w:rPr>
              <w:tab/>
            </w:r>
            <w:r>
              <w:rPr>
                <w:webHidden/>
              </w:rPr>
              <w:fldChar w:fldCharType="begin"/>
            </w:r>
            <w:r>
              <w:rPr>
                <w:webHidden/>
              </w:rPr>
              <w:instrText xml:space="preserve"> PAGEREF _Toc227610538 \h </w:instrText>
            </w:r>
            <w:r>
              <w:rPr>
                <w:webHidden/>
              </w:rPr>
            </w:r>
            <w:r>
              <w:rPr>
                <w:webHidden/>
              </w:rPr>
              <w:fldChar w:fldCharType="separate"/>
            </w:r>
            <w:r>
              <w:rPr>
                <w:webHidden/>
              </w:rPr>
              <w:t>20</w:t>
            </w:r>
            <w:r>
              <w:rPr>
                <w:webHidden/>
              </w:rPr>
              <w:fldChar w:fldCharType="end"/>
            </w:r>
          </w:hyperlink>
        </w:p>
        <w:p w14:paraId="50F06F4D" w14:textId="56CC4CFB" w:rsidR="007946DE" w:rsidRDefault="007946DE">
          <w:pPr>
            <w:pStyle w:val="TOC2"/>
            <w:rPr>
              <w:rFonts w:asciiTheme="minorHAnsi" w:eastAsiaTheme="minorEastAsia" w:hAnsiTheme="minorHAnsi" w:cstheme="minorBidi"/>
              <w:b w:val="0"/>
              <w:bCs w:val="0"/>
              <w:kern w:val="2"/>
              <w14:ligatures w14:val="standardContextual"/>
            </w:rPr>
          </w:pPr>
          <w:hyperlink w:anchor="_Toc227610539" w:history="1">
            <w:r w:rsidRPr="00F50CF7">
              <w:rPr>
                <w:rStyle w:val="Hyperlink"/>
              </w:rPr>
              <w:t>5.3 Recommended Financing Strategy</w:t>
            </w:r>
            <w:r>
              <w:rPr>
                <w:webHidden/>
              </w:rPr>
              <w:tab/>
            </w:r>
            <w:r>
              <w:rPr>
                <w:webHidden/>
              </w:rPr>
              <w:fldChar w:fldCharType="begin"/>
            </w:r>
            <w:r>
              <w:rPr>
                <w:webHidden/>
              </w:rPr>
              <w:instrText xml:space="preserve"> PAGEREF _Toc227610539 \h </w:instrText>
            </w:r>
            <w:r>
              <w:rPr>
                <w:webHidden/>
              </w:rPr>
            </w:r>
            <w:r>
              <w:rPr>
                <w:webHidden/>
              </w:rPr>
              <w:fldChar w:fldCharType="separate"/>
            </w:r>
            <w:r>
              <w:rPr>
                <w:webHidden/>
              </w:rPr>
              <w:t>21</w:t>
            </w:r>
            <w:r>
              <w:rPr>
                <w:webHidden/>
              </w:rPr>
              <w:fldChar w:fldCharType="end"/>
            </w:r>
          </w:hyperlink>
        </w:p>
        <w:p w14:paraId="32EAC593" w14:textId="2815046A" w:rsidR="007946DE" w:rsidRDefault="007946DE">
          <w:pPr>
            <w:pStyle w:val="TOC1"/>
            <w:rPr>
              <w:rFonts w:asciiTheme="minorHAnsi" w:eastAsiaTheme="minorEastAsia" w:hAnsiTheme="minorHAnsi" w:cstheme="minorBidi"/>
              <w:b w:val="0"/>
              <w:bCs w:val="0"/>
              <w:kern w:val="2"/>
              <w14:ligatures w14:val="standardContextual"/>
            </w:rPr>
          </w:pPr>
          <w:hyperlink w:anchor="_Toc227610540" w:history="1">
            <w:r w:rsidRPr="00F50CF7">
              <w:rPr>
                <w:rStyle w:val="Hyperlink"/>
              </w:rPr>
              <w:t>Conclusion</w:t>
            </w:r>
            <w:r>
              <w:rPr>
                <w:webHidden/>
              </w:rPr>
              <w:tab/>
            </w:r>
            <w:r>
              <w:rPr>
                <w:webHidden/>
              </w:rPr>
              <w:fldChar w:fldCharType="begin"/>
            </w:r>
            <w:r>
              <w:rPr>
                <w:webHidden/>
              </w:rPr>
              <w:instrText xml:space="preserve"> PAGEREF _Toc227610540 \h </w:instrText>
            </w:r>
            <w:r>
              <w:rPr>
                <w:webHidden/>
              </w:rPr>
            </w:r>
            <w:r>
              <w:rPr>
                <w:webHidden/>
              </w:rPr>
              <w:fldChar w:fldCharType="separate"/>
            </w:r>
            <w:r>
              <w:rPr>
                <w:webHidden/>
              </w:rPr>
              <w:t>22</w:t>
            </w:r>
            <w:r>
              <w:rPr>
                <w:webHidden/>
              </w:rPr>
              <w:fldChar w:fldCharType="end"/>
            </w:r>
          </w:hyperlink>
        </w:p>
        <w:p w14:paraId="73AA61C1" w14:textId="2EA7B1DF" w:rsidR="007946DE" w:rsidRDefault="007946DE">
          <w:pPr>
            <w:pStyle w:val="TOC1"/>
            <w:rPr>
              <w:rFonts w:asciiTheme="minorHAnsi" w:eastAsiaTheme="minorEastAsia" w:hAnsiTheme="minorHAnsi" w:cstheme="minorBidi"/>
              <w:b w:val="0"/>
              <w:bCs w:val="0"/>
              <w:kern w:val="2"/>
              <w14:ligatures w14:val="standardContextual"/>
            </w:rPr>
          </w:pPr>
          <w:hyperlink w:anchor="_Toc227610541" w:history="1">
            <w:r w:rsidRPr="00F50CF7">
              <w:rPr>
                <w:rStyle w:val="Hyperlink"/>
              </w:rPr>
              <w:t>Recommendation</w:t>
            </w:r>
            <w:r>
              <w:rPr>
                <w:webHidden/>
              </w:rPr>
              <w:tab/>
            </w:r>
            <w:r>
              <w:rPr>
                <w:webHidden/>
              </w:rPr>
              <w:fldChar w:fldCharType="begin"/>
            </w:r>
            <w:r>
              <w:rPr>
                <w:webHidden/>
              </w:rPr>
              <w:instrText xml:space="preserve"> PAGEREF _Toc227610541 \h </w:instrText>
            </w:r>
            <w:r>
              <w:rPr>
                <w:webHidden/>
              </w:rPr>
            </w:r>
            <w:r>
              <w:rPr>
                <w:webHidden/>
              </w:rPr>
              <w:fldChar w:fldCharType="separate"/>
            </w:r>
            <w:r>
              <w:rPr>
                <w:webHidden/>
              </w:rPr>
              <w:t>23</w:t>
            </w:r>
            <w:r>
              <w:rPr>
                <w:webHidden/>
              </w:rPr>
              <w:fldChar w:fldCharType="end"/>
            </w:r>
          </w:hyperlink>
        </w:p>
        <w:p w14:paraId="6A7522A5" w14:textId="54630CC9" w:rsidR="007946DE" w:rsidRDefault="007946DE">
          <w:pPr>
            <w:pStyle w:val="TOC1"/>
            <w:rPr>
              <w:rFonts w:asciiTheme="minorHAnsi" w:eastAsiaTheme="minorEastAsia" w:hAnsiTheme="minorHAnsi" w:cstheme="minorBidi"/>
              <w:b w:val="0"/>
              <w:bCs w:val="0"/>
              <w:kern w:val="2"/>
              <w14:ligatures w14:val="standardContextual"/>
            </w:rPr>
          </w:pPr>
          <w:hyperlink w:anchor="_Toc227610542" w:history="1">
            <w:r w:rsidRPr="00F50CF7">
              <w:rPr>
                <w:rStyle w:val="Hyperlink"/>
              </w:rPr>
              <w:t>References</w:t>
            </w:r>
            <w:r>
              <w:rPr>
                <w:webHidden/>
              </w:rPr>
              <w:tab/>
            </w:r>
            <w:r>
              <w:rPr>
                <w:webHidden/>
              </w:rPr>
              <w:fldChar w:fldCharType="begin"/>
            </w:r>
            <w:r>
              <w:rPr>
                <w:webHidden/>
              </w:rPr>
              <w:instrText xml:space="preserve"> PAGEREF _Toc227610542 \h </w:instrText>
            </w:r>
            <w:r>
              <w:rPr>
                <w:webHidden/>
              </w:rPr>
            </w:r>
            <w:r>
              <w:rPr>
                <w:webHidden/>
              </w:rPr>
              <w:fldChar w:fldCharType="separate"/>
            </w:r>
            <w:r>
              <w:rPr>
                <w:webHidden/>
              </w:rPr>
              <w:t>24</w:t>
            </w:r>
            <w:r>
              <w:rPr>
                <w:webHidden/>
              </w:rPr>
              <w:fldChar w:fldCharType="end"/>
            </w:r>
          </w:hyperlink>
        </w:p>
        <w:p w14:paraId="2ABF05C2" w14:textId="302ECE1D" w:rsidR="007946DE" w:rsidRDefault="007946DE">
          <w:pPr>
            <w:pStyle w:val="TOC1"/>
            <w:rPr>
              <w:rFonts w:asciiTheme="minorHAnsi" w:eastAsiaTheme="minorEastAsia" w:hAnsiTheme="minorHAnsi" w:cstheme="minorBidi"/>
              <w:b w:val="0"/>
              <w:bCs w:val="0"/>
              <w:kern w:val="2"/>
              <w14:ligatures w14:val="standardContextual"/>
            </w:rPr>
          </w:pPr>
          <w:hyperlink w:anchor="_Toc227610543" w:history="1">
            <w:r w:rsidRPr="00F50CF7">
              <w:rPr>
                <w:rStyle w:val="Hyperlink"/>
              </w:rPr>
              <w:t>Appendix</w:t>
            </w:r>
            <w:r>
              <w:rPr>
                <w:webHidden/>
              </w:rPr>
              <w:tab/>
            </w:r>
            <w:r>
              <w:rPr>
                <w:webHidden/>
              </w:rPr>
              <w:fldChar w:fldCharType="begin"/>
            </w:r>
            <w:r>
              <w:rPr>
                <w:webHidden/>
              </w:rPr>
              <w:instrText xml:space="preserve"> PAGEREF _Toc227610543 \h </w:instrText>
            </w:r>
            <w:r>
              <w:rPr>
                <w:webHidden/>
              </w:rPr>
            </w:r>
            <w:r>
              <w:rPr>
                <w:webHidden/>
              </w:rPr>
              <w:fldChar w:fldCharType="separate"/>
            </w:r>
            <w:r>
              <w:rPr>
                <w:webHidden/>
              </w:rPr>
              <w:t>28</w:t>
            </w:r>
            <w:r>
              <w:rPr>
                <w:webHidden/>
              </w:rPr>
              <w:fldChar w:fldCharType="end"/>
            </w:r>
          </w:hyperlink>
        </w:p>
        <w:p w14:paraId="55CFB406" w14:textId="7D4CB9F1" w:rsidR="005C6948" w:rsidRPr="0036198E" w:rsidRDefault="005C6948" w:rsidP="005C6948">
          <w:pPr>
            <w:pBdr>
              <w:top w:val="nil"/>
              <w:left w:val="nil"/>
              <w:bottom w:val="nil"/>
              <w:right w:val="nil"/>
              <w:between w:val="nil"/>
            </w:pBdr>
            <w:tabs>
              <w:tab w:val="right" w:pos="9016"/>
            </w:tabs>
            <w:spacing w:after="100" w:line="240" w:lineRule="auto"/>
            <w:rPr>
              <w:rFonts w:eastAsia="Arial"/>
              <w:color w:val="000000"/>
              <w:sz w:val="28"/>
              <w:szCs w:val="28"/>
            </w:rPr>
          </w:pPr>
          <w:r w:rsidRPr="00387509">
            <w:fldChar w:fldCharType="end"/>
          </w:r>
        </w:p>
      </w:sdtContent>
    </w:sdt>
    <w:p w14:paraId="0855A8F3" w14:textId="77777777" w:rsidR="00C13177" w:rsidRPr="0036198E" w:rsidRDefault="005C6948" w:rsidP="00C13177">
      <w:pPr>
        <w:spacing w:line="360" w:lineRule="auto"/>
        <w:rPr>
          <w:rFonts w:eastAsia="Arial"/>
          <w:szCs w:val="24"/>
        </w:rPr>
      </w:pPr>
      <w:r w:rsidRPr="0036198E">
        <w:rPr>
          <w:rFonts w:eastAsia="Arial"/>
          <w:szCs w:val="24"/>
        </w:rPr>
        <w:t xml:space="preserve"> </w:t>
      </w:r>
    </w:p>
    <w:p w14:paraId="6AD43F99" w14:textId="77777777" w:rsidR="00BB5610" w:rsidRDefault="00BB5610">
      <w:pPr>
        <w:spacing w:line="278" w:lineRule="auto"/>
        <w:rPr>
          <w:rFonts w:eastAsia="Arial"/>
          <w:b/>
          <w:bCs/>
          <w:color w:val="000000"/>
          <w:sz w:val="28"/>
          <w:szCs w:val="28"/>
        </w:rPr>
      </w:pPr>
      <w:r>
        <w:rPr>
          <w:rFonts w:eastAsia="Arial"/>
          <w:b/>
          <w:bCs/>
          <w:color w:val="000000"/>
          <w:sz w:val="28"/>
          <w:szCs w:val="28"/>
        </w:rPr>
        <w:br w:type="page"/>
      </w:r>
    </w:p>
    <w:p w14:paraId="58FBD23C" w14:textId="43D8F29B" w:rsidR="005C6948" w:rsidRPr="00083AD1" w:rsidRDefault="005C6948" w:rsidP="00E82FD5">
      <w:pPr>
        <w:pStyle w:val="Heading1"/>
        <w:rPr>
          <w:rFonts w:eastAsia="Arial"/>
          <w:sz w:val="22"/>
          <w:szCs w:val="22"/>
        </w:rPr>
      </w:pPr>
      <w:bookmarkStart w:id="0" w:name="_Toc227610511"/>
      <w:r w:rsidRPr="00083AD1">
        <w:rPr>
          <w:rFonts w:eastAsia="Arial"/>
          <w:szCs w:val="28"/>
        </w:rPr>
        <w:lastRenderedPageBreak/>
        <w:t>Introduction</w:t>
      </w:r>
      <w:bookmarkEnd w:id="0"/>
    </w:p>
    <w:p w14:paraId="29581281" w14:textId="123BB475" w:rsidR="005C6948" w:rsidRPr="0036198E" w:rsidRDefault="005C6948" w:rsidP="005C6948">
      <w:pPr>
        <w:spacing w:line="360" w:lineRule="auto"/>
        <w:jc w:val="both"/>
        <w:rPr>
          <w:rFonts w:eastAsia="Arial"/>
          <w:color w:val="222222"/>
          <w:szCs w:val="24"/>
          <w:highlight w:val="white"/>
        </w:rPr>
      </w:pPr>
      <w:r w:rsidRPr="0036198E">
        <w:rPr>
          <w:rFonts w:eastAsia="Arial"/>
          <w:color w:val="222222"/>
          <w:szCs w:val="24"/>
          <w:highlight w:val="white"/>
        </w:rPr>
        <w:t xml:space="preserve">This report is a detailed financial analysis and investment appraisal study of two different business scenarios BP PLC and Beard Plc. It is placed within the larger context of financial decision-making in the competitive and uncertain market environments where organisations have to measure performance and allocate the limited resources effectively to maximise shareholder </w:t>
      </w:r>
      <w:proofErr w:type="spellStart"/>
      <w:r w:rsidRPr="0036198E">
        <w:rPr>
          <w:rFonts w:eastAsia="Arial"/>
          <w:color w:val="222222"/>
          <w:szCs w:val="24"/>
          <w:highlight w:val="white"/>
        </w:rPr>
        <w:t>value.The</w:t>
      </w:r>
      <w:proofErr w:type="spellEnd"/>
      <w:r w:rsidRPr="0036198E">
        <w:rPr>
          <w:rFonts w:eastAsia="Arial"/>
          <w:color w:val="222222"/>
          <w:szCs w:val="24"/>
          <w:highlight w:val="white"/>
        </w:rPr>
        <w:t xml:space="preserve"> initial section of the report concentrates on BP PLC, a FTSE 100 listed corporation and discusses the financial results of the company in the past two years. This is done by calculating and interpreting the key financial ratios that include profitability, liquidity, efficiency, gearing and investor performance. Such measures not only give information about the operational efficiency, financial stability and performance of the company but also identify trends and drivers of change.</w:t>
      </w:r>
    </w:p>
    <w:p w14:paraId="23E37CAC" w14:textId="46EDD63D" w:rsidR="005C6948" w:rsidRPr="00D162BD" w:rsidRDefault="005C6948" w:rsidP="005C6948">
      <w:pPr>
        <w:spacing w:line="360" w:lineRule="auto"/>
        <w:jc w:val="both"/>
        <w:rPr>
          <w:rFonts w:eastAsia="Arial"/>
          <w:color w:val="222222"/>
          <w:szCs w:val="24"/>
          <w:highlight w:val="white"/>
        </w:rPr>
      </w:pPr>
      <w:r w:rsidRPr="0036198E">
        <w:rPr>
          <w:rFonts w:eastAsia="Arial"/>
          <w:color w:val="222222"/>
          <w:szCs w:val="24"/>
          <w:highlight w:val="white"/>
        </w:rPr>
        <w:t xml:space="preserve">The second section of the report transports to Beard Plc, which is a handbag making company that is exploring three strategic ways of expansion, which include: retail expansion, development of online sales, and product diversification. Capital investment appraisal techniques, such as Net Present Value (NPV), Internal rate of return (IRR), and Profitability index (PI) are used to evaluate these options </w:t>
      </w:r>
      <w:proofErr w:type="gramStart"/>
      <w:r w:rsidRPr="0036198E">
        <w:rPr>
          <w:rFonts w:eastAsia="Arial"/>
          <w:color w:val="222222"/>
          <w:szCs w:val="24"/>
          <w:highlight w:val="white"/>
        </w:rPr>
        <w:t>in order to</w:t>
      </w:r>
      <w:proofErr w:type="gramEnd"/>
      <w:r w:rsidRPr="0036198E">
        <w:rPr>
          <w:rFonts w:eastAsia="Arial"/>
          <w:color w:val="222222"/>
          <w:szCs w:val="24"/>
          <w:highlight w:val="white"/>
        </w:rPr>
        <w:t xml:space="preserve"> decide on the most financially viable project. Moreover, capital rationing is believed to represent the real-world budget </w:t>
      </w:r>
      <w:proofErr w:type="spellStart"/>
      <w:proofErr w:type="gramStart"/>
      <w:r w:rsidRPr="0036198E">
        <w:rPr>
          <w:rFonts w:eastAsia="Arial"/>
          <w:color w:val="222222"/>
          <w:szCs w:val="24"/>
          <w:highlight w:val="white"/>
        </w:rPr>
        <w:t>constraints.The</w:t>
      </w:r>
      <w:proofErr w:type="spellEnd"/>
      <w:proofErr w:type="gramEnd"/>
      <w:r w:rsidRPr="0036198E">
        <w:rPr>
          <w:rFonts w:eastAsia="Arial"/>
          <w:color w:val="222222"/>
          <w:szCs w:val="24"/>
          <w:highlight w:val="white"/>
        </w:rPr>
        <w:t xml:space="preserve"> report critically reviews theoretical frameworks that underlie investment appraisal techniques as well as examines alternative financing sources such as equity, debt and retained earnings. It also measures the qualitative factors that affect the decision of investments like market trend, competition and supply chain risks. This report will combine financial theory with practicability to assist in the informed managerial decision-making and strategic financial planning.</w:t>
      </w:r>
    </w:p>
    <w:p w14:paraId="69328FD9" w14:textId="77777777" w:rsidR="005C6948" w:rsidRPr="0036198E" w:rsidRDefault="005C6948" w:rsidP="005C6948">
      <w:pPr>
        <w:pStyle w:val="Heading1"/>
        <w:spacing w:line="360" w:lineRule="auto"/>
        <w:rPr>
          <w:rFonts w:eastAsia="Arial" w:cs="Calibri"/>
          <w:b w:val="0"/>
          <w:bCs w:val="0"/>
          <w:color w:val="000000"/>
          <w:szCs w:val="28"/>
        </w:rPr>
      </w:pPr>
      <w:bookmarkStart w:id="1" w:name="_tvnnyyvxk16a" w:colFirst="0" w:colLast="0"/>
      <w:bookmarkEnd w:id="1"/>
      <w:r w:rsidRPr="0036198E">
        <w:rPr>
          <w:rFonts w:cs="Calibri"/>
        </w:rPr>
        <w:br w:type="page"/>
      </w:r>
    </w:p>
    <w:p w14:paraId="53C56EF8" w14:textId="486671C6" w:rsidR="005C6948" w:rsidRPr="0036198E" w:rsidRDefault="005C6948" w:rsidP="00E82FD5">
      <w:pPr>
        <w:pStyle w:val="Heading1"/>
        <w:spacing w:line="360" w:lineRule="auto"/>
        <w:rPr>
          <w:rFonts w:eastAsia="Arial" w:cs="Calibri"/>
          <w:b w:val="0"/>
          <w:bCs w:val="0"/>
          <w:color w:val="000000"/>
          <w:szCs w:val="28"/>
        </w:rPr>
      </w:pPr>
      <w:bookmarkStart w:id="2" w:name="_Toc227610512"/>
      <w:r w:rsidRPr="0036198E">
        <w:rPr>
          <w:rFonts w:eastAsia="Arial" w:cs="Calibri"/>
          <w:color w:val="000000"/>
          <w:szCs w:val="28"/>
        </w:rPr>
        <w:lastRenderedPageBreak/>
        <w:t>Main Findings</w:t>
      </w:r>
      <w:bookmarkEnd w:id="2"/>
    </w:p>
    <w:p w14:paraId="583EF297" w14:textId="77777777" w:rsidR="005C6948" w:rsidRPr="00BF76E3" w:rsidRDefault="005C6948" w:rsidP="005C6948">
      <w:pPr>
        <w:pStyle w:val="Heading2"/>
        <w:spacing w:line="360" w:lineRule="auto"/>
        <w:rPr>
          <w:rFonts w:eastAsia="Arial" w:cs="Calibri"/>
          <w:b w:val="0"/>
          <w:bCs/>
          <w:color w:val="000000"/>
          <w:sz w:val="28"/>
          <w:szCs w:val="28"/>
        </w:rPr>
      </w:pPr>
      <w:bookmarkStart w:id="3" w:name="_Toc227610513"/>
      <w:r w:rsidRPr="00BF76E3">
        <w:rPr>
          <w:rFonts w:eastAsia="Arial" w:cs="Calibri"/>
          <w:bCs/>
          <w:color w:val="000000"/>
          <w:sz w:val="28"/>
          <w:szCs w:val="28"/>
        </w:rPr>
        <w:t>Part A: A Critical Financial Performance Evaluation of BP PLC: Ratio Analysis and Strategic Recommendations</w:t>
      </w:r>
      <w:bookmarkEnd w:id="3"/>
    </w:p>
    <w:p w14:paraId="01ED642D"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 xml:space="preserve">This report applies financial ratio analysis in </w:t>
      </w:r>
      <w:proofErr w:type="spellStart"/>
      <w:r w:rsidRPr="0036198E">
        <w:rPr>
          <w:rFonts w:eastAsia="Arial"/>
          <w:color w:val="000000"/>
          <w:szCs w:val="24"/>
        </w:rPr>
        <w:t>analyzing</w:t>
      </w:r>
      <w:proofErr w:type="spellEnd"/>
      <w:r w:rsidRPr="0036198E">
        <w:rPr>
          <w:rFonts w:eastAsia="Arial"/>
          <w:color w:val="000000"/>
          <w:szCs w:val="24"/>
        </w:rPr>
        <w:t xml:space="preserve"> the performance of BP plc in the past two financial years. The research uses the main ratio analysis theory in evaluating the profitability, liquidity, efficiency, gearing and investment performance (</w:t>
      </w:r>
      <w:proofErr w:type="spellStart"/>
      <w:r w:rsidRPr="0036198E">
        <w:rPr>
          <w:rFonts w:eastAsia="Arial"/>
          <w:color w:val="000000"/>
          <w:szCs w:val="24"/>
        </w:rPr>
        <w:t>Hasidi</w:t>
      </w:r>
      <w:proofErr w:type="spellEnd"/>
      <w:r w:rsidRPr="0036198E">
        <w:rPr>
          <w:rFonts w:eastAsia="Arial"/>
          <w:color w:val="000000"/>
          <w:szCs w:val="24"/>
        </w:rPr>
        <w:t xml:space="preserve"> </w:t>
      </w:r>
      <w:r w:rsidRPr="0036198E">
        <w:rPr>
          <w:rFonts w:eastAsia="Arial"/>
          <w:i/>
          <w:iCs/>
          <w:color w:val="000000"/>
          <w:szCs w:val="24"/>
        </w:rPr>
        <w:t>et al.,</w:t>
      </w:r>
      <w:r w:rsidRPr="0036198E">
        <w:rPr>
          <w:rFonts w:eastAsia="Arial"/>
          <w:color w:val="000000"/>
          <w:szCs w:val="24"/>
        </w:rPr>
        <w:t xml:space="preserve"> 2024). </w:t>
      </w:r>
    </w:p>
    <w:p w14:paraId="0B28B33F" w14:textId="77777777" w:rsidR="005C6948" w:rsidRPr="0036198E" w:rsidRDefault="005C6948" w:rsidP="005C6948">
      <w:pPr>
        <w:pStyle w:val="Heading1"/>
        <w:spacing w:line="360" w:lineRule="auto"/>
        <w:rPr>
          <w:rFonts w:eastAsia="Arial" w:cs="Calibri"/>
          <w:b w:val="0"/>
          <w:bCs w:val="0"/>
          <w:color w:val="000000"/>
          <w:sz w:val="24"/>
          <w:szCs w:val="24"/>
        </w:rPr>
      </w:pPr>
      <w:bookmarkStart w:id="4" w:name="_Toc227610514"/>
      <w:r w:rsidRPr="0036198E">
        <w:rPr>
          <w:rFonts w:eastAsia="Arial" w:cs="Calibri"/>
          <w:color w:val="000000"/>
          <w:sz w:val="24"/>
          <w:szCs w:val="24"/>
        </w:rPr>
        <w:t>1. Financial Ratio Analysis</w:t>
      </w:r>
      <w:bookmarkEnd w:id="4"/>
    </w:p>
    <w:p w14:paraId="33712167" w14:textId="77777777" w:rsidR="005C6948" w:rsidRPr="0036198E" w:rsidRDefault="005C6948" w:rsidP="005C6948">
      <w:pPr>
        <w:pStyle w:val="Heading2"/>
        <w:spacing w:line="360" w:lineRule="auto"/>
        <w:rPr>
          <w:rFonts w:eastAsia="Arial" w:cs="Calibri"/>
          <w:b w:val="0"/>
          <w:bCs/>
          <w:color w:val="000000"/>
          <w:szCs w:val="24"/>
        </w:rPr>
      </w:pPr>
      <w:bookmarkStart w:id="5" w:name="_Toc227610515"/>
      <w:r w:rsidRPr="0036198E">
        <w:rPr>
          <w:rFonts w:eastAsia="Arial" w:cs="Calibri"/>
          <w:bCs/>
          <w:color w:val="000000"/>
          <w:szCs w:val="24"/>
        </w:rPr>
        <w:t>1.1 Profitability Ratios</w:t>
      </w:r>
      <w:bookmarkEnd w:id="5"/>
    </w:p>
    <w:p w14:paraId="161B28A7" w14:textId="77777777" w:rsidR="005C6948" w:rsidRPr="0036198E" w:rsidRDefault="005C6948" w:rsidP="005C6948">
      <w:pPr>
        <w:spacing w:line="360" w:lineRule="auto"/>
        <w:jc w:val="both"/>
        <w:rPr>
          <w:rFonts w:eastAsia="Arial"/>
          <w:b/>
          <w:bCs/>
          <w:color w:val="000000"/>
          <w:szCs w:val="24"/>
        </w:rPr>
      </w:pPr>
      <w:r w:rsidRPr="0036198E">
        <w:rPr>
          <w:rFonts w:eastAsia="Arial"/>
          <w:b/>
          <w:bCs/>
          <w:color w:val="000000"/>
          <w:szCs w:val="24"/>
        </w:rPr>
        <w:t xml:space="preserve">1.1.1 Gross Profit Margin </w:t>
      </w:r>
    </w:p>
    <w:tbl>
      <w:tblPr>
        <w:tblStyle w:val="GridTable4-Accent4"/>
        <w:tblW w:w="0" w:type="auto"/>
        <w:tblLook w:val="04A0" w:firstRow="1" w:lastRow="0" w:firstColumn="1" w:lastColumn="0" w:noHBand="0" w:noVBand="1"/>
      </w:tblPr>
      <w:tblGrid>
        <w:gridCol w:w="3005"/>
        <w:gridCol w:w="3005"/>
        <w:gridCol w:w="3006"/>
      </w:tblGrid>
      <w:tr w:rsidR="00A838D9" w:rsidRPr="0036198E" w14:paraId="262CACF1" w14:textId="77777777" w:rsidTr="003408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215E796" w14:textId="5370B7EE" w:rsidR="00A838D9" w:rsidRPr="0036198E" w:rsidRDefault="00A838D9" w:rsidP="00D75425">
            <w:pPr>
              <w:spacing w:line="360" w:lineRule="auto"/>
              <w:rPr>
                <w:rFonts w:eastAsia="Arial"/>
                <w:color w:val="000000"/>
                <w:szCs w:val="24"/>
              </w:rPr>
            </w:pPr>
            <w:r w:rsidRPr="0036198E">
              <w:rPr>
                <w:rFonts w:eastAsia="Arial"/>
                <w:color w:val="000000"/>
                <w:szCs w:val="24"/>
              </w:rPr>
              <w:t>Ratio</w:t>
            </w:r>
          </w:p>
        </w:tc>
        <w:tc>
          <w:tcPr>
            <w:tcW w:w="3005" w:type="dxa"/>
          </w:tcPr>
          <w:p w14:paraId="3D622302" w14:textId="73F193AB" w:rsidR="00A838D9" w:rsidRPr="0036198E" w:rsidRDefault="00DC0AEF" w:rsidP="0094451C">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2025</w:t>
            </w:r>
          </w:p>
        </w:tc>
        <w:tc>
          <w:tcPr>
            <w:tcW w:w="3006" w:type="dxa"/>
          </w:tcPr>
          <w:p w14:paraId="78E5E26F" w14:textId="0386AC0A" w:rsidR="00A838D9" w:rsidRPr="0036198E" w:rsidRDefault="00DC0AEF" w:rsidP="0094451C">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2024</w:t>
            </w:r>
          </w:p>
        </w:tc>
      </w:tr>
      <w:tr w:rsidR="00A838D9" w:rsidRPr="0036198E" w14:paraId="67B1DD5D" w14:textId="77777777" w:rsidTr="003408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AF373B1" w14:textId="4DDA8F2B" w:rsidR="00A838D9" w:rsidRPr="0036198E" w:rsidRDefault="00DC0AEF" w:rsidP="00D75425">
            <w:pPr>
              <w:spacing w:line="360" w:lineRule="auto"/>
              <w:rPr>
                <w:rFonts w:eastAsia="Arial"/>
                <w:color w:val="000000"/>
                <w:szCs w:val="24"/>
              </w:rPr>
            </w:pPr>
            <w:r w:rsidRPr="0036198E">
              <w:rPr>
                <w:rFonts w:eastAsia="Arial"/>
                <w:color w:val="000000"/>
                <w:szCs w:val="24"/>
              </w:rPr>
              <w:t>Gross Profit</w:t>
            </w:r>
          </w:p>
        </w:tc>
        <w:tc>
          <w:tcPr>
            <w:tcW w:w="3005" w:type="dxa"/>
          </w:tcPr>
          <w:p w14:paraId="08AA147D" w14:textId="7CCD3DBF" w:rsidR="00A838D9" w:rsidRPr="0036198E" w:rsidRDefault="00DC0AEF" w:rsidP="0094451C">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33,</w:t>
            </w:r>
            <w:r w:rsidR="007D259B" w:rsidRPr="0036198E">
              <w:rPr>
                <w:rFonts w:eastAsia="Arial"/>
                <w:color w:val="000000"/>
                <w:szCs w:val="24"/>
              </w:rPr>
              <w:t>529,000</w:t>
            </w:r>
          </w:p>
        </w:tc>
        <w:tc>
          <w:tcPr>
            <w:tcW w:w="3006" w:type="dxa"/>
          </w:tcPr>
          <w:p w14:paraId="7FE0A1F3" w14:textId="2E9BCA2A" w:rsidR="00A838D9" w:rsidRPr="0036198E" w:rsidRDefault="007D259B" w:rsidP="0094451C">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30,239,000</w:t>
            </w:r>
          </w:p>
        </w:tc>
      </w:tr>
      <w:tr w:rsidR="00A838D9" w:rsidRPr="0036198E" w14:paraId="12C3344E" w14:textId="77777777" w:rsidTr="00340816">
        <w:tc>
          <w:tcPr>
            <w:cnfStyle w:val="001000000000" w:firstRow="0" w:lastRow="0" w:firstColumn="1" w:lastColumn="0" w:oddVBand="0" w:evenVBand="0" w:oddHBand="0" w:evenHBand="0" w:firstRowFirstColumn="0" w:firstRowLastColumn="0" w:lastRowFirstColumn="0" w:lastRowLastColumn="0"/>
            <w:tcW w:w="3005" w:type="dxa"/>
          </w:tcPr>
          <w:p w14:paraId="2D861CD1" w14:textId="2446BC75" w:rsidR="00A838D9" w:rsidRPr="0036198E" w:rsidRDefault="007D259B" w:rsidP="00D75425">
            <w:pPr>
              <w:spacing w:line="360" w:lineRule="auto"/>
              <w:rPr>
                <w:rFonts w:eastAsia="Arial"/>
                <w:color w:val="000000"/>
                <w:szCs w:val="24"/>
              </w:rPr>
            </w:pPr>
            <w:r w:rsidRPr="0036198E">
              <w:rPr>
                <w:rFonts w:eastAsia="Arial"/>
                <w:color w:val="000000"/>
                <w:szCs w:val="24"/>
              </w:rPr>
              <w:t>Cost of Revenue</w:t>
            </w:r>
          </w:p>
        </w:tc>
        <w:tc>
          <w:tcPr>
            <w:tcW w:w="3005" w:type="dxa"/>
          </w:tcPr>
          <w:p w14:paraId="0D0C4436" w14:textId="64BC2349" w:rsidR="00A838D9" w:rsidRPr="0036198E" w:rsidRDefault="004F1854" w:rsidP="0094451C">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155,806,000</w:t>
            </w:r>
          </w:p>
        </w:tc>
        <w:tc>
          <w:tcPr>
            <w:tcW w:w="3006" w:type="dxa"/>
          </w:tcPr>
          <w:p w14:paraId="2AA18DA1" w14:textId="7893345F" w:rsidR="00A838D9" w:rsidRPr="0036198E" w:rsidRDefault="004F1854" w:rsidP="0094451C">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158,946,000</w:t>
            </w:r>
          </w:p>
        </w:tc>
      </w:tr>
      <w:tr w:rsidR="00A838D9" w:rsidRPr="0036198E" w14:paraId="4602F213" w14:textId="77777777" w:rsidTr="003408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5BA4D81" w14:textId="76A1A104" w:rsidR="00A838D9" w:rsidRPr="0036198E" w:rsidRDefault="004F1854" w:rsidP="00D75425">
            <w:pPr>
              <w:spacing w:line="360" w:lineRule="auto"/>
              <w:rPr>
                <w:rFonts w:eastAsia="Arial"/>
                <w:color w:val="000000"/>
                <w:szCs w:val="24"/>
              </w:rPr>
            </w:pPr>
            <w:r w:rsidRPr="0036198E">
              <w:rPr>
                <w:rFonts w:eastAsia="Arial"/>
                <w:color w:val="000000"/>
                <w:szCs w:val="24"/>
              </w:rPr>
              <w:t>Total Revenue</w:t>
            </w:r>
          </w:p>
        </w:tc>
        <w:tc>
          <w:tcPr>
            <w:tcW w:w="3005" w:type="dxa"/>
          </w:tcPr>
          <w:p w14:paraId="373C3E68" w14:textId="25CA83FE" w:rsidR="00A838D9" w:rsidRPr="0036198E" w:rsidRDefault="00AF0FCF" w:rsidP="0094451C">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189,335,000</w:t>
            </w:r>
          </w:p>
        </w:tc>
        <w:tc>
          <w:tcPr>
            <w:tcW w:w="3006" w:type="dxa"/>
          </w:tcPr>
          <w:p w14:paraId="1D32EEE1" w14:textId="2C42007D" w:rsidR="00A838D9" w:rsidRPr="0036198E" w:rsidRDefault="00AF0FCF" w:rsidP="0094451C">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189,185,000</w:t>
            </w:r>
          </w:p>
        </w:tc>
      </w:tr>
      <w:tr w:rsidR="00A838D9" w:rsidRPr="0036198E" w14:paraId="2F0E5771" w14:textId="77777777" w:rsidTr="00340816">
        <w:tc>
          <w:tcPr>
            <w:cnfStyle w:val="001000000000" w:firstRow="0" w:lastRow="0" w:firstColumn="1" w:lastColumn="0" w:oddVBand="0" w:evenVBand="0" w:oddHBand="0" w:evenHBand="0" w:firstRowFirstColumn="0" w:firstRowLastColumn="0" w:lastRowFirstColumn="0" w:lastRowLastColumn="0"/>
            <w:tcW w:w="3005" w:type="dxa"/>
          </w:tcPr>
          <w:p w14:paraId="7A0D8F8D" w14:textId="45C7B477" w:rsidR="00A838D9" w:rsidRPr="0036198E" w:rsidRDefault="00AF0FCF" w:rsidP="00D75425">
            <w:pPr>
              <w:spacing w:line="360" w:lineRule="auto"/>
              <w:rPr>
                <w:rFonts w:eastAsia="Arial"/>
                <w:color w:val="000000"/>
                <w:szCs w:val="24"/>
              </w:rPr>
            </w:pPr>
            <w:r w:rsidRPr="0036198E">
              <w:rPr>
                <w:rFonts w:eastAsia="Arial"/>
                <w:color w:val="000000"/>
                <w:szCs w:val="24"/>
              </w:rPr>
              <w:t>Gross Profit Margin</w:t>
            </w:r>
          </w:p>
        </w:tc>
        <w:tc>
          <w:tcPr>
            <w:tcW w:w="3005" w:type="dxa"/>
          </w:tcPr>
          <w:p w14:paraId="75490D74" w14:textId="1525492A" w:rsidR="00A838D9" w:rsidRPr="0036198E" w:rsidRDefault="00AF0FCF" w:rsidP="0094451C">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17.71%</w:t>
            </w:r>
          </w:p>
        </w:tc>
        <w:tc>
          <w:tcPr>
            <w:tcW w:w="3006" w:type="dxa"/>
          </w:tcPr>
          <w:p w14:paraId="0E961773" w14:textId="6580628D" w:rsidR="00A838D9" w:rsidRPr="0036198E" w:rsidRDefault="00F053A6" w:rsidP="0094451C">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15.98%</w:t>
            </w:r>
          </w:p>
        </w:tc>
      </w:tr>
    </w:tbl>
    <w:p w14:paraId="2AF35AC2" w14:textId="1A3DC73B" w:rsidR="005C6948" w:rsidRPr="0036198E" w:rsidRDefault="005C6948" w:rsidP="005C6948">
      <w:pPr>
        <w:spacing w:line="360" w:lineRule="auto"/>
        <w:jc w:val="center"/>
        <w:rPr>
          <w:rFonts w:eastAsia="Arial"/>
          <w:b/>
          <w:bCs/>
          <w:color w:val="000000"/>
          <w:szCs w:val="24"/>
        </w:rPr>
      </w:pPr>
    </w:p>
    <w:p w14:paraId="54ED9CA1"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The gross profit margin of BP increased by 15.98% in 2024 to 17.71% in 2025, which signifies the improved profitability on the fundamental operational level (</w:t>
      </w:r>
      <w:r w:rsidRPr="0036198E">
        <w:rPr>
          <w:rFonts w:eastAsia="Arial"/>
          <w:szCs w:val="24"/>
        </w:rPr>
        <w:t>BP Annual Report, 2025)</w:t>
      </w:r>
      <w:r w:rsidRPr="0036198E">
        <w:rPr>
          <w:rFonts w:eastAsia="Arial"/>
          <w:color w:val="000000"/>
          <w:szCs w:val="24"/>
        </w:rPr>
        <w:t xml:space="preserve">. This growth indicates that the company was able to manage its cost of revenue better and even this fell even though the total revenue remained relatively constant. The gain indicates the enhanced cost management, which can be motivated by operational efficiencies or favourable cost situation in the energy market (Oteri </w:t>
      </w:r>
      <w:r w:rsidRPr="0036198E">
        <w:rPr>
          <w:rFonts w:eastAsia="Arial"/>
          <w:i/>
          <w:iCs/>
          <w:color w:val="000000"/>
          <w:szCs w:val="24"/>
        </w:rPr>
        <w:t xml:space="preserve">et al. </w:t>
      </w:r>
      <w:r w:rsidRPr="0036198E">
        <w:rPr>
          <w:rFonts w:eastAsia="Arial"/>
          <w:color w:val="000000"/>
          <w:szCs w:val="24"/>
        </w:rPr>
        <w:t xml:space="preserve">2023). </w:t>
      </w:r>
    </w:p>
    <w:p w14:paraId="3A9EAE02" w14:textId="77777777" w:rsidR="005C6948" w:rsidRPr="0036198E" w:rsidRDefault="005C6948" w:rsidP="005C6948">
      <w:pPr>
        <w:spacing w:line="360" w:lineRule="auto"/>
        <w:jc w:val="both"/>
        <w:rPr>
          <w:rFonts w:eastAsia="Arial"/>
          <w:b/>
          <w:bCs/>
          <w:color w:val="000000"/>
          <w:szCs w:val="24"/>
        </w:rPr>
      </w:pPr>
      <w:r w:rsidRPr="0036198E">
        <w:rPr>
          <w:rFonts w:eastAsia="Arial"/>
          <w:b/>
          <w:bCs/>
          <w:color w:val="000000"/>
          <w:szCs w:val="24"/>
        </w:rPr>
        <w:t xml:space="preserve">1.1.2 Operating Profit Margin </w:t>
      </w:r>
    </w:p>
    <w:tbl>
      <w:tblPr>
        <w:tblStyle w:val="GridTable4-Accent4"/>
        <w:tblW w:w="0" w:type="auto"/>
        <w:tblLook w:val="04A0" w:firstRow="1" w:lastRow="0" w:firstColumn="1" w:lastColumn="0" w:noHBand="0" w:noVBand="1"/>
      </w:tblPr>
      <w:tblGrid>
        <w:gridCol w:w="3005"/>
        <w:gridCol w:w="3005"/>
        <w:gridCol w:w="3006"/>
      </w:tblGrid>
      <w:tr w:rsidR="006F70FA" w:rsidRPr="0036198E" w14:paraId="64B7201A" w14:textId="77777777" w:rsidTr="0065287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DAD4A50" w14:textId="77777777" w:rsidR="006F70FA" w:rsidRPr="0036198E" w:rsidRDefault="006F70FA" w:rsidP="00652878">
            <w:pPr>
              <w:spacing w:line="360" w:lineRule="auto"/>
              <w:rPr>
                <w:rFonts w:eastAsia="Arial"/>
                <w:color w:val="000000"/>
                <w:szCs w:val="24"/>
              </w:rPr>
            </w:pPr>
            <w:r w:rsidRPr="0036198E">
              <w:rPr>
                <w:rFonts w:eastAsia="Arial"/>
                <w:color w:val="000000"/>
                <w:szCs w:val="24"/>
              </w:rPr>
              <w:t>Ratio</w:t>
            </w:r>
          </w:p>
        </w:tc>
        <w:tc>
          <w:tcPr>
            <w:tcW w:w="3005" w:type="dxa"/>
          </w:tcPr>
          <w:p w14:paraId="1C089B88" w14:textId="77777777" w:rsidR="006F70FA" w:rsidRPr="0036198E" w:rsidRDefault="006F70FA" w:rsidP="0065287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2025</w:t>
            </w:r>
          </w:p>
        </w:tc>
        <w:tc>
          <w:tcPr>
            <w:tcW w:w="3006" w:type="dxa"/>
          </w:tcPr>
          <w:p w14:paraId="11437A4A" w14:textId="77777777" w:rsidR="006F70FA" w:rsidRPr="0036198E" w:rsidRDefault="006F70FA" w:rsidP="0065287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2024</w:t>
            </w:r>
          </w:p>
        </w:tc>
      </w:tr>
      <w:tr w:rsidR="006F70FA" w:rsidRPr="0036198E" w14:paraId="2B258A42" w14:textId="77777777" w:rsidTr="006528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05780A0" w14:textId="2E5D3199" w:rsidR="006F70FA" w:rsidRPr="0036198E" w:rsidRDefault="006F70FA" w:rsidP="00652878">
            <w:pPr>
              <w:spacing w:line="360" w:lineRule="auto"/>
              <w:rPr>
                <w:rFonts w:eastAsia="Arial"/>
                <w:color w:val="000000"/>
                <w:szCs w:val="24"/>
              </w:rPr>
            </w:pPr>
            <w:r w:rsidRPr="0036198E">
              <w:rPr>
                <w:rFonts w:eastAsia="Arial"/>
                <w:color w:val="000000"/>
                <w:szCs w:val="24"/>
              </w:rPr>
              <w:t>Operating Income</w:t>
            </w:r>
          </w:p>
        </w:tc>
        <w:tc>
          <w:tcPr>
            <w:tcW w:w="3005" w:type="dxa"/>
          </w:tcPr>
          <w:p w14:paraId="17EE6BA5" w14:textId="00BB4489" w:rsidR="006F70FA" w:rsidRPr="0036198E" w:rsidRDefault="006F70FA" w:rsidP="0065287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15,808,000</w:t>
            </w:r>
          </w:p>
        </w:tc>
        <w:tc>
          <w:tcPr>
            <w:tcW w:w="3006" w:type="dxa"/>
          </w:tcPr>
          <w:p w14:paraId="30A45389" w14:textId="6ACB98BF" w:rsidR="006F70FA" w:rsidRPr="0036198E" w:rsidRDefault="002B0C31" w:rsidP="0065287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13,615,000</w:t>
            </w:r>
          </w:p>
        </w:tc>
      </w:tr>
      <w:tr w:rsidR="006F70FA" w:rsidRPr="0036198E" w14:paraId="07421C2E" w14:textId="77777777" w:rsidTr="00652878">
        <w:tc>
          <w:tcPr>
            <w:cnfStyle w:val="001000000000" w:firstRow="0" w:lastRow="0" w:firstColumn="1" w:lastColumn="0" w:oddVBand="0" w:evenVBand="0" w:oddHBand="0" w:evenHBand="0" w:firstRowFirstColumn="0" w:firstRowLastColumn="0" w:lastRowFirstColumn="0" w:lastRowLastColumn="0"/>
            <w:tcW w:w="3005" w:type="dxa"/>
          </w:tcPr>
          <w:p w14:paraId="5A35D77F" w14:textId="71BD9A26" w:rsidR="006F70FA" w:rsidRPr="0036198E" w:rsidRDefault="002B0C31" w:rsidP="00652878">
            <w:pPr>
              <w:spacing w:line="360" w:lineRule="auto"/>
              <w:rPr>
                <w:rFonts w:eastAsia="Arial"/>
                <w:color w:val="000000"/>
                <w:szCs w:val="24"/>
              </w:rPr>
            </w:pPr>
            <w:r w:rsidRPr="0036198E">
              <w:rPr>
                <w:rFonts w:eastAsia="Arial"/>
                <w:color w:val="000000"/>
                <w:szCs w:val="24"/>
              </w:rPr>
              <w:t>Operating Expense</w:t>
            </w:r>
          </w:p>
        </w:tc>
        <w:tc>
          <w:tcPr>
            <w:tcW w:w="3005" w:type="dxa"/>
          </w:tcPr>
          <w:p w14:paraId="5E9914F4" w14:textId="4CB45BD3" w:rsidR="006F70FA" w:rsidRPr="0036198E" w:rsidRDefault="002B0C31" w:rsidP="0065287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17,721,000</w:t>
            </w:r>
          </w:p>
        </w:tc>
        <w:tc>
          <w:tcPr>
            <w:tcW w:w="3006" w:type="dxa"/>
          </w:tcPr>
          <w:p w14:paraId="31C5AB1C" w14:textId="15486846" w:rsidR="006F70FA" w:rsidRPr="0036198E" w:rsidRDefault="002B0C31" w:rsidP="0065287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16,624,000</w:t>
            </w:r>
          </w:p>
        </w:tc>
      </w:tr>
      <w:tr w:rsidR="006F70FA" w:rsidRPr="0036198E" w14:paraId="36210E16" w14:textId="77777777" w:rsidTr="006528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E3FBD5F" w14:textId="77777777" w:rsidR="006F70FA" w:rsidRPr="0036198E" w:rsidRDefault="006F70FA" w:rsidP="00652878">
            <w:pPr>
              <w:spacing w:line="360" w:lineRule="auto"/>
              <w:rPr>
                <w:rFonts w:eastAsia="Arial"/>
                <w:color w:val="000000"/>
                <w:szCs w:val="24"/>
              </w:rPr>
            </w:pPr>
            <w:r w:rsidRPr="0036198E">
              <w:rPr>
                <w:rFonts w:eastAsia="Arial"/>
                <w:color w:val="000000"/>
                <w:szCs w:val="24"/>
              </w:rPr>
              <w:t>Total Revenue</w:t>
            </w:r>
          </w:p>
        </w:tc>
        <w:tc>
          <w:tcPr>
            <w:tcW w:w="3005" w:type="dxa"/>
          </w:tcPr>
          <w:p w14:paraId="3E50A2E1" w14:textId="77777777" w:rsidR="006F70FA" w:rsidRPr="0036198E" w:rsidRDefault="006F70FA" w:rsidP="0065287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189,335,000</w:t>
            </w:r>
          </w:p>
        </w:tc>
        <w:tc>
          <w:tcPr>
            <w:tcW w:w="3006" w:type="dxa"/>
          </w:tcPr>
          <w:p w14:paraId="36856283" w14:textId="77777777" w:rsidR="006F70FA" w:rsidRPr="0036198E" w:rsidRDefault="006F70FA" w:rsidP="0065287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189,185,000</w:t>
            </w:r>
          </w:p>
        </w:tc>
      </w:tr>
      <w:tr w:rsidR="006F70FA" w:rsidRPr="0036198E" w14:paraId="4C239D57" w14:textId="77777777" w:rsidTr="00652878">
        <w:tc>
          <w:tcPr>
            <w:cnfStyle w:val="001000000000" w:firstRow="0" w:lastRow="0" w:firstColumn="1" w:lastColumn="0" w:oddVBand="0" w:evenVBand="0" w:oddHBand="0" w:evenHBand="0" w:firstRowFirstColumn="0" w:firstRowLastColumn="0" w:lastRowFirstColumn="0" w:lastRowLastColumn="0"/>
            <w:tcW w:w="3005" w:type="dxa"/>
          </w:tcPr>
          <w:p w14:paraId="2D263B4F" w14:textId="79CFA934" w:rsidR="006F70FA" w:rsidRPr="0036198E" w:rsidRDefault="007E4A1D" w:rsidP="00652878">
            <w:pPr>
              <w:spacing w:line="360" w:lineRule="auto"/>
              <w:rPr>
                <w:rFonts w:eastAsia="Arial"/>
                <w:color w:val="000000"/>
                <w:szCs w:val="24"/>
              </w:rPr>
            </w:pPr>
            <w:r w:rsidRPr="0036198E">
              <w:rPr>
                <w:rFonts w:eastAsia="Arial"/>
                <w:color w:val="000000"/>
                <w:szCs w:val="24"/>
              </w:rPr>
              <w:t>Operating</w:t>
            </w:r>
            <w:r w:rsidR="00983341" w:rsidRPr="0036198E">
              <w:rPr>
                <w:rFonts w:eastAsia="Arial"/>
                <w:color w:val="000000"/>
                <w:szCs w:val="24"/>
              </w:rPr>
              <w:t xml:space="preserve"> Profit Margin</w:t>
            </w:r>
          </w:p>
        </w:tc>
        <w:tc>
          <w:tcPr>
            <w:tcW w:w="3005" w:type="dxa"/>
          </w:tcPr>
          <w:p w14:paraId="2EBE0CF5" w14:textId="17082D8F" w:rsidR="006F70FA" w:rsidRPr="0036198E" w:rsidRDefault="00983341" w:rsidP="0065287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8.35%</w:t>
            </w:r>
          </w:p>
        </w:tc>
        <w:tc>
          <w:tcPr>
            <w:tcW w:w="3006" w:type="dxa"/>
          </w:tcPr>
          <w:p w14:paraId="4C03E2E1" w14:textId="5057B3FD" w:rsidR="006F70FA" w:rsidRPr="0036198E" w:rsidRDefault="00983341" w:rsidP="0065287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7.20%</w:t>
            </w:r>
          </w:p>
        </w:tc>
      </w:tr>
    </w:tbl>
    <w:p w14:paraId="610D1EAF"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lastRenderedPageBreak/>
        <w:t>An improvement in operational efficiency was also seen as the operating profit margin of BP rose during the period between 2024 and 2025 by 0.55%. This was supported by a rise in operating income from 13,615,000 to 15,808,000, despite an increase in operating expenses from 16,624,000 to 17,721,000 (</w:t>
      </w:r>
      <w:r w:rsidRPr="0036198E">
        <w:rPr>
          <w:rFonts w:eastAsia="Arial"/>
          <w:szCs w:val="24"/>
        </w:rPr>
        <w:t>BP Annual Report, 2024).</w:t>
      </w:r>
      <w:r w:rsidRPr="0036198E">
        <w:rPr>
          <w:rFonts w:eastAsia="Arial"/>
          <w:color w:val="000000"/>
          <w:szCs w:val="24"/>
        </w:rPr>
        <w:t xml:space="preserve"> The increase in operating income was higher than the expenses, which is a good sign of more cost control and improved core business (</w:t>
      </w:r>
      <w:r w:rsidRPr="0036198E">
        <w:rPr>
          <w:rFonts w:eastAsia="Arial"/>
          <w:szCs w:val="24"/>
        </w:rPr>
        <w:t xml:space="preserve">Shubina </w:t>
      </w:r>
      <w:r w:rsidRPr="0036198E">
        <w:rPr>
          <w:rFonts w:eastAsia="Arial"/>
          <w:i/>
          <w:iCs/>
          <w:szCs w:val="24"/>
        </w:rPr>
        <w:t>et al.,</w:t>
      </w:r>
      <w:r w:rsidRPr="0036198E">
        <w:rPr>
          <w:rFonts w:eastAsia="Arial"/>
          <w:szCs w:val="24"/>
        </w:rPr>
        <w:t xml:space="preserve"> 2022)</w:t>
      </w:r>
      <w:r w:rsidRPr="0036198E">
        <w:rPr>
          <w:rFonts w:eastAsia="Arial"/>
          <w:color w:val="000000"/>
          <w:szCs w:val="24"/>
        </w:rPr>
        <w:t xml:space="preserve">. </w:t>
      </w:r>
    </w:p>
    <w:p w14:paraId="4F5F0327" w14:textId="77777777" w:rsidR="005C6948" w:rsidRPr="0036198E" w:rsidRDefault="005C6948" w:rsidP="005C6948">
      <w:pPr>
        <w:spacing w:line="360" w:lineRule="auto"/>
        <w:jc w:val="both"/>
        <w:rPr>
          <w:rFonts w:eastAsia="Arial"/>
          <w:b/>
          <w:bCs/>
          <w:color w:val="000000"/>
          <w:szCs w:val="24"/>
        </w:rPr>
      </w:pPr>
      <w:r w:rsidRPr="0036198E">
        <w:rPr>
          <w:rFonts w:eastAsia="Arial"/>
          <w:b/>
          <w:bCs/>
          <w:color w:val="000000"/>
          <w:szCs w:val="24"/>
        </w:rPr>
        <w:t xml:space="preserve">1.1.3 Net Profit Margin </w:t>
      </w:r>
    </w:p>
    <w:tbl>
      <w:tblPr>
        <w:tblStyle w:val="GridTable4-Accent4"/>
        <w:tblW w:w="0" w:type="auto"/>
        <w:tblLook w:val="04A0" w:firstRow="1" w:lastRow="0" w:firstColumn="1" w:lastColumn="0" w:noHBand="0" w:noVBand="1"/>
      </w:tblPr>
      <w:tblGrid>
        <w:gridCol w:w="3005"/>
        <w:gridCol w:w="3005"/>
        <w:gridCol w:w="3006"/>
      </w:tblGrid>
      <w:tr w:rsidR="00A23057" w:rsidRPr="0036198E" w14:paraId="714CAABB" w14:textId="77777777" w:rsidTr="0065287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C8F96BC" w14:textId="77777777" w:rsidR="00A23057" w:rsidRPr="0036198E" w:rsidRDefault="00A23057" w:rsidP="00652878">
            <w:pPr>
              <w:spacing w:line="360" w:lineRule="auto"/>
              <w:rPr>
                <w:rFonts w:eastAsia="Arial"/>
                <w:color w:val="000000"/>
                <w:szCs w:val="24"/>
              </w:rPr>
            </w:pPr>
            <w:r w:rsidRPr="0036198E">
              <w:rPr>
                <w:rFonts w:eastAsia="Arial"/>
                <w:color w:val="000000"/>
                <w:szCs w:val="24"/>
              </w:rPr>
              <w:t>Ratio</w:t>
            </w:r>
          </w:p>
        </w:tc>
        <w:tc>
          <w:tcPr>
            <w:tcW w:w="3005" w:type="dxa"/>
          </w:tcPr>
          <w:p w14:paraId="2B9694EC" w14:textId="77777777" w:rsidR="00A23057" w:rsidRPr="0036198E" w:rsidRDefault="00A23057" w:rsidP="0065287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2025</w:t>
            </w:r>
          </w:p>
        </w:tc>
        <w:tc>
          <w:tcPr>
            <w:tcW w:w="3006" w:type="dxa"/>
          </w:tcPr>
          <w:p w14:paraId="4ADBE77E" w14:textId="77777777" w:rsidR="00A23057" w:rsidRPr="0036198E" w:rsidRDefault="00A23057" w:rsidP="0065287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2024</w:t>
            </w:r>
          </w:p>
        </w:tc>
      </w:tr>
      <w:tr w:rsidR="00425591" w:rsidRPr="0036198E" w14:paraId="2BE62F10" w14:textId="77777777" w:rsidTr="006528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53EBF99" w14:textId="4B3670C6" w:rsidR="00425591" w:rsidRPr="0036198E" w:rsidRDefault="00425591" w:rsidP="00425591">
            <w:pPr>
              <w:spacing w:line="360" w:lineRule="auto"/>
              <w:rPr>
                <w:rFonts w:eastAsia="Arial"/>
                <w:color w:val="000000"/>
                <w:szCs w:val="24"/>
              </w:rPr>
            </w:pPr>
            <w:r w:rsidRPr="0036198E">
              <w:rPr>
                <w:rFonts w:eastAsia="Arial"/>
                <w:color w:val="000000"/>
                <w:szCs w:val="24"/>
              </w:rPr>
              <w:t>Total Revenue</w:t>
            </w:r>
          </w:p>
        </w:tc>
        <w:tc>
          <w:tcPr>
            <w:tcW w:w="3005" w:type="dxa"/>
          </w:tcPr>
          <w:p w14:paraId="73490734" w14:textId="18B72D82" w:rsidR="00425591" w:rsidRPr="0036198E" w:rsidRDefault="00425591" w:rsidP="00425591">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189,335,000</w:t>
            </w:r>
          </w:p>
        </w:tc>
        <w:tc>
          <w:tcPr>
            <w:tcW w:w="3006" w:type="dxa"/>
          </w:tcPr>
          <w:p w14:paraId="53A63FB0" w14:textId="74224847" w:rsidR="00425591" w:rsidRPr="0036198E" w:rsidRDefault="00425591" w:rsidP="00425591">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189,185,000</w:t>
            </w:r>
          </w:p>
        </w:tc>
      </w:tr>
      <w:tr w:rsidR="00A23057" w:rsidRPr="0036198E" w14:paraId="02732434" w14:textId="77777777" w:rsidTr="00652878">
        <w:tc>
          <w:tcPr>
            <w:cnfStyle w:val="001000000000" w:firstRow="0" w:lastRow="0" w:firstColumn="1" w:lastColumn="0" w:oddVBand="0" w:evenVBand="0" w:oddHBand="0" w:evenHBand="0" w:firstRowFirstColumn="0" w:firstRowLastColumn="0" w:lastRowFirstColumn="0" w:lastRowLastColumn="0"/>
            <w:tcW w:w="3005" w:type="dxa"/>
          </w:tcPr>
          <w:p w14:paraId="38A83069" w14:textId="471896A1" w:rsidR="00A23057" w:rsidRPr="0036198E" w:rsidRDefault="008F050D" w:rsidP="00652878">
            <w:pPr>
              <w:spacing w:line="360" w:lineRule="auto"/>
              <w:rPr>
                <w:rFonts w:eastAsia="Arial"/>
                <w:color w:val="000000"/>
                <w:szCs w:val="24"/>
              </w:rPr>
            </w:pPr>
            <w:r w:rsidRPr="0036198E">
              <w:rPr>
                <w:rFonts w:eastAsia="Arial"/>
                <w:color w:val="000000"/>
                <w:szCs w:val="24"/>
              </w:rPr>
              <w:t>Total Expenditure</w:t>
            </w:r>
          </w:p>
        </w:tc>
        <w:tc>
          <w:tcPr>
            <w:tcW w:w="3005" w:type="dxa"/>
          </w:tcPr>
          <w:p w14:paraId="2755FD72" w14:textId="1B3BCB59" w:rsidR="00A23057" w:rsidRPr="0036198E" w:rsidRDefault="008F050D" w:rsidP="0065287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173,527,000</w:t>
            </w:r>
          </w:p>
        </w:tc>
        <w:tc>
          <w:tcPr>
            <w:tcW w:w="3006" w:type="dxa"/>
          </w:tcPr>
          <w:p w14:paraId="28E8B4F7" w14:textId="15AE8C9C" w:rsidR="008F050D" w:rsidRPr="0036198E" w:rsidRDefault="008F050D" w:rsidP="008F050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175,570,000</w:t>
            </w:r>
          </w:p>
        </w:tc>
      </w:tr>
      <w:tr w:rsidR="00A23057" w:rsidRPr="0036198E" w14:paraId="0837448C" w14:textId="77777777" w:rsidTr="006528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6408269" w14:textId="259A24F8" w:rsidR="00A23057" w:rsidRPr="0036198E" w:rsidRDefault="008F050D" w:rsidP="00652878">
            <w:pPr>
              <w:spacing w:line="360" w:lineRule="auto"/>
              <w:rPr>
                <w:rFonts w:eastAsia="Arial"/>
                <w:color w:val="000000"/>
                <w:szCs w:val="24"/>
              </w:rPr>
            </w:pPr>
            <w:r w:rsidRPr="0036198E">
              <w:rPr>
                <w:rFonts w:eastAsia="Arial"/>
                <w:color w:val="000000"/>
                <w:szCs w:val="24"/>
              </w:rPr>
              <w:t>Net Profit Margin</w:t>
            </w:r>
          </w:p>
        </w:tc>
        <w:tc>
          <w:tcPr>
            <w:tcW w:w="3005" w:type="dxa"/>
          </w:tcPr>
          <w:p w14:paraId="43D7AD5E" w14:textId="419362BF" w:rsidR="00A23057" w:rsidRPr="0036198E" w:rsidRDefault="005C4E75" w:rsidP="0065287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8.35%</w:t>
            </w:r>
          </w:p>
        </w:tc>
        <w:tc>
          <w:tcPr>
            <w:tcW w:w="3006" w:type="dxa"/>
          </w:tcPr>
          <w:p w14:paraId="4422DAF8" w14:textId="378DDAF5" w:rsidR="00A23057" w:rsidRPr="0036198E" w:rsidRDefault="00AD249B" w:rsidP="0065287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7.20%</w:t>
            </w:r>
          </w:p>
        </w:tc>
      </w:tr>
      <w:tr w:rsidR="00A23057" w:rsidRPr="0036198E" w14:paraId="35FE8CD9" w14:textId="77777777" w:rsidTr="00652878">
        <w:tc>
          <w:tcPr>
            <w:cnfStyle w:val="001000000000" w:firstRow="0" w:lastRow="0" w:firstColumn="1" w:lastColumn="0" w:oddVBand="0" w:evenVBand="0" w:oddHBand="0" w:evenHBand="0" w:firstRowFirstColumn="0" w:firstRowLastColumn="0" w:lastRowFirstColumn="0" w:lastRowLastColumn="0"/>
            <w:tcW w:w="3005" w:type="dxa"/>
          </w:tcPr>
          <w:p w14:paraId="4B4D6A47" w14:textId="72F7D92B" w:rsidR="00A23057" w:rsidRPr="0036198E" w:rsidRDefault="00227062" w:rsidP="00652878">
            <w:pPr>
              <w:spacing w:line="360" w:lineRule="auto"/>
              <w:rPr>
                <w:rFonts w:eastAsia="Arial"/>
                <w:color w:val="000000"/>
                <w:szCs w:val="24"/>
              </w:rPr>
            </w:pPr>
            <w:r w:rsidRPr="0036198E">
              <w:rPr>
                <w:rFonts w:eastAsia="Arial"/>
                <w:color w:val="000000"/>
                <w:szCs w:val="24"/>
              </w:rPr>
              <w:t>ROCE</w:t>
            </w:r>
          </w:p>
        </w:tc>
        <w:tc>
          <w:tcPr>
            <w:tcW w:w="3005" w:type="dxa"/>
          </w:tcPr>
          <w:p w14:paraId="73F30134" w14:textId="6A5116F8" w:rsidR="00A23057" w:rsidRPr="0036198E" w:rsidRDefault="00227062" w:rsidP="0065287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17.40%</w:t>
            </w:r>
          </w:p>
        </w:tc>
        <w:tc>
          <w:tcPr>
            <w:tcW w:w="3006" w:type="dxa"/>
          </w:tcPr>
          <w:p w14:paraId="4C8218CF" w14:textId="132D9192" w:rsidR="00A23057" w:rsidRPr="0036198E" w:rsidRDefault="00227062" w:rsidP="0065287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14.51%</w:t>
            </w:r>
          </w:p>
        </w:tc>
      </w:tr>
    </w:tbl>
    <w:p w14:paraId="2FF26653" w14:textId="77777777" w:rsidR="00A23057" w:rsidRPr="0036198E" w:rsidRDefault="00A23057" w:rsidP="005C6948">
      <w:pPr>
        <w:spacing w:line="360" w:lineRule="auto"/>
        <w:jc w:val="both"/>
        <w:rPr>
          <w:rFonts w:eastAsia="Arial"/>
          <w:b/>
          <w:bCs/>
          <w:color w:val="000000"/>
          <w:szCs w:val="24"/>
        </w:rPr>
      </w:pPr>
    </w:p>
    <w:p w14:paraId="6D6168E2" w14:textId="0F2C4226" w:rsidR="005C6948" w:rsidRPr="0036198E" w:rsidRDefault="005C6948" w:rsidP="005C6948">
      <w:pPr>
        <w:spacing w:line="360" w:lineRule="auto"/>
        <w:jc w:val="both"/>
        <w:rPr>
          <w:rFonts w:eastAsia="Arial"/>
          <w:color w:val="000000"/>
          <w:szCs w:val="24"/>
        </w:rPr>
      </w:pPr>
      <w:r w:rsidRPr="0036198E">
        <w:rPr>
          <w:rFonts w:eastAsia="Arial"/>
          <w:color w:val="000000"/>
          <w:szCs w:val="24"/>
        </w:rPr>
        <w:t>In 2025, the Net Profit Margin had improved as compared to 2024 (7.20 to 8.35) and this is a sign of greater profitability (</w:t>
      </w:r>
      <w:r w:rsidRPr="0036198E">
        <w:rPr>
          <w:rFonts w:eastAsia="Arial"/>
          <w:szCs w:val="24"/>
        </w:rPr>
        <w:t>BP Annual Report, 2025)</w:t>
      </w:r>
      <w:r w:rsidRPr="0036198E">
        <w:rPr>
          <w:rFonts w:eastAsia="Arial"/>
          <w:color w:val="000000"/>
          <w:szCs w:val="24"/>
        </w:rPr>
        <w:t>. This improvement is supported by a rise in total revenue from 189,185,000 to 189,335,000. The growth indicates that the company has been more effective in managing costs and transforming revenue into actual profit leading to improvement in its overall operation performance (</w:t>
      </w:r>
      <w:proofErr w:type="spellStart"/>
      <w:r w:rsidRPr="0036198E">
        <w:rPr>
          <w:rFonts w:eastAsia="Arial"/>
          <w:szCs w:val="24"/>
        </w:rPr>
        <w:t>Pasaribu</w:t>
      </w:r>
      <w:proofErr w:type="spellEnd"/>
      <w:r w:rsidRPr="0036198E">
        <w:rPr>
          <w:rFonts w:eastAsia="Arial"/>
          <w:szCs w:val="24"/>
        </w:rPr>
        <w:t xml:space="preserve"> and Batubara, 2022).</w:t>
      </w:r>
    </w:p>
    <w:p w14:paraId="4D01A508" w14:textId="38466590" w:rsidR="005C6948" w:rsidRPr="0036198E" w:rsidRDefault="005C6948" w:rsidP="005C6948">
      <w:pPr>
        <w:spacing w:line="360" w:lineRule="auto"/>
        <w:jc w:val="both"/>
        <w:rPr>
          <w:rFonts w:eastAsia="Arial"/>
          <w:b/>
          <w:bCs/>
          <w:color w:val="000000"/>
          <w:szCs w:val="24"/>
        </w:rPr>
      </w:pPr>
      <w:r w:rsidRPr="0036198E">
        <w:rPr>
          <w:rFonts w:eastAsia="Arial"/>
          <w:b/>
          <w:bCs/>
          <w:color w:val="000000"/>
          <w:szCs w:val="24"/>
        </w:rPr>
        <w:t>1.1.4 Return on Capital Employed (ROCE)</w:t>
      </w:r>
    </w:p>
    <w:tbl>
      <w:tblPr>
        <w:tblStyle w:val="GridTable4-Accent4"/>
        <w:tblW w:w="0" w:type="auto"/>
        <w:tblLook w:val="04A0" w:firstRow="1" w:lastRow="0" w:firstColumn="1" w:lastColumn="0" w:noHBand="0" w:noVBand="1"/>
      </w:tblPr>
      <w:tblGrid>
        <w:gridCol w:w="3005"/>
        <w:gridCol w:w="3005"/>
        <w:gridCol w:w="3006"/>
      </w:tblGrid>
      <w:tr w:rsidR="002023FE" w:rsidRPr="0036198E" w14:paraId="50158D0E" w14:textId="77777777" w:rsidTr="0065287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46D6148" w14:textId="77777777" w:rsidR="002023FE" w:rsidRPr="0036198E" w:rsidRDefault="002023FE" w:rsidP="00652878">
            <w:pPr>
              <w:spacing w:line="360" w:lineRule="auto"/>
              <w:rPr>
                <w:rFonts w:eastAsia="Arial"/>
                <w:color w:val="000000"/>
                <w:szCs w:val="24"/>
              </w:rPr>
            </w:pPr>
            <w:r w:rsidRPr="0036198E">
              <w:rPr>
                <w:rFonts w:eastAsia="Arial"/>
                <w:color w:val="000000"/>
                <w:szCs w:val="24"/>
              </w:rPr>
              <w:t>Ratio</w:t>
            </w:r>
          </w:p>
        </w:tc>
        <w:tc>
          <w:tcPr>
            <w:tcW w:w="3005" w:type="dxa"/>
          </w:tcPr>
          <w:p w14:paraId="3339DADA" w14:textId="77777777" w:rsidR="002023FE" w:rsidRPr="0036198E" w:rsidRDefault="002023FE" w:rsidP="0065287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2025</w:t>
            </w:r>
          </w:p>
        </w:tc>
        <w:tc>
          <w:tcPr>
            <w:tcW w:w="3006" w:type="dxa"/>
          </w:tcPr>
          <w:p w14:paraId="4D8DB2EA" w14:textId="77777777" w:rsidR="002023FE" w:rsidRPr="0036198E" w:rsidRDefault="002023FE" w:rsidP="0065287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2024</w:t>
            </w:r>
          </w:p>
        </w:tc>
      </w:tr>
      <w:tr w:rsidR="002023FE" w:rsidRPr="0036198E" w14:paraId="5F1EA47B" w14:textId="77777777" w:rsidTr="006528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5D127F4" w14:textId="65CC1D33" w:rsidR="002023FE" w:rsidRPr="0036198E" w:rsidRDefault="002023FE" w:rsidP="00652878">
            <w:pPr>
              <w:spacing w:line="360" w:lineRule="auto"/>
              <w:rPr>
                <w:rFonts w:eastAsia="Arial"/>
                <w:color w:val="000000"/>
                <w:szCs w:val="24"/>
              </w:rPr>
            </w:pPr>
            <w:r w:rsidRPr="0036198E">
              <w:rPr>
                <w:rFonts w:eastAsia="Arial"/>
                <w:color w:val="000000"/>
                <w:szCs w:val="24"/>
              </w:rPr>
              <w:t>EBIT</w:t>
            </w:r>
          </w:p>
        </w:tc>
        <w:tc>
          <w:tcPr>
            <w:tcW w:w="3005" w:type="dxa"/>
          </w:tcPr>
          <w:p w14:paraId="23F69BA0" w14:textId="41D61054" w:rsidR="002023FE" w:rsidRPr="0036198E" w:rsidRDefault="002023FE" w:rsidP="0065287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12,874,000</w:t>
            </w:r>
          </w:p>
        </w:tc>
        <w:tc>
          <w:tcPr>
            <w:tcW w:w="3006" w:type="dxa"/>
          </w:tcPr>
          <w:p w14:paraId="46BD16C0" w14:textId="4F2EB5EA" w:rsidR="002023FE" w:rsidRPr="0036198E" w:rsidRDefault="002023FE" w:rsidP="0065287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11,361,000</w:t>
            </w:r>
          </w:p>
        </w:tc>
      </w:tr>
      <w:tr w:rsidR="002023FE" w:rsidRPr="0036198E" w14:paraId="21E81DED" w14:textId="77777777" w:rsidTr="00652878">
        <w:tc>
          <w:tcPr>
            <w:cnfStyle w:val="001000000000" w:firstRow="0" w:lastRow="0" w:firstColumn="1" w:lastColumn="0" w:oddVBand="0" w:evenVBand="0" w:oddHBand="0" w:evenHBand="0" w:firstRowFirstColumn="0" w:firstRowLastColumn="0" w:lastRowFirstColumn="0" w:lastRowLastColumn="0"/>
            <w:tcW w:w="3005" w:type="dxa"/>
          </w:tcPr>
          <w:p w14:paraId="3598EFA1" w14:textId="2A362C4D" w:rsidR="002023FE" w:rsidRPr="0036198E" w:rsidRDefault="00E4589C" w:rsidP="00652878">
            <w:pPr>
              <w:spacing w:line="360" w:lineRule="auto"/>
              <w:rPr>
                <w:rFonts w:eastAsia="Arial"/>
                <w:color w:val="000000"/>
                <w:szCs w:val="24"/>
              </w:rPr>
            </w:pPr>
            <w:r w:rsidRPr="0036198E">
              <w:rPr>
                <w:rFonts w:eastAsia="Arial"/>
                <w:color w:val="000000"/>
                <w:szCs w:val="24"/>
              </w:rPr>
              <w:t>Total Assets</w:t>
            </w:r>
          </w:p>
        </w:tc>
        <w:tc>
          <w:tcPr>
            <w:tcW w:w="3005" w:type="dxa"/>
          </w:tcPr>
          <w:p w14:paraId="472DD160" w14:textId="0781DA98" w:rsidR="002023FE" w:rsidRPr="0036198E" w:rsidRDefault="00E4589C" w:rsidP="0065287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278,526,000</w:t>
            </w:r>
          </w:p>
        </w:tc>
        <w:tc>
          <w:tcPr>
            <w:tcW w:w="3006" w:type="dxa"/>
          </w:tcPr>
          <w:p w14:paraId="43C61A34" w14:textId="6E4E8287" w:rsidR="002023FE" w:rsidRPr="0036198E" w:rsidRDefault="00E4589C" w:rsidP="0065287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282,228,000</w:t>
            </w:r>
          </w:p>
        </w:tc>
      </w:tr>
      <w:tr w:rsidR="002023FE" w:rsidRPr="0036198E" w14:paraId="6924DDCA" w14:textId="77777777" w:rsidTr="006528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0D0C930" w14:textId="1B8EEBF0" w:rsidR="002023FE" w:rsidRPr="0036198E" w:rsidRDefault="00E4589C" w:rsidP="00652878">
            <w:pPr>
              <w:spacing w:line="360" w:lineRule="auto"/>
              <w:rPr>
                <w:rFonts w:eastAsia="Arial"/>
                <w:color w:val="000000"/>
                <w:szCs w:val="24"/>
              </w:rPr>
            </w:pPr>
            <w:r w:rsidRPr="0036198E">
              <w:rPr>
                <w:rFonts w:eastAsia="Arial"/>
                <w:color w:val="000000"/>
                <w:szCs w:val="24"/>
              </w:rPr>
              <w:t>Total Liabi</w:t>
            </w:r>
            <w:r w:rsidR="00FA308C" w:rsidRPr="0036198E">
              <w:rPr>
                <w:rFonts w:eastAsia="Arial"/>
                <w:color w:val="000000"/>
                <w:szCs w:val="24"/>
              </w:rPr>
              <w:t>lities</w:t>
            </w:r>
          </w:p>
        </w:tc>
        <w:tc>
          <w:tcPr>
            <w:tcW w:w="3005" w:type="dxa"/>
          </w:tcPr>
          <w:p w14:paraId="44C32A34" w14:textId="41503338" w:rsidR="002023FE" w:rsidRPr="0036198E" w:rsidRDefault="00FA308C" w:rsidP="0065287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204,526,000</w:t>
            </w:r>
          </w:p>
        </w:tc>
        <w:tc>
          <w:tcPr>
            <w:tcW w:w="3006" w:type="dxa"/>
          </w:tcPr>
          <w:p w14:paraId="0E36D8B9" w14:textId="25C0786A" w:rsidR="002023FE" w:rsidRPr="0036198E" w:rsidRDefault="00FA308C" w:rsidP="0065287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203,910,000</w:t>
            </w:r>
          </w:p>
        </w:tc>
      </w:tr>
      <w:tr w:rsidR="002023FE" w:rsidRPr="0036198E" w14:paraId="4308049F" w14:textId="77777777" w:rsidTr="00652878">
        <w:tc>
          <w:tcPr>
            <w:cnfStyle w:val="001000000000" w:firstRow="0" w:lastRow="0" w:firstColumn="1" w:lastColumn="0" w:oddVBand="0" w:evenVBand="0" w:oddHBand="0" w:evenHBand="0" w:firstRowFirstColumn="0" w:firstRowLastColumn="0" w:lastRowFirstColumn="0" w:lastRowLastColumn="0"/>
            <w:tcW w:w="3005" w:type="dxa"/>
          </w:tcPr>
          <w:p w14:paraId="465D6B25" w14:textId="4B7B53A3" w:rsidR="002023FE" w:rsidRPr="0036198E" w:rsidRDefault="00FA308C" w:rsidP="00652878">
            <w:pPr>
              <w:spacing w:line="360" w:lineRule="auto"/>
              <w:rPr>
                <w:rFonts w:eastAsia="Arial"/>
                <w:color w:val="000000"/>
                <w:szCs w:val="24"/>
              </w:rPr>
            </w:pPr>
            <w:r w:rsidRPr="0036198E">
              <w:rPr>
                <w:rFonts w:eastAsia="Arial"/>
                <w:color w:val="000000"/>
                <w:szCs w:val="24"/>
              </w:rPr>
              <w:t>R</w:t>
            </w:r>
            <w:r w:rsidR="006252FD" w:rsidRPr="0036198E">
              <w:rPr>
                <w:rFonts w:eastAsia="Arial"/>
                <w:color w:val="000000"/>
                <w:szCs w:val="24"/>
              </w:rPr>
              <w:t>OCE</w:t>
            </w:r>
          </w:p>
        </w:tc>
        <w:tc>
          <w:tcPr>
            <w:tcW w:w="3005" w:type="dxa"/>
          </w:tcPr>
          <w:p w14:paraId="08E43F57" w14:textId="2E2677BE" w:rsidR="002023FE" w:rsidRPr="0036198E" w:rsidRDefault="002023FE" w:rsidP="0065287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17.</w:t>
            </w:r>
            <w:r w:rsidR="006252FD" w:rsidRPr="0036198E">
              <w:rPr>
                <w:rFonts w:eastAsia="Arial"/>
                <w:color w:val="000000"/>
                <w:szCs w:val="24"/>
              </w:rPr>
              <w:t>40%</w:t>
            </w:r>
          </w:p>
        </w:tc>
        <w:tc>
          <w:tcPr>
            <w:tcW w:w="3006" w:type="dxa"/>
          </w:tcPr>
          <w:p w14:paraId="375E985D" w14:textId="22FD6B6A" w:rsidR="002023FE" w:rsidRPr="0036198E" w:rsidRDefault="006252FD" w:rsidP="0065287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11.51%</w:t>
            </w:r>
          </w:p>
        </w:tc>
      </w:tr>
    </w:tbl>
    <w:p w14:paraId="75C01B14" w14:textId="77777777" w:rsidR="0030368C" w:rsidRPr="0036198E" w:rsidRDefault="0030368C" w:rsidP="005C6948">
      <w:pPr>
        <w:spacing w:line="360" w:lineRule="auto"/>
        <w:jc w:val="both"/>
        <w:rPr>
          <w:rFonts w:eastAsia="Arial"/>
          <w:b/>
          <w:bCs/>
          <w:color w:val="000000"/>
          <w:szCs w:val="24"/>
        </w:rPr>
      </w:pPr>
    </w:p>
    <w:p w14:paraId="4B726DB7" w14:textId="57230693" w:rsidR="005C6948" w:rsidRPr="0036198E" w:rsidRDefault="005C6948" w:rsidP="005C6948">
      <w:pPr>
        <w:spacing w:line="360" w:lineRule="auto"/>
        <w:jc w:val="both"/>
        <w:rPr>
          <w:rFonts w:eastAsia="Arial"/>
          <w:color w:val="000000"/>
          <w:szCs w:val="24"/>
        </w:rPr>
      </w:pPr>
      <w:r w:rsidRPr="0036198E">
        <w:rPr>
          <w:rFonts w:eastAsia="Arial"/>
          <w:color w:val="000000"/>
          <w:szCs w:val="24"/>
        </w:rPr>
        <w:t>The improvement in the efficiency of capital utilization to generate operating profit was notable in that the ratio rose by 2.4 percentage points in 2025 compared to 14.51 in 2024. EBIT rose from 11,361,000 to 12,874,000, while total assets decreased slightly from 282,228,000 to 278,526,000, indicating better asset utilization (</w:t>
      </w:r>
      <w:r w:rsidRPr="0036198E">
        <w:rPr>
          <w:rFonts w:eastAsia="Arial"/>
          <w:szCs w:val="24"/>
        </w:rPr>
        <w:t>BP Annual Report, 2025).</w:t>
      </w:r>
      <w:r w:rsidRPr="0036198E">
        <w:rPr>
          <w:rFonts w:eastAsia="Arial"/>
          <w:color w:val="000000"/>
          <w:szCs w:val="24"/>
        </w:rPr>
        <w:t xml:space="preserve"> </w:t>
      </w:r>
      <w:r w:rsidRPr="0036198E">
        <w:rPr>
          <w:rFonts w:eastAsia="Arial"/>
          <w:color w:val="000000"/>
          <w:szCs w:val="24"/>
        </w:rPr>
        <w:lastRenderedPageBreak/>
        <w:t>Though the liabilities slightly rose to 204,526,000,000, the net growth in the ROCE indicates better capital efficiency and enhanced returns to the invested capital in the firm in 2025.</w:t>
      </w:r>
    </w:p>
    <w:p w14:paraId="7FE7EB74" w14:textId="77777777" w:rsidR="005C6948" w:rsidRPr="0036198E" w:rsidRDefault="005C6948" w:rsidP="005C6948">
      <w:pPr>
        <w:spacing w:line="360" w:lineRule="auto"/>
        <w:jc w:val="both"/>
        <w:rPr>
          <w:rFonts w:eastAsia="Arial"/>
          <w:color w:val="000000"/>
          <w:szCs w:val="24"/>
        </w:rPr>
      </w:pPr>
      <w:r w:rsidRPr="0036198E">
        <w:rPr>
          <w:rFonts w:eastAsia="Arial"/>
          <w:b/>
          <w:bCs/>
          <w:color w:val="000000"/>
          <w:szCs w:val="24"/>
        </w:rPr>
        <w:t xml:space="preserve">Analysis: </w:t>
      </w:r>
      <w:r w:rsidRPr="0036198E">
        <w:rPr>
          <w:rFonts w:eastAsia="Arial"/>
          <w:color w:val="000000"/>
          <w:szCs w:val="24"/>
        </w:rPr>
        <w:t>BP profitability ratios will improve in 2025, and Gross Profit Margin will be higher than in 2020 (15.98 to 17.71), as well as Operating Profit Margin, Net Profit Margin, and ROCE (14.51 to 17.40) (</w:t>
      </w:r>
      <w:r w:rsidRPr="0036198E">
        <w:rPr>
          <w:rFonts w:eastAsia="Arial"/>
          <w:szCs w:val="24"/>
        </w:rPr>
        <w:t>BP Annual Report, 2024)</w:t>
      </w:r>
      <w:r w:rsidRPr="0036198E">
        <w:rPr>
          <w:rFonts w:eastAsia="Arial"/>
          <w:color w:val="000000"/>
          <w:szCs w:val="24"/>
        </w:rPr>
        <w:t>. This performance can be attributed to relatively stable revenues of approximately £ 189,185,000-189,335,000, as well as better control of costs, as the total expenditure is reduced to between £ 175,570,000 and 173,527,000 (</w:t>
      </w:r>
      <w:r w:rsidRPr="0036198E">
        <w:rPr>
          <w:rFonts w:eastAsia="Arial"/>
          <w:szCs w:val="24"/>
        </w:rPr>
        <w:t>BP Annual Report, 2025)</w:t>
      </w:r>
      <w:r w:rsidRPr="0036198E">
        <w:rPr>
          <w:rFonts w:eastAsia="Arial"/>
          <w:color w:val="000000"/>
          <w:szCs w:val="24"/>
        </w:rPr>
        <w:t>. But the external oil price volatility and refining margins are also sensitive to profitability and are important drivers in energy industry (</w:t>
      </w:r>
      <w:r w:rsidRPr="0036198E">
        <w:rPr>
          <w:rFonts w:eastAsia="Arial"/>
          <w:szCs w:val="24"/>
        </w:rPr>
        <w:t xml:space="preserve">Shokouhi </w:t>
      </w:r>
      <w:r w:rsidRPr="0036198E">
        <w:rPr>
          <w:rFonts w:eastAsia="Arial"/>
          <w:i/>
          <w:iCs/>
          <w:szCs w:val="24"/>
        </w:rPr>
        <w:t>et al.,</w:t>
      </w:r>
      <w:r w:rsidRPr="0036198E">
        <w:rPr>
          <w:rFonts w:eastAsia="Arial"/>
          <w:szCs w:val="24"/>
        </w:rPr>
        <w:t xml:space="preserve"> 2024)</w:t>
      </w:r>
      <w:r w:rsidRPr="0036198E">
        <w:rPr>
          <w:rFonts w:eastAsia="Arial"/>
          <w:color w:val="000000"/>
          <w:szCs w:val="24"/>
        </w:rPr>
        <w:t>. Moreover, the current renewable energy expenditures undertaken by BP could reduce the short-term margins but sustainability in the long run.</w:t>
      </w:r>
    </w:p>
    <w:p w14:paraId="7F40C982" w14:textId="77777777" w:rsidR="005C6948" w:rsidRPr="0036198E" w:rsidRDefault="005C6948" w:rsidP="005C6948">
      <w:pPr>
        <w:pStyle w:val="Heading2"/>
        <w:spacing w:line="360" w:lineRule="auto"/>
        <w:rPr>
          <w:rFonts w:eastAsia="Arial" w:cs="Calibri"/>
          <w:b w:val="0"/>
          <w:bCs/>
          <w:color w:val="000000"/>
          <w:szCs w:val="24"/>
        </w:rPr>
      </w:pPr>
      <w:bookmarkStart w:id="6" w:name="_Toc227610516"/>
      <w:r w:rsidRPr="0036198E">
        <w:rPr>
          <w:rFonts w:eastAsia="Arial" w:cs="Calibri"/>
          <w:bCs/>
          <w:color w:val="000000"/>
          <w:szCs w:val="24"/>
        </w:rPr>
        <w:t>1.2 Efficiency Ratios</w:t>
      </w:r>
      <w:bookmarkEnd w:id="6"/>
    </w:p>
    <w:p w14:paraId="737F708B" w14:textId="77777777" w:rsidR="005C6948" w:rsidRPr="0036198E" w:rsidRDefault="005C6948" w:rsidP="005C6948">
      <w:pPr>
        <w:spacing w:line="360" w:lineRule="auto"/>
        <w:jc w:val="both"/>
        <w:rPr>
          <w:rFonts w:eastAsia="Arial"/>
          <w:b/>
          <w:bCs/>
          <w:color w:val="000000"/>
          <w:szCs w:val="24"/>
        </w:rPr>
      </w:pPr>
      <w:r w:rsidRPr="0036198E">
        <w:rPr>
          <w:rFonts w:eastAsia="Arial"/>
          <w:b/>
          <w:bCs/>
          <w:color w:val="000000"/>
          <w:szCs w:val="24"/>
        </w:rPr>
        <w:t xml:space="preserve">1.2.1 Asset Turnover </w:t>
      </w:r>
    </w:p>
    <w:tbl>
      <w:tblPr>
        <w:tblStyle w:val="GridTable4-Accent4"/>
        <w:tblW w:w="0" w:type="auto"/>
        <w:tblLook w:val="04A0" w:firstRow="1" w:lastRow="0" w:firstColumn="1" w:lastColumn="0" w:noHBand="0" w:noVBand="1"/>
      </w:tblPr>
      <w:tblGrid>
        <w:gridCol w:w="2254"/>
        <w:gridCol w:w="2254"/>
        <w:gridCol w:w="2254"/>
        <w:gridCol w:w="2254"/>
      </w:tblGrid>
      <w:tr w:rsidR="00D039DA" w:rsidRPr="0036198E" w14:paraId="707BFB50" w14:textId="77777777" w:rsidTr="002811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E0B4697" w14:textId="31FB585A" w:rsidR="00D039DA" w:rsidRPr="0036198E" w:rsidRDefault="00277DC4" w:rsidP="0087016A">
            <w:pPr>
              <w:spacing w:line="360" w:lineRule="auto"/>
              <w:rPr>
                <w:rFonts w:eastAsia="Arial"/>
                <w:color w:val="000000"/>
                <w:szCs w:val="24"/>
              </w:rPr>
            </w:pPr>
            <w:r w:rsidRPr="0036198E">
              <w:rPr>
                <w:rFonts w:eastAsia="Arial"/>
                <w:color w:val="000000"/>
                <w:szCs w:val="24"/>
              </w:rPr>
              <w:t>Column 1</w:t>
            </w:r>
          </w:p>
        </w:tc>
        <w:tc>
          <w:tcPr>
            <w:tcW w:w="2254" w:type="dxa"/>
          </w:tcPr>
          <w:p w14:paraId="719FF62E" w14:textId="0B07EB10" w:rsidR="00D039DA" w:rsidRPr="0036198E" w:rsidRDefault="00277DC4" w:rsidP="005C694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2025</w:t>
            </w:r>
          </w:p>
        </w:tc>
        <w:tc>
          <w:tcPr>
            <w:tcW w:w="2254" w:type="dxa"/>
          </w:tcPr>
          <w:p w14:paraId="20B42F0F" w14:textId="4041D81B" w:rsidR="00D039DA" w:rsidRPr="0036198E" w:rsidRDefault="00277DC4" w:rsidP="005C694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2024</w:t>
            </w:r>
          </w:p>
        </w:tc>
        <w:tc>
          <w:tcPr>
            <w:tcW w:w="2254" w:type="dxa"/>
          </w:tcPr>
          <w:p w14:paraId="3B7E1F1A" w14:textId="1AFF6040" w:rsidR="00D039DA" w:rsidRPr="0036198E" w:rsidRDefault="00277DC4" w:rsidP="005C694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2023</w:t>
            </w:r>
          </w:p>
        </w:tc>
      </w:tr>
      <w:tr w:rsidR="00D039DA" w:rsidRPr="0036198E" w14:paraId="5E9BB07D" w14:textId="77777777" w:rsidTr="002811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F652838" w14:textId="08403F93" w:rsidR="00D039DA" w:rsidRPr="0036198E" w:rsidRDefault="00277DC4" w:rsidP="0087016A">
            <w:pPr>
              <w:spacing w:line="360" w:lineRule="auto"/>
              <w:rPr>
                <w:rFonts w:eastAsia="Arial"/>
                <w:color w:val="000000"/>
                <w:szCs w:val="24"/>
              </w:rPr>
            </w:pPr>
            <w:r w:rsidRPr="0036198E">
              <w:rPr>
                <w:rFonts w:eastAsia="Arial"/>
                <w:color w:val="000000"/>
                <w:szCs w:val="24"/>
              </w:rPr>
              <w:t xml:space="preserve">Sales and other </w:t>
            </w:r>
            <w:r w:rsidR="0087016A" w:rsidRPr="0036198E">
              <w:rPr>
                <w:rFonts w:eastAsia="Arial"/>
                <w:color w:val="000000"/>
                <w:szCs w:val="24"/>
              </w:rPr>
              <w:t>O</w:t>
            </w:r>
            <w:r w:rsidRPr="0036198E">
              <w:rPr>
                <w:rFonts w:eastAsia="Arial"/>
                <w:color w:val="000000"/>
                <w:szCs w:val="24"/>
              </w:rPr>
              <w:t xml:space="preserve">perating </w:t>
            </w:r>
            <w:r w:rsidR="0087016A" w:rsidRPr="0036198E">
              <w:rPr>
                <w:rFonts w:eastAsia="Arial"/>
                <w:color w:val="000000"/>
                <w:szCs w:val="24"/>
              </w:rPr>
              <w:t>R</w:t>
            </w:r>
            <w:r w:rsidRPr="0036198E">
              <w:rPr>
                <w:rFonts w:eastAsia="Arial"/>
                <w:color w:val="000000"/>
                <w:szCs w:val="24"/>
              </w:rPr>
              <w:t>evenues</w:t>
            </w:r>
          </w:p>
        </w:tc>
        <w:tc>
          <w:tcPr>
            <w:tcW w:w="2254" w:type="dxa"/>
          </w:tcPr>
          <w:p w14:paraId="46C4C56F" w14:textId="51D3433D" w:rsidR="00D039DA" w:rsidRPr="0036198E" w:rsidRDefault="00277DC4" w:rsidP="005C694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12,</w:t>
            </w:r>
            <w:r w:rsidR="00F70BED" w:rsidRPr="0036198E">
              <w:rPr>
                <w:rFonts w:eastAsia="Arial"/>
                <w:color w:val="000000"/>
                <w:szCs w:val="24"/>
              </w:rPr>
              <w:t>243,000</w:t>
            </w:r>
          </w:p>
        </w:tc>
        <w:tc>
          <w:tcPr>
            <w:tcW w:w="2254" w:type="dxa"/>
          </w:tcPr>
          <w:p w14:paraId="05D70C0B" w14:textId="59400C99" w:rsidR="00D039DA" w:rsidRPr="0036198E" w:rsidRDefault="00F70BED" w:rsidP="005C694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14,869,000</w:t>
            </w:r>
          </w:p>
        </w:tc>
        <w:tc>
          <w:tcPr>
            <w:tcW w:w="2254" w:type="dxa"/>
          </w:tcPr>
          <w:p w14:paraId="25F5B7DF" w14:textId="0237520E" w:rsidR="00D039DA" w:rsidRPr="0036198E" w:rsidRDefault="00F70BED" w:rsidP="005C694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16,287,000</w:t>
            </w:r>
          </w:p>
        </w:tc>
      </w:tr>
      <w:tr w:rsidR="00D039DA" w:rsidRPr="0036198E" w14:paraId="1AB91602" w14:textId="77777777" w:rsidTr="00281172">
        <w:tc>
          <w:tcPr>
            <w:cnfStyle w:val="001000000000" w:firstRow="0" w:lastRow="0" w:firstColumn="1" w:lastColumn="0" w:oddVBand="0" w:evenVBand="0" w:oddHBand="0" w:evenHBand="0" w:firstRowFirstColumn="0" w:firstRowLastColumn="0" w:lastRowFirstColumn="0" w:lastRowLastColumn="0"/>
            <w:tcW w:w="2254" w:type="dxa"/>
          </w:tcPr>
          <w:p w14:paraId="15CE9A62" w14:textId="45E0C3BF" w:rsidR="00D039DA" w:rsidRPr="0036198E" w:rsidRDefault="00F70BED" w:rsidP="0087016A">
            <w:pPr>
              <w:spacing w:line="360" w:lineRule="auto"/>
              <w:rPr>
                <w:rFonts w:eastAsia="Arial"/>
                <w:color w:val="000000"/>
                <w:szCs w:val="24"/>
              </w:rPr>
            </w:pPr>
            <w:r w:rsidRPr="0036198E">
              <w:rPr>
                <w:rFonts w:eastAsia="Arial"/>
                <w:color w:val="000000"/>
                <w:szCs w:val="24"/>
              </w:rPr>
              <w:t>Average Total Assets</w:t>
            </w:r>
          </w:p>
        </w:tc>
        <w:tc>
          <w:tcPr>
            <w:tcW w:w="2254" w:type="dxa"/>
          </w:tcPr>
          <w:p w14:paraId="32055574" w14:textId="53F87F5D" w:rsidR="00D039DA" w:rsidRPr="0036198E" w:rsidRDefault="00F70BED" w:rsidP="005C694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280,377,000</w:t>
            </w:r>
          </w:p>
        </w:tc>
        <w:tc>
          <w:tcPr>
            <w:tcW w:w="2254" w:type="dxa"/>
          </w:tcPr>
          <w:p w14:paraId="11AC114B" w14:textId="50A0DCFD" w:rsidR="00D039DA" w:rsidRPr="0036198E" w:rsidRDefault="00F70BED" w:rsidP="005C694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281,261,000</w:t>
            </w:r>
          </w:p>
        </w:tc>
        <w:tc>
          <w:tcPr>
            <w:tcW w:w="2254" w:type="dxa"/>
          </w:tcPr>
          <w:p w14:paraId="11202F09" w14:textId="77777777" w:rsidR="00D039DA" w:rsidRPr="0036198E" w:rsidRDefault="00D039DA" w:rsidP="005C694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p>
        </w:tc>
      </w:tr>
      <w:tr w:rsidR="00D039DA" w:rsidRPr="0036198E" w14:paraId="5CF2A311" w14:textId="77777777" w:rsidTr="002811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98E04DF" w14:textId="739061CF" w:rsidR="00D039DA" w:rsidRPr="0036198E" w:rsidRDefault="00281172" w:rsidP="0087016A">
            <w:pPr>
              <w:spacing w:line="360" w:lineRule="auto"/>
              <w:rPr>
                <w:rFonts w:eastAsia="Arial"/>
                <w:color w:val="000000"/>
                <w:szCs w:val="24"/>
              </w:rPr>
            </w:pPr>
            <w:r w:rsidRPr="0036198E">
              <w:rPr>
                <w:rFonts w:eastAsia="Arial"/>
                <w:color w:val="000000"/>
                <w:szCs w:val="24"/>
              </w:rPr>
              <w:t>Asset Turnover</w:t>
            </w:r>
          </w:p>
        </w:tc>
        <w:tc>
          <w:tcPr>
            <w:tcW w:w="2254" w:type="dxa"/>
          </w:tcPr>
          <w:p w14:paraId="685DB70D" w14:textId="7344ADBF" w:rsidR="00D039DA" w:rsidRPr="0036198E" w:rsidRDefault="00281172" w:rsidP="005C694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0.04</w:t>
            </w:r>
          </w:p>
        </w:tc>
        <w:tc>
          <w:tcPr>
            <w:tcW w:w="2254" w:type="dxa"/>
          </w:tcPr>
          <w:p w14:paraId="6E4457F8" w14:textId="1E229AD9" w:rsidR="00D039DA" w:rsidRPr="0036198E" w:rsidRDefault="00281172" w:rsidP="005C694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0.05</w:t>
            </w:r>
          </w:p>
        </w:tc>
        <w:tc>
          <w:tcPr>
            <w:tcW w:w="2254" w:type="dxa"/>
          </w:tcPr>
          <w:p w14:paraId="4EEFB4A9" w14:textId="77777777" w:rsidR="00D039DA" w:rsidRPr="0036198E" w:rsidRDefault="00D039DA" w:rsidP="005C694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p>
        </w:tc>
      </w:tr>
    </w:tbl>
    <w:p w14:paraId="7B0D691F" w14:textId="1C00C960" w:rsidR="005C6948" w:rsidRPr="0036198E" w:rsidRDefault="005C6948" w:rsidP="005C6948">
      <w:pPr>
        <w:spacing w:line="360" w:lineRule="auto"/>
        <w:jc w:val="center"/>
        <w:rPr>
          <w:rFonts w:eastAsia="Arial"/>
          <w:color w:val="000000"/>
          <w:szCs w:val="24"/>
        </w:rPr>
      </w:pPr>
    </w:p>
    <w:p w14:paraId="4C86C85E"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The Asset Turnover ratio decreased a bit in 2025 with 0.04 compared to 0.05 in 2024, which means that the company is less efficient in converting assets into revenue. This is mainly due to a fall in sales and other operating revenues from £ 14,869,000 in 2024 to £ 12,243,000 in 2025 (</w:t>
      </w:r>
      <w:r w:rsidRPr="0036198E">
        <w:rPr>
          <w:rFonts w:eastAsia="Arial"/>
          <w:szCs w:val="24"/>
        </w:rPr>
        <w:t>BP Annual Report, 2025)</w:t>
      </w:r>
      <w:r w:rsidRPr="0036198E">
        <w:rPr>
          <w:rFonts w:eastAsia="Arial"/>
          <w:color w:val="000000"/>
          <w:szCs w:val="24"/>
        </w:rPr>
        <w:t>. The decline indicates that the company earned less revenue per unit of assets in 2025 than it earned in 2024, indicating lower productivity of assets.</w:t>
      </w:r>
    </w:p>
    <w:p w14:paraId="25B50521" w14:textId="77777777" w:rsidR="00FB66AA" w:rsidRPr="0036198E" w:rsidRDefault="00FB66AA">
      <w:pPr>
        <w:spacing w:line="278" w:lineRule="auto"/>
        <w:rPr>
          <w:rFonts w:eastAsia="Arial"/>
          <w:b/>
          <w:bCs/>
          <w:color w:val="000000"/>
          <w:szCs w:val="24"/>
        </w:rPr>
      </w:pPr>
      <w:r w:rsidRPr="0036198E">
        <w:rPr>
          <w:rFonts w:eastAsia="Arial"/>
          <w:b/>
          <w:bCs/>
          <w:color w:val="000000"/>
          <w:szCs w:val="24"/>
        </w:rPr>
        <w:br w:type="page"/>
      </w:r>
    </w:p>
    <w:p w14:paraId="69C18C99" w14:textId="5C6EE787" w:rsidR="005C6948" w:rsidRPr="0036198E" w:rsidRDefault="005C6948" w:rsidP="005C6948">
      <w:pPr>
        <w:spacing w:line="360" w:lineRule="auto"/>
        <w:jc w:val="both"/>
        <w:rPr>
          <w:rFonts w:eastAsia="Arial"/>
          <w:b/>
          <w:bCs/>
          <w:color w:val="000000"/>
          <w:szCs w:val="24"/>
        </w:rPr>
      </w:pPr>
      <w:r w:rsidRPr="0036198E">
        <w:rPr>
          <w:rFonts w:eastAsia="Arial"/>
          <w:b/>
          <w:bCs/>
          <w:color w:val="000000"/>
          <w:szCs w:val="24"/>
        </w:rPr>
        <w:lastRenderedPageBreak/>
        <w:t xml:space="preserve">1.2.2 Inventory Turnover </w:t>
      </w:r>
    </w:p>
    <w:tbl>
      <w:tblPr>
        <w:tblStyle w:val="GridTable4-Accent4"/>
        <w:tblW w:w="0" w:type="auto"/>
        <w:tblLook w:val="04A0" w:firstRow="1" w:lastRow="0" w:firstColumn="1" w:lastColumn="0" w:noHBand="0" w:noVBand="1"/>
      </w:tblPr>
      <w:tblGrid>
        <w:gridCol w:w="2254"/>
        <w:gridCol w:w="2254"/>
        <w:gridCol w:w="2254"/>
        <w:gridCol w:w="2254"/>
      </w:tblGrid>
      <w:tr w:rsidR="00D51F99" w:rsidRPr="0036198E" w14:paraId="5E5F5F63" w14:textId="77777777" w:rsidTr="00B5531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916851D" w14:textId="377ECB96" w:rsidR="00D51F99" w:rsidRPr="0036198E" w:rsidRDefault="00D51F99" w:rsidP="0087016A">
            <w:pPr>
              <w:spacing w:line="360" w:lineRule="auto"/>
              <w:rPr>
                <w:rFonts w:eastAsia="Arial"/>
                <w:color w:val="000000"/>
                <w:szCs w:val="24"/>
              </w:rPr>
            </w:pPr>
            <w:r w:rsidRPr="0036198E">
              <w:rPr>
                <w:rFonts w:eastAsia="Arial"/>
                <w:color w:val="000000"/>
                <w:szCs w:val="24"/>
              </w:rPr>
              <w:t>Colomn</w:t>
            </w:r>
            <w:r w:rsidR="00B55315" w:rsidRPr="0036198E">
              <w:rPr>
                <w:rFonts w:eastAsia="Arial"/>
                <w:color w:val="000000"/>
                <w:szCs w:val="24"/>
              </w:rPr>
              <w:t>1</w:t>
            </w:r>
          </w:p>
        </w:tc>
        <w:tc>
          <w:tcPr>
            <w:tcW w:w="2254" w:type="dxa"/>
          </w:tcPr>
          <w:p w14:paraId="7FFD847F" w14:textId="66A9F81C" w:rsidR="00D51F99" w:rsidRPr="0036198E" w:rsidRDefault="00B55315" w:rsidP="000812B2">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2025</w:t>
            </w:r>
          </w:p>
        </w:tc>
        <w:tc>
          <w:tcPr>
            <w:tcW w:w="2254" w:type="dxa"/>
          </w:tcPr>
          <w:p w14:paraId="3BD0E99C" w14:textId="4CD8241F" w:rsidR="00D51F99" w:rsidRPr="0036198E" w:rsidRDefault="00B55315" w:rsidP="000812B2">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2024</w:t>
            </w:r>
          </w:p>
        </w:tc>
        <w:tc>
          <w:tcPr>
            <w:tcW w:w="2254" w:type="dxa"/>
          </w:tcPr>
          <w:p w14:paraId="589EC7AF" w14:textId="4796EAED" w:rsidR="00D51F99" w:rsidRPr="0036198E" w:rsidRDefault="00B55315" w:rsidP="000812B2">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2023</w:t>
            </w:r>
          </w:p>
        </w:tc>
      </w:tr>
      <w:tr w:rsidR="00D51F99" w:rsidRPr="0036198E" w14:paraId="083C7ACC" w14:textId="77777777" w:rsidTr="00B553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BDB3880" w14:textId="59D71AA6" w:rsidR="00D51F99" w:rsidRPr="0036198E" w:rsidRDefault="00CC64BB" w:rsidP="0087016A">
            <w:pPr>
              <w:spacing w:line="360" w:lineRule="auto"/>
              <w:rPr>
                <w:rFonts w:eastAsia="Arial"/>
                <w:color w:val="000000"/>
                <w:szCs w:val="24"/>
              </w:rPr>
            </w:pPr>
            <w:r w:rsidRPr="0036198E">
              <w:rPr>
                <w:rFonts w:eastAsia="Arial"/>
                <w:color w:val="000000"/>
                <w:szCs w:val="24"/>
              </w:rPr>
              <w:t>COGS</w:t>
            </w:r>
          </w:p>
        </w:tc>
        <w:tc>
          <w:tcPr>
            <w:tcW w:w="2254" w:type="dxa"/>
          </w:tcPr>
          <w:p w14:paraId="741350AD" w14:textId="52A24606" w:rsidR="00D51F99" w:rsidRPr="0036198E" w:rsidRDefault="00CC64BB" w:rsidP="000812B2">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110,640,000</w:t>
            </w:r>
          </w:p>
        </w:tc>
        <w:tc>
          <w:tcPr>
            <w:tcW w:w="2254" w:type="dxa"/>
          </w:tcPr>
          <w:p w14:paraId="240AF64F" w14:textId="22C5F9EC" w:rsidR="00D51F99" w:rsidRPr="0036198E" w:rsidRDefault="00CC64BB" w:rsidP="000812B2">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113,941,000</w:t>
            </w:r>
          </w:p>
        </w:tc>
        <w:tc>
          <w:tcPr>
            <w:tcW w:w="2254" w:type="dxa"/>
          </w:tcPr>
          <w:p w14:paraId="5397F91C" w14:textId="15F87856" w:rsidR="00D51F99" w:rsidRPr="0036198E" w:rsidRDefault="00CC64BB" w:rsidP="000812B2">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119,307,000</w:t>
            </w:r>
          </w:p>
        </w:tc>
      </w:tr>
      <w:tr w:rsidR="00D51F99" w:rsidRPr="0036198E" w14:paraId="65FFE78C" w14:textId="77777777" w:rsidTr="00B55315">
        <w:tc>
          <w:tcPr>
            <w:cnfStyle w:val="001000000000" w:firstRow="0" w:lastRow="0" w:firstColumn="1" w:lastColumn="0" w:oddVBand="0" w:evenVBand="0" w:oddHBand="0" w:evenHBand="0" w:firstRowFirstColumn="0" w:firstRowLastColumn="0" w:lastRowFirstColumn="0" w:lastRowLastColumn="0"/>
            <w:tcW w:w="2254" w:type="dxa"/>
          </w:tcPr>
          <w:p w14:paraId="133F8C80" w14:textId="33D92E6F" w:rsidR="00D51F99" w:rsidRPr="0036198E" w:rsidRDefault="00CC64BB" w:rsidP="0087016A">
            <w:pPr>
              <w:spacing w:line="360" w:lineRule="auto"/>
              <w:rPr>
                <w:rFonts w:eastAsia="Arial"/>
                <w:color w:val="000000"/>
                <w:szCs w:val="24"/>
              </w:rPr>
            </w:pPr>
            <w:r w:rsidRPr="0036198E">
              <w:rPr>
                <w:rFonts w:eastAsia="Arial"/>
                <w:color w:val="000000"/>
                <w:szCs w:val="24"/>
              </w:rPr>
              <w:t>Inventory (Closing)</w:t>
            </w:r>
          </w:p>
        </w:tc>
        <w:tc>
          <w:tcPr>
            <w:tcW w:w="2254" w:type="dxa"/>
          </w:tcPr>
          <w:p w14:paraId="07FDBA4F" w14:textId="33BC2F05" w:rsidR="00D51F99" w:rsidRPr="0036198E" w:rsidRDefault="00CC64BB" w:rsidP="000812B2">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22,4</w:t>
            </w:r>
            <w:r w:rsidR="00750DB8" w:rsidRPr="0036198E">
              <w:rPr>
                <w:rFonts w:eastAsia="Arial"/>
                <w:color w:val="000000"/>
                <w:szCs w:val="24"/>
              </w:rPr>
              <w:t>99,000</w:t>
            </w:r>
          </w:p>
        </w:tc>
        <w:tc>
          <w:tcPr>
            <w:tcW w:w="2254" w:type="dxa"/>
          </w:tcPr>
          <w:p w14:paraId="2BE117D5" w14:textId="0D8FC748" w:rsidR="00D51F99" w:rsidRPr="0036198E" w:rsidRDefault="00750DB8" w:rsidP="000812B2">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23,232,000</w:t>
            </w:r>
          </w:p>
        </w:tc>
        <w:tc>
          <w:tcPr>
            <w:tcW w:w="2254" w:type="dxa"/>
          </w:tcPr>
          <w:p w14:paraId="755C0384" w14:textId="1FE66494" w:rsidR="00D51F99" w:rsidRPr="0036198E" w:rsidRDefault="00750DB8" w:rsidP="000812B2">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22,819,000</w:t>
            </w:r>
          </w:p>
        </w:tc>
      </w:tr>
      <w:tr w:rsidR="00D51F99" w:rsidRPr="0036198E" w14:paraId="3BAD09ED" w14:textId="77777777" w:rsidTr="00B553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562C4CC" w14:textId="53E13D6D" w:rsidR="00D51F99" w:rsidRPr="0036198E" w:rsidRDefault="00750DB8" w:rsidP="0087016A">
            <w:pPr>
              <w:spacing w:line="360" w:lineRule="auto"/>
              <w:rPr>
                <w:rFonts w:eastAsia="Arial"/>
                <w:color w:val="000000"/>
                <w:szCs w:val="24"/>
              </w:rPr>
            </w:pPr>
            <w:r w:rsidRPr="0036198E">
              <w:rPr>
                <w:rFonts w:eastAsia="Arial"/>
                <w:color w:val="000000"/>
                <w:szCs w:val="24"/>
              </w:rPr>
              <w:t>Average Inventory</w:t>
            </w:r>
          </w:p>
        </w:tc>
        <w:tc>
          <w:tcPr>
            <w:tcW w:w="2254" w:type="dxa"/>
          </w:tcPr>
          <w:p w14:paraId="59247EE7" w14:textId="124E683A" w:rsidR="00D51F99" w:rsidRPr="0036198E" w:rsidRDefault="00750DB8" w:rsidP="000812B2">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22,865,500</w:t>
            </w:r>
          </w:p>
        </w:tc>
        <w:tc>
          <w:tcPr>
            <w:tcW w:w="2254" w:type="dxa"/>
          </w:tcPr>
          <w:p w14:paraId="682557FB" w14:textId="59CE0204" w:rsidR="00D51F99" w:rsidRPr="0036198E" w:rsidRDefault="00750DB8" w:rsidP="000812B2">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23,025,500</w:t>
            </w:r>
          </w:p>
        </w:tc>
        <w:tc>
          <w:tcPr>
            <w:tcW w:w="2254" w:type="dxa"/>
          </w:tcPr>
          <w:p w14:paraId="7BAD1FE2" w14:textId="77777777" w:rsidR="00D51F99" w:rsidRPr="0036198E" w:rsidRDefault="00D51F99" w:rsidP="000812B2">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p>
        </w:tc>
      </w:tr>
      <w:tr w:rsidR="00D51F99" w:rsidRPr="0036198E" w14:paraId="58AC126D" w14:textId="77777777" w:rsidTr="00B55315">
        <w:tc>
          <w:tcPr>
            <w:cnfStyle w:val="001000000000" w:firstRow="0" w:lastRow="0" w:firstColumn="1" w:lastColumn="0" w:oddVBand="0" w:evenVBand="0" w:oddHBand="0" w:evenHBand="0" w:firstRowFirstColumn="0" w:firstRowLastColumn="0" w:lastRowFirstColumn="0" w:lastRowLastColumn="0"/>
            <w:tcW w:w="2254" w:type="dxa"/>
          </w:tcPr>
          <w:p w14:paraId="7862A76E" w14:textId="2ADA6E49" w:rsidR="00D51F99" w:rsidRPr="0036198E" w:rsidRDefault="00750DB8" w:rsidP="0087016A">
            <w:pPr>
              <w:spacing w:line="360" w:lineRule="auto"/>
              <w:rPr>
                <w:rFonts w:eastAsia="Arial"/>
                <w:color w:val="000000"/>
                <w:szCs w:val="24"/>
              </w:rPr>
            </w:pPr>
            <w:r w:rsidRPr="0036198E">
              <w:rPr>
                <w:rFonts w:eastAsia="Arial"/>
                <w:color w:val="000000"/>
                <w:szCs w:val="24"/>
              </w:rPr>
              <w:t>Inve</w:t>
            </w:r>
            <w:r w:rsidR="003245A6" w:rsidRPr="0036198E">
              <w:rPr>
                <w:rFonts w:eastAsia="Arial"/>
                <w:color w:val="000000"/>
                <w:szCs w:val="24"/>
              </w:rPr>
              <w:t>ntory Turnover</w:t>
            </w:r>
          </w:p>
        </w:tc>
        <w:tc>
          <w:tcPr>
            <w:tcW w:w="2254" w:type="dxa"/>
          </w:tcPr>
          <w:p w14:paraId="7BBE1B19" w14:textId="3716E95A" w:rsidR="00D51F99" w:rsidRPr="0036198E" w:rsidRDefault="003245A6" w:rsidP="000812B2">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4.838730839</w:t>
            </w:r>
          </w:p>
        </w:tc>
        <w:tc>
          <w:tcPr>
            <w:tcW w:w="2254" w:type="dxa"/>
          </w:tcPr>
          <w:p w14:paraId="47227CE7" w14:textId="05651215" w:rsidR="00D51F99" w:rsidRPr="0036198E" w:rsidRDefault="003245A6" w:rsidP="000812B2">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4.948</w:t>
            </w:r>
            <w:r w:rsidR="00192F9C" w:rsidRPr="0036198E">
              <w:rPr>
                <w:rFonts w:eastAsia="Arial"/>
                <w:color w:val="000000"/>
                <w:szCs w:val="24"/>
              </w:rPr>
              <w:t>470174</w:t>
            </w:r>
          </w:p>
        </w:tc>
        <w:tc>
          <w:tcPr>
            <w:tcW w:w="2254" w:type="dxa"/>
          </w:tcPr>
          <w:p w14:paraId="111E7646" w14:textId="77777777" w:rsidR="00D51F99" w:rsidRPr="0036198E" w:rsidRDefault="00D51F99" w:rsidP="000812B2">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p>
        </w:tc>
      </w:tr>
    </w:tbl>
    <w:p w14:paraId="413BAA3D" w14:textId="79A2B972" w:rsidR="005C6948" w:rsidRPr="0036198E" w:rsidRDefault="005C6948" w:rsidP="005C6948">
      <w:pPr>
        <w:spacing w:line="360" w:lineRule="auto"/>
        <w:rPr>
          <w:rFonts w:eastAsia="Arial"/>
          <w:color w:val="000000"/>
          <w:szCs w:val="24"/>
        </w:rPr>
      </w:pPr>
    </w:p>
    <w:p w14:paraId="28FECC24"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The 2024 inventory Turnover was 4.95 times, 2025 was 4.84 times, a slight decline in the inventory movement. This is based on COGS falling from £ 113,941,000 in 2024 to £ 110,640,000 in 2025 (</w:t>
      </w:r>
      <w:r w:rsidRPr="0036198E">
        <w:rPr>
          <w:rFonts w:eastAsia="Arial"/>
          <w:szCs w:val="24"/>
        </w:rPr>
        <w:t>BP Annual Report, 2025)</w:t>
      </w:r>
      <w:r w:rsidRPr="0036198E">
        <w:rPr>
          <w:rFonts w:eastAsia="Arial"/>
          <w:color w:val="000000"/>
          <w:szCs w:val="24"/>
        </w:rPr>
        <w:t>. The decrease indicates that the inventory is sold and replenished in 2025 a bit less often, but the efficiency of the inventory remains relatively constant.</w:t>
      </w:r>
    </w:p>
    <w:p w14:paraId="51EA3CB8" w14:textId="77777777" w:rsidR="005C6948" w:rsidRPr="0036198E" w:rsidRDefault="005C6948" w:rsidP="005C6948">
      <w:pPr>
        <w:spacing w:line="360" w:lineRule="auto"/>
        <w:jc w:val="both"/>
        <w:rPr>
          <w:rFonts w:eastAsia="Arial"/>
          <w:b/>
          <w:bCs/>
          <w:color w:val="000000"/>
          <w:szCs w:val="24"/>
        </w:rPr>
      </w:pPr>
      <w:r w:rsidRPr="0036198E">
        <w:rPr>
          <w:rFonts w:eastAsia="Arial"/>
          <w:b/>
          <w:bCs/>
          <w:color w:val="000000"/>
          <w:szCs w:val="24"/>
        </w:rPr>
        <w:t xml:space="preserve">1.2.3 Receivables Days </w:t>
      </w:r>
    </w:p>
    <w:tbl>
      <w:tblPr>
        <w:tblStyle w:val="GridTable4-Accent4"/>
        <w:tblW w:w="0" w:type="auto"/>
        <w:tblLook w:val="04A0" w:firstRow="1" w:lastRow="0" w:firstColumn="1" w:lastColumn="0" w:noHBand="0" w:noVBand="1"/>
      </w:tblPr>
      <w:tblGrid>
        <w:gridCol w:w="2254"/>
        <w:gridCol w:w="2254"/>
        <w:gridCol w:w="2254"/>
        <w:gridCol w:w="2254"/>
      </w:tblGrid>
      <w:tr w:rsidR="00BD5098" w:rsidRPr="0036198E" w14:paraId="555F7FCD" w14:textId="77777777" w:rsidTr="000B1D1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0C73AB9" w14:textId="61A4D5E8" w:rsidR="00BD5098" w:rsidRPr="0036198E" w:rsidRDefault="007F5D77" w:rsidP="0087016A">
            <w:pPr>
              <w:spacing w:line="360" w:lineRule="auto"/>
              <w:rPr>
                <w:rFonts w:eastAsia="Arial"/>
                <w:color w:val="000000"/>
                <w:szCs w:val="24"/>
              </w:rPr>
            </w:pPr>
            <w:r w:rsidRPr="0036198E">
              <w:rPr>
                <w:rFonts w:eastAsia="Arial"/>
                <w:color w:val="000000"/>
                <w:szCs w:val="24"/>
              </w:rPr>
              <w:t>Column 1</w:t>
            </w:r>
          </w:p>
        </w:tc>
        <w:tc>
          <w:tcPr>
            <w:tcW w:w="2254" w:type="dxa"/>
          </w:tcPr>
          <w:p w14:paraId="3624AF03" w14:textId="712C6D9E" w:rsidR="00BD5098" w:rsidRPr="0036198E" w:rsidRDefault="007F5D77" w:rsidP="005760DB">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2025</w:t>
            </w:r>
          </w:p>
        </w:tc>
        <w:tc>
          <w:tcPr>
            <w:tcW w:w="2254" w:type="dxa"/>
          </w:tcPr>
          <w:p w14:paraId="385ADDD5" w14:textId="3FFB684E" w:rsidR="00BD5098" w:rsidRPr="0036198E" w:rsidRDefault="007F5D77" w:rsidP="005760DB">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2024</w:t>
            </w:r>
          </w:p>
        </w:tc>
        <w:tc>
          <w:tcPr>
            <w:tcW w:w="2254" w:type="dxa"/>
          </w:tcPr>
          <w:p w14:paraId="10FD02C2" w14:textId="5F38F593" w:rsidR="00BD5098" w:rsidRPr="0036198E" w:rsidRDefault="007F5D77" w:rsidP="005760DB">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2023</w:t>
            </w:r>
          </w:p>
        </w:tc>
      </w:tr>
      <w:tr w:rsidR="00BD5098" w:rsidRPr="0036198E" w14:paraId="63C81428" w14:textId="77777777" w:rsidTr="000B1D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BB6C592" w14:textId="64E45A12" w:rsidR="00BD5098" w:rsidRPr="0036198E" w:rsidRDefault="007F5D77" w:rsidP="0087016A">
            <w:pPr>
              <w:spacing w:line="360" w:lineRule="auto"/>
              <w:rPr>
                <w:rFonts w:eastAsia="Arial"/>
                <w:color w:val="000000"/>
                <w:szCs w:val="24"/>
              </w:rPr>
            </w:pPr>
            <w:r w:rsidRPr="0036198E">
              <w:rPr>
                <w:rFonts w:eastAsia="Arial"/>
                <w:color w:val="000000"/>
                <w:szCs w:val="24"/>
              </w:rPr>
              <w:t xml:space="preserve">Sales and other </w:t>
            </w:r>
            <w:r w:rsidR="0087016A" w:rsidRPr="0036198E">
              <w:rPr>
                <w:rFonts w:eastAsia="Arial"/>
                <w:color w:val="000000"/>
                <w:szCs w:val="24"/>
              </w:rPr>
              <w:t>O</w:t>
            </w:r>
            <w:r w:rsidRPr="0036198E">
              <w:rPr>
                <w:rFonts w:eastAsia="Arial"/>
                <w:color w:val="000000"/>
                <w:szCs w:val="24"/>
              </w:rPr>
              <w:t>pera</w:t>
            </w:r>
            <w:r w:rsidR="00A36D95" w:rsidRPr="0036198E">
              <w:rPr>
                <w:rFonts w:eastAsia="Arial"/>
                <w:color w:val="000000"/>
                <w:szCs w:val="24"/>
              </w:rPr>
              <w:t xml:space="preserve">ting </w:t>
            </w:r>
            <w:r w:rsidR="0087016A" w:rsidRPr="0036198E">
              <w:rPr>
                <w:rFonts w:eastAsia="Arial"/>
                <w:color w:val="000000"/>
                <w:szCs w:val="24"/>
              </w:rPr>
              <w:t>R</w:t>
            </w:r>
            <w:r w:rsidR="00A36D95" w:rsidRPr="0036198E">
              <w:rPr>
                <w:rFonts w:eastAsia="Arial"/>
                <w:color w:val="000000"/>
                <w:szCs w:val="24"/>
              </w:rPr>
              <w:t>evenues</w:t>
            </w:r>
          </w:p>
        </w:tc>
        <w:tc>
          <w:tcPr>
            <w:tcW w:w="2254" w:type="dxa"/>
          </w:tcPr>
          <w:p w14:paraId="3DC653AC" w14:textId="7AB4A0C3" w:rsidR="00BD5098" w:rsidRPr="0036198E" w:rsidRDefault="00A36D95" w:rsidP="005760DB">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12,243,000</w:t>
            </w:r>
          </w:p>
        </w:tc>
        <w:tc>
          <w:tcPr>
            <w:tcW w:w="2254" w:type="dxa"/>
          </w:tcPr>
          <w:p w14:paraId="7C84BAF5" w14:textId="713D07C9" w:rsidR="00BD5098" w:rsidRPr="0036198E" w:rsidRDefault="00A36D95" w:rsidP="005760DB">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14,869,000</w:t>
            </w:r>
          </w:p>
        </w:tc>
        <w:tc>
          <w:tcPr>
            <w:tcW w:w="2254" w:type="dxa"/>
          </w:tcPr>
          <w:p w14:paraId="0B05422B" w14:textId="28884D94" w:rsidR="00BD5098" w:rsidRPr="0036198E" w:rsidRDefault="00A36D95" w:rsidP="005760DB">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16,287,000</w:t>
            </w:r>
          </w:p>
        </w:tc>
      </w:tr>
      <w:tr w:rsidR="00BD5098" w:rsidRPr="0036198E" w14:paraId="6622F2CF" w14:textId="77777777" w:rsidTr="000B1D17">
        <w:tc>
          <w:tcPr>
            <w:cnfStyle w:val="001000000000" w:firstRow="0" w:lastRow="0" w:firstColumn="1" w:lastColumn="0" w:oddVBand="0" w:evenVBand="0" w:oddHBand="0" w:evenHBand="0" w:firstRowFirstColumn="0" w:firstRowLastColumn="0" w:lastRowFirstColumn="0" w:lastRowLastColumn="0"/>
            <w:tcW w:w="2254" w:type="dxa"/>
          </w:tcPr>
          <w:p w14:paraId="0DBA26A4" w14:textId="721E5A74" w:rsidR="00BD5098" w:rsidRPr="0036198E" w:rsidRDefault="00482A18" w:rsidP="0087016A">
            <w:pPr>
              <w:spacing w:line="360" w:lineRule="auto"/>
              <w:rPr>
                <w:rFonts w:eastAsia="Arial"/>
                <w:color w:val="000000"/>
                <w:szCs w:val="24"/>
              </w:rPr>
            </w:pPr>
            <w:r w:rsidRPr="0036198E">
              <w:rPr>
                <w:rFonts w:eastAsia="Arial"/>
                <w:color w:val="000000"/>
                <w:szCs w:val="24"/>
              </w:rPr>
              <w:t>Current Trade Receivables</w:t>
            </w:r>
          </w:p>
        </w:tc>
        <w:tc>
          <w:tcPr>
            <w:tcW w:w="2254" w:type="dxa"/>
          </w:tcPr>
          <w:p w14:paraId="39690877" w14:textId="5B9F5116" w:rsidR="00BD5098" w:rsidRPr="0036198E" w:rsidRDefault="00D511C9" w:rsidP="005760DB">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21,107,000</w:t>
            </w:r>
          </w:p>
        </w:tc>
        <w:tc>
          <w:tcPr>
            <w:tcW w:w="2254" w:type="dxa"/>
          </w:tcPr>
          <w:p w14:paraId="0D76A17D" w14:textId="0E3225D5" w:rsidR="00BD5098" w:rsidRPr="0036198E" w:rsidRDefault="00D511C9" w:rsidP="005760DB">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21,659,000</w:t>
            </w:r>
          </w:p>
        </w:tc>
        <w:tc>
          <w:tcPr>
            <w:tcW w:w="2254" w:type="dxa"/>
          </w:tcPr>
          <w:p w14:paraId="1B1DED3D" w14:textId="47AD5EB4" w:rsidR="00BD5098" w:rsidRPr="0036198E" w:rsidRDefault="00B733D3" w:rsidP="005760DB">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25,175,000</w:t>
            </w:r>
          </w:p>
        </w:tc>
      </w:tr>
      <w:tr w:rsidR="00BD5098" w:rsidRPr="0036198E" w14:paraId="39CC0432" w14:textId="77777777" w:rsidTr="000B1D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5C9CB22" w14:textId="2902842C" w:rsidR="00BD5098" w:rsidRPr="0036198E" w:rsidRDefault="00B733D3" w:rsidP="0087016A">
            <w:pPr>
              <w:spacing w:line="360" w:lineRule="auto"/>
              <w:rPr>
                <w:rFonts w:eastAsia="Arial"/>
                <w:color w:val="000000"/>
                <w:szCs w:val="24"/>
              </w:rPr>
            </w:pPr>
            <w:r w:rsidRPr="0036198E">
              <w:rPr>
                <w:rFonts w:eastAsia="Arial"/>
                <w:color w:val="000000"/>
                <w:szCs w:val="24"/>
              </w:rPr>
              <w:t>Non-Current Trade Receivables</w:t>
            </w:r>
          </w:p>
        </w:tc>
        <w:tc>
          <w:tcPr>
            <w:tcW w:w="2254" w:type="dxa"/>
          </w:tcPr>
          <w:p w14:paraId="0982D2B0" w14:textId="609547DA" w:rsidR="00BD5098" w:rsidRPr="0036198E" w:rsidRDefault="00B733D3" w:rsidP="005760DB">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6</w:t>
            </w:r>
          </w:p>
        </w:tc>
        <w:tc>
          <w:tcPr>
            <w:tcW w:w="2254" w:type="dxa"/>
          </w:tcPr>
          <w:p w14:paraId="7AD95CA9" w14:textId="1A50BF9E" w:rsidR="00BD5098" w:rsidRPr="0036198E" w:rsidRDefault="00B733D3" w:rsidP="005760DB">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502</w:t>
            </w:r>
          </w:p>
        </w:tc>
        <w:tc>
          <w:tcPr>
            <w:tcW w:w="2254" w:type="dxa"/>
          </w:tcPr>
          <w:p w14:paraId="7FC4BE78" w14:textId="362B093D" w:rsidR="00BD5098" w:rsidRPr="0036198E" w:rsidRDefault="00766493" w:rsidP="005760DB">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652</w:t>
            </w:r>
          </w:p>
        </w:tc>
      </w:tr>
      <w:tr w:rsidR="00BD5098" w:rsidRPr="0036198E" w14:paraId="489F831C" w14:textId="77777777" w:rsidTr="000B1D17">
        <w:tc>
          <w:tcPr>
            <w:cnfStyle w:val="001000000000" w:firstRow="0" w:lastRow="0" w:firstColumn="1" w:lastColumn="0" w:oddVBand="0" w:evenVBand="0" w:oddHBand="0" w:evenHBand="0" w:firstRowFirstColumn="0" w:firstRowLastColumn="0" w:lastRowFirstColumn="0" w:lastRowLastColumn="0"/>
            <w:tcW w:w="2254" w:type="dxa"/>
          </w:tcPr>
          <w:p w14:paraId="62C9BCB7" w14:textId="4BCFB9E3" w:rsidR="00BD5098" w:rsidRPr="0036198E" w:rsidRDefault="00766493" w:rsidP="0087016A">
            <w:pPr>
              <w:spacing w:line="360" w:lineRule="auto"/>
              <w:rPr>
                <w:rFonts w:eastAsia="Arial"/>
                <w:color w:val="000000"/>
                <w:szCs w:val="24"/>
              </w:rPr>
            </w:pPr>
            <w:r w:rsidRPr="0036198E">
              <w:rPr>
                <w:rFonts w:eastAsia="Arial"/>
                <w:color w:val="000000"/>
                <w:szCs w:val="24"/>
              </w:rPr>
              <w:t>Total</w:t>
            </w:r>
          </w:p>
        </w:tc>
        <w:tc>
          <w:tcPr>
            <w:tcW w:w="2254" w:type="dxa"/>
          </w:tcPr>
          <w:p w14:paraId="7059AE6A" w14:textId="5BB60280" w:rsidR="00BD5098" w:rsidRPr="0036198E" w:rsidRDefault="00766493" w:rsidP="005760DB">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21,107,006</w:t>
            </w:r>
          </w:p>
        </w:tc>
        <w:tc>
          <w:tcPr>
            <w:tcW w:w="2254" w:type="dxa"/>
          </w:tcPr>
          <w:p w14:paraId="3B8514F7" w14:textId="249FD36E" w:rsidR="00BD5098" w:rsidRPr="0036198E" w:rsidRDefault="00766493" w:rsidP="005760DB">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21,659,502</w:t>
            </w:r>
          </w:p>
        </w:tc>
        <w:tc>
          <w:tcPr>
            <w:tcW w:w="2254" w:type="dxa"/>
          </w:tcPr>
          <w:p w14:paraId="7B821654" w14:textId="376DE4E5" w:rsidR="00BD5098" w:rsidRPr="0036198E" w:rsidRDefault="00766493" w:rsidP="005760DB">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25,175,652</w:t>
            </w:r>
          </w:p>
        </w:tc>
      </w:tr>
      <w:tr w:rsidR="00BD5098" w:rsidRPr="0036198E" w14:paraId="21833835" w14:textId="77777777" w:rsidTr="000B1D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A75A6E9" w14:textId="5A6F6600" w:rsidR="00BD5098" w:rsidRPr="0036198E" w:rsidRDefault="00CF7F0F" w:rsidP="0087016A">
            <w:pPr>
              <w:spacing w:line="360" w:lineRule="auto"/>
              <w:rPr>
                <w:rFonts w:eastAsia="Arial"/>
                <w:color w:val="000000"/>
                <w:szCs w:val="24"/>
              </w:rPr>
            </w:pPr>
            <w:r w:rsidRPr="0036198E">
              <w:rPr>
                <w:rFonts w:eastAsia="Arial"/>
                <w:color w:val="000000"/>
                <w:szCs w:val="24"/>
              </w:rPr>
              <w:t>Average Receivables</w:t>
            </w:r>
          </w:p>
        </w:tc>
        <w:tc>
          <w:tcPr>
            <w:tcW w:w="2254" w:type="dxa"/>
          </w:tcPr>
          <w:p w14:paraId="7E90F509" w14:textId="64E28E67" w:rsidR="00BD5098" w:rsidRPr="0036198E" w:rsidRDefault="00CF7F0F" w:rsidP="005760DB">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21383254</w:t>
            </w:r>
          </w:p>
        </w:tc>
        <w:tc>
          <w:tcPr>
            <w:tcW w:w="2254" w:type="dxa"/>
          </w:tcPr>
          <w:p w14:paraId="1A15438C" w14:textId="7B1AC5BC" w:rsidR="00BD5098" w:rsidRPr="0036198E" w:rsidRDefault="00CF7F0F" w:rsidP="005760DB">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2341</w:t>
            </w:r>
            <w:r w:rsidR="000B1D17" w:rsidRPr="0036198E">
              <w:rPr>
                <w:rFonts w:eastAsia="Arial"/>
                <w:color w:val="000000"/>
                <w:szCs w:val="24"/>
              </w:rPr>
              <w:t>7577</w:t>
            </w:r>
          </w:p>
        </w:tc>
        <w:tc>
          <w:tcPr>
            <w:tcW w:w="2254" w:type="dxa"/>
          </w:tcPr>
          <w:p w14:paraId="3CCD0D47" w14:textId="77777777" w:rsidR="00BD5098" w:rsidRPr="0036198E" w:rsidRDefault="00BD5098" w:rsidP="005760DB">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p>
        </w:tc>
      </w:tr>
      <w:tr w:rsidR="00BD5098" w:rsidRPr="0036198E" w14:paraId="7476DDE2" w14:textId="77777777" w:rsidTr="000B1D17">
        <w:tc>
          <w:tcPr>
            <w:cnfStyle w:val="001000000000" w:firstRow="0" w:lastRow="0" w:firstColumn="1" w:lastColumn="0" w:oddVBand="0" w:evenVBand="0" w:oddHBand="0" w:evenHBand="0" w:firstRowFirstColumn="0" w:firstRowLastColumn="0" w:lastRowFirstColumn="0" w:lastRowLastColumn="0"/>
            <w:tcW w:w="2254" w:type="dxa"/>
          </w:tcPr>
          <w:p w14:paraId="421013CF" w14:textId="0DF16EDC" w:rsidR="00BD5098" w:rsidRPr="0036198E" w:rsidRDefault="000B1D17" w:rsidP="0087016A">
            <w:pPr>
              <w:spacing w:line="360" w:lineRule="auto"/>
              <w:rPr>
                <w:rFonts w:eastAsia="Arial"/>
                <w:color w:val="000000"/>
                <w:szCs w:val="24"/>
              </w:rPr>
            </w:pPr>
            <w:r w:rsidRPr="0036198E">
              <w:rPr>
                <w:rFonts w:eastAsia="Arial"/>
                <w:color w:val="000000"/>
                <w:szCs w:val="24"/>
              </w:rPr>
              <w:t>Receivables</w:t>
            </w:r>
            <w:r w:rsidR="00653E3B">
              <w:rPr>
                <w:rFonts w:eastAsia="Arial"/>
                <w:color w:val="000000"/>
                <w:szCs w:val="24"/>
              </w:rPr>
              <w:t xml:space="preserve"> Days</w:t>
            </w:r>
          </w:p>
        </w:tc>
        <w:tc>
          <w:tcPr>
            <w:tcW w:w="2254" w:type="dxa"/>
          </w:tcPr>
          <w:p w14:paraId="7DD4BBC5" w14:textId="6A257313" w:rsidR="00BD5098" w:rsidRPr="0036198E" w:rsidRDefault="000B1D17" w:rsidP="005760DB">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637</w:t>
            </w:r>
          </w:p>
        </w:tc>
        <w:tc>
          <w:tcPr>
            <w:tcW w:w="2254" w:type="dxa"/>
          </w:tcPr>
          <w:p w14:paraId="65347105" w14:textId="79C4A4D1" w:rsidR="00BD5098" w:rsidRPr="0036198E" w:rsidRDefault="000B1D17" w:rsidP="005760DB">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575</w:t>
            </w:r>
          </w:p>
        </w:tc>
        <w:tc>
          <w:tcPr>
            <w:tcW w:w="2254" w:type="dxa"/>
          </w:tcPr>
          <w:p w14:paraId="27E0C1C8" w14:textId="77777777" w:rsidR="00BD5098" w:rsidRPr="0036198E" w:rsidRDefault="00BD5098" w:rsidP="005760DB">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p>
        </w:tc>
      </w:tr>
    </w:tbl>
    <w:p w14:paraId="22284F2A" w14:textId="1A70AEEA" w:rsidR="005C6948" w:rsidRPr="0036198E" w:rsidRDefault="005C6948" w:rsidP="005C6948">
      <w:pPr>
        <w:spacing w:line="360" w:lineRule="auto"/>
        <w:jc w:val="center"/>
        <w:rPr>
          <w:rFonts w:eastAsia="Arial"/>
          <w:color w:val="000000"/>
          <w:szCs w:val="24"/>
        </w:rPr>
      </w:pPr>
    </w:p>
    <w:p w14:paraId="7F71BC72"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Receivables Days improved considerably, 575 days were in 2024 and 637 days in 2025, which is a sign that the company is slowing down in collecting cash due. This is due to a decline in revenue from £ 14,869,000 in 2024 to £ 12,243,000 in 2025, while average trade receivables decreased in 2025 (</w:t>
      </w:r>
      <w:r w:rsidRPr="0036198E">
        <w:rPr>
          <w:rFonts w:eastAsia="Arial"/>
          <w:szCs w:val="24"/>
        </w:rPr>
        <w:t>BP Annual Report, 2025)</w:t>
      </w:r>
      <w:r w:rsidRPr="0036198E">
        <w:rPr>
          <w:rFonts w:eastAsia="Arial"/>
          <w:color w:val="000000"/>
          <w:szCs w:val="24"/>
        </w:rPr>
        <w:t xml:space="preserve">. The growth in the collection period indicates </w:t>
      </w:r>
      <w:r w:rsidRPr="0036198E">
        <w:rPr>
          <w:rFonts w:eastAsia="Arial"/>
          <w:color w:val="000000"/>
          <w:szCs w:val="24"/>
        </w:rPr>
        <w:lastRenderedPageBreak/>
        <w:t>less efficiency in the collection control and a prolonged duration of converting receivables into cash, in 2025.</w:t>
      </w:r>
    </w:p>
    <w:p w14:paraId="4957587A" w14:textId="77777777" w:rsidR="005C6948" w:rsidRPr="0036198E" w:rsidRDefault="005C6948" w:rsidP="005C6948">
      <w:pPr>
        <w:spacing w:line="360" w:lineRule="auto"/>
        <w:jc w:val="both"/>
        <w:rPr>
          <w:rFonts w:eastAsia="Arial"/>
          <w:color w:val="000000"/>
          <w:szCs w:val="24"/>
        </w:rPr>
      </w:pPr>
      <w:r w:rsidRPr="0036198E">
        <w:rPr>
          <w:rFonts w:eastAsia="Arial"/>
          <w:b/>
          <w:bCs/>
          <w:color w:val="000000"/>
          <w:szCs w:val="24"/>
        </w:rPr>
        <w:t xml:space="preserve">Analysis: </w:t>
      </w:r>
      <w:r w:rsidRPr="0036198E">
        <w:rPr>
          <w:rFonts w:eastAsia="Arial"/>
          <w:szCs w:val="24"/>
        </w:rPr>
        <w:t xml:space="preserve">BP's efficiency ratios reflect a rather volatile although on the decline trend for 2025. Asset Turnover reduced from 0.05 in 2024 to 0.04 in 2025 </w:t>
      </w:r>
      <w:proofErr w:type="gramStart"/>
      <w:r w:rsidRPr="0036198E">
        <w:rPr>
          <w:rFonts w:eastAsia="Arial"/>
          <w:szCs w:val="24"/>
        </w:rPr>
        <w:t>as a result of</w:t>
      </w:r>
      <w:proofErr w:type="gramEnd"/>
      <w:r w:rsidRPr="0036198E">
        <w:rPr>
          <w:rFonts w:eastAsia="Arial"/>
          <w:szCs w:val="24"/>
        </w:rPr>
        <w:t xml:space="preserve"> reduction of revenue thus indicating poorer use of asset for BP. Inventory Turnover also declined somewhat as the COGS decline and this implies the speed of inventory movement is not so fast as compared to previous years. In </w:t>
      </w:r>
      <w:proofErr w:type="gramStart"/>
      <w:r w:rsidRPr="0036198E">
        <w:rPr>
          <w:rFonts w:eastAsia="Arial"/>
          <w:szCs w:val="24"/>
        </w:rPr>
        <w:t>fact</w:t>
      </w:r>
      <w:proofErr w:type="gramEnd"/>
      <w:r w:rsidRPr="0036198E">
        <w:rPr>
          <w:rFonts w:eastAsia="Arial"/>
          <w:szCs w:val="24"/>
        </w:rPr>
        <w:t xml:space="preserve"> the key observation is that the Receivable Days has significantly increase by 575 days from 2024 to 637 days in 2025 meaning that cash collection efficiency has weakened considerably (BP Annual Report, 2025). This clearly demonstrates poorer credit control ability and possible shortage in cash flow. Overall, efficiency of operations in BP has weakened slightly due to lower receivables management although the inventory management is stable (</w:t>
      </w:r>
      <w:proofErr w:type="spellStart"/>
      <w:r w:rsidRPr="0036198E">
        <w:rPr>
          <w:rFonts w:eastAsia="Arial"/>
          <w:szCs w:val="24"/>
        </w:rPr>
        <w:t>Newstyle</w:t>
      </w:r>
      <w:proofErr w:type="spellEnd"/>
      <w:r w:rsidRPr="0036198E">
        <w:rPr>
          <w:rFonts w:eastAsia="Arial"/>
          <w:szCs w:val="24"/>
        </w:rPr>
        <w:t xml:space="preserve"> and </w:t>
      </w:r>
      <w:proofErr w:type="spellStart"/>
      <w:r w:rsidRPr="0036198E">
        <w:rPr>
          <w:rFonts w:eastAsia="Arial"/>
          <w:szCs w:val="24"/>
        </w:rPr>
        <w:t>Opuene</w:t>
      </w:r>
      <w:proofErr w:type="spellEnd"/>
      <w:r w:rsidRPr="0036198E">
        <w:rPr>
          <w:rFonts w:eastAsia="Arial"/>
          <w:szCs w:val="24"/>
        </w:rPr>
        <w:t>, 2022). This might imply weak demand and volatile nature in energy market on the sales performance</w:t>
      </w:r>
      <w:r w:rsidRPr="0036198E">
        <w:rPr>
          <w:rFonts w:eastAsia="Arial"/>
          <w:color w:val="000000"/>
          <w:szCs w:val="24"/>
        </w:rPr>
        <w:t>.</w:t>
      </w:r>
    </w:p>
    <w:p w14:paraId="36EA0BED" w14:textId="77777777" w:rsidR="005C6948" w:rsidRPr="0036198E" w:rsidRDefault="005C6948" w:rsidP="005C6948">
      <w:pPr>
        <w:pStyle w:val="Heading2"/>
        <w:spacing w:line="360" w:lineRule="auto"/>
        <w:rPr>
          <w:rFonts w:eastAsia="Arial" w:cs="Calibri"/>
          <w:b w:val="0"/>
          <w:bCs/>
          <w:color w:val="000000"/>
          <w:szCs w:val="24"/>
        </w:rPr>
      </w:pPr>
      <w:bookmarkStart w:id="7" w:name="_Toc227610517"/>
      <w:r w:rsidRPr="0036198E">
        <w:rPr>
          <w:rFonts w:eastAsia="Arial" w:cs="Calibri"/>
          <w:bCs/>
          <w:color w:val="000000"/>
          <w:szCs w:val="24"/>
        </w:rPr>
        <w:t>1.3 Liquidity Ratios</w:t>
      </w:r>
      <w:bookmarkEnd w:id="7"/>
    </w:p>
    <w:p w14:paraId="4BD84123" w14:textId="77777777" w:rsidR="005C6948" w:rsidRPr="0036198E" w:rsidRDefault="005C6948" w:rsidP="005C6948">
      <w:pPr>
        <w:spacing w:line="360" w:lineRule="auto"/>
        <w:jc w:val="both"/>
        <w:rPr>
          <w:rFonts w:eastAsia="Arial"/>
          <w:b/>
          <w:bCs/>
          <w:color w:val="000000"/>
          <w:szCs w:val="24"/>
        </w:rPr>
      </w:pPr>
      <w:r w:rsidRPr="0036198E">
        <w:rPr>
          <w:rFonts w:eastAsia="Arial"/>
          <w:b/>
          <w:bCs/>
          <w:color w:val="000000"/>
          <w:szCs w:val="24"/>
        </w:rPr>
        <w:t>1.3.1 Current Ratio</w:t>
      </w:r>
    </w:p>
    <w:tbl>
      <w:tblPr>
        <w:tblStyle w:val="GridTable4-Accent4"/>
        <w:tblW w:w="0" w:type="auto"/>
        <w:tblLook w:val="04A0" w:firstRow="1" w:lastRow="0" w:firstColumn="1" w:lastColumn="0" w:noHBand="0" w:noVBand="1"/>
      </w:tblPr>
      <w:tblGrid>
        <w:gridCol w:w="3005"/>
        <w:gridCol w:w="3005"/>
        <w:gridCol w:w="3006"/>
      </w:tblGrid>
      <w:tr w:rsidR="00AE02F5" w:rsidRPr="0036198E" w14:paraId="6665B727" w14:textId="77777777" w:rsidTr="000248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3E68126" w14:textId="77777777" w:rsidR="00AE02F5" w:rsidRPr="0036198E" w:rsidRDefault="00AE02F5" w:rsidP="005C6948">
            <w:pPr>
              <w:spacing w:line="360" w:lineRule="auto"/>
              <w:jc w:val="center"/>
              <w:rPr>
                <w:rFonts w:eastAsia="Arial"/>
                <w:b w:val="0"/>
                <w:bCs w:val="0"/>
                <w:color w:val="000000"/>
                <w:szCs w:val="24"/>
              </w:rPr>
            </w:pPr>
          </w:p>
        </w:tc>
        <w:tc>
          <w:tcPr>
            <w:tcW w:w="3005" w:type="dxa"/>
          </w:tcPr>
          <w:p w14:paraId="4CF561FA" w14:textId="3AF6FE00" w:rsidR="00AE02F5" w:rsidRPr="0036198E" w:rsidRDefault="00024862" w:rsidP="005C694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2025</w:t>
            </w:r>
          </w:p>
        </w:tc>
        <w:tc>
          <w:tcPr>
            <w:tcW w:w="3006" w:type="dxa"/>
          </w:tcPr>
          <w:p w14:paraId="7CBC7F1F" w14:textId="369F81D8" w:rsidR="00AE02F5" w:rsidRPr="0036198E" w:rsidRDefault="00024862" w:rsidP="005C694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2024</w:t>
            </w:r>
          </w:p>
        </w:tc>
      </w:tr>
      <w:tr w:rsidR="008555C0" w:rsidRPr="0036198E" w14:paraId="2452829D" w14:textId="77777777" w:rsidTr="000248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7304CC6" w14:textId="3ADDA52C" w:rsidR="008555C0" w:rsidRPr="0036198E" w:rsidRDefault="008555C0" w:rsidP="0087016A">
            <w:pPr>
              <w:spacing w:line="360" w:lineRule="auto"/>
              <w:rPr>
                <w:rFonts w:eastAsia="Arial"/>
                <w:color w:val="000000"/>
                <w:szCs w:val="24"/>
              </w:rPr>
            </w:pPr>
            <w:r w:rsidRPr="0036198E">
              <w:rPr>
                <w:rFonts w:eastAsia="Arial"/>
                <w:color w:val="000000"/>
                <w:szCs w:val="24"/>
              </w:rPr>
              <w:t>Current Assets</w:t>
            </w:r>
          </w:p>
        </w:tc>
        <w:tc>
          <w:tcPr>
            <w:tcW w:w="3005" w:type="dxa"/>
          </w:tcPr>
          <w:p w14:paraId="42FE4090" w14:textId="461CD564" w:rsidR="008555C0" w:rsidRPr="0036198E" w:rsidRDefault="008555C0" w:rsidP="008555C0">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101,786,000</w:t>
            </w:r>
          </w:p>
        </w:tc>
        <w:tc>
          <w:tcPr>
            <w:tcW w:w="3006" w:type="dxa"/>
          </w:tcPr>
          <w:p w14:paraId="2EFFBF16" w14:textId="5576AE33" w:rsidR="008555C0" w:rsidRPr="0036198E" w:rsidRDefault="008555C0" w:rsidP="008555C0">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102,834,000</w:t>
            </w:r>
          </w:p>
        </w:tc>
      </w:tr>
      <w:tr w:rsidR="008555C0" w:rsidRPr="0036198E" w14:paraId="53BDE3F7" w14:textId="77777777" w:rsidTr="00024862">
        <w:tc>
          <w:tcPr>
            <w:cnfStyle w:val="001000000000" w:firstRow="0" w:lastRow="0" w:firstColumn="1" w:lastColumn="0" w:oddVBand="0" w:evenVBand="0" w:oddHBand="0" w:evenHBand="0" w:firstRowFirstColumn="0" w:firstRowLastColumn="0" w:lastRowFirstColumn="0" w:lastRowLastColumn="0"/>
            <w:tcW w:w="3005" w:type="dxa"/>
          </w:tcPr>
          <w:p w14:paraId="0C698FCA" w14:textId="080D5E81" w:rsidR="008555C0" w:rsidRPr="0036198E" w:rsidRDefault="008555C0" w:rsidP="0087016A">
            <w:pPr>
              <w:spacing w:line="360" w:lineRule="auto"/>
              <w:rPr>
                <w:rFonts w:eastAsia="Arial"/>
                <w:color w:val="000000"/>
                <w:szCs w:val="24"/>
              </w:rPr>
            </w:pPr>
            <w:r w:rsidRPr="0036198E">
              <w:rPr>
                <w:rFonts w:eastAsia="Arial"/>
                <w:color w:val="000000"/>
                <w:szCs w:val="24"/>
              </w:rPr>
              <w:t>Current Liabilities</w:t>
            </w:r>
          </w:p>
        </w:tc>
        <w:tc>
          <w:tcPr>
            <w:tcW w:w="3005" w:type="dxa"/>
          </w:tcPr>
          <w:p w14:paraId="48BDE830" w14:textId="09617653" w:rsidR="008555C0" w:rsidRPr="0036198E" w:rsidRDefault="008555C0" w:rsidP="008555C0">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80,581,000</w:t>
            </w:r>
          </w:p>
        </w:tc>
        <w:tc>
          <w:tcPr>
            <w:tcW w:w="3006" w:type="dxa"/>
          </w:tcPr>
          <w:p w14:paraId="38814EEE" w14:textId="0B21E365" w:rsidR="008555C0" w:rsidRPr="0036198E" w:rsidRDefault="008555C0" w:rsidP="008555C0">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82,241,000</w:t>
            </w:r>
          </w:p>
        </w:tc>
      </w:tr>
      <w:tr w:rsidR="00AE02F5" w:rsidRPr="0036198E" w14:paraId="60550929" w14:textId="77777777" w:rsidTr="000248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6DF5CF6" w14:textId="235F90BE" w:rsidR="00AE02F5" w:rsidRPr="0036198E" w:rsidRDefault="002A75A5" w:rsidP="0087016A">
            <w:pPr>
              <w:spacing w:line="360" w:lineRule="auto"/>
              <w:rPr>
                <w:rFonts w:eastAsia="Arial"/>
                <w:color w:val="000000"/>
                <w:szCs w:val="24"/>
              </w:rPr>
            </w:pPr>
            <w:r w:rsidRPr="0036198E">
              <w:rPr>
                <w:rFonts w:eastAsia="Arial"/>
                <w:color w:val="000000"/>
                <w:szCs w:val="24"/>
              </w:rPr>
              <w:t>Current Ratio</w:t>
            </w:r>
          </w:p>
        </w:tc>
        <w:tc>
          <w:tcPr>
            <w:tcW w:w="3005" w:type="dxa"/>
          </w:tcPr>
          <w:p w14:paraId="31FE283A" w14:textId="164FA3B4" w:rsidR="00AE02F5" w:rsidRPr="0036198E" w:rsidRDefault="002A75A5" w:rsidP="005C694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1.263151363</w:t>
            </w:r>
          </w:p>
        </w:tc>
        <w:tc>
          <w:tcPr>
            <w:tcW w:w="3006" w:type="dxa"/>
          </w:tcPr>
          <w:p w14:paraId="7E5A1142" w14:textId="38A63586" w:rsidR="00AE02F5" w:rsidRPr="0036198E" w:rsidRDefault="002A75A5" w:rsidP="005C694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1.250398</w:t>
            </w:r>
            <w:r w:rsidR="00241A7C" w:rsidRPr="0036198E">
              <w:rPr>
                <w:rFonts w:eastAsia="Arial"/>
                <w:color w:val="000000"/>
                <w:szCs w:val="24"/>
              </w:rPr>
              <w:t>22</w:t>
            </w:r>
          </w:p>
        </w:tc>
      </w:tr>
    </w:tbl>
    <w:p w14:paraId="4247C4D7" w14:textId="1015111B" w:rsidR="005C6948" w:rsidRPr="0036198E" w:rsidRDefault="005C6948" w:rsidP="005C6948">
      <w:pPr>
        <w:spacing w:line="360" w:lineRule="auto"/>
        <w:jc w:val="center"/>
        <w:rPr>
          <w:rFonts w:eastAsia="Arial"/>
          <w:b/>
          <w:bCs/>
          <w:color w:val="000000"/>
          <w:szCs w:val="24"/>
        </w:rPr>
      </w:pPr>
    </w:p>
    <w:p w14:paraId="56573FE0" w14:textId="77777777" w:rsidR="005C6948" w:rsidRPr="0036198E" w:rsidRDefault="005C6948" w:rsidP="005C6948">
      <w:pPr>
        <w:spacing w:line="360" w:lineRule="auto"/>
        <w:jc w:val="both"/>
        <w:rPr>
          <w:rFonts w:eastAsia="Arial"/>
          <w:b/>
          <w:bCs/>
          <w:color w:val="000000"/>
          <w:szCs w:val="24"/>
        </w:rPr>
      </w:pPr>
      <w:r w:rsidRPr="0036198E">
        <w:rPr>
          <w:rFonts w:eastAsia="Arial"/>
          <w:color w:val="000000"/>
          <w:szCs w:val="24"/>
        </w:rPr>
        <w:t>The current ratio of BP has slightly changed 1.25 in 2024 to 1.26 in 2025, meaning that BP is in a stable liquidity position (</w:t>
      </w:r>
      <w:r w:rsidRPr="0036198E">
        <w:rPr>
          <w:rFonts w:eastAsia="Arial"/>
          <w:szCs w:val="24"/>
        </w:rPr>
        <w:t>BP Annual Report, 2025)</w:t>
      </w:r>
      <w:r w:rsidRPr="0036198E">
        <w:rPr>
          <w:rFonts w:eastAsia="Arial"/>
          <w:color w:val="000000"/>
          <w:szCs w:val="24"/>
        </w:rPr>
        <w:t>. A ratio of more than 1 indicates that the company can afford its immediate debt using its current assets. Nevertheless, the low change suggests that there has not been a major change of working capital management and liquidity is rather tight in a company of this size.</w:t>
      </w:r>
    </w:p>
    <w:p w14:paraId="5019EE46" w14:textId="77777777" w:rsidR="005760DB" w:rsidRDefault="005760DB">
      <w:pPr>
        <w:spacing w:line="278" w:lineRule="auto"/>
        <w:rPr>
          <w:rFonts w:eastAsia="Arial"/>
          <w:b/>
          <w:bCs/>
          <w:color w:val="000000"/>
          <w:szCs w:val="24"/>
        </w:rPr>
      </w:pPr>
      <w:r>
        <w:rPr>
          <w:rFonts w:eastAsia="Arial"/>
          <w:b/>
          <w:bCs/>
          <w:color w:val="000000"/>
          <w:szCs w:val="24"/>
        </w:rPr>
        <w:br w:type="page"/>
      </w:r>
    </w:p>
    <w:p w14:paraId="6C3A510F" w14:textId="1E76D6C4" w:rsidR="005C6948" w:rsidRPr="0036198E" w:rsidRDefault="005C6948" w:rsidP="005760DB">
      <w:pPr>
        <w:spacing w:line="278" w:lineRule="auto"/>
        <w:rPr>
          <w:rFonts w:eastAsia="Arial"/>
          <w:b/>
          <w:bCs/>
          <w:color w:val="000000"/>
          <w:szCs w:val="24"/>
        </w:rPr>
      </w:pPr>
      <w:r w:rsidRPr="0036198E">
        <w:rPr>
          <w:rFonts w:eastAsia="Arial"/>
          <w:b/>
          <w:bCs/>
          <w:color w:val="000000"/>
          <w:szCs w:val="24"/>
        </w:rPr>
        <w:lastRenderedPageBreak/>
        <w:t>1.3.2 Quick Ratio</w:t>
      </w:r>
    </w:p>
    <w:tbl>
      <w:tblPr>
        <w:tblStyle w:val="GridTable4-Accent4"/>
        <w:tblW w:w="0" w:type="auto"/>
        <w:tblLook w:val="04A0" w:firstRow="1" w:lastRow="0" w:firstColumn="1" w:lastColumn="0" w:noHBand="0" w:noVBand="1"/>
      </w:tblPr>
      <w:tblGrid>
        <w:gridCol w:w="3005"/>
        <w:gridCol w:w="3005"/>
        <w:gridCol w:w="3006"/>
      </w:tblGrid>
      <w:tr w:rsidR="008555C0" w:rsidRPr="0036198E" w14:paraId="3A99FDD8" w14:textId="77777777" w:rsidTr="003A12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7DDCAA9" w14:textId="77777777" w:rsidR="008555C0" w:rsidRPr="0036198E" w:rsidRDefault="008555C0" w:rsidP="005C6948">
            <w:pPr>
              <w:spacing w:line="360" w:lineRule="auto"/>
              <w:jc w:val="center"/>
              <w:rPr>
                <w:rFonts w:eastAsia="Arial"/>
                <w:color w:val="000000"/>
                <w:szCs w:val="24"/>
              </w:rPr>
            </w:pPr>
          </w:p>
        </w:tc>
        <w:tc>
          <w:tcPr>
            <w:tcW w:w="3005" w:type="dxa"/>
          </w:tcPr>
          <w:p w14:paraId="12B4B90C" w14:textId="2A8FDEC0" w:rsidR="008555C0" w:rsidRPr="0036198E" w:rsidRDefault="008555C0" w:rsidP="005C694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2025</w:t>
            </w:r>
          </w:p>
        </w:tc>
        <w:tc>
          <w:tcPr>
            <w:tcW w:w="3006" w:type="dxa"/>
          </w:tcPr>
          <w:p w14:paraId="3A2BBA61" w14:textId="54E08767" w:rsidR="008555C0" w:rsidRPr="0036198E" w:rsidRDefault="008555C0" w:rsidP="005C694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2024</w:t>
            </w:r>
          </w:p>
        </w:tc>
      </w:tr>
      <w:tr w:rsidR="008555C0" w:rsidRPr="0036198E" w14:paraId="7DA2DE32" w14:textId="77777777" w:rsidTr="003A1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0AC22CE" w14:textId="62718822" w:rsidR="008555C0" w:rsidRPr="0036198E" w:rsidRDefault="008555C0" w:rsidP="003A121E">
            <w:pPr>
              <w:spacing w:line="360" w:lineRule="auto"/>
              <w:rPr>
                <w:rFonts w:eastAsia="Arial"/>
                <w:color w:val="000000"/>
                <w:szCs w:val="24"/>
              </w:rPr>
            </w:pPr>
            <w:r w:rsidRPr="0036198E">
              <w:rPr>
                <w:rFonts w:eastAsia="Arial"/>
                <w:color w:val="000000"/>
                <w:szCs w:val="24"/>
              </w:rPr>
              <w:t>Current Assets</w:t>
            </w:r>
          </w:p>
        </w:tc>
        <w:tc>
          <w:tcPr>
            <w:tcW w:w="3005" w:type="dxa"/>
          </w:tcPr>
          <w:p w14:paraId="26C022C9" w14:textId="38806E32" w:rsidR="008555C0" w:rsidRPr="0036198E" w:rsidRDefault="008555C0" w:rsidP="008555C0">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101,786,000</w:t>
            </w:r>
          </w:p>
        </w:tc>
        <w:tc>
          <w:tcPr>
            <w:tcW w:w="3006" w:type="dxa"/>
          </w:tcPr>
          <w:p w14:paraId="34034CB7" w14:textId="321058F2" w:rsidR="008555C0" w:rsidRPr="0036198E" w:rsidRDefault="008555C0" w:rsidP="008555C0">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102,834,000</w:t>
            </w:r>
          </w:p>
        </w:tc>
      </w:tr>
      <w:tr w:rsidR="008555C0" w:rsidRPr="0036198E" w14:paraId="6059162F" w14:textId="77777777" w:rsidTr="003A121E">
        <w:tc>
          <w:tcPr>
            <w:cnfStyle w:val="001000000000" w:firstRow="0" w:lastRow="0" w:firstColumn="1" w:lastColumn="0" w:oddVBand="0" w:evenVBand="0" w:oddHBand="0" w:evenHBand="0" w:firstRowFirstColumn="0" w:firstRowLastColumn="0" w:lastRowFirstColumn="0" w:lastRowLastColumn="0"/>
            <w:tcW w:w="3005" w:type="dxa"/>
          </w:tcPr>
          <w:p w14:paraId="6C331C92" w14:textId="3830FB28" w:rsidR="008555C0" w:rsidRPr="0036198E" w:rsidRDefault="008555C0" w:rsidP="003A121E">
            <w:pPr>
              <w:spacing w:line="360" w:lineRule="auto"/>
              <w:rPr>
                <w:rFonts w:eastAsia="Arial"/>
                <w:color w:val="000000"/>
                <w:szCs w:val="24"/>
              </w:rPr>
            </w:pPr>
            <w:r w:rsidRPr="0036198E">
              <w:rPr>
                <w:rFonts w:eastAsia="Arial"/>
                <w:color w:val="000000"/>
                <w:szCs w:val="24"/>
              </w:rPr>
              <w:t>Current Liabilities</w:t>
            </w:r>
          </w:p>
        </w:tc>
        <w:tc>
          <w:tcPr>
            <w:tcW w:w="3005" w:type="dxa"/>
          </w:tcPr>
          <w:p w14:paraId="7FDC0957" w14:textId="4A1FECB2" w:rsidR="008555C0" w:rsidRPr="0036198E" w:rsidRDefault="008555C0" w:rsidP="008555C0">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80,581,000</w:t>
            </w:r>
          </w:p>
        </w:tc>
        <w:tc>
          <w:tcPr>
            <w:tcW w:w="3006" w:type="dxa"/>
          </w:tcPr>
          <w:p w14:paraId="375F5BFF" w14:textId="45C84739" w:rsidR="008555C0" w:rsidRPr="0036198E" w:rsidRDefault="008555C0" w:rsidP="008555C0">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82,241,000</w:t>
            </w:r>
          </w:p>
        </w:tc>
      </w:tr>
      <w:tr w:rsidR="008555C0" w:rsidRPr="0036198E" w14:paraId="0B18C58C" w14:textId="77777777" w:rsidTr="003A1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4B4ED07" w14:textId="6C07EA00" w:rsidR="008555C0" w:rsidRPr="0036198E" w:rsidRDefault="00576C44" w:rsidP="003A121E">
            <w:pPr>
              <w:spacing w:line="360" w:lineRule="auto"/>
              <w:rPr>
                <w:rFonts w:eastAsia="Arial"/>
                <w:color w:val="000000"/>
                <w:szCs w:val="24"/>
              </w:rPr>
            </w:pPr>
            <w:r w:rsidRPr="0036198E">
              <w:rPr>
                <w:rFonts w:eastAsia="Arial"/>
                <w:color w:val="000000"/>
                <w:szCs w:val="24"/>
              </w:rPr>
              <w:t>Inventories</w:t>
            </w:r>
          </w:p>
        </w:tc>
        <w:tc>
          <w:tcPr>
            <w:tcW w:w="3005" w:type="dxa"/>
          </w:tcPr>
          <w:p w14:paraId="3BF60B39" w14:textId="3B5EEEDB" w:rsidR="008555C0" w:rsidRPr="0036198E" w:rsidRDefault="00576C44" w:rsidP="008555C0">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22,499,000</w:t>
            </w:r>
          </w:p>
        </w:tc>
        <w:tc>
          <w:tcPr>
            <w:tcW w:w="3006" w:type="dxa"/>
          </w:tcPr>
          <w:p w14:paraId="69194FD6" w14:textId="5AF370BE" w:rsidR="008555C0" w:rsidRPr="0036198E" w:rsidRDefault="00576C44" w:rsidP="008555C0">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23,232,000</w:t>
            </w:r>
          </w:p>
        </w:tc>
      </w:tr>
      <w:tr w:rsidR="008555C0" w:rsidRPr="0036198E" w14:paraId="23113139" w14:textId="77777777" w:rsidTr="003A121E">
        <w:tc>
          <w:tcPr>
            <w:cnfStyle w:val="001000000000" w:firstRow="0" w:lastRow="0" w:firstColumn="1" w:lastColumn="0" w:oddVBand="0" w:evenVBand="0" w:oddHBand="0" w:evenHBand="0" w:firstRowFirstColumn="0" w:firstRowLastColumn="0" w:lastRowFirstColumn="0" w:lastRowLastColumn="0"/>
            <w:tcW w:w="3005" w:type="dxa"/>
          </w:tcPr>
          <w:p w14:paraId="505F488D" w14:textId="29C30B2F" w:rsidR="008555C0" w:rsidRPr="0036198E" w:rsidRDefault="00576C44" w:rsidP="003A121E">
            <w:pPr>
              <w:spacing w:line="360" w:lineRule="auto"/>
              <w:rPr>
                <w:rFonts w:eastAsia="Arial"/>
                <w:color w:val="000000"/>
                <w:szCs w:val="24"/>
              </w:rPr>
            </w:pPr>
            <w:r w:rsidRPr="0036198E">
              <w:rPr>
                <w:rFonts w:eastAsia="Arial"/>
                <w:color w:val="000000"/>
                <w:szCs w:val="24"/>
              </w:rPr>
              <w:t>Quick Ratio</w:t>
            </w:r>
          </w:p>
        </w:tc>
        <w:tc>
          <w:tcPr>
            <w:tcW w:w="3005" w:type="dxa"/>
          </w:tcPr>
          <w:p w14:paraId="726F2801" w14:textId="1D3870D9" w:rsidR="008555C0" w:rsidRPr="0036198E" w:rsidRDefault="00576C44" w:rsidP="008555C0">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0.9</w:t>
            </w:r>
            <w:r w:rsidR="00835BD6" w:rsidRPr="0036198E">
              <w:rPr>
                <w:rFonts w:eastAsia="Arial"/>
                <w:color w:val="000000"/>
                <w:szCs w:val="24"/>
              </w:rPr>
              <w:t>83941624</w:t>
            </w:r>
          </w:p>
        </w:tc>
        <w:tc>
          <w:tcPr>
            <w:tcW w:w="3006" w:type="dxa"/>
          </w:tcPr>
          <w:p w14:paraId="2D5EA5F3" w14:textId="42F1B5E6" w:rsidR="008555C0" w:rsidRPr="0036198E" w:rsidRDefault="00835BD6" w:rsidP="008555C0">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0.967</w:t>
            </w:r>
            <w:r w:rsidR="003A121E" w:rsidRPr="0036198E">
              <w:rPr>
                <w:rFonts w:eastAsia="Arial"/>
                <w:color w:val="000000"/>
                <w:szCs w:val="24"/>
              </w:rPr>
              <w:t>911382</w:t>
            </w:r>
          </w:p>
        </w:tc>
      </w:tr>
    </w:tbl>
    <w:p w14:paraId="1444A0BE" w14:textId="4F2721B8" w:rsidR="005C6948" w:rsidRPr="0036198E" w:rsidRDefault="005C6948" w:rsidP="005C6948">
      <w:pPr>
        <w:spacing w:line="360" w:lineRule="auto"/>
        <w:jc w:val="center"/>
        <w:rPr>
          <w:rFonts w:eastAsia="Arial"/>
          <w:color w:val="000000"/>
          <w:szCs w:val="24"/>
        </w:rPr>
      </w:pPr>
    </w:p>
    <w:p w14:paraId="27D748E8"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The quick ratio slightly increased 0.97 in 2024 to 0.98 in 2025, which is still below the optimal level of 1 (</w:t>
      </w:r>
      <w:r w:rsidRPr="0036198E">
        <w:rPr>
          <w:rFonts w:eastAsia="Arial"/>
          <w:szCs w:val="24"/>
        </w:rPr>
        <w:t>BP Annual Report, 2025)</w:t>
      </w:r>
      <w:r w:rsidRPr="0036198E">
        <w:rPr>
          <w:rFonts w:eastAsia="Arial"/>
          <w:color w:val="000000"/>
          <w:szCs w:val="24"/>
        </w:rPr>
        <w:t xml:space="preserve">. This means that BP might not be </w:t>
      </w:r>
      <w:proofErr w:type="gramStart"/>
      <w:r w:rsidRPr="0036198E">
        <w:rPr>
          <w:rFonts w:eastAsia="Arial"/>
          <w:color w:val="000000"/>
          <w:szCs w:val="24"/>
        </w:rPr>
        <w:t>in a position</w:t>
      </w:r>
      <w:proofErr w:type="gramEnd"/>
      <w:r w:rsidRPr="0036198E">
        <w:rPr>
          <w:rFonts w:eastAsia="Arial"/>
          <w:color w:val="000000"/>
          <w:szCs w:val="24"/>
        </w:rPr>
        <w:t xml:space="preserve"> to meet all its short-term liabilities out of its most liquid assets, but not including inventory (</w:t>
      </w:r>
      <w:r w:rsidRPr="0036198E">
        <w:rPr>
          <w:rFonts w:eastAsia="Arial"/>
          <w:szCs w:val="24"/>
        </w:rPr>
        <w:t>Rashid and Hersi, 2022)</w:t>
      </w:r>
    </w:p>
    <w:p w14:paraId="0914A262" w14:textId="77777777" w:rsidR="005C6948" w:rsidRPr="0036198E" w:rsidRDefault="005C6948" w:rsidP="005C6948">
      <w:pPr>
        <w:spacing w:line="360" w:lineRule="auto"/>
        <w:jc w:val="both"/>
        <w:rPr>
          <w:rFonts w:eastAsia="Arial"/>
          <w:color w:val="000000"/>
          <w:szCs w:val="24"/>
        </w:rPr>
      </w:pPr>
      <w:r w:rsidRPr="0036198E">
        <w:rPr>
          <w:rFonts w:eastAsia="Arial"/>
          <w:b/>
          <w:bCs/>
          <w:color w:val="000000"/>
          <w:szCs w:val="24"/>
        </w:rPr>
        <w:t xml:space="preserve">Analysis: </w:t>
      </w:r>
      <w:r w:rsidRPr="0036198E">
        <w:rPr>
          <w:rFonts w:eastAsia="Arial"/>
          <w:color w:val="000000"/>
          <w:szCs w:val="24"/>
        </w:rPr>
        <w:t>Liquidity position of BP is relatively stable in 2025, but there is only a slight improvement in both ratios. The current ratio was slightly improved in 2024 (1.25) to 2025 (1.26) which means that current assets of are sufficient to meet current liabilities of £ 80,581,000 (</w:t>
      </w:r>
      <w:r w:rsidRPr="0036198E">
        <w:rPr>
          <w:rFonts w:eastAsia="Arial"/>
          <w:szCs w:val="24"/>
        </w:rPr>
        <w:t>BP Annual Report, 2024)</w:t>
      </w:r>
      <w:r w:rsidRPr="0036198E">
        <w:rPr>
          <w:rFonts w:eastAsia="Arial"/>
          <w:color w:val="000000"/>
          <w:szCs w:val="24"/>
        </w:rPr>
        <w:t>. Equally, the quick ratio increased by 0.97 to 0.98 implying that highly liquid assets coverage weakened slightly after the removal of inventories. Nevertheless, the quick ratio at less than 1 indicates the possibility of depending on the inventory and operating cash flows to cover the short-term liabilities. This is characteristic of liquidity management of large integrated oil corporations, where constant cash flows minimize the necessity of high liquid buffers (</w:t>
      </w:r>
      <w:r w:rsidRPr="0036198E">
        <w:rPr>
          <w:rFonts w:eastAsia="Arial"/>
          <w:szCs w:val="24"/>
        </w:rPr>
        <w:t>Barnabas and Oloyede, 2024)</w:t>
      </w:r>
      <w:r w:rsidRPr="0036198E">
        <w:rPr>
          <w:rFonts w:eastAsia="Arial"/>
          <w:color w:val="000000"/>
          <w:szCs w:val="24"/>
        </w:rPr>
        <w:t>. Nonetheless, there is a risk that BP would experience the short-term cash flow pressure associated with fluctuations in oil prices, capital expenditure capital requirements, and energy transition investment (</w:t>
      </w:r>
      <w:proofErr w:type="spellStart"/>
      <w:r w:rsidRPr="0036198E">
        <w:rPr>
          <w:rFonts w:eastAsia="Arial"/>
          <w:szCs w:val="24"/>
        </w:rPr>
        <w:t>ur</w:t>
      </w:r>
      <w:proofErr w:type="spellEnd"/>
      <w:r w:rsidRPr="0036198E">
        <w:rPr>
          <w:rFonts w:eastAsia="Arial"/>
          <w:szCs w:val="24"/>
        </w:rPr>
        <w:t xml:space="preserve"> Rehman </w:t>
      </w:r>
      <w:r w:rsidRPr="0036198E">
        <w:rPr>
          <w:rFonts w:eastAsia="Arial"/>
          <w:i/>
          <w:iCs/>
          <w:szCs w:val="24"/>
        </w:rPr>
        <w:t>et al.</w:t>
      </w:r>
      <w:r w:rsidRPr="0036198E">
        <w:rPr>
          <w:rFonts w:eastAsia="Arial"/>
          <w:szCs w:val="24"/>
        </w:rPr>
        <w:t>2025)</w:t>
      </w:r>
      <w:r w:rsidRPr="0036198E">
        <w:rPr>
          <w:rFonts w:eastAsia="Arial"/>
          <w:color w:val="000000"/>
          <w:szCs w:val="24"/>
        </w:rPr>
        <w:t>. There is a sufficient but weak liquidity, and it means that the working capital structure is conservative but efficient, as opposed to an excess of short-term financial flexibility.</w:t>
      </w:r>
    </w:p>
    <w:p w14:paraId="5AB7B2E5" w14:textId="77777777" w:rsidR="00770606" w:rsidRDefault="00770606">
      <w:pPr>
        <w:spacing w:line="278" w:lineRule="auto"/>
        <w:rPr>
          <w:rFonts w:eastAsia="Arial"/>
          <w:b/>
          <w:bCs/>
          <w:color w:val="000000"/>
          <w:szCs w:val="24"/>
        </w:rPr>
      </w:pPr>
      <w:r>
        <w:rPr>
          <w:rFonts w:eastAsia="Arial"/>
          <w:b/>
          <w:bCs/>
          <w:color w:val="000000"/>
          <w:szCs w:val="24"/>
        </w:rPr>
        <w:br w:type="page"/>
      </w:r>
    </w:p>
    <w:p w14:paraId="77A6429E" w14:textId="4496729C" w:rsidR="005C6948" w:rsidRPr="0036198E" w:rsidRDefault="005C6948" w:rsidP="005C6948">
      <w:pPr>
        <w:pStyle w:val="Heading2"/>
        <w:spacing w:line="360" w:lineRule="auto"/>
        <w:rPr>
          <w:rFonts w:eastAsia="Arial" w:cs="Calibri"/>
          <w:b w:val="0"/>
          <w:bCs/>
          <w:color w:val="000000"/>
          <w:szCs w:val="24"/>
        </w:rPr>
      </w:pPr>
      <w:bookmarkStart w:id="8" w:name="_Toc227610518"/>
      <w:r w:rsidRPr="0036198E">
        <w:rPr>
          <w:rFonts w:eastAsia="Arial" w:cs="Calibri"/>
          <w:bCs/>
          <w:color w:val="000000"/>
          <w:szCs w:val="24"/>
        </w:rPr>
        <w:lastRenderedPageBreak/>
        <w:t>1.4 Investment Ratios</w:t>
      </w:r>
      <w:bookmarkEnd w:id="8"/>
    </w:p>
    <w:p w14:paraId="4056B05E" w14:textId="77777777" w:rsidR="005C6948" w:rsidRPr="0036198E" w:rsidRDefault="005C6948" w:rsidP="005C6948">
      <w:pPr>
        <w:spacing w:line="360" w:lineRule="auto"/>
        <w:jc w:val="both"/>
        <w:rPr>
          <w:rFonts w:eastAsia="Arial"/>
          <w:b/>
          <w:bCs/>
          <w:color w:val="000000"/>
          <w:szCs w:val="24"/>
        </w:rPr>
      </w:pPr>
      <w:r w:rsidRPr="0036198E">
        <w:rPr>
          <w:rFonts w:eastAsia="Arial"/>
          <w:b/>
          <w:bCs/>
          <w:color w:val="000000"/>
          <w:szCs w:val="24"/>
        </w:rPr>
        <w:t xml:space="preserve">1.4.1 Earnings Per Share (EPS) </w:t>
      </w:r>
    </w:p>
    <w:tbl>
      <w:tblPr>
        <w:tblStyle w:val="GridTable4-Accent4"/>
        <w:tblW w:w="0" w:type="auto"/>
        <w:tblLook w:val="04A0" w:firstRow="1" w:lastRow="0" w:firstColumn="1" w:lastColumn="0" w:noHBand="0" w:noVBand="1"/>
      </w:tblPr>
      <w:tblGrid>
        <w:gridCol w:w="3005"/>
        <w:gridCol w:w="3005"/>
        <w:gridCol w:w="3006"/>
      </w:tblGrid>
      <w:tr w:rsidR="000504B7" w:rsidRPr="0036198E" w14:paraId="130EF5C7" w14:textId="77777777" w:rsidTr="000D44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0D8E9CD" w14:textId="35BC915F" w:rsidR="000504B7" w:rsidRPr="0036198E" w:rsidRDefault="000504B7" w:rsidP="005C6948">
            <w:pPr>
              <w:spacing w:line="360" w:lineRule="auto"/>
              <w:jc w:val="both"/>
              <w:rPr>
                <w:rFonts w:eastAsia="Arial"/>
                <w:color w:val="000000"/>
                <w:szCs w:val="24"/>
              </w:rPr>
            </w:pPr>
            <w:r w:rsidRPr="0036198E">
              <w:rPr>
                <w:rFonts w:eastAsia="Arial"/>
                <w:color w:val="000000"/>
                <w:szCs w:val="24"/>
              </w:rPr>
              <w:t xml:space="preserve">Column 1 </w:t>
            </w:r>
          </w:p>
        </w:tc>
        <w:tc>
          <w:tcPr>
            <w:tcW w:w="3005" w:type="dxa"/>
          </w:tcPr>
          <w:p w14:paraId="0C8E2CFA" w14:textId="26512E2F" w:rsidR="000504B7" w:rsidRPr="0036198E" w:rsidRDefault="000504B7" w:rsidP="00935EE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2025</w:t>
            </w:r>
          </w:p>
        </w:tc>
        <w:tc>
          <w:tcPr>
            <w:tcW w:w="3006" w:type="dxa"/>
          </w:tcPr>
          <w:p w14:paraId="45601B95" w14:textId="788B0E18" w:rsidR="000504B7" w:rsidRPr="0036198E" w:rsidRDefault="000504B7" w:rsidP="00935EE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2024</w:t>
            </w:r>
          </w:p>
        </w:tc>
      </w:tr>
      <w:tr w:rsidR="000504B7" w:rsidRPr="0036198E" w14:paraId="1607D9BF" w14:textId="77777777" w:rsidTr="000D44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FF7942E" w14:textId="5E221786" w:rsidR="000504B7" w:rsidRPr="0036198E" w:rsidRDefault="000504B7" w:rsidP="005C6948">
            <w:pPr>
              <w:spacing w:line="360" w:lineRule="auto"/>
              <w:jc w:val="both"/>
              <w:rPr>
                <w:rFonts w:eastAsia="Arial"/>
                <w:color w:val="000000"/>
                <w:szCs w:val="24"/>
              </w:rPr>
            </w:pPr>
            <w:r w:rsidRPr="0036198E">
              <w:rPr>
                <w:rFonts w:eastAsia="Arial"/>
                <w:color w:val="000000"/>
                <w:szCs w:val="24"/>
              </w:rPr>
              <w:t>Net Income Conti</w:t>
            </w:r>
            <w:r w:rsidR="00DA5390" w:rsidRPr="0036198E">
              <w:rPr>
                <w:rFonts w:eastAsia="Arial"/>
                <w:color w:val="000000"/>
                <w:szCs w:val="24"/>
              </w:rPr>
              <w:t>nuous Operation</w:t>
            </w:r>
          </w:p>
        </w:tc>
        <w:tc>
          <w:tcPr>
            <w:tcW w:w="3005" w:type="dxa"/>
          </w:tcPr>
          <w:p w14:paraId="17FC8E17" w14:textId="2425214F" w:rsidR="000504B7" w:rsidRPr="0036198E" w:rsidRDefault="00DA5390" w:rsidP="00935EE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1,295,000</w:t>
            </w:r>
          </w:p>
        </w:tc>
        <w:tc>
          <w:tcPr>
            <w:tcW w:w="3006" w:type="dxa"/>
          </w:tcPr>
          <w:p w14:paraId="4EE3D8FA" w14:textId="3F702BDE" w:rsidR="000504B7" w:rsidRPr="0036198E" w:rsidRDefault="00DA5390" w:rsidP="00935EE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1,229,000</w:t>
            </w:r>
          </w:p>
        </w:tc>
      </w:tr>
      <w:tr w:rsidR="000504B7" w:rsidRPr="0036198E" w14:paraId="674AEFCD" w14:textId="77777777" w:rsidTr="000D4472">
        <w:tc>
          <w:tcPr>
            <w:cnfStyle w:val="001000000000" w:firstRow="0" w:lastRow="0" w:firstColumn="1" w:lastColumn="0" w:oddVBand="0" w:evenVBand="0" w:oddHBand="0" w:evenHBand="0" w:firstRowFirstColumn="0" w:firstRowLastColumn="0" w:lastRowFirstColumn="0" w:lastRowLastColumn="0"/>
            <w:tcW w:w="3005" w:type="dxa"/>
          </w:tcPr>
          <w:p w14:paraId="46392F94" w14:textId="4D59A724" w:rsidR="000504B7" w:rsidRPr="0036198E" w:rsidRDefault="00DA5390" w:rsidP="005C6948">
            <w:pPr>
              <w:spacing w:line="360" w:lineRule="auto"/>
              <w:jc w:val="both"/>
              <w:rPr>
                <w:rFonts w:eastAsia="Arial"/>
                <w:color w:val="000000"/>
                <w:szCs w:val="24"/>
              </w:rPr>
            </w:pPr>
            <w:r w:rsidRPr="0036198E">
              <w:rPr>
                <w:rFonts w:eastAsia="Arial"/>
                <w:color w:val="000000"/>
                <w:szCs w:val="24"/>
              </w:rPr>
              <w:t>Ordinary Shares Numbe</w:t>
            </w:r>
            <w:r w:rsidR="00D9544D">
              <w:rPr>
                <w:rFonts w:eastAsia="Arial"/>
                <w:color w:val="000000"/>
                <w:szCs w:val="24"/>
              </w:rPr>
              <w:t>r</w:t>
            </w:r>
          </w:p>
        </w:tc>
        <w:tc>
          <w:tcPr>
            <w:tcW w:w="3005" w:type="dxa"/>
          </w:tcPr>
          <w:p w14:paraId="1AE32DA4" w14:textId="4E847FD9" w:rsidR="000504B7" w:rsidRPr="0036198E" w:rsidRDefault="00EA1CC1" w:rsidP="00935EE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15,376,725.29</w:t>
            </w:r>
          </w:p>
        </w:tc>
        <w:tc>
          <w:tcPr>
            <w:tcW w:w="3006" w:type="dxa"/>
          </w:tcPr>
          <w:p w14:paraId="185A9D22" w14:textId="6E15B24E" w:rsidR="000504B7" w:rsidRPr="0036198E" w:rsidRDefault="00EA1CC1" w:rsidP="00935EE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15,850,481.41</w:t>
            </w:r>
          </w:p>
        </w:tc>
      </w:tr>
      <w:tr w:rsidR="000504B7" w:rsidRPr="0036198E" w14:paraId="46BC389D" w14:textId="77777777" w:rsidTr="000D44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0DE6C21" w14:textId="2355D5BF" w:rsidR="000504B7" w:rsidRPr="0036198E" w:rsidRDefault="00EA1CC1" w:rsidP="005C6948">
            <w:pPr>
              <w:spacing w:line="360" w:lineRule="auto"/>
              <w:jc w:val="both"/>
              <w:rPr>
                <w:rFonts w:eastAsia="Arial"/>
                <w:color w:val="000000"/>
                <w:szCs w:val="24"/>
              </w:rPr>
            </w:pPr>
            <w:r w:rsidRPr="0036198E">
              <w:rPr>
                <w:rFonts w:eastAsia="Arial"/>
                <w:color w:val="000000"/>
                <w:szCs w:val="24"/>
              </w:rPr>
              <w:t>EPS</w:t>
            </w:r>
          </w:p>
        </w:tc>
        <w:tc>
          <w:tcPr>
            <w:tcW w:w="3005" w:type="dxa"/>
          </w:tcPr>
          <w:p w14:paraId="2FE713F8" w14:textId="049E1ADE" w:rsidR="000504B7" w:rsidRPr="0036198E" w:rsidRDefault="00EA1CC1" w:rsidP="00935EE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0.0</w:t>
            </w:r>
            <w:r w:rsidR="002A44EF" w:rsidRPr="0036198E">
              <w:rPr>
                <w:rFonts w:eastAsia="Arial"/>
                <w:color w:val="000000"/>
                <w:szCs w:val="24"/>
              </w:rPr>
              <w:t>84218192</w:t>
            </w:r>
          </w:p>
        </w:tc>
        <w:tc>
          <w:tcPr>
            <w:tcW w:w="3006" w:type="dxa"/>
          </w:tcPr>
          <w:p w14:paraId="4EF5CCBC" w14:textId="4F4D2B99" w:rsidR="000504B7" w:rsidRPr="0036198E" w:rsidRDefault="002A44EF" w:rsidP="00935EE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0.077537077</w:t>
            </w:r>
          </w:p>
        </w:tc>
      </w:tr>
    </w:tbl>
    <w:p w14:paraId="1B1B51D1" w14:textId="77777777" w:rsidR="004A07FD" w:rsidRDefault="004A07FD" w:rsidP="005C6948">
      <w:pPr>
        <w:spacing w:line="360" w:lineRule="auto"/>
        <w:jc w:val="both"/>
        <w:rPr>
          <w:rFonts w:eastAsia="Arial"/>
          <w:b/>
          <w:bCs/>
          <w:color w:val="000000"/>
          <w:szCs w:val="24"/>
        </w:rPr>
      </w:pPr>
    </w:p>
    <w:p w14:paraId="47AF3BFF" w14:textId="44A578E2" w:rsidR="005C6948" w:rsidRPr="0036198E" w:rsidRDefault="005C6948" w:rsidP="005C6948">
      <w:pPr>
        <w:spacing w:line="360" w:lineRule="auto"/>
        <w:jc w:val="both"/>
        <w:rPr>
          <w:rFonts w:eastAsia="Arial"/>
          <w:color w:val="000000"/>
          <w:szCs w:val="24"/>
        </w:rPr>
      </w:pPr>
      <w:r w:rsidRPr="0036198E">
        <w:rPr>
          <w:rFonts w:eastAsia="Arial"/>
          <w:color w:val="000000"/>
          <w:szCs w:val="24"/>
        </w:rPr>
        <w:t>There was an improvement in EPS in 2025, which rose to 0.0842, as compared to 2024 of 0.0775, thus showing that shareholders have better profitability (</w:t>
      </w:r>
      <w:r w:rsidRPr="0036198E">
        <w:rPr>
          <w:rFonts w:eastAsia="Arial"/>
          <w:szCs w:val="24"/>
        </w:rPr>
        <w:t>BP Annual Report, 2025)</w:t>
      </w:r>
      <w:r w:rsidRPr="0036198E">
        <w:rPr>
          <w:rFonts w:eastAsia="Arial"/>
          <w:color w:val="000000"/>
          <w:szCs w:val="24"/>
        </w:rPr>
        <w:t>. This rise is supported by an increase in net income from continuous operations from £ 1,229,000 in 2024 to £ 1,295,000 in 2025, while the number of ordinary shares decreased from 15,850,481.41 to 15,376,725.29 (</w:t>
      </w:r>
      <w:r w:rsidRPr="0036198E">
        <w:rPr>
          <w:rFonts w:eastAsia="Arial"/>
          <w:szCs w:val="24"/>
        </w:rPr>
        <w:t>BP Annual Report, 2025)</w:t>
      </w:r>
      <w:r w:rsidRPr="0036198E">
        <w:rPr>
          <w:rFonts w:eastAsia="Arial"/>
          <w:color w:val="000000"/>
          <w:szCs w:val="24"/>
        </w:rPr>
        <w:t>. The enhancement implies increased earnings per share in 2025, a good performance of equity investors.</w:t>
      </w:r>
    </w:p>
    <w:p w14:paraId="289D7955" w14:textId="77777777" w:rsidR="005C6948" w:rsidRDefault="005C6948" w:rsidP="005C6948">
      <w:pPr>
        <w:spacing w:line="360" w:lineRule="auto"/>
        <w:jc w:val="both"/>
        <w:rPr>
          <w:rFonts w:eastAsia="Arial"/>
          <w:b/>
          <w:bCs/>
          <w:color w:val="000000"/>
          <w:szCs w:val="24"/>
        </w:rPr>
      </w:pPr>
      <w:r w:rsidRPr="0036198E">
        <w:rPr>
          <w:rFonts w:eastAsia="Arial"/>
          <w:b/>
          <w:bCs/>
          <w:color w:val="000000"/>
          <w:szCs w:val="24"/>
        </w:rPr>
        <w:t xml:space="preserve">1.4.2 Price/Earnings Ratio </w:t>
      </w:r>
    </w:p>
    <w:tbl>
      <w:tblPr>
        <w:tblStyle w:val="GridTable4-Accent4"/>
        <w:tblW w:w="0" w:type="auto"/>
        <w:tblLook w:val="04A0" w:firstRow="1" w:lastRow="0" w:firstColumn="1" w:lastColumn="0" w:noHBand="0" w:noVBand="1"/>
      </w:tblPr>
      <w:tblGrid>
        <w:gridCol w:w="3005"/>
        <w:gridCol w:w="3005"/>
        <w:gridCol w:w="3006"/>
      </w:tblGrid>
      <w:tr w:rsidR="000E6694" w14:paraId="0A9EFECF" w14:textId="77777777" w:rsidTr="000E66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B05C145" w14:textId="1925037E" w:rsidR="000E6694" w:rsidRPr="002649AC" w:rsidRDefault="000E6694" w:rsidP="005C6948">
            <w:pPr>
              <w:spacing w:line="360" w:lineRule="auto"/>
              <w:jc w:val="both"/>
              <w:rPr>
                <w:rFonts w:eastAsia="Arial"/>
                <w:color w:val="000000"/>
                <w:szCs w:val="24"/>
              </w:rPr>
            </w:pPr>
            <w:r w:rsidRPr="002649AC">
              <w:rPr>
                <w:rFonts w:eastAsia="Arial"/>
                <w:color w:val="000000"/>
                <w:szCs w:val="24"/>
              </w:rPr>
              <w:t>Col</w:t>
            </w:r>
            <w:r w:rsidR="00771FD4" w:rsidRPr="002649AC">
              <w:rPr>
                <w:rFonts w:eastAsia="Arial"/>
                <w:color w:val="000000"/>
                <w:szCs w:val="24"/>
              </w:rPr>
              <w:t>umn1</w:t>
            </w:r>
          </w:p>
        </w:tc>
        <w:tc>
          <w:tcPr>
            <w:tcW w:w="3005" w:type="dxa"/>
          </w:tcPr>
          <w:p w14:paraId="36D46090" w14:textId="75A98988" w:rsidR="000E6694" w:rsidRPr="002649AC" w:rsidRDefault="00771FD4" w:rsidP="00AB78BF">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2649AC">
              <w:rPr>
                <w:rFonts w:eastAsia="Arial"/>
                <w:color w:val="000000"/>
                <w:szCs w:val="24"/>
              </w:rPr>
              <w:t>2025</w:t>
            </w:r>
          </w:p>
        </w:tc>
        <w:tc>
          <w:tcPr>
            <w:tcW w:w="3006" w:type="dxa"/>
          </w:tcPr>
          <w:p w14:paraId="0C894EC1" w14:textId="2D7A5CE9" w:rsidR="000E6694" w:rsidRPr="002649AC" w:rsidRDefault="00771FD4" w:rsidP="00AB78BF">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2649AC">
              <w:rPr>
                <w:rFonts w:eastAsia="Arial"/>
                <w:color w:val="000000"/>
                <w:szCs w:val="24"/>
              </w:rPr>
              <w:t>2024</w:t>
            </w:r>
          </w:p>
        </w:tc>
      </w:tr>
      <w:tr w:rsidR="000E6694" w14:paraId="16920A5D" w14:textId="77777777" w:rsidTr="000E66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0A203A0" w14:textId="21E76706" w:rsidR="000E6694" w:rsidRPr="002649AC" w:rsidRDefault="00771FD4" w:rsidP="002649AC">
            <w:pPr>
              <w:spacing w:line="360" w:lineRule="auto"/>
              <w:rPr>
                <w:rFonts w:eastAsia="Arial"/>
                <w:color w:val="000000"/>
                <w:szCs w:val="24"/>
              </w:rPr>
            </w:pPr>
            <w:r w:rsidRPr="002649AC">
              <w:rPr>
                <w:rFonts w:eastAsia="Arial"/>
                <w:color w:val="000000"/>
                <w:szCs w:val="24"/>
              </w:rPr>
              <w:t>Net Income Continu</w:t>
            </w:r>
            <w:r w:rsidR="00E71888" w:rsidRPr="002649AC">
              <w:rPr>
                <w:rFonts w:eastAsia="Arial"/>
                <w:color w:val="000000"/>
                <w:szCs w:val="24"/>
              </w:rPr>
              <w:t>ous Operation</w:t>
            </w:r>
          </w:p>
        </w:tc>
        <w:tc>
          <w:tcPr>
            <w:tcW w:w="3005" w:type="dxa"/>
          </w:tcPr>
          <w:p w14:paraId="3271BBFC" w14:textId="7A18BA88" w:rsidR="000E6694" w:rsidRPr="002649AC" w:rsidRDefault="00E71888" w:rsidP="00AB78BF">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2649AC">
              <w:rPr>
                <w:rFonts w:eastAsia="Arial"/>
                <w:color w:val="000000"/>
                <w:szCs w:val="24"/>
              </w:rPr>
              <w:t>1,295</w:t>
            </w:r>
            <w:r w:rsidR="003316D6" w:rsidRPr="002649AC">
              <w:rPr>
                <w:rFonts w:eastAsia="Arial"/>
                <w:color w:val="000000"/>
                <w:szCs w:val="24"/>
              </w:rPr>
              <w:t>,000</w:t>
            </w:r>
          </w:p>
        </w:tc>
        <w:tc>
          <w:tcPr>
            <w:tcW w:w="3006" w:type="dxa"/>
          </w:tcPr>
          <w:p w14:paraId="5045887D" w14:textId="62C62013" w:rsidR="000E6694" w:rsidRPr="002649AC" w:rsidRDefault="003316D6" w:rsidP="00AB78BF">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2649AC">
              <w:rPr>
                <w:rFonts w:eastAsia="Arial"/>
                <w:color w:val="000000"/>
                <w:szCs w:val="24"/>
              </w:rPr>
              <w:t>1,229,000</w:t>
            </w:r>
          </w:p>
        </w:tc>
      </w:tr>
      <w:tr w:rsidR="000E6694" w14:paraId="1A5C099A" w14:textId="77777777" w:rsidTr="000E6694">
        <w:tc>
          <w:tcPr>
            <w:cnfStyle w:val="001000000000" w:firstRow="0" w:lastRow="0" w:firstColumn="1" w:lastColumn="0" w:oddVBand="0" w:evenVBand="0" w:oddHBand="0" w:evenHBand="0" w:firstRowFirstColumn="0" w:firstRowLastColumn="0" w:lastRowFirstColumn="0" w:lastRowLastColumn="0"/>
            <w:tcW w:w="3005" w:type="dxa"/>
          </w:tcPr>
          <w:p w14:paraId="7BA45B49" w14:textId="7B334AF3" w:rsidR="000E6694" w:rsidRPr="002649AC" w:rsidRDefault="003316D6" w:rsidP="002649AC">
            <w:pPr>
              <w:spacing w:line="360" w:lineRule="auto"/>
              <w:rPr>
                <w:rFonts w:eastAsia="Arial"/>
                <w:color w:val="000000"/>
                <w:szCs w:val="24"/>
              </w:rPr>
            </w:pPr>
            <w:r w:rsidRPr="002649AC">
              <w:rPr>
                <w:rFonts w:eastAsia="Arial"/>
                <w:color w:val="000000"/>
                <w:szCs w:val="24"/>
              </w:rPr>
              <w:t>Or</w:t>
            </w:r>
            <w:r w:rsidR="005C5F58" w:rsidRPr="002649AC">
              <w:rPr>
                <w:rFonts w:eastAsia="Arial"/>
                <w:color w:val="000000"/>
                <w:szCs w:val="24"/>
              </w:rPr>
              <w:t>dinary Shares Number</w:t>
            </w:r>
          </w:p>
        </w:tc>
        <w:tc>
          <w:tcPr>
            <w:tcW w:w="3005" w:type="dxa"/>
          </w:tcPr>
          <w:p w14:paraId="6B4F06FD" w14:textId="4E8559C7" w:rsidR="000E6694" w:rsidRPr="002649AC" w:rsidRDefault="00985632" w:rsidP="00AB78BF">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2649AC">
              <w:rPr>
                <w:rFonts w:eastAsia="Arial"/>
                <w:color w:val="000000"/>
                <w:szCs w:val="24"/>
              </w:rPr>
              <w:t>15,376,725.29</w:t>
            </w:r>
          </w:p>
        </w:tc>
        <w:tc>
          <w:tcPr>
            <w:tcW w:w="3006" w:type="dxa"/>
          </w:tcPr>
          <w:p w14:paraId="51CC0155" w14:textId="3A850E82" w:rsidR="000E6694" w:rsidRPr="002649AC" w:rsidRDefault="00985632" w:rsidP="00AB78BF">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2649AC">
              <w:rPr>
                <w:rFonts w:eastAsia="Arial"/>
                <w:color w:val="000000"/>
                <w:szCs w:val="24"/>
              </w:rPr>
              <w:t>15,850,481.41</w:t>
            </w:r>
          </w:p>
        </w:tc>
      </w:tr>
      <w:tr w:rsidR="000E6694" w14:paraId="46EAF7AA" w14:textId="77777777" w:rsidTr="000E66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7E905C0" w14:textId="0746FE10" w:rsidR="000E6694" w:rsidRPr="002649AC" w:rsidRDefault="00985632" w:rsidP="002649AC">
            <w:pPr>
              <w:spacing w:line="360" w:lineRule="auto"/>
              <w:rPr>
                <w:rFonts w:eastAsia="Arial"/>
                <w:color w:val="000000"/>
                <w:szCs w:val="24"/>
              </w:rPr>
            </w:pPr>
            <w:r w:rsidRPr="002649AC">
              <w:rPr>
                <w:rFonts w:eastAsia="Arial"/>
                <w:color w:val="000000"/>
                <w:szCs w:val="24"/>
              </w:rPr>
              <w:t>EPS</w:t>
            </w:r>
          </w:p>
        </w:tc>
        <w:tc>
          <w:tcPr>
            <w:tcW w:w="3005" w:type="dxa"/>
          </w:tcPr>
          <w:p w14:paraId="218E886B" w14:textId="49F531B9" w:rsidR="000E6694" w:rsidRPr="002649AC" w:rsidRDefault="00985632" w:rsidP="00AB78BF">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2649AC">
              <w:rPr>
                <w:rFonts w:eastAsia="Arial"/>
                <w:color w:val="000000"/>
                <w:szCs w:val="24"/>
              </w:rPr>
              <w:t>0.084218192</w:t>
            </w:r>
          </w:p>
        </w:tc>
        <w:tc>
          <w:tcPr>
            <w:tcW w:w="3006" w:type="dxa"/>
          </w:tcPr>
          <w:p w14:paraId="74143966" w14:textId="089CDC66" w:rsidR="000E6694" w:rsidRPr="002649AC" w:rsidRDefault="00985632" w:rsidP="00AB78BF">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2649AC">
              <w:rPr>
                <w:rFonts w:eastAsia="Arial"/>
                <w:color w:val="000000"/>
                <w:szCs w:val="24"/>
              </w:rPr>
              <w:t>0.07753</w:t>
            </w:r>
            <w:r w:rsidR="00C64059" w:rsidRPr="002649AC">
              <w:rPr>
                <w:rFonts w:eastAsia="Arial"/>
                <w:color w:val="000000"/>
                <w:szCs w:val="24"/>
              </w:rPr>
              <w:t>7077</w:t>
            </w:r>
          </w:p>
        </w:tc>
      </w:tr>
      <w:tr w:rsidR="000E6694" w14:paraId="67BCB84F" w14:textId="77777777" w:rsidTr="000E6694">
        <w:tc>
          <w:tcPr>
            <w:cnfStyle w:val="001000000000" w:firstRow="0" w:lastRow="0" w:firstColumn="1" w:lastColumn="0" w:oddVBand="0" w:evenVBand="0" w:oddHBand="0" w:evenHBand="0" w:firstRowFirstColumn="0" w:firstRowLastColumn="0" w:lastRowFirstColumn="0" w:lastRowLastColumn="0"/>
            <w:tcW w:w="3005" w:type="dxa"/>
          </w:tcPr>
          <w:p w14:paraId="3F2C071B" w14:textId="2D2F6D40" w:rsidR="000E6694" w:rsidRPr="002649AC" w:rsidRDefault="00C64059" w:rsidP="002649AC">
            <w:pPr>
              <w:spacing w:line="360" w:lineRule="auto"/>
              <w:rPr>
                <w:rFonts w:eastAsia="Arial"/>
                <w:color w:val="000000"/>
                <w:szCs w:val="24"/>
              </w:rPr>
            </w:pPr>
            <w:r w:rsidRPr="002649AC">
              <w:rPr>
                <w:rFonts w:eastAsia="Arial"/>
                <w:color w:val="000000"/>
                <w:szCs w:val="24"/>
              </w:rPr>
              <w:t>Shares Price</w:t>
            </w:r>
          </w:p>
        </w:tc>
        <w:tc>
          <w:tcPr>
            <w:tcW w:w="3005" w:type="dxa"/>
          </w:tcPr>
          <w:p w14:paraId="17196230" w14:textId="1DCDAE55" w:rsidR="000E6694" w:rsidRPr="002649AC" w:rsidRDefault="00C64059" w:rsidP="00AB78BF">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2649AC">
              <w:rPr>
                <w:rFonts w:eastAsia="Arial"/>
                <w:color w:val="000000"/>
                <w:szCs w:val="24"/>
              </w:rPr>
              <w:t>413.7</w:t>
            </w:r>
          </w:p>
        </w:tc>
        <w:tc>
          <w:tcPr>
            <w:tcW w:w="3006" w:type="dxa"/>
          </w:tcPr>
          <w:p w14:paraId="43D89AF0" w14:textId="688EECEE" w:rsidR="000E6694" w:rsidRPr="002649AC" w:rsidRDefault="00C64059" w:rsidP="00AB78BF">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2649AC">
              <w:rPr>
                <w:rFonts w:eastAsia="Arial"/>
                <w:color w:val="000000"/>
                <w:szCs w:val="24"/>
              </w:rPr>
              <w:t>438.1</w:t>
            </w:r>
          </w:p>
        </w:tc>
      </w:tr>
      <w:tr w:rsidR="000E6694" w14:paraId="1C6F0AA6" w14:textId="77777777" w:rsidTr="000E66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DF7A7B5" w14:textId="6F0BE735" w:rsidR="000E6694" w:rsidRPr="002649AC" w:rsidRDefault="00C64059" w:rsidP="002649AC">
            <w:pPr>
              <w:spacing w:line="360" w:lineRule="auto"/>
              <w:rPr>
                <w:rFonts w:eastAsia="Arial"/>
                <w:color w:val="000000"/>
                <w:szCs w:val="24"/>
              </w:rPr>
            </w:pPr>
            <w:r w:rsidRPr="002649AC">
              <w:rPr>
                <w:rFonts w:eastAsia="Arial"/>
                <w:color w:val="000000"/>
                <w:szCs w:val="24"/>
              </w:rPr>
              <w:t>P/E Ratio</w:t>
            </w:r>
          </w:p>
        </w:tc>
        <w:tc>
          <w:tcPr>
            <w:tcW w:w="3005" w:type="dxa"/>
          </w:tcPr>
          <w:p w14:paraId="30E9B202" w14:textId="4B331262" w:rsidR="000E6694" w:rsidRPr="002649AC" w:rsidRDefault="009031DD" w:rsidP="00AB78BF">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2649AC">
              <w:rPr>
                <w:rFonts w:eastAsia="Arial"/>
                <w:color w:val="000000"/>
                <w:szCs w:val="24"/>
              </w:rPr>
              <w:t>4912.240349</w:t>
            </w:r>
          </w:p>
        </w:tc>
        <w:tc>
          <w:tcPr>
            <w:tcW w:w="3006" w:type="dxa"/>
          </w:tcPr>
          <w:p w14:paraId="105EB5BF" w14:textId="51D077A4" w:rsidR="000E6694" w:rsidRPr="002649AC" w:rsidRDefault="009031DD" w:rsidP="00AB78BF">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2649AC">
              <w:rPr>
                <w:rFonts w:eastAsia="Arial"/>
                <w:color w:val="000000"/>
                <w:szCs w:val="24"/>
              </w:rPr>
              <w:t>5650.2000086</w:t>
            </w:r>
          </w:p>
        </w:tc>
      </w:tr>
    </w:tbl>
    <w:p w14:paraId="25E26968" w14:textId="77777777" w:rsidR="00D162BD" w:rsidRDefault="00D162BD" w:rsidP="005C6948">
      <w:pPr>
        <w:spacing w:line="360" w:lineRule="auto"/>
        <w:jc w:val="both"/>
        <w:rPr>
          <w:rFonts w:eastAsia="Arial"/>
          <w:b/>
          <w:bCs/>
          <w:color w:val="000000"/>
          <w:szCs w:val="24"/>
        </w:rPr>
      </w:pPr>
    </w:p>
    <w:p w14:paraId="2C12CAA1" w14:textId="53BA1C74" w:rsidR="005C6948" w:rsidRPr="0036198E" w:rsidRDefault="005C6948" w:rsidP="005C6948">
      <w:pPr>
        <w:spacing w:line="360" w:lineRule="auto"/>
        <w:jc w:val="both"/>
        <w:rPr>
          <w:rFonts w:eastAsia="Arial"/>
          <w:color w:val="000000"/>
          <w:szCs w:val="24"/>
        </w:rPr>
      </w:pPr>
      <w:r w:rsidRPr="0036198E">
        <w:rPr>
          <w:rFonts w:eastAsia="Arial"/>
          <w:color w:val="000000"/>
          <w:szCs w:val="24"/>
        </w:rPr>
        <w:t>The P/E ratio fell significantly from 5650.20 in 2024 to 4912.24 in 2025, showing a decrease in the market’s willingness to pay for each unit of earnings. This decline is due to the combination of a falling share price (438.1 to 413.7) and rising EPS (0.0775 to 0.0842) (</w:t>
      </w:r>
      <w:r w:rsidRPr="0036198E">
        <w:rPr>
          <w:rFonts w:eastAsia="Arial"/>
          <w:szCs w:val="24"/>
        </w:rPr>
        <w:t>BP Annual Report, 2025)</w:t>
      </w:r>
      <w:r w:rsidRPr="0036198E">
        <w:rPr>
          <w:rFonts w:eastAsia="Arial"/>
          <w:color w:val="000000"/>
          <w:szCs w:val="24"/>
        </w:rPr>
        <w:t>. Although earnings improved, the reduction in P/E suggests that investor expectations or confidence in future growth slightly weakened in 2025.</w:t>
      </w:r>
    </w:p>
    <w:p w14:paraId="67F4585B" w14:textId="77777777" w:rsidR="005C6948" w:rsidRPr="0036198E" w:rsidRDefault="005C6948" w:rsidP="005C6948">
      <w:pPr>
        <w:spacing w:line="360" w:lineRule="auto"/>
        <w:jc w:val="both"/>
        <w:rPr>
          <w:rFonts w:eastAsia="Arial"/>
          <w:color w:val="000000"/>
          <w:szCs w:val="24"/>
        </w:rPr>
      </w:pPr>
      <w:r w:rsidRPr="0036198E">
        <w:rPr>
          <w:rFonts w:eastAsia="Arial"/>
          <w:b/>
          <w:bCs/>
          <w:color w:val="000000"/>
          <w:szCs w:val="24"/>
        </w:rPr>
        <w:lastRenderedPageBreak/>
        <w:t xml:space="preserve">Analysis: </w:t>
      </w:r>
      <w:r w:rsidRPr="0036198E">
        <w:rPr>
          <w:rFonts w:eastAsia="Arial"/>
          <w:color w:val="000000"/>
          <w:szCs w:val="24"/>
        </w:rPr>
        <w:t>The investment ratios of BP indicate that its earnings perform better but market value is lower in 2025. EPS has also improved with increased net income of continuous operations that increased by increasing in 2024 and 2025, respectively, but the number of ordinary shares has decreased. But the P/E ratio showed a significant downward trend, 5650.20 in 2024 to 4912.24 in 2025, indicating a decrease in share price of 438.1 to 413.7, although with better EPS (</w:t>
      </w:r>
      <w:r w:rsidRPr="0036198E">
        <w:rPr>
          <w:rFonts w:eastAsia="Arial"/>
          <w:szCs w:val="24"/>
        </w:rPr>
        <w:t>BP Annual Report, 2025)</w:t>
      </w:r>
      <w:r w:rsidRPr="0036198E">
        <w:rPr>
          <w:rFonts w:eastAsia="Arial"/>
          <w:color w:val="000000"/>
          <w:szCs w:val="24"/>
        </w:rPr>
        <w:t xml:space="preserve">. This is an indication that investor sentiment deteriorated slightly, which could be </w:t>
      </w:r>
      <w:proofErr w:type="gramStart"/>
      <w:r w:rsidRPr="0036198E">
        <w:rPr>
          <w:rFonts w:eastAsia="Arial"/>
          <w:color w:val="000000"/>
          <w:szCs w:val="24"/>
        </w:rPr>
        <w:t>as a result of</w:t>
      </w:r>
      <w:proofErr w:type="gramEnd"/>
      <w:r w:rsidRPr="0036198E">
        <w:rPr>
          <w:rFonts w:eastAsia="Arial"/>
          <w:color w:val="000000"/>
          <w:szCs w:val="24"/>
        </w:rPr>
        <w:t xml:space="preserve"> worries about the volatility of oil prices, the cost of energy transition, or reduced growth expectations in the future (Ali </w:t>
      </w:r>
      <w:r w:rsidRPr="0036198E">
        <w:rPr>
          <w:rFonts w:eastAsia="Arial"/>
          <w:i/>
          <w:iCs/>
          <w:color w:val="000000"/>
          <w:szCs w:val="24"/>
        </w:rPr>
        <w:t>et al.,</w:t>
      </w:r>
      <w:r w:rsidRPr="0036198E">
        <w:rPr>
          <w:rFonts w:eastAsia="Arial"/>
          <w:color w:val="000000"/>
          <w:szCs w:val="24"/>
        </w:rPr>
        <w:t>2022). Although BP shows better underlying profitability per share, it is not reflected in the perception of the market. The de-coupling of the growth of EPS and the falling P/E indicates that investor confidence is cautious, implying external uncertainties in the energy industry have a greater impact on the valuation of BP than on the immediate earnings performance.</w:t>
      </w:r>
    </w:p>
    <w:p w14:paraId="23EE7B0B" w14:textId="77777777" w:rsidR="005C6948" w:rsidRPr="0036198E" w:rsidRDefault="005C6948" w:rsidP="005C6948">
      <w:pPr>
        <w:pStyle w:val="Heading2"/>
        <w:spacing w:line="360" w:lineRule="auto"/>
        <w:rPr>
          <w:rFonts w:eastAsia="Arial" w:cs="Calibri"/>
          <w:b w:val="0"/>
          <w:bCs/>
          <w:color w:val="000000"/>
          <w:szCs w:val="24"/>
        </w:rPr>
      </w:pPr>
      <w:bookmarkStart w:id="9" w:name="_Toc227610519"/>
      <w:r w:rsidRPr="0036198E">
        <w:rPr>
          <w:rFonts w:eastAsia="Arial" w:cs="Calibri"/>
          <w:bCs/>
          <w:color w:val="000000"/>
          <w:szCs w:val="24"/>
        </w:rPr>
        <w:t>1.5 Gearing Ratios</w:t>
      </w:r>
      <w:bookmarkEnd w:id="9"/>
    </w:p>
    <w:p w14:paraId="0EF322A0" w14:textId="77777777" w:rsidR="005C6948" w:rsidRDefault="005C6948" w:rsidP="005C6948">
      <w:pPr>
        <w:spacing w:line="360" w:lineRule="auto"/>
        <w:jc w:val="both"/>
        <w:rPr>
          <w:rFonts w:eastAsia="Arial"/>
          <w:b/>
          <w:bCs/>
          <w:color w:val="000000"/>
          <w:szCs w:val="24"/>
        </w:rPr>
      </w:pPr>
      <w:r w:rsidRPr="0036198E">
        <w:rPr>
          <w:rFonts w:eastAsia="Arial"/>
          <w:b/>
          <w:bCs/>
          <w:color w:val="000000"/>
          <w:szCs w:val="24"/>
        </w:rPr>
        <w:t>1.5.1 Debt-to-Equity</w:t>
      </w:r>
    </w:p>
    <w:tbl>
      <w:tblPr>
        <w:tblStyle w:val="GridTable4-Accent4"/>
        <w:tblW w:w="0" w:type="auto"/>
        <w:tblLook w:val="04A0" w:firstRow="1" w:lastRow="0" w:firstColumn="1" w:lastColumn="0" w:noHBand="0" w:noVBand="1"/>
      </w:tblPr>
      <w:tblGrid>
        <w:gridCol w:w="3005"/>
        <w:gridCol w:w="3005"/>
        <w:gridCol w:w="3006"/>
      </w:tblGrid>
      <w:tr w:rsidR="00013A58" w14:paraId="33E64CBD" w14:textId="77777777" w:rsidTr="00013A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A9B532F" w14:textId="73D45B77" w:rsidR="00013A58" w:rsidRPr="002649AC" w:rsidRDefault="00013A58" w:rsidP="005C6948">
            <w:pPr>
              <w:spacing w:line="360" w:lineRule="auto"/>
              <w:jc w:val="both"/>
              <w:rPr>
                <w:rFonts w:eastAsia="Arial"/>
                <w:color w:val="000000"/>
                <w:szCs w:val="24"/>
              </w:rPr>
            </w:pPr>
            <w:r w:rsidRPr="002649AC">
              <w:rPr>
                <w:rFonts w:eastAsia="Arial"/>
                <w:color w:val="000000"/>
                <w:szCs w:val="24"/>
              </w:rPr>
              <w:t>Column1</w:t>
            </w:r>
          </w:p>
        </w:tc>
        <w:tc>
          <w:tcPr>
            <w:tcW w:w="3005" w:type="dxa"/>
          </w:tcPr>
          <w:p w14:paraId="73D2F3EF" w14:textId="629FAFB4" w:rsidR="00013A58" w:rsidRPr="002649AC" w:rsidRDefault="00013A58" w:rsidP="00A442C2">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2649AC">
              <w:rPr>
                <w:rFonts w:eastAsia="Arial"/>
                <w:color w:val="000000"/>
                <w:szCs w:val="24"/>
              </w:rPr>
              <w:t>2025</w:t>
            </w:r>
          </w:p>
        </w:tc>
        <w:tc>
          <w:tcPr>
            <w:tcW w:w="3006" w:type="dxa"/>
          </w:tcPr>
          <w:p w14:paraId="7EE50B0F" w14:textId="46A6A646" w:rsidR="00013A58" w:rsidRPr="002649AC" w:rsidRDefault="00013A58" w:rsidP="00A442C2">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2649AC">
              <w:rPr>
                <w:rFonts w:eastAsia="Arial"/>
                <w:color w:val="000000"/>
                <w:szCs w:val="24"/>
              </w:rPr>
              <w:t>2024</w:t>
            </w:r>
          </w:p>
        </w:tc>
      </w:tr>
      <w:tr w:rsidR="00013A58" w14:paraId="544D1F9C" w14:textId="77777777" w:rsidTr="00013A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51AC61A" w14:textId="3C6CD4BA" w:rsidR="00013A58" w:rsidRPr="002649AC" w:rsidRDefault="00013A58" w:rsidP="005C6948">
            <w:pPr>
              <w:spacing w:line="360" w:lineRule="auto"/>
              <w:jc w:val="both"/>
              <w:rPr>
                <w:rFonts w:eastAsia="Arial"/>
                <w:color w:val="000000"/>
                <w:szCs w:val="24"/>
              </w:rPr>
            </w:pPr>
            <w:r w:rsidRPr="002649AC">
              <w:rPr>
                <w:rFonts w:eastAsia="Arial"/>
                <w:color w:val="000000"/>
                <w:szCs w:val="24"/>
              </w:rPr>
              <w:t>Total Debt</w:t>
            </w:r>
          </w:p>
        </w:tc>
        <w:tc>
          <w:tcPr>
            <w:tcW w:w="3005" w:type="dxa"/>
          </w:tcPr>
          <w:p w14:paraId="0F2EAC50" w14:textId="0A096B35" w:rsidR="00013A58" w:rsidRPr="002649AC" w:rsidRDefault="00013A58" w:rsidP="00A442C2">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2649AC">
              <w:rPr>
                <w:rFonts w:eastAsia="Arial"/>
                <w:color w:val="000000"/>
                <w:szCs w:val="24"/>
              </w:rPr>
              <w:t>72,529,000</w:t>
            </w:r>
          </w:p>
        </w:tc>
        <w:tc>
          <w:tcPr>
            <w:tcW w:w="3006" w:type="dxa"/>
          </w:tcPr>
          <w:p w14:paraId="0C953CE0" w14:textId="150EAE66" w:rsidR="00013A58" w:rsidRPr="002649AC" w:rsidRDefault="00D63420" w:rsidP="00A442C2">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2649AC">
              <w:rPr>
                <w:rFonts w:eastAsia="Arial"/>
                <w:color w:val="000000"/>
                <w:szCs w:val="24"/>
              </w:rPr>
              <w:t>71,547,000</w:t>
            </w:r>
          </w:p>
        </w:tc>
      </w:tr>
      <w:tr w:rsidR="00013A58" w14:paraId="070C825F" w14:textId="77777777" w:rsidTr="00013A58">
        <w:tc>
          <w:tcPr>
            <w:cnfStyle w:val="001000000000" w:firstRow="0" w:lastRow="0" w:firstColumn="1" w:lastColumn="0" w:oddVBand="0" w:evenVBand="0" w:oddHBand="0" w:evenHBand="0" w:firstRowFirstColumn="0" w:firstRowLastColumn="0" w:lastRowFirstColumn="0" w:lastRowLastColumn="0"/>
            <w:tcW w:w="3005" w:type="dxa"/>
          </w:tcPr>
          <w:p w14:paraId="2DC29364" w14:textId="245FEF0E" w:rsidR="00013A58" w:rsidRPr="002649AC" w:rsidRDefault="00D63420" w:rsidP="005C6948">
            <w:pPr>
              <w:spacing w:line="360" w:lineRule="auto"/>
              <w:jc w:val="both"/>
              <w:rPr>
                <w:rFonts w:eastAsia="Arial"/>
                <w:color w:val="000000"/>
                <w:szCs w:val="24"/>
              </w:rPr>
            </w:pPr>
            <w:r w:rsidRPr="002649AC">
              <w:rPr>
                <w:rFonts w:eastAsia="Arial"/>
                <w:color w:val="000000"/>
                <w:szCs w:val="24"/>
              </w:rPr>
              <w:t>Total Equity</w:t>
            </w:r>
          </w:p>
        </w:tc>
        <w:tc>
          <w:tcPr>
            <w:tcW w:w="3005" w:type="dxa"/>
          </w:tcPr>
          <w:p w14:paraId="1C9D3680" w14:textId="705DB1BC" w:rsidR="00013A58" w:rsidRPr="002649AC" w:rsidRDefault="00D63420" w:rsidP="00A442C2">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2649AC">
              <w:rPr>
                <w:rFonts w:eastAsia="Arial"/>
                <w:color w:val="000000"/>
                <w:szCs w:val="24"/>
              </w:rPr>
              <w:t>74,000,000</w:t>
            </w:r>
          </w:p>
        </w:tc>
        <w:tc>
          <w:tcPr>
            <w:tcW w:w="3006" w:type="dxa"/>
          </w:tcPr>
          <w:p w14:paraId="564097CD" w14:textId="6759C0B1" w:rsidR="00013A58" w:rsidRPr="002649AC" w:rsidRDefault="00D63420" w:rsidP="00A442C2">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2649AC">
              <w:rPr>
                <w:rFonts w:eastAsia="Arial"/>
                <w:color w:val="000000"/>
                <w:szCs w:val="24"/>
              </w:rPr>
              <w:t>78,318,000</w:t>
            </w:r>
          </w:p>
        </w:tc>
      </w:tr>
      <w:tr w:rsidR="00013A58" w14:paraId="7A0123B2" w14:textId="77777777" w:rsidTr="00013A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5F22366" w14:textId="7F8D3556" w:rsidR="00013A58" w:rsidRPr="002649AC" w:rsidRDefault="00D63420" w:rsidP="005C6948">
            <w:pPr>
              <w:spacing w:line="360" w:lineRule="auto"/>
              <w:jc w:val="both"/>
              <w:rPr>
                <w:rFonts w:eastAsia="Arial"/>
                <w:color w:val="000000"/>
                <w:szCs w:val="24"/>
              </w:rPr>
            </w:pPr>
            <w:r w:rsidRPr="002649AC">
              <w:rPr>
                <w:rFonts w:eastAsia="Arial"/>
                <w:color w:val="000000"/>
                <w:szCs w:val="24"/>
              </w:rPr>
              <w:t>Debt-to-Equity Ratio</w:t>
            </w:r>
          </w:p>
        </w:tc>
        <w:tc>
          <w:tcPr>
            <w:tcW w:w="3005" w:type="dxa"/>
          </w:tcPr>
          <w:p w14:paraId="3544ABF7" w14:textId="5564C55A" w:rsidR="00013A58" w:rsidRPr="002649AC" w:rsidRDefault="00D63420" w:rsidP="00A442C2">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2649AC">
              <w:rPr>
                <w:rFonts w:eastAsia="Arial"/>
                <w:color w:val="000000"/>
                <w:szCs w:val="24"/>
              </w:rPr>
              <w:t>0.9801216</w:t>
            </w:r>
          </w:p>
        </w:tc>
        <w:tc>
          <w:tcPr>
            <w:tcW w:w="3006" w:type="dxa"/>
          </w:tcPr>
          <w:p w14:paraId="2685E724" w14:textId="6E61BEF7" w:rsidR="00013A58" w:rsidRPr="002649AC" w:rsidRDefault="002649AC" w:rsidP="00A442C2">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2649AC">
              <w:rPr>
                <w:rFonts w:eastAsia="Arial"/>
                <w:color w:val="000000"/>
                <w:szCs w:val="24"/>
              </w:rPr>
              <w:t>0.9135448</w:t>
            </w:r>
          </w:p>
        </w:tc>
      </w:tr>
    </w:tbl>
    <w:p w14:paraId="24A8FF9D" w14:textId="77777777" w:rsidR="00920836" w:rsidRDefault="00920836" w:rsidP="005C6948">
      <w:pPr>
        <w:spacing w:line="360" w:lineRule="auto"/>
        <w:jc w:val="both"/>
        <w:rPr>
          <w:rFonts w:eastAsia="Arial"/>
          <w:b/>
          <w:bCs/>
          <w:color w:val="000000"/>
          <w:szCs w:val="24"/>
        </w:rPr>
      </w:pPr>
    </w:p>
    <w:p w14:paraId="052CE4B9" w14:textId="076ABB88" w:rsidR="005C6948" w:rsidRPr="0036198E" w:rsidRDefault="005C6948" w:rsidP="005C6948">
      <w:pPr>
        <w:spacing w:line="360" w:lineRule="auto"/>
        <w:jc w:val="both"/>
        <w:rPr>
          <w:rFonts w:eastAsia="Arial"/>
          <w:color w:val="000000"/>
          <w:szCs w:val="24"/>
        </w:rPr>
      </w:pPr>
      <w:r w:rsidRPr="0036198E">
        <w:rPr>
          <w:rFonts w:eastAsia="Arial"/>
          <w:color w:val="000000"/>
          <w:szCs w:val="24"/>
        </w:rPr>
        <w:t>Debt-to-Equity ratio rose to 0.98 in 2025, up by 0.91 in 2024, which means that the company finances its operations with higher levels of debt rather than equity (</w:t>
      </w:r>
      <w:r w:rsidRPr="0036198E">
        <w:rPr>
          <w:rFonts w:eastAsia="Arial"/>
          <w:szCs w:val="24"/>
        </w:rPr>
        <w:t>BP Annual Report, 2025)</w:t>
      </w:r>
      <w:r w:rsidRPr="0036198E">
        <w:rPr>
          <w:rFonts w:eastAsia="Arial"/>
          <w:color w:val="000000"/>
          <w:szCs w:val="24"/>
        </w:rPr>
        <w:t xml:space="preserve">. This change indicates that the financial leverage of the company has been growing marginally in 2025, i.e. the company is borrowing </w:t>
      </w:r>
      <w:proofErr w:type="gramStart"/>
      <w:r w:rsidRPr="0036198E">
        <w:rPr>
          <w:rFonts w:eastAsia="Arial"/>
          <w:color w:val="000000"/>
          <w:szCs w:val="24"/>
        </w:rPr>
        <w:t>a comparatively larger</w:t>
      </w:r>
      <w:proofErr w:type="gramEnd"/>
      <w:r w:rsidRPr="0036198E">
        <w:rPr>
          <w:rFonts w:eastAsia="Arial"/>
          <w:color w:val="000000"/>
          <w:szCs w:val="24"/>
        </w:rPr>
        <w:t xml:space="preserve"> amount of money to fund its activities, which could result in greater financial risk.</w:t>
      </w:r>
    </w:p>
    <w:p w14:paraId="264F44BB" w14:textId="77777777" w:rsidR="005C6948" w:rsidRPr="0036198E" w:rsidRDefault="005C6948" w:rsidP="005C6948">
      <w:pPr>
        <w:spacing w:line="360" w:lineRule="auto"/>
        <w:jc w:val="both"/>
        <w:rPr>
          <w:rFonts w:eastAsia="Arial"/>
          <w:b/>
          <w:bCs/>
          <w:color w:val="000000"/>
          <w:szCs w:val="24"/>
        </w:rPr>
      </w:pPr>
      <w:r w:rsidRPr="0036198E">
        <w:rPr>
          <w:rFonts w:eastAsia="Arial"/>
          <w:b/>
          <w:bCs/>
          <w:color w:val="000000"/>
          <w:szCs w:val="24"/>
        </w:rPr>
        <w:t>1.5.2 Interest Coverage</w:t>
      </w:r>
    </w:p>
    <w:tbl>
      <w:tblPr>
        <w:tblStyle w:val="GridTable4-Accent4"/>
        <w:tblW w:w="0" w:type="auto"/>
        <w:tblLook w:val="04A0" w:firstRow="1" w:lastRow="0" w:firstColumn="1" w:lastColumn="0" w:noHBand="0" w:noVBand="1"/>
      </w:tblPr>
      <w:tblGrid>
        <w:gridCol w:w="3005"/>
        <w:gridCol w:w="3005"/>
        <w:gridCol w:w="3006"/>
      </w:tblGrid>
      <w:tr w:rsidR="00B3662B" w:rsidRPr="0036198E" w14:paraId="3665E40D" w14:textId="77777777" w:rsidTr="00CD200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CE4B996" w14:textId="559B4F1F" w:rsidR="00B3662B" w:rsidRPr="0036198E" w:rsidRDefault="00B3662B" w:rsidP="00F1739C">
            <w:pPr>
              <w:tabs>
                <w:tab w:val="left" w:pos="826"/>
                <w:tab w:val="center" w:pos="1394"/>
              </w:tabs>
              <w:spacing w:line="360" w:lineRule="auto"/>
              <w:rPr>
                <w:rFonts w:eastAsia="Arial"/>
                <w:color w:val="000000"/>
                <w:szCs w:val="24"/>
              </w:rPr>
            </w:pPr>
            <w:r w:rsidRPr="0036198E">
              <w:rPr>
                <w:rFonts w:eastAsia="Arial"/>
                <w:color w:val="000000"/>
                <w:szCs w:val="24"/>
              </w:rPr>
              <w:t>Column 1</w:t>
            </w:r>
          </w:p>
        </w:tc>
        <w:tc>
          <w:tcPr>
            <w:tcW w:w="3005" w:type="dxa"/>
          </w:tcPr>
          <w:p w14:paraId="0DB06824" w14:textId="49281478" w:rsidR="00B3662B" w:rsidRPr="0036198E" w:rsidRDefault="00B3662B" w:rsidP="005C694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2025</w:t>
            </w:r>
          </w:p>
        </w:tc>
        <w:tc>
          <w:tcPr>
            <w:tcW w:w="3006" w:type="dxa"/>
          </w:tcPr>
          <w:p w14:paraId="4397ECD8" w14:textId="4B1B6A95" w:rsidR="00B3662B" w:rsidRPr="0036198E" w:rsidRDefault="00BC24EC" w:rsidP="005C694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2026</w:t>
            </w:r>
          </w:p>
        </w:tc>
      </w:tr>
      <w:tr w:rsidR="00B3662B" w:rsidRPr="0036198E" w14:paraId="09E5FD20" w14:textId="77777777" w:rsidTr="00CD20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DEA886E" w14:textId="51F1D929" w:rsidR="00B3662B" w:rsidRPr="0036198E" w:rsidRDefault="00BC24EC" w:rsidP="00F1739C">
            <w:pPr>
              <w:spacing w:line="360" w:lineRule="auto"/>
              <w:rPr>
                <w:rFonts w:eastAsia="Arial"/>
                <w:color w:val="000000"/>
                <w:szCs w:val="24"/>
              </w:rPr>
            </w:pPr>
            <w:r w:rsidRPr="0036198E">
              <w:rPr>
                <w:rFonts w:eastAsia="Arial"/>
                <w:color w:val="000000"/>
                <w:szCs w:val="24"/>
              </w:rPr>
              <w:t>EBIT</w:t>
            </w:r>
          </w:p>
        </w:tc>
        <w:tc>
          <w:tcPr>
            <w:tcW w:w="3005" w:type="dxa"/>
          </w:tcPr>
          <w:p w14:paraId="2980EFA1" w14:textId="2835090F" w:rsidR="00B3662B" w:rsidRPr="0036198E" w:rsidRDefault="00BC24EC" w:rsidP="005C694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12,874,000</w:t>
            </w:r>
          </w:p>
        </w:tc>
        <w:tc>
          <w:tcPr>
            <w:tcW w:w="3006" w:type="dxa"/>
          </w:tcPr>
          <w:p w14:paraId="5275BD24" w14:textId="7944E4EC" w:rsidR="00B3662B" w:rsidRPr="0036198E" w:rsidRDefault="00BC24EC" w:rsidP="005C694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11,361,000</w:t>
            </w:r>
          </w:p>
        </w:tc>
      </w:tr>
      <w:tr w:rsidR="00B3662B" w:rsidRPr="0036198E" w14:paraId="040447FC" w14:textId="77777777" w:rsidTr="00CD2005">
        <w:tc>
          <w:tcPr>
            <w:cnfStyle w:val="001000000000" w:firstRow="0" w:lastRow="0" w:firstColumn="1" w:lastColumn="0" w:oddVBand="0" w:evenVBand="0" w:oddHBand="0" w:evenHBand="0" w:firstRowFirstColumn="0" w:firstRowLastColumn="0" w:lastRowFirstColumn="0" w:lastRowLastColumn="0"/>
            <w:tcW w:w="3005" w:type="dxa"/>
          </w:tcPr>
          <w:p w14:paraId="572C6F71" w14:textId="4233981C" w:rsidR="00B3662B" w:rsidRPr="0036198E" w:rsidRDefault="00BC24EC" w:rsidP="00F1739C">
            <w:pPr>
              <w:spacing w:line="360" w:lineRule="auto"/>
              <w:rPr>
                <w:rFonts w:eastAsia="Arial"/>
                <w:color w:val="000000"/>
                <w:szCs w:val="24"/>
              </w:rPr>
            </w:pPr>
            <w:r w:rsidRPr="0036198E">
              <w:rPr>
                <w:rFonts w:eastAsia="Arial"/>
                <w:color w:val="000000"/>
                <w:szCs w:val="24"/>
              </w:rPr>
              <w:t>Interest Expense</w:t>
            </w:r>
          </w:p>
        </w:tc>
        <w:tc>
          <w:tcPr>
            <w:tcW w:w="3005" w:type="dxa"/>
          </w:tcPr>
          <w:p w14:paraId="5EBC3271" w14:textId="172D043C" w:rsidR="00B3662B" w:rsidRPr="0036198E" w:rsidRDefault="00F31BEC" w:rsidP="005C694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5,128,000</w:t>
            </w:r>
          </w:p>
        </w:tc>
        <w:tc>
          <w:tcPr>
            <w:tcW w:w="3006" w:type="dxa"/>
          </w:tcPr>
          <w:p w14:paraId="74E80492" w14:textId="6DE4443E" w:rsidR="00B3662B" w:rsidRPr="0036198E" w:rsidRDefault="00F31BEC" w:rsidP="005C6948">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szCs w:val="24"/>
              </w:rPr>
            </w:pPr>
            <w:r w:rsidRPr="0036198E">
              <w:rPr>
                <w:rFonts w:eastAsia="Arial"/>
                <w:color w:val="000000"/>
                <w:szCs w:val="24"/>
              </w:rPr>
              <w:t>4,579,000</w:t>
            </w:r>
          </w:p>
        </w:tc>
      </w:tr>
      <w:tr w:rsidR="00B3662B" w:rsidRPr="0036198E" w14:paraId="2E4D9069" w14:textId="77777777" w:rsidTr="00CD20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34A343D" w14:textId="4237492E" w:rsidR="00B3662B" w:rsidRPr="0036198E" w:rsidRDefault="00F31BEC" w:rsidP="00F1739C">
            <w:pPr>
              <w:spacing w:line="360" w:lineRule="auto"/>
              <w:rPr>
                <w:rFonts w:eastAsia="Arial"/>
                <w:color w:val="000000"/>
                <w:szCs w:val="24"/>
              </w:rPr>
            </w:pPr>
            <w:r w:rsidRPr="0036198E">
              <w:rPr>
                <w:rFonts w:eastAsia="Arial"/>
                <w:color w:val="000000"/>
                <w:szCs w:val="24"/>
              </w:rPr>
              <w:t>Interest</w:t>
            </w:r>
          </w:p>
        </w:tc>
        <w:tc>
          <w:tcPr>
            <w:tcW w:w="3005" w:type="dxa"/>
          </w:tcPr>
          <w:p w14:paraId="40C2C9A6" w14:textId="113DFB7B" w:rsidR="00B3662B" w:rsidRPr="0036198E" w:rsidRDefault="006959D9" w:rsidP="005C694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2.510</w:t>
            </w:r>
            <w:r w:rsidR="00B51B98" w:rsidRPr="0036198E">
              <w:rPr>
                <w:rFonts w:eastAsia="Arial"/>
                <w:color w:val="000000"/>
                <w:szCs w:val="24"/>
              </w:rPr>
              <w:t>5304</w:t>
            </w:r>
          </w:p>
        </w:tc>
        <w:tc>
          <w:tcPr>
            <w:tcW w:w="3006" w:type="dxa"/>
          </w:tcPr>
          <w:p w14:paraId="0BBEB5B5" w14:textId="0ABB12AE" w:rsidR="00B3662B" w:rsidRPr="0036198E" w:rsidRDefault="00B51B98" w:rsidP="005C6948">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szCs w:val="24"/>
              </w:rPr>
            </w:pPr>
            <w:r w:rsidRPr="0036198E">
              <w:rPr>
                <w:rFonts w:eastAsia="Arial"/>
                <w:color w:val="000000"/>
                <w:szCs w:val="24"/>
              </w:rPr>
              <w:t>2.4811094</w:t>
            </w:r>
          </w:p>
        </w:tc>
      </w:tr>
    </w:tbl>
    <w:p w14:paraId="5D3ADF5F"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lastRenderedPageBreak/>
        <w:t>Interest Coverage ratio has gone slightly better with 2.48 in 2024 to 2.51 in 2025, indicating a slight improvement in the capacity of the company to cover interest payments. EBIT increased from £ 11,361,000 to £ 12,874,000, while interest expense also rose from £ 4,579,000 to £ 5,128,000 (</w:t>
      </w:r>
      <w:r w:rsidRPr="0036198E">
        <w:rPr>
          <w:rFonts w:eastAsia="Arial"/>
          <w:szCs w:val="24"/>
        </w:rPr>
        <w:t>BP Annual Report, 2025)</w:t>
      </w:r>
      <w:r w:rsidRPr="0036198E">
        <w:rPr>
          <w:rFonts w:eastAsia="Arial"/>
          <w:color w:val="000000"/>
          <w:szCs w:val="24"/>
        </w:rPr>
        <w:t xml:space="preserve">. Although the interest costs are increasing, the operating profit is growing, which means that the company is still comfortably </w:t>
      </w:r>
      <w:proofErr w:type="gramStart"/>
      <w:r w:rsidRPr="0036198E">
        <w:rPr>
          <w:rFonts w:eastAsia="Arial"/>
          <w:color w:val="000000"/>
          <w:szCs w:val="24"/>
        </w:rPr>
        <w:t>in a position</w:t>
      </w:r>
      <w:proofErr w:type="gramEnd"/>
      <w:r w:rsidRPr="0036198E">
        <w:rPr>
          <w:rFonts w:eastAsia="Arial"/>
          <w:color w:val="000000"/>
          <w:szCs w:val="24"/>
        </w:rPr>
        <w:t xml:space="preserve"> to meet its finance costs.</w:t>
      </w:r>
    </w:p>
    <w:p w14:paraId="369821F8" w14:textId="77777777" w:rsidR="005C6948" w:rsidRPr="0036198E" w:rsidRDefault="005C6948" w:rsidP="005C6948">
      <w:pPr>
        <w:spacing w:line="360" w:lineRule="auto"/>
        <w:jc w:val="both"/>
        <w:rPr>
          <w:rFonts w:eastAsia="Arial"/>
          <w:color w:val="000000"/>
          <w:szCs w:val="24"/>
        </w:rPr>
      </w:pPr>
      <w:r w:rsidRPr="0036198E">
        <w:rPr>
          <w:rFonts w:eastAsia="Arial"/>
          <w:b/>
          <w:bCs/>
          <w:color w:val="000000"/>
          <w:szCs w:val="24"/>
        </w:rPr>
        <w:t xml:space="preserve">Analysis: </w:t>
      </w:r>
      <w:r w:rsidRPr="0036198E">
        <w:rPr>
          <w:rFonts w:eastAsia="Arial"/>
          <w:color w:val="000000"/>
          <w:szCs w:val="24"/>
        </w:rPr>
        <w:t>The Debt-to-Equity ratio rose, driven by an increase in total debt from £ 71,547,000 to £ 72,529,000 alongside a decline in total equity (</w:t>
      </w:r>
      <w:r w:rsidRPr="0036198E">
        <w:rPr>
          <w:rFonts w:eastAsia="Arial"/>
          <w:szCs w:val="24"/>
        </w:rPr>
        <w:t>BP Annual Report, 2025)</w:t>
      </w:r>
      <w:r w:rsidRPr="0036198E">
        <w:rPr>
          <w:rFonts w:eastAsia="Arial"/>
          <w:color w:val="000000"/>
          <w:szCs w:val="24"/>
        </w:rPr>
        <w:t>. This implies that it depends more on borrowed capital and risk of finance more, especially at a volatile energy market. But there was an improvement in the Interest Coverage Ratio, with the rising EBIT, supporting this increase in the Interest Coverage Ratio, although the increasing interest expenses rose to £ 5,128,000 This indicates that BP continues to make enough operating profit to cover interest payments without any problem (</w:t>
      </w:r>
      <w:r w:rsidRPr="0036198E">
        <w:rPr>
          <w:rFonts w:eastAsia="Arial"/>
          <w:szCs w:val="24"/>
        </w:rPr>
        <w:t>BP Annual Report, 2025)</w:t>
      </w:r>
      <w:r w:rsidRPr="0036198E">
        <w:rPr>
          <w:rFonts w:eastAsia="Arial"/>
          <w:color w:val="000000"/>
          <w:szCs w:val="24"/>
        </w:rPr>
        <w:t>. As a strategic move, an increase in gearing can indicate BP capital intensive investments in renewable energy and transition projects, which are heavy-long-term investments (</w:t>
      </w:r>
      <w:r w:rsidRPr="0036198E">
        <w:rPr>
          <w:rFonts w:eastAsia="Arial"/>
          <w:szCs w:val="24"/>
        </w:rPr>
        <w:t>Lawal and Iliyasu, 2024)</w:t>
      </w:r>
      <w:r w:rsidRPr="0036198E">
        <w:rPr>
          <w:rFonts w:eastAsia="Arial"/>
          <w:color w:val="000000"/>
          <w:szCs w:val="24"/>
        </w:rPr>
        <w:t>. Although this is a plus in the growth ahead, it also subjects the firm to the risks associated with the increase in interest rates and refinancing risks and therefore the debt management is a prudent move to financial stability.</w:t>
      </w:r>
    </w:p>
    <w:p w14:paraId="5C23B5A5" w14:textId="77777777" w:rsidR="00975C77" w:rsidRDefault="00975C77">
      <w:pPr>
        <w:spacing w:line="278" w:lineRule="auto"/>
        <w:rPr>
          <w:rFonts w:eastAsia="Arial"/>
          <w:b/>
          <w:bCs/>
          <w:color w:val="000000"/>
          <w:szCs w:val="24"/>
        </w:rPr>
      </w:pPr>
      <w:r>
        <w:rPr>
          <w:rFonts w:eastAsia="Arial"/>
          <w:color w:val="000000"/>
          <w:szCs w:val="24"/>
        </w:rPr>
        <w:br w:type="page"/>
      </w:r>
    </w:p>
    <w:p w14:paraId="35E59391" w14:textId="4294A8FC" w:rsidR="005C6948" w:rsidRPr="0036198E" w:rsidRDefault="005C6948" w:rsidP="005C6948">
      <w:pPr>
        <w:pStyle w:val="Heading1"/>
        <w:spacing w:line="360" w:lineRule="auto"/>
        <w:rPr>
          <w:rFonts w:eastAsia="Arial" w:cs="Calibri"/>
          <w:b w:val="0"/>
          <w:bCs w:val="0"/>
          <w:color w:val="000000"/>
          <w:sz w:val="20"/>
          <w:szCs w:val="20"/>
        </w:rPr>
      </w:pPr>
      <w:bookmarkStart w:id="10" w:name="_Toc227610520"/>
      <w:r w:rsidRPr="0036198E">
        <w:rPr>
          <w:rFonts w:eastAsia="Arial" w:cs="Calibri"/>
          <w:color w:val="000000"/>
          <w:szCs w:val="28"/>
        </w:rPr>
        <w:lastRenderedPageBreak/>
        <w:t>Part B: Investment Capital Budgeting and Financing Analysis of Beard Plc</w:t>
      </w:r>
      <w:bookmarkEnd w:id="10"/>
    </w:p>
    <w:p w14:paraId="435AF3CC" w14:textId="77777777" w:rsidR="005C6948" w:rsidRPr="0036198E" w:rsidRDefault="005C6948" w:rsidP="005C6948">
      <w:pPr>
        <w:pStyle w:val="Heading1"/>
        <w:spacing w:line="360" w:lineRule="auto"/>
        <w:jc w:val="both"/>
        <w:rPr>
          <w:rFonts w:eastAsia="Arial" w:cs="Calibri"/>
          <w:b w:val="0"/>
          <w:bCs w:val="0"/>
          <w:color w:val="000000"/>
          <w:sz w:val="24"/>
          <w:szCs w:val="24"/>
        </w:rPr>
      </w:pPr>
      <w:bookmarkStart w:id="11" w:name="_Toc227610521"/>
      <w:r w:rsidRPr="0036198E">
        <w:rPr>
          <w:rFonts w:eastAsia="Arial" w:cs="Calibri"/>
          <w:color w:val="000000"/>
          <w:sz w:val="24"/>
          <w:szCs w:val="24"/>
        </w:rPr>
        <w:t>1. Investment Appraisal Using NPV</w:t>
      </w:r>
      <w:bookmarkEnd w:id="11"/>
    </w:p>
    <w:p w14:paraId="1347B5F3"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 xml:space="preserve">The approach of this report is rooted in Net Present Value (NPV), which is used to assess the decision of an investment based on discounted cash flows (Sinaga </w:t>
      </w:r>
      <w:r w:rsidRPr="0036198E">
        <w:rPr>
          <w:rFonts w:eastAsia="Arial"/>
          <w:i/>
          <w:iCs/>
          <w:color w:val="000000"/>
          <w:szCs w:val="24"/>
        </w:rPr>
        <w:t>et al.</w:t>
      </w:r>
      <w:r w:rsidRPr="0036198E">
        <w:rPr>
          <w:rFonts w:eastAsia="Arial"/>
          <w:color w:val="000000"/>
          <w:szCs w:val="24"/>
        </w:rPr>
        <w:t xml:space="preserve">, 2023). This is because the NPV formula is: the present value of future cash inflows less initial investment. The analysis is based on discounted cash flow as it takes into consideration the time value of money by transforming future cash flows into the present value with the help of a discount rate (Dai </w:t>
      </w:r>
      <w:r w:rsidRPr="0036198E">
        <w:rPr>
          <w:rFonts w:eastAsia="Arial"/>
          <w:i/>
          <w:iCs/>
          <w:color w:val="000000"/>
          <w:szCs w:val="24"/>
        </w:rPr>
        <w:t>et al.,</w:t>
      </w:r>
      <w:r w:rsidRPr="0036198E">
        <w:rPr>
          <w:rFonts w:eastAsia="Arial"/>
          <w:color w:val="000000"/>
          <w:szCs w:val="24"/>
        </w:rPr>
        <w:t xml:space="preserve"> 2022). The rationale behind this is that the money that you will get tomorrow will be less valuable than the money that you will get today because of inflation, risk, and opportunity cost. </w:t>
      </w:r>
    </w:p>
    <w:p w14:paraId="00D05657" w14:textId="7C3614FD" w:rsidR="00897B21" w:rsidRPr="00897B21" w:rsidRDefault="005C6948" w:rsidP="00897B21">
      <w:pPr>
        <w:pStyle w:val="Heading2"/>
        <w:numPr>
          <w:ilvl w:val="1"/>
          <w:numId w:val="2"/>
        </w:numPr>
        <w:rPr>
          <w:rFonts w:eastAsia="Arial"/>
        </w:rPr>
      </w:pPr>
      <w:bookmarkStart w:id="12" w:name="_Toc227610522"/>
      <w:r w:rsidRPr="0036198E">
        <w:rPr>
          <w:rFonts w:eastAsia="Arial"/>
        </w:rPr>
        <w:t>Calculation of Cash Flows</w:t>
      </w:r>
      <w:bookmarkEnd w:id="12"/>
    </w:p>
    <w:tbl>
      <w:tblPr>
        <w:tblStyle w:val="GridTable4-Accent4"/>
        <w:tblW w:w="6997" w:type="dxa"/>
        <w:tblLayout w:type="fixed"/>
        <w:tblLook w:val="04A0" w:firstRow="1" w:lastRow="0" w:firstColumn="1" w:lastColumn="0" w:noHBand="0" w:noVBand="1"/>
      </w:tblPr>
      <w:tblGrid>
        <w:gridCol w:w="724"/>
        <w:gridCol w:w="2079"/>
        <w:gridCol w:w="2097"/>
        <w:gridCol w:w="2097"/>
      </w:tblGrid>
      <w:tr w:rsidR="005C6948" w:rsidRPr="0036198E" w14:paraId="26B5F828" w14:textId="77777777" w:rsidTr="00305D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4" w:type="dxa"/>
          </w:tcPr>
          <w:p w14:paraId="658B004B" w14:textId="77777777" w:rsidR="005C6948" w:rsidRPr="0036198E" w:rsidRDefault="005C6948" w:rsidP="00652878">
            <w:pPr>
              <w:spacing w:after="160" w:line="360" w:lineRule="auto"/>
              <w:jc w:val="both"/>
              <w:rPr>
                <w:rFonts w:eastAsia="Arial"/>
                <w:color w:val="000000"/>
              </w:rPr>
            </w:pPr>
            <w:r w:rsidRPr="0036198E">
              <w:rPr>
                <w:rFonts w:eastAsia="Arial"/>
                <w:color w:val="000000"/>
              </w:rPr>
              <w:t>Year</w:t>
            </w:r>
          </w:p>
        </w:tc>
        <w:tc>
          <w:tcPr>
            <w:tcW w:w="2079" w:type="dxa"/>
          </w:tcPr>
          <w:p w14:paraId="20971A76" w14:textId="77777777" w:rsidR="005C6948" w:rsidRPr="0036198E" w:rsidRDefault="005C6948" w:rsidP="0065287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Project A (£’000)</w:t>
            </w:r>
          </w:p>
        </w:tc>
        <w:tc>
          <w:tcPr>
            <w:tcW w:w="2097" w:type="dxa"/>
          </w:tcPr>
          <w:p w14:paraId="5FDED2D8" w14:textId="77777777" w:rsidR="005C6948" w:rsidRPr="0036198E" w:rsidRDefault="005C6948" w:rsidP="0065287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Project B (£’000)</w:t>
            </w:r>
          </w:p>
        </w:tc>
        <w:tc>
          <w:tcPr>
            <w:tcW w:w="2097" w:type="dxa"/>
          </w:tcPr>
          <w:p w14:paraId="024B883B" w14:textId="77777777" w:rsidR="005C6948" w:rsidRPr="0036198E" w:rsidRDefault="005C6948" w:rsidP="0065287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Project C (£’000)</w:t>
            </w:r>
          </w:p>
        </w:tc>
      </w:tr>
      <w:tr w:rsidR="005C6948" w:rsidRPr="0036198E" w14:paraId="560C4C48" w14:textId="77777777" w:rsidTr="00305D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4" w:type="dxa"/>
          </w:tcPr>
          <w:p w14:paraId="2DFDDD44" w14:textId="77777777" w:rsidR="005C6948" w:rsidRPr="0036198E" w:rsidRDefault="005C6948" w:rsidP="00652878">
            <w:pPr>
              <w:spacing w:after="160" w:line="360" w:lineRule="auto"/>
              <w:jc w:val="both"/>
              <w:rPr>
                <w:rFonts w:eastAsia="Arial"/>
                <w:color w:val="000000"/>
              </w:rPr>
            </w:pPr>
            <w:r w:rsidRPr="0036198E">
              <w:rPr>
                <w:rFonts w:eastAsia="Arial"/>
                <w:color w:val="000000"/>
              </w:rPr>
              <w:t>0</w:t>
            </w:r>
          </w:p>
        </w:tc>
        <w:tc>
          <w:tcPr>
            <w:tcW w:w="2079" w:type="dxa"/>
          </w:tcPr>
          <w:p w14:paraId="7F1E5629"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-600,000</w:t>
            </w:r>
          </w:p>
        </w:tc>
        <w:tc>
          <w:tcPr>
            <w:tcW w:w="2097" w:type="dxa"/>
          </w:tcPr>
          <w:p w14:paraId="49DC68A4"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-900,000</w:t>
            </w:r>
          </w:p>
        </w:tc>
        <w:tc>
          <w:tcPr>
            <w:tcW w:w="2097" w:type="dxa"/>
          </w:tcPr>
          <w:p w14:paraId="27A73E43"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-1,000,000</w:t>
            </w:r>
          </w:p>
        </w:tc>
      </w:tr>
      <w:tr w:rsidR="005C6948" w:rsidRPr="0036198E" w14:paraId="26B5C1EC" w14:textId="77777777" w:rsidTr="00305D4C">
        <w:tc>
          <w:tcPr>
            <w:cnfStyle w:val="001000000000" w:firstRow="0" w:lastRow="0" w:firstColumn="1" w:lastColumn="0" w:oddVBand="0" w:evenVBand="0" w:oddHBand="0" w:evenHBand="0" w:firstRowFirstColumn="0" w:firstRowLastColumn="0" w:lastRowFirstColumn="0" w:lastRowLastColumn="0"/>
            <w:tcW w:w="724" w:type="dxa"/>
          </w:tcPr>
          <w:p w14:paraId="30D74BFC" w14:textId="77777777" w:rsidR="005C6948" w:rsidRPr="0036198E" w:rsidRDefault="005C6948" w:rsidP="00652878">
            <w:pPr>
              <w:spacing w:after="160" w:line="360" w:lineRule="auto"/>
              <w:jc w:val="both"/>
              <w:rPr>
                <w:rFonts w:eastAsia="Arial"/>
                <w:color w:val="000000"/>
              </w:rPr>
            </w:pPr>
            <w:r w:rsidRPr="0036198E">
              <w:rPr>
                <w:rFonts w:eastAsia="Arial"/>
                <w:color w:val="000000"/>
              </w:rPr>
              <w:t>1</w:t>
            </w:r>
          </w:p>
        </w:tc>
        <w:tc>
          <w:tcPr>
            <w:tcW w:w="2079" w:type="dxa"/>
          </w:tcPr>
          <w:p w14:paraId="4E8AD69E"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100,000</w:t>
            </w:r>
          </w:p>
        </w:tc>
        <w:tc>
          <w:tcPr>
            <w:tcW w:w="2097" w:type="dxa"/>
          </w:tcPr>
          <w:p w14:paraId="3F583D98"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220,000</w:t>
            </w:r>
          </w:p>
        </w:tc>
        <w:tc>
          <w:tcPr>
            <w:tcW w:w="2097" w:type="dxa"/>
          </w:tcPr>
          <w:p w14:paraId="373FD406"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250,000</w:t>
            </w:r>
          </w:p>
        </w:tc>
      </w:tr>
      <w:tr w:rsidR="005C6948" w:rsidRPr="0036198E" w14:paraId="44CCC841" w14:textId="77777777" w:rsidTr="00305D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4" w:type="dxa"/>
          </w:tcPr>
          <w:p w14:paraId="25DD491C" w14:textId="77777777" w:rsidR="005C6948" w:rsidRPr="0036198E" w:rsidRDefault="005C6948" w:rsidP="00652878">
            <w:pPr>
              <w:spacing w:after="160" w:line="360" w:lineRule="auto"/>
              <w:jc w:val="both"/>
              <w:rPr>
                <w:rFonts w:eastAsia="Arial"/>
                <w:color w:val="000000"/>
              </w:rPr>
            </w:pPr>
            <w:r w:rsidRPr="0036198E">
              <w:rPr>
                <w:rFonts w:eastAsia="Arial"/>
                <w:color w:val="000000"/>
              </w:rPr>
              <w:t>2</w:t>
            </w:r>
          </w:p>
        </w:tc>
        <w:tc>
          <w:tcPr>
            <w:tcW w:w="2079" w:type="dxa"/>
          </w:tcPr>
          <w:p w14:paraId="354A90DD"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180,000</w:t>
            </w:r>
          </w:p>
        </w:tc>
        <w:tc>
          <w:tcPr>
            <w:tcW w:w="2097" w:type="dxa"/>
          </w:tcPr>
          <w:p w14:paraId="08A43206"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270,000</w:t>
            </w:r>
          </w:p>
        </w:tc>
        <w:tc>
          <w:tcPr>
            <w:tcW w:w="2097" w:type="dxa"/>
          </w:tcPr>
          <w:p w14:paraId="1E1FCB73"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310,000</w:t>
            </w:r>
          </w:p>
        </w:tc>
      </w:tr>
      <w:tr w:rsidR="005C6948" w:rsidRPr="0036198E" w14:paraId="729BB3B6" w14:textId="77777777" w:rsidTr="00305D4C">
        <w:tc>
          <w:tcPr>
            <w:cnfStyle w:val="001000000000" w:firstRow="0" w:lastRow="0" w:firstColumn="1" w:lastColumn="0" w:oddVBand="0" w:evenVBand="0" w:oddHBand="0" w:evenHBand="0" w:firstRowFirstColumn="0" w:firstRowLastColumn="0" w:lastRowFirstColumn="0" w:lastRowLastColumn="0"/>
            <w:tcW w:w="724" w:type="dxa"/>
          </w:tcPr>
          <w:p w14:paraId="7F2B3868" w14:textId="77777777" w:rsidR="005C6948" w:rsidRPr="0036198E" w:rsidRDefault="005C6948" w:rsidP="00652878">
            <w:pPr>
              <w:spacing w:after="160" w:line="360" w:lineRule="auto"/>
              <w:jc w:val="both"/>
              <w:rPr>
                <w:rFonts w:eastAsia="Arial"/>
                <w:color w:val="000000"/>
              </w:rPr>
            </w:pPr>
            <w:r w:rsidRPr="0036198E">
              <w:rPr>
                <w:rFonts w:eastAsia="Arial"/>
                <w:color w:val="000000"/>
              </w:rPr>
              <w:t>3</w:t>
            </w:r>
          </w:p>
        </w:tc>
        <w:tc>
          <w:tcPr>
            <w:tcW w:w="2079" w:type="dxa"/>
          </w:tcPr>
          <w:p w14:paraId="381FE2F8"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210,000</w:t>
            </w:r>
          </w:p>
        </w:tc>
        <w:tc>
          <w:tcPr>
            <w:tcW w:w="2097" w:type="dxa"/>
          </w:tcPr>
          <w:p w14:paraId="3A53213B"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350,000</w:t>
            </w:r>
          </w:p>
        </w:tc>
        <w:tc>
          <w:tcPr>
            <w:tcW w:w="2097" w:type="dxa"/>
          </w:tcPr>
          <w:p w14:paraId="222EA5CF"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400,000</w:t>
            </w:r>
          </w:p>
        </w:tc>
      </w:tr>
      <w:tr w:rsidR="005C6948" w:rsidRPr="0036198E" w14:paraId="6E35DB5E" w14:textId="77777777" w:rsidTr="00305D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4" w:type="dxa"/>
          </w:tcPr>
          <w:p w14:paraId="5A4A5230" w14:textId="77777777" w:rsidR="005C6948" w:rsidRPr="0036198E" w:rsidRDefault="005C6948" w:rsidP="00652878">
            <w:pPr>
              <w:spacing w:after="160" w:line="360" w:lineRule="auto"/>
              <w:jc w:val="both"/>
              <w:rPr>
                <w:rFonts w:eastAsia="Arial"/>
                <w:color w:val="000000"/>
              </w:rPr>
            </w:pPr>
            <w:r w:rsidRPr="0036198E">
              <w:rPr>
                <w:rFonts w:eastAsia="Arial"/>
                <w:color w:val="000000"/>
              </w:rPr>
              <w:t>4</w:t>
            </w:r>
          </w:p>
        </w:tc>
        <w:tc>
          <w:tcPr>
            <w:tcW w:w="2079" w:type="dxa"/>
          </w:tcPr>
          <w:p w14:paraId="703FEC0D"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260,000</w:t>
            </w:r>
          </w:p>
        </w:tc>
        <w:tc>
          <w:tcPr>
            <w:tcW w:w="2097" w:type="dxa"/>
          </w:tcPr>
          <w:p w14:paraId="5F4FAF26"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400,000</w:t>
            </w:r>
          </w:p>
        </w:tc>
        <w:tc>
          <w:tcPr>
            <w:tcW w:w="2097" w:type="dxa"/>
          </w:tcPr>
          <w:p w14:paraId="0EFF2B89"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430,000</w:t>
            </w:r>
          </w:p>
        </w:tc>
      </w:tr>
    </w:tbl>
    <w:p w14:paraId="232D929F" w14:textId="77777777" w:rsidR="005C6948" w:rsidRPr="0036198E" w:rsidRDefault="005C6948" w:rsidP="005C6948">
      <w:pPr>
        <w:spacing w:line="360" w:lineRule="auto"/>
        <w:jc w:val="both"/>
        <w:rPr>
          <w:rFonts w:eastAsia="Arial"/>
          <w:color w:val="000000"/>
          <w:szCs w:val="24"/>
        </w:rPr>
      </w:pPr>
    </w:p>
    <w:p w14:paraId="265E9FC7"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Project A will have the least initial cost (£600,000) but the lowest annual inflows, increasing by 100,000 in Years 1 to 260,000 in Years 4. Project B has a greater investment (£900,000) with a gradually growing cash flow between 220,000 and 400,000. Project C is the most expensive to start (£1,000,000) and it provides the best inflows which increase between £250,000 and 430,000. Generally, there is an upward trend of cash flow with respect to profitability over the years with Project C exhibiting the greatest growth potential.</w:t>
      </w:r>
    </w:p>
    <w:p w14:paraId="65A9A4D9" w14:textId="77777777" w:rsidR="00897B21" w:rsidRDefault="00897B21" w:rsidP="005C6948">
      <w:pPr>
        <w:pStyle w:val="Heading2"/>
        <w:spacing w:line="360" w:lineRule="auto"/>
        <w:jc w:val="both"/>
        <w:rPr>
          <w:rFonts w:eastAsia="Arial" w:cs="Calibri"/>
          <w:bCs/>
          <w:color w:val="000000"/>
          <w:szCs w:val="24"/>
        </w:rPr>
      </w:pPr>
    </w:p>
    <w:p w14:paraId="172449BF" w14:textId="15291F7C" w:rsidR="005C6948" w:rsidRPr="0036198E" w:rsidRDefault="005C6948" w:rsidP="005C6948">
      <w:pPr>
        <w:pStyle w:val="Heading2"/>
        <w:spacing w:line="360" w:lineRule="auto"/>
        <w:jc w:val="both"/>
        <w:rPr>
          <w:rFonts w:eastAsia="Arial" w:cs="Calibri"/>
          <w:b w:val="0"/>
          <w:bCs/>
          <w:color w:val="000000"/>
          <w:szCs w:val="24"/>
        </w:rPr>
      </w:pPr>
      <w:bookmarkStart w:id="13" w:name="_Toc227610523"/>
      <w:r w:rsidRPr="0036198E">
        <w:rPr>
          <w:rFonts w:eastAsia="Arial" w:cs="Calibri"/>
          <w:bCs/>
          <w:color w:val="000000"/>
          <w:szCs w:val="24"/>
        </w:rPr>
        <w:t>1.2 Discounting Cash Flows</w:t>
      </w:r>
      <w:bookmarkEnd w:id="13"/>
    </w:p>
    <w:tbl>
      <w:tblPr>
        <w:tblStyle w:val="GridTable4-Accent4"/>
        <w:tblW w:w="5677" w:type="dxa"/>
        <w:tblLayout w:type="fixed"/>
        <w:tblLook w:val="04A0" w:firstRow="1" w:lastRow="0" w:firstColumn="1" w:lastColumn="0" w:noHBand="0" w:noVBand="1"/>
      </w:tblPr>
      <w:tblGrid>
        <w:gridCol w:w="724"/>
        <w:gridCol w:w="1639"/>
        <w:gridCol w:w="1657"/>
        <w:gridCol w:w="1657"/>
      </w:tblGrid>
      <w:tr w:rsidR="005C6948" w:rsidRPr="0036198E" w14:paraId="177B652C" w14:textId="77777777" w:rsidTr="00305D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4" w:type="dxa"/>
          </w:tcPr>
          <w:p w14:paraId="662DDD8E" w14:textId="77777777" w:rsidR="005C6948" w:rsidRPr="0036198E" w:rsidRDefault="005C6948" w:rsidP="00652878">
            <w:pPr>
              <w:spacing w:after="160" w:line="360" w:lineRule="auto"/>
              <w:jc w:val="both"/>
              <w:rPr>
                <w:rFonts w:eastAsia="Arial"/>
                <w:color w:val="000000"/>
              </w:rPr>
            </w:pPr>
            <w:r w:rsidRPr="0036198E">
              <w:rPr>
                <w:rFonts w:eastAsia="Arial"/>
                <w:color w:val="000000"/>
              </w:rPr>
              <w:t>Year</w:t>
            </w:r>
          </w:p>
        </w:tc>
        <w:tc>
          <w:tcPr>
            <w:tcW w:w="1639" w:type="dxa"/>
          </w:tcPr>
          <w:p w14:paraId="08998122" w14:textId="77777777" w:rsidR="005C6948" w:rsidRPr="0036198E" w:rsidRDefault="005C6948" w:rsidP="0065287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Project A PV</w:t>
            </w:r>
          </w:p>
        </w:tc>
        <w:tc>
          <w:tcPr>
            <w:tcW w:w="1657" w:type="dxa"/>
          </w:tcPr>
          <w:p w14:paraId="03FBA216" w14:textId="77777777" w:rsidR="005C6948" w:rsidRPr="0036198E" w:rsidRDefault="005C6948" w:rsidP="0065287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Project B PV</w:t>
            </w:r>
          </w:p>
        </w:tc>
        <w:tc>
          <w:tcPr>
            <w:tcW w:w="1657" w:type="dxa"/>
          </w:tcPr>
          <w:p w14:paraId="6785EA53" w14:textId="77777777" w:rsidR="005C6948" w:rsidRPr="0036198E" w:rsidRDefault="005C6948" w:rsidP="0065287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Project C PV</w:t>
            </w:r>
          </w:p>
        </w:tc>
      </w:tr>
      <w:tr w:rsidR="005C6948" w:rsidRPr="0036198E" w14:paraId="3F72119C" w14:textId="77777777" w:rsidTr="00305D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4" w:type="dxa"/>
          </w:tcPr>
          <w:p w14:paraId="73E4F57D" w14:textId="77777777" w:rsidR="005C6948" w:rsidRPr="0036198E" w:rsidRDefault="005C6948" w:rsidP="00652878">
            <w:pPr>
              <w:spacing w:after="160" w:line="360" w:lineRule="auto"/>
              <w:jc w:val="both"/>
              <w:rPr>
                <w:rFonts w:eastAsia="Arial"/>
                <w:color w:val="000000"/>
              </w:rPr>
            </w:pPr>
            <w:r w:rsidRPr="0036198E">
              <w:rPr>
                <w:rFonts w:eastAsia="Arial"/>
                <w:color w:val="000000"/>
              </w:rPr>
              <w:t>0</w:t>
            </w:r>
          </w:p>
        </w:tc>
        <w:tc>
          <w:tcPr>
            <w:tcW w:w="1639" w:type="dxa"/>
          </w:tcPr>
          <w:p w14:paraId="31AAB891"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-600,000</w:t>
            </w:r>
          </w:p>
        </w:tc>
        <w:tc>
          <w:tcPr>
            <w:tcW w:w="1657" w:type="dxa"/>
          </w:tcPr>
          <w:p w14:paraId="7D776BC3"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-900,000</w:t>
            </w:r>
          </w:p>
        </w:tc>
        <w:tc>
          <w:tcPr>
            <w:tcW w:w="1657" w:type="dxa"/>
          </w:tcPr>
          <w:p w14:paraId="696E16EB"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-1,000,000</w:t>
            </w:r>
          </w:p>
        </w:tc>
      </w:tr>
      <w:tr w:rsidR="005C6948" w:rsidRPr="0036198E" w14:paraId="769C0F00" w14:textId="77777777" w:rsidTr="00305D4C">
        <w:tc>
          <w:tcPr>
            <w:cnfStyle w:val="001000000000" w:firstRow="0" w:lastRow="0" w:firstColumn="1" w:lastColumn="0" w:oddVBand="0" w:evenVBand="0" w:oddHBand="0" w:evenHBand="0" w:firstRowFirstColumn="0" w:firstRowLastColumn="0" w:lastRowFirstColumn="0" w:lastRowLastColumn="0"/>
            <w:tcW w:w="724" w:type="dxa"/>
          </w:tcPr>
          <w:p w14:paraId="161A5827" w14:textId="77777777" w:rsidR="005C6948" w:rsidRPr="0036198E" w:rsidRDefault="005C6948" w:rsidP="00652878">
            <w:pPr>
              <w:spacing w:after="160" w:line="360" w:lineRule="auto"/>
              <w:jc w:val="both"/>
              <w:rPr>
                <w:rFonts w:eastAsia="Arial"/>
                <w:color w:val="000000"/>
              </w:rPr>
            </w:pPr>
            <w:r w:rsidRPr="0036198E">
              <w:rPr>
                <w:rFonts w:eastAsia="Arial"/>
                <w:color w:val="000000"/>
              </w:rPr>
              <w:t>1</w:t>
            </w:r>
          </w:p>
        </w:tc>
        <w:tc>
          <w:tcPr>
            <w:tcW w:w="1639" w:type="dxa"/>
          </w:tcPr>
          <w:p w14:paraId="0BB498C7"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100,002</w:t>
            </w:r>
          </w:p>
        </w:tc>
        <w:tc>
          <w:tcPr>
            <w:tcW w:w="1657" w:type="dxa"/>
          </w:tcPr>
          <w:p w14:paraId="2A55BE25"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200,004</w:t>
            </w:r>
          </w:p>
        </w:tc>
        <w:tc>
          <w:tcPr>
            <w:tcW w:w="1657" w:type="dxa"/>
          </w:tcPr>
          <w:p w14:paraId="366C5F98"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226,195</w:t>
            </w:r>
          </w:p>
        </w:tc>
      </w:tr>
      <w:tr w:rsidR="005C6948" w:rsidRPr="0036198E" w14:paraId="32A33A76" w14:textId="77777777" w:rsidTr="00305D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4" w:type="dxa"/>
          </w:tcPr>
          <w:p w14:paraId="5BF86976" w14:textId="77777777" w:rsidR="005C6948" w:rsidRPr="0036198E" w:rsidRDefault="005C6948" w:rsidP="00652878">
            <w:pPr>
              <w:spacing w:after="160" w:line="360" w:lineRule="auto"/>
              <w:jc w:val="both"/>
              <w:rPr>
                <w:rFonts w:eastAsia="Arial"/>
                <w:color w:val="000000"/>
              </w:rPr>
            </w:pPr>
            <w:r w:rsidRPr="0036198E">
              <w:rPr>
                <w:rFonts w:eastAsia="Arial"/>
                <w:color w:val="000000"/>
              </w:rPr>
              <w:t>2</w:t>
            </w:r>
          </w:p>
        </w:tc>
        <w:tc>
          <w:tcPr>
            <w:tcW w:w="1639" w:type="dxa"/>
          </w:tcPr>
          <w:p w14:paraId="63F2B473"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149,655</w:t>
            </w:r>
          </w:p>
        </w:tc>
        <w:tc>
          <w:tcPr>
            <w:tcW w:w="1657" w:type="dxa"/>
          </w:tcPr>
          <w:p w14:paraId="71017EC9"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224,482.5</w:t>
            </w:r>
          </w:p>
        </w:tc>
        <w:tc>
          <w:tcPr>
            <w:tcW w:w="1657" w:type="dxa"/>
          </w:tcPr>
          <w:p w14:paraId="6169CB25"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256,227.5</w:t>
            </w:r>
          </w:p>
        </w:tc>
      </w:tr>
      <w:tr w:rsidR="005C6948" w:rsidRPr="0036198E" w14:paraId="3436C7F8" w14:textId="77777777" w:rsidTr="00305D4C">
        <w:tc>
          <w:tcPr>
            <w:cnfStyle w:val="001000000000" w:firstRow="0" w:lastRow="0" w:firstColumn="1" w:lastColumn="0" w:oddVBand="0" w:evenVBand="0" w:oddHBand="0" w:evenHBand="0" w:firstRowFirstColumn="0" w:firstRowLastColumn="0" w:lastRowFirstColumn="0" w:lastRowLastColumn="0"/>
            <w:tcW w:w="724" w:type="dxa"/>
          </w:tcPr>
          <w:p w14:paraId="3B06898C" w14:textId="77777777" w:rsidR="005C6948" w:rsidRPr="0036198E" w:rsidRDefault="005C6948" w:rsidP="00652878">
            <w:pPr>
              <w:spacing w:after="160" w:line="360" w:lineRule="auto"/>
              <w:jc w:val="both"/>
              <w:rPr>
                <w:rFonts w:eastAsia="Arial"/>
                <w:color w:val="000000"/>
              </w:rPr>
            </w:pPr>
            <w:r w:rsidRPr="0036198E">
              <w:rPr>
                <w:rFonts w:eastAsia="Arial"/>
                <w:color w:val="000000"/>
              </w:rPr>
              <w:t>3</w:t>
            </w:r>
          </w:p>
        </w:tc>
        <w:tc>
          <w:tcPr>
            <w:tcW w:w="1639" w:type="dxa"/>
          </w:tcPr>
          <w:p w14:paraId="04D7A10C"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161,962.5</w:t>
            </w:r>
          </w:p>
        </w:tc>
        <w:tc>
          <w:tcPr>
            <w:tcW w:w="1657" w:type="dxa"/>
          </w:tcPr>
          <w:p w14:paraId="5F49ED06"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265,618.5</w:t>
            </w:r>
          </w:p>
        </w:tc>
        <w:tc>
          <w:tcPr>
            <w:tcW w:w="1657" w:type="dxa"/>
          </w:tcPr>
          <w:p w14:paraId="3216EAB4"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302,330</w:t>
            </w:r>
          </w:p>
        </w:tc>
      </w:tr>
      <w:tr w:rsidR="005C6948" w:rsidRPr="0036198E" w14:paraId="531C6E56" w14:textId="77777777" w:rsidTr="00305D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4" w:type="dxa"/>
          </w:tcPr>
          <w:p w14:paraId="34A240FF" w14:textId="77777777" w:rsidR="005C6948" w:rsidRPr="0036198E" w:rsidRDefault="005C6948" w:rsidP="00652878">
            <w:pPr>
              <w:spacing w:after="160" w:line="360" w:lineRule="auto"/>
              <w:jc w:val="both"/>
              <w:rPr>
                <w:rFonts w:eastAsia="Arial"/>
                <w:color w:val="000000"/>
              </w:rPr>
            </w:pPr>
            <w:r w:rsidRPr="0036198E">
              <w:rPr>
                <w:rFonts w:eastAsia="Arial"/>
                <w:color w:val="000000"/>
              </w:rPr>
              <w:t>4</w:t>
            </w:r>
          </w:p>
        </w:tc>
        <w:tc>
          <w:tcPr>
            <w:tcW w:w="1639" w:type="dxa"/>
          </w:tcPr>
          <w:p w14:paraId="4FA4508D"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185,107.5</w:t>
            </w:r>
          </w:p>
        </w:tc>
        <w:tc>
          <w:tcPr>
            <w:tcW w:w="1657" w:type="dxa"/>
          </w:tcPr>
          <w:p w14:paraId="6DB309DC"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283,831.5</w:t>
            </w:r>
          </w:p>
        </w:tc>
        <w:tc>
          <w:tcPr>
            <w:tcW w:w="1657" w:type="dxa"/>
          </w:tcPr>
          <w:p w14:paraId="088E388F"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306,455.75</w:t>
            </w:r>
          </w:p>
        </w:tc>
      </w:tr>
    </w:tbl>
    <w:p w14:paraId="1F12834B" w14:textId="77777777" w:rsidR="006D3113" w:rsidRDefault="006D3113" w:rsidP="005C6948">
      <w:pPr>
        <w:spacing w:line="360" w:lineRule="auto"/>
        <w:jc w:val="both"/>
        <w:rPr>
          <w:rFonts w:eastAsia="Arial"/>
          <w:color w:val="000000"/>
          <w:szCs w:val="24"/>
        </w:rPr>
      </w:pPr>
    </w:p>
    <w:p w14:paraId="04C1AF6A" w14:textId="20560535" w:rsidR="005C6948" w:rsidRPr="0036198E" w:rsidRDefault="005C6948" w:rsidP="005C6948">
      <w:pPr>
        <w:spacing w:line="360" w:lineRule="auto"/>
        <w:jc w:val="both"/>
        <w:rPr>
          <w:rFonts w:eastAsia="Arial"/>
          <w:color w:val="000000"/>
          <w:szCs w:val="24"/>
        </w:rPr>
      </w:pPr>
      <w:r w:rsidRPr="0036198E">
        <w:rPr>
          <w:rFonts w:eastAsia="Arial"/>
          <w:color w:val="000000"/>
          <w:szCs w:val="24"/>
        </w:rPr>
        <w:t>The discounted cash flow table illustrates the present value (PV), of future cash inflows of each project has been adjusted to the time value of money. Project A PV decreases between Years 1 and 4 to a cumulative amount of £100,000 in 1 and 185,107.5 respectively which show that it creates minimal value. Project B has better discounted returns with PV growing to reach £283,831.5 in Year 4. Project C provides the greatest PVs, in all years, with a peak of £306,455.75 in Year 4. This shows that Project C yields the highest present-day value of future cash inflows whilst Project A is relatively weak even after discounting.</w:t>
      </w:r>
    </w:p>
    <w:p w14:paraId="157324A4" w14:textId="6C4C03A5" w:rsidR="005C6948" w:rsidRPr="0036198E" w:rsidRDefault="005C6948" w:rsidP="006D3113">
      <w:pPr>
        <w:spacing w:line="278" w:lineRule="auto"/>
        <w:rPr>
          <w:rFonts w:eastAsia="Arial"/>
          <w:b/>
          <w:bCs/>
          <w:color w:val="000000"/>
          <w:szCs w:val="24"/>
        </w:rPr>
      </w:pPr>
      <w:r w:rsidRPr="0036198E">
        <w:rPr>
          <w:rFonts w:eastAsia="Arial"/>
          <w:b/>
          <w:bCs/>
          <w:color w:val="000000"/>
          <w:szCs w:val="24"/>
        </w:rPr>
        <w:t>1.3 NPV Results Summary Table</w:t>
      </w:r>
    </w:p>
    <w:tbl>
      <w:tblPr>
        <w:tblStyle w:val="GridTable4-Accent4"/>
        <w:tblW w:w="9016" w:type="dxa"/>
        <w:tblLayout w:type="fixed"/>
        <w:tblLook w:val="04A0" w:firstRow="1" w:lastRow="0" w:firstColumn="1" w:lastColumn="0" w:noHBand="0" w:noVBand="1"/>
      </w:tblPr>
      <w:tblGrid>
        <w:gridCol w:w="1030"/>
        <w:gridCol w:w="2555"/>
        <w:gridCol w:w="2533"/>
        <w:gridCol w:w="1371"/>
        <w:gridCol w:w="1527"/>
      </w:tblGrid>
      <w:tr w:rsidR="005C6948" w:rsidRPr="0036198E" w14:paraId="10E3901A" w14:textId="77777777" w:rsidTr="00305D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30" w:type="dxa"/>
          </w:tcPr>
          <w:p w14:paraId="7D5164B7" w14:textId="77777777" w:rsidR="005C6948" w:rsidRPr="0036198E" w:rsidRDefault="005C6948" w:rsidP="00652878">
            <w:pPr>
              <w:spacing w:after="160" w:line="360" w:lineRule="auto"/>
              <w:jc w:val="both"/>
              <w:rPr>
                <w:rFonts w:eastAsia="Arial"/>
                <w:color w:val="000000"/>
              </w:rPr>
            </w:pPr>
            <w:r w:rsidRPr="0036198E">
              <w:rPr>
                <w:rFonts w:eastAsia="Arial"/>
                <w:color w:val="000000"/>
              </w:rPr>
              <w:t>Project</w:t>
            </w:r>
          </w:p>
        </w:tc>
        <w:tc>
          <w:tcPr>
            <w:tcW w:w="2555" w:type="dxa"/>
          </w:tcPr>
          <w:p w14:paraId="3691C913" w14:textId="77777777" w:rsidR="005C6948" w:rsidRPr="0036198E" w:rsidRDefault="005C6948" w:rsidP="0065287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Initial Investment (£’000)</w:t>
            </w:r>
          </w:p>
        </w:tc>
        <w:tc>
          <w:tcPr>
            <w:tcW w:w="2533" w:type="dxa"/>
          </w:tcPr>
          <w:p w14:paraId="11DBBCD7" w14:textId="77777777" w:rsidR="005C6948" w:rsidRPr="0036198E" w:rsidRDefault="005C6948" w:rsidP="0065287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PV of Cash Flows (£’000)</w:t>
            </w:r>
          </w:p>
        </w:tc>
        <w:tc>
          <w:tcPr>
            <w:tcW w:w="1371" w:type="dxa"/>
          </w:tcPr>
          <w:p w14:paraId="35E83CE7" w14:textId="77777777" w:rsidR="005C6948" w:rsidRPr="0036198E" w:rsidRDefault="005C6948" w:rsidP="0065287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NPV (£’000)</w:t>
            </w:r>
          </w:p>
        </w:tc>
        <w:tc>
          <w:tcPr>
            <w:tcW w:w="1527" w:type="dxa"/>
          </w:tcPr>
          <w:p w14:paraId="2975379F" w14:textId="77777777" w:rsidR="005C6948" w:rsidRPr="0036198E" w:rsidRDefault="005C6948" w:rsidP="0065287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Decision</w:t>
            </w:r>
          </w:p>
        </w:tc>
      </w:tr>
      <w:tr w:rsidR="005C6948" w:rsidRPr="0036198E" w14:paraId="638C2CC6" w14:textId="77777777" w:rsidTr="00305D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30" w:type="dxa"/>
          </w:tcPr>
          <w:p w14:paraId="051BF7E9" w14:textId="77777777" w:rsidR="005C6948" w:rsidRPr="0036198E" w:rsidRDefault="005C6948" w:rsidP="00652878">
            <w:pPr>
              <w:spacing w:after="160" w:line="360" w:lineRule="auto"/>
              <w:jc w:val="both"/>
              <w:rPr>
                <w:rFonts w:eastAsia="Arial"/>
                <w:color w:val="000000"/>
              </w:rPr>
            </w:pPr>
            <w:r w:rsidRPr="0036198E">
              <w:rPr>
                <w:rFonts w:eastAsia="Arial"/>
                <w:color w:val="000000"/>
              </w:rPr>
              <w:t>A</w:t>
            </w:r>
          </w:p>
        </w:tc>
        <w:tc>
          <w:tcPr>
            <w:tcW w:w="2555" w:type="dxa"/>
          </w:tcPr>
          <w:p w14:paraId="1D025D8B"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600,000</w:t>
            </w:r>
          </w:p>
        </w:tc>
        <w:tc>
          <w:tcPr>
            <w:tcW w:w="2533" w:type="dxa"/>
          </w:tcPr>
          <w:p w14:paraId="7ECB644D"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596,727</w:t>
            </w:r>
          </w:p>
        </w:tc>
        <w:tc>
          <w:tcPr>
            <w:tcW w:w="1371" w:type="dxa"/>
          </w:tcPr>
          <w:p w14:paraId="5BD3D0C3"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b/>
                <w:bCs/>
                <w:color w:val="000000"/>
              </w:rPr>
              <w:t>-3,273</w:t>
            </w:r>
          </w:p>
        </w:tc>
        <w:tc>
          <w:tcPr>
            <w:tcW w:w="1527" w:type="dxa"/>
          </w:tcPr>
          <w:p w14:paraId="67FCAD2B"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Reject</w:t>
            </w:r>
          </w:p>
        </w:tc>
      </w:tr>
      <w:tr w:rsidR="005C6948" w:rsidRPr="0036198E" w14:paraId="196FC8EB" w14:textId="77777777" w:rsidTr="00305D4C">
        <w:tc>
          <w:tcPr>
            <w:cnfStyle w:val="001000000000" w:firstRow="0" w:lastRow="0" w:firstColumn="1" w:lastColumn="0" w:oddVBand="0" w:evenVBand="0" w:oddHBand="0" w:evenHBand="0" w:firstRowFirstColumn="0" w:firstRowLastColumn="0" w:lastRowFirstColumn="0" w:lastRowLastColumn="0"/>
            <w:tcW w:w="1030" w:type="dxa"/>
          </w:tcPr>
          <w:p w14:paraId="139EA630" w14:textId="77777777" w:rsidR="005C6948" w:rsidRPr="0036198E" w:rsidRDefault="005C6948" w:rsidP="00652878">
            <w:pPr>
              <w:spacing w:after="160" w:line="360" w:lineRule="auto"/>
              <w:jc w:val="both"/>
              <w:rPr>
                <w:rFonts w:eastAsia="Arial"/>
                <w:color w:val="000000"/>
              </w:rPr>
            </w:pPr>
            <w:r w:rsidRPr="0036198E">
              <w:rPr>
                <w:rFonts w:eastAsia="Arial"/>
                <w:color w:val="000000"/>
              </w:rPr>
              <w:t>B</w:t>
            </w:r>
          </w:p>
        </w:tc>
        <w:tc>
          <w:tcPr>
            <w:tcW w:w="2555" w:type="dxa"/>
          </w:tcPr>
          <w:p w14:paraId="485A3563"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900,000</w:t>
            </w:r>
          </w:p>
        </w:tc>
        <w:tc>
          <w:tcPr>
            <w:tcW w:w="2533" w:type="dxa"/>
          </w:tcPr>
          <w:p w14:paraId="47BEE869"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973,937</w:t>
            </w:r>
          </w:p>
        </w:tc>
        <w:tc>
          <w:tcPr>
            <w:tcW w:w="1371" w:type="dxa"/>
          </w:tcPr>
          <w:p w14:paraId="01E6EEFF"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b/>
                <w:bCs/>
                <w:color w:val="000000"/>
              </w:rPr>
              <w:t>73,937</w:t>
            </w:r>
          </w:p>
        </w:tc>
        <w:tc>
          <w:tcPr>
            <w:tcW w:w="1527" w:type="dxa"/>
          </w:tcPr>
          <w:p w14:paraId="136B60DD"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Accept</w:t>
            </w:r>
          </w:p>
        </w:tc>
      </w:tr>
      <w:tr w:rsidR="005C6948" w:rsidRPr="0036198E" w14:paraId="0C735080" w14:textId="77777777" w:rsidTr="00305D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30" w:type="dxa"/>
          </w:tcPr>
          <w:p w14:paraId="707BA68D" w14:textId="77777777" w:rsidR="005C6948" w:rsidRPr="0036198E" w:rsidRDefault="005C6948" w:rsidP="00652878">
            <w:pPr>
              <w:spacing w:after="160" w:line="360" w:lineRule="auto"/>
              <w:jc w:val="both"/>
              <w:rPr>
                <w:rFonts w:eastAsia="Arial"/>
                <w:color w:val="000000"/>
              </w:rPr>
            </w:pPr>
            <w:r w:rsidRPr="0036198E">
              <w:rPr>
                <w:rFonts w:eastAsia="Arial"/>
                <w:color w:val="000000"/>
              </w:rPr>
              <w:t>C</w:t>
            </w:r>
          </w:p>
        </w:tc>
        <w:tc>
          <w:tcPr>
            <w:tcW w:w="2555" w:type="dxa"/>
          </w:tcPr>
          <w:p w14:paraId="52B15E7E"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1,000,000</w:t>
            </w:r>
          </w:p>
        </w:tc>
        <w:tc>
          <w:tcPr>
            <w:tcW w:w="2533" w:type="dxa"/>
          </w:tcPr>
          <w:p w14:paraId="7982D792"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1,091,208</w:t>
            </w:r>
          </w:p>
        </w:tc>
        <w:tc>
          <w:tcPr>
            <w:tcW w:w="1371" w:type="dxa"/>
          </w:tcPr>
          <w:p w14:paraId="2B94E70A"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b/>
                <w:bCs/>
                <w:color w:val="000000"/>
              </w:rPr>
              <w:t>91,208</w:t>
            </w:r>
          </w:p>
        </w:tc>
        <w:tc>
          <w:tcPr>
            <w:tcW w:w="1527" w:type="dxa"/>
          </w:tcPr>
          <w:p w14:paraId="0A702CCC"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Accept (Best)</w:t>
            </w:r>
          </w:p>
        </w:tc>
      </w:tr>
    </w:tbl>
    <w:p w14:paraId="3E3748F7" w14:textId="77777777" w:rsidR="001D471A" w:rsidRPr="0036198E" w:rsidRDefault="001D471A" w:rsidP="005C6948">
      <w:pPr>
        <w:spacing w:line="360" w:lineRule="auto"/>
        <w:jc w:val="both"/>
        <w:rPr>
          <w:rFonts w:eastAsia="Arial"/>
          <w:color w:val="000000"/>
          <w:szCs w:val="24"/>
        </w:rPr>
      </w:pPr>
    </w:p>
    <w:p w14:paraId="3EE3EF6E" w14:textId="0E11069C" w:rsidR="005C6948" w:rsidRPr="0036198E" w:rsidRDefault="005C6948" w:rsidP="005C6948">
      <w:pPr>
        <w:spacing w:line="360" w:lineRule="auto"/>
        <w:jc w:val="both"/>
        <w:rPr>
          <w:rFonts w:eastAsia="Arial"/>
          <w:color w:val="000000"/>
          <w:szCs w:val="24"/>
        </w:rPr>
      </w:pPr>
      <w:r w:rsidRPr="0036198E">
        <w:rPr>
          <w:rFonts w:eastAsia="Arial"/>
          <w:color w:val="000000"/>
          <w:szCs w:val="24"/>
        </w:rPr>
        <w:t xml:space="preserve">The results of the NPV show the general financial feasibility of every project </w:t>
      </w:r>
      <w:proofErr w:type="gramStart"/>
      <w:r w:rsidRPr="0036198E">
        <w:rPr>
          <w:rFonts w:eastAsia="Arial"/>
          <w:color w:val="000000"/>
          <w:szCs w:val="24"/>
        </w:rPr>
        <w:t>taking into account</w:t>
      </w:r>
      <w:proofErr w:type="gramEnd"/>
      <w:r w:rsidRPr="0036198E">
        <w:rPr>
          <w:rFonts w:eastAsia="Arial"/>
          <w:color w:val="000000"/>
          <w:szCs w:val="24"/>
        </w:rPr>
        <w:t xml:space="preserve"> discounted cash inflows and initial investment. Project A has a negative NPV of -£3,273, which implies that it does not provide good returns and must be rejected. Project B </w:t>
      </w:r>
      <w:r w:rsidRPr="0036198E">
        <w:rPr>
          <w:rFonts w:eastAsia="Arial"/>
          <w:color w:val="000000"/>
          <w:szCs w:val="24"/>
        </w:rPr>
        <w:lastRenderedPageBreak/>
        <w:t xml:space="preserve">gives a positive NPV of </w:t>
      </w:r>
      <w:proofErr w:type="gramStart"/>
      <w:r w:rsidRPr="0036198E">
        <w:rPr>
          <w:rFonts w:eastAsia="Arial"/>
          <w:color w:val="000000"/>
          <w:szCs w:val="24"/>
        </w:rPr>
        <w:t>73,937, and</w:t>
      </w:r>
      <w:proofErr w:type="gramEnd"/>
      <w:r w:rsidRPr="0036198E">
        <w:rPr>
          <w:rFonts w:eastAsia="Arial"/>
          <w:color w:val="000000"/>
          <w:szCs w:val="24"/>
        </w:rPr>
        <w:t xml:space="preserve"> therefore is financially acceptable. Project C is the most effective one with the NPV of the greatest values at 91,208, which shows the best shareholder value creation. Thus, both B and C can be regarded as viable investments although Project C is the most appealing one as it has a better net value and a higher long-term profitability than the other projects.</w:t>
      </w:r>
    </w:p>
    <w:p w14:paraId="79ABD740" w14:textId="65458B13" w:rsidR="005C6948" w:rsidRPr="0036198E" w:rsidRDefault="005C6948" w:rsidP="000F2814">
      <w:pPr>
        <w:pStyle w:val="Heading2"/>
        <w:rPr>
          <w:rFonts w:eastAsia="Arial"/>
          <w:bCs/>
        </w:rPr>
      </w:pPr>
      <w:bookmarkStart w:id="14" w:name="_Toc227610524"/>
      <w:r w:rsidRPr="0036198E">
        <w:rPr>
          <w:rFonts w:eastAsia="Arial"/>
        </w:rPr>
        <w:t>2. Internal Rate of Return (IRR) – Selected Project</w:t>
      </w:r>
      <w:bookmarkEnd w:id="14"/>
      <w:r w:rsidRPr="0036198E">
        <w:rPr>
          <w:rFonts w:eastAsia="Arial"/>
        </w:rPr>
        <w:t xml:space="preserve"> </w:t>
      </w:r>
    </w:p>
    <w:p w14:paraId="7A510E79" w14:textId="77777777" w:rsidR="00502C17" w:rsidRPr="0036198E" w:rsidRDefault="005C6948" w:rsidP="00502C17">
      <w:pPr>
        <w:spacing w:line="360" w:lineRule="auto"/>
        <w:jc w:val="both"/>
        <w:rPr>
          <w:rFonts w:eastAsia="Arial"/>
          <w:color w:val="000000"/>
          <w:szCs w:val="24"/>
        </w:rPr>
      </w:pPr>
      <w:r w:rsidRPr="0036198E">
        <w:rPr>
          <w:rFonts w:eastAsia="Arial"/>
          <w:color w:val="000000"/>
          <w:szCs w:val="24"/>
        </w:rPr>
        <w:t xml:space="preserve">The discount rate of the Net Present Value (NPV) of the project is the IRR at which the NPV takes the value of zero. Calculation of the IRR is done through trial and error or interpolation method which involves selecting two discount rates, one with a positive NPV and the other with a negative NPV (Czipf, 2025). </w:t>
      </w:r>
    </w:p>
    <w:p w14:paraId="1AD14469" w14:textId="4E67AC7D" w:rsidR="005C6948" w:rsidRPr="00393FDB" w:rsidRDefault="005C6948" w:rsidP="007946DE">
      <w:pPr>
        <w:pStyle w:val="Heading2"/>
        <w:rPr>
          <w:rFonts w:eastAsia="Arial"/>
        </w:rPr>
      </w:pPr>
      <w:bookmarkStart w:id="15" w:name="_Toc227610525"/>
      <w:r w:rsidRPr="00393FDB">
        <w:rPr>
          <w:rFonts w:eastAsia="Arial"/>
        </w:rPr>
        <w:t>2.1 IRR Result</w:t>
      </w:r>
      <w:bookmarkEnd w:id="15"/>
    </w:p>
    <w:tbl>
      <w:tblPr>
        <w:tblStyle w:val="GridTable4-Accent4"/>
        <w:tblW w:w="3865" w:type="dxa"/>
        <w:tblLayout w:type="fixed"/>
        <w:tblLook w:val="04A0" w:firstRow="1" w:lastRow="0" w:firstColumn="1" w:lastColumn="0" w:noHBand="0" w:noVBand="1"/>
      </w:tblPr>
      <w:tblGrid>
        <w:gridCol w:w="1615"/>
        <w:gridCol w:w="2250"/>
      </w:tblGrid>
      <w:tr w:rsidR="005C6948" w:rsidRPr="0036198E" w14:paraId="79245D86" w14:textId="77777777" w:rsidTr="00305D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gridSpan w:val="2"/>
          </w:tcPr>
          <w:p w14:paraId="693A3587" w14:textId="77777777" w:rsidR="005C6948" w:rsidRPr="0036198E" w:rsidRDefault="005C6948" w:rsidP="00652878">
            <w:pPr>
              <w:spacing w:line="360" w:lineRule="auto"/>
              <w:jc w:val="both"/>
              <w:rPr>
                <w:rFonts w:eastAsia="Arial"/>
                <w:color w:val="000000"/>
              </w:rPr>
            </w:pPr>
            <w:r w:rsidRPr="0036198E">
              <w:rPr>
                <w:rFonts w:eastAsia="Arial"/>
                <w:b w:val="0"/>
                <w:bCs w:val="0"/>
                <w:color w:val="000000"/>
              </w:rPr>
              <w:t>NPV at 12%</w:t>
            </w:r>
          </w:p>
        </w:tc>
      </w:tr>
      <w:tr w:rsidR="005C6948" w:rsidRPr="0036198E" w14:paraId="26E240D9" w14:textId="77777777" w:rsidTr="00305D4C">
        <w:trPr>
          <w:cnfStyle w:val="000000100000" w:firstRow="0" w:lastRow="0" w:firstColumn="0" w:lastColumn="0" w:oddVBand="0" w:evenVBand="0" w:oddHBand="1"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1615" w:type="dxa"/>
          </w:tcPr>
          <w:p w14:paraId="0324C396" w14:textId="77777777" w:rsidR="005C6948" w:rsidRPr="0036198E" w:rsidRDefault="005C6948" w:rsidP="00652878">
            <w:pPr>
              <w:spacing w:line="360" w:lineRule="auto"/>
              <w:jc w:val="both"/>
              <w:rPr>
                <w:rFonts w:eastAsia="Arial"/>
                <w:color w:val="000000"/>
              </w:rPr>
            </w:pPr>
            <w:r w:rsidRPr="0036198E">
              <w:rPr>
                <w:rFonts w:eastAsia="Arial"/>
                <w:b w:val="0"/>
                <w:bCs w:val="0"/>
                <w:color w:val="000000"/>
              </w:rPr>
              <w:t>Total PV</w:t>
            </w:r>
          </w:p>
        </w:tc>
        <w:tc>
          <w:tcPr>
            <w:tcW w:w="2250" w:type="dxa"/>
          </w:tcPr>
          <w:p w14:paraId="3470062B" w14:textId="77777777" w:rsidR="005C6948" w:rsidRPr="0036198E" w:rsidRDefault="005C6948" w:rsidP="00652878">
            <w:pPr>
              <w:spacing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1028342</w:t>
            </w:r>
          </w:p>
          <w:p w14:paraId="48A96DB3" w14:textId="77777777" w:rsidR="005C6948" w:rsidRPr="0036198E" w:rsidRDefault="005C6948" w:rsidP="00652878">
            <w:pPr>
              <w:spacing w:line="360" w:lineRule="auto"/>
              <w:jc w:val="both"/>
              <w:cnfStyle w:val="000000100000" w:firstRow="0" w:lastRow="0" w:firstColumn="0" w:lastColumn="0" w:oddVBand="0" w:evenVBand="0" w:oddHBand="1" w:evenHBand="0" w:firstRowFirstColumn="0" w:firstRowLastColumn="0" w:lastRowFirstColumn="0" w:lastRowLastColumn="0"/>
              <w:rPr>
                <w:rFonts w:eastAsia="Arial"/>
                <w:b/>
                <w:bCs/>
                <w:color w:val="000000"/>
              </w:rPr>
            </w:pPr>
          </w:p>
        </w:tc>
      </w:tr>
      <w:tr w:rsidR="005C6948" w:rsidRPr="0036198E" w14:paraId="27D34D38" w14:textId="77777777" w:rsidTr="00305D4C">
        <w:trPr>
          <w:trHeight w:val="422"/>
        </w:trPr>
        <w:tc>
          <w:tcPr>
            <w:cnfStyle w:val="001000000000" w:firstRow="0" w:lastRow="0" w:firstColumn="1" w:lastColumn="0" w:oddVBand="0" w:evenVBand="0" w:oddHBand="0" w:evenHBand="0" w:firstRowFirstColumn="0" w:firstRowLastColumn="0" w:lastRowFirstColumn="0" w:lastRowLastColumn="0"/>
            <w:tcW w:w="1615" w:type="dxa"/>
          </w:tcPr>
          <w:p w14:paraId="50DE8FFC" w14:textId="77777777" w:rsidR="005C6948" w:rsidRPr="0036198E" w:rsidRDefault="005C6948" w:rsidP="00652878">
            <w:pPr>
              <w:spacing w:line="360" w:lineRule="auto"/>
              <w:jc w:val="both"/>
              <w:rPr>
                <w:rFonts w:eastAsia="Arial"/>
                <w:color w:val="000000"/>
              </w:rPr>
            </w:pPr>
            <w:r w:rsidRPr="0036198E">
              <w:rPr>
                <w:rFonts w:eastAsia="Arial"/>
                <w:b w:val="0"/>
                <w:bCs w:val="0"/>
                <w:color w:val="000000"/>
              </w:rPr>
              <w:t>NPV</w:t>
            </w:r>
          </w:p>
        </w:tc>
        <w:tc>
          <w:tcPr>
            <w:tcW w:w="2250" w:type="dxa"/>
          </w:tcPr>
          <w:p w14:paraId="05469782" w14:textId="77777777" w:rsidR="005C6948" w:rsidRPr="0036198E" w:rsidRDefault="005C6948" w:rsidP="00652878">
            <w:pPr>
              <w:spacing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28,342</w:t>
            </w:r>
          </w:p>
          <w:p w14:paraId="002F0B5B" w14:textId="77777777" w:rsidR="005C6948" w:rsidRPr="0036198E" w:rsidRDefault="005C6948" w:rsidP="00652878">
            <w:pPr>
              <w:spacing w:line="360" w:lineRule="auto"/>
              <w:jc w:val="both"/>
              <w:cnfStyle w:val="000000000000" w:firstRow="0" w:lastRow="0" w:firstColumn="0" w:lastColumn="0" w:oddVBand="0" w:evenVBand="0" w:oddHBand="0" w:evenHBand="0" w:firstRowFirstColumn="0" w:firstRowLastColumn="0" w:lastRowFirstColumn="0" w:lastRowLastColumn="0"/>
              <w:rPr>
                <w:rFonts w:eastAsia="Arial"/>
                <w:b/>
                <w:bCs/>
                <w:color w:val="000000"/>
              </w:rPr>
            </w:pPr>
          </w:p>
        </w:tc>
      </w:tr>
      <w:tr w:rsidR="005C6948" w:rsidRPr="0036198E" w14:paraId="4E97FEF6" w14:textId="77777777" w:rsidTr="00305D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gridSpan w:val="2"/>
          </w:tcPr>
          <w:p w14:paraId="704628CC" w14:textId="77777777" w:rsidR="005C6948" w:rsidRPr="0036198E" w:rsidRDefault="005C6948" w:rsidP="00652878">
            <w:pPr>
              <w:spacing w:line="360" w:lineRule="auto"/>
              <w:jc w:val="both"/>
              <w:rPr>
                <w:rFonts w:eastAsia="Arial"/>
                <w:color w:val="000000"/>
              </w:rPr>
            </w:pPr>
            <w:r w:rsidRPr="0036198E">
              <w:rPr>
                <w:rFonts w:eastAsia="Arial"/>
                <w:b w:val="0"/>
                <w:bCs w:val="0"/>
                <w:color w:val="000000"/>
              </w:rPr>
              <w:t>NPV at 14%</w:t>
            </w:r>
          </w:p>
        </w:tc>
      </w:tr>
      <w:tr w:rsidR="005C6948" w:rsidRPr="0036198E" w14:paraId="025D88BD" w14:textId="77777777" w:rsidTr="00305D4C">
        <w:tc>
          <w:tcPr>
            <w:cnfStyle w:val="001000000000" w:firstRow="0" w:lastRow="0" w:firstColumn="1" w:lastColumn="0" w:oddVBand="0" w:evenVBand="0" w:oddHBand="0" w:evenHBand="0" w:firstRowFirstColumn="0" w:firstRowLastColumn="0" w:lastRowFirstColumn="0" w:lastRowLastColumn="0"/>
            <w:tcW w:w="1615" w:type="dxa"/>
          </w:tcPr>
          <w:p w14:paraId="381D1017" w14:textId="77777777" w:rsidR="005C6948" w:rsidRPr="0036198E" w:rsidRDefault="005C6948" w:rsidP="00652878">
            <w:pPr>
              <w:spacing w:line="360" w:lineRule="auto"/>
              <w:jc w:val="both"/>
              <w:rPr>
                <w:rFonts w:eastAsia="Arial"/>
                <w:color w:val="000000"/>
              </w:rPr>
            </w:pPr>
            <w:r w:rsidRPr="0036198E">
              <w:rPr>
                <w:rFonts w:eastAsia="Arial"/>
                <w:b w:val="0"/>
                <w:bCs w:val="0"/>
                <w:color w:val="000000"/>
              </w:rPr>
              <w:t>Total PV</w:t>
            </w:r>
          </w:p>
        </w:tc>
        <w:tc>
          <w:tcPr>
            <w:tcW w:w="2250" w:type="dxa"/>
          </w:tcPr>
          <w:p w14:paraId="4DFF0B56" w14:textId="77777777" w:rsidR="005C6948" w:rsidRPr="0036198E" w:rsidRDefault="005C6948" w:rsidP="00652878">
            <w:pPr>
              <w:spacing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982448</w:t>
            </w:r>
          </w:p>
          <w:p w14:paraId="4C62B8EF" w14:textId="77777777" w:rsidR="005C6948" w:rsidRPr="0036198E" w:rsidRDefault="005C6948" w:rsidP="00652878">
            <w:pPr>
              <w:spacing w:line="360" w:lineRule="auto"/>
              <w:jc w:val="both"/>
              <w:cnfStyle w:val="000000000000" w:firstRow="0" w:lastRow="0" w:firstColumn="0" w:lastColumn="0" w:oddVBand="0" w:evenVBand="0" w:oddHBand="0" w:evenHBand="0" w:firstRowFirstColumn="0" w:firstRowLastColumn="0" w:lastRowFirstColumn="0" w:lastRowLastColumn="0"/>
              <w:rPr>
                <w:rFonts w:eastAsia="Arial"/>
                <w:b/>
                <w:bCs/>
                <w:color w:val="000000"/>
              </w:rPr>
            </w:pPr>
          </w:p>
        </w:tc>
      </w:tr>
      <w:tr w:rsidR="005C6948" w:rsidRPr="0036198E" w14:paraId="25591059" w14:textId="77777777" w:rsidTr="00305D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tcPr>
          <w:p w14:paraId="59535AF4" w14:textId="77777777" w:rsidR="005C6948" w:rsidRPr="0036198E" w:rsidRDefault="005C6948" w:rsidP="00652878">
            <w:pPr>
              <w:spacing w:line="360" w:lineRule="auto"/>
              <w:jc w:val="both"/>
              <w:rPr>
                <w:rFonts w:eastAsia="Arial"/>
                <w:color w:val="000000"/>
              </w:rPr>
            </w:pPr>
            <w:r w:rsidRPr="0036198E">
              <w:rPr>
                <w:rFonts w:eastAsia="Arial"/>
                <w:b w:val="0"/>
                <w:bCs w:val="0"/>
                <w:color w:val="000000"/>
              </w:rPr>
              <w:t>NPV</w:t>
            </w:r>
          </w:p>
        </w:tc>
        <w:tc>
          <w:tcPr>
            <w:tcW w:w="2250" w:type="dxa"/>
          </w:tcPr>
          <w:p w14:paraId="6DD5277E" w14:textId="77777777" w:rsidR="005C6948" w:rsidRPr="0036198E" w:rsidRDefault="005C6948" w:rsidP="00652878">
            <w:pPr>
              <w:spacing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-17,552</w:t>
            </w:r>
          </w:p>
        </w:tc>
      </w:tr>
    </w:tbl>
    <w:p w14:paraId="64D4FEAC" w14:textId="77777777" w:rsidR="005C6948" w:rsidRPr="0036198E" w:rsidRDefault="005C6948" w:rsidP="005C6948">
      <w:pPr>
        <w:spacing w:line="360" w:lineRule="auto"/>
        <w:jc w:val="both"/>
        <w:rPr>
          <w:rFonts w:eastAsia="Arial"/>
          <w:color w:val="000000"/>
          <w:szCs w:val="24"/>
        </w:rPr>
      </w:pPr>
    </w:p>
    <w:p w14:paraId="5A3AEC3E" w14:textId="77777777" w:rsidR="005C6948" w:rsidRPr="0036198E" w:rsidRDefault="005C6948" w:rsidP="005C6948">
      <w:pPr>
        <w:spacing w:line="360" w:lineRule="auto"/>
        <w:jc w:val="both"/>
        <w:rPr>
          <w:rFonts w:eastAsia="Arial"/>
          <w:b/>
          <w:bCs/>
          <w:color w:val="000000"/>
          <w:szCs w:val="24"/>
        </w:rPr>
      </w:pPr>
      <w:r w:rsidRPr="0036198E">
        <w:rPr>
          <w:rFonts w:eastAsia="Arial"/>
          <w:b/>
          <w:bCs/>
          <w:color w:val="000000"/>
          <w:szCs w:val="24"/>
        </w:rPr>
        <w:t xml:space="preserve">IRR:  </w:t>
      </w:r>
      <m:oMath>
        <m:r>
          <w:rPr>
            <w:rFonts w:ascii="Cambria Math" w:eastAsia="Arial" w:hAnsi="Cambria Math"/>
            <w:color w:val="000000"/>
            <w:szCs w:val="24"/>
          </w:rPr>
          <m:t>12%+(</m:t>
        </m:r>
        <m:f>
          <m:fPr>
            <m:ctrlPr>
              <w:rPr>
                <w:rFonts w:ascii="Cambria Math" w:eastAsia="Arial" w:hAnsi="Cambria Math"/>
                <w:color w:val="000000"/>
                <w:szCs w:val="24"/>
              </w:rPr>
            </m:ctrlPr>
          </m:fPr>
          <m:num>
            <m:r>
              <w:rPr>
                <w:rFonts w:ascii="Cambria Math" w:eastAsia="Arial" w:hAnsi="Cambria Math"/>
                <w:color w:val="000000"/>
                <w:szCs w:val="24"/>
              </w:rPr>
              <m:t>28342</m:t>
            </m:r>
          </m:num>
          <m:den>
            <m:r>
              <w:rPr>
                <w:rFonts w:ascii="Cambria Math" w:eastAsia="Arial" w:hAnsi="Cambria Math"/>
                <w:color w:val="000000"/>
                <w:szCs w:val="24"/>
              </w:rPr>
              <m:t>(28342-(-17552)</m:t>
            </m:r>
          </m:den>
        </m:f>
        <m:r>
          <w:rPr>
            <w:rFonts w:ascii="Cambria Math" w:eastAsia="Arial" w:hAnsi="Cambria Math"/>
            <w:color w:val="000000"/>
            <w:szCs w:val="24"/>
          </w:rPr>
          <m:t>)+(14%-12%)</m:t>
        </m:r>
      </m:oMath>
    </w:p>
    <w:p w14:paraId="2185E59C"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=13.23%</w:t>
      </w:r>
    </w:p>
    <w:p w14:paraId="28C65868"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 xml:space="preserve">The estimated that Project C has an Internal Rate of Return (IRR) of about 13.2%. This is the discount rate where the Net Present Value (NPV) of the project is zero and hence the anticipated rate of the project. The IRR is much greater in comparison to the cost of capital of 5%. This implies that Project C yields return which are much higher than the minimum required rate of return. The project is financially viable since IRR is greater than the Cost of Capital and should be adopted (Liu, 2022). </w:t>
      </w:r>
    </w:p>
    <w:p w14:paraId="5C3A533D" w14:textId="77777777" w:rsidR="005C6948" w:rsidRPr="0036198E" w:rsidRDefault="005C6948" w:rsidP="005C6948">
      <w:pPr>
        <w:pStyle w:val="Heading2"/>
        <w:spacing w:line="360" w:lineRule="auto"/>
        <w:jc w:val="both"/>
        <w:rPr>
          <w:rFonts w:eastAsia="Arial" w:cs="Calibri"/>
          <w:b w:val="0"/>
          <w:bCs/>
          <w:color w:val="000000"/>
          <w:szCs w:val="24"/>
        </w:rPr>
      </w:pPr>
      <w:bookmarkStart w:id="16" w:name="_Toc227610526"/>
      <w:r w:rsidRPr="0036198E">
        <w:rPr>
          <w:rFonts w:eastAsia="Arial" w:cs="Calibri"/>
          <w:bCs/>
          <w:color w:val="000000"/>
          <w:szCs w:val="24"/>
        </w:rPr>
        <w:lastRenderedPageBreak/>
        <w:t>2.2 Interpretation</w:t>
      </w:r>
      <w:bookmarkEnd w:id="16"/>
    </w:p>
    <w:p w14:paraId="4498339C"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 xml:space="preserve">Project C has an Internal rate of return (IRR) of approximately 13.23%, this is much greater than the cost of capital of the firm which is 5. The IRR decision rule further states that a project will be accepted when its IRR is higher than the necessary rate of return. </w:t>
      </w:r>
      <w:proofErr w:type="gramStart"/>
      <w:r w:rsidRPr="0036198E">
        <w:rPr>
          <w:rFonts w:eastAsia="Arial"/>
          <w:color w:val="000000"/>
          <w:szCs w:val="24"/>
        </w:rPr>
        <w:t>Thus</w:t>
      </w:r>
      <w:proofErr w:type="gramEnd"/>
      <w:r w:rsidRPr="0036198E">
        <w:rPr>
          <w:rFonts w:eastAsia="Arial"/>
          <w:color w:val="000000"/>
          <w:szCs w:val="24"/>
        </w:rPr>
        <w:t xml:space="preserve"> Project C is economically viable and is to be accepted. This outcome shows that the project should yield returns that are far above the minimum limit that investors would need, which shows high profitability. The difference between the two of 8.2 percentage points implies that the project has a significant margin of safety, i.e. it can still be profitable even when the actual returns are slightly lower than expected. This increases the trust in the investment choice. On the profitability side, Project C has a better IRR given the fact that it has high and rising cash flows with time, which shows that it utilizes capital effectively and can generate consistent returns. </w:t>
      </w:r>
    </w:p>
    <w:p w14:paraId="1E00C975" w14:textId="77777777" w:rsidR="005C6948" w:rsidRPr="0036198E" w:rsidRDefault="005C6948" w:rsidP="005C6948">
      <w:pPr>
        <w:pStyle w:val="Heading1"/>
        <w:spacing w:line="360" w:lineRule="auto"/>
        <w:jc w:val="both"/>
        <w:rPr>
          <w:rFonts w:eastAsia="Arial" w:cs="Calibri"/>
          <w:b w:val="0"/>
          <w:bCs w:val="0"/>
          <w:color w:val="000000"/>
          <w:sz w:val="24"/>
          <w:szCs w:val="24"/>
        </w:rPr>
      </w:pPr>
      <w:bookmarkStart w:id="17" w:name="_Toc227610527"/>
      <w:r w:rsidRPr="0036198E">
        <w:rPr>
          <w:rFonts w:eastAsia="Arial" w:cs="Calibri"/>
          <w:color w:val="000000"/>
          <w:sz w:val="24"/>
          <w:szCs w:val="24"/>
        </w:rPr>
        <w:t>3. Investment Appraisal Theory</w:t>
      </w:r>
      <w:bookmarkEnd w:id="17"/>
    </w:p>
    <w:p w14:paraId="1F3D428E" w14:textId="77777777" w:rsidR="005C6948" w:rsidRPr="0036198E" w:rsidRDefault="005C6948" w:rsidP="005C6948">
      <w:pPr>
        <w:pStyle w:val="Heading2"/>
        <w:spacing w:line="360" w:lineRule="auto"/>
        <w:jc w:val="both"/>
        <w:rPr>
          <w:rFonts w:eastAsia="Arial" w:cs="Calibri"/>
          <w:b w:val="0"/>
          <w:bCs/>
          <w:color w:val="000000"/>
          <w:szCs w:val="24"/>
        </w:rPr>
      </w:pPr>
      <w:bookmarkStart w:id="18" w:name="_Toc227610528"/>
      <w:r w:rsidRPr="0036198E">
        <w:rPr>
          <w:rFonts w:eastAsia="Arial" w:cs="Calibri"/>
          <w:bCs/>
          <w:color w:val="000000"/>
          <w:szCs w:val="24"/>
        </w:rPr>
        <w:t>3.1 Why NPV is best method</w:t>
      </w:r>
      <w:bookmarkEnd w:id="18"/>
    </w:p>
    <w:p w14:paraId="0C2F0C25"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 xml:space="preserve">The method of investment appraisal that </w:t>
      </w:r>
      <w:proofErr w:type="gramStart"/>
      <w:r w:rsidRPr="0036198E">
        <w:rPr>
          <w:rFonts w:eastAsia="Arial"/>
          <w:color w:val="000000"/>
          <w:szCs w:val="24"/>
        </w:rPr>
        <w:t>is considered to be</w:t>
      </w:r>
      <w:proofErr w:type="gramEnd"/>
      <w:r w:rsidRPr="0036198E">
        <w:rPr>
          <w:rFonts w:eastAsia="Arial"/>
          <w:color w:val="000000"/>
          <w:szCs w:val="24"/>
        </w:rPr>
        <w:t xml:space="preserve"> the most effective is the Net Present Value (NPV) as it takes into consideration the time value of money in full as it understands that cash today is more worthwhile than what it will be tomorrow. Compared to accounting-based measures, NPV utilizes real cash flows as opposed to accounting profit, which is more realistic in decision-making (Shou, 2022). It also takes risk into consideration by the discount rate where the higher the riskiness of a project, the higher the required returns used. However, most importantly, NPV is the direct measure of the maximization of shareholder wealth since it quantifies the absolute increase in firm value. When NPV is positive, then the project is valuable and it should be accepted.</w:t>
      </w:r>
    </w:p>
    <w:p w14:paraId="03F190A8" w14:textId="77777777" w:rsidR="005C6948" w:rsidRPr="0036198E" w:rsidRDefault="005C6948" w:rsidP="005C6948">
      <w:pPr>
        <w:pStyle w:val="Heading2"/>
        <w:spacing w:line="360" w:lineRule="auto"/>
        <w:jc w:val="both"/>
        <w:rPr>
          <w:rFonts w:eastAsia="Arial" w:cs="Calibri"/>
          <w:b w:val="0"/>
          <w:bCs/>
          <w:color w:val="000000"/>
          <w:szCs w:val="24"/>
        </w:rPr>
      </w:pPr>
      <w:bookmarkStart w:id="19" w:name="_Toc227610529"/>
      <w:r w:rsidRPr="0036198E">
        <w:rPr>
          <w:rFonts w:eastAsia="Arial" w:cs="Calibri"/>
          <w:bCs/>
          <w:color w:val="000000"/>
          <w:szCs w:val="24"/>
        </w:rPr>
        <w:t>3.2 Why non-discounting methods are still used</w:t>
      </w:r>
      <w:bookmarkEnd w:id="19"/>
    </w:p>
    <w:p w14:paraId="65472CC2"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 xml:space="preserve">Although it has its benefits, non-discounting techniques such as Payback Period and Accounting Rate of Return (ARR) are still very popular in practice. Payback Period is very popular due to its simplicity and easy to grasp nature, as managers do not take a long time to determine the time it takes to break even on the initial investment (Cotter, 2023). It is also helpful </w:t>
      </w:r>
      <w:proofErr w:type="gramStart"/>
      <w:r w:rsidRPr="0036198E">
        <w:rPr>
          <w:rFonts w:eastAsia="Arial"/>
          <w:color w:val="000000"/>
          <w:szCs w:val="24"/>
        </w:rPr>
        <w:t>in particular to</w:t>
      </w:r>
      <w:proofErr w:type="gramEnd"/>
      <w:r w:rsidRPr="0036198E">
        <w:rPr>
          <w:rFonts w:eastAsia="Arial"/>
          <w:color w:val="000000"/>
          <w:szCs w:val="24"/>
        </w:rPr>
        <w:t xml:space="preserve"> companies with a liquidity orientation and a short-term risk-oriented environment, particularly in uncertain settings. Likewise, ARR is appealing as it is simple to </w:t>
      </w:r>
      <w:r w:rsidRPr="0036198E">
        <w:rPr>
          <w:rFonts w:eastAsia="Arial"/>
          <w:color w:val="000000"/>
          <w:szCs w:val="24"/>
        </w:rPr>
        <w:lastRenderedPageBreak/>
        <w:t xml:space="preserve">compute and uses available accounting data that is easy to prepare internal reporting. These techniques are typically employed as an additional tool to NPV (Mollah </w:t>
      </w:r>
      <w:r w:rsidRPr="0036198E">
        <w:rPr>
          <w:rFonts w:eastAsia="Arial"/>
          <w:i/>
          <w:iCs/>
          <w:color w:val="000000"/>
          <w:szCs w:val="24"/>
        </w:rPr>
        <w:t>et al.,</w:t>
      </w:r>
      <w:r w:rsidRPr="0036198E">
        <w:rPr>
          <w:rFonts w:eastAsia="Arial"/>
          <w:color w:val="000000"/>
          <w:szCs w:val="24"/>
        </w:rPr>
        <w:t xml:space="preserve"> 2023).</w:t>
      </w:r>
    </w:p>
    <w:p w14:paraId="768D035D" w14:textId="77777777" w:rsidR="005C6948" w:rsidRPr="0036198E" w:rsidRDefault="005C6948" w:rsidP="005C6948">
      <w:pPr>
        <w:pStyle w:val="Heading2"/>
        <w:spacing w:line="360" w:lineRule="auto"/>
        <w:jc w:val="both"/>
        <w:rPr>
          <w:rFonts w:eastAsia="Arial" w:cs="Calibri"/>
          <w:b w:val="0"/>
          <w:bCs/>
          <w:color w:val="000000"/>
          <w:szCs w:val="24"/>
        </w:rPr>
      </w:pPr>
      <w:bookmarkStart w:id="20" w:name="_Toc227610530"/>
      <w:r w:rsidRPr="0036198E">
        <w:rPr>
          <w:rFonts w:eastAsia="Arial" w:cs="Calibri"/>
          <w:bCs/>
          <w:color w:val="000000"/>
          <w:szCs w:val="24"/>
        </w:rPr>
        <w:t>3.3 Limitations of NPV</w:t>
      </w:r>
      <w:bookmarkEnd w:id="20"/>
    </w:p>
    <w:p w14:paraId="1AC6EE6A"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Despite its theoretical superiority, NPV has certain flaws. It also depends much on the proper cash flow forecasts, which may not be easy to forecast in dynamic markets. Minor inaccuracies in estimation can make a huge difference. Moreover, NPV is also susceptible to discount rate variations that can occur due to economic conditions or risk assumptions (Chen, 2022). Also, NPV lacks managerial flexibility, including the ability to postpone, extend or drop a project due to altered conditions, which can play a crucial role in practical decision-making.</w:t>
      </w:r>
    </w:p>
    <w:p w14:paraId="5CB51413" w14:textId="77777777" w:rsidR="005C6948" w:rsidRPr="0036198E" w:rsidRDefault="005C6948" w:rsidP="005C6948">
      <w:pPr>
        <w:pStyle w:val="Heading2"/>
        <w:spacing w:line="360" w:lineRule="auto"/>
        <w:jc w:val="both"/>
        <w:rPr>
          <w:rFonts w:eastAsia="Arial" w:cs="Calibri"/>
          <w:b w:val="0"/>
          <w:bCs/>
          <w:color w:val="000000"/>
          <w:szCs w:val="24"/>
        </w:rPr>
      </w:pPr>
      <w:bookmarkStart w:id="21" w:name="_Toc227610531"/>
      <w:r w:rsidRPr="0036198E">
        <w:rPr>
          <w:rFonts w:eastAsia="Arial" w:cs="Calibri"/>
          <w:bCs/>
          <w:color w:val="000000"/>
          <w:szCs w:val="24"/>
        </w:rPr>
        <w:t>3.4 Qualitative Factors</w:t>
      </w:r>
      <w:bookmarkEnd w:id="21"/>
    </w:p>
    <w:p w14:paraId="29D00641"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Quality factors such as financial metrics are not the only qualitative factors to consider in investment decisions. In a handbag related project, demand in the market is very vital especially the shifting preferences and trends in the consumers. Pricing power and market share may be affected by competition by well-established luxury brands (</w:t>
      </w:r>
      <w:r w:rsidRPr="0036198E">
        <w:rPr>
          <w:rFonts w:eastAsia="Arial"/>
          <w:szCs w:val="24"/>
        </w:rPr>
        <w:t xml:space="preserve">Daming and </w:t>
      </w:r>
      <w:proofErr w:type="spellStart"/>
      <w:r w:rsidRPr="0036198E">
        <w:rPr>
          <w:rFonts w:eastAsia="Arial"/>
          <w:szCs w:val="24"/>
        </w:rPr>
        <w:t>Widyawati</w:t>
      </w:r>
      <w:proofErr w:type="spellEnd"/>
      <w:r w:rsidRPr="0036198E">
        <w:rPr>
          <w:rFonts w:eastAsia="Arial"/>
          <w:szCs w:val="24"/>
        </w:rPr>
        <w:t>, 2024)</w:t>
      </w:r>
      <w:r w:rsidRPr="0036198E">
        <w:rPr>
          <w:rFonts w:eastAsia="Arial"/>
          <w:color w:val="000000"/>
          <w:szCs w:val="24"/>
        </w:rPr>
        <w:t xml:space="preserve">. The emergence of digital transformation, such as e-commerce and social media marketing, affects business success. This should also be accompanied by the assessment of brand positioning risk </w:t>
      </w:r>
      <w:proofErr w:type="gramStart"/>
      <w:r w:rsidRPr="0036198E">
        <w:rPr>
          <w:rFonts w:eastAsia="Arial"/>
          <w:color w:val="000000"/>
          <w:szCs w:val="24"/>
        </w:rPr>
        <w:t>in order to</w:t>
      </w:r>
      <w:proofErr w:type="gramEnd"/>
      <w:r w:rsidRPr="0036198E">
        <w:rPr>
          <w:rFonts w:eastAsia="Arial"/>
          <w:color w:val="000000"/>
          <w:szCs w:val="24"/>
        </w:rPr>
        <w:t xml:space="preserve"> make sure that it is aligned with the target customers. Lastly, cost, delivery and project feasibility may be influenced by supply chain limitations including sourcing materials and logistic disruptions (</w:t>
      </w:r>
      <w:r w:rsidRPr="0036198E">
        <w:rPr>
          <w:rFonts w:eastAsia="Arial"/>
          <w:szCs w:val="24"/>
        </w:rPr>
        <w:t>Mesioye and Bakare, 2024)</w:t>
      </w:r>
      <w:r w:rsidRPr="0036198E">
        <w:rPr>
          <w:rFonts w:eastAsia="Arial"/>
          <w:color w:val="000000"/>
          <w:szCs w:val="24"/>
        </w:rPr>
        <w:t>.</w:t>
      </w:r>
    </w:p>
    <w:p w14:paraId="2C8CADED" w14:textId="77777777" w:rsidR="005C6948" w:rsidRPr="0036198E" w:rsidRDefault="005C6948" w:rsidP="005C6948">
      <w:pPr>
        <w:pStyle w:val="Heading1"/>
        <w:spacing w:line="360" w:lineRule="auto"/>
        <w:jc w:val="both"/>
        <w:rPr>
          <w:rFonts w:eastAsia="Arial" w:cs="Calibri"/>
          <w:b w:val="0"/>
          <w:bCs w:val="0"/>
          <w:color w:val="000000"/>
          <w:sz w:val="24"/>
          <w:szCs w:val="24"/>
        </w:rPr>
      </w:pPr>
      <w:bookmarkStart w:id="22" w:name="_Toc227610532"/>
      <w:r w:rsidRPr="0036198E">
        <w:rPr>
          <w:rFonts w:eastAsia="Arial" w:cs="Calibri"/>
          <w:color w:val="000000"/>
          <w:sz w:val="24"/>
          <w:szCs w:val="24"/>
        </w:rPr>
        <w:t>4. Capital Rationing Decision</w:t>
      </w:r>
      <w:bookmarkEnd w:id="22"/>
    </w:p>
    <w:p w14:paraId="2BF92D6C"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 xml:space="preserve">It has a capital budget limitation of £1,500,000 and this implies that it cannot invest in all the projects to their full extent even though some of them are profitable. The projects can be separated, so the company can invest in projects in parts instead of dedicating to them. This enables a more relaxed budgetary allocation to optimize the total returns. </w:t>
      </w:r>
    </w:p>
    <w:p w14:paraId="338B56CD" w14:textId="77777777" w:rsidR="00E82FD5" w:rsidRDefault="00E82FD5">
      <w:pPr>
        <w:spacing w:line="278" w:lineRule="auto"/>
        <w:rPr>
          <w:rFonts w:eastAsia="Arial"/>
          <w:b/>
          <w:bCs/>
          <w:color w:val="000000"/>
          <w:szCs w:val="24"/>
        </w:rPr>
      </w:pPr>
      <w:r>
        <w:rPr>
          <w:rFonts w:eastAsia="Arial"/>
          <w:bCs/>
          <w:color w:val="000000"/>
          <w:szCs w:val="24"/>
        </w:rPr>
        <w:br w:type="page"/>
      </w:r>
    </w:p>
    <w:p w14:paraId="11505749" w14:textId="176C5F29" w:rsidR="005C6948" w:rsidRPr="0036198E" w:rsidRDefault="005C6948" w:rsidP="005C6948">
      <w:pPr>
        <w:pStyle w:val="Heading2"/>
        <w:spacing w:line="360" w:lineRule="auto"/>
        <w:jc w:val="both"/>
        <w:rPr>
          <w:rFonts w:eastAsia="Arial" w:cs="Calibri"/>
          <w:b w:val="0"/>
          <w:bCs/>
          <w:color w:val="000000"/>
          <w:szCs w:val="24"/>
        </w:rPr>
      </w:pPr>
      <w:bookmarkStart w:id="23" w:name="_Toc227610533"/>
      <w:r w:rsidRPr="0036198E">
        <w:rPr>
          <w:rFonts w:eastAsia="Arial" w:cs="Calibri"/>
          <w:bCs/>
          <w:color w:val="000000"/>
          <w:szCs w:val="24"/>
        </w:rPr>
        <w:lastRenderedPageBreak/>
        <w:t>4.1 Calculate Profitability Index (PI)</w:t>
      </w:r>
      <w:bookmarkEnd w:id="23"/>
    </w:p>
    <w:tbl>
      <w:tblPr>
        <w:tblStyle w:val="GridTable4-Accent4"/>
        <w:tblW w:w="5727" w:type="dxa"/>
        <w:tblLayout w:type="fixed"/>
        <w:tblLook w:val="04A0" w:firstRow="1" w:lastRow="0" w:firstColumn="1" w:lastColumn="0" w:noHBand="0" w:noVBand="1"/>
      </w:tblPr>
      <w:tblGrid>
        <w:gridCol w:w="2047"/>
        <w:gridCol w:w="1180"/>
        <w:gridCol w:w="1160"/>
        <w:gridCol w:w="1340"/>
      </w:tblGrid>
      <w:tr w:rsidR="005C6948" w:rsidRPr="0036198E" w14:paraId="2F311212" w14:textId="77777777" w:rsidTr="00305D4C">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047" w:type="dxa"/>
          </w:tcPr>
          <w:p w14:paraId="52315732" w14:textId="77777777" w:rsidR="005C6948" w:rsidRPr="0036198E" w:rsidRDefault="005C6948" w:rsidP="00652878">
            <w:pPr>
              <w:spacing w:line="360" w:lineRule="auto"/>
              <w:jc w:val="both"/>
              <w:rPr>
                <w:rFonts w:eastAsia="Arial"/>
                <w:color w:val="000000"/>
              </w:rPr>
            </w:pPr>
            <w:r w:rsidRPr="0036198E">
              <w:rPr>
                <w:rFonts w:eastAsia="Arial"/>
                <w:color w:val="000000"/>
              </w:rPr>
              <w:t>Column1</w:t>
            </w:r>
          </w:p>
        </w:tc>
        <w:tc>
          <w:tcPr>
            <w:tcW w:w="1180" w:type="dxa"/>
          </w:tcPr>
          <w:p w14:paraId="49EB0489" w14:textId="77777777" w:rsidR="005C6948" w:rsidRPr="0036198E" w:rsidRDefault="005C6948" w:rsidP="00652878">
            <w:pPr>
              <w:spacing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Project A</w:t>
            </w:r>
          </w:p>
        </w:tc>
        <w:tc>
          <w:tcPr>
            <w:tcW w:w="1160" w:type="dxa"/>
          </w:tcPr>
          <w:p w14:paraId="5819E0C6" w14:textId="77777777" w:rsidR="005C6948" w:rsidRPr="0036198E" w:rsidRDefault="005C6948" w:rsidP="00652878">
            <w:pPr>
              <w:spacing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Project B</w:t>
            </w:r>
          </w:p>
        </w:tc>
        <w:tc>
          <w:tcPr>
            <w:tcW w:w="1340" w:type="dxa"/>
          </w:tcPr>
          <w:p w14:paraId="73D0E012" w14:textId="77777777" w:rsidR="005C6948" w:rsidRPr="0036198E" w:rsidRDefault="005C6948" w:rsidP="00652878">
            <w:pPr>
              <w:spacing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Project C</w:t>
            </w:r>
          </w:p>
        </w:tc>
      </w:tr>
      <w:tr w:rsidR="005C6948" w:rsidRPr="0036198E" w14:paraId="145E0B5B" w14:textId="77777777" w:rsidTr="00305D4C">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047" w:type="dxa"/>
          </w:tcPr>
          <w:p w14:paraId="088EF603" w14:textId="77777777" w:rsidR="005C6948" w:rsidRPr="0036198E" w:rsidRDefault="005C6948" w:rsidP="00652878">
            <w:pPr>
              <w:spacing w:line="360" w:lineRule="auto"/>
              <w:jc w:val="both"/>
              <w:rPr>
                <w:rFonts w:eastAsia="Arial"/>
                <w:color w:val="000000"/>
              </w:rPr>
            </w:pPr>
            <w:r w:rsidRPr="0036198E">
              <w:rPr>
                <w:rFonts w:eastAsia="Arial"/>
                <w:color w:val="000000"/>
              </w:rPr>
              <w:t>Initial Investment</w:t>
            </w:r>
          </w:p>
        </w:tc>
        <w:tc>
          <w:tcPr>
            <w:tcW w:w="1180" w:type="dxa"/>
          </w:tcPr>
          <w:p w14:paraId="6F8090C7" w14:textId="77777777" w:rsidR="005C6948" w:rsidRPr="0036198E" w:rsidRDefault="005C6948" w:rsidP="00652878">
            <w:pPr>
              <w:spacing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600,000</w:t>
            </w:r>
          </w:p>
        </w:tc>
        <w:tc>
          <w:tcPr>
            <w:tcW w:w="1160" w:type="dxa"/>
          </w:tcPr>
          <w:p w14:paraId="323F0B45" w14:textId="77777777" w:rsidR="005C6948" w:rsidRPr="0036198E" w:rsidRDefault="005C6948" w:rsidP="00652878">
            <w:pPr>
              <w:spacing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900,000</w:t>
            </w:r>
          </w:p>
        </w:tc>
        <w:tc>
          <w:tcPr>
            <w:tcW w:w="1340" w:type="dxa"/>
          </w:tcPr>
          <w:p w14:paraId="37A01BFA" w14:textId="77777777" w:rsidR="005C6948" w:rsidRPr="0036198E" w:rsidRDefault="005C6948" w:rsidP="00652878">
            <w:pPr>
              <w:spacing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1,000,000</w:t>
            </w:r>
          </w:p>
        </w:tc>
      </w:tr>
      <w:tr w:rsidR="005C6948" w:rsidRPr="0036198E" w14:paraId="7DE96C0F" w14:textId="77777777" w:rsidTr="00305D4C">
        <w:trPr>
          <w:trHeight w:val="375"/>
        </w:trPr>
        <w:tc>
          <w:tcPr>
            <w:cnfStyle w:val="001000000000" w:firstRow="0" w:lastRow="0" w:firstColumn="1" w:lastColumn="0" w:oddVBand="0" w:evenVBand="0" w:oddHBand="0" w:evenHBand="0" w:firstRowFirstColumn="0" w:firstRowLastColumn="0" w:lastRowFirstColumn="0" w:lastRowLastColumn="0"/>
            <w:tcW w:w="2047" w:type="dxa"/>
          </w:tcPr>
          <w:p w14:paraId="76E66B1C" w14:textId="77777777" w:rsidR="005C6948" w:rsidRPr="0036198E" w:rsidRDefault="005C6948" w:rsidP="00652878">
            <w:pPr>
              <w:spacing w:line="360" w:lineRule="auto"/>
              <w:jc w:val="both"/>
              <w:rPr>
                <w:rFonts w:eastAsia="Arial"/>
                <w:color w:val="000000"/>
              </w:rPr>
            </w:pPr>
            <w:r w:rsidRPr="0036198E">
              <w:rPr>
                <w:rFonts w:eastAsia="Arial"/>
                <w:color w:val="000000"/>
              </w:rPr>
              <w:t>NPV</w:t>
            </w:r>
          </w:p>
        </w:tc>
        <w:tc>
          <w:tcPr>
            <w:tcW w:w="1180" w:type="dxa"/>
          </w:tcPr>
          <w:p w14:paraId="00A81533" w14:textId="77777777" w:rsidR="005C6948" w:rsidRPr="0036198E" w:rsidRDefault="005C6948" w:rsidP="00652878">
            <w:pPr>
              <w:spacing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-3,273</w:t>
            </w:r>
          </w:p>
        </w:tc>
        <w:tc>
          <w:tcPr>
            <w:tcW w:w="1160" w:type="dxa"/>
          </w:tcPr>
          <w:p w14:paraId="4B41FB1A" w14:textId="77777777" w:rsidR="005C6948" w:rsidRPr="0036198E" w:rsidRDefault="005C6948" w:rsidP="00652878">
            <w:pPr>
              <w:spacing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73937</w:t>
            </w:r>
          </w:p>
        </w:tc>
        <w:tc>
          <w:tcPr>
            <w:tcW w:w="1340" w:type="dxa"/>
          </w:tcPr>
          <w:p w14:paraId="3D4AE96A" w14:textId="77777777" w:rsidR="005C6948" w:rsidRPr="0036198E" w:rsidRDefault="005C6948" w:rsidP="00652878">
            <w:pPr>
              <w:spacing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91208</w:t>
            </w:r>
          </w:p>
        </w:tc>
      </w:tr>
      <w:tr w:rsidR="005C6948" w:rsidRPr="0036198E" w14:paraId="781B69FB" w14:textId="77777777" w:rsidTr="00305D4C">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047" w:type="dxa"/>
          </w:tcPr>
          <w:p w14:paraId="7EE37282" w14:textId="77777777" w:rsidR="005C6948" w:rsidRPr="0036198E" w:rsidRDefault="005C6948" w:rsidP="00652878">
            <w:pPr>
              <w:spacing w:line="360" w:lineRule="auto"/>
              <w:jc w:val="both"/>
              <w:rPr>
                <w:rFonts w:eastAsia="Arial"/>
                <w:color w:val="000000"/>
              </w:rPr>
            </w:pPr>
            <w:r w:rsidRPr="0036198E">
              <w:rPr>
                <w:rFonts w:eastAsia="Arial"/>
                <w:color w:val="000000"/>
              </w:rPr>
              <w:t>Profitability Index</w:t>
            </w:r>
          </w:p>
        </w:tc>
        <w:tc>
          <w:tcPr>
            <w:tcW w:w="1180" w:type="dxa"/>
          </w:tcPr>
          <w:p w14:paraId="76ACD731" w14:textId="77777777" w:rsidR="005C6948" w:rsidRPr="0036198E" w:rsidRDefault="005C6948" w:rsidP="00652878">
            <w:pPr>
              <w:spacing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-0.0055</w:t>
            </w:r>
          </w:p>
        </w:tc>
        <w:tc>
          <w:tcPr>
            <w:tcW w:w="1160" w:type="dxa"/>
          </w:tcPr>
          <w:p w14:paraId="5FC85747" w14:textId="77777777" w:rsidR="005C6948" w:rsidRPr="0036198E" w:rsidRDefault="005C6948" w:rsidP="00652878">
            <w:pPr>
              <w:spacing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0.08215</w:t>
            </w:r>
          </w:p>
        </w:tc>
        <w:tc>
          <w:tcPr>
            <w:tcW w:w="1340" w:type="dxa"/>
          </w:tcPr>
          <w:p w14:paraId="23C92EF6" w14:textId="77777777" w:rsidR="005C6948" w:rsidRPr="0036198E" w:rsidRDefault="005C6948" w:rsidP="00652878">
            <w:pPr>
              <w:spacing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0.091208</w:t>
            </w:r>
          </w:p>
        </w:tc>
      </w:tr>
    </w:tbl>
    <w:p w14:paraId="4EBDC17C"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The table shows that Project C has the highest profitability index (0.091208) and NPV (£91,208), making it the most attractive investment. Project B is also viable with a positive PI (0.082152) and NPV (£73,937). In contrast, Project A has a negative PI (-0.005455) and NPV, indicating it should be rejected.</w:t>
      </w:r>
    </w:p>
    <w:p w14:paraId="60B4A343" w14:textId="673426CE" w:rsidR="005C6948" w:rsidRPr="0036198E" w:rsidRDefault="005C6948" w:rsidP="00502C17">
      <w:pPr>
        <w:spacing w:line="278" w:lineRule="auto"/>
        <w:rPr>
          <w:rFonts w:eastAsia="Arial"/>
          <w:b/>
          <w:bCs/>
          <w:color w:val="000000"/>
          <w:szCs w:val="24"/>
        </w:rPr>
      </w:pPr>
      <w:r w:rsidRPr="0036198E">
        <w:rPr>
          <w:rFonts w:eastAsia="Arial"/>
          <w:b/>
          <w:bCs/>
          <w:color w:val="000000"/>
          <w:szCs w:val="24"/>
        </w:rPr>
        <w:t>4.2 Ranking of Projects</w:t>
      </w:r>
    </w:p>
    <w:tbl>
      <w:tblPr>
        <w:tblStyle w:val="GridTable4-Accent4"/>
        <w:tblW w:w="6345" w:type="dxa"/>
        <w:tblLayout w:type="fixed"/>
        <w:tblLook w:val="04A0" w:firstRow="1" w:lastRow="0" w:firstColumn="1" w:lastColumn="0" w:noHBand="0" w:noVBand="1"/>
      </w:tblPr>
      <w:tblGrid>
        <w:gridCol w:w="802"/>
        <w:gridCol w:w="1203"/>
        <w:gridCol w:w="2683"/>
        <w:gridCol w:w="1657"/>
      </w:tblGrid>
      <w:tr w:rsidR="005C6948" w:rsidRPr="0036198E" w14:paraId="6F27B4F7" w14:textId="77777777" w:rsidTr="00305D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3" w:type="dxa"/>
          </w:tcPr>
          <w:p w14:paraId="0CE82CCA" w14:textId="77777777" w:rsidR="005C6948" w:rsidRPr="0036198E" w:rsidRDefault="005C6948" w:rsidP="00652878">
            <w:pPr>
              <w:spacing w:after="160" w:line="360" w:lineRule="auto"/>
              <w:jc w:val="both"/>
              <w:rPr>
                <w:rFonts w:eastAsia="Arial"/>
                <w:color w:val="000000"/>
              </w:rPr>
            </w:pPr>
            <w:r w:rsidRPr="0036198E">
              <w:rPr>
                <w:rFonts w:eastAsia="Arial"/>
                <w:color w:val="000000"/>
              </w:rPr>
              <w:t>Rank</w:t>
            </w:r>
          </w:p>
        </w:tc>
        <w:tc>
          <w:tcPr>
            <w:tcW w:w="1203" w:type="dxa"/>
          </w:tcPr>
          <w:p w14:paraId="420B06FE" w14:textId="77777777" w:rsidR="005C6948" w:rsidRPr="0036198E" w:rsidRDefault="005C6948" w:rsidP="0065287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Project</w:t>
            </w:r>
          </w:p>
        </w:tc>
        <w:tc>
          <w:tcPr>
            <w:tcW w:w="2683" w:type="dxa"/>
          </w:tcPr>
          <w:p w14:paraId="3C180E4C" w14:textId="77777777" w:rsidR="005C6948" w:rsidRPr="0036198E" w:rsidRDefault="005C6948" w:rsidP="0065287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Profitability Index (PI)</w:t>
            </w:r>
          </w:p>
        </w:tc>
        <w:tc>
          <w:tcPr>
            <w:tcW w:w="1657" w:type="dxa"/>
          </w:tcPr>
          <w:p w14:paraId="01E95327" w14:textId="77777777" w:rsidR="005C6948" w:rsidRPr="0036198E" w:rsidRDefault="005C6948" w:rsidP="0065287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Decision</w:t>
            </w:r>
          </w:p>
        </w:tc>
      </w:tr>
      <w:tr w:rsidR="005C6948" w:rsidRPr="0036198E" w14:paraId="7659CC1B" w14:textId="77777777" w:rsidTr="00305D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3" w:type="dxa"/>
          </w:tcPr>
          <w:p w14:paraId="6156519B" w14:textId="77777777" w:rsidR="005C6948" w:rsidRPr="0036198E" w:rsidRDefault="005C6948" w:rsidP="00652878">
            <w:pPr>
              <w:spacing w:after="160" w:line="360" w:lineRule="auto"/>
              <w:jc w:val="both"/>
              <w:rPr>
                <w:rFonts w:eastAsia="Arial"/>
                <w:color w:val="000000"/>
              </w:rPr>
            </w:pPr>
            <w:r w:rsidRPr="0036198E">
              <w:rPr>
                <w:rFonts w:eastAsia="Arial"/>
                <w:color w:val="000000"/>
              </w:rPr>
              <w:t>1</w:t>
            </w:r>
          </w:p>
        </w:tc>
        <w:tc>
          <w:tcPr>
            <w:tcW w:w="1203" w:type="dxa"/>
          </w:tcPr>
          <w:p w14:paraId="47858B0A"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Project C</w:t>
            </w:r>
          </w:p>
        </w:tc>
        <w:tc>
          <w:tcPr>
            <w:tcW w:w="2683" w:type="dxa"/>
          </w:tcPr>
          <w:p w14:paraId="6933CF67"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0.091208</w:t>
            </w:r>
          </w:p>
        </w:tc>
        <w:tc>
          <w:tcPr>
            <w:tcW w:w="1657" w:type="dxa"/>
          </w:tcPr>
          <w:p w14:paraId="03A89B48"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Accept (Best)</w:t>
            </w:r>
          </w:p>
        </w:tc>
      </w:tr>
      <w:tr w:rsidR="005C6948" w:rsidRPr="0036198E" w14:paraId="0FA844E2" w14:textId="77777777" w:rsidTr="00305D4C">
        <w:tc>
          <w:tcPr>
            <w:cnfStyle w:val="001000000000" w:firstRow="0" w:lastRow="0" w:firstColumn="1" w:lastColumn="0" w:oddVBand="0" w:evenVBand="0" w:oddHBand="0" w:evenHBand="0" w:firstRowFirstColumn="0" w:firstRowLastColumn="0" w:lastRowFirstColumn="0" w:lastRowLastColumn="0"/>
            <w:tcW w:w="803" w:type="dxa"/>
          </w:tcPr>
          <w:p w14:paraId="6DF8156D" w14:textId="77777777" w:rsidR="005C6948" w:rsidRPr="0036198E" w:rsidRDefault="005C6948" w:rsidP="00652878">
            <w:pPr>
              <w:spacing w:after="160" w:line="360" w:lineRule="auto"/>
              <w:jc w:val="both"/>
              <w:rPr>
                <w:rFonts w:eastAsia="Arial"/>
                <w:color w:val="000000"/>
              </w:rPr>
            </w:pPr>
            <w:r w:rsidRPr="0036198E">
              <w:rPr>
                <w:rFonts w:eastAsia="Arial"/>
                <w:color w:val="000000"/>
              </w:rPr>
              <w:t>2</w:t>
            </w:r>
          </w:p>
        </w:tc>
        <w:tc>
          <w:tcPr>
            <w:tcW w:w="1203" w:type="dxa"/>
          </w:tcPr>
          <w:p w14:paraId="615AECE8"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Project B</w:t>
            </w:r>
          </w:p>
        </w:tc>
        <w:tc>
          <w:tcPr>
            <w:tcW w:w="2683" w:type="dxa"/>
          </w:tcPr>
          <w:p w14:paraId="783F794A"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0.082152</w:t>
            </w:r>
          </w:p>
        </w:tc>
        <w:tc>
          <w:tcPr>
            <w:tcW w:w="1657" w:type="dxa"/>
          </w:tcPr>
          <w:p w14:paraId="361CF323" w14:textId="77777777" w:rsidR="005C6948" w:rsidRPr="0036198E" w:rsidRDefault="005C6948" w:rsidP="0065287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Accept</w:t>
            </w:r>
          </w:p>
        </w:tc>
      </w:tr>
      <w:tr w:rsidR="005C6948" w:rsidRPr="0036198E" w14:paraId="54B7A8C6" w14:textId="77777777" w:rsidTr="00305D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3" w:type="dxa"/>
          </w:tcPr>
          <w:p w14:paraId="45674A4C" w14:textId="77777777" w:rsidR="005C6948" w:rsidRPr="0036198E" w:rsidRDefault="005C6948" w:rsidP="00652878">
            <w:pPr>
              <w:spacing w:after="160" w:line="360" w:lineRule="auto"/>
              <w:jc w:val="both"/>
              <w:rPr>
                <w:rFonts w:eastAsia="Arial"/>
                <w:color w:val="000000"/>
              </w:rPr>
            </w:pPr>
            <w:r w:rsidRPr="0036198E">
              <w:rPr>
                <w:rFonts w:eastAsia="Arial"/>
                <w:color w:val="000000"/>
              </w:rPr>
              <w:t>3</w:t>
            </w:r>
          </w:p>
        </w:tc>
        <w:tc>
          <w:tcPr>
            <w:tcW w:w="1203" w:type="dxa"/>
          </w:tcPr>
          <w:p w14:paraId="269A284B"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Project A</w:t>
            </w:r>
          </w:p>
        </w:tc>
        <w:tc>
          <w:tcPr>
            <w:tcW w:w="2683" w:type="dxa"/>
          </w:tcPr>
          <w:p w14:paraId="03088131"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-0.005455</w:t>
            </w:r>
          </w:p>
        </w:tc>
        <w:tc>
          <w:tcPr>
            <w:tcW w:w="1657" w:type="dxa"/>
          </w:tcPr>
          <w:p w14:paraId="7850F443" w14:textId="77777777" w:rsidR="005C6948" w:rsidRPr="0036198E" w:rsidRDefault="005C6948" w:rsidP="0065287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Reject</w:t>
            </w:r>
          </w:p>
        </w:tc>
      </w:tr>
    </w:tbl>
    <w:p w14:paraId="619DD84D" w14:textId="77777777" w:rsidR="00E439B0" w:rsidRDefault="00E439B0" w:rsidP="005C6948">
      <w:pPr>
        <w:spacing w:line="360" w:lineRule="auto"/>
        <w:jc w:val="both"/>
        <w:rPr>
          <w:rFonts w:eastAsia="Arial"/>
          <w:color w:val="000000"/>
          <w:szCs w:val="24"/>
        </w:rPr>
      </w:pPr>
    </w:p>
    <w:p w14:paraId="24D29D35" w14:textId="42055515" w:rsidR="005C6948" w:rsidRPr="0036198E" w:rsidRDefault="005C6948" w:rsidP="005C6948">
      <w:pPr>
        <w:spacing w:line="360" w:lineRule="auto"/>
        <w:jc w:val="both"/>
        <w:rPr>
          <w:rFonts w:eastAsia="Arial"/>
          <w:color w:val="000000"/>
          <w:szCs w:val="24"/>
        </w:rPr>
      </w:pPr>
      <w:r w:rsidRPr="0036198E">
        <w:rPr>
          <w:rFonts w:eastAsia="Arial"/>
          <w:color w:val="000000"/>
          <w:szCs w:val="24"/>
        </w:rPr>
        <w:t xml:space="preserve">As indicated in the ranking table, Project C is the most attractive investment because it has the highest profitability index (0.091208) and thus highest return per unit of investment. The second project is B with a slightly lower PI (0.082152) but one that is still viable in terms of finances. The last project A is the worst since it has negative PI (-0.005455) implying that it eliminates value and must not be accepted. In general, the ranking suggests the </w:t>
      </w:r>
      <w:proofErr w:type="gramStart"/>
      <w:r w:rsidRPr="0036198E">
        <w:rPr>
          <w:rFonts w:eastAsia="Arial"/>
          <w:color w:val="000000"/>
          <w:szCs w:val="24"/>
        </w:rPr>
        <w:t>first priority</w:t>
      </w:r>
      <w:proofErr w:type="gramEnd"/>
      <w:r w:rsidRPr="0036198E">
        <w:rPr>
          <w:rFonts w:eastAsia="Arial"/>
          <w:color w:val="000000"/>
          <w:szCs w:val="24"/>
        </w:rPr>
        <w:t xml:space="preserve"> to Project C and then Project B to optimize returns at the capital level.</w:t>
      </w:r>
    </w:p>
    <w:p w14:paraId="3EE5B599" w14:textId="77777777" w:rsidR="005C6948" w:rsidRPr="0036198E" w:rsidRDefault="005C6948" w:rsidP="005C6948">
      <w:pPr>
        <w:pStyle w:val="Heading2"/>
        <w:spacing w:line="360" w:lineRule="auto"/>
        <w:jc w:val="both"/>
        <w:rPr>
          <w:rFonts w:eastAsia="Arial" w:cs="Calibri"/>
          <w:b w:val="0"/>
          <w:bCs/>
          <w:color w:val="000000"/>
          <w:szCs w:val="24"/>
        </w:rPr>
      </w:pPr>
      <w:bookmarkStart w:id="24" w:name="_Toc227610534"/>
      <w:r w:rsidRPr="0036198E">
        <w:rPr>
          <w:rFonts w:eastAsia="Arial" w:cs="Calibri"/>
          <w:bCs/>
          <w:color w:val="000000"/>
          <w:szCs w:val="24"/>
        </w:rPr>
        <w:t>4.3 Optimal Investment Mix</w:t>
      </w:r>
      <w:bookmarkEnd w:id="24"/>
    </w:p>
    <w:p w14:paraId="0D748308"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 xml:space="preserve">Funds ought to be allocated to the maximum profitability index to maximise total NPV with the budget of less than 1,500,000. Thus, the first project (Project C) (£1,000,000) should be fully invested in by the firm. The rest of the £500,000 investment would be proportionately invested in the second-ranked Project B. This constitutes about 55.6 percent of the total investment of Project B. Project A will not be included since it has negative returns. This </w:t>
      </w:r>
      <w:r w:rsidRPr="0036198E">
        <w:rPr>
          <w:rFonts w:eastAsia="Arial"/>
          <w:color w:val="000000"/>
          <w:szCs w:val="24"/>
        </w:rPr>
        <w:lastRenderedPageBreak/>
        <w:t xml:space="preserve">distribution will guarantee effective utilization of scarce </w:t>
      </w:r>
      <w:proofErr w:type="gramStart"/>
      <w:r w:rsidRPr="0036198E">
        <w:rPr>
          <w:rFonts w:eastAsia="Arial"/>
          <w:color w:val="000000"/>
          <w:szCs w:val="24"/>
        </w:rPr>
        <w:t>capital</w:t>
      </w:r>
      <w:proofErr w:type="gramEnd"/>
      <w:r w:rsidRPr="0036198E">
        <w:rPr>
          <w:rFonts w:eastAsia="Arial"/>
          <w:color w:val="000000"/>
          <w:szCs w:val="24"/>
        </w:rPr>
        <w:t xml:space="preserve"> and it will focus on projects that will yield maximum value per pound invested. </w:t>
      </w:r>
    </w:p>
    <w:p w14:paraId="49D37238" w14:textId="77777777" w:rsidR="005C6948" w:rsidRPr="0036198E" w:rsidRDefault="005C6948" w:rsidP="005C6948">
      <w:pPr>
        <w:pStyle w:val="Heading2"/>
        <w:spacing w:line="360" w:lineRule="auto"/>
        <w:jc w:val="both"/>
        <w:rPr>
          <w:rFonts w:eastAsia="Arial" w:cs="Calibri"/>
          <w:b w:val="0"/>
          <w:bCs/>
          <w:color w:val="000000"/>
          <w:szCs w:val="24"/>
        </w:rPr>
      </w:pPr>
      <w:bookmarkStart w:id="25" w:name="_Toc227610535"/>
      <w:r w:rsidRPr="0036198E">
        <w:rPr>
          <w:rFonts w:eastAsia="Arial" w:cs="Calibri"/>
          <w:bCs/>
          <w:color w:val="000000"/>
          <w:szCs w:val="24"/>
        </w:rPr>
        <w:t>4.4 Final NPV from portfolio</w:t>
      </w:r>
      <w:bookmarkEnd w:id="25"/>
    </w:p>
    <w:p w14:paraId="4FD19D8B"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 xml:space="preserve">The NPV of the optimal investment mix is the sum of returns of Project C and partial investment in Project B; Project C will result in NPV of 91,208; the partial investment in Project B would result in yields of about 41,087. </w:t>
      </w:r>
      <w:proofErr w:type="gramStart"/>
      <w:r w:rsidRPr="0036198E">
        <w:rPr>
          <w:rFonts w:eastAsia="Arial"/>
          <w:color w:val="000000"/>
          <w:szCs w:val="24"/>
        </w:rPr>
        <w:t>A sum total</w:t>
      </w:r>
      <w:proofErr w:type="gramEnd"/>
      <w:r w:rsidRPr="0036198E">
        <w:rPr>
          <w:rFonts w:eastAsia="Arial"/>
          <w:color w:val="000000"/>
          <w:szCs w:val="24"/>
        </w:rPr>
        <w:t xml:space="preserve"> of these yields an overall portfolio NPV of £132,295. This is the optimal value that can be attained given the constraint of £1.5 million. The outcome justifies the fact that the selection of higher-ranked projects will result in better overall </w:t>
      </w:r>
      <w:proofErr w:type="gramStart"/>
      <w:r w:rsidRPr="0036198E">
        <w:rPr>
          <w:rFonts w:eastAsia="Arial"/>
          <w:color w:val="000000"/>
          <w:szCs w:val="24"/>
        </w:rPr>
        <w:t>profitability, and</w:t>
      </w:r>
      <w:proofErr w:type="gramEnd"/>
      <w:r w:rsidRPr="0036198E">
        <w:rPr>
          <w:rFonts w:eastAsia="Arial"/>
          <w:color w:val="000000"/>
          <w:szCs w:val="24"/>
        </w:rPr>
        <w:t xml:space="preserve"> provide the most optimal financial performance of the firm.</w:t>
      </w:r>
    </w:p>
    <w:p w14:paraId="3795B71C" w14:textId="77777777" w:rsidR="005C6948" w:rsidRPr="0036198E" w:rsidRDefault="005C6948" w:rsidP="005C6948">
      <w:pPr>
        <w:pStyle w:val="Heading1"/>
        <w:spacing w:line="360" w:lineRule="auto"/>
        <w:jc w:val="both"/>
        <w:rPr>
          <w:rFonts w:eastAsia="Arial" w:cs="Calibri"/>
          <w:b w:val="0"/>
          <w:bCs w:val="0"/>
          <w:color w:val="000000"/>
          <w:sz w:val="24"/>
          <w:szCs w:val="24"/>
        </w:rPr>
      </w:pPr>
      <w:bookmarkStart w:id="26" w:name="_Toc227610536"/>
      <w:r w:rsidRPr="0036198E">
        <w:rPr>
          <w:rFonts w:eastAsia="Arial" w:cs="Calibri"/>
          <w:color w:val="000000"/>
          <w:sz w:val="24"/>
          <w:szCs w:val="24"/>
        </w:rPr>
        <w:t>5. Financing the Investment Programme</w:t>
      </w:r>
      <w:bookmarkEnd w:id="26"/>
    </w:p>
    <w:p w14:paraId="059E904E" w14:textId="77777777" w:rsidR="005C6948" w:rsidRPr="0036198E" w:rsidRDefault="005C6948" w:rsidP="005C6948">
      <w:pPr>
        <w:pStyle w:val="Heading2"/>
        <w:spacing w:line="360" w:lineRule="auto"/>
        <w:jc w:val="both"/>
        <w:rPr>
          <w:rFonts w:eastAsia="Arial" w:cs="Calibri"/>
          <w:b w:val="0"/>
          <w:bCs/>
          <w:color w:val="000000"/>
          <w:szCs w:val="24"/>
        </w:rPr>
      </w:pPr>
      <w:bookmarkStart w:id="27" w:name="_Toc227610537"/>
      <w:r w:rsidRPr="0036198E">
        <w:rPr>
          <w:rFonts w:eastAsia="Arial" w:cs="Calibri"/>
          <w:bCs/>
          <w:color w:val="000000"/>
          <w:szCs w:val="24"/>
        </w:rPr>
        <w:t>5.1 Sources of Finance</w:t>
      </w:r>
      <w:bookmarkEnd w:id="27"/>
    </w:p>
    <w:p w14:paraId="2F12BFBA"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The investment programme can be financed by the firm using various sources. Equity financing is a method of raising funds through the issuance of shares to investors. Bank loans are loans that are to be repaid with interest. Bonds or debt finance is borrowing funds by the people or institutions at a required rate (</w:t>
      </w:r>
      <w:r w:rsidRPr="0036198E">
        <w:rPr>
          <w:rFonts w:eastAsia="Arial"/>
          <w:szCs w:val="24"/>
        </w:rPr>
        <w:t xml:space="preserve">Chakraborty </w:t>
      </w:r>
      <w:r w:rsidRPr="0036198E">
        <w:rPr>
          <w:rFonts w:eastAsia="Arial"/>
          <w:i/>
          <w:iCs/>
          <w:szCs w:val="24"/>
        </w:rPr>
        <w:t xml:space="preserve">et al. </w:t>
      </w:r>
      <w:r w:rsidRPr="0036198E">
        <w:rPr>
          <w:rFonts w:eastAsia="Arial"/>
          <w:szCs w:val="24"/>
        </w:rPr>
        <w:t>2025)</w:t>
      </w:r>
      <w:r w:rsidRPr="0036198E">
        <w:rPr>
          <w:rFonts w:eastAsia="Arial"/>
          <w:color w:val="000000"/>
          <w:szCs w:val="24"/>
        </w:rPr>
        <w:t>. Finally, retained earnings are internally generated funds that are invested back into the business instead of being paid out as dividend.</w:t>
      </w:r>
    </w:p>
    <w:p w14:paraId="7D520FAB" w14:textId="77777777" w:rsidR="005C6948" w:rsidRPr="0036198E" w:rsidRDefault="005C6948" w:rsidP="005C6948">
      <w:pPr>
        <w:pStyle w:val="Heading2"/>
        <w:spacing w:line="360" w:lineRule="auto"/>
        <w:jc w:val="both"/>
        <w:rPr>
          <w:rFonts w:eastAsia="Arial" w:cs="Calibri"/>
          <w:b w:val="0"/>
          <w:bCs/>
          <w:color w:val="000000"/>
          <w:szCs w:val="24"/>
        </w:rPr>
      </w:pPr>
      <w:bookmarkStart w:id="28" w:name="_Toc227610538"/>
      <w:r w:rsidRPr="0036198E">
        <w:rPr>
          <w:rFonts w:eastAsia="Arial" w:cs="Calibri"/>
          <w:bCs/>
          <w:color w:val="000000"/>
          <w:szCs w:val="24"/>
        </w:rPr>
        <w:t>5.2 Evaluation of Each Source</w:t>
      </w:r>
      <w:bookmarkEnd w:id="28"/>
    </w:p>
    <w:p w14:paraId="50300FCD" w14:textId="77777777" w:rsidR="005C6948" w:rsidRPr="0036198E" w:rsidRDefault="005C6948" w:rsidP="005C6948">
      <w:pPr>
        <w:spacing w:line="360" w:lineRule="auto"/>
        <w:jc w:val="both"/>
        <w:rPr>
          <w:rFonts w:eastAsia="Arial"/>
          <w:color w:val="000000"/>
          <w:szCs w:val="24"/>
        </w:rPr>
      </w:pPr>
      <w:r w:rsidRPr="0036198E">
        <w:rPr>
          <w:rFonts w:eastAsia="Arial"/>
          <w:b/>
          <w:bCs/>
          <w:color w:val="000000"/>
          <w:szCs w:val="24"/>
        </w:rPr>
        <w:t xml:space="preserve">Equity Finance: </w:t>
      </w:r>
      <w:r w:rsidRPr="0036198E">
        <w:rPr>
          <w:rFonts w:eastAsia="Arial"/>
          <w:color w:val="000000"/>
          <w:szCs w:val="24"/>
        </w:rPr>
        <w:t>It offers capital without repayment of the capital, and this lessens financial burden on a firm and enhances liquidity (</w:t>
      </w:r>
      <w:proofErr w:type="spellStart"/>
      <w:r w:rsidRPr="0036198E">
        <w:rPr>
          <w:rFonts w:eastAsia="Arial"/>
          <w:szCs w:val="24"/>
        </w:rPr>
        <w:t>Sha'ari</w:t>
      </w:r>
      <w:proofErr w:type="spellEnd"/>
      <w:r w:rsidRPr="0036198E">
        <w:rPr>
          <w:rFonts w:eastAsia="Arial"/>
          <w:i/>
          <w:iCs/>
          <w:szCs w:val="24"/>
        </w:rPr>
        <w:t xml:space="preserve"> et al.,</w:t>
      </w:r>
      <w:r w:rsidRPr="0036198E">
        <w:rPr>
          <w:rFonts w:eastAsia="Arial"/>
          <w:szCs w:val="24"/>
        </w:rPr>
        <w:t xml:space="preserve"> 2023)</w:t>
      </w:r>
      <w:r w:rsidRPr="0036198E">
        <w:rPr>
          <w:rFonts w:eastAsia="Arial"/>
          <w:color w:val="000000"/>
          <w:szCs w:val="24"/>
        </w:rPr>
        <w:t xml:space="preserve">. It can be used in long-term growth projects. </w:t>
      </w:r>
    </w:p>
    <w:p w14:paraId="5EDB0EE7" w14:textId="77777777" w:rsidR="005C6948" w:rsidRPr="0036198E" w:rsidRDefault="005C6948" w:rsidP="005C6948">
      <w:pPr>
        <w:spacing w:line="360" w:lineRule="auto"/>
        <w:jc w:val="both"/>
        <w:rPr>
          <w:rFonts w:eastAsia="Arial"/>
          <w:b/>
          <w:bCs/>
          <w:color w:val="000000"/>
          <w:szCs w:val="24"/>
        </w:rPr>
      </w:pPr>
      <w:r w:rsidRPr="0036198E">
        <w:rPr>
          <w:rFonts w:eastAsia="Arial"/>
          <w:b/>
          <w:bCs/>
          <w:color w:val="000000"/>
          <w:szCs w:val="24"/>
        </w:rPr>
        <w:t xml:space="preserve">Bonds (Bank Loans / Bonds): </w:t>
      </w:r>
      <w:r w:rsidRPr="0036198E">
        <w:rPr>
          <w:rFonts w:eastAsia="Arial"/>
          <w:color w:val="000000"/>
          <w:szCs w:val="24"/>
        </w:rPr>
        <w:t xml:space="preserve">The benefits of debt finance are substantial because the interest paid is tax-deductible and thus the cost of a debt finance is lower (Naomi, 2023). It enables the company to have complete ownership power. </w:t>
      </w:r>
    </w:p>
    <w:p w14:paraId="14D78F2F" w14:textId="77777777" w:rsidR="005C6948" w:rsidRPr="0036198E" w:rsidRDefault="005C6948" w:rsidP="005C6948">
      <w:pPr>
        <w:spacing w:line="360" w:lineRule="auto"/>
        <w:jc w:val="both"/>
        <w:rPr>
          <w:rFonts w:eastAsia="Arial"/>
          <w:b/>
          <w:bCs/>
          <w:color w:val="000000"/>
          <w:szCs w:val="24"/>
        </w:rPr>
      </w:pPr>
      <w:r w:rsidRPr="0036198E">
        <w:rPr>
          <w:rFonts w:eastAsia="Arial"/>
          <w:b/>
          <w:bCs/>
          <w:color w:val="000000"/>
          <w:szCs w:val="24"/>
        </w:rPr>
        <w:t xml:space="preserve">Retained Earnings: </w:t>
      </w:r>
      <w:r w:rsidRPr="0036198E">
        <w:rPr>
          <w:rFonts w:eastAsia="Arial"/>
          <w:color w:val="000000"/>
          <w:szCs w:val="24"/>
        </w:rPr>
        <w:t>The retained earnings are internally raised funds, which implies that it does not have any external dependency or interest cost and therefore it is a low-risk source of finance (</w:t>
      </w:r>
      <w:proofErr w:type="spellStart"/>
      <w:r w:rsidRPr="0036198E">
        <w:rPr>
          <w:rFonts w:eastAsia="Arial"/>
          <w:color w:val="000000"/>
          <w:szCs w:val="24"/>
        </w:rPr>
        <w:t>Oganda</w:t>
      </w:r>
      <w:proofErr w:type="spellEnd"/>
      <w:r w:rsidRPr="0036198E">
        <w:rPr>
          <w:rFonts w:eastAsia="Arial"/>
          <w:color w:val="000000"/>
          <w:szCs w:val="24"/>
        </w:rPr>
        <w:t xml:space="preserve"> </w:t>
      </w:r>
      <w:r w:rsidRPr="0036198E">
        <w:rPr>
          <w:rFonts w:eastAsia="Arial"/>
          <w:i/>
          <w:iCs/>
          <w:color w:val="000000"/>
          <w:szCs w:val="24"/>
        </w:rPr>
        <w:t>et al.,</w:t>
      </w:r>
      <w:r w:rsidRPr="0036198E">
        <w:rPr>
          <w:rFonts w:eastAsia="Arial"/>
          <w:color w:val="000000"/>
          <w:szCs w:val="24"/>
        </w:rPr>
        <w:t xml:space="preserve"> 2022). This enhances stability in finances and prevents loss of ownership.</w:t>
      </w:r>
      <w:r w:rsidRPr="0036198E">
        <w:rPr>
          <w:rFonts w:eastAsia="Arial"/>
          <w:b/>
          <w:bCs/>
          <w:color w:val="000000"/>
          <w:szCs w:val="24"/>
        </w:rPr>
        <w:t xml:space="preserve"> </w:t>
      </w:r>
    </w:p>
    <w:p w14:paraId="2C9CBAB1" w14:textId="77777777" w:rsidR="005C6948" w:rsidRPr="0036198E" w:rsidRDefault="005C6948" w:rsidP="005C6948">
      <w:pPr>
        <w:pStyle w:val="Heading2"/>
        <w:spacing w:line="360" w:lineRule="auto"/>
        <w:jc w:val="both"/>
        <w:rPr>
          <w:rFonts w:eastAsia="Arial" w:cs="Calibri"/>
          <w:b w:val="0"/>
          <w:bCs/>
          <w:color w:val="000000"/>
          <w:szCs w:val="24"/>
        </w:rPr>
      </w:pPr>
      <w:bookmarkStart w:id="29" w:name="_Toc227610539"/>
      <w:r w:rsidRPr="0036198E">
        <w:rPr>
          <w:rFonts w:eastAsia="Arial" w:cs="Calibri"/>
          <w:bCs/>
          <w:color w:val="000000"/>
          <w:szCs w:val="24"/>
        </w:rPr>
        <w:lastRenderedPageBreak/>
        <w:t>5.3 Recommended Financing Strategy</w:t>
      </w:r>
      <w:bookmarkEnd w:id="29"/>
    </w:p>
    <w:p w14:paraId="13B2F01F" w14:textId="77777777" w:rsidR="005C6948" w:rsidRPr="0036198E" w:rsidRDefault="005C6948" w:rsidP="005C6948">
      <w:pPr>
        <w:spacing w:line="360" w:lineRule="auto"/>
        <w:jc w:val="both"/>
        <w:rPr>
          <w:rFonts w:eastAsia="Arial"/>
          <w:color w:val="000000"/>
          <w:szCs w:val="24"/>
        </w:rPr>
      </w:pPr>
      <w:r w:rsidRPr="0036198E">
        <w:rPr>
          <w:rFonts w:eastAsia="Arial"/>
          <w:color w:val="000000"/>
          <w:szCs w:val="24"/>
        </w:rPr>
        <w:t>It is suggested to adopt a mixture of debt and retained earnings as the means of financing. Primary sources can be realized through retained earnings, which is inexpensive and at the same time, moderate debt can increase the returns due to tax advantages (Gautam and Purohit, 2024). This strategy fits the risk profile of luxury market development where financial flexibility and risk control is necessary without sacrificing growth and value creation.</w:t>
      </w:r>
    </w:p>
    <w:p w14:paraId="52B2843E" w14:textId="77777777" w:rsidR="005C6948" w:rsidRPr="0036198E" w:rsidRDefault="005C6948" w:rsidP="005C6948">
      <w:pPr>
        <w:spacing w:line="360" w:lineRule="auto"/>
        <w:rPr>
          <w:rFonts w:eastAsia="Arial"/>
          <w:color w:val="2E75B5"/>
          <w:sz w:val="32"/>
          <w:szCs w:val="32"/>
        </w:rPr>
      </w:pPr>
      <w:r w:rsidRPr="0036198E">
        <w:br w:type="page"/>
      </w:r>
    </w:p>
    <w:p w14:paraId="25881418" w14:textId="77777777" w:rsidR="005C6948" w:rsidRPr="0036198E" w:rsidRDefault="005C6948" w:rsidP="005C6948">
      <w:pPr>
        <w:pStyle w:val="Heading1"/>
        <w:spacing w:line="360" w:lineRule="auto"/>
        <w:rPr>
          <w:rFonts w:eastAsia="Arial" w:cs="Calibri"/>
          <w:color w:val="000000"/>
          <w:sz w:val="22"/>
          <w:szCs w:val="22"/>
        </w:rPr>
      </w:pPr>
      <w:bookmarkStart w:id="30" w:name="_Toc227610540"/>
      <w:r w:rsidRPr="0036198E">
        <w:rPr>
          <w:rFonts w:eastAsia="Arial" w:cs="Calibri"/>
          <w:color w:val="000000"/>
          <w:szCs w:val="28"/>
        </w:rPr>
        <w:lastRenderedPageBreak/>
        <w:t>Conclusion</w:t>
      </w:r>
      <w:bookmarkEnd w:id="30"/>
    </w:p>
    <w:p w14:paraId="7077A0D3" w14:textId="77777777" w:rsidR="005C6948" w:rsidRPr="0036198E" w:rsidRDefault="005C6948" w:rsidP="005C6948">
      <w:pPr>
        <w:spacing w:line="360" w:lineRule="auto"/>
        <w:jc w:val="both"/>
        <w:rPr>
          <w:rFonts w:eastAsia="Arial"/>
          <w:szCs w:val="24"/>
        </w:rPr>
      </w:pPr>
      <w:r w:rsidRPr="0036198E">
        <w:rPr>
          <w:rFonts w:eastAsia="Arial"/>
          <w:szCs w:val="24"/>
        </w:rPr>
        <w:t xml:space="preserve">Key financial theories and decision-making techniques have been critically applied in evaluating the financial performance of BP PLC and the investment appraisal decisions of Beard Plc in this report. The BP PLC ratio analysis shows that the company has improved its profitability generally, in terms of gross profit margin, operating profit margin, net profit margin, and ROCE. Nonetheless, this good performance comes with the mixed indicators in terms of liquidity and efficiency, especially the increasing receivables days and slightly decreasing asset turnover which indicates that the company may face some operational issues in terms of managing cash and using assets. There is also an increased gearing indicating increased dependence on debt financing that increases financial risk although interest coverage is high. </w:t>
      </w:r>
    </w:p>
    <w:p w14:paraId="198781DD" w14:textId="62386DE3" w:rsidR="005C6948" w:rsidRDefault="005C6948" w:rsidP="005C6948">
      <w:pPr>
        <w:spacing w:line="360" w:lineRule="auto"/>
        <w:jc w:val="both"/>
        <w:rPr>
          <w:rFonts w:eastAsia="Arial"/>
          <w:szCs w:val="24"/>
        </w:rPr>
      </w:pPr>
      <w:r w:rsidRPr="0036198E">
        <w:rPr>
          <w:rFonts w:eastAsia="Arial"/>
          <w:szCs w:val="24"/>
        </w:rPr>
        <w:t>In the second section, NPV, IRR and capital rationing methods were used in the evaluation of investment options of Beard Plc. Project C was the most viable in terms of financial aspects as it produced the greatest NPV (£91,208) and IRR (13.2%), which is much higher than the cost of capital (5%). This proves its high capacity to achieve shareholder value and generate better returns than Projects A and B under capital rationing conditions, the combined portfolio NPV of both Project C and B is 132,295, which is an efficient allocation of scarce capital resources.</w:t>
      </w:r>
      <w:r w:rsidR="006A12FC" w:rsidRPr="0036198E">
        <w:rPr>
          <w:rFonts w:eastAsia="Arial"/>
          <w:szCs w:val="24"/>
        </w:rPr>
        <w:t xml:space="preserve"> </w:t>
      </w:r>
      <w:r w:rsidRPr="0036198E">
        <w:rPr>
          <w:rFonts w:eastAsia="Arial"/>
          <w:szCs w:val="24"/>
        </w:rPr>
        <w:t>Another issue that was noted in the report is that although NPV is the best form of investment appraisal, non-discounting techniques are still practical in decision making. Moreover, the financing decisions must be made on a proportionate combination of both retained earnings and debt to ensure financial flexibility and sustain the growth. In general, the discussion establishes that using a combination of quantitative financial instruments and qualitative factors allows making stronger, more strategic and value-maximising business judgments in competitive markets.</w:t>
      </w:r>
    </w:p>
    <w:p w14:paraId="78F55E70" w14:textId="77777777" w:rsidR="00C753BB" w:rsidRDefault="00C753BB">
      <w:pPr>
        <w:spacing w:line="278" w:lineRule="auto"/>
        <w:rPr>
          <w:rFonts w:eastAsia="Arial" w:cstheme="majorBidi"/>
          <w:b/>
          <w:bCs/>
          <w:color w:val="000000" w:themeColor="text1"/>
          <w:sz w:val="28"/>
          <w:szCs w:val="32"/>
        </w:rPr>
      </w:pPr>
      <w:r>
        <w:rPr>
          <w:rFonts w:eastAsia="Arial"/>
        </w:rPr>
        <w:br w:type="page"/>
      </w:r>
    </w:p>
    <w:p w14:paraId="7131DF5C" w14:textId="44868DA9" w:rsidR="00C753BB" w:rsidRDefault="00C753BB" w:rsidP="00A32101">
      <w:pPr>
        <w:pStyle w:val="Heading1"/>
        <w:spacing w:line="360" w:lineRule="auto"/>
        <w:rPr>
          <w:rFonts w:eastAsia="Arial"/>
        </w:rPr>
      </w:pPr>
      <w:bookmarkStart w:id="31" w:name="_Toc227610541"/>
      <w:r>
        <w:rPr>
          <w:rFonts w:eastAsia="Arial"/>
        </w:rPr>
        <w:lastRenderedPageBreak/>
        <w:t>Recommendation</w:t>
      </w:r>
      <w:bookmarkEnd w:id="31"/>
      <w:r>
        <w:rPr>
          <w:rFonts w:eastAsia="Arial"/>
        </w:rPr>
        <w:t xml:space="preserve"> </w:t>
      </w:r>
    </w:p>
    <w:p w14:paraId="6CF03930" w14:textId="77777777" w:rsidR="00C753BB" w:rsidRDefault="00C753BB" w:rsidP="00A32101">
      <w:pPr>
        <w:spacing w:line="360" w:lineRule="auto"/>
        <w:jc w:val="both"/>
      </w:pPr>
      <w:r>
        <w:t xml:space="preserve">BP plc should prioritise tighter working-capital discipline and more selective capital allocation. Although the report indicates stronger gross margin, operating margin, net margin and ROCE, the sharp rise in receivables days, softer asset turnover and higher debt-to-equity ratio suggest that profit improvement is not yet matched by equally strong cash conversion and balance-sheet resilience. Management should therefore strengthen credit control, accelerate collections, maintain cost efficiency in core operations and continue reviewing non-core or underperforming assets. At the same time, BP should keep investment in transition and renewable projects disciplined, with spending tied to clear return thresholds and cash-flow visibility, so that growth in lower-carbon businesses does not weaken short-term financial stability. This would protect liquidity, support investor confidence and reduce refinancing risk in a volatile energy market (BP Annual Report, 2025; </w:t>
      </w:r>
      <w:proofErr w:type="spellStart"/>
      <w:r>
        <w:t>Hasidi</w:t>
      </w:r>
      <w:proofErr w:type="spellEnd"/>
      <w:r>
        <w:t xml:space="preserve"> et al., 2024; </w:t>
      </w:r>
      <w:proofErr w:type="spellStart"/>
      <w:r>
        <w:t>Olambo</w:t>
      </w:r>
      <w:proofErr w:type="spellEnd"/>
      <w:r>
        <w:t xml:space="preserve"> and Aluoch, 2022; Barnabas and Oloyede, 2024; Lawal and Iliyasu, 2024; Shokouhi et al., 2024).</w:t>
      </w:r>
    </w:p>
    <w:p w14:paraId="21251982" w14:textId="4F4304F5" w:rsidR="00C753BB" w:rsidRPr="00C753BB" w:rsidRDefault="000F6DEB" w:rsidP="00A32101">
      <w:pPr>
        <w:spacing w:line="360" w:lineRule="auto"/>
        <w:jc w:val="both"/>
      </w:pPr>
      <w:r w:rsidRPr="000F6DEB">
        <w:t>Beard Plc should select Project C as the best stand-alone option because it produces the highest NPV and an IRR well above the 5% cost of capital, showing it creates the most value for shareholders.</w:t>
      </w:r>
      <w:r w:rsidR="00767F5A">
        <w:t xml:space="preserve"> </w:t>
      </w:r>
      <w:r w:rsidRPr="000F6DEB">
        <w:t>When capital is limited, the company should fully invest in Project C and use the remaining funds for Project B, as this combination gives the highest overall NPV.</w:t>
      </w:r>
      <w:r w:rsidR="00767F5A">
        <w:t xml:space="preserve"> </w:t>
      </w:r>
      <w:r w:rsidRPr="000F6DEB">
        <w:t>However, the final decision should not depend only on spreadsheet results. Management should also carefully review demand forecasts, expected working capital requirements, supply chain capacity, and any potential execution risks before moving ahead.</w:t>
      </w:r>
      <w:r w:rsidR="00767F5A">
        <w:t xml:space="preserve"> </w:t>
      </w:r>
      <w:r w:rsidR="00C753BB">
        <w:t xml:space="preserve">Financing should follow a balanced approach, using retained earnings as the primary source where possible and moderate debt only where repayment can be comfortably supported by forecast cash inflows. This would preserve financial flexibility while still allowing growth, and it is more consistent with sound capital-budgeting practice than over-reliance on payback or accounting-based measures (Sokolov, 2024; </w:t>
      </w:r>
      <w:proofErr w:type="spellStart"/>
      <w:r w:rsidR="00C753BB">
        <w:t>Purnamasari</w:t>
      </w:r>
      <w:proofErr w:type="spellEnd"/>
      <w:r w:rsidR="00C753BB">
        <w:t xml:space="preserve"> and </w:t>
      </w:r>
      <w:proofErr w:type="spellStart"/>
      <w:r w:rsidR="00C753BB">
        <w:t>Adriza</w:t>
      </w:r>
      <w:proofErr w:type="spellEnd"/>
      <w:r w:rsidR="00C753BB">
        <w:t xml:space="preserve">, 2024; Hartmann and Weißenberger, 2024; </w:t>
      </w:r>
      <w:proofErr w:type="spellStart"/>
      <w:r w:rsidR="00C753BB">
        <w:t>Sha’ari</w:t>
      </w:r>
      <w:proofErr w:type="spellEnd"/>
      <w:r w:rsidR="00C753BB">
        <w:t xml:space="preserve"> et al., 2023; Gautam and Purohit, 2024).</w:t>
      </w:r>
    </w:p>
    <w:p w14:paraId="7E8DA996" w14:textId="77777777" w:rsidR="005C6948" w:rsidRPr="0036198E" w:rsidRDefault="005C6948" w:rsidP="005C6948">
      <w:pPr>
        <w:pStyle w:val="Heading1"/>
        <w:spacing w:line="360" w:lineRule="auto"/>
        <w:rPr>
          <w:rFonts w:eastAsia="Arial" w:cs="Calibri"/>
          <w:b w:val="0"/>
          <w:bCs w:val="0"/>
          <w:color w:val="000000"/>
          <w:szCs w:val="28"/>
        </w:rPr>
      </w:pPr>
      <w:bookmarkStart w:id="32" w:name="_30obcdgs7r1a" w:colFirst="0" w:colLast="0"/>
      <w:bookmarkEnd w:id="32"/>
      <w:r w:rsidRPr="0036198E">
        <w:rPr>
          <w:rFonts w:cs="Calibri"/>
        </w:rPr>
        <w:br w:type="page"/>
      </w:r>
    </w:p>
    <w:p w14:paraId="469B3099" w14:textId="3F344C9E" w:rsidR="005C6948" w:rsidRDefault="005C6948" w:rsidP="00354318">
      <w:pPr>
        <w:pStyle w:val="Heading1"/>
        <w:spacing w:line="360" w:lineRule="auto"/>
        <w:rPr>
          <w:rFonts w:cs="Calibri"/>
          <w:szCs w:val="28"/>
        </w:rPr>
      </w:pPr>
      <w:bookmarkStart w:id="33" w:name="_Toc227610542"/>
      <w:r w:rsidRPr="0036198E">
        <w:rPr>
          <w:rFonts w:cs="Calibri"/>
          <w:szCs w:val="28"/>
        </w:rPr>
        <w:lastRenderedPageBreak/>
        <w:t>References</w:t>
      </w:r>
      <w:bookmarkEnd w:id="33"/>
      <w:r w:rsidRPr="0036198E">
        <w:rPr>
          <w:rFonts w:cs="Calibri"/>
          <w:szCs w:val="28"/>
        </w:rPr>
        <w:t xml:space="preserve"> </w:t>
      </w:r>
    </w:p>
    <w:p w14:paraId="19827C88" w14:textId="77777777" w:rsidR="00386591" w:rsidRPr="0036198E" w:rsidRDefault="00386591" w:rsidP="002C00DD">
      <w:pPr>
        <w:spacing w:line="276" w:lineRule="auto"/>
        <w:jc w:val="both"/>
        <w:rPr>
          <w:rFonts w:eastAsia="Arial"/>
          <w:szCs w:val="24"/>
        </w:rPr>
      </w:pPr>
      <w:proofErr w:type="spellStart"/>
      <w:r w:rsidRPr="0036198E">
        <w:rPr>
          <w:rFonts w:eastAsia="Arial"/>
          <w:szCs w:val="24"/>
        </w:rPr>
        <w:t>Adewoyin</w:t>
      </w:r>
      <w:proofErr w:type="spellEnd"/>
      <w:r w:rsidRPr="0036198E">
        <w:rPr>
          <w:rFonts w:eastAsia="Arial"/>
          <w:szCs w:val="24"/>
        </w:rPr>
        <w:t>, M.A. and Isong, D.E., (2024). Innovative Strategies for Enhancing Operational Efficiency in the Oil and Gas Industry and Beyond: A continuous Improvement Approach. </w:t>
      </w:r>
      <w:r w:rsidRPr="0036198E">
        <w:rPr>
          <w:rFonts w:eastAsia="Arial"/>
          <w:i/>
          <w:iCs/>
          <w:szCs w:val="24"/>
        </w:rPr>
        <w:t>NIPES Proceedings in Science and Technology</w:t>
      </w:r>
      <w:r w:rsidRPr="0036198E">
        <w:rPr>
          <w:rFonts w:eastAsia="Arial"/>
          <w:szCs w:val="24"/>
        </w:rPr>
        <w:t>, </w:t>
      </w:r>
      <w:r w:rsidRPr="0036198E">
        <w:rPr>
          <w:rFonts w:eastAsia="Arial"/>
          <w:i/>
          <w:iCs/>
          <w:szCs w:val="24"/>
        </w:rPr>
        <w:t>3</w:t>
      </w:r>
      <w:r w:rsidRPr="0036198E">
        <w:rPr>
          <w:rFonts w:eastAsia="Arial"/>
          <w:szCs w:val="24"/>
        </w:rPr>
        <w:t>, pp.1-9.</w:t>
      </w:r>
    </w:p>
    <w:p w14:paraId="3DF032F1" w14:textId="77777777" w:rsidR="00386591" w:rsidRDefault="00386591" w:rsidP="002C00DD">
      <w:pPr>
        <w:spacing w:line="276" w:lineRule="auto"/>
        <w:jc w:val="both"/>
      </w:pPr>
      <w:r>
        <w:t>Aktas, N., Croci, E. and Petmezas, D. (2015) ‘Is working capital management value-enhancing? Evidence from firm performance and investments’, Journal of Corporate Finance, 30, pp. 98–113.</w:t>
      </w:r>
    </w:p>
    <w:p w14:paraId="42DF109B" w14:textId="77777777" w:rsidR="00386591" w:rsidRDefault="00386591" w:rsidP="002C00DD">
      <w:pPr>
        <w:spacing w:line="276" w:lineRule="auto"/>
        <w:jc w:val="both"/>
      </w:pPr>
      <w:r>
        <w:t>Ali Abebe, A. (2022) ‘The effect of IFRS on the financial ratios: Evidence from banking sector in the emerging economy’, Cogent Economics &amp; Finance, 10(1), 2113495.</w:t>
      </w:r>
    </w:p>
    <w:p w14:paraId="028CE7F9" w14:textId="77777777" w:rsidR="00386591" w:rsidRPr="0036198E" w:rsidRDefault="00386591" w:rsidP="002C00DD">
      <w:pPr>
        <w:spacing w:line="276" w:lineRule="auto"/>
        <w:jc w:val="both"/>
        <w:rPr>
          <w:rFonts w:eastAsia="Arial"/>
          <w:szCs w:val="24"/>
        </w:rPr>
      </w:pPr>
      <w:r w:rsidRPr="0036198E">
        <w:rPr>
          <w:rFonts w:eastAsia="Arial"/>
          <w:szCs w:val="24"/>
        </w:rPr>
        <w:t xml:space="preserve">Ali, K., Chisti, K.A. and Malik, I.A., (2022). Impact of earnings per share on stock prices and </w:t>
      </w:r>
      <w:proofErr w:type="gramStart"/>
      <w:r w:rsidRPr="0036198E">
        <w:rPr>
          <w:rFonts w:eastAsia="Arial"/>
          <w:szCs w:val="24"/>
        </w:rPr>
        <w:t>price</w:t>
      </w:r>
      <w:proofErr w:type="gramEnd"/>
      <w:r w:rsidRPr="0036198E">
        <w:rPr>
          <w:rFonts w:eastAsia="Arial"/>
          <w:szCs w:val="24"/>
        </w:rPr>
        <w:t xml:space="preserve"> to earnings ratio. </w:t>
      </w:r>
      <w:r w:rsidRPr="0036198E">
        <w:rPr>
          <w:rFonts w:eastAsia="Arial"/>
          <w:i/>
          <w:iCs/>
          <w:szCs w:val="24"/>
        </w:rPr>
        <w:t>Economics and Business Quarterly Reviews</w:t>
      </w:r>
      <w:r w:rsidRPr="0036198E">
        <w:rPr>
          <w:rFonts w:eastAsia="Arial"/>
          <w:szCs w:val="24"/>
        </w:rPr>
        <w:t>, </w:t>
      </w:r>
      <w:r w:rsidRPr="0036198E">
        <w:rPr>
          <w:rFonts w:eastAsia="Arial"/>
          <w:i/>
          <w:iCs/>
          <w:szCs w:val="24"/>
        </w:rPr>
        <w:t>5</w:t>
      </w:r>
      <w:r w:rsidRPr="0036198E">
        <w:rPr>
          <w:rFonts w:eastAsia="Arial"/>
          <w:szCs w:val="24"/>
        </w:rPr>
        <w:t>(2).</w:t>
      </w:r>
    </w:p>
    <w:p w14:paraId="72ABF0E1" w14:textId="77777777" w:rsidR="00386591" w:rsidRDefault="00386591" w:rsidP="002C00DD">
      <w:pPr>
        <w:spacing w:line="276" w:lineRule="auto"/>
        <w:jc w:val="both"/>
      </w:pPr>
      <w:r>
        <w:t>Andor, G., Mohanty, S.K. and Toth, T. (2015) ‘Capital budgeting practices: A survey of Central and Eastern European firms’, Emerging Markets Review, 23, pp. 148–172.</w:t>
      </w:r>
    </w:p>
    <w:p w14:paraId="4944D523" w14:textId="77777777" w:rsidR="00386591" w:rsidRDefault="00386591" w:rsidP="002C00DD">
      <w:pPr>
        <w:spacing w:line="276" w:lineRule="auto"/>
        <w:jc w:val="both"/>
      </w:pPr>
      <w:r>
        <w:t>Baños-Caballero, S., García-Teruel, P.J. and Martínez-Solano, P. (2014) ‘Working capital management, corporate performance, and financial constraints’, Journal of Business Research, 67(3), pp. 332–338.</w:t>
      </w:r>
    </w:p>
    <w:p w14:paraId="70B171C2" w14:textId="77777777" w:rsidR="00386591" w:rsidRPr="0036198E" w:rsidRDefault="00386591" w:rsidP="002C00DD">
      <w:pPr>
        <w:spacing w:line="276" w:lineRule="auto"/>
        <w:jc w:val="both"/>
        <w:rPr>
          <w:rFonts w:eastAsia="Arial"/>
          <w:szCs w:val="24"/>
        </w:rPr>
      </w:pPr>
      <w:r w:rsidRPr="0036198E">
        <w:rPr>
          <w:rFonts w:eastAsia="Arial"/>
          <w:szCs w:val="24"/>
        </w:rPr>
        <w:t>Barnabas, B. and Oloyede, J., (2024). Cash flow optimization: Strategies for enhancing short-term liquidity. </w:t>
      </w:r>
      <w:r w:rsidRPr="0036198E">
        <w:rPr>
          <w:rFonts w:eastAsia="Arial"/>
          <w:i/>
          <w:iCs/>
          <w:szCs w:val="24"/>
        </w:rPr>
        <w:t>Available at SSRN 5004465</w:t>
      </w:r>
      <w:r w:rsidRPr="0036198E">
        <w:rPr>
          <w:rFonts w:eastAsia="Arial"/>
          <w:szCs w:val="24"/>
        </w:rPr>
        <w:t>.</w:t>
      </w:r>
    </w:p>
    <w:p w14:paraId="62661BB5" w14:textId="77777777" w:rsidR="00386591" w:rsidRPr="0036198E" w:rsidRDefault="00386591" w:rsidP="002C00DD">
      <w:pPr>
        <w:spacing w:line="276" w:lineRule="auto"/>
        <w:jc w:val="both"/>
        <w:rPr>
          <w:rFonts w:eastAsia="Arial"/>
          <w:szCs w:val="24"/>
        </w:rPr>
      </w:pPr>
      <w:r w:rsidRPr="0036198E">
        <w:rPr>
          <w:rFonts w:eastAsia="Arial"/>
          <w:szCs w:val="24"/>
        </w:rPr>
        <w:t xml:space="preserve">BP Annual Report (2024). Available at: </w:t>
      </w:r>
      <w:hyperlink r:id="rId11" w:anchor="page=185.27">
        <w:r w:rsidRPr="0036198E">
          <w:rPr>
            <w:rFonts w:eastAsia="Arial"/>
            <w:color w:val="0563C1"/>
            <w:szCs w:val="24"/>
            <w:u w:val="single"/>
          </w:rPr>
          <w:t>https://www.bp.com/content/dam/bp/business-sites/en/global/corporate/pdfs/investors/bp-annual-report-and-form-20f-2024.pdf#page=185.27</w:t>
        </w:r>
      </w:hyperlink>
      <w:r w:rsidRPr="0036198E">
        <w:rPr>
          <w:rFonts w:eastAsia="Arial"/>
          <w:szCs w:val="24"/>
        </w:rPr>
        <w:t xml:space="preserve"> [Accessed 16 Apr. 2026].</w:t>
      </w:r>
    </w:p>
    <w:p w14:paraId="0241CEE4" w14:textId="77777777" w:rsidR="00386591" w:rsidRPr="0036198E" w:rsidRDefault="00386591" w:rsidP="002C00DD">
      <w:pPr>
        <w:spacing w:line="276" w:lineRule="auto"/>
        <w:jc w:val="both"/>
        <w:rPr>
          <w:rFonts w:eastAsia="Arial"/>
          <w:szCs w:val="24"/>
        </w:rPr>
      </w:pPr>
      <w:r w:rsidRPr="0036198E">
        <w:rPr>
          <w:rFonts w:eastAsia="Arial"/>
          <w:szCs w:val="24"/>
        </w:rPr>
        <w:t xml:space="preserve">BP Annual Report (2025). Available at: </w:t>
      </w:r>
      <w:hyperlink r:id="rId12" w:anchor="page=203.26">
        <w:r w:rsidRPr="0036198E">
          <w:rPr>
            <w:rFonts w:eastAsia="Arial"/>
            <w:color w:val="0563C1"/>
            <w:szCs w:val="24"/>
            <w:u w:val="single"/>
          </w:rPr>
          <w:t>https://www.bp.com/content/dam/bp/business-sites/en/global/corporate/pdfs/investors/bp-annual-report-and-form-20f-2025.pdf#page=203.26</w:t>
        </w:r>
      </w:hyperlink>
      <w:r w:rsidRPr="0036198E">
        <w:rPr>
          <w:rFonts w:eastAsia="Arial"/>
          <w:szCs w:val="24"/>
        </w:rPr>
        <w:t xml:space="preserve"> [Accessed 16 Apr. 2026].</w:t>
      </w:r>
    </w:p>
    <w:p w14:paraId="31AAB607" w14:textId="77777777" w:rsidR="00386591" w:rsidRDefault="00386591" w:rsidP="002C00DD">
      <w:pPr>
        <w:spacing w:line="276" w:lineRule="auto"/>
        <w:jc w:val="both"/>
      </w:pPr>
      <w:r>
        <w:t xml:space="preserve">Brunzell, T., </w:t>
      </w:r>
      <w:proofErr w:type="spellStart"/>
      <w:r>
        <w:t>Liljeblom</w:t>
      </w:r>
      <w:proofErr w:type="spellEnd"/>
      <w:r>
        <w:t>, E. and Vaihekoski, M. (2013) ‘Determinants of capital budgeting methods and hurdle rates in Nordic firms’, Accounting &amp; Finance, 53(1), pp. 85–110.</w:t>
      </w:r>
    </w:p>
    <w:p w14:paraId="7D160308" w14:textId="77777777" w:rsidR="00386591" w:rsidRPr="0036198E" w:rsidRDefault="00386591" w:rsidP="002C00DD">
      <w:pPr>
        <w:spacing w:line="276" w:lineRule="auto"/>
        <w:jc w:val="both"/>
        <w:rPr>
          <w:rFonts w:eastAsia="Arial"/>
          <w:szCs w:val="24"/>
        </w:rPr>
      </w:pPr>
      <w:r w:rsidRPr="0036198E">
        <w:rPr>
          <w:rFonts w:eastAsia="Arial"/>
          <w:szCs w:val="24"/>
        </w:rPr>
        <w:t>Chakraborty, I., Leone, A.J., Minutti-Meza, M. and Phillips, M.A., (2022). Financial statement complexity and bank lending. The Accounting Review, 97(3), pp.155-178.</w:t>
      </w:r>
    </w:p>
    <w:p w14:paraId="507F4E9B" w14:textId="77777777" w:rsidR="00386591" w:rsidRPr="0036198E" w:rsidRDefault="00386591" w:rsidP="002C00DD">
      <w:pPr>
        <w:spacing w:line="276" w:lineRule="auto"/>
        <w:jc w:val="both"/>
        <w:rPr>
          <w:rFonts w:eastAsia="Arial"/>
          <w:szCs w:val="24"/>
        </w:rPr>
      </w:pPr>
      <w:r w:rsidRPr="0036198E">
        <w:rPr>
          <w:rFonts w:eastAsia="Arial"/>
          <w:szCs w:val="24"/>
        </w:rPr>
        <w:t>Chen, X., (2022). Theoretical analysis of net present value. BCP Business &amp; Management, 30, pp.683-687.</w:t>
      </w:r>
    </w:p>
    <w:p w14:paraId="3EF75E29" w14:textId="77777777" w:rsidR="00386591" w:rsidRPr="0036198E" w:rsidRDefault="00386591" w:rsidP="002C00DD">
      <w:pPr>
        <w:spacing w:line="276" w:lineRule="auto"/>
        <w:jc w:val="both"/>
        <w:rPr>
          <w:rFonts w:eastAsia="Arial"/>
          <w:szCs w:val="24"/>
        </w:rPr>
      </w:pPr>
      <w:r w:rsidRPr="0036198E">
        <w:rPr>
          <w:rFonts w:eastAsia="Arial"/>
          <w:szCs w:val="24"/>
        </w:rPr>
        <w:t xml:space="preserve">Chen, X., Shao, N., Zhang, H., Fang, W., Xu, X., Xu, T., </w:t>
      </w:r>
      <w:proofErr w:type="spellStart"/>
      <w:r w:rsidRPr="0036198E">
        <w:rPr>
          <w:rFonts w:eastAsia="Arial"/>
          <w:szCs w:val="24"/>
        </w:rPr>
        <w:t>Lv</w:t>
      </w:r>
      <w:proofErr w:type="spellEnd"/>
      <w:r w:rsidRPr="0036198E">
        <w:rPr>
          <w:rFonts w:eastAsia="Arial"/>
          <w:szCs w:val="24"/>
        </w:rPr>
        <w:t>, H. and Li, Y., (2022, October). A Green and Low-Carbon Transformation of Oil and Gas Companies. In </w:t>
      </w:r>
      <w:r w:rsidRPr="0036198E">
        <w:rPr>
          <w:rFonts w:eastAsia="Arial"/>
          <w:i/>
          <w:iCs/>
          <w:szCs w:val="24"/>
        </w:rPr>
        <w:t>Proceedings of the 3rd International Conference on Green Energy, Environment and Sustainable Development (GEESD2022)</w:t>
      </w:r>
      <w:r w:rsidRPr="0036198E">
        <w:rPr>
          <w:rFonts w:eastAsia="Arial"/>
          <w:szCs w:val="24"/>
        </w:rPr>
        <w:t xml:space="preserve"> (pp. 474-485). 1 Oliver's Yard, 55 City Road, London, EC1Y 1SP: SAGE Publications. </w:t>
      </w:r>
    </w:p>
    <w:p w14:paraId="32E41A2B" w14:textId="77777777" w:rsidR="00386591" w:rsidRPr="0036198E" w:rsidRDefault="00386591" w:rsidP="002C00DD">
      <w:pPr>
        <w:spacing w:line="276" w:lineRule="auto"/>
        <w:jc w:val="both"/>
        <w:rPr>
          <w:rFonts w:eastAsia="Arial"/>
          <w:szCs w:val="24"/>
        </w:rPr>
      </w:pPr>
      <w:r w:rsidRPr="0036198E">
        <w:rPr>
          <w:rFonts w:eastAsia="Arial"/>
          <w:szCs w:val="24"/>
        </w:rPr>
        <w:lastRenderedPageBreak/>
        <w:t>Cotter, E., (2023). Net Present Value and Payback Period: An Analysis.</w:t>
      </w:r>
    </w:p>
    <w:p w14:paraId="73CCC433" w14:textId="77777777" w:rsidR="00386591" w:rsidRPr="0036198E" w:rsidRDefault="00386591" w:rsidP="002C00DD">
      <w:pPr>
        <w:spacing w:line="276" w:lineRule="auto"/>
        <w:jc w:val="both"/>
        <w:rPr>
          <w:rFonts w:eastAsia="Arial"/>
          <w:szCs w:val="24"/>
        </w:rPr>
      </w:pPr>
      <w:r w:rsidRPr="0036198E">
        <w:rPr>
          <w:rFonts w:eastAsia="Arial"/>
          <w:szCs w:val="24"/>
        </w:rPr>
        <w:t>Czipf, C., (2025). The impact of changing energy prices, interest rates, and investment costs on the net present value and internal rate of return for alternative energy projects. Discover Sustainability, 6(1), p.161.</w:t>
      </w:r>
    </w:p>
    <w:p w14:paraId="118FDDE7" w14:textId="77777777" w:rsidR="00386591" w:rsidRPr="0036198E" w:rsidRDefault="00386591" w:rsidP="002C00DD">
      <w:pPr>
        <w:spacing w:line="276" w:lineRule="auto"/>
        <w:jc w:val="both"/>
        <w:rPr>
          <w:rFonts w:eastAsia="Arial"/>
          <w:szCs w:val="24"/>
        </w:rPr>
      </w:pPr>
      <w:r w:rsidRPr="0036198E">
        <w:rPr>
          <w:rFonts w:eastAsia="Arial"/>
          <w:szCs w:val="24"/>
        </w:rPr>
        <w:t>Dai, H., Li, N., Wang, Y. and Zhao, X., (2022, March). The analysis of three main investment criteria: NPV IRR and payback period. In 2022 7th International Conference on Financial Innovation and Economic Development (ICFIED 2022) (pp. 185-189). Atlantis Press.</w:t>
      </w:r>
    </w:p>
    <w:p w14:paraId="5740A6AE" w14:textId="77777777" w:rsidR="00386591" w:rsidRPr="0036198E" w:rsidRDefault="00386591" w:rsidP="002C00DD">
      <w:pPr>
        <w:spacing w:line="276" w:lineRule="auto"/>
        <w:jc w:val="both"/>
        <w:rPr>
          <w:rFonts w:eastAsia="Arial"/>
          <w:szCs w:val="24"/>
        </w:rPr>
      </w:pPr>
      <w:r w:rsidRPr="0036198E">
        <w:rPr>
          <w:rFonts w:eastAsia="Arial"/>
          <w:szCs w:val="24"/>
        </w:rPr>
        <w:t xml:space="preserve">Daming, S. and </w:t>
      </w:r>
      <w:proofErr w:type="spellStart"/>
      <w:r w:rsidRPr="0036198E">
        <w:rPr>
          <w:rFonts w:eastAsia="Arial"/>
          <w:szCs w:val="24"/>
        </w:rPr>
        <w:t>Widyawati</w:t>
      </w:r>
      <w:proofErr w:type="spellEnd"/>
      <w:r w:rsidRPr="0036198E">
        <w:rPr>
          <w:rFonts w:eastAsia="Arial"/>
          <w:szCs w:val="24"/>
        </w:rPr>
        <w:t>, W., (2024). A Qualitative Investigation into Financial Strategy, Performance, Investment Decision-Making. Economics and Digital Business Review, 5(2), pp.885-882.</w:t>
      </w:r>
    </w:p>
    <w:p w14:paraId="66475127" w14:textId="77777777" w:rsidR="00386591" w:rsidRDefault="00386591" w:rsidP="002C00DD">
      <w:pPr>
        <w:spacing w:line="276" w:lineRule="auto"/>
        <w:jc w:val="both"/>
      </w:pPr>
      <w:r>
        <w:t>Deloof, M. (2003) ‘Does working capital management affect profitability of Belgian firms?’, Journal of Business Finance &amp; Accounting, 30(3–4), pp. 573–588.</w:t>
      </w:r>
    </w:p>
    <w:p w14:paraId="59012D3E" w14:textId="77777777" w:rsidR="00386591" w:rsidRPr="0036198E" w:rsidRDefault="00386591" w:rsidP="002C00DD">
      <w:pPr>
        <w:spacing w:line="276" w:lineRule="auto"/>
        <w:jc w:val="both"/>
        <w:rPr>
          <w:rFonts w:eastAsia="Arial"/>
          <w:szCs w:val="24"/>
        </w:rPr>
      </w:pPr>
      <w:r w:rsidRPr="0036198E">
        <w:rPr>
          <w:rFonts w:eastAsia="Arial"/>
          <w:szCs w:val="24"/>
        </w:rPr>
        <w:t xml:space="preserve">Dobrowolski, Z. and Drozdowski, G., (2022). Does the net present value as a financial metric fit investment in green energy </w:t>
      </w:r>
      <w:proofErr w:type="gramStart"/>
      <w:r w:rsidRPr="0036198E">
        <w:rPr>
          <w:rFonts w:eastAsia="Arial"/>
          <w:szCs w:val="24"/>
        </w:rPr>
        <w:t>security?.</w:t>
      </w:r>
      <w:proofErr w:type="gramEnd"/>
      <w:r w:rsidRPr="0036198E">
        <w:rPr>
          <w:rFonts w:eastAsia="Arial"/>
          <w:szCs w:val="24"/>
        </w:rPr>
        <w:t xml:space="preserve"> Energies, 15(1), p.353.</w:t>
      </w:r>
    </w:p>
    <w:p w14:paraId="1D3188D4" w14:textId="77777777" w:rsidR="00386591" w:rsidRDefault="00386591" w:rsidP="002C00DD">
      <w:pPr>
        <w:spacing w:line="276" w:lineRule="auto"/>
        <w:jc w:val="both"/>
      </w:pPr>
      <w:r>
        <w:t>Enqvist, J., Graham, M. and Nikkinen, J. (2014) ‘The impact of working capital management on firm profitability in different business cycles: Evidence from Finland’, Research in International Business and Finance, 32, pp. 36–49.</w:t>
      </w:r>
    </w:p>
    <w:p w14:paraId="105AF6AC" w14:textId="77777777" w:rsidR="00386591" w:rsidRPr="0036198E" w:rsidRDefault="00386591" w:rsidP="002C00DD">
      <w:pPr>
        <w:spacing w:line="276" w:lineRule="auto"/>
        <w:jc w:val="both"/>
        <w:rPr>
          <w:rFonts w:eastAsia="Arial"/>
          <w:szCs w:val="24"/>
        </w:rPr>
      </w:pPr>
      <w:r w:rsidRPr="0036198E">
        <w:rPr>
          <w:rFonts w:eastAsia="Arial"/>
          <w:szCs w:val="24"/>
        </w:rPr>
        <w:t>Gautam, S. and Purohit, A., (2024). Debt Or Retained Earnings: Whichever Is Optimum for The Growth of The Firm. Russian Law Journal, 12(1), pp.125-129.</w:t>
      </w:r>
    </w:p>
    <w:p w14:paraId="0CB5ED2B" w14:textId="77777777" w:rsidR="00386591" w:rsidRDefault="00386591" w:rsidP="002C00DD">
      <w:pPr>
        <w:spacing w:line="276" w:lineRule="auto"/>
        <w:jc w:val="both"/>
      </w:pPr>
      <w:r>
        <w:t>Graham, J.R. and Harvey, C.R. (2001) ‘The theory and practice of corporate finance: Evidence from the field’, Journal of Financial Economics, 60(2–3), pp. 187–243.</w:t>
      </w:r>
    </w:p>
    <w:p w14:paraId="3A584571" w14:textId="77777777" w:rsidR="00386591" w:rsidRDefault="00386591" w:rsidP="002C00DD">
      <w:pPr>
        <w:spacing w:line="276" w:lineRule="auto"/>
        <w:jc w:val="both"/>
      </w:pPr>
      <w:proofErr w:type="spellStart"/>
      <w:r>
        <w:t>Habibniya</w:t>
      </w:r>
      <w:proofErr w:type="spellEnd"/>
      <w:r>
        <w:t>, H., Dsouza, S., Rabbani, M.R., Nawaz, N. and Demiraj, R. (2022) ‘Impact of capital structure on profitability: Panel data evidence of the telecom industry in the United States’, Risks, 10(8), 157.</w:t>
      </w:r>
    </w:p>
    <w:p w14:paraId="676CCA14" w14:textId="77777777" w:rsidR="00386591" w:rsidRDefault="00386591" w:rsidP="002C00DD">
      <w:pPr>
        <w:spacing w:line="276" w:lineRule="auto"/>
        <w:jc w:val="both"/>
      </w:pPr>
      <w:r>
        <w:t xml:space="preserve">Hartmann, M. and </w:t>
      </w:r>
      <w:proofErr w:type="spellStart"/>
      <w:r>
        <w:t>Weißenberger</w:t>
      </w:r>
      <w:proofErr w:type="spellEnd"/>
      <w:r>
        <w:t>, B.E. (2024) ‘Decision-making in the capital budgeting context: Effects of type of decision aid and increases in information load’, Journal of Business Economics, 94(2), pp. 379–411.</w:t>
      </w:r>
    </w:p>
    <w:p w14:paraId="53914CC9" w14:textId="77777777" w:rsidR="00386591" w:rsidRPr="0036198E" w:rsidRDefault="00386591" w:rsidP="002C00DD">
      <w:pPr>
        <w:spacing w:line="276" w:lineRule="auto"/>
        <w:jc w:val="both"/>
        <w:rPr>
          <w:rFonts w:eastAsia="Arial"/>
          <w:szCs w:val="24"/>
        </w:rPr>
      </w:pPr>
      <w:proofErr w:type="spellStart"/>
      <w:r w:rsidRPr="0036198E">
        <w:rPr>
          <w:rFonts w:eastAsia="Arial"/>
          <w:szCs w:val="24"/>
        </w:rPr>
        <w:t>Hasidi</w:t>
      </w:r>
      <w:proofErr w:type="spellEnd"/>
      <w:r w:rsidRPr="0036198E">
        <w:rPr>
          <w:rFonts w:eastAsia="Arial"/>
          <w:szCs w:val="24"/>
        </w:rPr>
        <w:t xml:space="preserve">, M.H., </w:t>
      </w:r>
      <w:proofErr w:type="spellStart"/>
      <w:r w:rsidRPr="0036198E">
        <w:rPr>
          <w:rFonts w:eastAsia="Arial"/>
          <w:szCs w:val="24"/>
        </w:rPr>
        <w:t>Baheri</w:t>
      </w:r>
      <w:proofErr w:type="spellEnd"/>
      <w:r w:rsidRPr="0036198E">
        <w:rPr>
          <w:rFonts w:eastAsia="Arial"/>
          <w:szCs w:val="24"/>
        </w:rPr>
        <w:t>, J. and Hajar, K.I., (2024). Financial performance evaluation using profitability and liquidity ratio analysis. </w:t>
      </w:r>
      <w:proofErr w:type="spellStart"/>
      <w:r w:rsidRPr="0036198E">
        <w:rPr>
          <w:rFonts w:eastAsia="Arial"/>
          <w:i/>
          <w:iCs/>
          <w:szCs w:val="24"/>
        </w:rPr>
        <w:t>Jurnal</w:t>
      </w:r>
      <w:proofErr w:type="spellEnd"/>
      <w:r w:rsidRPr="0036198E">
        <w:rPr>
          <w:rFonts w:eastAsia="Arial"/>
          <w:i/>
          <w:iCs/>
          <w:szCs w:val="24"/>
        </w:rPr>
        <w:t xml:space="preserve"> </w:t>
      </w:r>
      <w:proofErr w:type="spellStart"/>
      <w:r w:rsidRPr="0036198E">
        <w:rPr>
          <w:rFonts w:eastAsia="Arial"/>
          <w:i/>
          <w:iCs/>
          <w:szCs w:val="24"/>
        </w:rPr>
        <w:t>Ilmiah</w:t>
      </w:r>
      <w:proofErr w:type="spellEnd"/>
      <w:r w:rsidRPr="0036198E">
        <w:rPr>
          <w:rFonts w:eastAsia="Arial"/>
          <w:i/>
          <w:iCs/>
          <w:szCs w:val="24"/>
        </w:rPr>
        <w:t xml:space="preserve"> </w:t>
      </w:r>
      <w:proofErr w:type="spellStart"/>
      <w:r w:rsidRPr="0036198E">
        <w:rPr>
          <w:rFonts w:eastAsia="Arial"/>
          <w:i/>
          <w:iCs/>
          <w:szCs w:val="24"/>
        </w:rPr>
        <w:t>Manajemen</w:t>
      </w:r>
      <w:proofErr w:type="spellEnd"/>
      <w:r w:rsidRPr="0036198E">
        <w:rPr>
          <w:rFonts w:eastAsia="Arial"/>
          <w:i/>
          <w:iCs/>
          <w:szCs w:val="24"/>
        </w:rPr>
        <w:t xml:space="preserve"> Kesatuan</w:t>
      </w:r>
      <w:r w:rsidRPr="0036198E">
        <w:rPr>
          <w:rFonts w:eastAsia="Arial"/>
          <w:szCs w:val="24"/>
        </w:rPr>
        <w:t>, </w:t>
      </w:r>
      <w:r w:rsidRPr="0036198E">
        <w:rPr>
          <w:rFonts w:eastAsia="Arial"/>
          <w:i/>
          <w:iCs/>
          <w:szCs w:val="24"/>
        </w:rPr>
        <w:t>12</w:t>
      </w:r>
      <w:r w:rsidRPr="0036198E">
        <w:rPr>
          <w:rFonts w:eastAsia="Arial"/>
          <w:szCs w:val="24"/>
        </w:rPr>
        <w:t xml:space="preserve">(4), pp.1347-1358. </w:t>
      </w:r>
    </w:p>
    <w:p w14:paraId="083BADF7" w14:textId="77777777" w:rsidR="00386591" w:rsidRDefault="00386591" w:rsidP="002C00DD">
      <w:pPr>
        <w:spacing w:line="276" w:lineRule="auto"/>
        <w:jc w:val="both"/>
      </w:pPr>
      <w:r>
        <w:t>Hong, L., Jain, B.A. and Shao, Y. (2024) ‘Family firm governance and working capital management policy’, International Review of Financial Analysis, 95, 103488.</w:t>
      </w:r>
    </w:p>
    <w:p w14:paraId="748D8244" w14:textId="77777777" w:rsidR="00386591" w:rsidRDefault="00386591" w:rsidP="002C00DD">
      <w:pPr>
        <w:spacing w:line="276" w:lineRule="auto"/>
        <w:jc w:val="both"/>
      </w:pPr>
      <w:r>
        <w:t>Khoza, F. (2025) ‘The impact of liquidity and leverage on the financial performance of the Johannesburg Stock Exchange-listed consumer goods firms’, Journal of Risk and Financial Management, 18(9), 510.</w:t>
      </w:r>
    </w:p>
    <w:p w14:paraId="73CB6AFA" w14:textId="77777777" w:rsidR="00386591" w:rsidRPr="0036198E" w:rsidRDefault="00386591" w:rsidP="002C00DD">
      <w:pPr>
        <w:spacing w:line="276" w:lineRule="auto"/>
        <w:jc w:val="both"/>
        <w:rPr>
          <w:rFonts w:eastAsia="Arial"/>
          <w:szCs w:val="24"/>
        </w:rPr>
      </w:pPr>
      <w:r w:rsidRPr="0036198E">
        <w:rPr>
          <w:rFonts w:eastAsia="Arial"/>
          <w:szCs w:val="24"/>
        </w:rPr>
        <w:lastRenderedPageBreak/>
        <w:t>Lawal, A.B. and Iliyasu, S.I., (2024). Debt to Equity Ratio and Sales Growth of Listed Oil and Gas Companies in Nigeria. </w:t>
      </w:r>
      <w:r w:rsidRPr="0036198E">
        <w:rPr>
          <w:rFonts w:eastAsia="Arial"/>
          <w:i/>
          <w:iCs/>
          <w:szCs w:val="24"/>
        </w:rPr>
        <w:t>Journal of Management and Business: Research and Practice</w:t>
      </w:r>
      <w:r w:rsidRPr="0036198E">
        <w:rPr>
          <w:rFonts w:eastAsia="Arial"/>
          <w:szCs w:val="24"/>
        </w:rPr>
        <w:t>, </w:t>
      </w:r>
      <w:r w:rsidRPr="0036198E">
        <w:rPr>
          <w:rFonts w:eastAsia="Arial"/>
          <w:i/>
          <w:iCs/>
          <w:szCs w:val="24"/>
        </w:rPr>
        <w:t>16</w:t>
      </w:r>
      <w:r w:rsidRPr="0036198E">
        <w:rPr>
          <w:rFonts w:eastAsia="Arial"/>
          <w:szCs w:val="24"/>
        </w:rPr>
        <w:t>(1).</w:t>
      </w:r>
    </w:p>
    <w:p w14:paraId="5DD3F7D3" w14:textId="77777777" w:rsidR="00386591" w:rsidRPr="0036198E" w:rsidRDefault="00386591" w:rsidP="002C00DD">
      <w:pPr>
        <w:spacing w:line="276" w:lineRule="auto"/>
        <w:jc w:val="both"/>
        <w:rPr>
          <w:rFonts w:eastAsia="Arial"/>
          <w:szCs w:val="24"/>
        </w:rPr>
      </w:pPr>
      <w:r w:rsidRPr="0036198E">
        <w:rPr>
          <w:rFonts w:eastAsia="Arial"/>
          <w:szCs w:val="24"/>
        </w:rPr>
        <w:t>Liu, Y., (2022, July). Evaluation method based on NPV and IRR. In 2022 2nd International Conference on Enterprise Management and Economic Development (ICEMED 2022) (pp. 816-820). Atlantis Press.</w:t>
      </w:r>
    </w:p>
    <w:p w14:paraId="27D72EFF" w14:textId="77777777" w:rsidR="00386591" w:rsidRDefault="00386591" w:rsidP="002C00DD">
      <w:pPr>
        <w:spacing w:line="276" w:lineRule="auto"/>
        <w:jc w:val="both"/>
      </w:pPr>
      <w:r>
        <w:t>Magni, C.A. and Marchioni, A. (2020) ‘Average rates of return, working capital, and NPV-consistency in project appraisal: A sensitivity analysis approach’, International Journal of Production Economics, 229, 107769.</w:t>
      </w:r>
    </w:p>
    <w:p w14:paraId="0532C235" w14:textId="77777777" w:rsidR="00386591" w:rsidRDefault="00386591" w:rsidP="002C00DD">
      <w:pPr>
        <w:spacing w:line="276" w:lineRule="auto"/>
        <w:jc w:val="both"/>
      </w:pPr>
      <w:r>
        <w:t>Martinez-</w:t>
      </w:r>
      <w:proofErr w:type="spellStart"/>
      <w:r>
        <w:t>Cillero</w:t>
      </w:r>
      <w:proofErr w:type="spellEnd"/>
      <w:r>
        <w:t>, M., Lawless, M. and O’Toole, C. (2023) ‘Analysing SME investment, financing constraints and its determinants: A stochastic frontier approach’, International Review of Economics &amp; Finance, 85, pp. 578–588.</w:t>
      </w:r>
    </w:p>
    <w:p w14:paraId="07512F5E" w14:textId="77777777" w:rsidR="00386591" w:rsidRPr="0036198E" w:rsidRDefault="00386591" w:rsidP="002C00DD">
      <w:pPr>
        <w:spacing w:line="276" w:lineRule="auto"/>
        <w:jc w:val="both"/>
        <w:rPr>
          <w:rFonts w:eastAsia="Arial"/>
          <w:szCs w:val="24"/>
        </w:rPr>
      </w:pPr>
      <w:r w:rsidRPr="0036198E">
        <w:rPr>
          <w:rFonts w:eastAsia="Arial"/>
          <w:szCs w:val="24"/>
        </w:rPr>
        <w:t>Mesioye, O. and Bakare, I.A., (2024). Evaluating financial reporting quality: Metrics, challenges, and impact on decision-making. Int J Res Public Rev, 5(10), pp.1144-1156.</w:t>
      </w:r>
    </w:p>
    <w:p w14:paraId="5092E0E5" w14:textId="77777777" w:rsidR="00386591" w:rsidRPr="0036198E" w:rsidRDefault="00386591" w:rsidP="002C00DD">
      <w:pPr>
        <w:spacing w:line="276" w:lineRule="auto"/>
        <w:jc w:val="both"/>
        <w:rPr>
          <w:rFonts w:eastAsia="Arial"/>
          <w:szCs w:val="24"/>
        </w:rPr>
      </w:pPr>
      <w:r w:rsidRPr="0036198E">
        <w:rPr>
          <w:rFonts w:eastAsia="Arial"/>
          <w:szCs w:val="24"/>
        </w:rPr>
        <w:t>Mollah, M.A.S., Rouf, M.A. and Rana, S.S., (2023). A study on capital budgeting practices of some selected companies in Bangladesh. PSU Research Review, 7(2), pp.137-151.</w:t>
      </w:r>
    </w:p>
    <w:p w14:paraId="2DCA906D" w14:textId="77777777" w:rsidR="00386591" w:rsidRPr="0036198E" w:rsidRDefault="00386591" w:rsidP="002C00DD">
      <w:pPr>
        <w:spacing w:line="276" w:lineRule="auto"/>
        <w:jc w:val="both"/>
        <w:rPr>
          <w:rFonts w:eastAsia="Arial"/>
          <w:szCs w:val="24"/>
        </w:rPr>
      </w:pPr>
      <w:r w:rsidRPr="0036198E">
        <w:rPr>
          <w:rFonts w:eastAsia="Arial"/>
          <w:szCs w:val="24"/>
        </w:rPr>
        <w:t xml:space="preserve">Mordi, A.K., </w:t>
      </w:r>
      <w:proofErr w:type="spellStart"/>
      <w:r w:rsidRPr="0036198E">
        <w:rPr>
          <w:rFonts w:eastAsia="Arial"/>
          <w:szCs w:val="24"/>
        </w:rPr>
        <w:t>Jeroh</w:t>
      </w:r>
      <w:proofErr w:type="spellEnd"/>
      <w:r w:rsidRPr="0036198E">
        <w:rPr>
          <w:rFonts w:eastAsia="Arial"/>
          <w:szCs w:val="24"/>
        </w:rPr>
        <w:t>, E. and Ebiaghan, O.F., (2025). Financial flexibility in R&amp;D investment: A study of operating cash flow, earnings before interest and tax and gearing ratio. </w:t>
      </w:r>
      <w:r w:rsidRPr="0036198E">
        <w:rPr>
          <w:rFonts w:eastAsia="Arial"/>
          <w:i/>
          <w:iCs/>
          <w:szCs w:val="24"/>
        </w:rPr>
        <w:t>Research Journal of Management Practice| ISSN</w:t>
      </w:r>
      <w:r w:rsidRPr="0036198E">
        <w:rPr>
          <w:rFonts w:eastAsia="Arial"/>
          <w:szCs w:val="24"/>
        </w:rPr>
        <w:t>, </w:t>
      </w:r>
      <w:r w:rsidRPr="0036198E">
        <w:rPr>
          <w:rFonts w:eastAsia="Arial"/>
          <w:i/>
          <w:iCs/>
          <w:szCs w:val="24"/>
        </w:rPr>
        <w:t>2782</w:t>
      </w:r>
      <w:r w:rsidRPr="0036198E">
        <w:rPr>
          <w:rFonts w:eastAsia="Arial"/>
          <w:szCs w:val="24"/>
        </w:rPr>
        <w:t>, p.7674.</w:t>
      </w:r>
    </w:p>
    <w:p w14:paraId="4F137A44" w14:textId="77777777" w:rsidR="00386591" w:rsidRDefault="00386591" w:rsidP="002C00DD">
      <w:pPr>
        <w:spacing w:line="276" w:lineRule="auto"/>
        <w:jc w:val="both"/>
      </w:pPr>
      <w:r>
        <w:t>Mota, J. and Moreira, A.C. (2023) ‘Capital budgeting practices: A survey of two industries’, Journal of Risk and Financial Management, 16(3), 191.</w:t>
      </w:r>
    </w:p>
    <w:p w14:paraId="39466649" w14:textId="77777777" w:rsidR="00386591" w:rsidRPr="0036198E" w:rsidRDefault="00386591" w:rsidP="002C00DD">
      <w:pPr>
        <w:spacing w:line="276" w:lineRule="auto"/>
        <w:jc w:val="both"/>
        <w:rPr>
          <w:rFonts w:eastAsia="Arial"/>
          <w:szCs w:val="24"/>
        </w:rPr>
      </w:pPr>
      <w:r w:rsidRPr="0036198E">
        <w:rPr>
          <w:rFonts w:eastAsia="Arial"/>
          <w:szCs w:val="24"/>
        </w:rPr>
        <w:t>Naomi, I.W., (2023). Effects of Debt Financing on Financial Performance of Manufacturing Firms in Kenya. African Journal of Commercial Studies, 3(2), pp.86-95.</w:t>
      </w:r>
    </w:p>
    <w:p w14:paraId="5CCEC15B" w14:textId="77777777" w:rsidR="00386591" w:rsidRPr="0036198E" w:rsidRDefault="00386591" w:rsidP="002C00DD">
      <w:pPr>
        <w:spacing w:line="276" w:lineRule="auto"/>
        <w:jc w:val="both"/>
        <w:rPr>
          <w:rFonts w:eastAsia="Arial"/>
          <w:szCs w:val="24"/>
        </w:rPr>
      </w:pPr>
      <w:proofErr w:type="spellStart"/>
      <w:r w:rsidRPr="0036198E">
        <w:rPr>
          <w:rFonts w:eastAsia="Arial"/>
          <w:szCs w:val="24"/>
        </w:rPr>
        <w:t>Newstyle</w:t>
      </w:r>
      <w:proofErr w:type="spellEnd"/>
      <w:r w:rsidRPr="0036198E">
        <w:rPr>
          <w:rFonts w:eastAsia="Arial"/>
          <w:szCs w:val="24"/>
        </w:rPr>
        <w:t xml:space="preserve">, D. and </w:t>
      </w:r>
      <w:proofErr w:type="spellStart"/>
      <w:r w:rsidRPr="0036198E">
        <w:rPr>
          <w:rFonts w:eastAsia="Arial"/>
          <w:szCs w:val="24"/>
        </w:rPr>
        <w:t>Opuene</w:t>
      </w:r>
      <w:proofErr w:type="spellEnd"/>
      <w:r w:rsidRPr="0036198E">
        <w:rPr>
          <w:rFonts w:eastAsia="Arial"/>
          <w:szCs w:val="24"/>
        </w:rPr>
        <w:t>, E.G., (2022). Inventory management techniques and financial performance of listed oil and gas companies in Nigeria. </w:t>
      </w:r>
      <w:r w:rsidRPr="0036198E">
        <w:rPr>
          <w:rFonts w:eastAsia="Arial"/>
          <w:i/>
          <w:iCs/>
          <w:szCs w:val="24"/>
        </w:rPr>
        <w:t>BW Academic Journal</w:t>
      </w:r>
      <w:r w:rsidRPr="0036198E">
        <w:rPr>
          <w:rFonts w:eastAsia="Arial"/>
          <w:szCs w:val="24"/>
        </w:rPr>
        <w:t>, pp.23-23.</w:t>
      </w:r>
    </w:p>
    <w:p w14:paraId="02DC9ACD" w14:textId="77777777" w:rsidR="00386591" w:rsidRPr="0036198E" w:rsidRDefault="00386591" w:rsidP="002C00DD">
      <w:pPr>
        <w:spacing w:line="276" w:lineRule="auto"/>
        <w:jc w:val="both"/>
        <w:rPr>
          <w:rFonts w:eastAsia="Arial"/>
          <w:szCs w:val="24"/>
        </w:rPr>
      </w:pPr>
      <w:proofErr w:type="spellStart"/>
      <w:r w:rsidRPr="0036198E">
        <w:rPr>
          <w:rFonts w:eastAsia="Arial"/>
          <w:szCs w:val="24"/>
        </w:rPr>
        <w:t>Oganda</w:t>
      </w:r>
      <w:proofErr w:type="spellEnd"/>
      <w:r w:rsidRPr="0036198E">
        <w:rPr>
          <w:rFonts w:eastAsia="Arial"/>
          <w:szCs w:val="24"/>
        </w:rPr>
        <w:t xml:space="preserve">, A.J., </w:t>
      </w:r>
      <w:proofErr w:type="spellStart"/>
      <w:r w:rsidRPr="0036198E">
        <w:rPr>
          <w:rFonts w:eastAsia="Arial"/>
          <w:szCs w:val="24"/>
        </w:rPr>
        <w:t>Museve</w:t>
      </w:r>
      <w:proofErr w:type="spellEnd"/>
      <w:r w:rsidRPr="0036198E">
        <w:rPr>
          <w:rFonts w:eastAsia="Arial"/>
          <w:szCs w:val="24"/>
        </w:rPr>
        <w:t xml:space="preserve">, E. and </w:t>
      </w:r>
      <w:proofErr w:type="spellStart"/>
      <w:r w:rsidRPr="0036198E">
        <w:rPr>
          <w:rFonts w:eastAsia="Arial"/>
          <w:szCs w:val="24"/>
        </w:rPr>
        <w:t>Mogwambo</w:t>
      </w:r>
      <w:proofErr w:type="spellEnd"/>
      <w:r w:rsidRPr="0036198E">
        <w:rPr>
          <w:rFonts w:eastAsia="Arial"/>
          <w:szCs w:val="24"/>
        </w:rPr>
        <w:t>, V.A., (2022). Analysis of retained earnings financing on financial performance of listed manufacturing and allied firms: A dynamic panel approach.</w:t>
      </w:r>
    </w:p>
    <w:p w14:paraId="642B5CAC" w14:textId="77777777" w:rsidR="00386591" w:rsidRPr="0036198E" w:rsidRDefault="00386591" w:rsidP="002C00DD">
      <w:pPr>
        <w:spacing w:line="276" w:lineRule="auto"/>
        <w:jc w:val="both"/>
        <w:rPr>
          <w:rFonts w:eastAsia="Arial"/>
          <w:szCs w:val="24"/>
        </w:rPr>
      </w:pPr>
      <w:r w:rsidRPr="0036198E">
        <w:rPr>
          <w:rFonts w:eastAsia="Arial"/>
          <w:szCs w:val="24"/>
        </w:rPr>
        <w:t>Olambo, T.C. and Aluoch, D.O., (2022). Working capital management and financial performance of energy and petroleum firms listed at the Nairobi securities exchange, Kenya. </w:t>
      </w:r>
      <w:r w:rsidRPr="0036198E">
        <w:rPr>
          <w:rFonts w:eastAsia="Arial"/>
          <w:i/>
          <w:iCs/>
          <w:szCs w:val="24"/>
        </w:rPr>
        <w:t>Strategic Journal of Business &amp; Change Management</w:t>
      </w:r>
      <w:r w:rsidRPr="0036198E">
        <w:rPr>
          <w:rFonts w:eastAsia="Arial"/>
          <w:szCs w:val="24"/>
        </w:rPr>
        <w:t>, </w:t>
      </w:r>
      <w:r w:rsidRPr="0036198E">
        <w:rPr>
          <w:rFonts w:eastAsia="Arial"/>
          <w:i/>
          <w:iCs/>
          <w:szCs w:val="24"/>
        </w:rPr>
        <w:t>9</w:t>
      </w:r>
      <w:r w:rsidRPr="0036198E">
        <w:rPr>
          <w:rFonts w:eastAsia="Arial"/>
          <w:szCs w:val="24"/>
        </w:rPr>
        <w:t>(4).</w:t>
      </w:r>
    </w:p>
    <w:p w14:paraId="6E8F2726" w14:textId="77777777" w:rsidR="00386591" w:rsidRPr="0036198E" w:rsidRDefault="00386591" w:rsidP="002C00DD">
      <w:pPr>
        <w:spacing w:line="276" w:lineRule="auto"/>
        <w:jc w:val="both"/>
        <w:rPr>
          <w:rFonts w:eastAsia="Arial"/>
          <w:szCs w:val="24"/>
        </w:rPr>
      </w:pPr>
      <w:r w:rsidRPr="0036198E">
        <w:rPr>
          <w:rFonts w:eastAsia="Arial"/>
          <w:szCs w:val="24"/>
        </w:rPr>
        <w:t xml:space="preserve">Oteri, O.J., </w:t>
      </w:r>
      <w:proofErr w:type="spellStart"/>
      <w:r w:rsidRPr="0036198E">
        <w:rPr>
          <w:rFonts w:eastAsia="Arial"/>
          <w:szCs w:val="24"/>
        </w:rPr>
        <w:t>Onukwulu</w:t>
      </w:r>
      <w:proofErr w:type="spellEnd"/>
      <w:r w:rsidRPr="0036198E">
        <w:rPr>
          <w:rFonts w:eastAsia="Arial"/>
          <w:szCs w:val="24"/>
        </w:rPr>
        <w:t xml:space="preserve">, E.C., Igwe, A.N., </w:t>
      </w:r>
      <w:proofErr w:type="spellStart"/>
      <w:r w:rsidRPr="0036198E">
        <w:rPr>
          <w:rFonts w:eastAsia="Arial"/>
          <w:szCs w:val="24"/>
        </w:rPr>
        <w:t>Ewim</w:t>
      </w:r>
      <w:proofErr w:type="spellEnd"/>
      <w:r w:rsidRPr="0036198E">
        <w:rPr>
          <w:rFonts w:eastAsia="Arial"/>
          <w:szCs w:val="24"/>
        </w:rPr>
        <w:t xml:space="preserve">, C.M., Ibeh, A.I. and </w:t>
      </w:r>
      <w:proofErr w:type="spellStart"/>
      <w:r w:rsidRPr="0036198E">
        <w:rPr>
          <w:rFonts w:eastAsia="Arial"/>
          <w:szCs w:val="24"/>
        </w:rPr>
        <w:t>Sobowale</w:t>
      </w:r>
      <w:proofErr w:type="spellEnd"/>
      <w:r w:rsidRPr="0036198E">
        <w:rPr>
          <w:rFonts w:eastAsia="Arial"/>
          <w:szCs w:val="24"/>
        </w:rPr>
        <w:t>, A., (2023). Cost optimization in logistics product management: strategies for operational efficiency and profitability. </w:t>
      </w:r>
      <w:r w:rsidRPr="0036198E">
        <w:rPr>
          <w:rFonts w:eastAsia="Arial"/>
          <w:i/>
          <w:iCs/>
          <w:szCs w:val="24"/>
        </w:rPr>
        <w:t>International Journal of Business and Management. Forthcoming</w:t>
      </w:r>
      <w:r w:rsidRPr="0036198E">
        <w:rPr>
          <w:rFonts w:eastAsia="Arial"/>
          <w:szCs w:val="24"/>
        </w:rPr>
        <w:t xml:space="preserve">. </w:t>
      </w:r>
    </w:p>
    <w:p w14:paraId="04DDC688" w14:textId="77777777" w:rsidR="00386591" w:rsidRPr="0036198E" w:rsidRDefault="00386591" w:rsidP="002C00DD">
      <w:pPr>
        <w:spacing w:line="276" w:lineRule="auto"/>
        <w:jc w:val="both"/>
        <w:rPr>
          <w:rFonts w:eastAsia="Arial"/>
          <w:szCs w:val="24"/>
        </w:rPr>
      </w:pPr>
      <w:proofErr w:type="spellStart"/>
      <w:r w:rsidRPr="0036198E">
        <w:rPr>
          <w:rFonts w:eastAsia="Arial"/>
          <w:szCs w:val="24"/>
        </w:rPr>
        <w:t>Pasaribu</w:t>
      </w:r>
      <w:proofErr w:type="spellEnd"/>
      <w:r w:rsidRPr="0036198E">
        <w:rPr>
          <w:rFonts w:eastAsia="Arial"/>
          <w:szCs w:val="24"/>
        </w:rPr>
        <w:t xml:space="preserve">, E.N. and Batubara, S.S., (2022). The Effect of Return </w:t>
      </w:r>
      <w:proofErr w:type="gramStart"/>
      <w:r w:rsidRPr="0036198E">
        <w:rPr>
          <w:rFonts w:eastAsia="Arial"/>
          <w:szCs w:val="24"/>
        </w:rPr>
        <w:t>On</w:t>
      </w:r>
      <w:proofErr w:type="gramEnd"/>
      <w:r w:rsidRPr="0036198E">
        <w:rPr>
          <w:rFonts w:eastAsia="Arial"/>
          <w:szCs w:val="24"/>
        </w:rPr>
        <w:t xml:space="preserve"> Assets, Return </w:t>
      </w:r>
      <w:proofErr w:type="gramStart"/>
      <w:r w:rsidRPr="0036198E">
        <w:rPr>
          <w:rFonts w:eastAsia="Arial"/>
          <w:szCs w:val="24"/>
        </w:rPr>
        <w:t>On</w:t>
      </w:r>
      <w:proofErr w:type="gramEnd"/>
      <w:r w:rsidRPr="0036198E">
        <w:rPr>
          <w:rFonts w:eastAsia="Arial"/>
          <w:szCs w:val="24"/>
        </w:rPr>
        <w:t xml:space="preserve"> Equity, Net Profit Margin and Current Ratio on Stock Prices in Oil and Gas Sub-Sector Mining </w:t>
      </w:r>
      <w:r w:rsidRPr="0036198E">
        <w:rPr>
          <w:rFonts w:eastAsia="Arial"/>
          <w:szCs w:val="24"/>
        </w:rPr>
        <w:lastRenderedPageBreak/>
        <w:t>Companies on the Indonesia Stock Exchange for the 2015-2019 Period. </w:t>
      </w:r>
      <w:r w:rsidRPr="0036198E">
        <w:rPr>
          <w:rFonts w:eastAsia="Arial"/>
          <w:i/>
          <w:iCs/>
          <w:szCs w:val="24"/>
        </w:rPr>
        <w:t>Britain International of Humanities and Social Sciences (</w:t>
      </w:r>
      <w:proofErr w:type="spellStart"/>
      <w:r w:rsidRPr="0036198E">
        <w:rPr>
          <w:rFonts w:eastAsia="Arial"/>
          <w:i/>
          <w:iCs/>
          <w:szCs w:val="24"/>
        </w:rPr>
        <w:t>BIoHS</w:t>
      </w:r>
      <w:proofErr w:type="spellEnd"/>
      <w:r w:rsidRPr="0036198E">
        <w:rPr>
          <w:rFonts w:eastAsia="Arial"/>
          <w:i/>
          <w:iCs/>
          <w:szCs w:val="24"/>
        </w:rPr>
        <w:t>) Journal</w:t>
      </w:r>
      <w:r w:rsidRPr="0036198E">
        <w:rPr>
          <w:rFonts w:eastAsia="Arial"/>
          <w:szCs w:val="24"/>
        </w:rPr>
        <w:t>, </w:t>
      </w:r>
      <w:r w:rsidRPr="0036198E">
        <w:rPr>
          <w:rFonts w:eastAsia="Arial"/>
          <w:i/>
          <w:iCs/>
          <w:szCs w:val="24"/>
        </w:rPr>
        <w:t>4</w:t>
      </w:r>
      <w:r w:rsidRPr="0036198E">
        <w:rPr>
          <w:rFonts w:eastAsia="Arial"/>
          <w:szCs w:val="24"/>
        </w:rPr>
        <w:t>(3), pp.503-514.</w:t>
      </w:r>
    </w:p>
    <w:p w14:paraId="4B160E45" w14:textId="77777777" w:rsidR="00386591" w:rsidRDefault="00386591" w:rsidP="002C00DD">
      <w:pPr>
        <w:spacing w:line="276" w:lineRule="auto"/>
        <w:jc w:val="both"/>
      </w:pPr>
      <w:proofErr w:type="spellStart"/>
      <w:r>
        <w:t>Purnamasari</w:t>
      </w:r>
      <w:proofErr w:type="spellEnd"/>
      <w:r>
        <w:t xml:space="preserve">, P. and </w:t>
      </w:r>
      <w:proofErr w:type="spellStart"/>
      <w:r>
        <w:t>Adriza</w:t>
      </w:r>
      <w:proofErr w:type="spellEnd"/>
      <w:r>
        <w:t xml:space="preserve"> (2024) ‘Capital budgeting techniques and financial performance: A comparison between SMEs and large listed firms’, Cogent Economics &amp; Finance, 12(1), 2404707.</w:t>
      </w:r>
    </w:p>
    <w:p w14:paraId="282E561E" w14:textId="77777777" w:rsidR="00386591" w:rsidRPr="0036198E" w:rsidRDefault="00386591" w:rsidP="002C00DD">
      <w:pPr>
        <w:spacing w:line="276" w:lineRule="auto"/>
        <w:jc w:val="both"/>
        <w:rPr>
          <w:rFonts w:eastAsia="Arial"/>
          <w:szCs w:val="24"/>
        </w:rPr>
      </w:pPr>
      <w:r w:rsidRPr="0036198E">
        <w:rPr>
          <w:rFonts w:eastAsia="Arial"/>
          <w:szCs w:val="24"/>
        </w:rPr>
        <w:t xml:space="preserve">Rashid, A. and Hersi, M.A., (2022). The firm growth-cash flow sensitivity: do financial constraints </w:t>
      </w:r>
      <w:proofErr w:type="gramStart"/>
      <w:r w:rsidRPr="0036198E">
        <w:rPr>
          <w:rFonts w:eastAsia="Arial"/>
          <w:szCs w:val="24"/>
        </w:rPr>
        <w:t>matter?.</w:t>
      </w:r>
      <w:proofErr w:type="gramEnd"/>
      <w:r w:rsidRPr="0036198E">
        <w:rPr>
          <w:rFonts w:eastAsia="Arial"/>
          <w:szCs w:val="24"/>
        </w:rPr>
        <w:t> </w:t>
      </w:r>
      <w:r w:rsidRPr="0036198E">
        <w:rPr>
          <w:rFonts w:eastAsia="Arial"/>
          <w:i/>
          <w:iCs/>
          <w:szCs w:val="24"/>
        </w:rPr>
        <w:t>International Journal of Managerial Finance</w:t>
      </w:r>
      <w:r w:rsidRPr="0036198E">
        <w:rPr>
          <w:rFonts w:eastAsia="Arial"/>
          <w:szCs w:val="24"/>
        </w:rPr>
        <w:t>, </w:t>
      </w:r>
      <w:r w:rsidRPr="0036198E">
        <w:rPr>
          <w:rFonts w:eastAsia="Arial"/>
          <w:i/>
          <w:iCs/>
          <w:szCs w:val="24"/>
        </w:rPr>
        <w:t>18</w:t>
      </w:r>
      <w:r w:rsidRPr="0036198E">
        <w:rPr>
          <w:rFonts w:eastAsia="Arial"/>
          <w:szCs w:val="24"/>
        </w:rPr>
        <w:t>(2), pp.317-335.</w:t>
      </w:r>
    </w:p>
    <w:p w14:paraId="14AA89B4" w14:textId="77777777" w:rsidR="00386591" w:rsidRDefault="00386591" w:rsidP="002C00DD">
      <w:pPr>
        <w:spacing w:line="276" w:lineRule="auto"/>
        <w:jc w:val="both"/>
      </w:pPr>
      <w:r>
        <w:t xml:space="preserve">Santos, A.M., </w:t>
      </w:r>
      <w:proofErr w:type="spellStart"/>
      <w:r>
        <w:t>Cincera</w:t>
      </w:r>
      <w:proofErr w:type="spellEnd"/>
      <w:r>
        <w:t>, M. and Cerulli, G. (2024) ‘Sources of financing: Which ones are more effective in innovation-growth linkage?’, Economic Systems, 48(2), 101177.</w:t>
      </w:r>
    </w:p>
    <w:p w14:paraId="6D7178D5" w14:textId="77777777" w:rsidR="00386591" w:rsidRDefault="00386591" w:rsidP="002C00DD">
      <w:pPr>
        <w:spacing w:line="276" w:lineRule="auto"/>
        <w:jc w:val="both"/>
      </w:pPr>
      <w:proofErr w:type="spellStart"/>
      <w:r>
        <w:t>Seretidou</w:t>
      </w:r>
      <w:proofErr w:type="spellEnd"/>
      <w:r>
        <w:t xml:space="preserve">, D., </w:t>
      </w:r>
      <w:proofErr w:type="spellStart"/>
      <w:r>
        <w:t>Billios</w:t>
      </w:r>
      <w:proofErr w:type="spellEnd"/>
      <w:r>
        <w:t>, D. and Stavropoulos, A. (2025) ‘Integrative analysis of traditional and cash flow financial ratios: Insights from a systematic comparative review’, Risks, 13(4), 62.</w:t>
      </w:r>
    </w:p>
    <w:p w14:paraId="3535774B" w14:textId="77777777" w:rsidR="00386591" w:rsidRPr="0036198E" w:rsidRDefault="00386591" w:rsidP="002C00DD">
      <w:pPr>
        <w:spacing w:line="276" w:lineRule="auto"/>
        <w:jc w:val="both"/>
        <w:rPr>
          <w:rFonts w:eastAsia="Arial"/>
          <w:szCs w:val="24"/>
        </w:rPr>
      </w:pPr>
      <w:proofErr w:type="spellStart"/>
      <w:r w:rsidRPr="0036198E">
        <w:rPr>
          <w:rFonts w:eastAsia="Arial"/>
          <w:szCs w:val="24"/>
        </w:rPr>
        <w:t>Sha'ari</w:t>
      </w:r>
      <w:proofErr w:type="spellEnd"/>
      <w:r w:rsidRPr="0036198E">
        <w:rPr>
          <w:rFonts w:eastAsia="Arial"/>
          <w:szCs w:val="24"/>
        </w:rPr>
        <w:t xml:space="preserve">, U.A.S., Hamzah, S.R.B. and Kamil, K.H., (2023). Financial sustainability of A firm: debt-based or equity-based financing to </w:t>
      </w:r>
      <w:proofErr w:type="gramStart"/>
      <w:r w:rsidRPr="0036198E">
        <w:rPr>
          <w:rFonts w:eastAsia="Arial"/>
          <w:szCs w:val="24"/>
        </w:rPr>
        <w:t>pursue?.</w:t>
      </w:r>
      <w:proofErr w:type="gramEnd"/>
      <w:r w:rsidRPr="0036198E">
        <w:rPr>
          <w:rFonts w:eastAsia="Arial"/>
          <w:szCs w:val="24"/>
        </w:rPr>
        <w:t xml:space="preserve"> Journal of Islamic Monetary Economics and Finance, 9(2), pp.199-224.</w:t>
      </w:r>
    </w:p>
    <w:p w14:paraId="5F2E5215" w14:textId="77777777" w:rsidR="00386591" w:rsidRPr="0036198E" w:rsidRDefault="00386591" w:rsidP="002C00DD">
      <w:pPr>
        <w:spacing w:line="276" w:lineRule="auto"/>
        <w:jc w:val="both"/>
        <w:rPr>
          <w:rFonts w:eastAsia="Arial"/>
          <w:szCs w:val="24"/>
        </w:rPr>
      </w:pPr>
      <w:r w:rsidRPr="0036198E">
        <w:rPr>
          <w:rFonts w:eastAsia="Arial"/>
          <w:szCs w:val="24"/>
        </w:rPr>
        <w:t xml:space="preserve">Shokouhi, M.R., Khademvatani, A. and </w:t>
      </w:r>
      <w:proofErr w:type="spellStart"/>
      <w:r w:rsidRPr="0036198E">
        <w:rPr>
          <w:rFonts w:eastAsia="Arial"/>
          <w:szCs w:val="24"/>
        </w:rPr>
        <w:t>Beiky</w:t>
      </w:r>
      <w:proofErr w:type="spellEnd"/>
      <w:r w:rsidRPr="0036198E">
        <w:rPr>
          <w:rFonts w:eastAsia="Arial"/>
          <w:szCs w:val="24"/>
        </w:rPr>
        <w:t xml:space="preserve">, F., (2024). </w:t>
      </w:r>
      <w:proofErr w:type="spellStart"/>
      <w:r w:rsidRPr="0036198E">
        <w:rPr>
          <w:rFonts w:eastAsia="Arial"/>
          <w:szCs w:val="24"/>
        </w:rPr>
        <w:t>Analyzing</w:t>
      </w:r>
      <w:proofErr w:type="spellEnd"/>
      <w:r w:rsidRPr="0036198E">
        <w:rPr>
          <w:rFonts w:eastAsia="Arial"/>
          <w:szCs w:val="24"/>
        </w:rPr>
        <w:t xml:space="preserve"> economic and financial risk factors affecting profitability of oil refinery investment projects: A case study from an Iranian Oil Refinery. </w:t>
      </w:r>
      <w:r w:rsidRPr="0036198E">
        <w:rPr>
          <w:rFonts w:eastAsia="Arial"/>
          <w:i/>
          <w:iCs/>
          <w:szCs w:val="24"/>
        </w:rPr>
        <w:t>Energy Strategy Reviews</w:t>
      </w:r>
      <w:r w:rsidRPr="0036198E">
        <w:rPr>
          <w:rFonts w:eastAsia="Arial"/>
          <w:szCs w:val="24"/>
        </w:rPr>
        <w:t>, </w:t>
      </w:r>
      <w:r w:rsidRPr="0036198E">
        <w:rPr>
          <w:rFonts w:eastAsia="Arial"/>
          <w:i/>
          <w:iCs/>
          <w:szCs w:val="24"/>
        </w:rPr>
        <w:t>52</w:t>
      </w:r>
      <w:r w:rsidRPr="0036198E">
        <w:rPr>
          <w:rFonts w:eastAsia="Arial"/>
          <w:szCs w:val="24"/>
        </w:rPr>
        <w:t>, p.101348.</w:t>
      </w:r>
    </w:p>
    <w:p w14:paraId="0F0FE7AB" w14:textId="77777777" w:rsidR="00386591" w:rsidRPr="0036198E" w:rsidRDefault="00386591" w:rsidP="002C00DD">
      <w:pPr>
        <w:spacing w:line="276" w:lineRule="auto"/>
        <w:jc w:val="both"/>
        <w:rPr>
          <w:rFonts w:eastAsia="Arial"/>
          <w:szCs w:val="24"/>
        </w:rPr>
      </w:pPr>
      <w:r w:rsidRPr="0036198E">
        <w:rPr>
          <w:rFonts w:eastAsia="Arial"/>
          <w:szCs w:val="24"/>
        </w:rPr>
        <w:t>Shou, T., (2022, July). A literature review on the net present value (NPV) valuation method. In 2022 2nd International Conference on Enterprise Management and Economic Development (ICEMED 2022) (pp. 826-830). Atlantis Press.</w:t>
      </w:r>
    </w:p>
    <w:p w14:paraId="70373E25" w14:textId="77777777" w:rsidR="00386591" w:rsidRPr="0036198E" w:rsidRDefault="00386591" w:rsidP="002C00DD">
      <w:pPr>
        <w:spacing w:line="276" w:lineRule="auto"/>
        <w:jc w:val="both"/>
        <w:rPr>
          <w:rFonts w:eastAsia="Arial"/>
          <w:szCs w:val="24"/>
        </w:rPr>
      </w:pPr>
      <w:r w:rsidRPr="0036198E">
        <w:rPr>
          <w:rFonts w:eastAsia="Arial"/>
          <w:szCs w:val="24"/>
        </w:rPr>
        <w:t xml:space="preserve">Shubina, S., </w:t>
      </w:r>
      <w:proofErr w:type="spellStart"/>
      <w:r w:rsidRPr="0036198E">
        <w:rPr>
          <w:rFonts w:eastAsia="Arial"/>
          <w:szCs w:val="24"/>
        </w:rPr>
        <w:t>Miroshnyk</w:t>
      </w:r>
      <w:proofErr w:type="spellEnd"/>
      <w:r w:rsidRPr="0036198E">
        <w:rPr>
          <w:rFonts w:eastAsia="Arial"/>
          <w:szCs w:val="24"/>
        </w:rPr>
        <w:t>, O., Belyaninova, K. and Bieliaiev, A., (2022). Ensuring accounting and analysis of revenue and expenses in the enterprise profit management system. </w:t>
      </w:r>
      <w:r w:rsidRPr="0036198E">
        <w:rPr>
          <w:rFonts w:eastAsia="Arial"/>
          <w:i/>
          <w:iCs/>
          <w:szCs w:val="24"/>
        </w:rPr>
        <w:t>Financial and credit systems: prospects for development</w:t>
      </w:r>
      <w:r w:rsidRPr="0036198E">
        <w:rPr>
          <w:rFonts w:eastAsia="Arial"/>
          <w:szCs w:val="24"/>
        </w:rPr>
        <w:t>, </w:t>
      </w:r>
      <w:r w:rsidRPr="0036198E">
        <w:rPr>
          <w:rFonts w:eastAsia="Arial"/>
          <w:i/>
          <w:iCs/>
          <w:szCs w:val="24"/>
        </w:rPr>
        <w:t>2</w:t>
      </w:r>
      <w:r w:rsidRPr="0036198E">
        <w:rPr>
          <w:rFonts w:eastAsia="Arial"/>
          <w:szCs w:val="24"/>
        </w:rPr>
        <w:t>(5), pp.26-35.</w:t>
      </w:r>
    </w:p>
    <w:p w14:paraId="12580608" w14:textId="77777777" w:rsidR="00386591" w:rsidRPr="0036198E" w:rsidRDefault="00386591" w:rsidP="002C00DD">
      <w:pPr>
        <w:spacing w:line="276" w:lineRule="auto"/>
        <w:jc w:val="both"/>
        <w:rPr>
          <w:rFonts w:eastAsia="Arial"/>
          <w:szCs w:val="24"/>
        </w:rPr>
      </w:pPr>
      <w:r w:rsidRPr="0036198E">
        <w:rPr>
          <w:rFonts w:eastAsia="Arial"/>
          <w:szCs w:val="24"/>
        </w:rPr>
        <w:t xml:space="preserve">Sinaga, A.S., Sari, M.M., </w:t>
      </w:r>
      <w:proofErr w:type="spellStart"/>
      <w:r w:rsidRPr="0036198E">
        <w:rPr>
          <w:rFonts w:eastAsia="Arial"/>
          <w:szCs w:val="24"/>
        </w:rPr>
        <w:t>Hutasuhut</w:t>
      </w:r>
      <w:proofErr w:type="spellEnd"/>
      <w:r w:rsidRPr="0036198E">
        <w:rPr>
          <w:rFonts w:eastAsia="Arial"/>
          <w:szCs w:val="24"/>
        </w:rPr>
        <w:t>, A.A., Zahara, S.T., Amanda, A., Fitri, A. and Caesario, M.A., (2023). Comparison of capital budgeting methods: NPV, IRR, PAYBACK PERIOD. World Journal of Advanced Research and Reviews, 19(2), pp.1078-1081</w:t>
      </w:r>
    </w:p>
    <w:p w14:paraId="55EC2CA8" w14:textId="77777777" w:rsidR="00386591" w:rsidRDefault="00386591" w:rsidP="002C00DD">
      <w:pPr>
        <w:spacing w:line="276" w:lineRule="auto"/>
        <w:jc w:val="both"/>
      </w:pPr>
      <w:r>
        <w:t>Siziba, S. and Hall, J.H. (2021) ‘The evolution of the application of capital budgeting techniques in enterprises’, Global Finance Journal, 47, 100504.</w:t>
      </w:r>
    </w:p>
    <w:p w14:paraId="607A1B5F" w14:textId="77777777" w:rsidR="00386591" w:rsidRPr="00D50DCD" w:rsidRDefault="00386591" w:rsidP="002C00DD">
      <w:pPr>
        <w:spacing w:line="276" w:lineRule="auto"/>
        <w:jc w:val="both"/>
      </w:pPr>
      <w:r>
        <w:t>Sokolov, M.V. (2024) ‘NPV, IRR, PI, PP, and DPP: A unified view’, Journal of Mathematical Economics, 114, 102992.</w:t>
      </w:r>
    </w:p>
    <w:p w14:paraId="4778EC65" w14:textId="77777777" w:rsidR="00386591" w:rsidRPr="0036198E" w:rsidRDefault="00386591" w:rsidP="002C00DD">
      <w:pPr>
        <w:spacing w:line="276" w:lineRule="auto"/>
        <w:jc w:val="both"/>
        <w:rPr>
          <w:rFonts w:eastAsia="Arial"/>
          <w:szCs w:val="24"/>
        </w:rPr>
      </w:pPr>
      <w:proofErr w:type="spellStart"/>
      <w:r w:rsidRPr="0036198E">
        <w:rPr>
          <w:rFonts w:eastAsia="Arial"/>
          <w:szCs w:val="24"/>
        </w:rPr>
        <w:t>ur</w:t>
      </w:r>
      <w:proofErr w:type="spellEnd"/>
      <w:r w:rsidRPr="0036198E">
        <w:rPr>
          <w:rFonts w:eastAsia="Arial"/>
          <w:szCs w:val="24"/>
        </w:rPr>
        <w:t xml:space="preserve"> Rehman, H.S., </w:t>
      </w:r>
      <w:proofErr w:type="spellStart"/>
      <w:r w:rsidRPr="0036198E">
        <w:rPr>
          <w:rFonts w:eastAsia="Arial"/>
          <w:szCs w:val="24"/>
        </w:rPr>
        <w:t>uz</w:t>
      </w:r>
      <w:proofErr w:type="spellEnd"/>
      <w:r w:rsidRPr="0036198E">
        <w:rPr>
          <w:rFonts w:eastAsia="Arial"/>
          <w:szCs w:val="24"/>
        </w:rPr>
        <w:t xml:space="preserve"> Zaman, S. and Alam, S.H., (2025). The Impact of Liquidity Management on Profitability of Listed Oil &amp; Gas Company. </w:t>
      </w:r>
      <w:r w:rsidRPr="0036198E">
        <w:rPr>
          <w:rFonts w:eastAsia="Arial"/>
          <w:i/>
          <w:iCs/>
          <w:szCs w:val="24"/>
        </w:rPr>
        <w:t>Review of Education, Administration &amp; Law</w:t>
      </w:r>
      <w:r w:rsidRPr="0036198E">
        <w:rPr>
          <w:rFonts w:eastAsia="Arial"/>
          <w:szCs w:val="24"/>
        </w:rPr>
        <w:t>, </w:t>
      </w:r>
      <w:r w:rsidRPr="0036198E">
        <w:rPr>
          <w:rFonts w:eastAsia="Arial"/>
          <w:i/>
          <w:iCs/>
          <w:szCs w:val="24"/>
        </w:rPr>
        <w:t>8</w:t>
      </w:r>
      <w:r w:rsidRPr="0036198E">
        <w:rPr>
          <w:rFonts w:eastAsia="Arial"/>
          <w:szCs w:val="24"/>
        </w:rPr>
        <w:t>(2), pp.193-205.</w:t>
      </w:r>
      <w:r w:rsidRPr="0036198E">
        <w:br w:type="page"/>
      </w:r>
    </w:p>
    <w:p w14:paraId="754030F9" w14:textId="61BBA301" w:rsidR="005C6948" w:rsidRPr="0036198E" w:rsidRDefault="005C6948" w:rsidP="005C6948">
      <w:pPr>
        <w:pStyle w:val="Heading1"/>
        <w:spacing w:line="360" w:lineRule="auto"/>
        <w:rPr>
          <w:rFonts w:eastAsia="Arial" w:cs="Calibri"/>
          <w:b w:val="0"/>
          <w:bCs w:val="0"/>
          <w:color w:val="000000"/>
          <w:szCs w:val="28"/>
        </w:rPr>
      </w:pPr>
      <w:bookmarkStart w:id="34" w:name="_Toc227610543"/>
      <w:r w:rsidRPr="0036198E">
        <w:rPr>
          <w:rFonts w:eastAsia="Arial" w:cs="Calibri"/>
          <w:color w:val="000000"/>
          <w:szCs w:val="28"/>
        </w:rPr>
        <w:lastRenderedPageBreak/>
        <w:t>Appendix</w:t>
      </w:r>
      <w:bookmarkEnd w:id="34"/>
    </w:p>
    <w:p w14:paraId="3AA3C60E" w14:textId="77777777" w:rsidR="005C6948" w:rsidRPr="0036198E" w:rsidRDefault="005C6948" w:rsidP="005C6948">
      <w:pPr>
        <w:spacing w:line="360" w:lineRule="auto"/>
        <w:rPr>
          <w:rFonts w:eastAsia="Arial"/>
          <w:b/>
          <w:bCs/>
          <w:szCs w:val="24"/>
        </w:rPr>
      </w:pPr>
      <w:r w:rsidRPr="0036198E">
        <w:rPr>
          <w:rFonts w:eastAsia="Arial"/>
          <w:b/>
          <w:bCs/>
          <w:szCs w:val="24"/>
        </w:rPr>
        <w:t>Part A: Financial Ratios of BP PLC</w:t>
      </w:r>
    </w:p>
    <w:p w14:paraId="37F1DBD5" w14:textId="77777777" w:rsidR="005C6948" w:rsidRPr="0036198E" w:rsidRDefault="005C6948" w:rsidP="005C6948">
      <w:pPr>
        <w:spacing w:line="360" w:lineRule="auto"/>
        <w:rPr>
          <w:rFonts w:eastAsia="Arial"/>
          <w:b/>
          <w:bCs/>
          <w:szCs w:val="24"/>
        </w:rPr>
      </w:pPr>
      <w:r w:rsidRPr="0036198E">
        <w:rPr>
          <w:rFonts w:eastAsia="Arial"/>
          <w:b/>
          <w:bCs/>
          <w:szCs w:val="24"/>
        </w:rPr>
        <w:t>Appendix A: Gross Profit Margin</w:t>
      </w:r>
    </w:p>
    <w:tbl>
      <w:tblPr>
        <w:tblStyle w:val="GridTable4-Accent4"/>
        <w:tblW w:w="5442" w:type="dxa"/>
        <w:tblLayout w:type="fixed"/>
        <w:tblLook w:val="04A0" w:firstRow="1" w:lastRow="0" w:firstColumn="1" w:lastColumn="0" w:noHBand="0" w:noVBand="1"/>
      </w:tblPr>
      <w:tblGrid>
        <w:gridCol w:w="2340"/>
        <w:gridCol w:w="1551"/>
        <w:gridCol w:w="1551"/>
      </w:tblGrid>
      <w:tr w:rsidR="005C6948" w:rsidRPr="0036198E" w14:paraId="27B31619" w14:textId="77777777" w:rsidTr="00713B62">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0" w:type="dxa"/>
          </w:tcPr>
          <w:p w14:paraId="548B3E90" w14:textId="77777777" w:rsidR="005C6948" w:rsidRPr="0036198E" w:rsidRDefault="005C6948" w:rsidP="00652878">
            <w:pPr>
              <w:spacing w:line="360" w:lineRule="auto"/>
              <w:jc w:val="both"/>
              <w:rPr>
                <w:rFonts w:eastAsia="Arial"/>
              </w:rPr>
            </w:pPr>
            <w:r w:rsidRPr="0036198E">
              <w:rPr>
                <w:rFonts w:eastAsia="Arial"/>
              </w:rPr>
              <w:t>Ratio</w:t>
            </w:r>
          </w:p>
        </w:tc>
        <w:tc>
          <w:tcPr>
            <w:tcW w:w="1551" w:type="dxa"/>
          </w:tcPr>
          <w:p w14:paraId="7CEBFF63" w14:textId="77777777" w:rsidR="005C6948" w:rsidRPr="0036198E" w:rsidRDefault="005C6948" w:rsidP="00B05B21">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b w:val="0"/>
                <w:bCs w:val="0"/>
              </w:rPr>
              <w:t>2025</w:t>
            </w:r>
          </w:p>
        </w:tc>
        <w:tc>
          <w:tcPr>
            <w:tcW w:w="1551" w:type="dxa"/>
          </w:tcPr>
          <w:p w14:paraId="04B17A72" w14:textId="77777777" w:rsidR="005C6948" w:rsidRPr="0036198E" w:rsidRDefault="005C6948" w:rsidP="00B05B21">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b w:val="0"/>
                <w:bCs w:val="0"/>
              </w:rPr>
              <w:t>2024</w:t>
            </w:r>
          </w:p>
        </w:tc>
      </w:tr>
      <w:tr w:rsidR="005C6948" w:rsidRPr="0036198E" w14:paraId="1FA9273A"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0" w:type="dxa"/>
          </w:tcPr>
          <w:p w14:paraId="1C6376C8" w14:textId="77777777" w:rsidR="005C6948" w:rsidRPr="0036198E" w:rsidRDefault="005C6948" w:rsidP="00652878">
            <w:pPr>
              <w:spacing w:line="360" w:lineRule="auto"/>
              <w:jc w:val="both"/>
              <w:rPr>
                <w:rFonts w:eastAsia="Arial"/>
              </w:rPr>
            </w:pPr>
            <w:r w:rsidRPr="0036198E">
              <w:rPr>
                <w:rFonts w:eastAsia="Arial"/>
              </w:rPr>
              <w:t xml:space="preserve">Gross Profit </w:t>
            </w:r>
            <w:r w:rsidRPr="0036198E">
              <w:rPr>
                <w:rFonts w:eastAsia="Arial"/>
                <w:b w:val="0"/>
                <w:bCs w:val="0"/>
                <w:color w:val="000000"/>
              </w:rPr>
              <w:t>(£)</w:t>
            </w:r>
          </w:p>
        </w:tc>
        <w:tc>
          <w:tcPr>
            <w:tcW w:w="1551" w:type="dxa"/>
          </w:tcPr>
          <w:p w14:paraId="2ED084E3" w14:textId="77777777" w:rsidR="005C6948" w:rsidRPr="0036198E" w:rsidRDefault="005C6948" w:rsidP="00B05B21">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33,529,000</w:t>
            </w:r>
          </w:p>
        </w:tc>
        <w:tc>
          <w:tcPr>
            <w:tcW w:w="1551" w:type="dxa"/>
          </w:tcPr>
          <w:p w14:paraId="1086D514" w14:textId="77777777" w:rsidR="005C6948" w:rsidRPr="0036198E" w:rsidRDefault="005C6948" w:rsidP="00B05B21">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30,239,000</w:t>
            </w:r>
          </w:p>
        </w:tc>
      </w:tr>
      <w:tr w:rsidR="005C6948" w:rsidRPr="0036198E" w14:paraId="62699AC1"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2340" w:type="dxa"/>
          </w:tcPr>
          <w:p w14:paraId="37529012" w14:textId="77777777" w:rsidR="005C6948" w:rsidRPr="0036198E" w:rsidRDefault="005C6948" w:rsidP="00652878">
            <w:pPr>
              <w:spacing w:line="360" w:lineRule="auto"/>
              <w:jc w:val="both"/>
              <w:rPr>
                <w:rFonts w:eastAsia="Arial"/>
              </w:rPr>
            </w:pPr>
            <w:r w:rsidRPr="0036198E">
              <w:rPr>
                <w:rFonts w:eastAsia="Arial"/>
              </w:rPr>
              <w:t xml:space="preserve">Cost of Revenue </w:t>
            </w:r>
            <w:r w:rsidRPr="0036198E">
              <w:rPr>
                <w:rFonts w:eastAsia="Arial"/>
                <w:b w:val="0"/>
                <w:bCs w:val="0"/>
                <w:color w:val="000000"/>
              </w:rPr>
              <w:t>(£)</w:t>
            </w:r>
          </w:p>
        </w:tc>
        <w:tc>
          <w:tcPr>
            <w:tcW w:w="1551" w:type="dxa"/>
          </w:tcPr>
          <w:p w14:paraId="756DDE9F" w14:textId="77777777" w:rsidR="005C6948" w:rsidRPr="0036198E" w:rsidRDefault="005C6948" w:rsidP="00B05B21">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155,806,000</w:t>
            </w:r>
          </w:p>
        </w:tc>
        <w:tc>
          <w:tcPr>
            <w:tcW w:w="1551" w:type="dxa"/>
          </w:tcPr>
          <w:p w14:paraId="13028309" w14:textId="77777777" w:rsidR="005C6948" w:rsidRPr="0036198E" w:rsidRDefault="005C6948" w:rsidP="00B05B21">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158,946,000</w:t>
            </w:r>
          </w:p>
        </w:tc>
      </w:tr>
      <w:tr w:rsidR="005C6948" w:rsidRPr="0036198E" w14:paraId="1D6FE25B"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0" w:type="dxa"/>
          </w:tcPr>
          <w:p w14:paraId="0862B795" w14:textId="77777777" w:rsidR="005C6948" w:rsidRPr="0036198E" w:rsidRDefault="005C6948" w:rsidP="00652878">
            <w:pPr>
              <w:spacing w:line="360" w:lineRule="auto"/>
              <w:jc w:val="both"/>
              <w:rPr>
                <w:rFonts w:eastAsia="Arial"/>
              </w:rPr>
            </w:pPr>
            <w:r w:rsidRPr="0036198E">
              <w:rPr>
                <w:rFonts w:eastAsia="Arial"/>
              </w:rPr>
              <w:t xml:space="preserve">Total Revenue </w:t>
            </w:r>
            <w:r w:rsidRPr="0036198E">
              <w:rPr>
                <w:rFonts w:eastAsia="Arial"/>
                <w:b w:val="0"/>
                <w:bCs w:val="0"/>
                <w:color w:val="000000"/>
              </w:rPr>
              <w:t>(£)</w:t>
            </w:r>
          </w:p>
        </w:tc>
        <w:tc>
          <w:tcPr>
            <w:tcW w:w="1551" w:type="dxa"/>
          </w:tcPr>
          <w:p w14:paraId="4E297DF5" w14:textId="77777777" w:rsidR="005C6948" w:rsidRPr="0036198E" w:rsidRDefault="005C6948" w:rsidP="00B05B21">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189,335,000</w:t>
            </w:r>
          </w:p>
        </w:tc>
        <w:tc>
          <w:tcPr>
            <w:tcW w:w="1551" w:type="dxa"/>
          </w:tcPr>
          <w:p w14:paraId="28D20E00" w14:textId="77777777" w:rsidR="005C6948" w:rsidRPr="0036198E" w:rsidRDefault="005C6948" w:rsidP="00B05B21">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189,185,000</w:t>
            </w:r>
          </w:p>
        </w:tc>
      </w:tr>
      <w:tr w:rsidR="005C6948" w:rsidRPr="0036198E" w14:paraId="177F2FCF"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2340" w:type="dxa"/>
          </w:tcPr>
          <w:p w14:paraId="684B740E" w14:textId="77777777" w:rsidR="005C6948" w:rsidRPr="0036198E" w:rsidRDefault="005C6948" w:rsidP="00652878">
            <w:pPr>
              <w:spacing w:line="360" w:lineRule="auto"/>
              <w:jc w:val="both"/>
              <w:rPr>
                <w:rFonts w:eastAsia="Arial"/>
              </w:rPr>
            </w:pPr>
            <w:r w:rsidRPr="0036198E">
              <w:rPr>
                <w:rFonts w:eastAsia="Arial"/>
              </w:rPr>
              <w:t>Gross Profit Margin</w:t>
            </w:r>
          </w:p>
        </w:tc>
        <w:tc>
          <w:tcPr>
            <w:tcW w:w="1551" w:type="dxa"/>
          </w:tcPr>
          <w:p w14:paraId="31B0235D" w14:textId="77777777" w:rsidR="005C6948" w:rsidRPr="0036198E" w:rsidRDefault="005C6948" w:rsidP="00B05B21">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17.71%</w:t>
            </w:r>
          </w:p>
        </w:tc>
        <w:tc>
          <w:tcPr>
            <w:tcW w:w="1551" w:type="dxa"/>
          </w:tcPr>
          <w:p w14:paraId="4D497E4D" w14:textId="77777777" w:rsidR="005C6948" w:rsidRPr="0036198E" w:rsidRDefault="005C6948" w:rsidP="00B05B21">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15.98%</w:t>
            </w:r>
          </w:p>
        </w:tc>
      </w:tr>
    </w:tbl>
    <w:p w14:paraId="1E9CD340" w14:textId="77777777" w:rsidR="00972191" w:rsidRPr="0036198E" w:rsidRDefault="00972191" w:rsidP="005C6948">
      <w:pPr>
        <w:spacing w:line="360" w:lineRule="auto"/>
        <w:jc w:val="both"/>
        <w:rPr>
          <w:rFonts w:eastAsia="Arial"/>
          <w:b/>
          <w:bCs/>
          <w:szCs w:val="24"/>
        </w:rPr>
      </w:pPr>
    </w:p>
    <w:p w14:paraId="0559D7E4" w14:textId="5D0EDF63" w:rsidR="005C6948" w:rsidRPr="0036198E" w:rsidRDefault="005C6948" w:rsidP="005C6948">
      <w:pPr>
        <w:spacing w:line="360" w:lineRule="auto"/>
        <w:jc w:val="both"/>
        <w:rPr>
          <w:rFonts w:eastAsia="Arial"/>
          <w:b/>
          <w:bCs/>
          <w:szCs w:val="24"/>
        </w:rPr>
      </w:pPr>
      <w:r w:rsidRPr="0036198E">
        <w:rPr>
          <w:rFonts w:eastAsia="Arial"/>
          <w:b/>
          <w:bCs/>
          <w:szCs w:val="24"/>
        </w:rPr>
        <w:t xml:space="preserve">Appendix B: Operating Profit Margin </w:t>
      </w:r>
    </w:p>
    <w:tbl>
      <w:tblPr>
        <w:tblStyle w:val="GridTable4-Accent4"/>
        <w:tblW w:w="5442" w:type="dxa"/>
        <w:tblLayout w:type="fixed"/>
        <w:tblLook w:val="04A0" w:firstRow="1" w:lastRow="0" w:firstColumn="1" w:lastColumn="0" w:noHBand="0" w:noVBand="1"/>
      </w:tblPr>
      <w:tblGrid>
        <w:gridCol w:w="2340"/>
        <w:gridCol w:w="1551"/>
        <w:gridCol w:w="1551"/>
      </w:tblGrid>
      <w:tr w:rsidR="005C6948" w:rsidRPr="0036198E" w14:paraId="5C1F5315" w14:textId="77777777" w:rsidTr="00713B62">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0" w:type="dxa"/>
          </w:tcPr>
          <w:p w14:paraId="62BC0870" w14:textId="77777777" w:rsidR="005C6948" w:rsidRPr="0036198E" w:rsidRDefault="005C6948" w:rsidP="00652878">
            <w:pPr>
              <w:spacing w:line="360" w:lineRule="auto"/>
              <w:jc w:val="both"/>
              <w:rPr>
                <w:rFonts w:eastAsia="Arial"/>
              </w:rPr>
            </w:pPr>
            <w:r w:rsidRPr="0036198E">
              <w:rPr>
                <w:rFonts w:eastAsia="Arial"/>
              </w:rPr>
              <w:t>Ratio</w:t>
            </w:r>
          </w:p>
        </w:tc>
        <w:tc>
          <w:tcPr>
            <w:tcW w:w="1551" w:type="dxa"/>
          </w:tcPr>
          <w:p w14:paraId="629C9CE2"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b w:val="0"/>
                <w:bCs w:val="0"/>
              </w:rPr>
              <w:t>2025</w:t>
            </w:r>
          </w:p>
        </w:tc>
        <w:tc>
          <w:tcPr>
            <w:tcW w:w="1551" w:type="dxa"/>
          </w:tcPr>
          <w:p w14:paraId="2D3B6F08"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b w:val="0"/>
                <w:bCs w:val="0"/>
              </w:rPr>
              <w:t>2024</w:t>
            </w:r>
          </w:p>
        </w:tc>
      </w:tr>
      <w:tr w:rsidR="005C6948" w:rsidRPr="0036198E" w14:paraId="54A92545"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0" w:type="dxa"/>
          </w:tcPr>
          <w:p w14:paraId="38C329EA" w14:textId="77777777" w:rsidR="005C6948" w:rsidRPr="0036198E" w:rsidRDefault="005C6948" w:rsidP="00652878">
            <w:pPr>
              <w:spacing w:line="360" w:lineRule="auto"/>
              <w:jc w:val="both"/>
              <w:rPr>
                <w:rFonts w:eastAsia="Arial"/>
              </w:rPr>
            </w:pPr>
            <w:r w:rsidRPr="0036198E">
              <w:rPr>
                <w:rFonts w:eastAsia="Arial"/>
              </w:rPr>
              <w:t xml:space="preserve">Operating Income </w:t>
            </w:r>
            <w:r w:rsidRPr="0036198E">
              <w:rPr>
                <w:rFonts w:eastAsia="Arial"/>
                <w:b w:val="0"/>
                <w:bCs w:val="0"/>
                <w:color w:val="000000"/>
              </w:rPr>
              <w:t>(£)</w:t>
            </w:r>
          </w:p>
        </w:tc>
        <w:tc>
          <w:tcPr>
            <w:tcW w:w="1551" w:type="dxa"/>
          </w:tcPr>
          <w:p w14:paraId="322BD551"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15,808,000</w:t>
            </w:r>
          </w:p>
        </w:tc>
        <w:tc>
          <w:tcPr>
            <w:tcW w:w="1551" w:type="dxa"/>
          </w:tcPr>
          <w:p w14:paraId="56A36010"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13,615,000</w:t>
            </w:r>
          </w:p>
        </w:tc>
      </w:tr>
      <w:tr w:rsidR="005C6948" w:rsidRPr="0036198E" w14:paraId="2BA26FB7"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2340" w:type="dxa"/>
          </w:tcPr>
          <w:p w14:paraId="7807B1A3" w14:textId="77777777" w:rsidR="005C6948" w:rsidRPr="0036198E" w:rsidRDefault="005C6948" w:rsidP="00652878">
            <w:pPr>
              <w:spacing w:line="360" w:lineRule="auto"/>
              <w:jc w:val="both"/>
              <w:rPr>
                <w:rFonts w:eastAsia="Arial"/>
              </w:rPr>
            </w:pPr>
            <w:r w:rsidRPr="0036198E">
              <w:rPr>
                <w:rFonts w:eastAsia="Arial"/>
              </w:rPr>
              <w:t xml:space="preserve">Operating Expense </w:t>
            </w:r>
            <w:r w:rsidRPr="0036198E">
              <w:rPr>
                <w:rFonts w:eastAsia="Arial"/>
                <w:b w:val="0"/>
                <w:bCs w:val="0"/>
                <w:color w:val="000000"/>
              </w:rPr>
              <w:t>(£)</w:t>
            </w:r>
          </w:p>
        </w:tc>
        <w:tc>
          <w:tcPr>
            <w:tcW w:w="1551" w:type="dxa"/>
          </w:tcPr>
          <w:p w14:paraId="5A36B7CB"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17,721,000</w:t>
            </w:r>
          </w:p>
        </w:tc>
        <w:tc>
          <w:tcPr>
            <w:tcW w:w="1551" w:type="dxa"/>
          </w:tcPr>
          <w:p w14:paraId="0035D113"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16,624,000</w:t>
            </w:r>
          </w:p>
        </w:tc>
      </w:tr>
      <w:tr w:rsidR="005C6948" w:rsidRPr="0036198E" w14:paraId="7132525E"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0" w:type="dxa"/>
          </w:tcPr>
          <w:p w14:paraId="11A48099" w14:textId="77777777" w:rsidR="005C6948" w:rsidRPr="0036198E" w:rsidRDefault="005C6948" w:rsidP="00652878">
            <w:pPr>
              <w:spacing w:line="360" w:lineRule="auto"/>
              <w:jc w:val="both"/>
              <w:rPr>
                <w:rFonts w:eastAsia="Arial"/>
              </w:rPr>
            </w:pPr>
            <w:r w:rsidRPr="0036198E">
              <w:rPr>
                <w:rFonts w:eastAsia="Arial"/>
              </w:rPr>
              <w:t xml:space="preserve">Total Revenue </w:t>
            </w:r>
            <w:r w:rsidRPr="0036198E">
              <w:rPr>
                <w:rFonts w:eastAsia="Arial"/>
                <w:b w:val="0"/>
                <w:bCs w:val="0"/>
                <w:color w:val="000000"/>
              </w:rPr>
              <w:t>(£)</w:t>
            </w:r>
          </w:p>
        </w:tc>
        <w:tc>
          <w:tcPr>
            <w:tcW w:w="1551" w:type="dxa"/>
          </w:tcPr>
          <w:p w14:paraId="6EE62986"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189,335,000</w:t>
            </w:r>
          </w:p>
        </w:tc>
        <w:tc>
          <w:tcPr>
            <w:tcW w:w="1551" w:type="dxa"/>
          </w:tcPr>
          <w:p w14:paraId="0ED3DF83"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189,185,000</w:t>
            </w:r>
          </w:p>
        </w:tc>
      </w:tr>
      <w:tr w:rsidR="005C6948" w:rsidRPr="0036198E" w14:paraId="5349EF50"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2340" w:type="dxa"/>
          </w:tcPr>
          <w:p w14:paraId="328EDFAD" w14:textId="77777777" w:rsidR="005C6948" w:rsidRPr="0036198E" w:rsidRDefault="005C6948" w:rsidP="00652878">
            <w:pPr>
              <w:spacing w:line="360" w:lineRule="auto"/>
              <w:jc w:val="both"/>
              <w:rPr>
                <w:rFonts w:eastAsia="Arial"/>
              </w:rPr>
            </w:pPr>
            <w:r w:rsidRPr="0036198E">
              <w:rPr>
                <w:rFonts w:eastAsia="Arial"/>
              </w:rPr>
              <w:t>Operating Profit Margin</w:t>
            </w:r>
          </w:p>
        </w:tc>
        <w:tc>
          <w:tcPr>
            <w:tcW w:w="1551" w:type="dxa"/>
          </w:tcPr>
          <w:p w14:paraId="2E27CFAF"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8.35%</w:t>
            </w:r>
          </w:p>
        </w:tc>
        <w:tc>
          <w:tcPr>
            <w:tcW w:w="1551" w:type="dxa"/>
          </w:tcPr>
          <w:p w14:paraId="48572C43"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7.20%</w:t>
            </w:r>
          </w:p>
        </w:tc>
      </w:tr>
    </w:tbl>
    <w:p w14:paraId="01AA2147" w14:textId="77777777" w:rsidR="00972191" w:rsidRPr="0036198E" w:rsidRDefault="00972191" w:rsidP="005C6948">
      <w:pPr>
        <w:spacing w:line="360" w:lineRule="auto"/>
        <w:jc w:val="both"/>
        <w:rPr>
          <w:rFonts w:eastAsia="Arial"/>
          <w:b/>
          <w:bCs/>
          <w:szCs w:val="24"/>
        </w:rPr>
      </w:pPr>
    </w:p>
    <w:p w14:paraId="566EBC42" w14:textId="01610284" w:rsidR="005C6948" w:rsidRPr="0036198E" w:rsidRDefault="005C6948" w:rsidP="005C6948">
      <w:pPr>
        <w:spacing w:line="360" w:lineRule="auto"/>
        <w:jc w:val="both"/>
        <w:rPr>
          <w:rFonts w:eastAsia="Arial"/>
          <w:b/>
          <w:bCs/>
          <w:szCs w:val="24"/>
        </w:rPr>
      </w:pPr>
      <w:r w:rsidRPr="0036198E">
        <w:rPr>
          <w:rFonts w:eastAsia="Arial"/>
          <w:b/>
          <w:bCs/>
          <w:szCs w:val="24"/>
        </w:rPr>
        <w:t xml:space="preserve">Appendix C: Net Profit Margin </w:t>
      </w:r>
    </w:p>
    <w:tbl>
      <w:tblPr>
        <w:tblStyle w:val="GridTable4-Accent4"/>
        <w:tblW w:w="5442" w:type="dxa"/>
        <w:tblLayout w:type="fixed"/>
        <w:tblLook w:val="04A0" w:firstRow="1" w:lastRow="0" w:firstColumn="1" w:lastColumn="0" w:noHBand="0" w:noVBand="1"/>
      </w:tblPr>
      <w:tblGrid>
        <w:gridCol w:w="2340"/>
        <w:gridCol w:w="1551"/>
        <w:gridCol w:w="1551"/>
      </w:tblGrid>
      <w:tr w:rsidR="005C6948" w:rsidRPr="0036198E" w14:paraId="675CD26E" w14:textId="77777777" w:rsidTr="00713B62">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0" w:type="dxa"/>
          </w:tcPr>
          <w:p w14:paraId="713914E7" w14:textId="77777777" w:rsidR="005C6948" w:rsidRPr="0036198E" w:rsidRDefault="005C6948" w:rsidP="00652878">
            <w:pPr>
              <w:spacing w:line="360" w:lineRule="auto"/>
              <w:jc w:val="both"/>
              <w:rPr>
                <w:rFonts w:eastAsia="Arial"/>
              </w:rPr>
            </w:pPr>
            <w:r w:rsidRPr="0036198E">
              <w:rPr>
                <w:rFonts w:eastAsia="Arial"/>
              </w:rPr>
              <w:t>Ratio</w:t>
            </w:r>
          </w:p>
        </w:tc>
        <w:tc>
          <w:tcPr>
            <w:tcW w:w="1551" w:type="dxa"/>
          </w:tcPr>
          <w:p w14:paraId="35E3D575"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b w:val="0"/>
                <w:bCs w:val="0"/>
              </w:rPr>
              <w:t>2025</w:t>
            </w:r>
          </w:p>
        </w:tc>
        <w:tc>
          <w:tcPr>
            <w:tcW w:w="1551" w:type="dxa"/>
          </w:tcPr>
          <w:p w14:paraId="0080C6F2"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b w:val="0"/>
                <w:bCs w:val="0"/>
              </w:rPr>
              <w:t>2024</w:t>
            </w:r>
          </w:p>
        </w:tc>
      </w:tr>
      <w:tr w:rsidR="005C6948" w:rsidRPr="0036198E" w14:paraId="7D1A221F"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0" w:type="dxa"/>
          </w:tcPr>
          <w:p w14:paraId="6F01BFB8" w14:textId="77777777" w:rsidR="005C6948" w:rsidRPr="0036198E" w:rsidRDefault="005C6948" w:rsidP="00652878">
            <w:pPr>
              <w:spacing w:line="360" w:lineRule="auto"/>
              <w:jc w:val="both"/>
              <w:rPr>
                <w:rFonts w:eastAsia="Arial"/>
              </w:rPr>
            </w:pPr>
            <w:r w:rsidRPr="0036198E">
              <w:rPr>
                <w:rFonts w:eastAsia="Arial"/>
              </w:rPr>
              <w:t xml:space="preserve">Total Revenue </w:t>
            </w:r>
            <w:r w:rsidRPr="0036198E">
              <w:rPr>
                <w:rFonts w:eastAsia="Arial"/>
                <w:b w:val="0"/>
                <w:bCs w:val="0"/>
                <w:color w:val="000000"/>
              </w:rPr>
              <w:t>(£)</w:t>
            </w:r>
          </w:p>
        </w:tc>
        <w:tc>
          <w:tcPr>
            <w:tcW w:w="1551" w:type="dxa"/>
          </w:tcPr>
          <w:p w14:paraId="3124E184"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189,335,000</w:t>
            </w:r>
          </w:p>
        </w:tc>
        <w:tc>
          <w:tcPr>
            <w:tcW w:w="1551" w:type="dxa"/>
          </w:tcPr>
          <w:p w14:paraId="6EEC5F8A"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189,185,000</w:t>
            </w:r>
          </w:p>
        </w:tc>
      </w:tr>
      <w:tr w:rsidR="005C6948" w:rsidRPr="0036198E" w14:paraId="5F0EB1D6"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2340" w:type="dxa"/>
          </w:tcPr>
          <w:p w14:paraId="6E9BFC2A" w14:textId="77777777" w:rsidR="005C6948" w:rsidRPr="0036198E" w:rsidRDefault="005C6948" w:rsidP="00652878">
            <w:pPr>
              <w:spacing w:line="360" w:lineRule="auto"/>
              <w:jc w:val="both"/>
              <w:rPr>
                <w:rFonts w:eastAsia="Arial"/>
              </w:rPr>
            </w:pPr>
            <w:r w:rsidRPr="0036198E">
              <w:rPr>
                <w:rFonts w:eastAsia="Arial"/>
              </w:rPr>
              <w:t xml:space="preserve">Total Expenditure </w:t>
            </w:r>
            <w:r w:rsidRPr="0036198E">
              <w:rPr>
                <w:rFonts w:eastAsia="Arial"/>
                <w:b w:val="0"/>
                <w:bCs w:val="0"/>
                <w:color w:val="000000"/>
              </w:rPr>
              <w:t>(£)</w:t>
            </w:r>
          </w:p>
        </w:tc>
        <w:tc>
          <w:tcPr>
            <w:tcW w:w="1551" w:type="dxa"/>
          </w:tcPr>
          <w:p w14:paraId="7125CFAA"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173,527,000</w:t>
            </w:r>
          </w:p>
        </w:tc>
        <w:tc>
          <w:tcPr>
            <w:tcW w:w="1551" w:type="dxa"/>
          </w:tcPr>
          <w:p w14:paraId="529CA910"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175,570,000</w:t>
            </w:r>
          </w:p>
        </w:tc>
      </w:tr>
      <w:tr w:rsidR="005C6948" w:rsidRPr="0036198E" w14:paraId="3E7BFCFB"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0" w:type="dxa"/>
          </w:tcPr>
          <w:p w14:paraId="51C95594" w14:textId="77777777" w:rsidR="005C6948" w:rsidRPr="0036198E" w:rsidRDefault="005C6948" w:rsidP="00652878">
            <w:pPr>
              <w:spacing w:line="360" w:lineRule="auto"/>
              <w:jc w:val="both"/>
              <w:rPr>
                <w:rFonts w:eastAsia="Arial"/>
              </w:rPr>
            </w:pPr>
            <w:r w:rsidRPr="0036198E">
              <w:rPr>
                <w:rFonts w:eastAsia="Arial"/>
              </w:rPr>
              <w:t>Net Profit Margin</w:t>
            </w:r>
          </w:p>
        </w:tc>
        <w:tc>
          <w:tcPr>
            <w:tcW w:w="1551" w:type="dxa"/>
          </w:tcPr>
          <w:p w14:paraId="33E4EBC1"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8.35%</w:t>
            </w:r>
          </w:p>
        </w:tc>
        <w:tc>
          <w:tcPr>
            <w:tcW w:w="1551" w:type="dxa"/>
          </w:tcPr>
          <w:p w14:paraId="70350E8C"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7.20%</w:t>
            </w:r>
          </w:p>
        </w:tc>
      </w:tr>
      <w:tr w:rsidR="005C6948" w:rsidRPr="0036198E" w14:paraId="4B668612"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2340" w:type="dxa"/>
          </w:tcPr>
          <w:p w14:paraId="35A50738" w14:textId="77777777" w:rsidR="005C6948" w:rsidRPr="0036198E" w:rsidRDefault="005C6948" w:rsidP="00652878">
            <w:pPr>
              <w:spacing w:line="360" w:lineRule="auto"/>
              <w:jc w:val="both"/>
              <w:rPr>
                <w:rFonts w:eastAsia="Arial"/>
              </w:rPr>
            </w:pPr>
            <w:r w:rsidRPr="0036198E">
              <w:rPr>
                <w:rFonts w:eastAsia="Arial"/>
              </w:rPr>
              <w:t>ROCE</w:t>
            </w:r>
          </w:p>
        </w:tc>
        <w:tc>
          <w:tcPr>
            <w:tcW w:w="1551" w:type="dxa"/>
          </w:tcPr>
          <w:p w14:paraId="1712C79D"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17.40%</w:t>
            </w:r>
          </w:p>
        </w:tc>
        <w:tc>
          <w:tcPr>
            <w:tcW w:w="1551" w:type="dxa"/>
          </w:tcPr>
          <w:p w14:paraId="46808476"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14.51%</w:t>
            </w:r>
          </w:p>
        </w:tc>
      </w:tr>
    </w:tbl>
    <w:p w14:paraId="70FF7D26" w14:textId="77777777" w:rsidR="00972191" w:rsidRPr="0036198E" w:rsidRDefault="00972191" w:rsidP="005C6948">
      <w:pPr>
        <w:spacing w:line="360" w:lineRule="auto"/>
        <w:jc w:val="both"/>
        <w:rPr>
          <w:rFonts w:eastAsia="Arial"/>
          <w:b/>
          <w:bCs/>
          <w:szCs w:val="24"/>
        </w:rPr>
      </w:pPr>
    </w:p>
    <w:p w14:paraId="37324D43" w14:textId="6AE7F385" w:rsidR="005C6948" w:rsidRPr="0036198E" w:rsidRDefault="00972191" w:rsidP="000B504F">
      <w:pPr>
        <w:spacing w:line="278" w:lineRule="auto"/>
        <w:rPr>
          <w:rFonts w:eastAsia="Arial"/>
          <w:b/>
          <w:bCs/>
          <w:szCs w:val="24"/>
        </w:rPr>
      </w:pPr>
      <w:r w:rsidRPr="0036198E">
        <w:rPr>
          <w:rFonts w:eastAsia="Arial"/>
          <w:b/>
          <w:bCs/>
          <w:szCs w:val="24"/>
        </w:rPr>
        <w:br w:type="page"/>
      </w:r>
      <w:r w:rsidR="005C6948" w:rsidRPr="0036198E">
        <w:rPr>
          <w:rFonts w:eastAsia="Arial"/>
          <w:b/>
          <w:bCs/>
          <w:szCs w:val="24"/>
        </w:rPr>
        <w:lastRenderedPageBreak/>
        <w:t xml:space="preserve">Appendix D: Return on Capital Employed (ROCE) </w:t>
      </w:r>
    </w:p>
    <w:tbl>
      <w:tblPr>
        <w:tblStyle w:val="GridTable4-Accent4"/>
        <w:tblW w:w="5442" w:type="dxa"/>
        <w:tblLayout w:type="fixed"/>
        <w:tblLook w:val="04A0" w:firstRow="1" w:lastRow="0" w:firstColumn="1" w:lastColumn="0" w:noHBand="0" w:noVBand="1"/>
      </w:tblPr>
      <w:tblGrid>
        <w:gridCol w:w="2340"/>
        <w:gridCol w:w="1551"/>
        <w:gridCol w:w="1551"/>
      </w:tblGrid>
      <w:tr w:rsidR="005C6948" w:rsidRPr="0036198E" w14:paraId="00C6FFE1" w14:textId="77777777" w:rsidTr="00713B62">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0" w:type="dxa"/>
          </w:tcPr>
          <w:p w14:paraId="1FCACC53" w14:textId="77777777" w:rsidR="005C6948" w:rsidRPr="0036198E" w:rsidRDefault="005C6948" w:rsidP="00652878">
            <w:pPr>
              <w:spacing w:line="360" w:lineRule="auto"/>
              <w:jc w:val="both"/>
              <w:rPr>
                <w:rFonts w:eastAsia="Arial"/>
              </w:rPr>
            </w:pPr>
            <w:r w:rsidRPr="0036198E">
              <w:rPr>
                <w:rFonts w:eastAsia="Arial"/>
              </w:rPr>
              <w:t>Ratio</w:t>
            </w:r>
          </w:p>
        </w:tc>
        <w:tc>
          <w:tcPr>
            <w:tcW w:w="1551" w:type="dxa"/>
          </w:tcPr>
          <w:p w14:paraId="420D3C7B"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b w:val="0"/>
                <w:bCs w:val="0"/>
              </w:rPr>
              <w:t>2025</w:t>
            </w:r>
          </w:p>
        </w:tc>
        <w:tc>
          <w:tcPr>
            <w:tcW w:w="1551" w:type="dxa"/>
          </w:tcPr>
          <w:p w14:paraId="10D61A98"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b w:val="0"/>
                <w:bCs w:val="0"/>
              </w:rPr>
              <w:t>2024</w:t>
            </w:r>
          </w:p>
        </w:tc>
      </w:tr>
      <w:tr w:rsidR="005C6948" w:rsidRPr="0036198E" w14:paraId="0DCC1470"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0" w:type="dxa"/>
          </w:tcPr>
          <w:p w14:paraId="6D53193A" w14:textId="77777777" w:rsidR="005C6948" w:rsidRPr="0036198E" w:rsidRDefault="005C6948" w:rsidP="00652878">
            <w:pPr>
              <w:spacing w:line="360" w:lineRule="auto"/>
              <w:jc w:val="both"/>
              <w:rPr>
                <w:rFonts w:eastAsia="Arial"/>
              </w:rPr>
            </w:pPr>
            <w:r w:rsidRPr="0036198E">
              <w:rPr>
                <w:rFonts w:eastAsia="Arial"/>
              </w:rPr>
              <w:t xml:space="preserve">EBIT </w:t>
            </w:r>
            <w:r w:rsidRPr="0036198E">
              <w:rPr>
                <w:rFonts w:eastAsia="Arial"/>
                <w:b w:val="0"/>
                <w:bCs w:val="0"/>
                <w:color w:val="000000"/>
              </w:rPr>
              <w:t>(£)</w:t>
            </w:r>
          </w:p>
        </w:tc>
        <w:tc>
          <w:tcPr>
            <w:tcW w:w="1551" w:type="dxa"/>
          </w:tcPr>
          <w:p w14:paraId="27FBB2A5"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12,874,000</w:t>
            </w:r>
          </w:p>
        </w:tc>
        <w:tc>
          <w:tcPr>
            <w:tcW w:w="1551" w:type="dxa"/>
          </w:tcPr>
          <w:p w14:paraId="7E012A98"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11,361,000</w:t>
            </w:r>
          </w:p>
        </w:tc>
      </w:tr>
      <w:tr w:rsidR="005C6948" w:rsidRPr="0036198E" w14:paraId="5426BF84"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2340" w:type="dxa"/>
          </w:tcPr>
          <w:p w14:paraId="6938D30B" w14:textId="77777777" w:rsidR="005C6948" w:rsidRPr="0036198E" w:rsidRDefault="005C6948" w:rsidP="00652878">
            <w:pPr>
              <w:spacing w:line="360" w:lineRule="auto"/>
              <w:jc w:val="both"/>
              <w:rPr>
                <w:rFonts w:eastAsia="Arial"/>
              </w:rPr>
            </w:pPr>
            <w:r w:rsidRPr="0036198E">
              <w:rPr>
                <w:rFonts w:eastAsia="Arial"/>
              </w:rPr>
              <w:t xml:space="preserve">Total Assets </w:t>
            </w:r>
            <w:r w:rsidRPr="0036198E">
              <w:rPr>
                <w:rFonts w:eastAsia="Arial"/>
                <w:b w:val="0"/>
                <w:bCs w:val="0"/>
                <w:color w:val="000000"/>
              </w:rPr>
              <w:t>(£)</w:t>
            </w:r>
          </w:p>
        </w:tc>
        <w:tc>
          <w:tcPr>
            <w:tcW w:w="1551" w:type="dxa"/>
          </w:tcPr>
          <w:p w14:paraId="44053C57"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278,526,000</w:t>
            </w:r>
          </w:p>
        </w:tc>
        <w:tc>
          <w:tcPr>
            <w:tcW w:w="1551" w:type="dxa"/>
          </w:tcPr>
          <w:p w14:paraId="17E8AC4D"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282,228,000</w:t>
            </w:r>
          </w:p>
        </w:tc>
      </w:tr>
      <w:tr w:rsidR="005C6948" w:rsidRPr="0036198E" w14:paraId="3158DF4A"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40" w:type="dxa"/>
          </w:tcPr>
          <w:p w14:paraId="6D8E17F9" w14:textId="77777777" w:rsidR="005C6948" w:rsidRPr="0036198E" w:rsidRDefault="005C6948" w:rsidP="00652878">
            <w:pPr>
              <w:spacing w:line="360" w:lineRule="auto"/>
              <w:jc w:val="both"/>
              <w:rPr>
                <w:rFonts w:eastAsia="Arial"/>
              </w:rPr>
            </w:pPr>
            <w:r w:rsidRPr="0036198E">
              <w:rPr>
                <w:rFonts w:eastAsia="Arial"/>
              </w:rPr>
              <w:t xml:space="preserve">Total Liabilities </w:t>
            </w:r>
            <w:r w:rsidRPr="0036198E">
              <w:rPr>
                <w:rFonts w:eastAsia="Arial"/>
                <w:b w:val="0"/>
                <w:bCs w:val="0"/>
                <w:color w:val="000000"/>
              </w:rPr>
              <w:t>(£)</w:t>
            </w:r>
          </w:p>
        </w:tc>
        <w:tc>
          <w:tcPr>
            <w:tcW w:w="1551" w:type="dxa"/>
          </w:tcPr>
          <w:p w14:paraId="7F3A904F"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204,526,000</w:t>
            </w:r>
          </w:p>
        </w:tc>
        <w:tc>
          <w:tcPr>
            <w:tcW w:w="1551" w:type="dxa"/>
          </w:tcPr>
          <w:p w14:paraId="04BF136D"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203,910,000</w:t>
            </w:r>
          </w:p>
        </w:tc>
      </w:tr>
      <w:tr w:rsidR="005C6948" w:rsidRPr="0036198E" w14:paraId="39AB808E"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2340" w:type="dxa"/>
          </w:tcPr>
          <w:p w14:paraId="397AF78B" w14:textId="77777777" w:rsidR="005C6948" w:rsidRPr="0036198E" w:rsidRDefault="005C6948" w:rsidP="00652878">
            <w:pPr>
              <w:spacing w:line="360" w:lineRule="auto"/>
              <w:jc w:val="both"/>
              <w:rPr>
                <w:rFonts w:eastAsia="Arial"/>
              </w:rPr>
            </w:pPr>
            <w:r w:rsidRPr="0036198E">
              <w:rPr>
                <w:rFonts w:eastAsia="Arial"/>
              </w:rPr>
              <w:t>ROCE</w:t>
            </w:r>
          </w:p>
        </w:tc>
        <w:tc>
          <w:tcPr>
            <w:tcW w:w="1551" w:type="dxa"/>
          </w:tcPr>
          <w:p w14:paraId="3D776B49"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17.40%</w:t>
            </w:r>
          </w:p>
        </w:tc>
        <w:tc>
          <w:tcPr>
            <w:tcW w:w="1551" w:type="dxa"/>
          </w:tcPr>
          <w:p w14:paraId="295B968E"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14.51%</w:t>
            </w:r>
          </w:p>
        </w:tc>
      </w:tr>
    </w:tbl>
    <w:p w14:paraId="6E598D86" w14:textId="77777777" w:rsidR="00972191" w:rsidRPr="0036198E" w:rsidRDefault="00972191" w:rsidP="005C6948">
      <w:pPr>
        <w:spacing w:line="360" w:lineRule="auto"/>
        <w:jc w:val="both"/>
        <w:rPr>
          <w:rFonts w:eastAsia="Arial"/>
          <w:b/>
          <w:bCs/>
          <w:szCs w:val="24"/>
        </w:rPr>
      </w:pPr>
    </w:p>
    <w:p w14:paraId="036F9F8E" w14:textId="33B97F68" w:rsidR="005C6948" w:rsidRPr="0036198E" w:rsidRDefault="005C6948" w:rsidP="005C6948">
      <w:pPr>
        <w:spacing w:line="360" w:lineRule="auto"/>
        <w:jc w:val="both"/>
        <w:rPr>
          <w:rFonts w:eastAsia="Arial"/>
          <w:b/>
          <w:bCs/>
          <w:szCs w:val="24"/>
        </w:rPr>
      </w:pPr>
      <w:r w:rsidRPr="0036198E">
        <w:rPr>
          <w:rFonts w:eastAsia="Arial"/>
          <w:b/>
          <w:bCs/>
          <w:szCs w:val="24"/>
        </w:rPr>
        <w:t>Appendix E: Current Ratio</w:t>
      </w:r>
    </w:p>
    <w:tbl>
      <w:tblPr>
        <w:tblStyle w:val="GridTable4-Accent4"/>
        <w:tblW w:w="5052" w:type="dxa"/>
        <w:tblLayout w:type="fixed"/>
        <w:tblLook w:val="04A0" w:firstRow="1" w:lastRow="0" w:firstColumn="1" w:lastColumn="0" w:noHBand="0" w:noVBand="1"/>
      </w:tblPr>
      <w:tblGrid>
        <w:gridCol w:w="1840"/>
        <w:gridCol w:w="1618"/>
        <w:gridCol w:w="1594"/>
      </w:tblGrid>
      <w:tr w:rsidR="005C6948" w:rsidRPr="0036198E" w14:paraId="4ED4EB76" w14:textId="77777777" w:rsidTr="00713B62">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840" w:type="dxa"/>
          </w:tcPr>
          <w:p w14:paraId="6C48C780" w14:textId="77777777" w:rsidR="005C6948" w:rsidRPr="0036198E" w:rsidRDefault="005C6948" w:rsidP="00652878">
            <w:pPr>
              <w:spacing w:line="360" w:lineRule="auto"/>
              <w:jc w:val="both"/>
              <w:rPr>
                <w:rFonts w:eastAsia="Arial"/>
              </w:rPr>
            </w:pPr>
          </w:p>
        </w:tc>
        <w:tc>
          <w:tcPr>
            <w:tcW w:w="1618" w:type="dxa"/>
          </w:tcPr>
          <w:p w14:paraId="3F1A6D31"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594" w:type="dxa"/>
          </w:tcPr>
          <w:p w14:paraId="73DBB5A8"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r>
      <w:tr w:rsidR="005C6948" w:rsidRPr="0036198E" w14:paraId="3EDE716F" w14:textId="77777777" w:rsidTr="00713B62">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840" w:type="dxa"/>
          </w:tcPr>
          <w:p w14:paraId="5959EA67" w14:textId="77777777" w:rsidR="005C6948" w:rsidRPr="0036198E" w:rsidRDefault="005C6948" w:rsidP="00652878">
            <w:pPr>
              <w:spacing w:line="360" w:lineRule="auto"/>
              <w:jc w:val="both"/>
              <w:rPr>
                <w:rFonts w:eastAsia="Arial"/>
              </w:rPr>
            </w:pPr>
            <w:r w:rsidRPr="0036198E">
              <w:rPr>
                <w:rFonts w:eastAsia="Arial"/>
              </w:rPr>
              <w:t xml:space="preserve">Current Assets </w:t>
            </w:r>
            <w:r w:rsidRPr="0036198E">
              <w:rPr>
                <w:rFonts w:eastAsia="Arial"/>
                <w:b w:val="0"/>
                <w:bCs w:val="0"/>
                <w:color w:val="000000"/>
              </w:rPr>
              <w:t>(£)</w:t>
            </w:r>
          </w:p>
        </w:tc>
        <w:tc>
          <w:tcPr>
            <w:tcW w:w="1618" w:type="dxa"/>
          </w:tcPr>
          <w:p w14:paraId="698257C5"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101,786,000</w:t>
            </w:r>
          </w:p>
        </w:tc>
        <w:tc>
          <w:tcPr>
            <w:tcW w:w="1594" w:type="dxa"/>
          </w:tcPr>
          <w:p w14:paraId="486DFF0D"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102,834,000</w:t>
            </w:r>
          </w:p>
        </w:tc>
      </w:tr>
      <w:tr w:rsidR="005C6948" w:rsidRPr="0036198E" w14:paraId="528B1B3A"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1840" w:type="dxa"/>
          </w:tcPr>
          <w:p w14:paraId="76B295C0" w14:textId="77777777" w:rsidR="005C6948" w:rsidRPr="0036198E" w:rsidRDefault="005C6948" w:rsidP="00652878">
            <w:pPr>
              <w:spacing w:line="360" w:lineRule="auto"/>
              <w:jc w:val="both"/>
              <w:rPr>
                <w:rFonts w:eastAsia="Arial"/>
              </w:rPr>
            </w:pPr>
            <w:r w:rsidRPr="0036198E">
              <w:rPr>
                <w:rFonts w:eastAsia="Arial"/>
              </w:rPr>
              <w:t xml:space="preserve">Current Liabilities </w:t>
            </w:r>
            <w:r w:rsidRPr="0036198E">
              <w:rPr>
                <w:rFonts w:eastAsia="Arial"/>
                <w:b w:val="0"/>
                <w:bCs w:val="0"/>
                <w:color w:val="000000"/>
              </w:rPr>
              <w:t>(£)</w:t>
            </w:r>
          </w:p>
        </w:tc>
        <w:tc>
          <w:tcPr>
            <w:tcW w:w="1618" w:type="dxa"/>
          </w:tcPr>
          <w:p w14:paraId="3C27CC34"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80,581,000</w:t>
            </w:r>
          </w:p>
        </w:tc>
        <w:tc>
          <w:tcPr>
            <w:tcW w:w="1594" w:type="dxa"/>
          </w:tcPr>
          <w:p w14:paraId="5DD1BEA1"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82,241,000</w:t>
            </w:r>
          </w:p>
        </w:tc>
      </w:tr>
      <w:tr w:rsidR="005C6948" w:rsidRPr="0036198E" w14:paraId="50FF64BF"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840" w:type="dxa"/>
          </w:tcPr>
          <w:p w14:paraId="3DA059C3" w14:textId="77777777" w:rsidR="005C6948" w:rsidRPr="0036198E" w:rsidRDefault="005C6948" w:rsidP="00652878">
            <w:pPr>
              <w:spacing w:line="360" w:lineRule="auto"/>
              <w:jc w:val="both"/>
              <w:rPr>
                <w:rFonts w:eastAsia="Arial"/>
              </w:rPr>
            </w:pPr>
            <w:r w:rsidRPr="0036198E">
              <w:rPr>
                <w:rFonts w:eastAsia="Arial"/>
              </w:rPr>
              <w:t>Current Ratio</w:t>
            </w:r>
          </w:p>
        </w:tc>
        <w:tc>
          <w:tcPr>
            <w:tcW w:w="1618" w:type="dxa"/>
          </w:tcPr>
          <w:p w14:paraId="4BA05193"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1.263151363</w:t>
            </w:r>
          </w:p>
        </w:tc>
        <w:tc>
          <w:tcPr>
            <w:tcW w:w="1594" w:type="dxa"/>
          </w:tcPr>
          <w:p w14:paraId="60665608"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1.25039822</w:t>
            </w:r>
          </w:p>
        </w:tc>
      </w:tr>
    </w:tbl>
    <w:p w14:paraId="5054EE4C" w14:textId="77777777" w:rsidR="00972191" w:rsidRPr="0036198E" w:rsidRDefault="00972191" w:rsidP="005C6948">
      <w:pPr>
        <w:spacing w:line="360" w:lineRule="auto"/>
        <w:rPr>
          <w:rFonts w:eastAsia="Arial"/>
          <w:b/>
          <w:bCs/>
          <w:szCs w:val="24"/>
        </w:rPr>
      </w:pPr>
    </w:p>
    <w:p w14:paraId="70C8C62E" w14:textId="7C973839" w:rsidR="005C6948" w:rsidRPr="0036198E" w:rsidRDefault="005C6948" w:rsidP="005C6948">
      <w:pPr>
        <w:spacing w:line="360" w:lineRule="auto"/>
        <w:rPr>
          <w:rFonts w:eastAsia="Arial"/>
          <w:b/>
          <w:bCs/>
          <w:szCs w:val="24"/>
        </w:rPr>
      </w:pPr>
      <w:r w:rsidRPr="0036198E">
        <w:rPr>
          <w:rFonts w:eastAsia="Arial"/>
          <w:b/>
          <w:bCs/>
          <w:szCs w:val="24"/>
        </w:rPr>
        <w:t>Appendix F: Quick Ratio</w:t>
      </w:r>
    </w:p>
    <w:tbl>
      <w:tblPr>
        <w:tblStyle w:val="GridTable4-Accent4"/>
        <w:tblW w:w="5058" w:type="dxa"/>
        <w:tblLayout w:type="fixed"/>
        <w:tblLook w:val="04A0" w:firstRow="1" w:lastRow="0" w:firstColumn="1" w:lastColumn="0" w:noHBand="0" w:noVBand="1"/>
      </w:tblPr>
      <w:tblGrid>
        <w:gridCol w:w="1840"/>
        <w:gridCol w:w="1618"/>
        <w:gridCol w:w="1600"/>
      </w:tblGrid>
      <w:tr w:rsidR="005C6948" w:rsidRPr="0036198E" w14:paraId="44071C5D" w14:textId="77777777" w:rsidTr="00713B62">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840" w:type="dxa"/>
          </w:tcPr>
          <w:p w14:paraId="6167C7E6" w14:textId="77777777" w:rsidR="005C6948" w:rsidRPr="0036198E" w:rsidRDefault="005C6948" w:rsidP="00652878">
            <w:pPr>
              <w:spacing w:line="360" w:lineRule="auto"/>
              <w:jc w:val="both"/>
              <w:rPr>
                <w:rFonts w:eastAsia="Arial"/>
              </w:rPr>
            </w:pPr>
          </w:p>
        </w:tc>
        <w:tc>
          <w:tcPr>
            <w:tcW w:w="1618" w:type="dxa"/>
          </w:tcPr>
          <w:p w14:paraId="656C9FB0"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600" w:type="dxa"/>
          </w:tcPr>
          <w:p w14:paraId="13371AAD"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r>
      <w:tr w:rsidR="005C6948" w:rsidRPr="0036198E" w14:paraId="368A650E" w14:textId="77777777" w:rsidTr="00713B62">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840" w:type="dxa"/>
          </w:tcPr>
          <w:p w14:paraId="5FD7FA7E" w14:textId="77777777" w:rsidR="005C6948" w:rsidRPr="0036198E" w:rsidRDefault="005C6948" w:rsidP="00652878">
            <w:pPr>
              <w:spacing w:line="360" w:lineRule="auto"/>
              <w:jc w:val="both"/>
              <w:rPr>
                <w:rFonts w:eastAsia="Arial"/>
              </w:rPr>
            </w:pPr>
            <w:r w:rsidRPr="0036198E">
              <w:rPr>
                <w:rFonts w:eastAsia="Arial"/>
              </w:rPr>
              <w:t xml:space="preserve">Current Assets </w:t>
            </w:r>
            <w:r w:rsidRPr="0036198E">
              <w:rPr>
                <w:rFonts w:eastAsia="Arial"/>
                <w:b w:val="0"/>
                <w:bCs w:val="0"/>
                <w:color w:val="000000"/>
              </w:rPr>
              <w:t>(£)</w:t>
            </w:r>
          </w:p>
        </w:tc>
        <w:tc>
          <w:tcPr>
            <w:tcW w:w="1618" w:type="dxa"/>
          </w:tcPr>
          <w:p w14:paraId="7BB1A463"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101,786,000</w:t>
            </w:r>
          </w:p>
        </w:tc>
        <w:tc>
          <w:tcPr>
            <w:tcW w:w="1600" w:type="dxa"/>
          </w:tcPr>
          <w:p w14:paraId="68FC6A64"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102,834,000</w:t>
            </w:r>
          </w:p>
        </w:tc>
      </w:tr>
      <w:tr w:rsidR="005C6948" w:rsidRPr="0036198E" w14:paraId="67B32A24"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1840" w:type="dxa"/>
          </w:tcPr>
          <w:p w14:paraId="7653A50C" w14:textId="77777777" w:rsidR="005C6948" w:rsidRPr="0036198E" w:rsidRDefault="005C6948" w:rsidP="00652878">
            <w:pPr>
              <w:spacing w:line="360" w:lineRule="auto"/>
              <w:jc w:val="both"/>
              <w:rPr>
                <w:rFonts w:eastAsia="Arial"/>
              </w:rPr>
            </w:pPr>
            <w:r w:rsidRPr="0036198E">
              <w:rPr>
                <w:rFonts w:eastAsia="Arial"/>
              </w:rPr>
              <w:t xml:space="preserve">Current Liabilities </w:t>
            </w:r>
            <w:r w:rsidRPr="0036198E">
              <w:rPr>
                <w:rFonts w:eastAsia="Arial"/>
                <w:b w:val="0"/>
                <w:bCs w:val="0"/>
                <w:color w:val="000000"/>
              </w:rPr>
              <w:t>(£)</w:t>
            </w:r>
          </w:p>
        </w:tc>
        <w:tc>
          <w:tcPr>
            <w:tcW w:w="1618" w:type="dxa"/>
          </w:tcPr>
          <w:p w14:paraId="01EFAAD5"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80,581,000</w:t>
            </w:r>
          </w:p>
        </w:tc>
        <w:tc>
          <w:tcPr>
            <w:tcW w:w="1600" w:type="dxa"/>
          </w:tcPr>
          <w:p w14:paraId="62796F64"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82,241,000</w:t>
            </w:r>
          </w:p>
        </w:tc>
      </w:tr>
      <w:tr w:rsidR="005C6948" w:rsidRPr="0036198E" w14:paraId="6CB855D9"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840" w:type="dxa"/>
          </w:tcPr>
          <w:p w14:paraId="5F649D9D" w14:textId="77777777" w:rsidR="005C6948" w:rsidRPr="0036198E" w:rsidRDefault="005C6948" w:rsidP="00652878">
            <w:pPr>
              <w:spacing w:line="360" w:lineRule="auto"/>
              <w:jc w:val="both"/>
              <w:rPr>
                <w:rFonts w:eastAsia="Arial"/>
              </w:rPr>
            </w:pPr>
            <w:r w:rsidRPr="0036198E">
              <w:rPr>
                <w:rFonts w:eastAsia="Arial"/>
              </w:rPr>
              <w:t xml:space="preserve">Inventories </w:t>
            </w:r>
            <w:r w:rsidRPr="0036198E">
              <w:rPr>
                <w:rFonts w:eastAsia="Arial"/>
                <w:b w:val="0"/>
                <w:bCs w:val="0"/>
                <w:color w:val="000000"/>
              </w:rPr>
              <w:t>(£)</w:t>
            </w:r>
          </w:p>
        </w:tc>
        <w:tc>
          <w:tcPr>
            <w:tcW w:w="1618" w:type="dxa"/>
          </w:tcPr>
          <w:p w14:paraId="31FF7783"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22,499,000</w:t>
            </w:r>
          </w:p>
        </w:tc>
        <w:tc>
          <w:tcPr>
            <w:tcW w:w="1600" w:type="dxa"/>
          </w:tcPr>
          <w:p w14:paraId="3098B083"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23,232,000</w:t>
            </w:r>
          </w:p>
        </w:tc>
      </w:tr>
      <w:tr w:rsidR="005C6948" w:rsidRPr="0036198E" w14:paraId="727AAEE2"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1840" w:type="dxa"/>
          </w:tcPr>
          <w:p w14:paraId="76C251E0" w14:textId="77777777" w:rsidR="005C6948" w:rsidRPr="0036198E" w:rsidRDefault="005C6948" w:rsidP="00652878">
            <w:pPr>
              <w:spacing w:line="360" w:lineRule="auto"/>
              <w:jc w:val="both"/>
              <w:rPr>
                <w:rFonts w:eastAsia="Arial"/>
              </w:rPr>
            </w:pPr>
            <w:r w:rsidRPr="0036198E">
              <w:rPr>
                <w:rFonts w:eastAsia="Arial"/>
              </w:rPr>
              <w:t>Quick Ratio</w:t>
            </w:r>
          </w:p>
        </w:tc>
        <w:tc>
          <w:tcPr>
            <w:tcW w:w="1618" w:type="dxa"/>
          </w:tcPr>
          <w:p w14:paraId="17CBFBE2"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0.983941624</w:t>
            </w:r>
          </w:p>
        </w:tc>
        <w:tc>
          <w:tcPr>
            <w:tcW w:w="1600" w:type="dxa"/>
          </w:tcPr>
          <w:p w14:paraId="078ACA2C"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0.967911382</w:t>
            </w:r>
          </w:p>
        </w:tc>
      </w:tr>
    </w:tbl>
    <w:p w14:paraId="66A97A11" w14:textId="77777777" w:rsidR="00972191" w:rsidRPr="0036198E" w:rsidRDefault="00972191" w:rsidP="005C6948">
      <w:pPr>
        <w:spacing w:line="360" w:lineRule="auto"/>
        <w:jc w:val="both"/>
        <w:rPr>
          <w:rFonts w:eastAsia="Arial"/>
          <w:b/>
          <w:bCs/>
          <w:szCs w:val="24"/>
        </w:rPr>
      </w:pPr>
    </w:p>
    <w:p w14:paraId="4804C472" w14:textId="77777777" w:rsidR="008A4E90" w:rsidRDefault="008A4E90">
      <w:pPr>
        <w:spacing w:line="278" w:lineRule="auto"/>
        <w:rPr>
          <w:rFonts w:eastAsia="Arial"/>
          <w:b/>
          <w:bCs/>
          <w:szCs w:val="24"/>
        </w:rPr>
      </w:pPr>
      <w:r>
        <w:rPr>
          <w:rFonts w:eastAsia="Arial"/>
          <w:b/>
          <w:bCs/>
          <w:szCs w:val="24"/>
        </w:rPr>
        <w:br w:type="page"/>
      </w:r>
    </w:p>
    <w:p w14:paraId="6793F714" w14:textId="20AA8032" w:rsidR="005C6948" w:rsidRPr="0036198E" w:rsidRDefault="005C6948" w:rsidP="005C6948">
      <w:pPr>
        <w:spacing w:line="360" w:lineRule="auto"/>
        <w:jc w:val="both"/>
        <w:rPr>
          <w:rFonts w:eastAsia="Arial"/>
          <w:b/>
          <w:bCs/>
          <w:szCs w:val="24"/>
        </w:rPr>
      </w:pPr>
      <w:r w:rsidRPr="0036198E">
        <w:rPr>
          <w:rFonts w:eastAsia="Arial"/>
          <w:b/>
          <w:bCs/>
          <w:szCs w:val="24"/>
        </w:rPr>
        <w:lastRenderedPageBreak/>
        <w:t xml:space="preserve">Appendix G: Asset Turnover </w:t>
      </w:r>
    </w:p>
    <w:tbl>
      <w:tblPr>
        <w:tblStyle w:val="GridTable4-Accent4"/>
        <w:tblW w:w="7993" w:type="dxa"/>
        <w:tblLayout w:type="fixed"/>
        <w:tblLook w:val="04A0" w:firstRow="1" w:lastRow="0" w:firstColumn="1" w:lastColumn="0" w:noHBand="0" w:noVBand="1"/>
      </w:tblPr>
      <w:tblGrid>
        <w:gridCol w:w="3460"/>
        <w:gridCol w:w="1551"/>
        <w:gridCol w:w="1551"/>
        <w:gridCol w:w="1431"/>
      </w:tblGrid>
      <w:tr w:rsidR="005C6948" w:rsidRPr="0036198E" w14:paraId="5636F312" w14:textId="77777777" w:rsidTr="00713B62">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460" w:type="dxa"/>
          </w:tcPr>
          <w:p w14:paraId="327AB885" w14:textId="77777777" w:rsidR="005C6948" w:rsidRPr="0036198E" w:rsidRDefault="005C6948" w:rsidP="00652878">
            <w:pPr>
              <w:spacing w:line="360" w:lineRule="auto"/>
              <w:jc w:val="both"/>
              <w:rPr>
                <w:rFonts w:eastAsia="Arial"/>
              </w:rPr>
            </w:pPr>
            <w:r w:rsidRPr="0036198E">
              <w:rPr>
                <w:rFonts w:eastAsia="Arial"/>
              </w:rPr>
              <w:t>Column1</w:t>
            </w:r>
          </w:p>
        </w:tc>
        <w:tc>
          <w:tcPr>
            <w:tcW w:w="1551" w:type="dxa"/>
          </w:tcPr>
          <w:p w14:paraId="2905A2A1"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551" w:type="dxa"/>
          </w:tcPr>
          <w:p w14:paraId="583CCBEF"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c>
          <w:tcPr>
            <w:tcW w:w="1431" w:type="dxa"/>
          </w:tcPr>
          <w:p w14:paraId="2F687AAC"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2023</w:t>
            </w:r>
          </w:p>
        </w:tc>
      </w:tr>
      <w:tr w:rsidR="005C6948" w:rsidRPr="0036198E" w14:paraId="2397DCE9"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460" w:type="dxa"/>
          </w:tcPr>
          <w:p w14:paraId="1517EA89" w14:textId="77777777" w:rsidR="005C6948" w:rsidRPr="0036198E" w:rsidRDefault="005C6948" w:rsidP="00652878">
            <w:pPr>
              <w:spacing w:line="360" w:lineRule="auto"/>
              <w:jc w:val="both"/>
              <w:rPr>
                <w:rFonts w:eastAsia="Arial"/>
              </w:rPr>
            </w:pPr>
            <w:r w:rsidRPr="0036198E">
              <w:rPr>
                <w:rFonts w:eastAsia="Arial"/>
              </w:rPr>
              <w:t xml:space="preserve">Sales and other operating revenues </w:t>
            </w:r>
            <w:r w:rsidRPr="0036198E">
              <w:rPr>
                <w:rFonts w:eastAsia="Arial"/>
                <w:b w:val="0"/>
                <w:bCs w:val="0"/>
                <w:color w:val="000000"/>
              </w:rPr>
              <w:t>(£)</w:t>
            </w:r>
          </w:p>
        </w:tc>
        <w:tc>
          <w:tcPr>
            <w:tcW w:w="1551" w:type="dxa"/>
          </w:tcPr>
          <w:p w14:paraId="518D39F3"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12,243,000</w:t>
            </w:r>
          </w:p>
        </w:tc>
        <w:tc>
          <w:tcPr>
            <w:tcW w:w="1551" w:type="dxa"/>
          </w:tcPr>
          <w:p w14:paraId="31F4F140" w14:textId="77777777" w:rsidR="005C6948" w:rsidRPr="006600F3"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6600F3">
              <w:rPr>
                <w:rFonts w:eastAsia="Arial"/>
              </w:rPr>
              <w:t>14,869,000</w:t>
            </w:r>
          </w:p>
        </w:tc>
        <w:tc>
          <w:tcPr>
            <w:tcW w:w="1431" w:type="dxa"/>
          </w:tcPr>
          <w:p w14:paraId="1CD7F327"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16,287,000</w:t>
            </w:r>
          </w:p>
        </w:tc>
      </w:tr>
      <w:tr w:rsidR="005C6948" w:rsidRPr="0036198E" w14:paraId="1F7AF1F1"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3460" w:type="dxa"/>
          </w:tcPr>
          <w:p w14:paraId="1402A3E6" w14:textId="77777777" w:rsidR="005C6948" w:rsidRPr="0036198E" w:rsidRDefault="005C6948" w:rsidP="00652878">
            <w:pPr>
              <w:spacing w:line="360" w:lineRule="auto"/>
              <w:jc w:val="both"/>
              <w:rPr>
                <w:rFonts w:eastAsia="Arial"/>
              </w:rPr>
            </w:pPr>
            <w:r w:rsidRPr="0036198E">
              <w:rPr>
                <w:rFonts w:eastAsia="Arial"/>
              </w:rPr>
              <w:t xml:space="preserve">Average Total Assets </w:t>
            </w:r>
            <w:r w:rsidRPr="0036198E">
              <w:rPr>
                <w:rFonts w:eastAsia="Arial"/>
                <w:b w:val="0"/>
                <w:bCs w:val="0"/>
                <w:color w:val="000000"/>
              </w:rPr>
              <w:t>(£)</w:t>
            </w:r>
          </w:p>
        </w:tc>
        <w:tc>
          <w:tcPr>
            <w:tcW w:w="1551" w:type="dxa"/>
          </w:tcPr>
          <w:p w14:paraId="44566C72"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280,377,000</w:t>
            </w:r>
          </w:p>
        </w:tc>
        <w:tc>
          <w:tcPr>
            <w:tcW w:w="1551" w:type="dxa"/>
          </w:tcPr>
          <w:p w14:paraId="428B2C9A"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281,261,000</w:t>
            </w:r>
          </w:p>
        </w:tc>
        <w:tc>
          <w:tcPr>
            <w:tcW w:w="1431" w:type="dxa"/>
          </w:tcPr>
          <w:p w14:paraId="703AEBF4"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p>
        </w:tc>
      </w:tr>
      <w:tr w:rsidR="005C6948" w:rsidRPr="0036198E" w14:paraId="18EEC8BA"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460" w:type="dxa"/>
          </w:tcPr>
          <w:p w14:paraId="4AA07F98" w14:textId="77777777" w:rsidR="005C6948" w:rsidRPr="0036198E" w:rsidRDefault="005C6948" w:rsidP="00652878">
            <w:pPr>
              <w:spacing w:line="360" w:lineRule="auto"/>
              <w:jc w:val="both"/>
              <w:rPr>
                <w:rFonts w:eastAsia="Arial"/>
              </w:rPr>
            </w:pPr>
            <w:r w:rsidRPr="0036198E">
              <w:rPr>
                <w:rFonts w:eastAsia="Arial"/>
              </w:rPr>
              <w:t xml:space="preserve">Asset Turnover </w:t>
            </w:r>
          </w:p>
        </w:tc>
        <w:tc>
          <w:tcPr>
            <w:tcW w:w="1551" w:type="dxa"/>
          </w:tcPr>
          <w:p w14:paraId="0A4BCA48"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0.04</w:t>
            </w:r>
          </w:p>
        </w:tc>
        <w:tc>
          <w:tcPr>
            <w:tcW w:w="1551" w:type="dxa"/>
          </w:tcPr>
          <w:p w14:paraId="189BDA64"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0.05</w:t>
            </w:r>
          </w:p>
        </w:tc>
        <w:tc>
          <w:tcPr>
            <w:tcW w:w="1431" w:type="dxa"/>
          </w:tcPr>
          <w:p w14:paraId="2E15E494"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p>
        </w:tc>
      </w:tr>
    </w:tbl>
    <w:p w14:paraId="79597E35" w14:textId="77777777" w:rsidR="00972191" w:rsidRPr="0036198E" w:rsidRDefault="00972191" w:rsidP="005C6948">
      <w:pPr>
        <w:spacing w:line="360" w:lineRule="auto"/>
        <w:jc w:val="both"/>
        <w:rPr>
          <w:rFonts w:eastAsia="Arial"/>
          <w:b/>
          <w:bCs/>
          <w:szCs w:val="24"/>
        </w:rPr>
      </w:pPr>
    </w:p>
    <w:p w14:paraId="1B973B93" w14:textId="5187B388" w:rsidR="005C6948" w:rsidRPr="0036198E" w:rsidRDefault="005C6948" w:rsidP="00CB3C1C">
      <w:pPr>
        <w:spacing w:line="278" w:lineRule="auto"/>
        <w:rPr>
          <w:rFonts w:eastAsia="Arial"/>
          <w:b/>
          <w:bCs/>
          <w:szCs w:val="24"/>
        </w:rPr>
      </w:pPr>
      <w:r w:rsidRPr="0036198E">
        <w:rPr>
          <w:rFonts w:eastAsia="Arial"/>
          <w:b/>
          <w:bCs/>
          <w:szCs w:val="24"/>
        </w:rPr>
        <w:t xml:space="preserve">Appendix H: Inventory Turnover </w:t>
      </w:r>
    </w:p>
    <w:tbl>
      <w:tblPr>
        <w:tblStyle w:val="GridTable4-Accent4"/>
        <w:tblW w:w="8229" w:type="dxa"/>
        <w:tblLayout w:type="fixed"/>
        <w:tblLook w:val="04A0" w:firstRow="1" w:lastRow="0" w:firstColumn="1" w:lastColumn="0" w:noHBand="0" w:noVBand="1"/>
      </w:tblPr>
      <w:tblGrid>
        <w:gridCol w:w="3460"/>
        <w:gridCol w:w="1618"/>
        <w:gridCol w:w="1618"/>
        <w:gridCol w:w="1533"/>
      </w:tblGrid>
      <w:tr w:rsidR="005C6948" w:rsidRPr="0036198E" w14:paraId="20B12355" w14:textId="77777777" w:rsidTr="00713B62">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460" w:type="dxa"/>
          </w:tcPr>
          <w:p w14:paraId="13D52C21" w14:textId="77777777" w:rsidR="005C6948" w:rsidRPr="0036198E" w:rsidRDefault="005C6948" w:rsidP="00652878">
            <w:pPr>
              <w:spacing w:line="360" w:lineRule="auto"/>
              <w:jc w:val="both"/>
              <w:rPr>
                <w:rFonts w:eastAsia="Arial"/>
              </w:rPr>
            </w:pPr>
            <w:r w:rsidRPr="0036198E">
              <w:rPr>
                <w:rFonts w:eastAsia="Arial"/>
              </w:rPr>
              <w:t>Column1</w:t>
            </w:r>
          </w:p>
        </w:tc>
        <w:tc>
          <w:tcPr>
            <w:tcW w:w="1618" w:type="dxa"/>
          </w:tcPr>
          <w:p w14:paraId="740AAA87"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618" w:type="dxa"/>
          </w:tcPr>
          <w:p w14:paraId="583CF441"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c>
          <w:tcPr>
            <w:tcW w:w="1533" w:type="dxa"/>
          </w:tcPr>
          <w:p w14:paraId="35733B27"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2023</w:t>
            </w:r>
          </w:p>
        </w:tc>
      </w:tr>
      <w:tr w:rsidR="005C6948" w:rsidRPr="0036198E" w14:paraId="6B5315F4"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460" w:type="dxa"/>
          </w:tcPr>
          <w:p w14:paraId="46A53764" w14:textId="77777777" w:rsidR="005C6948" w:rsidRPr="0036198E" w:rsidRDefault="005C6948" w:rsidP="00652878">
            <w:pPr>
              <w:spacing w:line="360" w:lineRule="auto"/>
              <w:jc w:val="both"/>
              <w:rPr>
                <w:rFonts w:eastAsia="Arial"/>
              </w:rPr>
            </w:pPr>
            <w:r w:rsidRPr="0036198E">
              <w:rPr>
                <w:rFonts w:eastAsia="Arial"/>
              </w:rPr>
              <w:t xml:space="preserve">COGS </w:t>
            </w:r>
            <w:r w:rsidRPr="0036198E">
              <w:rPr>
                <w:rFonts w:eastAsia="Arial"/>
                <w:b w:val="0"/>
                <w:bCs w:val="0"/>
                <w:color w:val="000000"/>
              </w:rPr>
              <w:t>(£)</w:t>
            </w:r>
          </w:p>
        </w:tc>
        <w:tc>
          <w:tcPr>
            <w:tcW w:w="1618" w:type="dxa"/>
          </w:tcPr>
          <w:p w14:paraId="4B4AC40E"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110,640,000</w:t>
            </w:r>
          </w:p>
        </w:tc>
        <w:tc>
          <w:tcPr>
            <w:tcW w:w="1618" w:type="dxa"/>
          </w:tcPr>
          <w:p w14:paraId="0E5026EE"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113,941,000</w:t>
            </w:r>
          </w:p>
        </w:tc>
        <w:tc>
          <w:tcPr>
            <w:tcW w:w="1533" w:type="dxa"/>
          </w:tcPr>
          <w:p w14:paraId="33F223C5"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119,307,000</w:t>
            </w:r>
          </w:p>
        </w:tc>
      </w:tr>
      <w:tr w:rsidR="005C6948" w:rsidRPr="0036198E" w14:paraId="1C4CEBBE"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3460" w:type="dxa"/>
          </w:tcPr>
          <w:p w14:paraId="6D7E263A" w14:textId="77777777" w:rsidR="005C6948" w:rsidRPr="0036198E" w:rsidRDefault="005C6948" w:rsidP="00652878">
            <w:pPr>
              <w:spacing w:line="360" w:lineRule="auto"/>
              <w:jc w:val="both"/>
              <w:rPr>
                <w:rFonts w:eastAsia="Arial"/>
              </w:rPr>
            </w:pPr>
            <w:r w:rsidRPr="0036198E">
              <w:rPr>
                <w:rFonts w:eastAsia="Arial"/>
              </w:rPr>
              <w:t xml:space="preserve">Inventory (Closing) </w:t>
            </w:r>
            <w:r w:rsidRPr="0036198E">
              <w:rPr>
                <w:rFonts w:eastAsia="Arial"/>
                <w:b w:val="0"/>
                <w:bCs w:val="0"/>
                <w:color w:val="000000"/>
              </w:rPr>
              <w:t>(£)</w:t>
            </w:r>
          </w:p>
        </w:tc>
        <w:tc>
          <w:tcPr>
            <w:tcW w:w="1618" w:type="dxa"/>
          </w:tcPr>
          <w:p w14:paraId="1B8D7130"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22,499,000</w:t>
            </w:r>
          </w:p>
        </w:tc>
        <w:tc>
          <w:tcPr>
            <w:tcW w:w="1618" w:type="dxa"/>
          </w:tcPr>
          <w:p w14:paraId="1C3C0A7E"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23,232,000</w:t>
            </w:r>
          </w:p>
        </w:tc>
        <w:tc>
          <w:tcPr>
            <w:tcW w:w="1533" w:type="dxa"/>
          </w:tcPr>
          <w:p w14:paraId="466B4543"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22,819,000</w:t>
            </w:r>
          </w:p>
        </w:tc>
      </w:tr>
      <w:tr w:rsidR="005C6948" w:rsidRPr="0036198E" w14:paraId="459D8A1F"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460" w:type="dxa"/>
          </w:tcPr>
          <w:p w14:paraId="4DFC87AD" w14:textId="77777777" w:rsidR="005C6948" w:rsidRPr="0036198E" w:rsidRDefault="005C6948" w:rsidP="00652878">
            <w:pPr>
              <w:spacing w:line="360" w:lineRule="auto"/>
              <w:jc w:val="both"/>
              <w:rPr>
                <w:rFonts w:eastAsia="Arial"/>
              </w:rPr>
            </w:pPr>
            <w:r w:rsidRPr="0036198E">
              <w:rPr>
                <w:rFonts w:eastAsia="Arial"/>
              </w:rPr>
              <w:t xml:space="preserve">Average Inventory </w:t>
            </w:r>
            <w:r w:rsidRPr="0036198E">
              <w:rPr>
                <w:rFonts w:eastAsia="Arial"/>
                <w:b w:val="0"/>
                <w:bCs w:val="0"/>
                <w:color w:val="000000"/>
              </w:rPr>
              <w:t>(£)</w:t>
            </w:r>
          </w:p>
        </w:tc>
        <w:tc>
          <w:tcPr>
            <w:tcW w:w="1618" w:type="dxa"/>
          </w:tcPr>
          <w:p w14:paraId="6BEDE5C4"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22,865,500</w:t>
            </w:r>
          </w:p>
        </w:tc>
        <w:tc>
          <w:tcPr>
            <w:tcW w:w="1618" w:type="dxa"/>
          </w:tcPr>
          <w:p w14:paraId="20947BF4"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23,025,500</w:t>
            </w:r>
          </w:p>
        </w:tc>
        <w:tc>
          <w:tcPr>
            <w:tcW w:w="1533" w:type="dxa"/>
          </w:tcPr>
          <w:p w14:paraId="7B63FAE8"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p>
        </w:tc>
      </w:tr>
      <w:tr w:rsidR="005C6948" w:rsidRPr="0036198E" w14:paraId="3266C4D9"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3460" w:type="dxa"/>
          </w:tcPr>
          <w:p w14:paraId="47C89A35" w14:textId="77777777" w:rsidR="005C6948" w:rsidRPr="0036198E" w:rsidRDefault="005C6948" w:rsidP="00652878">
            <w:pPr>
              <w:spacing w:line="360" w:lineRule="auto"/>
              <w:jc w:val="both"/>
              <w:rPr>
                <w:rFonts w:eastAsia="Arial"/>
              </w:rPr>
            </w:pPr>
            <w:r w:rsidRPr="0036198E">
              <w:rPr>
                <w:rFonts w:eastAsia="Arial"/>
              </w:rPr>
              <w:t>Inventory Turnover</w:t>
            </w:r>
          </w:p>
        </w:tc>
        <w:tc>
          <w:tcPr>
            <w:tcW w:w="1618" w:type="dxa"/>
          </w:tcPr>
          <w:p w14:paraId="75D0C003"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4.838730839</w:t>
            </w:r>
          </w:p>
        </w:tc>
        <w:tc>
          <w:tcPr>
            <w:tcW w:w="1618" w:type="dxa"/>
          </w:tcPr>
          <w:p w14:paraId="64632E58"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4.948470174</w:t>
            </w:r>
          </w:p>
        </w:tc>
        <w:tc>
          <w:tcPr>
            <w:tcW w:w="1533" w:type="dxa"/>
          </w:tcPr>
          <w:p w14:paraId="4BF5DE87"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p>
        </w:tc>
      </w:tr>
    </w:tbl>
    <w:p w14:paraId="5D6478EA" w14:textId="77777777" w:rsidR="00972191" w:rsidRPr="0036198E" w:rsidRDefault="00972191" w:rsidP="005C6948">
      <w:pPr>
        <w:spacing w:line="360" w:lineRule="auto"/>
        <w:jc w:val="both"/>
        <w:rPr>
          <w:rFonts w:eastAsia="Arial"/>
          <w:b/>
          <w:bCs/>
          <w:szCs w:val="24"/>
        </w:rPr>
      </w:pPr>
    </w:p>
    <w:p w14:paraId="2B9A9093" w14:textId="74D2FDEE" w:rsidR="005C6948" w:rsidRPr="0036198E" w:rsidRDefault="005C6948" w:rsidP="005C6948">
      <w:pPr>
        <w:spacing w:line="360" w:lineRule="auto"/>
        <w:jc w:val="both"/>
        <w:rPr>
          <w:rFonts w:eastAsia="Arial"/>
          <w:szCs w:val="24"/>
        </w:rPr>
      </w:pPr>
      <w:r w:rsidRPr="0036198E">
        <w:rPr>
          <w:rFonts w:eastAsia="Arial"/>
          <w:b/>
          <w:bCs/>
          <w:szCs w:val="24"/>
        </w:rPr>
        <w:t>Appendix I: Receivables Days</w:t>
      </w:r>
      <w:r w:rsidRPr="0036198E">
        <w:rPr>
          <w:rFonts w:eastAsia="Arial"/>
          <w:szCs w:val="24"/>
        </w:rPr>
        <w:t xml:space="preserve"> </w:t>
      </w:r>
    </w:p>
    <w:tbl>
      <w:tblPr>
        <w:tblStyle w:val="GridTable4-Accent4"/>
        <w:tblW w:w="7877" w:type="dxa"/>
        <w:tblLayout w:type="fixed"/>
        <w:tblLook w:val="04A0" w:firstRow="1" w:lastRow="0" w:firstColumn="1" w:lastColumn="0" w:noHBand="0" w:noVBand="1"/>
      </w:tblPr>
      <w:tblGrid>
        <w:gridCol w:w="3460"/>
        <w:gridCol w:w="1493"/>
        <w:gridCol w:w="1493"/>
        <w:gridCol w:w="1431"/>
      </w:tblGrid>
      <w:tr w:rsidR="005C6948" w:rsidRPr="0036198E" w14:paraId="30E4BCDC" w14:textId="77777777" w:rsidTr="00713B62">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460" w:type="dxa"/>
          </w:tcPr>
          <w:p w14:paraId="63A925C7" w14:textId="77777777" w:rsidR="005C6948" w:rsidRPr="0036198E" w:rsidRDefault="005C6948" w:rsidP="00652878">
            <w:pPr>
              <w:spacing w:line="360" w:lineRule="auto"/>
              <w:jc w:val="both"/>
              <w:rPr>
                <w:rFonts w:eastAsia="Arial"/>
              </w:rPr>
            </w:pPr>
            <w:r w:rsidRPr="0036198E">
              <w:rPr>
                <w:rFonts w:eastAsia="Arial"/>
              </w:rPr>
              <w:t>Column1</w:t>
            </w:r>
          </w:p>
        </w:tc>
        <w:tc>
          <w:tcPr>
            <w:tcW w:w="1493" w:type="dxa"/>
          </w:tcPr>
          <w:p w14:paraId="6B1B1CFB"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493" w:type="dxa"/>
          </w:tcPr>
          <w:p w14:paraId="0A33B349"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c>
          <w:tcPr>
            <w:tcW w:w="1431" w:type="dxa"/>
          </w:tcPr>
          <w:p w14:paraId="7C71B2C9"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2023</w:t>
            </w:r>
          </w:p>
        </w:tc>
      </w:tr>
      <w:tr w:rsidR="005C6948" w:rsidRPr="0036198E" w14:paraId="4606A9F3"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460" w:type="dxa"/>
          </w:tcPr>
          <w:p w14:paraId="522E16DE" w14:textId="77777777" w:rsidR="005C6948" w:rsidRPr="0036198E" w:rsidRDefault="005C6948" w:rsidP="00652878">
            <w:pPr>
              <w:spacing w:line="360" w:lineRule="auto"/>
              <w:jc w:val="both"/>
              <w:rPr>
                <w:rFonts w:eastAsia="Arial"/>
              </w:rPr>
            </w:pPr>
            <w:r w:rsidRPr="0036198E">
              <w:rPr>
                <w:rFonts w:eastAsia="Arial"/>
              </w:rPr>
              <w:t xml:space="preserve">Sales and other operating revenues </w:t>
            </w:r>
            <w:r w:rsidRPr="0036198E">
              <w:rPr>
                <w:rFonts w:eastAsia="Arial"/>
                <w:b w:val="0"/>
                <w:bCs w:val="0"/>
                <w:color w:val="000000"/>
              </w:rPr>
              <w:t>(£)</w:t>
            </w:r>
          </w:p>
        </w:tc>
        <w:tc>
          <w:tcPr>
            <w:tcW w:w="1493" w:type="dxa"/>
          </w:tcPr>
          <w:p w14:paraId="4D301F69"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12,243,000</w:t>
            </w:r>
          </w:p>
        </w:tc>
        <w:tc>
          <w:tcPr>
            <w:tcW w:w="1493" w:type="dxa"/>
          </w:tcPr>
          <w:p w14:paraId="4A31D40A" w14:textId="77777777" w:rsidR="005C6948" w:rsidRPr="006600F3"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6600F3">
              <w:rPr>
                <w:rFonts w:eastAsia="Arial"/>
              </w:rPr>
              <w:t>14,869,000</w:t>
            </w:r>
          </w:p>
        </w:tc>
        <w:tc>
          <w:tcPr>
            <w:tcW w:w="1431" w:type="dxa"/>
          </w:tcPr>
          <w:p w14:paraId="74A055C0"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16,287,000</w:t>
            </w:r>
          </w:p>
        </w:tc>
      </w:tr>
      <w:tr w:rsidR="005C6948" w:rsidRPr="0036198E" w14:paraId="58930085"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3460" w:type="dxa"/>
          </w:tcPr>
          <w:p w14:paraId="08B2AB38" w14:textId="77777777" w:rsidR="005C6948" w:rsidRPr="0036198E" w:rsidRDefault="005C6948" w:rsidP="00652878">
            <w:pPr>
              <w:spacing w:line="360" w:lineRule="auto"/>
              <w:jc w:val="both"/>
              <w:rPr>
                <w:rFonts w:eastAsia="Arial"/>
              </w:rPr>
            </w:pPr>
            <w:r w:rsidRPr="0036198E">
              <w:rPr>
                <w:rFonts w:eastAsia="Arial"/>
              </w:rPr>
              <w:t xml:space="preserve">Current Trade Receivables </w:t>
            </w:r>
            <w:r w:rsidRPr="0036198E">
              <w:rPr>
                <w:rFonts w:eastAsia="Arial"/>
                <w:b w:val="0"/>
                <w:bCs w:val="0"/>
                <w:color w:val="000000"/>
              </w:rPr>
              <w:t>(£)</w:t>
            </w:r>
            <w:r w:rsidRPr="0036198E">
              <w:rPr>
                <w:rFonts w:eastAsia="Arial"/>
              </w:rPr>
              <w:t xml:space="preserve"> </w:t>
            </w:r>
          </w:p>
        </w:tc>
        <w:tc>
          <w:tcPr>
            <w:tcW w:w="1493" w:type="dxa"/>
          </w:tcPr>
          <w:p w14:paraId="495F31F3"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21,107,000</w:t>
            </w:r>
          </w:p>
        </w:tc>
        <w:tc>
          <w:tcPr>
            <w:tcW w:w="1493" w:type="dxa"/>
          </w:tcPr>
          <w:p w14:paraId="640C105D"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21,659,000</w:t>
            </w:r>
          </w:p>
        </w:tc>
        <w:tc>
          <w:tcPr>
            <w:tcW w:w="1431" w:type="dxa"/>
          </w:tcPr>
          <w:p w14:paraId="3DDCBEDD"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25,175,000</w:t>
            </w:r>
          </w:p>
        </w:tc>
      </w:tr>
      <w:tr w:rsidR="005C6948" w:rsidRPr="0036198E" w14:paraId="369915A3"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460" w:type="dxa"/>
          </w:tcPr>
          <w:p w14:paraId="1A87DF29" w14:textId="77777777" w:rsidR="005C6948" w:rsidRPr="0036198E" w:rsidRDefault="005C6948" w:rsidP="00652878">
            <w:pPr>
              <w:spacing w:line="360" w:lineRule="auto"/>
              <w:jc w:val="both"/>
              <w:rPr>
                <w:rFonts w:eastAsia="Arial"/>
              </w:rPr>
            </w:pPr>
            <w:r w:rsidRPr="0036198E">
              <w:rPr>
                <w:rFonts w:eastAsia="Arial"/>
              </w:rPr>
              <w:t xml:space="preserve">Non-Current Trade Receivables </w:t>
            </w:r>
          </w:p>
        </w:tc>
        <w:tc>
          <w:tcPr>
            <w:tcW w:w="1493" w:type="dxa"/>
          </w:tcPr>
          <w:p w14:paraId="6988F07F"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6</w:t>
            </w:r>
          </w:p>
        </w:tc>
        <w:tc>
          <w:tcPr>
            <w:tcW w:w="1493" w:type="dxa"/>
          </w:tcPr>
          <w:p w14:paraId="457F38B7"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502</w:t>
            </w:r>
          </w:p>
        </w:tc>
        <w:tc>
          <w:tcPr>
            <w:tcW w:w="1431" w:type="dxa"/>
          </w:tcPr>
          <w:p w14:paraId="3CAF92A2"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652</w:t>
            </w:r>
          </w:p>
        </w:tc>
      </w:tr>
      <w:tr w:rsidR="005C6948" w:rsidRPr="0036198E" w14:paraId="6191064E"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3460" w:type="dxa"/>
          </w:tcPr>
          <w:p w14:paraId="29DFDE51" w14:textId="77777777" w:rsidR="005C6948" w:rsidRPr="0036198E" w:rsidRDefault="005C6948" w:rsidP="00652878">
            <w:pPr>
              <w:spacing w:line="360" w:lineRule="auto"/>
              <w:jc w:val="both"/>
              <w:rPr>
                <w:rFonts w:eastAsia="Arial"/>
              </w:rPr>
            </w:pPr>
            <w:r w:rsidRPr="0036198E">
              <w:rPr>
                <w:rFonts w:eastAsia="Arial"/>
              </w:rPr>
              <w:t xml:space="preserve">Total </w:t>
            </w:r>
            <w:r w:rsidRPr="0036198E">
              <w:rPr>
                <w:rFonts w:eastAsia="Arial"/>
                <w:b w:val="0"/>
                <w:bCs w:val="0"/>
                <w:color w:val="000000"/>
              </w:rPr>
              <w:t>(£)</w:t>
            </w:r>
          </w:p>
        </w:tc>
        <w:tc>
          <w:tcPr>
            <w:tcW w:w="1493" w:type="dxa"/>
          </w:tcPr>
          <w:p w14:paraId="0C608393"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21,107,006</w:t>
            </w:r>
          </w:p>
        </w:tc>
        <w:tc>
          <w:tcPr>
            <w:tcW w:w="1493" w:type="dxa"/>
          </w:tcPr>
          <w:p w14:paraId="6DA45014"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21,659,502</w:t>
            </w:r>
          </w:p>
        </w:tc>
        <w:tc>
          <w:tcPr>
            <w:tcW w:w="1431" w:type="dxa"/>
          </w:tcPr>
          <w:p w14:paraId="53A0F983"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25,175,652</w:t>
            </w:r>
          </w:p>
        </w:tc>
      </w:tr>
      <w:tr w:rsidR="005C6948" w:rsidRPr="0036198E" w14:paraId="0E83A386" w14:textId="77777777" w:rsidTr="00713B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460" w:type="dxa"/>
          </w:tcPr>
          <w:p w14:paraId="13ABD7DF" w14:textId="77777777" w:rsidR="005C6948" w:rsidRPr="0036198E" w:rsidRDefault="005C6948" w:rsidP="00652878">
            <w:pPr>
              <w:spacing w:line="360" w:lineRule="auto"/>
              <w:jc w:val="both"/>
              <w:rPr>
                <w:rFonts w:eastAsia="Arial"/>
              </w:rPr>
            </w:pPr>
            <w:r w:rsidRPr="0036198E">
              <w:rPr>
                <w:rFonts w:eastAsia="Arial"/>
              </w:rPr>
              <w:t xml:space="preserve">Average Receivables </w:t>
            </w:r>
            <w:r w:rsidRPr="0036198E">
              <w:rPr>
                <w:rFonts w:eastAsia="Arial"/>
                <w:b w:val="0"/>
                <w:bCs w:val="0"/>
                <w:color w:val="000000"/>
              </w:rPr>
              <w:t>(£)</w:t>
            </w:r>
          </w:p>
        </w:tc>
        <w:tc>
          <w:tcPr>
            <w:tcW w:w="1493" w:type="dxa"/>
          </w:tcPr>
          <w:p w14:paraId="42855151"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21383254</w:t>
            </w:r>
          </w:p>
        </w:tc>
        <w:tc>
          <w:tcPr>
            <w:tcW w:w="1493" w:type="dxa"/>
          </w:tcPr>
          <w:p w14:paraId="0F8D58F6"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23417577</w:t>
            </w:r>
          </w:p>
        </w:tc>
        <w:tc>
          <w:tcPr>
            <w:tcW w:w="1431" w:type="dxa"/>
          </w:tcPr>
          <w:p w14:paraId="3C9A8240"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p>
        </w:tc>
      </w:tr>
      <w:tr w:rsidR="005C6948" w:rsidRPr="0036198E" w14:paraId="0F2FD7C0" w14:textId="77777777" w:rsidTr="00713B62">
        <w:trPr>
          <w:trHeight w:val="300"/>
        </w:trPr>
        <w:tc>
          <w:tcPr>
            <w:cnfStyle w:val="001000000000" w:firstRow="0" w:lastRow="0" w:firstColumn="1" w:lastColumn="0" w:oddVBand="0" w:evenVBand="0" w:oddHBand="0" w:evenHBand="0" w:firstRowFirstColumn="0" w:firstRowLastColumn="0" w:lastRowFirstColumn="0" w:lastRowLastColumn="0"/>
            <w:tcW w:w="3460" w:type="dxa"/>
          </w:tcPr>
          <w:p w14:paraId="6B251016" w14:textId="77777777" w:rsidR="005C6948" w:rsidRPr="0036198E" w:rsidRDefault="005C6948" w:rsidP="00652878">
            <w:pPr>
              <w:spacing w:line="360" w:lineRule="auto"/>
              <w:jc w:val="both"/>
              <w:rPr>
                <w:rFonts w:eastAsia="Arial"/>
              </w:rPr>
            </w:pPr>
            <w:r w:rsidRPr="0036198E">
              <w:rPr>
                <w:rFonts w:eastAsia="Arial"/>
              </w:rPr>
              <w:t>Receivables Days</w:t>
            </w:r>
          </w:p>
        </w:tc>
        <w:tc>
          <w:tcPr>
            <w:tcW w:w="1493" w:type="dxa"/>
          </w:tcPr>
          <w:p w14:paraId="07E715FB"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637</w:t>
            </w:r>
          </w:p>
        </w:tc>
        <w:tc>
          <w:tcPr>
            <w:tcW w:w="1493" w:type="dxa"/>
          </w:tcPr>
          <w:p w14:paraId="4742E692"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575</w:t>
            </w:r>
          </w:p>
        </w:tc>
        <w:tc>
          <w:tcPr>
            <w:tcW w:w="1431" w:type="dxa"/>
          </w:tcPr>
          <w:p w14:paraId="6C944534"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p>
        </w:tc>
      </w:tr>
    </w:tbl>
    <w:p w14:paraId="207B1421" w14:textId="77777777" w:rsidR="00972191" w:rsidRPr="0036198E" w:rsidRDefault="00972191" w:rsidP="005C6948">
      <w:pPr>
        <w:spacing w:line="360" w:lineRule="auto"/>
        <w:jc w:val="both"/>
        <w:rPr>
          <w:rFonts w:eastAsia="Arial"/>
          <w:b/>
          <w:bCs/>
          <w:szCs w:val="24"/>
        </w:rPr>
      </w:pPr>
    </w:p>
    <w:p w14:paraId="350FED32" w14:textId="77777777" w:rsidR="008A4E90" w:rsidRDefault="008A4E90">
      <w:pPr>
        <w:spacing w:line="278" w:lineRule="auto"/>
        <w:rPr>
          <w:rFonts w:eastAsia="Arial"/>
          <w:b/>
          <w:bCs/>
          <w:szCs w:val="24"/>
        </w:rPr>
      </w:pPr>
      <w:r>
        <w:rPr>
          <w:rFonts w:eastAsia="Arial"/>
          <w:b/>
          <w:bCs/>
          <w:szCs w:val="24"/>
        </w:rPr>
        <w:br w:type="page"/>
      </w:r>
    </w:p>
    <w:p w14:paraId="39749DF8" w14:textId="79F131C9" w:rsidR="005C6948" w:rsidRPr="0036198E" w:rsidRDefault="005C6948" w:rsidP="005C6948">
      <w:pPr>
        <w:spacing w:line="360" w:lineRule="auto"/>
        <w:jc w:val="both"/>
        <w:rPr>
          <w:rFonts w:eastAsia="Arial"/>
          <w:b/>
          <w:bCs/>
          <w:szCs w:val="24"/>
        </w:rPr>
      </w:pPr>
      <w:r w:rsidRPr="0036198E">
        <w:rPr>
          <w:rFonts w:eastAsia="Arial"/>
          <w:b/>
          <w:bCs/>
          <w:szCs w:val="24"/>
        </w:rPr>
        <w:lastRenderedPageBreak/>
        <w:t>Appendix J: Debt-to-Equity</w:t>
      </w:r>
    </w:p>
    <w:tbl>
      <w:tblPr>
        <w:tblStyle w:val="GridTable4-Accent4"/>
        <w:tblW w:w="5706" w:type="dxa"/>
        <w:tblLayout w:type="fixed"/>
        <w:tblLook w:val="04A0" w:firstRow="1" w:lastRow="0" w:firstColumn="1" w:lastColumn="0" w:noHBand="0" w:noVBand="1"/>
      </w:tblPr>
      <w:tblGrid>
        <w:gridCol w:w="2706"/>
        <w:gridCol w:w="1500"/>
        <w:gridCol w:w="1500"/>
      </w:tblGrid>
      <w:tr w:rsidR="005C6948" w:rsidRPr="0036198E" w14:paraId="62120604" w14:textId="77777777" w:rsidTr="00713B62">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706" w:type="dxa"/>
          </w:tcPr>
          <w:p w14:paraId="49DCF5EE" w14:textId="77777777" w:rsidR="005C6948" w:rsidRPr="0036198E" w:rsidRDefault="005C6948" w:rsidP="00652878">
            <w:pPr>
              <w:spacing w:line="360" w:lineRule="auto"/>
              <w:jc w:val="both"/>
              <w:rPr>
                <w:rFonts w:eastAsia="Arial"/>
              </w:rPr>
            </w:pPr>
            <w:r w:rsidRPr="0036198E">
              <w:rPr>
                <w:rFonts w:eastAsia="Arial"/>
              </w:rPr>
              <w:t>Column1</w:t>
            </w:r>
          </w:p>
        </w:tc>
        <w:tc>
          <w:tcPr>
            <w:tcW w:w="1500" w:type="dxa"/>
          </w:tcPr>
          <w:p w14:paraId="3CD38633"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500" w:type="dxa"/>
          </w:tcPr>
          <w:p w14:paraId="19D02B18"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r>
      <w:tr w:rsidR="005C6948" w:rsidRPr="0036198E" w14:paraId="5AC39E9E"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706" w:type="dxa"/>
          </w:tcPr>
          <w:p w14:paraId="687DC089" w14:textId="77777777" w:rsidR="005C6948" w:rsidRPr="0036198E" w:rsidRDefault="005C6948" w:rsidP="00652878">
            <w:pPr>
              <w:spacing w:line="360" w:lineRule="auto"/>
              <w:jc w:val="both"/>
              <w:rPr>
                <w:rFonts w:eastAsia="Arial"/>
              </w:rPr>
            </w:pPr>
            <w:r w:rsidRPr="0036198E">
              <w:rPr>
                <w:rFonts w:eastAsia="Arial"/>
              </w:rPr>
              <w:t xml:space="preserve">Total Debt </w:t>
            </w:r>
            <w:r w:rsidRPr="0036198E">
              <w:rPr>
                <w:rFonts w:eastAsia="Arial"/>
                <w:b w:val="0"/>
                <w:bCs w:val="0"/>
                <w:color w:val="000000"/>
              </w:rPr>
              <w:t>(£)</w:t>
            </w:r>
          </w:p>
        </w:tc>
        <w:tc>
          <w:tcPr>
            <w:tcW w:w="1500" w:type="dxa"/>
          </w:tcPr>
          <w:p w14:paraId="3B5035FD"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72,529,000</w:t>
            </w:r>
          </w:p>
        </w:tc>
        <w:tc>
          <w:tcPr>
            <w:tcW w:w="1500" w:type="dxa"/>
          </w:tcPr>
          <w:p w14:paraId="0F340C2C"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71,547,000</w:t>
            </w:r>
          </w:p>
        </w:tc>
      </w:tr>
      <w:tr w:rsidR="005C6948" w:rsidRPr="0036198E" w14:paraId="1E0D3AA5" w14:textId="77777777" w:rsidTr="00713B62">
        <w:trPr>
          <w:trHeight w:val="375"/>
        </w:trPr>
        <w:tc>
          <w:tcPr>
            <w:cnfStyle w:val="001000000000" w:firstRow="0" w:lastRow="0" w:firstColumn="1" w:lastColumn="0" w:oddVBand="0" w:evenVBand="0" w:oddHBand="0" w:evenHBand="0" w:firstRowFirstColumn="0" w:firstRowLastColumn="0" w:lastRowFirstColumn="0" w:lastRowLastColumn="0"/>
            <w:tcW w:w="2706" w:type="dxa"/>
          </w:tcPr>
          <w:p w14:paraId="1DA8FACD" w14:textId="77777777" w:rsidR="005C6948" w:rsidRPr="0036198E" w:rsidRDefault="005C6948" w:rsidP="00652878">
            <w:pPr>
              <w:spacing w:line="360" w:lineRule="auto"/>
              <w:jc w:val="both"/>
              <w:rPr>
                <w:rFonts w:eastAsia="Arial"/>
              </w:rPr>
            </w:pPr>
            <w:r w:rsidRPr="0036198E">
              <w:rPr>
                <w:rFonts w:eastAsia="Arial"/>
              </w:rPr>
              <w:t xml:space="preserve">Total Equity </w:t>
            </w:r>
            <w:r w:rsidRPr="0036198E">
              <w:rPr>
                <w:rFonts w:eastAsia="Arial"/>
                <w:b w:val="0"/>
                <w:bCs w:val="0"/>
                <w:color w:val="000000"/>
              </w:rPr>
              <w:t>(£)</w:t>
            </w:r>
          </w:p>
        </w:tc>
        <w:tc>
          <w:tcPr>
            <w:tcW w:w="1500" w:type="dxa"/>
          </w:tcPr>
          <w:p w14:paraId="76AA576C"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74,000,000</w:t>
            </w:r>
          </w:p>
        </w:tc>
        <w:tc>
          <w:tcPr>
            <w:tcW w:w="1500" w:type="dxa"/>
          </w:tcPr>
          <w:p w14:paraId="7FE8B8FA"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78,318,000</w:t>
            </w:r>
          </w:p>
        </w:tc>
      </w:tr>
      <w:tr w:rsidR="005C6948" w:rsidRPr="0036198E" w14:paraId="702A782C"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706" w:type="dxa"/>
          </w:tcPr>
          <w:p w14:paraId="7C8F8E1A" w14:textId="77777777" w:rsidR="005C6948" w:rsidRPr="0036198E" w:rsidRDefault="005C6948" w:rsidP="00652878">
            <w:pPr>
              <w:spacing w:line="360" w:lineRule="auto"/>
              <w:jc w:val="both"/>
              <w:rPr>
                <w:rFonts w:eastAsia="Arial"/>
              </w:rPr>
            </w:pPr>
            <w:r w:rsidRPr="0036198E">
              <w:rPr>
                <w:rFonts w:eastAsia="Arial"/>
              </w:rPr>
              <w:t>Debt-to-Equity Ratio</w:t>
            </w:r>
          </w:p>
        </w:tc>
        <w:tc>
          <w:tcPr>
            <w:tcW w:w="1500" w:type="dxa"/>
          </w:tcPr>
          <w:p w14:paraId="2A4B6432"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0.9801216</w:t>
            </w:r>
          </w:p>
        </w:tc>
        <w:tc>
          <w:tcPr>
            <w:tcW w:w="1500" w:type="dxa"/>
          </w:tcPr>
          <w:p w14:paraId="294FA99B"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0.9135448</w:t>
            </w:r>
          </w:p>
        </w:tc>
      </w:tr>
    </w:tbl>
    <w:p w14:paraId="2A491AB7" w14:textId="77777777" w:rsidR="00972191" w:rsidRPr="0036198E" w:rsidRDefault="00972191" w:rsidP="005C6948">
      <w:pPr>
        <w:spacing w:line="360" w:lineRule="auto"/>
        <w:jc w:val="both"/>
        <w:rPr>
          <w:rFonts w:eastAsia="Arial"/>
          <w:b/>
          <w:bCs/>
          <w:szCs w:val="24"/>
        </w:rPr>
      </w:pPr>
    </w:p>
    <w:p w14:paraId="28511A29" w14:textId="6BD37554" w:rsidR="005C6948" w:rsidRPr="0036198E" w:rsidRDefault="005C6948" w:rsidP="005C6948">
      <w:pPr>
        <w:spacing w:line="360" w:lineRule="auto"/>
        <w:jc w:val="both"/>
        <w:rPr>
          <w:rFonts w:eastAsia="Arial"/>
          <w:b/>
          <w:bCs/>
          <w:szCs w:val="24"/>
        </w:rPr>
      </w:pPr>
      <w:r w:rsidRPr="0036198E">
        <w:rPr>
          <w:rFonts w:eastAsia="Arial"/>
          <w:b/>
          <w:bCs/>
          <w:szCs w:val="24"/>
        </w:rPr>
        <w:t>Appendix K: Interest Coverage</w:t>
      </w:r>
    </w:p>
    <w:tbl>
      <w:tblPr>
        <w:tblStyle w:val="GridTable4-Accent4"/>
        <w:tblW w:w="5706" w:type="dxa"/>
        <w:tblLayout w:type="fixed"/>
        <w:tblLook w:val="04A0" w:firstRow="1" w:lastRow="0" w:firstColumn="1" w:lastColumn="0" w:noHBand="0" w:noVBand="1"/>
      </w:tblPr>
      <w:tblGrid>
        <w:gridCol w:w="2706"/>
        <w:gridCol w:w="1500"/>
        <w:gridCol w:w="1500"/>
      </w:tblGrid>
      <w:tr w:rsidR="005C6948" w:rsidRPr="0036198E" w14:paraId="3994EF9B" w14:textId="77777777" w:rsidTr="00713B62">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706" w:type="dxa"/>
          </w:tcPr>
          <w:p w14:paraId="4A655935" w14:textId="77777777" w:rsidR="005C6948" w:rsidRPr="0036198E" w:rsidRDefault="005C6948" w:rsidP="00652878">
            <w:pPr>
              <w:spacing w:line="360" w:lineRule="auto"/>
              <w:jc w:val="both"/>
              <w:rPr>
                <w:rFonts w:eastAsia="Arial"/>
              </w:rPr>
            </w:pPr>
            <w:r w:rsidRPr="0036198E">
              <w:rPr>
                <w:rFonts w:eastAsia="Arial"/>
              </w:rPr>
              <w:t>Column1</w:t>
            </w:r>
          </w:p>
        </w:tc>
        <w:tc>
          <w:tcPr>
            <w:tcW w:w="1500" w:type="dxa"/>
          </w:tcPr>
          <w:p w14:paraId="2D1C1694"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500" w:type="dxa"/>
          </w:tcPr>
          <w:p w14:paraId="299AFAD1"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r>
      <w:tr w:rsidR="005C6948" w:rsidRPr="0036198E" w14:paraId="2AD256FA"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706" w:type="dxa"/>
          </w:tcPr>
          <w:p w14:paraId="21B8D252" w14:textId="77777777" w:rsidR="005C6948" w:rsidRPr="0036198E" w:rsidRDefault="005C6948" w:rsidP="00652878">
            <w:pPr>
              <w:spacing w:line="360" w:lineRule="auto"/>
              <w:jc w:val="both"/>
              <w:rPr>
                <w:rFonts w:eastAsia="Arial"/>
              </w:rPr>
            </w:pPr>
            <w:r w:rsidRPr="0036198E">
              <w:rPr>
                <w:rFonts w:eastAsia="Arial"/>
              </w:rPr>
              <w:t xml:space="preserve">EBIT </w:t>
            </w:r>
            <w:r w:rsidRPr="0036198E">
              <w:rPr>
                <w:rFonts w:eastAsia="Arial"/>
                <w:b w:val="0"/>
                <w:bCs w:val="0"/>
                <w:color w:val="000000"/>
              </w:rPr>
              <w:t>(£)</w:t>
            </w:r>
          </w:p>
        </w:tc>
        <w:tc>
          <w:tcPr>
            <w:tcW w:w="1500" w:type="dxa"/>
          </w:tcPr>
          <w:p w14:paraId="4A69526E"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12,874,000</w:t>
            </w:r>
          </w:p>
        </w:tc>
        <w:tc>
          <w:tcPr>
            <w:tcW w:w="1500" w:type="dxa"/>
          </w:tcPr>
          <w:p w14:paraId="458C1A1B"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11,361,000</w:t>
            </w:r>
          </w:p>
        </w:tc>
      </w:tr>
      <w:tr w:rsidR="005C6948" w:rsidRPr="0036198E" w14:paraId="536A14E7" w14:textId="77777777" w:rsidTr="00713B62">
        <w:trPr>
          <w:trHeight w:val="375"/>
        </w:trPr>
        <w:tc>
          <w:tcPr>
            <w:cnfStyle w:val="001000000000" w:firstRow="0" w:lastRow="0" w:firstColumn="1" w:lastColumn="0" w:oddVBand="0" w:evenVBand="0" w:oddHBand="0" w:evenHBand="0" w:firstRowFirstColumn="0" w:firstRowLastColumn="0" w:lastRowFirstColumn="0" w:lastRowLastColumn="0"/>
            <w:tcW w:w="2706" w:type="dxa"/>
          </w:tcPr>
          <w:p w14:paraId="625F6E24" w14:textId="77777777" w:rsidR="005C6948" w:rsidRPr="0036198E" w:rsidRDefault="005C6948" w:rsidP="00652878">
            <w:pPr>
              <w:spacing w:line="360" w:lineRule="auto"/>
              <w:jc w:val="both"/>
              <w:rPr>
                <w:rFonts w:eastAsia="Arial"/>
              </w:rPr>
            </w:pPr>
            <w:r w:rsidRPr="0036198E">
              <w:rPr>
                <w:rFonts w:eastAsia="Arial"/>
              </w:rPr>
              <w:t xml:space="preserve">Interest Expense </w:t>
            </w:r>
            <w:r w:rsidRPr="0036198E">
              <w:rPr>
                <w:rFonts w:eastAsia="Arial"/>
                <w:b w:val="0"/>
                <w:bCs w:val="0"/>
                <w:color w:val="000000"/>
              </w:rPr>
              <w:t>(£)</w:t>
            </w:r>
          </w:p>
        </w:tc>
        <w:tc>
          <w:tcPr>
            <w:tcW w:w="1500" w:type="dxa"/>
          </w:tcPr>
          <w:p w14:paraId="02113333"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5,128,000</w:t>
            </w:r>
          </w:p>
        </w:tc>
        <w:tc>
          <w:tcPr>
            <w:tcW w:w="1500" w:type="dxa"/>
          </w:tcPr>
          <w:p w14:paraId="68E5D004"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4,579,000</w:t>
            </w:r>
          </w:p>
        </w:tc>
      </w:tr>
      <w:tr w:rsidR="005C6948" w:rsidRPr="0036198E" w14:paraId="023E0DE5"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706" w:type="dxa"/>
          </w:tcPr>
          <w:p w14:paraId="27B0BE88" w14:textId="77777777" w:rsidR="005C6948" w:rsidRPr="0036198E" w:rsidRDefault="005C6948" w:rsidP="00652878">
            <w:pPr>
              <w:spacing w:line="360" w:lineRule="auto"/>
              <w:jc w:val="both"/>
              <w:rPr>
                <w:rFonts w:eastAsia="Arial"/>
              </w:rPr>
            </w:pPr>
            <w:r w:rsidRPr="0036198E">
              <w:rPr>
                <w:rFonts w:eastAsia="Arial"/>
              </w:rPr>
              <w:t>Interest Coverage Ratio</w:t>
            </w:r>
          </w:p>
        </w:tc>
        <w:tc>
          <w:tcPr>
            <w:tcW w:w="1500" w:type="dxa"/>
          </w:tcPr>
          <w:p w14:paraId="428A2E5D"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2.5105304</w:t>
            </w:r>
          </w:p>
        </w:tc>
        <w:tc>
          <w:tcPr>
            <w:tcW w:w="1500" w:type="dxa"/>
          </w:tcPr>
          <w:p w14:paraId="4A218026"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2.4811094</w:t>
            </w:r>
          </w:p>
        </w:tc>
      </w:tr>
    </w:tbl>
    <w:p w14:paraId="57801597" w14:textId="77777777" w:rsidR="00713B62" w:rsidRPr="0036198E" w:rsidRDefault="00713B62" w:rsidP="005C6948">
      <w:pPr>
        <w:spacing w:line="360" w:lineRule="auto"/>
        <w:jc w:val="both"/>
        <w:rPr>
          <w:rFonts w:eastAsia="Arial"/>
          <w:b/>
          <w:bCs/>
          <w:szCs w:val="24"/>
        </w:rPr>
      </w:pPr>
    </w:p>
    <w:p w14:paraId="21A7C6BC" w14:textId="3F0B76B3" w:rsidR="005C6948" w:rsidRPr="0036198E" w:rsidRDefault="005C6948" w:rsidP="00CB3C1C">
      <w:pPr>
        <w:spacing w:line="278" w:lineRule="auto"/>
        <w:rPr>
          <w:rFonts w:eastAsia="Arial"/>
          <w:b/>
          <w:bCs/>
          <w:szCs w:val="24"/>
        </w:rPr>
      </w:pPr>
      <w:r w:rsidRPr="0036198E">
        <w:rPr>
          <w:rFonts w:eastAsia="Arial"/>
          <w:b/>
          <w:bCs/>
          <w:szCs w:val="24"/>
        </w:rPr>
        <w:t xml:space="preserve">Appendix L: Earnings Per Share (EPS) </w:t>
      </w:r>
    </w:p>
    <w:tbl>
      <w:tblPr>
        <w:tblStyle w:val="GridTable4-Accent4"/>
        <w:tblW w:w="7738" w:type="dxa"/>
        <w:tblLayout w:type="fixed"/>
        <w:tblLook w:val="04A0" w:firstRow="1" w:lastRow="0" w:firstColumn="1" w:lastColumn="0" w:noHBand="0" w:noVBand="1"/>
      </w:tblPr>
      <w:tblGrid>
        <w:gridCol w:w="3938"/>
        <w:gridCol w:w="1900"/>
        <w:gridCol w:w="1900"/>
      </w:tblGrid>
      <w:tr w:rsidR="005C6948" w:rsidRPr="0036198E" w14:paraId="0AECBC64" w14:textId="77777777" w:rsidTr="00713B62">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3938" w:type="dxa"/>
          </w:tcPr>
          <w:p w14:paraId="3C7FEB26" w14:textId="77777777" w:rsidR="005C6948" w:rsidRPr="0036198E" w:rsidRDefault="005C6948" w:rsidP="00652878">
            <w:pPr>
              <w:spacing w:line="360" w:lineRule="auto"/>
              <w:jc w:val="both"/>
              <w:rPr>
                <w:rFonts w:eastAsia="Arial"/>
              </w:rPr>
            </w:pPr>
            <w:r w:rsidRPr="0036198E">
              <w:rPr>
                <w:rFonts w:eastAsia="Arial"/>
              </w:rPr>
              <w:t>Column1</w:t>
            </w:r>
          </w:p>
        </w:tc>
        <w:tc>
          <w:tcPr>
            <w:tcW w:w="1900" w:type="dxa"/>
          </w:tcPr>
          <w:p w14:paraId="126CDAE9"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900" w:type="dxa"/>
          </w:tcPr>
          <w:p w14:paraId="7516E8C5"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r>
      <w:tr w:rsidR="005C6948" w:rsidRPr="0036198E" w14:paraId="671BB220"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3938" w:type="dxa"/>
          </w:tcPr>
          <w:p w14:paraId="3703EE51" w14:textId="77777777" w:rsidR="005C6948" w:rsidRPr="0036198E" w:rsidRDefault="005C6948" w:rsidP="00652878">
            <w:pPr>
              <w:spacing w:line="360" w:lineRule="auto"/>
              <w:jc w:val="both"/>
              <w:rPr>
                <w:rFonts w:eastAsia="Arial"/>
              </w:rPr>
            </w:pPr>
            <w:r w:rsidRPr="0036198E">
              <w:rPr>
                <w:rFonts w:eastAsia="Arial"/>
              </w:rPr>
              <w:t xml:space="preserve">Net Income Continuous Operation </w:t>
            </w:r>
            <w:r w:rsidRPr="0036198E">
              <w:rPr>
                <w:rFonts w:eastAsia="Arial"/>
                <w:b w:val="0"/>
                <w:bCs w:val="0"/>
                <w:color w:val="000000"/>
              </w:rPr>
              <w:t>(£)</w:t>
            </w:r>
          </w:p>
        </w:tc>
        <w:tc>
          <w:tcPr>
            <w:tcW w:w="1900" w:type="dxa"/>
          </w:tcPr>
          <w:p w14:paraId="2CDA76CA"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1,295,000</w:t>
            </w:r>
          </w:p>
        </w:tc>
        <w:tc>
          <w:tcPr>
            <w:tcW w:w="1900" w:type="dxa"/>
          </w:tcPr>
          <w:p w14:paraId="540BE34C"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1,229,000</w:t>
            </w:r>
          </w:p>
        </w:tc>
      </w:tr>
      <w:tr w:rsidR="005C6948" w:rsidRPr="0036198E" w14:paraId="35F2D126" w14:textId="77777777" w:rsidTr="00713B62">
        <w:trPr>
          <w:trHeight w:val="375"/>
        </w:trPr>
        <w:tc>
          <w:tcPr>
            <w:cnfStyle w:val="001000000000" w:firstRow="0" w:lastRow="0" w:firstColumn="1" w:lastColumn="0" w:oddVBand="0" w:evenVBand="0" w:oddHBand="0" w:evenHBand="0" w:firstRowFirstColumn="0" w:firstRowLastColumn="0" w:lastRowFirstColumn="0" w:lastRowLastColumn="0"/>
            <w:tcW w:w="3938" w:type="dxa"/>
          </w:tcPr>
          <w:p w14:paraId="2C8D5576" w14:textId="77777777" w:rsidR="005C6948" w:rsidRPr="0036198E" w:rsidRDefault="005C6948" w:rsidP="00652878">
            <w:pPr>
              <w:spacing w:line="360" w:lineRule="auto"/>
              <w:jc w:val="both"/>
              <w:rPr>
                <w:rFonts w:eastAsia="Arial"/>
              </w:rPr>
            </w:pPr>
            <w:r w:rsidRPr="0036198E">
              <w:rPr>
                <w:rFonts w:eastAsia="Arial"/>
              </w:rPr>
              <w:t>Ordinary Shares Number</w:t>
            </w:r>
          </w:p>
        </w:tc>
        <w:tc>
          <w:tcPr>
            <w:tcW w:w="1900" w:type="dxa"/>
          </w:tcPr>
          <w:p w14:paraId="45144F8E"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15,376,725.29</w:t>
            </w:r>
          </w:p>
        </w:tc>
        <w:tc>
          <w:tcPr>
            <w:tcW w:w="1900" w:type="dxa"/>
          </w:tcPr>
          <w:p w14:paraId="373CE390"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15,850,481.41</w:t>
            </w:r>
          </w:p>
        </w:tc>
      </w:tr>
      <w:tr w:rsidR="005C6948" w:rsidRPr="0036198E" w14:paraId="5C737504"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3938" w:type="dxa"/>
          </w:tcPr>
          <w:p w14:paraId="3F4E5D5F" w14:textId="77777777" w:rsidR="005C6948" w:rsidRPr="0036198E" w:rsidRDefault="005C6948" w:rsidP="00652878">
            <w:pPr>
              <w:spacing w:line="360" w:lineRule="auto"/>
              <w:jc w:val="both"/>
              <w:rPr>
                <w:rFonts w:eastAsia="Arial"/>
              </w:rPr>
            </w:pPr>
            <w:r w:rsidRPr="0036198E">
              <w:rPr>
                <w:rFonts w:eastAsia="Arial"/>
              </w:rPr>
              <w:t>EPS</w:t>
            </w:r>
          </w:p>
        </w:tc>
        <w:tc>
          <w:tcPr>
            <w:tcW w:w="1900" w:type="dxa"/>
          </w:tcPr>
          <w:p w14:paraId="3C60D2B0"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0.084218192</w:t>
            </w:r>
          </w:p>
        </w:tc>
        <w:tc>
          <w:tcPr>
            <w:tcW w:w="1900" w:type="dxa"/>
          </w:tcPr>
          <w:p w14:paraId="697F8739"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0.077537077</w:t>
            </w:r>
          </w:p>
        </w:tc>
      </w:tr>
    </w:tbl>
    <w:p w14:paraId="61D179BA" w14:textId="77777777" w:rsidR="00713B62" w:rsidRPr="0036198E" w:rsidRDefault="00713B62" w:rsidP="005C6948">
      <w:pPr>
        <w:spacing w:line="360" w:lineRule="auto"/>
        <w:jc w:val="both"/>
        <w:rPr>
          <w:rFonts w:eastAsia="Arial"/>
          <w:b/>
          <w:bCs/>
          <w:szCs w:val="24"/>
        </w:rPr>
      </w:pPr>
    </w:p>
    <w:p w14:paraId="545CF617" w14:textId="30EF27AA" w:rsidR="005C6948" w:rsidRPr="0036198E" w:rsidRDefault="005C6948" w:rsidP="005C6948">
      <w:pPr>
        <w:spacing w:line="360" w:lineRule="auto"/>
        <w:jc w:val="both"/>
        <w:rPr>
          <w:rFonts w:eastAsia="Arial"/>
          <w:b/>
          <w:bCs/>
          <w:szCs w:val="24"/>
        </w:rPr>
      </w:pPr>
      <w:r w:rsidRPr="0036198E">
        <w:rPr>
          <w:rFonts w:eastAsia="Arial"/>
          <w:b/>
          <w:bCs/>
          <w:szCs w:val="24"/>
        </w:rPr>
        <w:t xml:space="preserve">Appendix M: Price/Earnings Ratio </w:t>
      </w:r>
    </w:p>
    <w:tbl>
      <w:tblPr>
        <w:tblStyle w:val="GridTable4-Accent4"/>
        <w:tblW w:w="7738" w:type="dxa"/>
        <w:tblLayout w:type="fixed"/>
        <w:tblLook w:val="04A0" w:firstRow="1" w:lastRow="0" w:firstColumn="1" w:lastColumn="0" w:noHBand="0" w:noVBand="1"/>
      </w:tblPr>
      <w:tblGrid>
        <w:gridCol w:w="3938"/>
        <w:gridCol w:w="1900"/>
        <w:gridCol w:w="1900"/>
      </w:tblGrid>
      <w:tr w:rsidR="005C6948" w:rsidRPr="0036198E" w14:paraId="3C761DC9" w14:textId="77777777" w:rsidTr="00713B62">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3938" w:type="dxa"/>
          </w:tcPr>
          <w:p w14:paraId="0D59AFD1" w14:textId="77777777" w:rsidR="005C6948" w:rsidRPr="0036198E" w:rsidRDefault="005C6948" w:rsidP="00652878">
            <w:pPr>
              <w:spacing w:line="360" w:lineRule="auto"/>
              <w:jc w:val="both"/>
              <w:rPr>
                <w:rFonts w:eastAsia="Arial"/>
              </w:rPr>
            </w:pPr>
            <w:r w:rsidRPr="0036198E">
              <w:rPr>
                <w:rFonts w:eastAsia="Arial"/>
              </w:rPr>
              <w:t>Column1</w:t>
            </w:r>
          </w:p>
        </w:tc>
        <w:tc>
          <w:tcPr>
            <w:tcW w:w="1900" w:type="dxa"/>
          </w:tcPr>
          <w:p w14:paraId="44BAA823"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900" w:type="dxa"/>
          </w:tcPr>
          <w:p w14:paraId="47D11DEE"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r>
      <w:tr w:rsidR="005C6948" w:rsidRPr="0036198E" w14:paraId="36683ABE"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3938" w:type="dxa"/>
          </w:tcPr>
          <w:p w14:paraId="1A617832" w14:textId="77777777" w:rsidR="005C6948" w:rsidRPr="0036198E" w:rsidRDefault="005C6948" w:rsidP="00652878">
            <w:pPr>
              <w:spacing w:line="360" w:lineRule="auto"/>
              <w:jc w:val="both"/>
              <w:rPr>
                <w:rFonts w:eastAsia="Arial"/>
              </w:rPr>
            </w:pPr>
            <w:r w:rsidRPr="0036198E">
              <w:rPr>
                <w:rFonts w:eastAsia="Arial"/>
              </w:rPr>
              <w:t xml:space="preserve">Net Income Continuous Operation </w:t>
            </w:r>
            <w:r w:rsidRPr="0036198E">
              <w:rPr>
                <w:rFonts w:eastAsia="Arial"/>
                <w:b w:val="0"/>
                <w:bCs w:val="0"/>
                <w:color w:val="000000"/>
              </w:rPr>
              <w:t>(£)</w:t>
            </w:r>
          </w:p>
        </w:tc>
        <w:tc>
          <w:tcPr>
            <w:tcW w:w="1900" w:type="dxa"/>
          </w:tcPr>
          <w:p w14:paraId="284CD747"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1,295,000</w:t>
            </w:r>
          </w:p>
        </w:tc>
        <w:tc>
          <w:tcPr>
            <w:tcW w:w="1900" w:type="dxa"/>
          </w:tcPr>
          <w:p w14:paraId="26EB92B7"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1,229,000</w:t>
            </w:r>
          </w:p>
        </w:tc>
      </w:tr>
      <w:tr w:rsidR="005C6948" w:rsidRPr="0036198E" w14:paraId="721C955F" w14:textId="77777777" w:rsidTr="00713B62">
        <w:trPr>
          <w:trHeight w:val="375"/>
        </w:trPr>
        <w:tc>
          <w:tcPr>
            <w:cnfStyle w:val="001000000000" w:firstRow="0" w:lastRow="0" w:firstColumn="1" w:lastColumn="0" w:oddVBand="0" w:evenVBand="0" w:oddHBand="0" w:evenHBand="0" w:firstRowFirstColumn="0" w:firstRowLastColumn="0" w:lastRowFirstColumn="0" w:lastRowLastColumn="0"/>
            <w:tcW w:w="3938" w:type="dxa"/>
          </w:tcPr>
          <w:p w14:paraId="57A250B5" w14:textId="77777777" w:rsidR="005C6948" w:rsidRPr="0036198E" w:rsidRDefault="005C6948" w:rsidP="00652878">
            <w:pPr>
              <w:spacing w:line="360" w:lineRule="auto"/>
              <w:jc w:val="both"/>
              <w:rPr>
                <w:rFonts w:eastAsia="Arial"/>
              </w:rPr>
            </w:pPr>
            <w:r w:rsidRPr="0036198E">
              <w:rPr>
                <w:rFonts w:eastAsia="Arial"/>
              </w:rPr>
              <w:t>Ordinary Shares Number</w:t>
            </w:r>
          </w:p>
        </w:tc>
        <w:tc>
          <w:tcPr>
            <w:tcW w:w="1900" w:type="dxa"/>
          </w:tcPr>
          <w:p w14:paraId="08FF06C0"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15,376,725.29</w:t>
            </w:r>
          </w:p>
        </w:tc>
        <w:tc>
          <w:tcPr>
            <w:tcW w:w="1900" w:type="dxa"/>
          </w:tcPr>
          <w:p w14:paraId="3AB2A2CE"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15,850,481.41</w:t>
            </w:r>
          </w:p>
        </w:tc>
      </w:tr>
      <w:tr w:rsidR="005C6948" w:rsidRPr="0036198E" w14:paraId="77F6C600"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3938" w:type="dxa"/>
          </w:tcPr>
          <w:p w14:paraId="4D9B43DD" w14:textId="77777777" w:rsidR="005C6948" w:rsidRPr="0036198E" w:rsidRDefault="005C6948" w:rsidP="00652878">
            <w:pPr>
              <w:spacing w:line="360" w:lineRule="auto"/>
              <w:jc w:val="both"/>
              <w:rPr>
                <w:rFonts w:eastAsia="Arial"/>
              </w:rPr>
            </w:pPr>
            <w:r w:rsidRPr="0036198E">
              <w:rPr>
                <w:rFonts w:eastAsia="Arial"/>
              </w:rPr>
              <w:t>EPS</w:t>
            </w:r>
          </w:p>
        </w:tc>
        <w:tc>
          <w:tcPr>
            <w:tcW w:w="1900" w:type="dxa"/>
          </w:tcPr>
          <w:p w14:paraId="588753EB"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0.084218192</w:t>
            </w:r>
          </w:p>
        </w:tc>
        <w:tc>
          <w:tcPr>
            <w:tcW w:w="1900" w:type="dxa"/>
          </w:tcPr>
          <w:p w14:paraId="5AAB4805"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0.077537077</w:t>
            </w:r>
          </w:p>
        </w:tc>
      </w:tr>
      <w:tr w:rsidR="005C6948" w:rsidRPr="0036198E" w14:paraId="2223CC68" w14:textId="77777777" w:rsidTr="00713B62">
        <w:trPr>
          <w:trHeight w:val="375"/>
        </w:trPr>
        <w:tc>
          <w:tcPr>
            <w:cnfStyle w:val="001000000000" w:firstRow="0" w:lastRow="0" w:firstColumn="1" w:lastColumn="0" w:oddVBand="0" w:evenVBand="0" w:oddHBand="0" w:evenHBand="0" w:firstRowFirstColumn="0" w:firstRowLastColumn="0" w:lastRowFirstColumn="0" w:lastRowLastColumn="0"/>
            <w:tcW w:w="3938" w:type="dxa"/>
          </w:tcPr>
          <w:p w14:paraId="5116D434" w14:textId="77777777" w:rsidR="005C6948" w:rsidRPr="0036198E" w:rsidRDefault="005C6948" w:rsidP="00652878">
            <w:pPr>
              <w:spacing w:line="360" w:lineRule="auto"/>
              <w:jc w:val="both"/>
              <w:rPr>
                <w:rFonts w:eastAsia="Arial"/>
              </w:rPr>
            </w:pPr>
            <w:r w:rsidRPr="0036198E">
              <w:rPr>
                <w:rFonts w:eastAsia="Arial"/>
              </w:rPr>
              <w:t>Share Price</w:t>
            </w:r>
          </w:p>
        </w:tc>
        <w:tc>
          <w:tcPr>
            <w:tcW w:w="1900" w:type="dxa"/>
          </w:tcPr>
          <w:p w14:paraId="73D79F70"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413.7</w:t>
            </w:r>
          </w:p>
        </w:tc>
        <w:tc>
          <w:tcPr>
            <w:tcW w:w="1900" w:type="dxa"/>
          </w:tcPr>
          <w:p w14:paraId="320C6FA5"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438.1</w:t>
            </w:r>
          </w:p>
        </w:tc>
      </w:tr>
      <w:tr w:rsidR="005C6948" w:rsidRPr="0036198E" w14:paraId="51560E18"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3938" w:type="dxa"/>
          </w:tcPr>
          <w:p w14:paraId="526585DA" w14:textId="77777777" w:rsidR="005C6948" w:rsidRPr="0036198E" w:rsidRDefault="005C6948" w:rsidP="00652878">
            <w:pPr>
              <w:spacing w:line="360" w:lineRule="auto"/>
              <w:jc w:val="both"/>
              <w:rPr>
                <w:rFonts w:eastAsia="Arial"/>
              </w:rPr>
            </w:pPr>
            <w:r w:rsidRPr="0036198E">
              <w:rPr>
                <w:rFonts w:eastAsia="Arial"/>
              </w:rPr>
              <w:t>P/E Ratio</w:t>
            </w:r>
          </w:p>
        </w:tc>
        <w:tc>
          <w:tcPr>
            <w:tcW w:w="1900" w:type="dxa"/>
          </w:tcPr>
          <w:p w14:paraId="1BCCCE65"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4912.240349</w:t>
            </w:r>
          </w:p>
        </w:tc>
        <w:tc>
          <w:tcPr>
            <w:tcW w:w="1900" w:type="dxa"/>
          </w:tcPr>
          <w:p w14:paraId="1B16B623"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5650.200086</w:t>
            </w:r>
          </w:p>
        </w:tc>
      </w:tr>
    </w:tbl>
    <w:p w14:paraId="6D677D17" w14:textId="77777777" w:rsidR="005C6948" w:rsidRPr="0036198E" w:rsidRDefault="005C6948" w:rsidP="005C6948">
      <w:pPr>
        <w:spacing w:line="360" w:lineRule="auto"/>
        <w:ind w:left="360"/>
        <w:rPr>
          <w:rFonts w:eastAsia="Arial"/>
          <w:szCs w:val="24"/>
        </w:rPr>
      </w:pPr>
    </w:p>
    <w:p w14:paraId="31FF8927" w14:textId="77777777" w:rsidR="00D32CD0" w:rsidRDefault="00D32CD0">
      <w:pPr>
        <w:spacing w:line="278" w:lineRule="auto"/>
        <w:rPr>
          <w:rFonts w:eastAsia="Arial"/>
          <w:b/>
          <w:bCs/>
          <w:szCs w:val="24"/>
        </w:rPr>
      </w:pPr>
      <w:r>
        <w:rPr>
          <w:rFonts w:eastAsia="Arial"/>
          <w:b/>
          <w:bCs/>
          <w:szCs w:val="24"/>
        </w:rPr>
        <w:br w:type="page"/>
      </w:r>
    </w:p>
    <w:p w14:paraId="3636DB69" w14:textId="702AB8C6" w:rsidR="005C6948" w:rsidRPr="0036198E" w:rsidRDefault="005C6948" w:rsidP="005C6948">
      <w:pPr>
        <w:spacing w:line="360" w:lineRule="auto"/>
        <w:jc w:val="both"/>
        <w:rPr>
          <w:rFonts w:eastAsia="Arial"/>
          <w:b/>
          <w:bCs/>
          <w:szCs w:val="24"/>
        </w:rPr>
      </w:pPr>
      <w:r w:rsidRPr="0036198E">
        <w:rPr>
          <w:rFonts w:eastAsia="Arial"/>
          <w:b/>
          <w:bCs/>
          <w:szCs w:val="24"/>
        </w:rPr>
        <w:lastRenderedPageBreak/>
        <w:t xml:space="preserve">Appendix N: Profitability Ratio </w:t>
      </w:r>
    </w:p>
    <w:tbl>
      <w:tblPr>
        <w:tblStyle w:val="GridTable4-Accent4"/>
        <w:tblW w:w="6132" w:type="dxa"/>
        <w:tblLayout w:type="fixed"/>
        <w:tblLook w:val="04A0" w:firstRow="1" w:lastRow="0" w:firstColumn="1" w:lastColumn="0" w:noHBand="0" w:noVBand="1"/>
      </w:tblPr>
      <w:tblGrid>
        <w:gridCol w:w="2812"/>
        <w:gridCol w:w="1660"/>
        <w:gridCol w:w="1660"/>
      </w:tblGrid>
      <w:tr w:rsidR="005C6948" w:rsidRPr="0036198E" w14:paraId="0CDEB8EA" w14:textId="77777777" w:rsidTr="00713B62">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812" w:type="dxa"/>
          </w:tcPr>
          <w:p w14:paraId="718C0EF4" w14:textId="77777777" w:rsidR="005C6948" w:rsidRPr="0036198E" w:rsidRDefault="005C6948" w:rsidP="00652878">
            <w:pPr>
              <w:spacing w:line="360" w:lineRule="auto"/>
              <w:rPr>
                <w:rFonts w:eastAsia="Arial"/>
              </w:rPr>
            </w:pPr>
            <w:r w:rsidRPr="0036198E">
              <w:rPr>
                <w:rFonts w:eastAsia="Arial"/>
              </w:rPr>
              <w:t>Ratio</w:t>
            </w:r>
          </w:p>
        </w:tc>
        <w:tc>
          <w:tcPr>
            <w:tcW w:w="1660" w:type="dxa"/>
          </w:tcPr>
          <w:p w14:paraId="25268F3E"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660" w:type="dxa"/>
          </w:tcPr>
          <w:p w14:paraId="535206E1"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r>
      <w:tr w:rsidR="005C6948" w:rsidRPr="0036198E" w14:paraId="0FD862B0"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812" w:type="dxa"/>
          </w:tcPr>
          <w:p w14:paraId="57688DF2" w14:textId="77777777" w:rsidR="005C6948" w:rsidRPr="0036198E" w:rsidRDefault="005C6948" w:rsidP="00652878">
            <w:pPr>
              <w:spacing w:line="360" w:lineRule="auto"/>
              <w:rPr>
                <w:rFonts w:eastAsia="Arial"/>
                <w:color w:val="000000"/>
              </w:rPr>
            </w:pPr>
            <w:r w:rsidRPr="0036198E">
              <w:rPr>
                <w:rFonts w:eastAsia="Arial"/>
                <w:color w:val="000000"/>
              </w:rPr>
              <w:t xml:space="preserve">Gross Profit </w:t>
            </w:r>
            <w:r w:rsidRPr="0036198E">
              <w:rPr>
                <w:rFonts w:eastAsia="Arial"/>
                <w:b w:val="0"/>
                <w:bCs w:val="0"/>
                <w:color w:val="000000"/>
              </w:rPr>
              <w:t>(£)</w:t>
            </w:r>
          </w:p>
        </w:tc>
        <w:tc>
          <w:tcPr>
            <w:tcW w:w="1660" w:type="dxa"/>
          </w:tcPr>
          <w:p w14:paraId="611A6BCE"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33,529,000</w:t>
            </w:r>
          </w:p>
        </w:tc>
        <w:tc>
          <w:tcPr>
            <w:tcW w:w="1660" w:type="dxa"/>
          </w:tcPr>
          <w:p w14:paraId="4DA6B772"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30,239,000</w:t>
            </w:r>
          </w:p>
        </w:tc>
      </w:tr>
      <w:tr w:rsidR="005C6948" w:rsidRPr="0036198E" w14:paraId="05EE3C80" w14:textId="77777777" w:rsidTr="00713B62">
        <w:trPr>
          <w:trHeight w:val="375"/>
        </w:trPr>
        <w:tc>
          <w:tcPr>
            <w:cnfStyle w:val="001000000000" w:firstRow="0" w:lastRow="0" w:firstColumn="1" w:lastColumn="0" w:oddVBand="0" w:evenVBand="0" w:oddHBand="0" w:evenHBand="0" w:firstRowFirstColumn="0" w:firstRowLastColumn="0" w:lastRowFirstColumn="0" w:lastRowLastColumn="0"/>
            <w:tcW w:w="2812" w:type="dxa"/>
          </w:tcPr>
          <w:p w14:paraId="7B4EBE58" w14:textId="77777777" w:rsidR="005C6948" w:rsidRPr="0036198E" w:rsidRDefault="005C6948" w:rsidP="00652878">
            <w:pPr>
              <w:spacing w:line="360" w:lineRule="auto"/>
              <w:rPr>
                <w:rFonts w:eastAsia="Arial"/>
                <w:color w:val="000000"/>
              </w:rPr>
            </w:pPr>
            <w:r w:rsidRPr="0036198E">
              <w:rPr>
                <w:rFonts w:eastAsia="Arial"/>
                <w:color w:val="000000"/>
              </w:rPr>
              <w:t>Cost of Revenue</w:t>
            </w:r>
            <w:r w:rsidRPr="0036198E">
              <w:rPr>
                <w:rFonts w:eastAsia="Arial"/>
              </w:rPr>
              <w:t xml:space="preserve"> </w:t>
            </w:r>
            <w:r w:rsidRPr="0036198E">
              <w:rPr>
                <w:rFonts w:eastAsia="Arial"/>
                <w:b w:val="0"/>
                <w:bCs w:val="0"/>
                <w:color w:val="000000"/>
              </w:rPr>
              <w:t>(£)</w:t>
            </w:r>
          </w:p>
        </w:tc>
        <w:tc>
          <w:tcPr>
            <w:tcW w:w="1660" w:type="dxa"/>
          </w:tcPr>
          <w:p w14:paraId="16E92FF4"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155,806,000</w:t>
            </w:r>
          </w:p>
        </w:tc>
        <w:tc>
          <w:tcPr>
            <w:tcW w:w="1660" w:type="dxa"/>
          </w:tcPr>
          <w:p w14:paraId="0AE17265"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158,946,000</w:t>
            </w:r>
          </w:p>
        </w:tc>
      </w:tr>
      <w:tr w:rsidR="005C6948" w:rsidRPr="0036198E" w14:paraId="31BEC5CC"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812" w:type="dxa"/>
          </w:tcPr>
          <w:p w14:paraId="1F93A9A2" w14:textId="77777777" w:rsidR="005C6948" w:rsidRPr="0036198E" w:rsidRDefault="005C6948" w:rsidP="00652878">
            <w:pPr>
              <w:spacing w:line="360" w:lineRule="auto"/>
              <w:rPr>
                <w:rFonts w:eastAsia="Arial"/>
                <w:color w:val="000000"/>
              </w:rPr>
            </w:pPr>
            <w:r w:rsidRPr="0036198E">
              <w:rPr>
                <w:rFonts w:eastAsia="Arial"/>
                <w:color w:val="000000"/>
              </w:rPr>
              <w:t>Operating Income</w:t>
            </w:r>
            <w:r w:rsidRPr="0036198E">
              <w:rPr>
                <w:rFonts w:eastAsia="Arial"/>
              </w:rPr>
              <w:t xml:space="preserve"> </w:t>
            </w:r>
            <w:r w:rsidRPr="0036198E">
              <w:rPr>
                <w:rFonts w:eastAsia="Arial"/>
                <w:b w:val="0"/>
                <w:bCs w:val="0"/>
                <w:color w:val="000000"/>
              </w:rPr>
              <w:t>(£)</w:t>
            </w:r>
          </w:p>
        </w:tc>
        <w:tc>
          <w:tcPr>
            <w:tcW w:w="1660" w:type="dxa"/>
          </w:tcPr>
          <w:p w14:paraId="7EDF68FD"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15,808,000</w:t>
            </w:r>
          </w:p>
        </w:tc>
        <w:tc>
          <w:tcPr>
            <w:tcW w:w="1660" w:type="dxa"/>
          </w:tcPr>
          <w:p w14:paraId="5BCBBA81"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13,615,000</w:t>
            </w:r>
          </w:p>
        </w:tc>
      </w:tr>
      <w:tr w:rsidR="005C6948" w:rsidRPr="0036198E" w14:paraId="0FD4229E" w14:textId="77777777" w:rsidTr="00713B62">
        <w:trPr>
          <w:trHeight w:val="375"/>
        </w:trPr>
        <w:tc>
          <w:tcPr>
            <w:cnfStyle w:val="001000000000" w:firstRow="0" w:lastRow="0" w:firstColumn="1" w:lastColumn="0" w:oddVBand="0" w:evenVBand="0" w:oddHBand="0" w:evenHBand="0" w:firstRowFirstColumn="0" w:firstRowLastColumn="0" w:lastRowFirstColumn="0" w:lastRowLastColumn="0"/>
            <w:tcW w:w="2812" w:type="dxa"/>
          </w:tcPr>
          <w:p w14:paraId="7EB70244" w14:textId="77777777" w:rsidR="005C6948" w:rsidRPr="0036198E" w:rsidRDefault="005C6948" w:rsidP="00652878">
            <w:pPr>
              <w:spacing w:line="360" w:lineRule="auto"/>
              <w:rPr>
                <w:rFonts w:eastAsia="Arial"/>
                <w:color w:val="000000"/>
              </w:rPr>
            </w:pPr>
            <w:r w:rsidRPr="0036198E">
              <w:rPr>
                <w:rFonts w:eastAsia="Arial"/>
                <w:color w:val="000000"/>
              </w:rPr>
              <w:t>Operating Expense</w:t>
            </w:r>
            <w:r w:rsidRPr="0036198E">
              <w:rPr>
                <w:rFonts w:eastAsia="Arial"/>
              </w:rPr>
              <w:t xml:space="preserve"> </w:t>
            </w:r>
            <w:r w:rsidRPr="0036198E">
              <w:rPr>
                <w:rFonts w:eastAsia="Arial"/>
                <w:b w:val="0"/>
                <w:bCs w:val="0"/>
                <w:color w:val="000000"/>
              </w:rPr>
              <w:t>(£)</w:t>
            </w:r>
          </w:p>
        </w:tc>
        <w:tc>
          <w:tcPr>
            <w:tcW w:w="1660" w:type="dxa"/>
          </w:tcPr>
          <w:p w14:paraId="4DDEDEC4"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17,721,000</w:t>
            </w:r>
          </w:p>
        </w:tc>
        <w:tc>
          <w:tcPr>
            <w:tcW w:w="1660" w:type="dxa"/>
          </w:tcPr>
          <w:p w14:paraId="7A14ECFA"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16,624,000</w:t>
            </w:r>
          </w:p>
        </w:tc>
      </w:tr>
      <w:tr w:rsidR="005C6948" w:rsidRPr="0036198E" w14:paraId="354122CA"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812" w:type="dxa"/>
          </w:tcPr>
          <w:p w14:paraId="5840BB2C" w14:textId="77777777" w:rsidR="005C6948" w:rsidRPr="0036198E" w:rsidRDefault="005C6948" w:rsidP="00652878">
            <w:pPr>
              <w:spacing w:line="360" w:lineRule="auto"/>
              <w:rPr>
                <w:rFonts w:eastAsia="Arial"/>
                <w:color w:val="000000"/>
              </w:rPr>
            </w:pPr>
            <w:r w:rsidRPr="0036198E">
              <w:rPr>
                <w:rFonts w:eastAsia="Arial"/>
                <w:color w:val="000000"/>
              </w:rPr>
              <w:t>Total Revenue</w:t>
            </w:r>
            <w:r w:rsidRPr="0036198E">
              <w:rPr>
                <w:rFonts w:eastAsia="Arial"/>
              </w:rPr>
              <w:t xml:space="preserve"> </w:t>
            </w:r>
            <w:r w:rsidRPr="0036198E">
              <w:rPr>
                <w:rFonts w:eastAsia="Arial"/>
                <w:b w:val="0"/>
                <w:bCs w:val="0"/>
                <w:color w:val="000000"/>
              </w:rPr>
              <w:t>(£)</w:t>
            </w:r>
          </w:p>
        </w:tc>
        <w:tc>
          <w:tcPr>
            <w:tcW w:w="1660" w:type="dxa"/>
          </w:tcPr>
          <w:p w14:paraId="46597488"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189,335,000</w:t>
            </w:r>
          </w:p>
        </w:tc>
        <w:tc>
          <w:tcPr>
            <w:tcW w:w="1660" w:type="dxa"/>
          </w:tcPr>
          <w:p w14:paraId="70D84E4F"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189,185,000</w:t>
            </w:r>
          </w:p>
        </w:tc>
      </w:tr>
      <w:tr w:rsidR="005C6948" w:rsidRPr="0036198E" w14:paraId="0D29557A" w14:textId="77777777" w:rsidTr="00713B62">
        <w:trPr>
          <w:trHeight w:val="375"/>
        </w:trPr>
        <w:tc>
          <w:tcPr>
            <w:cnfStyle w:val="001000000000" w:firstRow="0" w:lastRow="0" w:firstColumn="1" w:lastColumn="0" w:oddVBand="0" w:evenVBand="0" w:oddHBand="0" w:evenHBand="0" w:firstRowFirstColumn="0" w:firstRowLastColumn="0" w:lastRowFirstColumn="0" w:lastRowLastColumn="0"/>
            <w:tcW w:w="2812" w:type="dxa"/>
          </w:tcPr>
          <w:p w14:paraId="1EE05D0D" w14:textId="77777777" w:rsidR="005C6948" w:rsidRPr="0036198E" w:rsidRDefault="005C6948" w:rsidP="00652878">
            <w:pPr>
              <w:spacing w:line="360" w:lineRule="auto"/>
              <w:rPr>
                <w:rFonts w:eastAsia="Arial"/>
                <w:color w:val="000000"/>
              </w:rPr>
            </w:pPr>
            <w:r w:rsidRPr="0036198E">
              <w:rPr>
                <w:rFonts w:eastAsia="Arial"/>
                <w:color w:val="000000"/>
              </w:rPr>
              <w:t>Total Expenditure</w:t>
            </w:r>
            <w:r w:rsidRPr="0036198E">
              <w:rPr>
                <w:rFonts w:eastAsia="Arial"/>
              </w:rPr>
              <w:t xml:space="preserve"> </w:t>
            </w:r>
            <w:r w:rsidRPr="0036198E">
              <w:rPr>
                <w:rFonts w:eastAsia="Arial"/>
                <w:b w:val="0"/>
                <w:bCs w:val="0"/>
                <w:color w:val="000000"/>
              </w:rPr>
              <w:t>(£)</w:t>
            </w:r>
          </w:p>
        </w:tc>
        <w:tc>
          <w:tcPr>
            <w:tcW w:w="1660" w:type="dxa"/>
          </w:tcPr>
          <w:p w14:paraId="205E8202"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173,527,000</w:t>
            </w:r>
          </w:p>
        </w:tc>
        <w:tc>
          <w:tcPr>
            <w:tcW w:w="1660" w:type="dxa"/>
          </w:tcPr>
          <w:p w14:paraId="64AE48BD"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175,570,000</w:t>
            </w:r>
          </w:p>
        </w:tc>
      </w:tr>
      <w:tr w:rsidR="005C6948" w:rsidRPr="0036198E" w14:paraId="263CBAFF"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812" w:type="dxa"/>
          </w:tcPr>
          <w:p w14:paraId="05C0E27F" w14:textId="77777777" w:rsidR="005C6948" w:rsidRPr="0036198E" w:rsidRDefault="005C6948" w:rsidP="00652878">
            <w:pPr>
              <w:spacing w:line="360" w:lineRule="auto"/>
              <w:rPr>
                <w:rFonts w:eastAsia="Arial"/>
                <w:color w:val="000000"/>
              </w:rPr>
            </w:pPr>
            <w:r w:rsidRPr="0036198E">
              <w:rPr>
                <w:rFonts w:eastAsia="Arial"/>
                <w:color w:val="000000"/>
              </w:rPr>
              <w:t>EBIT</w:t>
            </w:r>
            <w:r w:rsidRPr="0036198E">
              <w:rPr>
                <w:rFonts w:eastAsia="Arial"/>
              </w:rPr>
              <w:t xml:space="preserve"> </w:t>
            </w:r>
            <w:r w:rsidRPr="0036198E">
              <w:rPr>
                <w:rFonts w:eastAsia="Arial"/>
                <w:b w:val="0"/>
                <w:bCs w:val="0"/>
                <w:color w:val="000000"/>
              </w:rPr>
              <w:t>(£)</w:t>
            </w:r>
          </w:p>
        </w:tc>
        <w:tc>
          <w:tcPr>
            <w:tcW w:w="1660" w:type="dxa"/>
          </w:tcPr>
          <w:p w14:paraId="53BDC5F4"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12,874,000</w:t>
            </w:r>
          </w:p>
        </w:tc>
        <w:tc>
          <w:tcPr>
            <w:tcW w:w="1660" w:type="dxa"/>
          </w:tcPr>
          <w:p w14:paraId="325FF4BD"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11,361,000</w:t>
            </w:r>
          </w:p>
        </w:tc>
      </w:tr>
      <w:tr w:rsidR="005C6948" w:rsidRPr="0036198E" w14:paraId="318CAB4D" w14:textId="77777777" w:rsidTr="00713B62">
        <w:trPr>
          <w:trHeight w:val="375"/>
        </w:trPr>
        <w:tc>
          <w:tcPr>
            <w:cnfStyle w:val="001000000000" w:firstRow="0" w:lastRow="0" w:firstColumn="1" w:lastColumn="0" w:oddVBand="0" w:evenVBand="0" w:oddHBand="0" w:evenHBand="0" w:firstRowFirstColumn="0" w:firstRowLastColumn="0" w:lastRowFirstColumn="0" w:lastRowLastColumn="0"/>
            <w:tcW w:w="2812" w:type="dxa"/>
          </w:tcPr>
          <w:p w14:paraId="02DE954B" w14:textId="77777777" w:rsidR="005C6948" w:rsidRPr="0036198E" w:rsidRDefault="005C6948" w:rsidP="00652878">
            <w:pPr>
              <w:spacing w:line="360" w:lineRule="auto"/>
              <w:rPr>
                <w:rFonts w:eastAsia="Arial"/>
                <w:color w:val="000000"/>
              </w:rPr>
            </w:pPr>
            <w:r w:rsidRPr="0036198E">
              <w:rPr>
                <w:rFonts w:eastAsia="Arial"/>
                <w:color w:val="000000"/>
              </w:rPr>
              <w:t>Total Assets</w:t>
            </w:r>
            <w:r w:rsidRPr="0036198E">
              <w:rPr>
                <w:rFonts w:eastAsia="Arial"/>
              </w:rPr>
              <w:t xml:space="preserve"> </w:t>
            </w:r>
            <w:r w:rsidRPr="0036198E">
              <w:rPr>
                <w:rFonts w:eastAsia="Arial"/>
                <w:b w:val="0"/>
                <w:bCs w:val="0"/>
                <w:color w:val="000000"/>
              </w:rPr>
              <w:t>(£)</w:t>
            </w:r>
          </w:p>
        </w:tc>
        <w:tc>
          <w:tcPr>
            <w:tcW w:w="1660" w:type="dxa"/>
          </w:tcPr>
          <w:p w14:paraId="30120AC1"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278,526,000</w:t>
            </w:r>
          </w:p>
        </w:tc>
        <w:tc>
          <w:tcPr>
            <w:tcW w:w="1660" w:type="dxa"/>
          </w:tcPr>
          <w:p w14:paraId="3F3363E9"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282,228,000</w:t>
            </w:r>
          </w:p>
        </w:tc>
      </w:tr>
      <w:tr w:rsidR="005C6948" w:rsidRPr="0036198E" w14:paraId="69756B19"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812" w:type="dxa"/>
          </w:tcPr>
          <w:p w14:paraId="7C9471A6" w14:textId="77777777" w:rsidR="005C6948" w:rsidRPr="0036198E" w:rsidRDefault="005C6948" w:rsidP="00652878">
            <w:pPr>
              <w:spacing w:line="360" w:lineRule="auto"/>
              <w:rPr>
                <w:rFonts w:eastAsia="Arial"/>
                <w:color w:val="000000"/>
              </w:rPr>
            </w:pPr>
            <w:r w:rsidRPr="0036198E">
              <w:rPr>
                <w:rFonts w:eastAsia="Arial"/>
                <w:color w:val="000000"/>
              </w:rPr>
              <w:t>Total Liabilities</w:t>
            </w:r>
            <w:r w:rsidRPr="0036198E">
              <w:rPr>
                <w:rFonts w:eastAsia="Arial"/>
              </w:rPr>
              <w:t xml:space="preserve"> </w:t>
            </w:r>
            <w:r w:rsidRPr="0036198E">
              <w:rPr>
                <w:rFonts w:eastAsia="Arial"/>
                <w:b w:val="0"/>
                <w:bCs w:val="0"/>
                <w:color w:val="000000"/>
              </w:rPr>
              <w:t>(£)</w:t>
            </w:r>
          </w:p>
        </w:tc>
        <w:tc>
          <w:tcPr>
            <w:tcW w:w="1660" w:type="dxa"/>
          </w:tcPr>
          <w:p w14:paraId="65D8F4D9"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204,526,000</w:t>
            </w:r>
          </w:p>
        </w:tc>
        <w:tc>
          <w:tcPr>
            <w:tcW w:w="1660" w:type="dxa"/>
          </w:tcPr>
          <w:p w14:paraId="4F36194C"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203,910,000</w:t>
            </w:r>
          </w:p>
        </w:tc>
      </w:tr>
      <w:tr w:rsidR="005C6948" w:rsidRPr="0036198E" w14:paraId="41DDABFC" w14:textId="77777777" w:rsidTr="00713B62">
        <w:trPr>
          <w:trHeight w:val="375"/>
        </w:trPr>
        <w:tc>
          <w:tcPr>
            <w:cnfStyle w:val="001000000000" w:firstRow="0" w:lastRow="0" w:firstColumn="1" w:lastColumn="0" w:oddVBand="0" w:evenVBand="0" w:oddHBand="0" w:evenHBand="0" w:firstRowFirstColumn="0" w:firstRowLastColumn="0" w:lastRowFirstColumn="0" w:lastRowLastColumn="0"/>
            <w:tcW w:w="2812" w:type="dxa"/>
          </w:tcPr>
          <w:p w14:paraId="589A8CE6" w14:textId="77777777" w:rsidR="005C6948" w:rsidRPr="0036198E" w:rsidRDefault="005C6948" w:rsidP="00652878">
            <w:pPr>
              <w:spacing w:line="360" w:lineRule="auto"/>
              <w:rPr>
                <w:rFonts w:eastAsia="Arial"/>
                <w:color w:val="000000"/>
              </w:rPr>
            </w:pPr>
            <w:r w:rsidRPr="0036198E">
              <w:rPr>
                <w:rFonts w:eastAsia="Arial"/>
                <w:color w:val="000000"/>
              </w:rPr>
              <w:t>Gross Profit Margin</w:t>
            </w:r>
          </w:p>
        </w:tc>
        <w:tc>
          <w:tcPr>
            <w:tcW w:w="1660" w:type="dxa"/>
          </w:tcPr>
          <w:p w14:paraId="3C1C4632"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17.71%</w:t>
            </w:r>
          </w:p>
        </w:tc>
        <w:tc>
          <w:tcPr>
            <w:tcW w:w="1660" w:type="dxa"/>
          </w:tcPr>
          <w:p w14:paraId="23BDC28F"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15.98%</w:t>
            </w:r>
          </w:p>
        </w:tc>
      </w:tr>
      <w:tr w:rsidR="005C6948" w:rsidRPr="0036198E" w14:paraId="24C8BA0D"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812" w:type="dxa"/>
          </w:tcPr>
          <w:p w14:paraId="701BB9B0" w14:textId="77777777" w:rsidR="005C6948" w:rsidRPr="0036198E" w:rsidRDefault="005C6948" w:rsidP="00652878">
            <w:pPr>
              <w:spacing w:line="360" w:lineRule="auto"/>
              <w:rPr>
                <w:rFonts w:eastAsia="Arial"/>
                <w:color w:val="000000"/>
              </w:rPr>
            </w:pPr>
            <w:r w:rsidRPr="0036198E">
              <w:rPr>
                <w:rFonts w:eastAsia="Arial"/>
                <w:color w:val="000000"/>
              </w:rPr>
              <w:t>Operating Profit Margin</w:t>
            </w:r>
          </w:p>
        </w:tc>
        <w:tc>
          <w:tcPr>
            <w:tcW w:w="1660" w:type="dxa"/>
          </w:tcPr>
          <w:p w14:paraId="72AF784A"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8.35%</w:t>
            </w:r>
          </w:p>
        </w:tc>
        <w:tc>
          <w:tcPr>
            <w:tcW w:w="1660" w:type="dxa"/>
          </w:tcPr>
          <w:p w14:paraId="50A6A9B1"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7.20%</w:t>
            </w:r>
          </w:p>
        </w:tc>
      </w:tr>
      <w:tr w:rsidR="005C6948" w:rsidRPr="0036198E" w14:paraId="31123A7A" w14:textId="77777777" w:rsidTr="00713B62">
        <w:trPr>
          <w:trHeight w:val="375"/>
        </w:trPr>
        <w:tc>
          <w:tcPr>
            <w:cnfStyle w:val="001000000000" w:firstRow="0" w:lastRow="0" w:firstColumn="1" w:lastColumn="0" w:oddVBand="0" w:evenVBand="0" w:oddHBand="0" w:evenHBand="0" w:firstRowFirstColumn="0" w:firstRowLastColumn="0" w:lastRowFirstColumn="0" w:lastRowLastColumn="0"/>
            <w:tcW w:w="2812" w:type="dxa"/>
          </w:tcPr>
          <w:p w14:paraId="43965AE4" w14:textId="77777777" w:rsidR="005C6948" w:rsidRPr="0036198E" w:rsidRDefault="005C6948" w:rsidP="00652878">
            <w:pPr>
              <w:spacing w:line="360" w:lineRule="auto"/>
              <w:rPr>
                <w:rFonts w:eastAsia="Arial"/>
                <w:color w:val="000000"/>
              </w:rPr>
            </w:pPr>
            <w:r w:rsidRPr="0036198E">
              <w:rPr>
                <w:rFonts w:eastAsia="Arial"/>
                <w:color w:val="000000"/>
              </w:rPr>
              <w:t>Net Profit Margin</w:t>
            </w:r>
          </w:p>
        </w:tc>
        <w:tc>
          <w:tcPr>
            <w:tcW w:w="1660" w:type="dxa"/>
          </w:tcPr>
          <w:p w14:paraId="7A29B251"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8.35%</w:t>
            </w:r>
          </w:p>
        </w:tc>
        <w:tc>
          <w:tcPr>
            <w:tcW w:w="1660" w:type="dxa"/>
          </w:tcPr>
          <w:p w14:paraId="2CAAD74C"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7.20%</w:t>
            </w:r>
          </w:p>
        </w:tc>
      </w:tr>
      <w:tr w:rsidR="005C6948" w:rsidRPr="0036198E" w14:paraId="467445FC"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812" w:type="dxa"/>
          </w:tcPr>
          <w:p w14:paraId="235A392E" w14:textId="77777777" w:rsidR="005C6948" w:rsidRPr="0036198E" w:rsidRDefault="005C6948" w:rsidP="00652878">
            <w:pPr>
              <w:spacing w:line="360" w:lineRule="auto"/>
              <w:rPr>
                <w:rFonts w:eastAsia="Arial"/>
                <w:color w:val="000000"/>
              </w:rPr>
            </w:pPr>
            <w:r w:rsidRPr="0036198E">
              <w:rPr>
                <w:rFonts w:eastAsia="Arial"/>
                <w:color w:val="000000"/>
              </w:rPr>
              <w:t>ROCE</w:t>
            </w:r>
          </w:p>
        </w:tc>
        <w:tc>
          <w:tcPr>
            <w:tcW w:w="1660" w:type="dxa"/>
          </w:tcPr>
          <w:p w14:paraId="575071E7"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17.40%</w:t>
            </w:r>
          </w:p>
        </w:tc>
        <w:tc>
          <w:tcPr>
            <w:tcW w:w="1660" w:type="dxa"/>
          </w:tcPr>
          <w:p w14:paraId="442E7CBD"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14.51%</w:t>
            </w:r>
          </w:p>
        </w:tc>
      </w:tr>
    </w:tbl>
    <w:p w14:paraId="75ADC0E4" w14:textId="77777777" w:rsidR="005C6948" w:rsidRPr="0036198E" w:rsidRDefault="005C6948" w:rsidP="005C6948">
      <w:pPr>
        <w:spacing w:line="360" w:lineRule="auto"/>
        <w:jc w:val="both"/>
        <w:rPr>
          <w:rFonts w:eastAsia="Arial"/>
          <w:szCs w:val="24"/>
        </w:rPr>
      </w:pPr>
    </w:p>
    <w:p w14:paraId="3F0E051C" w14:textId="77777777" w:rsidR="00713B62" w:rsidRPr="0036198E" w:rsidRDefault="00713B62" w:rsidP="005C6948">
      <w:pPr>
        <w:spacing w:line="360" w:lineRule="auto"/>
        <w:jc w:val="both"/>
        <w:rPr>
          <w:rFonts w:eastAsia="Arial"/>
          <w:b/>
          <w:bCs/>
          <w:szCs w:val="24"/>
        </w:rPr>
      </w:pPr>
    </w:p>
    <w:p w14:paraId="25CDDDB2" w14:textId="3C37ADA9" w:rsidR="005C6948" w:rsidRPr="0036198E" w:rsidRDefault="005C6948" w:rsidP="005C6948">
      <w:pPr>
        <w:spacing w:line="360" w:lineRule="auto"/>
        <w:jc w:val="both"/>
        <w:rPr>
          <w:rFonts w:eastAsia="Arial"/>
          <w:b/>
          <w:bCs/>
          <w:szCs w:val="24"/>
        </w:rPr>
      </w:pPr>
      <w:r w:rsidRPr="0036198E">
        <w:rPr>
          <w:rFonts w:eastAsia="Arial"/>
          <w:b/>
          <w:bCs/>
          <w:szCs w:val="24"/>
        </w:rPr>
        <w:t xml:space="preserve">Appendix O: Current Ratio </w:t>
      </w:r>
    </w:p>
    <w:tbl>
      <w:tblPr>
        <w:tblStyle w:val="GridTable4-Accent4"/>
        <w:tblW w:w="5723" w:type="dxa"/>
        <w:tblLayout w:type="fixed"/>
        <w:tblLook w:val="04A0" w:firstRow="1" w:lastRow="0" w:firstColumn="1" w:lastColumn="0" w:noHBand="0" w:noVBand="1"/>
      </w:tblPr>
      <w:tblGrid>
        <w:gridCol w:w="2029"/>
        <w:gridCol w:w="1847"/>
        <w:gridCol w:w="1847"/>
      </w:tblGrid>
      <w:tr w:rsidR="005C6948" w:rsidRPr="0036198E" w14:paraId="6377F8C0" w14:textId="77777777" w:rsidTr="00713B62">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029" w:type="dxa"/>
          </w:tcPr>
          <w:p w14:paraId="65BEBAAC" w14:textId="77777777" w:rsidR="005C6948" w:rsidRPr="0036198E" w:rsidRDefault="005C6948" w:rsidP="00652878">
            <w:pPr>
              <w:spacing w:line="360" w:lineRule="auto"/>
              <w:jc w:val="both"/>
              <w:rPr>
                <w:rFonts w:eastAsia="Arial"/>
              </w:rPr>
            </w:pPr>
            <w:r w:rsidRPr="0036198E">
              <w:rPr>
                <w:rFonts w:eastAsia="Arial"/>
              </w:rPr>
              <w:t>Column1</w:t>
            </w:r>
          </w:p>
        </w:tc>
        <w:tc>
          <w:tcPr>
            <w:tcW w:w="1847" w:type="dxa"/>
          </w:tcPr>
          <w:p w14:paraId="610C3D7C"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847" w:type="dxa"/>
          </w:tcPr>
          <w:p w14:paraId="2D9FB88E"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r>
      <w:tr w:rsidR="005C6948" w:rsidRPr="0036198E" w14:paraId="7B1A395D" w14:textId="77777777" w:rsidTr="00713B62">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2029" w:type="dxa"/>
          </w:tcPr>
          <w:p w14:paraId="0C8EBD70" w14:textId="77777777" w:rsidR="005C6948" w:rsidRPr="0036198E" w:rsidRDefault="005C6948" w:rsidP="00652878">
            <w:pPr>
              <w:spacing w:line="360" w:lineRule="auto"/>
              <w:jc w:val="both"/>
              <w:rPr>
                <w:rFonts w:eastAsia="Arial"/>
              </w:rPr>
            </w:pPr>
            <w:r w:rsidRPr="0036198E">
              <w:rPr>
                <w:rFonts w:eastAsia="Arial"/>
              </w:rPr>
              <w:t xml:space="preserve">Current Assets </w:t>
            </w:r>
            <w:r w:rsidRPr="0036198E">
              <w:rPr>
                <w:rFonts w:eastAsia="Arial"/>
                <w:b w:val="0"/>
                <w:bCs w:val="0"/>
                <w:color w:val="000000"/>
              </w:rPr>
              <w:t>(£)</w:t>
            </w:r>
          </w:p>
        </w:tc>
        <w:tc>
          <w:tcPr>
            <w:tcW w:w="1847" w:type="dxa"/>
          </w:tcPr>
          <w:p w14:paraId="5B062370"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101,786,000</w:t>
            </w:r>
          </w:p>
        </w:tc>
        <w:tc>
          <w:tcPr>
            <w:tcW w:w="1847" w:type="dxa"/>
          </w:tcPr>
          <w:p w14:paraId="158A70E8"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102,834,000</w:t>
            </w:r>
          </w:p>
        </w:tc>
      </w:tr>
      <w:tr w:rsidR="005C6948" w:rsidRPr="0036198E" w14:paraId="33D9EFB0" w14:textId="77777777" w:rsidTr="00713B62">
        <w:trPr>
          <w:trHeight w:val="375"/>
        </w:trPr>
        <w:tc>
          <w:tcPr>
            <w:cnfStyle w:val="001000000000" w:firstRow="0" w:lastRow="0" w:firstColumn="1" w:lastColumn="0" w:oddVBand="0" w:evenVBand="0" w:oddHBand="0" w:evenHBand="0" w:firstRowFirstColumn="0" w:firstRowLastColumn="0" w:lastRowFirstColumn="0" w:lastRowLastColumn="0"/>
            <w:tcW w:w="2029" w:type="dxa"/>
          </w:tcPr>
          <w:p w14:paraId="381790C2" w14:textId="77777777" w:rsidR="005C6948" w:rsidRPr="0036198E" w:rsidRDefault="005C6948" w:rsidP="00652878">
            <w:pPr>
              <w:spacing w:line="360" w:lineRule="auto"/>
              <w:jc w:val="both"/>
              <w:rPr>
                <w:rFonts w:eastAsia="Arial"/>
              </w:rPr>
            </w:pPr>
            <w:r w:rsidRPr="0036198E">
              <w:rPr>
                <w:rFonts w:eastAsia="Arial"/>
              </w:rPr>
              <w:t xml:space="preserve">Current Liabilities </w:t>
            </w:r>
            <w:r w:rsidRPr="0036198E">
              <w:rPr>
                <w:rFonts w:eastAsia="Arial"/>
                <w:b w:val="0"/>
                <w:bCs w:val="0"/>
                <w:color w:val="000000"/>
              </w:rPr>
              <w:t>(£)</w:t>
            </w:r>
          </w:p>
        </w:tc>
        <w:tc>
          <w:tcPr>
            <w:tcW w:w="1847" w:type="dxa"/>
          </w:tcPr>
          <w:p w14:paraId="7B193292"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80,581,000</w:t>
            </w:r>
          </w:p>
        </w:tc>
        <w:tc>
          <w:tcPr>
            <w:tcW w:w="1847" w:type="dxa"/>
          </w:tcPr>
          <w:p w14:paraId="10B611EA"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82,241,000</w:t>
            </w:r>
          </w:p>
        </w:tc>
      </w:tr>
      <w:tr w:rsidR="005C6948" w:rsidRPr="0036198E" w14:paraId="13D72814"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029" w:type="dxa"/>
          </w:tcPr>
          <w:p w14:paraId="4ACCF6D2" w14:textId="77777777" w:rsidR="005C6948" w:rsidRPr="0036198E" w:rsidRDefault="005C6948" w:rsidP="00652878">
            <w:pPr>
              <w:spacing w:line="360" w:lineRule="auto"/>
              <w:jc w:val="both"/>
              <w:rPr>
                <w:rFonts w:eastAsia="Arial"/>
              </w:rPr>
            </w:pPr>
            <w:r w:rsidRPr="0036198E">
              <w:rPr>
                <w:rFonts w:eastAsia="Arial"/>
              </w:rPr>
              <w:t xml:space="preserve">Inventories </w:t>
            </w:r>
            <w:r w:rsidRPr="0036198E">
              <w:rPr>
                <w:rFonts w:eastAsia="Arial"/>
                <w:b w:val="0"/>
                <w:bCs w:val="0"/>
                <w:color w:val="000000"/>
              </w:rPr>
              <w:t>(£)</w:t>
            </w:r>
          </w:p>
        </w:tc>
        <w:tc>
          <w:tcPr>
            <w:tcW w:w="1847" w:type="dxa"/>
          </w:tcPr>
          <w:p w14:paraId="3425C5DC"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22,499,000</w:t>
            </w:r>
          </w:p>
        </w:tc>
        <w:tc>
          <w:tcPr>
            <w:tcW w:w="1847" w:type="dxa"/>
          </w:tcPr>
          <w:p w14:paraId="28244E28"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23,232,000</w:t>
            </w:r>
          </w:p>
        </w:tc>
      </w:tr>
      <w:tr w:rsidR="005C6948" w:rsidRPr="0036198E" w14:paraId="1D42B843" w14:textId="77777777" w:rsidTr="00713B62">
        <w:trPr>
          <w:trHeight w:val="375"/>
        </w:trPr>
        <w:tc>
          <w:tcPr>
            <w:cnfStyle w:val="001000000000" w:firstRow="0" w:lastRow="0" w:firstColumn="1" w:lastColumn="0" w:oddVBand="0" w:evenVBand="0" w:oddHBand="0" w:evenHBand="0" w:firstRowFirstColumn="0" w:firstRowLastColumn="0" w:lastRowFirstColumn="0" w:lastRowLastColumn="0"/>
            <w:tcW w:w="2029" w:type="dxa"/>
          </w:tcPr>
          <w:p w14:paraId="40294F0C" w14:textId="77777777" w:rsidR="005C6948" w:rsidRPr="0036198E" w:rsidRDefault="005C6948" w:rsidP="00652878">
            <w:pPr>
              <w:spacing w:line="360" w:lineRule="auto"/>
              <w:jc w:val="both"/>
              <w:rPr>
                <w:rFonts w:eastAsia="Arial"/>
              </w:rPr>
            </w:pPr>
            <w:r w:rsidRPr="0036198E">
              <w:rPr>
                <w:rFonts w:eastAsia="Arial"/>
              </w:rPr>
              <w:t>Current Ratio</w:t>
            </w:r>
          </w:p>
        </w:tc>
        <w:tc>
          <w:tcPr>
            <w:tcW w:w="1847" w:type="dxa"/>
          </w:tcPr>
          <w:p w14:paraId="0BCA59A7"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1.263151363</w:t>
            </w:r>
          </w:p>
        </w:tc>
        <w:tc>
          <w:tcPr>
            <w:tcW w:w="1847" w:type="dxa"/>
          </w:tcPr>
          <w:p w14:paraId="6CDE0A6C"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1.25039822</w:t>
            </w:r>
          </w:p>
        </w:tc>
      </w:tr>
      <w:tr w:rsidR="005C6948" w:rsidRPr="0036198E" w14:paraId="1C56FF5C" w14:textId="77777777" w:rsidTr="00713B6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029" w:type="dxa"/>
          </w:tcPr>
          <w:p w14:paraId="23A3B2E4" w14:textId="77777777" w:rsidR="005C6948" w:rsidRPr="0036198E" w:rsidRDefault="005C6948" w:rsidP="00652878">
            <w:pPr>
              <w:spacing w:line="360" w:lineRule="auto"/>
              <w:jc w:val="both"/>
              <w:rPr>
                <w:rFonts w:eastAsia="Arial"/>
              </w:rPr>
            </w:pPr>
            <w:r w:rsidRPr="0036198E">
              <w:rPr>
                <w:rFonts w:eastAsia="Arial"/>
              </w:rPr>
              <w:t>Quick Ratio</w:t>
            </w:r>
          </w:p>
        </w:tc>
        <w:tc>
          <w:tcPr>
            <w:tcW w:w="1847" w:type="dxa"/>
          </w:tcPr>
          <w:p w14:paraId="5A12926B"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0.983941624</w:t>
            </w:r>
          </w:p>
        </w:tc>
        <w:tc>
          <w:tcPr>
            <w:tcW w:w="1847" w:type="dxa"/>
          </w:tcPr>
          <w:p w14:paraId="1587F88D"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0.967911382</w:t>
            </w:r>
          </w:p>
        </w:tc>
      </w:tr>
    </w:tbl>
    <w:p w14:paraId="508F207F" w14:textId="77777777" w:rsidR="005C6948" w:rsidRPr="0036198E" w:rsidRDefault="005C6948" w:rsidP="005C6948">
      <w:pPr>
        <w:spacing w:line="360" w:lineRule="auto"/>
        <w:jc w:val="both"/>
        <w:rPr>
          <w:rFonts w:eastAsia="Arial"/>
          <w:b/>
          <w:bCs/>
          <w:szCs w:val="24"/>
        </w:rPr>
      </w:pPr>
    </w:p>
    <w:p w14:paraId="57D1DBFC" w14:textId="77777777" w:rsidR="00D32CD0" w:rsidRDefault="00D32CD0">
      <w:pPr>
        <w:spacing w:line="278" w:lineRule="auto"/>
        <w:rPr>
          <w:rFonts w:eastAsia="Arial"/>
          <w:b/>
          <w:bCs/>
          <w:szCs w:val="24"/>
        </w:rPr>
      </w:pPr>
      <w:r>
        <w:rPr>
          <w:rFonts w:eastAsia="Arial"/>
          <w:b/>
          <w:bCs/>
          <w:szCs w:val="24"/>
        </w:rPr>
        <w:br w:type="page"/>
      </w:r>
    </w:p>
    <w:p w14:paraId="1DDE8B32" w14:textId="333D7582" w:rsidR="005C6948" w:rsidRPr="0036198E" w:rsidRDefault="005C6948" w:rsidP="00713B62">
      <w:pPr>
        <w:spacing w:line="278" w:lineRule="auto"/>
        <w:rPr>
          <w:rFonts w:eastAsia="Arial"/>
          <w:b/>
          <w:bCs/>
          <w:szCs w:val="24"/>
        </w:rPr>
      </w:pPr>
      <w:r w:rsidRPr="0036198E">
        <w:rPr>
          <w:rFonts w:eastAsia="Arial"/>
          <w:b/>
          <w:bCs/>
          <w:szCs w:val="24"/>
        </w:rPr>
        <w:lastRenderedPageBreak/>
        <w:t xml:space="preserve">Appendix P: Efficiency Ratio </w:t>
      </w:r>
    </w:p>
    <w:tbl>
      <w:tblPr>
        <w:tblStyle w:val="GridTable4-Accent4"/>
        <w:tblW w:w="9042" w:type="dxa"/>
        <w:tblLayout w:type="fixed"/>
        <w:tblLook w:val="04A0" w:firstRow="1" w:lastRow="0" w:firstColumn="1" w:lastColumn="0" w:noHBand="0" w:noVBand="1"/>
      </w:tblPr>
      <w:tblGrid>
        <w:gridCol w:w="4062"/>
        <w:gridCol w:w="1660"/>
        <w:gridCol w:w="1660"/>
        <w:gridCol w:w="1660"/>
      </w:tblGrid>
      <w:tr w:rsidR="005C6948" w:rsidRPr="0036198E" w14:paraId="06DC06F2" w14:textId="77777777" w:rsidTr="000A1CB4">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4062" w:type="dxa"/>
          </w:tcPr>
          <w:p w14:paraId="7D8EB595" w14:textId="77777777" w:rsidR="005C6948" w:rsidRPr="0036198E" w:rsidRDefault="005C6948" w:rsidP="00652878">
            <w:pPr>
              <w:spacing w:line="360" w:lineRule="auto"/>
              <w:rPr>
                <w:rFonts w:eastAsia="Arial"/>
              </w:rPr>
            </w:pPr>
            <w:r w:rsidRPr="0036198E">
              <w:rPr>
                <w:rFonts w:eastAsia="Arial"/>
              </w:rPr>
              <w:t>Column1</w:t>
            </w:r>
          </w:p>
        </w:tc>
        <w:tc>
          <w:tcPr>
            <w:tcW w:w="1660" w:type="dxa"/>
          </w:tcPr>
          <w:p w14:paraId="66D90CB6"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660" w:type="dxa"/>
          </w:tcPr>
          <w:p w14:paraId="2FC99E6D"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c>
          <w:tcPr>
            <w:tcW w:w="1660" w:type="dxa"/>
          </w:tcPr>
          <w:p w14:paraId="64CF7C2F"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2023</w:t>
            </w:r>
          </w:p>
        </w:tc>
      </w:tr>
      <w:tr w:rsidR="005C6948" w:rsidRPr="0036198E" w14:paraId="0A62AC22" w14:textId="77777777" w:rsidTr="000A1CB4">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4062" w:type="dxa"/>
          </w:tcPr>
          <w:p w14:paraId="42032CA8" w14:textId="77777777" w:rsidR="005C6948" w:rsidRPr="0036198E" w:rsidRDefault="005C6948" w:rsidP="00652878">
            <w:pPr>
              <w:spacing w:line="360" w:lineRule="auto"/>
              <w:rPr>
                <w:rFonts w:eastAsia="Arial"/>
                <w:color w:val="000000"/>
              </w:rPr>
            </w:pPr>
            <w:r w:rsidRPr="0036198E">
              <w:rPr>
                <w:rFonts w:eastAsia="Arial"/>
                <w:color w:val="000000"/>
              </w:rPr>
              <w:t>Total Revenue</w:t>
            </w:r>
            <w:r w:rsidRPr="0036198E">
              <w:rPr>
                <w:rFonts w:eastAsia="Arial"/>
              </w:rPr>
              <w:t xml:space="preserve"> </w:t>
            </w:r>
            <w:r w:rsidRPr="0036198E">
              <w:rPr>
                <w:rFonts w:eastAsia="Arial"/>
                <w:b w:val="0"/>
                <w:bCs w:val="0"/>
                <w:color w:val="000000"/>
              </w:rPr>
              <w:t>(£)</w:t>
            </w:r>
          </w:p>
        </w:tc>
        <w:tc>
          <w:tcPr>
            <w:tcW w:w="1660" w:type="dxa"/>
          </w:tcPr>
          <w:p w14:paraId="0ED51275"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189,335,000</w:t>
            </w:r>
          </w:p>
        </w:tc>
        <w:tc>
          <w:tcPr>
            <w:tcW w:w="1660" w:type="dxa"/>
          </w:tcPr>
          <w:p w14:paraId="1F31DBC9"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189,185,000</w:t>
            </w:r>
          </w:p>
        </w:tc>
        <w:tc>
          <w:tcPr>
            <w:tcW w:w="1660" w:type="dxa"/>
          </w:tcPr>
          <w:p w14:paraId="56C97A38"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210,130,000</w:t>
            </w:r>
          </w:p>
        </w:tc>
      </w:tr>
      <w:tr w:rsidR="005C6948" w:rsidRPr="0036198E" w14:paraId="4872507D" w14:textId="77777777" w:rsidTr="000A1CB4">
        <w:trPr>
          <w:trHeight w:val="375"/>
        </w:trPr>
        <w:tc>
          <w:tcPr>
            <w:cnfStyle w:val="001000000000" w:firstRow="0" w:lastRow="0" w:firstColumn="1" w:lastColumn="0" w:oddVBand="0" w:evenVBand="0" w:oddHBand="0" w:evenHBand="0" w:firstRowFirstColumn="0" w:firstRowLastColumn="0" w:lastRowFirstColumn="0" w:lastRowLastColumn="0"/>
            <w:tcW w:w="4062" w:type="dxa"/>
          </w:tcPr>
          <w:p w14:paraId="06725C83" w14:textId="77777777" w:rsidR="005C6948" w:rsidRPr="0036198E" w:rsidRDefault="005C6948" w:rsidP="00652878">
            <w:pPr>
              <w:spacing w:line="360" w:lineRule="auto"/>
              <w:rPr>
                <w:rFonts w:eastAsia="Arial"/>
                <w:color w:val="000000"/>
              </w:rPr>
            </w:pPr>
            <w:r w:rsidRPr="0036198E">
              <w:rPr>
                <w:rFonts w:eastAsia="Arial"/>
                <w:color w:val="000000"/>
              </w:rPr>
              <w:t>Total Assets</w:t>
            </w:r>
            <w:r w:rsidRPr="0036198E">
              <w:rPr>
                <w:rFonts w:eastAsia="Arial"/>
              </w:rPr>
              <w:t xml:space="preserve"> </w:t>
            </w:r>
            <w:r w:rsidRPr="0036198E">
              <w:rPr>
                <w:rFonts w:eastAsia="Arial"/>
                <w:b w:val="0"/>
                <w:bCs w:val="0"/>
                <w:color w:val="000000"/>
              </w:rPr>
              <w:t>(£)</w:t>
            </w:r>
          </w:p>
        </w:tc>
        <w:tc>
          <w:tcPr>
            <w:tcW w:w="1660" w:type="dxa"/>
          </w:tcPr>
          <w:p w14:paraId="6C53BDFE"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278,526,000</w:t>
            </w:r>
          </w:p>
        </w:tc>
        <w:tc>
          <w:tcPr>
            <w:tcW w:w="1660" w:type="dxa"/>
          </w:tcPr>
          <w:p w14:paraId="63ACA026"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282,228,000</w:t>
            </w:r>
          </w:p>
        </w:tc>
        <w:tc>
          <w:tcPr>
            <w:tcW w:w="1660" w:type="dxa"/>
          </w:tcPr>
          <w:p w14:paraId="7088BAC7"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280,294,000</w:t>
            </w:r>
          </w:p>
        </w:tc>
      </w:tr>
      <w:tr w:rsidR="005C6948" w:rsidRPr="0036198E" w14:paraId="7BBA7A8E" w14:textId="77777777" w:rsidTr="000A1CB4">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4062" w:type="dxa"/>
          </w:tcPr>
          <w:p w14:paraId="6486B056" w14:textId="77777777" w:rsidR="005C6948" w:rsidRPr="0036198E" w:rsidRDefault="005C6948" w:rsidP="00652878">
            <w:pPr>
              <w:spacing w:line="360" w:lineRule="auto"/>
              <w:rPr>
                <w:rFonts w:eastAsia="Arial"/>
                <w:color w:val="000000"/>
              </w:rPr>
            </w:pPr>
            <w:r w:rsidRPr="0036198E">
              <w:rPr>
                <w:rFonts w:eastAsia="Arial"/>
                <w:color w:val="000000"/>
              </w:rPr>
              <w:t>COGS</w:t>
            </w:r>
            <w:r w:rsidRPr="0036198E">
              <w:rPr>
                <w:rFonts w:eastAsia="Arial"/>
              </w:rPr>
              <w:t xml:space="preserve"> </w:t>
            </w:r>
            <w:r w:rsidRPr="0036198E">
              <w:rPr>
                <w:rFonts w:eastAsia="Arial"/>
                <w:b w:val="0"/>
                <w:bCs w:val="0"/>
                <w:color w:val="000000"/>
              </w:rPr>
              <w:t>(£)</w:t>
            </w:r>
          </w:p>
        </w:tc>
        <w:tc>
          <w:tcPr>
            <w:tcW w:w="1660" w:type="dxa"/>
          </w:tcPr>
          <w:p w14:paraId="1E27C6C9"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110,640,000</w:t>
            </w:r>
          </w:p>
        </w:tc>
        <w:tc>
          <w:tcPr>
            <w:tcW w:w="1660" w:type="dxa"/>
          </w:tcPr>
          <w:p w14:paraId="7701C3F0"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113,941,000</w:t>
            </w:r>
          </w:p>
        </w:tc>
        <w:tc>
          <w:tcPr>
            <w:tcW w:w="1660" w:type="dxa"/>
          </w:tcPr>
          <w:p w14:paraId="19C6D3DD"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119,307,000</w:t>
            </w:r>
          </w:p>
        </w:tc>
      </w:tr>
      <w:tr w:rsidR="005C6948" w:rsidRPr="0036198E" w14:paraId="4165DBC4" w14:textId="77777777" w:rsidTr="000A1CB4">
        <w:trPr>
          <w:trHeight w:val="375"/>
        </w:trPr>
        <w:tc>
          <w:tcPr>
            <w:cnfStyle w:val="001000000000" w:firstRow="0" w:lastRow="0" w:firstColumn="1" w:lastColumn="0" w:oddVBand="0" w:evenVBand="0" w:oddHBand="0" w:evenHBand="0" w:firstRowFirstColumn="0" w:firstRowLastColumn="0" w:lastRowFirstColumn="0" w:lastRowLastColumn="0"/>
            <w:tcW w:w="4062" w:type="dxa"/>
          </w:tcPr>
          <w:p w14:paraId="3BFC9F69" w14:textId="77777777" w:rsidR="005C6948" w:rsidRPr="0036198E" w:rsidRDefault="005C6948" w:rsidP="00652878">
            <w:pPr>
              <w:spacing w:line="360" w:lineRule="auto"/>
              <w:rPr>
                <w:rFonts w:eastAsia="Arial"/>
                <w:color w:val="000000"/>
              </w:rPr>
            </w:pPr>
            <w:r w:rsidRPr="0036198E">
              <w:rPr>
                <w:rFonts w:eastAsia="Arial"/>
                <w:color w:val="000000"/>
              </w:rPr>
              <w:t>Inventory (Closing)</w:t>
            </w:r>
            <w:r w:rsidRPr="0036198E">
              <w:rPr>
                <w:rFonts w:eastAsia="Arial"/>
              </w:rPr>
              <w:t xml:space="preserve"> </w:t>
            </w:r>
            <w:r w:rsidRPr="0036198E">
              <w:rPr>
                <w:rFonts w:eastAsia="Arial"/>
                <w:b w:val="0"/>
                <w:bCs w:val="0"/>
                <w:color w:val="000000"/>
              </w:rPr>
              <w:t>(£)</w:t>
            </w:r>
          </w:p>
        </w:tc>
        <w:tc>
          <w:tcPr>
            <w:tcW w:w="1660" w:type="dxa"/>
          </w:tcPr>
          <w:p w14:paraId="657C4281"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22,499,000</w:t>
            </w:r>
          </w:p>
        </w:tc>
        <w:tc>
          <w:tcPr>
            <w:tcW w:w="1660" w:type="dxa"/>
          </w:tcPr>
          <w:p w14:paraId="6B103404"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23,232,000</w:t>
            </w:r>
          </w:p>
        </w:tc>
        <w:tc>
          <w:tcPr>
            <w:tcW w:w="1660" w:type="dxa"/>
          </w:tcPr>
          <w:p w14:paraId="67A85F88"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22,819,000</w:t>
            </w:r>
          </w:p>
        </w:tc>
      </w:tr>
      <w:tr w:rsidR="005C6948" w:rsidRPr="0036198E" w14:paraId="49BEBC82" w14:textId="77777777" w:rsidTr="000A1CB4">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4062" w:type="dxa"/>
          </w:tcPr>
          <w:p w14:paraId="7BACD59A" w14:textId="77777777" w:rsidR="005C6948" w:rsidRPr="0036198E" w:rsidRDefault="005C6948" w:rsidP="00652878">
            <w:pPr>
              <w:spacing w:line="360" w:lineRule="auto"/>
              <w:rPr>
                <w:rFonts w:eastAsia="Arial"/>
                <w:color w:val="000000"/>
              </w:rPr>
            </w:pPr>
            <w:r w:rsidRPr="0036198E">
              <w:rPr>
                <w:rFonts w:eastAsia="Arial"/>
                <w:color w:val="000000"/>
              </w:rPr>
              <w:t>Average Inventory</w:t>
            </w:r>
            <w:r w:rsidRPr="0036198E">
              <w:rPr>
                <w:rFonts w:eastAsia="Arial"/>
              </w:rPr>
              <w:t xml:space="preserve"> </w:t>
            </w:r>
            <w:r w:rsidRPr="0036198E">
              <w:rPr>
                <w:rFonts w:eastAsia="Arial"/>
                <w:b w:val="0"/>
                <w:bCs w:val="0"/>
                <w:color w:val="000000"/>
              </w:rPr>
              <w:t>(£)</w:t>
            </w:r>
          </w:p>
        </w:tc>
        <w:tc>
          <w:tcPr>
            <w:tcW w:w="1660" w:type="dxa"/>
          </w:tcPr>
          <w:p w14:paraId="308B6843"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22,865,500</w:t>
            </w:r>
          </w:p>
        </w:tc>
        <w:tc>
          <w:tcPr>
            <w:tcW w:w="1660" w:type="dxa"/>
          </w:tcPr>
          <w:p w14:paraId="6F2B9ACB"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23,025,500</w:t>
            </w:r>
          </w:p>
        </w:tc>
        <w:tc>
          <w:tcPr>
            <w:tcW w:w="1660" w:type="dxa"/>
          </w:tcPr>
          <w:p w14:paraId="76DE5062"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p>
        </w:tc>
      </w:tr>
      <w:tr w:rsidR="005C6948" w:rsidRPr="0036198E" w14:paraId="78E02633" w14:textId="77777777" w:rsidTr="000A1CB4">
        <w:trPr>
          <w:trHeight w:val="375"/>
        </w:trPr>
        <w:tc>
          <w:tcPr>
            <w:cnfStyle w:val="001000000000" w:firstRow="0" w:lastRow="0" w:firstColumn="1" w:lastColumn="0" w:oddVBand="0" w:evenVBand="0" w:oddHBand="0" w:evenHBand="0" w:firstRowFirstColumn="0" w:firstRowLastColumn="0" w:lastRowFirstColumn="0" w:lastRowLastColumn="0"/>
            <w:tcW w:w="4062" w:type="dxa"/>
          </w:tcPr>
          <w:p w14:paraId="35529946" w14:textId="77777777" w:rsidR="005C6948" w:rsidRPr="0036198E" w:rsidRDefault="005C6948" w:rsidP="00652878">
            <w:pPr>
              <w:spacing w:line="360" w:lineRule="auto"/>
              <w:rPr>
                <w:rFonts w:eastAsia="Arial"/>
                <w:color w:val="000000"/>
              </w:rPr>
            </w:pPr>
            <w:r w:rsidRPr="0036198E">
              <w:rPr>
                <w:rFonts w:eastAsia="Arial"/>
                <w:color w:val="000000"/>
              </w:rPr>
              <w:t>Inventory Turnover</w:t>
            </w:r>
            <w:r w:rsidRPr="0036198E">
              <w:rPr>
                <w:rFonts w:eastAsia="Arial"/>
              </w:rPr>
              <w:t xml:space="preserve"> </w:t>
            </w:r>
            <w:r w:rsidRPr="0036198E">
              <w:rPr>
                <w:rFonts w:eastAsia="Arial"/>
                <w:b w:val="0"/>
                <w:bCs w:val="0"/>
                <w:color w:val="000000"/>
              </w:rPr>
              <w:t>(£)</w:t>
            </w:r>
          </w:p>
        </w:tc>
        <w:tc>
          <w:tcPr>
            <w:tcW w:w="1660" w:type="dxa"/>
          </w:tcPr>
          <w:p w14:paraId="3CCEE84C"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4.83873084</w:t>
            </w:r>
          </w:p>
        </w:tc>
        <w:tc>
          <w:tcPr>
            <w:tcW w:w="1660" w:type="dxa"/>
          </w:tcPr>
          <w:p w14:paraId="68B28B97"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4.94847017</w:t>
            </w:r>
          </w:p>
        </w:tc>
        <w:tc>
          <w:tcPr>
            <w:tcW w:w="1660" w:type="dxa"/>
          </w:tcPr>
          <w:p w14:paraId="24A213D9"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p>
        </w:tc>
      </w:tr>
      <w:tr w:rsidR="005C6948" w:rsidRPr="0036198E" w14:paraId="3DE1A104" w14:textId="77777777" w:rsidTr="000A1CB4">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4062" w:type="dxa"/>
          </w:tcPr>
          <w:p w14:paraId="4A265F79" w14:textId="77777777" w:rsidR="005C6948" w:rsidRPr="0036198E" w:rsidRDefault="005C6948" w:rsidP="00652878">
            <w:pPr>
              <w:spacing w:line="360" w:lineRule="auto"/>
              <w:rPr>
                <w:rFonts w:eastAsia="Arial"/>
                <w:color w:val="000000"/>
              </w:rPr>
            </w:pPr>
            <w:r w:rsidRPr="0036198E">
              <w:rPr>
                <w:rFonts w:eastAsia="Arial"/>
                <w:color w:val="000000"/>
              </w:rPr>
              <w:t>Sales and other operating revenues</w:t>
            </w:r>
            <w:r w:rsidRPr="0036198E">
              <w:rPr>
                <w:rFonts w:eastAsia="Arial"/>
              </w:rPr>
              <w:t xml:space="preserve"> </w:t>
            </w:r>
            <w:r w:rsidRPr="0036198E">
              <w:rPr>
                <w:rFonts w:eastAsia="Arial"/>
                <w:b w:val="0"/>
                <w:bCs w:val="0"/>
                <w:color w:val="000000"/>
              </w:rPr>
              <w:t>(£)</w:t>
            </w:r>
          </w:p>
        </w:tc>
        <w:tc>
          <w:tcPr>
            <w:tcW w:w="1660" w:type="dxa"/>
          </w:tcPr>
          <w:p w14:paraId="3D2982FE"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12,243,000</w:t>
            </w:r>
          </w:p>
        </w:tc>
        <w:tc>
          <w:tcPr>
            <w:tcW w:w="1660" w:type="dxa"/>
          </w:tcPr>
          <w:p w14:paraId="7C932289"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14,869,000</w:t>
            </w:r>
          </w:p>
        </w:tc>
        <w:tc>
          <w:tcPr>
            <w:tcW w:w="1660" w:type="dxa"/>
          </w:tcPr>
          <w:p w14:paraId="33A0E0ED"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16,287,000</w:t>
            </w:r>
          </w:p>
        </w:tc>
      </w:tr>
      <w:tr w:rsidR="005C6948" w:rsidRPr="0036198E" w14:paraId="4DC42A4E" w14:textId="77777777" w:rsidTr="000A1CB4">
        <w:trPr>
          <w:trHeight w:val="375"/>
        </w:trPr>
        <w:tc>
          <w:tcPr>
            <w:cnfStyle w:val="001000000000" w:firstRow="0" w:lastRow="0" w:firstColumn="1" w:lastColumn="0" w:oddVBand="0" w:evenVBand="0" w:oddHBand="0" w:evenHBand="0" w:firstRowFirstColumn="0" w:firstRowLastColumn="0" w:lastRowFirstColumn="0" w:lastRowLastColumn="0"/>
            <w:tcW w:w="4062" w:type="dxa"/>
          </w:tcPr>
          <w:p w14:paraId="13EAE3C8" w14:textId="77777777" w:rsidR="005C6948" w:rsidRPr="0036198E" w:rsidRDefault="005C6948" w:rsidP="00652878">
            <w:pPr>
              <w:spacing w:line="360" w:lineRule="auto"/>
              <w:rPr>
                <w:rFonts w:eastAsia="Arial"/>
                <w:color w:val="000000"/>
              </w:rPr>
            </w:pPr>
            <w:r w:rsidRPr="0036198E">
              <w:rPr>
                <w:rFonts w:eastAsia="Arial"/>
                <w:color w:val="000000"/>
              </w:rPr>
              <w:t>Current Trade Receivables</w:t>
            </w:r>
            <w:r w:rsidRPr="0036198E">
              <w:rPr>
                <w:rFonts w:eastAsia="Arial"/>
              </w:rPr>
              <w:t xml:space="preserve"> </w:t>
            </w:r>
            <w:r w:rsidRPr="0036198E">
              <w:rPr>
                <w:rFonts w:eastAsia="Arial"/>
                <w:b w:val="0"/>
                <w:bCs w:val="0"/>
                <w:color w:val="000000"/>
              </w:rPr>
              <w:t>(£)</w:t>
            </w:r>
            <w:r w:rsidRPr="0036198E">
              <w:rPr>
                <w:rFonts w:eastAsia="Arial"/>
                <w:color w:val="000000"/>
              </w:rPr>
              <w:t xml:space="preserve"> </w:t>
            </w:r>
          </w:p>
        </w:tc>
        <w:tc>
          <w:tcPr>
            <w:tcW w:w="1660" w:type="dxa"/>
          </w:tcPr>
          <w:p w14:paraId="35313484"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21,107,000</w:t>
            </w:r>
          </w:p>
        </w:tc>
        <w:tc>
          <w:tcPr>
            <w:tcW w:w="1660" w:type="dxa"/>
          </w:tcPr>
          <w:p w14:paraId="3BB88305"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21,659,000</w:t>
            </w:r>
          </w:p>
        </w:tc>
        <w:tc>
          <w:tcPr>
            <w:tcW w:w="1660" w:type="dxa"/>
          </w:tcPr>
          <w:p w14:paraId="30873334"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25,175,000</w:t>
            </w:r>
          </w:p>
        </w:tc>
      </w:tr>
      <w:tr w:rsidR="005C6948" w:rsidRPr="0036198E" w14:paraId="1D25A1B0" w14:textId="77777777" w:rsidTr="000A1CB4">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4062" w:type="dxa"/>
          </w:tcPr>
          <w:p w14:paraId="7997D90F" w14:textId="77777777" w:rsidR="005C6948" w:rsidRPr="0036198E" w:rsidRDefault="005C6948" w:rsidP="00652878">
            <w:pPr>
              <w:spacing w:line="360" w:lineRule="auto"/>
              <w:rPr>
                <w:rFonts w:eastAsia="Arial"/>
                <w:color w:val="000000"/>
              </w:rPr>
            </w:pPr>
            <w:r w:rsidRPr="0036198E">
              <w:rPr>
                <w:rFonts w:eastAsia="Arial"/>
                <w:color w:val="000000"/>
              </w:rPr>
              <w:t xml:space="preserve">Non-Current Trade Receivables </w:t>
            </w:r>
          </w:p>
        </w:tc>
        <w:tc>
          <w:tcPr>
            <w:tcW w:w="1660" w:type="dxa"/>
          </w:tcPr>
          <w:p w14:paraId="516F15C6"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6</w:t>
            </w:r>
          </w:p>
        </w:tc>
        <w:tc>
          <w:tcPr>
            <w:tcW w:w="1660" w:type="dxa"/>
          </w:tcPr>
          <w:p w14:paraId="2DA33A8D"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502</w:t>
            </w:r>
          </w:p>
        </w:tc>
        <w:tc>
          <w:tcPr>
            <w:tcW w:w="1660" w:type="dxa"/>
          </w:tcPr>
          <w:p w14:paraId="6A0A0318"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652</w:t>
            </w:r>
          </w:p>
        </w:tc>
      </w:tr>
      <w:tr w:rsidR="005C6948" w:rsidRPr="0036198E" w14:paraId="48F37A57" w14:textId="77777777" w:rsidTr="000A1CB4">
        <w:trPr>
          <w:trHeight w:val="375"/>
        </w:trPr>
        <w:tc>
          <w:tcPr>
            <w:cnfStyle w:val="001000000000" w:firstRow="0" w:lastRow="0" w:firstColumn="1" w:lastColumn="0" w:oddVBand="0" w:evenVBand="0" w:oddHBand="0" w:evenHBand="0" w:firstRowFirstColumn="0" w:firstRowLastColumn="0" w:lastRowFirstColumn="0" w:lastRowLastColumn="0"/>
            <w:tcW w:w="4062" w:type="dxa"/>
          </w:tcPr>
          <w:p w14:paraId="47B89AFA" w14:textId="77777777" w:rsidR="005C6948" w:rsidRPr="0036198E" w:rsidRDefault="005C6948" w:rsidP="00652878">
            <w:pPr>
              <w:spacing w:line="360" w:lineRule="auto"/>
              <w:rPr>
                <w:rFonts w:eastAsia="Arial"/>
                <w:color w:val="000000"/>
              </w:rPr>
            </w:pPr>
            <w:r w:rsidRPr="0036198E">
              <w:rPr>
                <w:rFonts w:eastAsia="Arial"/>
                <w:color w:val="000000"/>
              </w:rPr>
              <w:t>Total</w:t>
            </w:r>
            <w:r w:rsidRPr="0036198E">
              <w:rPr>
                <w:rFonts w:eastAsia="Arial"/>
              </w:rPr>
              <w:t xml:space="preserve"> </w:t>
            </w:r>
            <w:r w:rsidRPr="0036198E">
              <w:rPr>
                <w:rFonts w:eastAsia="Arial"/>
                <w:b w:val="0"/>
                <w:bCs w:val="0"/>
                <w:color w:val="000000"/>
              </w:rPr>
              <w:t>(£)</w:t>
            </w:r>
          </w:p>
        </w:tc>
        <w:tc>
          <w:tcPr>
            <w:tcW w:w="1660" w:type="dxa"/>
          </w:tcPr>
          <w:p w14:paraId="101E51F3"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21,107,006</w:t>
            </w:r>
          </w:p>
        </w:tc>
        <w:tc>
          <w:tcPr>
            <w:tcW w:w="1660" w:type="dxa"/>
          </w:tcPr>
          <w:p w14:paraId="763A84AE"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21,659,502</w:t>
            </w:r>
          </w:p>
        </w:tc>
        <w:tc>
          <w:tcPr>
            <w:tcW w:w="1660" w:type="dxa"/>
          </w:tcPr>
          <w:p w14:paraId="3E010A43"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25,175,652</w:t>
            </w:r>
          </w:p>
        </w:tc>
      </w:tr>
      <w:tr w:rsidR="005C6948" w:rsidRPr="0036198E" w14:paraId="6F7FAA5F" w14:textId="77777777" w:rsidTr="000A1CB4">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4062" w:type="dxa"/>
          </w:tcPr>
          <w:p w14:paraId="3FA938D1" w14:textId="77777777" w:rsidR="005C6948" w:rsidRPr="0036198E" w:rsidRDefault="005C6948" w:rsidP="00652878">
            <w:pPr>
              <w:spacing w:line="360" w:lineRule="auto"/>
              <w:rPr>
                <w:rFonts w:eastAsia="Arial"/>
                <w:color w:val="000000"/>
              </w:rPr>
            </w:pPr>
            <w:r w:rsidRPr="0036198E">
              <w:rPr>
                <w:rFonts w:eastAsia="Arial"/>
                <w:color w:val="000000"/>
              </w:rPr>
              <w:t>Average Receivables</w:t>
            </w:r>
            <w:r w:rsidRPr="0036198E">
              <w:rPr>
                <w:rFonts w:eastAsia="Arial"/>
              </w:rPr>
              <w:t xml:space="preserve"> </w:t>
            </w:r>
            <w:r w:rsidRPr="0036198E">
              <w:rPr>
                <w:rFonts w:eastAsia="Arial"/>
                <w:b w:val="0"/>
                <w:bCs w:val="0"/>
                <w:color w:val="000000"/>
              </w:rPr>
              <w:t>(£)</w:t>
            </w:r>
          </w:p>
        </w:tc>
        <w:tc>
          <w:tcPr>
            <w:tcW w:w="1660" w:type="dxa"/>
          </w:tcPr>
          <w:p w14:paraId="59F58244"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21383254</w:t>
            </w:r>
          </w:p>
        </w:tc>
        <w:tc>
          <w:tcPr>
            <w:tcW w:w="1660" w:type="dxa"/>
          </w:tcPr>
          <w:p w14:paraId="3A934A76"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23417577</w:t>
            </w:r>
          </w:p>
        </w:tc>
        <w:tc>
          <w:tcPr>
            <w:tcW w:w="1660" w:type="dxa"/>
          </w:tcPr>
          <w:p w14:paraId="3F9C6FF4"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p>
        </w:tc>
      </w:tr>
      <w:tr w:rsidR="005C6948" w:rsidRPr="0036198E" w14:paraId="4FCE5F03" w14:textId="77777777" w:rsidTr="000A1CB4">
        <w:trPr>
          <w:trHeight w:val="375"/>
        </w:trPr>
        <w:tc>
          <w:tcPr>
            <w:cnfStyle w:val="001000000000" w:firstRow="0" w:lastRow="0" w:firstColumn="1" w:lastColumn="0" w:oddVBand="0" w:evenVBand="0" w:oddHBand="0" w:evenHBand="0" w:firstRowFirstColumn="0" w:firstRowLastColumn="0" w:lastRowFirstColumn="0" w:lastRowLastColumn="0"/>
            <w:tcW w:w="4062" w:type="dxa"/>
          </w:tcPr>
          <w:p w14:paraId="0FB7EA56" w14:textId="77777777" w:rsidR="005C6948" w:rsidRPr="0036198E" w:rsidRDefault="005C6948" w:rsidP="00652878">
            <w:pPr>
              <w:spacing w:line="360" w:lineRule="auto"/>
              <w:rPr>
                <w:rFonts w:eastAsia="Arial"/>
                <w:color w:val="000000"/>
              </w:rPr>
            </w:pPr>
            <w:r w:rsidRPr="0036198E">
              <w:rPr>
                <w:rFonts w:eastAsia="Arial"/>
                <w:color w:val="000000"/>
              </w:rPr>
              <w:t>Receivables Days</w:t>
            </w:r>
          </w:p>
        </w:tc>
        <w:tc>
          <w:tcPr>
            <w:tcW w:w="1660" w:type="dxa"/>
          </w:tcPr>
          <w:p w14:paraId="1DA5A768"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637</w:t>
            </w:r>
          </w:p>
        </w:tc>
        <w:tc>
          <w:tcPr>
            <w:tcW w:w="1660" w:type="dxa"/>
          </w:tcPr>
          <w:p w14:paraId="7714032A"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575</w:t>
            </w:r>
          </w:p>
        </w:tc>
        <w:tc>
          <w:tcPr>
            <w:tcW w:w="1660" w:type="dxa"/>
          </w:tcPr>
          <w:p w14:paraId="55CA5FE9"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p>
        </w:tc>
      </w:tr>
      <w:tr w:rsidR="005C6948" w:rsidRPr="0036198E" w14:paraId="1B89436D" w14:textId="77777777" w:rsidTr="000A1CB4">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4062" w:type="dxa"/>
          </w:tcPr>
          <w:p w14:paraId="3B1FC91C" w14:textId="77777777" w:rsidR="005C6948" w:rsidRPr="0036198E" w:rsidRDefault="005C6948" w:rsidP="00652878">
            <w:pPr>
              <w:spacing w:line="360" w:lineRule="auto"/>
              <w:rPr>
                <w:rFonts w:eastAsia="Arial"/>
                <w:color w:val="000000"/>
              </w:rPr>
            </w:pPr>
            <w:r w:rsidRPr="0036198E">
              <w:rPr>
                <w:rFonts w:eastAsia="Arial"/>
                <w:color w:val="000000"/>
              </w:rPr>
              <w:t>Average Total Assets</w:t>
            </w:r>
            <w:r w:rsidRPr="0036198E">
              <w:rPr>
                <w:rFonts w:eastAsia="Arial"/>
              </w:rPr>
              <w:t xml:space="preserve"> </w:t>
            </w:r>
            <w:r w:rsidRPr="0036198E">
              <w:rPr>
                <w:rFonts w:eastAsia="Arial"/>
                <w:b w:val="0"/>
                <w:bCs w:val="0"/>
                <w:color w:val="000000"/>
              </w:rPr>
              <w:t>(£)</w:t>
            </w:r>
          </w:p>
        </w:tc>
        <w:tc>
          <w:tcPr>
            <w:tcW w:w="1660" w:type="dxa"/>
          </w:tcPr>
          <w:p w14:paraId="4D731AE7"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280,377,000</w:t>
            </w:r>
          </w:p>
        </w:tc>
        <w:tc>
          <w:tcPr>
            <w:tcW w:w="1660" w:type="dxa"/>
          </w:tcPr>
          <w:p w14:paraId="53DBE0B1"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281,261,000</w:t>
            </w:r>
          </w:p>
        </w:tc>
        <w:tc>
          <w:tcPr>
            <w:tcW w:w="1660" w:type="dxa"/>
          </w:tcPr>
          <w:p w14:paraId="3547B8CC"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p>
        </w:tc>
      </w:tr>
      <w:tr w:rsidR="005C6948" w:rsidRPr="0036198E" w14:paraId="6D41508E" w14:textId="77777777" w:rsidTr="000A1CB4">
        <w:trPr>
          <w:trHeight w:val="375"/>
        </w:trPr>
        <w:tc>
          <w:tcPr>
            <w:cnfStyle w:val="001000000000" w:firstRow="0" w:lastRow="0" w:firstColumn="1" w:lastColumn="0" w:oddVBand="0" w:evenVBand="0" w:oddHBand="0" w:evenHBand="0" w:firstRowFirstColumn="0" w:firstRowLastColumn="0" w:lastRowFirstColumn="0" w:lastRowLastColumn="0"/>
            <w:tcW w:w="4062" w:type="dxa"/>
          </w:tcPr>
          <w:p w14:paraId="7BEC73DA" w14:textId="77777777" w:rsidR="005C6948" w:rsidRPr="0036198E" w:rsidRDefault="005C6948" w:rsidP="00652878">
            <w:pPr>
              <w:spacing w:line="360" w:lineRule="auto"/>
              <w:rPr>
                <w:rFonts w:eastAsia="Arial"/>
                <w:color w:val="000000"/>
              </w:rPr>
            </w:pPr>
            <w:r w:rsidRPr="0036198E">
              <w:rPr>
                <w:rFonts w:eastAsia="Arial"/>
                <w:color w:val="000000"/>
              </w:rPr>
              <w:t>Asset Turnover</w:t>
            </w:r>
          </w:p>
        </w:tc>
        <w:tc>
          <w:tcPr>
            <w:tcW w:w="1660" w:type="dxa"/>
          </w:tcPr>
          <w:p w14:paraId="3925686F"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0.04</w:t>
            </w:r>
          </w:p>
        </w:tc>
        <w:tc>
          <w:tcPr>
            <w:tcW w:w="1660" w:type="dxa"/>
          </w:tcPr>
          <w:p w14:paraId="6B243613"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0.05</w:t>
            </w:r>
          </w:p>
        </w:tc>
        <w:tc>
          <w:tcPr>
            <w:tcW w:w="1660" w:type="dxa"/>
          </w:tcPr>
          <w:p w14:paraId="673B693E"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p>
        </w:tc>
      </w:tr>
    </w:tbl>
    <w:p w14:paraId="7DBC3A0A" w14:textId="77777777" w:rsidR="005C6948" w:rsidRPr="0036198E" w:rsidRDefault="005C6948" w:rsidP="005C6948">
      <w:pPr>
        <w:spacing w:line="360" w:lineRule="auto"/>
        <w:jc w:val="both"/>
        <w:rPr>
          <w:rFonts w:eastAsia="Arial"/>
          <w:b/>
          <w:bCs/>
          <w:szCs w:val="24"/>
        </w:rPr>
      </w:pPr>
    </w:p>
    <w:p w14:paraId="390B858C" w14:textId="28F131A2" w:rsidR="005C6948" w:rsidRPr="0036198E" w:rsidRDefault="005C6948" w:rsidP="004B4107">
      <w:pPr>
        <w:spacing w:line="278" w:lineRule="auto"/>
        <w:rPr>
          <w:rFonts w:eastAsia="Arial"/>
          <w:b/>
          <w:bCs/>
          <w:szCs w:val="24"/>
        </w:rPr>
      </w:pPr>
      <w:r w:rsidRPr="0036198E">
        <w:rPr>
          <w:rFonts w:eastAsia="Arial"/>
          <w:b/>
          <w:bCs/>
          <w:szCs w:val="24"/>
        </w:rPr>
        <w:t xml:space="preserve">Appendix Q: Gearing Ratio </w:t>
      </w:r>
    </w:p>
    <w:tbl>
      <w:tblPr>
        <w:tblStyle w:val="GridTable4-Accent4"/>
        <w:tblW w:w="5706" w:type="dxa"/>
        <w:tblLayout w:type="fixed"/>
        <w:tblLook w:val="04A0" w:firstRow="1" w:lastRow="0" w:firstColumn="1" w:lastColumn="0" w:noHBand="0" w:noVBand="1"/>
      </w:tblPr>
      <w:tblGrid>
        <w:gridCol w:w="2706"/>
        <w:gridCol w:w="1500"/>
        <w:gridCol w:w="1500"/>
      </w:tblGrid>
      <w:tr w:rsidR="005C6948" w:rsidRPr="0036198E" w14:paraId="5475D019" w14:textId="77777777" w:rsidTr="00407B99">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706" w:type="dxa"/>
          </w:tcPr>
          <w:p w14:paraId="0A0F25B4" w14:textId="77777777" w:rsidR="005C6948" w:rsidRPr="0036198E" w:rsidRDefault="005C6948" w:rsidP="00652878">
            <w:pPr>
              <w:spacing w:line="360" w:lineRule="auto"/>
              <w:rPr>
                <w:rFonts w:eastAsia="Arial"/>
              </w:rPr>
            </w:pPr>
            <w:r w:rsidRPr="0036198E">
              <w:rPr>
                <w:rFonts w:eastAsia="Arial"/>
              </w:rPr>
              <w:t>Column1</w:t>
            </w:r>
          </w:p>
        </w:tc>
        <w:tc>
          <w:tcPr>
            <w:tcW w:w="1500" w:type="dxa"/>
          </w:tcPr>
          <w:p w14:paraId="022615B4"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500" w:type="dxa"/>
          </w:tcPr>
          <w:p w14:paraId="0A1B4D6C"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r>
      <w:tr w:rsidR="005C6948" w:rsidRPr="0036198E" w14:paraId="5910BE9A" w14:textId="77777777" w:rsidTr="00407B99">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706" w:type="dxa"/>
          </w:tcPr>
          <w:p w14:paraId="46BD31D4" w14:textId="77777777" w:rsidR="005C6948" w:rsidRPr="0036198E" w:rsidRDefault="005C6948" w:rsidP="00652878">
            <w:pPr>
              <w:spacing w:line="360" w:lineRule="auto"/>
              <w:rPr>
                <w:rFonts w:eastAsia="Arial"/>
                <w:color w:val="000000"/>
              </w:rPr>
            </w:pPr>
            <w:r w:rsidRPr="0036198E">
              <w:rPr>
                <w:rFonts w:eastAsia="Arial"/>
                <w:color w:val="000000"/>
              </w:rPr>
              <w:t>Total Debt</w:t>
            </w:r>
            <w:r w:rsidRPr="0036198E">
              <w:rPr>
                <w:rFonts w:eastAsia="Arial"/>
              </w:rPr>
              <w:t xml:space="preserve"> </w:t>
            </w:r>
            <w:r w:rsidRPr="0036198E">
              <w:rPr>
                <w:rFonts w:eastAsia="Arial"/>
                <w:b w:val="0"/>
                <w:bCs w:val="0"/>
                <w:color w:val="000000"/>
              </w:rPr>
              <w:t>(£)</w:t>
            </w:r>
          </w:p>
        </w:tc>
        <w:tc>
          <w:tcPr>
            <w:tcW w:w="1500" w:type="dxa"/>
          </w:tcPr>
          <w:p w14:paraId="632D6C01"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72,529,000</w:t>
            </w:r>
          </w:p>
        </w:tc>
        <w:tc>
          <w:tcPr>
            <w:tcW w:w="1500" w:type="dxa"/>
          </w:tcPr>
          <w:p w14:paraId="609541F8"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71,547,000</w:t>
            </w:r>
          </w:p>
        </w:tc>
      </w:tr>
      <w:tr w:rsidR="005C6948" w:rsidRPr="0036198E" w14:paraId="45D7E0D0" w14:textId="77777777" w:rsidTr="00407B99">
        <w:trPr>
          <w:trHeight w:val="375"/>
        </w:trPr>
        <w:tc>
          <w:tcPr>
            <w:cnfStyle w:val="001000000000" w:firstRow="0" w:lastRow="0" w:firstColumn="1" w:lastColumn="0" w:oddVBand="0" w:evenVBand="0" w:oddHBand="0" w:evenHBand="0" w:firstRowFirstColumn="0" w:firstRowLastColumn="0" w:lastRowFirstColumn="0" w:lastRowLastColumn="0"/>
            <w:tcW w:w="2706" w:type="dxa"/>
          </w:tcPr>
          <w:p w14:paraId="726D0F48" w14:textId="77777777" w:rsidR="005C6948" w:rsidRPr="0036198E" w:rsidRDefault="005C6948" w:rsidP="00652878">
            <w:pPr>
              <w:spacing w:line="360" w:lineRule="auto"/>
              <w:rPr>
                <w:rFonts w:eastAsia="Arial"/>
                <w:color w:val="000000"/>
              </w:rPr>
            </w:pPr>
            <w:r w:rsidRPr="0036198E">
              <w:rPr>
                <w:rFonts w:eastAsia="Arial"/>
                <w:color w:val="000000"/>
              </w:rPr>
              <w:t>Total Equity</w:t>
            </w:r>
            <w:r w:rsidRPr="0036198E">
              <w:rPr>
                <w:rFonts w:eastAsia="Arial"/>
              </w:rPr>
              <w:t xml:space="preserve"> </w:t>
            </w:r>
            <w:r w:rsidRPr="0036198E">
              <w:rPr>
                <w:rFonts w:eastAsia="Arial"/>
                <w:b w:val="0"/>
                <w:bCs w:val="0"/>
                <w:color w:val="000000"/>
              </w:rPr>
              <w:t>(£)</w:t>
            </w:r>
          </w:p>
        </w:tc>
        <w:tc>
          <w:tcPr>
            <w:tcW w:w="1500" w:type="dxa"/>
          </w:tcPr>
          <w:p w14:paraId="5CF0283A"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74,000,000</w:t>
            </w:r>
          </w:p>
        </w:tc>
        <w:tc>
          <w:tcPr>
            <w:tcW w:w="1500" w:type="dxa"/>
          </w:tcPr>
          <w:p w14:paraId="044428A4"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78,318,000</w:t>
            </w:r>
          </w:p>
        </w:tc>
      </w:tr>
      <w:tr w:rsidR="005C6948" w:rsidRPr="0036198E" w14:paraId="557A5D94" w14:textId="77777777" w:rsidTr="00407B99">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706" w:type="dxa"/>
          </w:tcPr>
          <w:p w14:paraId="05D85F1D" w14:textId="77777777" w:rsidR="005C6948" w:rsidRPr="0036198E" w:rsidRDefault="005C6948" w:rsidP="00652878">
            <w:pPr>
              <w:spacing w:line="360" w:lineRule="auto"/>
              <w:rPr>
                <w:rFonts w:eastAsia="Arial"/>
                <w:color w:val="000000"/>
              </w:rPr>
            </w:pPr>
            <w:r w:rsidRPr="0036198E">
              <w:rPr>
                <w:rFonts w:eastAsia="Arial"/>
                <w:color w:val="000000"/>
              </w:rPr>
              <w:t>EBIT</w:t>
            </w:r>
            <w:r w:rsidRPr="0036198E">
              <w:rPr>
                <w:rFonts w:eastAsia="Arial"/>
              </w:rPr>
              <w:t xml:space="preserve"> </w:t>
            </w:r>
            <w:r w:rsidRPr="0036198E">
              <w:rPr>
                <w:rFonts w:eastAsia="Arial"/>
                <w:b w:val="0"/>
                <w:bCs w:val="0"/>
                <w:color w:val="000000"/>
              </w:rPr>
              <w:t>(£)</w:t>
            </w:r>
          </w:p>
        </w:tc>
        <w:tc>
          <w:tcPr>
            <w:tcW w:w="1500" w:type="dxa"/>
          </w:tcPr>
          <w:p w14:paraId="58C57CF4"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12,874,000</w:t>
            </w:r>
          </w:p>
        </w:tc>
        <w:tc>
          <w:tcPr>
            <w:tcW w:w="1500" w:type="dxa"/>
          </w:tcPr>
          <w:p w14:paraId="2B5776EE"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11,361,000</w:t>
            </w:r>
          </w:p>
        </w:tc>
      </w:tr>
      <w:tr w:rsidR="005C6948" w:rsidRPr="0036198E" w14:paraId="2D568A51" w14:textId="77777777" w:rsidTr="00407B99">
        <w:trPr>
          <w:trHeight w:val="375"/>
        </w:trPr>
        <w:tc>
          <w:tcPr>
            <w:cnfStyle w:val="001000000000" w:firstRow="0" w:lastRow="0" w:firstColumn="1" w:lastColumn="0" w:oddVBand="0" w:evenVBand="0" w:oddHBand="0" w:evenHBand="0" w:firstRowFirstColumn="0" w:firstRowLastColumn="0" w:lastRowFirstColumn="0" w:lastRowLastColumn="0"/>
            <w:tcW w:w="2706" w:type="dxa"/>
          </w:tcPr>
          <w:p w14:paraId="5264DDCB" w14:textId="77777777" w:rsidR="005C6948" w:rsidRPr="0036198E" w:rsidRDefault="005C6948" w:rsidP="00652878">
            <w:pPr>
              <w:spacing w:line="360" w:lineRule="auto"/>
              <w:rPr>
                <w:rFonts w:eastAsia="Arial"/>
                <w:color w:val="000000"/>
              </w:rPr>
            </w:pPr>
            <w:r w:rsidRPr="0036198E">
              <w:rPr>
                <w:rFonts w:eastAsia="Arial"/>
                <w:color w:val="000000"/>
              </w:rPr>
              <w:t>Interest Expense</w:t>
            </w:r>
            <w:r w:rsidRPr="0036198E">
              <w:rPr>
                <w:rFonts w:eastAsia="Arial"/>
              </w:rPr>
              <w:t xml:space="preserve"> </w:t>
            </w:r>
            <w:r w:rsidRPr="0036198E">
              <w:rPr>
                <w:rFonts w:eastAsia="Arial"/>
                <w:b w:val="0"/>
                <w:bCs w:val="0"/>
                <w:color w:val="000000"/>
              </w:rPr>
              <w:t>(£)</w:t>
            </w:r>
          </w:p>
        </w:tc>
        <w:tc>
          <w:tcPr>
            <w:tcW w:w="1500" w:type="dxa"/>
          </w:tcPr>
          <w:p w14:paraId="029D8539"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5,128,000</w:t>
            </w:r>
          </w:p>
        </w:tc>
        <w:tc>
          <w:tcPr>
            <w:tcW w:w="1500" w:type="dxa"/>
          </w:tcPr>
          <w:p w14:paraId="700C9254"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4,579,000</w:t>
            </w:r>
          </w:p>
        </w:tc>
      </w:tr>
      <w:tr w:rsidR="005C6948" w:rsidRPr="0036198E" w14:paraId="6BB23FC7" w14:textId="77777777" w:rsidTr="00407B99">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706" w:type="dxa"/>
          </w:tcPr>
          <w:p w14:paraId="6C052242" w14:textId="77777777" w:rsidR="005C6948" w:rsidRPr="0036198E" w:rsidRDefault="005C6948" w:rsidP="00652878">
            <w:pPr>
              <w:spacing w:line="360" w:lineRule="auto"/>
              <w:rPr>
                <w:rFonts w:eastAsia="Arial"/>
                <w:color w:val="000000"/>
              </w:rPr>
            </w:pPr>
            <w:r w:rsidRPr="0036198E">
              <w:rPr>
                <w:rFonts w:eastAsia="Arial"/>
                <w:color w:val="000000"/>
              </w:rPr>
              <w:t>Debt-to-Equity Ratio</w:t>
            </w:r>
          </w:p>
        </w:tc>
        <w:tc>
          <w:tcPr>
            <w:tcW w:w="1500" w:type="dxa"/>
          </w:tcPr>
          <w:p w14:paraId="1C004034"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0.9801216</w:t>
            </w:r>
          </w:p>
        </w:tc>
        <w:tc>
          <w:tcPr>
            <w:tcW w:w="1500" w:type="dxa"/>
          </w:tcPr>
          <w:p w14:paraId="50ABD90A"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0.9135448</w:t>
            </w:r>
          </w:p>
        </w:tc>
      </w:tr>
      <w:tr w:rsidR="005C6948" w:rsidRPr="0036198E" w14:paraId="0A87AE9D" w14:textId="77777777" w:rsidTr="00407B99">
        <w:trPr>
          <w:trHeight w:val="375"/>
        </w:trPr>
        <w:tc>
          <w:tcPr>
            <w:cnfStyle w:val="001000000000" w:firstRow="0" w:lastRow="0" w:firstColumn="1" w:lastColumn="0" w:oddVBand="0" w:evenVBand="0" w:oddHBand="0" w:evenHBand="0" w:firstRowFirstColumn="0" w:firstRowLastColumn="0" w:lastRowFirstColumn="0" w:lastRowLastColumn="0"/>
            <w:tcW w:w="2706" w:type="dxa"/>
          </w:tcPr>
          <w:p w14:paraId="3045ABC2" w14:textId="77777777" w:rsidR="005C6948" w:rsidRPr="0036198E" w:rsidRDefault="005C6948" w:rsidP="00652878">
            <w:pPr>
              <w:spacing w:line="360" w:lineRule="auto"/>
              <w:rPr>
                <w:rFonts w:eastAsia="Arial"/>
                <w:color w:val="000000"/>
              </w:rPr>
            </w:pPr>
            <w:r w:rsidRPr="0036198E">
              <w:rPr>
                <w:rFonts w:eastAsia="Arial"/>
                <w:color w:val="000000"/>
              </w:rPr>
              <w:t>Interest Coverage Ratio</w:t>
            </w:r>
          </w:p>
        </w:tc>
        <w:tc>
          <w:tcPr>
            <w:tcW w:w="1500" w:type="dxa"/>
          </w:tcPr>
          <w:p w14:paraId="7BDAEBB1"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2.5105304</w:t>
            </w:r>
          </w:p>
        </w:tc>
        <w:tc>
          <w:tcPr>
            <w:tcW w:w="1500" w:type="dxa"/>
          </w:tcPr>
          <w:p w14:paraId="1890EAAD"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2.4811094</w:t>
            </w:r>
          </w:p>
        </w:tc>
      </w:tr>
    </w:tbl>
    <w:p w14:paraId="5C42E24A" w14:textId="77777777" w:rsidR="006600F3" w:rsidRDefault="006600F3" w:rsidP="005C6948">
      <w:pPr>
        <w:spacing w:line="360" w:lineRule="auto"/>
        <w:jc w:val="both"/>
        <w:rPr>
          <w:rFonts w:eastAsia="Arial"/>
          <w:b/>
          <w:bCs/>
          <w:szCs w:val="24"/>
        </w:rPr>
      </w:pPr>
    </w:p>
    <w:p w14:paraId="1D331D1D" w14:textId="7B7B0C1B" w:rsidR="005C6948" w:rsidRPr="0036198E" w:rsidRDefault="00D32CD0" w:rsidP="00D32CD0">
      <w:pPr>
        <w:spacing w:line="278" w:lineRule="auto"/>
        <w:rPr>
          <w:rFonts w:eastAsia="Arial"/>
          <w:b/>
          <w:bCs/>
          <w:szCs w:val="24"/>
        </w:rPr>
      </w:pPr>
      <w:r>
        <w:rPr>
          <w:rFonts w:eastAsia="Arial"/>
          <w:b/>
          <w:bCs/>
          <w:szCs w:val="24"/>
        </w:rPr>
        <w:br w:type="page"/>
      </w:r>
      <w:r w:rsidR="005C6948" w:rsidRPr="0036198E">
        <w:rPr>
          <w:rFonts w:eastAsia="Arial"/>
          <w:b/>
          <w:bCs/>
          <w:szCs w:val="24"/>
        </w:rPr>
        <w:lastRenderedPageBreak/>
        <w:t xml:space="preserve">Appendix R: Investment Ratio </w:t>
      </w:r>
    </w:p>
    <w:tbl>
      <w:tblPr>
        <w:tblStyle w:val="GridTable4-Accent4"/>
        <w:tblW w:w="7738" w:type="dxa"/>
        <w:tblLayout w:type="fixed"/>
        <w:tblLook w:val="04A0" w:firstRow="1" w:lastRow="0" w:firstColumn="1" w:lastColumn="0" w:noHBand="0" w:noVBand="1"/>
      </w:tblPr>
      <w:tblGrid>
        <w:gridCol w:w="3938"/>
        <w:gridCol w:w="1900"/>
        <w:gridCol w:w="1900"/>
      </w:tblGrid>
      <w:tr w:rsidR="005C6948" w:rsidRPr="0036198E" w14:paraId="395F6BAF" w14:textId="77777777" w:rsidTr="00407B99">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3938" w:type="dxa"/>
          </w:tcPr>
          <w:p w14:paraId="4CF0A079" w14:textId="77777777" w:rsidR="005C6948" w:rsidRPr="0036198E" w:rsidRDefault="005C6948" w:rsidP="00652878">
            <w:pPr>
              <w:spacing w:line="360" w:lineRule="auto"/>
              <w:rPr>
                <w:rFonts w:eastAsia="Arial"/>
              </w:rPr>
            </w:pPr>
            <w:r w:rsidRPr="0036198E">
              <w:rPr>
                <w:rFonts w:eastAsia="Arial"/>
              </w:rPr>
              <w:t>Column1</w:t>
            </w:r>
          </w:p>
        </w:tc>
        <w:tc>
          <w:tcPr>
            <w:tcW w:w="1900" w:type="dxa"/>
          </w:tcPr>
          <w:p w14:paraId="464931FA"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2025</w:t>
            </w:r>
          </w:p>
        </w:tc>
        <w:tc>
          <w:tcPr>
            <w:tcW w:w="1900" w:type="dxa"/>
          </w:tcPr>
          <w:p w14:paraId="010F0C81" w14:textId="77777777" w:rsidR="005C6948" w:rsidRPr="0036198E" w:rsidRDefault="005C6948" w:rsidP="006600F3">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Arial"/>
              </w:rPr>
            </w:pPr>
            <w:r w:rsidRPr="0036198E">
              <w:rPr>
                <w:rFonts w:eastAsia="Arial"/>
              </w:rPr>
              <w:t>2024</w:t>
            </w:r>
          </w:p>
        </w:tc>
      </w:tr>
      <w:tr w:rsidR="005C6948" w:rsidRPr="0036198E" w14:paraId="289BF629" w14:textId="77777777" w:rsidTr="00407B99">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3938" w:type="dxa"/>
          </w:tcPr>
          <w:p w14:paraId="1CB2E29B" w14:textId="77777777" w:rsidR="005C6948" w:rsidRPr="0036198E" w:rsidRDefault="005C6948" w:rsidP="00652878">
            <w:pPr>
              <w:spacing w:line="360" w:lineRule="auto"/>
              <w:rPr>
                <w:rFonts w:eastAsia="Arial"/>
                <w:color w:val="000000"/>
              </w:rPr>
            </w:pPr>
            <w:r w:rsidRPr="0036198E">
              <w:rPr>
                <w:rFonts w:eastAsia="Arial"/>
                <w:color w:val="000000"/>
              </w:rPr>
              <w:t>Net Income Continuous Operation</w:t>
            </w:r>
            <w:r w:rsidRPr="0036198E">
              <w:rPr>
                <w:rFonts w:eastAsia="Arial"/>
              </w:rPr>
              <w:t xml:space="preserve"> </w:t>
            </w:r>
            <w:r w:rsidRPr="0036198E">
              <w:rPr>
                <w:rFonts w:eastAsia="Arial"/>
                <w:b w:val="0"/>
                <w:bCs w:val="0"/>
                <w:color w:val="000000"/>
              </w:rPr>
              <w:t>(£)</w:t>
            </w:r>
          </w:p>
        </w:tc>
        <w:tc>
          <w:tcPr>
            <w:tcW w:w="1900" w:type="dxa"/>
          </w:tcPr>
          <w:p w14:paraId="15AC24EF"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1,295,000</w:t>
            </w:r>
          </w:p>
        </w:tc>
        <w:tc>
          <w:tcPr>
            <w:tcW w:w="1900" w:type="dxa"/>
          </w:tcPr>
          <w:p w14:paraId="0811A963"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1,229,000</w:t>
            </w:r>
          </w:p>
        </w:tc>
      </w:tr>
      <w:tr w:rsidR="005C6948" w:rsidRPr="0036198E" w14:paraId="4DE82DF6" w14:textId="77777777" w:rsidTr="00407B99">
        <w:trPr>
          <w:trHeight w:val="375"/>
        </w:trPr>
        <w:tc>
          <w:tcPr>
            <w:cnfStyle w:val="001000000000" w:firstRow="0" w:lastRow="0" w:firstColumn="1" w:lastColumn="0" w:oddVBand="0" w:evenVBand="0" w:oddHBand="0" w:evenHBand="0" w:firstRowFirstColumn="0" w:firstRowLastColumn="0" w:lastRowFirstColumn="0" w:lastRowLastColumn="0"/>
            <w:tcW w:w="3938" w:type="dxa"/>
          </w:tcPr>
          <w:p w14:paraId="023F4968" w14:textId="77777777" w:rsidR="005C6948" w:rsidRPr="0036198E" w:rsidRDefault="005C6948" w:rsidP="00652878">
            <w:pPr>
              <w:spacing w:line="360" w:lineRule="auto"/>
              <w:rPr>
                <w:rFonts w:eastAsia="Arial"/>
                <w:color w:val="000000"/>
              </w:rPr>
            </w:pPr>
            <w:r w:rsidRPr="0036198E">
              <w:rPr>
                <w:rFonts w:eastAsia="Arial"/>
                <w:color w:val="000000"/>
              </w:rPr>
              <w:t>Ordinary Shares Number</w:t>
            </w:r>
          </w:p>
        </w:tc>
        <w:tc>
          <w:tcPr>
            <w:tcW w:w="1900" w:type="dxa"/>
          </w:tcPr>
          <w:p w14:paraId="50EFCB56"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15,376,725.29</w:t>
            </w:r>
          </w:p>
        </w:tc>
        <w:tc>
          <w:tcPr>
            <w:tcW w:w="1900" w:type="dxa"/>
          </w:tcPr>
          <w:p w14:paraId="1A5870B2"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15,850,481.41</w:t>
            </w:r>
          </w:p>
        </w:tc>
      </w:tr>
      <w:tr w:rsidR="005C6948" w:rsidRPr="0036198E" w14:paraId="5DD6CCF2" w14:textId="77777777" w:rsidTr="00407B99">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3938" w:type="dxa"/>
          </w:tcPr>
          <w:p w14:paraId="5F381347" w14:textId="77777777" w:rsidR="005C6948" w:rsidRPr="0036198E" w:rsidRDefault="005C6948" w:rsidP="00652878">
            <w:pPr>
              <w:spacing w:line="360" w:lineRule="auto"/>
              <w:rPr>
                <w:rFonts w:eastAsia="Arial"/>
                <w:color w:val="000000"/>
              </w:rPr>
            </w:pPr>
            <w:r w:rsidRPr="0036198E">
              <w:rPr>
                <w:rFonts w:eastAsia="Arial"/>
                <w:color w:val="000000"/>
              </w:rPr>
              <w:t>EPS</w:t>
            </w:r>
          </w:p>
        </w:tc>
        <w:tc>
          <w:tcPr>
            <w:tcW w:w="1900" w:type="dxa"/>
          </w:tcPr>
          <w:p w14:paraId="05486DA1"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0.084218192</w:t>
            </w:r>
          </w:p>
        </w:tc>
        <w:tc>
          <w:tcPr>
            <w:tcW w:w="1900" w:type="dxa"/>
          </w:tcPr>
          <w:p w14:paraId="46A25D01"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0.077537077</w:t>
            </w:r>
          </w:p>
        </w:tc>
      </w:tr>
      <w:tr w:rsidR="005C6948" w:rsidRPr="0036198E" w14:paraId="138C8E9B" w14:textId="77777777" w:rsidTr="00407B99">
        <w:trPr>
          <w:trHeight w:val="375"/>
        </w:trPr>
        <w:tc>
          <w:tcPr>
            <w:cnfStyle w:val="001000000000" w:firstRow="0" w:lastRow="0" w:firstColumn="1" w:lastColumn="0" w:oddVBand="0" w:evenVBand="0" w:oddHBand="0" w:evenHBand="0" w:firstRowFirstColumn="0" w:firstRowLastColumn="0" w:lastRowFirstColumn="0" w:lastRowLastColumn="0"/>
            <w:tcW w:w="3938" w:type="dxa"/>
          </w:tcPr>
          <w:p w14:paraId="14815B19" w14:textId="77777777" w:rsidR="005C6948" w:rsidRPr="0036198E" w:rsidRDefault="005C6948" w:rsidP="00652878">
            <w:pPr>
              <w:spacing w:line="360" w:lineRule="auto"/>
              <w:rPr>
                <w:rFonts w:eastAsia="Arial"/>
                <w:color w:val="000000"/>
              </w:rPr>
            </w:pPr>
            <w:r w:rsidRPr="0036198E">
              <w:rPr>
                <w:rFonts w:eastAsia="Arial"/>
                <w:color w:val="000000"/>
              </w:rPr>
              <w:t>Share Price</w:t>
            </w:r>
          </w:p>
        </w:tc>
        <w:tc>
          <w:tcPr>
            <w:tcW w:w="1900" w:type="dxa"/>
          </w:tcPr>
          <w:p w14:paraId="4190993C"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413.7</w:t>
            </w:r>
          </w:p>
        </w:tc>
        <w:tc>
          <w:tcPr>
            <w:tcW w:w="1900" w:type="dxa"/>
          </w:tcPr>
          <w:p w14:paraId="635373C1" w14:textId="77777777" w:rsidR="005C6948" w:rsidRPr="0036198E" w:rsidRDefault="005C6948" w:rsidP="006600F3">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438.1</w:t>
            </w:r>
          </w:p>
        </w:tc>
      </w:tr>
      <w:tr w:rsidR="005C6948" w:rsidRPr="0036198E" w14:paraId="2D1C1005" w14:textId="77777777" w:rsidTr="00407B99">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3938" w:type="dxa"/>
          </w:tcPr>
          <w:p w14:paraId="12477B78" w14:textId="77777777" w:rsidR="005C6948" w:rsidRPr="0036198E" w:rsidRDefault="005C6948" w:rsidP="00652878">
            <w:pPr>
              <w:spacing w:line="360" w:lineRule="auto"/>
              <w:rPr>
                <w:rFonts w:eastAsia="Arial"/>
                <w:color w:val="000000"/>
              </w:rPr>
            </w:pPr>
            <w:r w:rsidRPr="0036198E">
              <w:rPr>
                <w:rFonts w:eastAsia="Arial"/>
                <w:color w:val="000000"/>
              </w:rPr>
              <w:t>P/E Ratio</w:t>
            </w:r>
          </w:p>
        </w:tc>
        <w:tc>
          <w:tcPr>
            <w:tcW w:w="1900" w:type="dxa"/>
          </w:tcPr>
          <w:p w14:paraId="5B58760C"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4912.240349</w:t>
            </w:r>
          </w:p>
        </w:tc>
        <w:tc>
          <w:tcPr>
            <w:tcW w:w="1900" w:type="dxa"/>
          </w:tcPr>
          <w:p w14:paraId="6BB580D3" w14:textId="77777777" w:rsidR="005C6948" w:rsidRPr="0036198E" w:rsidRDefault="005C6948" w:rsidP="006600F3">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5650.200086</w:t>
            </w:r>
          </w:p>
        </w:tc>
      </w:tr>
    </w:tbl>
    <w:p w14:paraId="43964F9F" w14:textId="7559318A" w:rsidR="005C6948" w:rsidRPr="0036198E" w:rsidRDefault="005C6948" w:rsidP="00D32CD0">
      <w:pPr>
        <w:spacing w:line="278" w:lineRule="auto"/>
        <w:rPr>
          <w:rFonts w:eastAsia="Arial"/>
          <w:b/>
          <w:bCs/>
          <w:szCs w:val="24"/>
        </w:rPr>
      </w:pPr>
      <w:r w:rsidRPr="0036198E">
        <w:rPr>
          <w:rFonts w:eastAsia="Arial"/>
          <w:b/>
          <w:bCs/>
          <w:szCs w:val="24"/>
        </w:rPr>
        <w:t>Part B: Financial Projections of Beard PLC</w:t>
      </w:r>
    </w:p>
    <w:p w14:paraId="787959A1" w14:textId="77777777" w:rsidR="005C6948" w:rsidRPr="0036198E" w:rsidRDefault="005C6948" w:rsidP="005C6948">
      <w:pPr>
        <w:spacing w:line="360" w:lineRule="auto"/>
        <w:rPr>
          <w:rFonts w:eastAsia="Arial"/>
          <w:b/>
          <w:bCs/>
          <w:color w:val="000000"/>
          <w:szCs w:val="24"/>
        </w:rPr>
      </w:pPr>
      <w:r w:rsidRPr="0036198E">
        <w:rPr>
          <w:rFonts w:eastAsia="Arial"/>
          <w:b/>
          <w:bCs/>
          <w:color w:val="000000"/>
          <w:szCs w:val="24"/>
        </w:rPr>
        <w:t>Appendix A: Project A</w:t>
      </w:r>
    </w:p>
    <w:tbl>
      <w:tblPr>
        <w:tblStyle w:val="GridTable4-Accent4"/>
        <w:tblW w:w="9016" w:type="dxa"/>
        <w:tblLayout w:type="fixed"/>
        <w:tblLook w:val="04A0" w:firstRow="1" w:lastRow="0" w:firstColumn="1" w:lastColumn="0" w:noHBand="0" w:noVBand="1"/>
      </w:tblPr>
      <w:tblGrid>
        <w:gridCol w:w="1312"/>
        <w:gridCol w:w="967"/>
        <w:gridCol w:w="1243"/>
        <w:gridCol w:w="974"/>
        <w:gridCol w:w="967"/>
        <w:gridCol w:w="1336"/>
        <w:gridCol w:w="1105"/>
        <w:gridCol w:w="1112"/>
      </w:tblGrid>
      <w:tr w:rsidR="005C6948" w:rsidRPr="0036198E" w14:paraId="0EC4A009" w14:textId="77777777" w:rsidTr="009F2682">
        <w:trPr>
          <w:cnfStyle w:val="100000000000" w:firstRow="1" w:lastRow="0" w:firstColumn="0" w:lastColumn="0" w:oddVBand="0" w:evenVBand="0" w:oddHBand="0" w:evenHBand="0" w:firstRowFirstColumn="0" w:firstRowLastColumn="0" w:lastRowFirstColumn="0" w:lastRowLastColumn="0"/>
          <w:trHeight w:val="750"/>
        </w:trPr>
        <w:tc>
          <w:tcPr>
            <w:cnfStyle w:val="001000000000" w:firstRow="0" w:lastRow="0" w:firstColumn="1" w:lastColumn="0" w:oddVBand="0" w:evenVBand="0" w:oddHBand="0" w:evenHBand="0" w:firstRowFirstColumn="0" w:firstRowLastColumn="0" w:lastRowFirstColumn="0" w:lastRowLastColumn="0"/>
            <w:tcW w:w="9016" w:type="dxa"/>
            <w:gridSpan w:val="8"/>
          </w:tcPr>
          <w:p w14:paraId="627071A5" w14:textId="77777777" w:rsidR="005C6948" w:rsidRPr="0036198E" w:rsidRDefault="005C6948" w:rsidP="00652878">
            <w:pPr>
              <w:spacing w:line="360" w:lineRule="auto"/>
              <w:rPr>
                <w:rFonts w:eastAsia="Arial"/>
                <w:color w:val="000000"/>
              </w:rPr>
            </w:pPr>
            <w:r w:rsidRPr="0036198E">
              <w:rPr>
                <w:rFonts w:eastAsia="Arial"/>
                <w:color w:val="000000"/>
              </w:rPr>
              <w:t>Project A</w:t>
            </w:r>
          </w:p>
        </w:tc>
      </w:tr>
      <w:tr w:rsidR="005C6948" w:rsidRPr="0036198E" w14:paraId="3C386879" w14:textId="77777777" w:rsidTr="009F2682">
        <w:trPr>
          <w:cnfStyle w:val="000000100000" w:firstRow="0" w:lastRow="0" w:firstColumn="0" w:lastColumn="0" w:oddVBand="0" w:evenVBand="0" w:oddHBand="1" w:evenHBand="0" w:firstRowFirstColumn="0" w:firstRowLastColumn="0" w:lastRowFirstColumn="0" w:lastRowLastColumn="0"/>
          <w:trHeight w:val="1125"/>
        </w:trPr>
        <w:tc>
          <w:tcPr>
            <w:cnfStyle w:val="001000000000" w:firstRow="0" w:lastRow="0" w:firstColumn="1" w:lastColumn="0" w:oddVBand="0" w:evenVBand="0" w:oddHBand="0" w:evenHBand="0" w:firstRowFirstColumn="0" w:firstRowLastColumn="0" w:lastRowFirstColumn="0" w:lastRowLastColumn="0"/>
            <w:tcW w:w="1312" w:type="dxa"/>
          </w:tcPr>
          <w:p w14:paraId="283C2BA0" w14:textId="77777777" w:rsidR="005C6948" w:rsidRPr="0036198E" w:rsidRDefault="005C6948" w:rsidP="00652878">
            <w:pPr>
              <w:spacing w:line="360" w:lineRule="auto"/>
              <w:rPr>
                <w:rFonts w:eastAsia="Arial"/>
                <w:color w:val="000000"/>
              </w:rPr>
            </w:pPr>
            <w:r w:rsidRPr="0036198E">
              <w:rPr>
                <w:rFonts w:eastAsia="Arial"/>
                <w:color w:val="000000"/>
              </w:rPr>
              <w:t>Initial Investment</w:t>
            </w:r>
          </w:p>
        </w:tc>
        <w:tc>
          <w:tcPr>
            <w:tcW w:w="967" w:type="dxa"/>
          </w:tcPr>
          <w:p w14:paraId="27624F00"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600,000</w:t>
            </w:r>
          </w:p>
        </w:tc>
        <w:tc>
          <w:tcPr>
            <w:tcW w:w="1243" w:type="dxa"/>
          </w:tcPr>
          <w:p w14:paraId="017D7D7C"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974" w:type="dxa"/>
          </w:tcPr>
          <w:p w14:paraId="4643A04A"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967" w:type="dxa"/>
          </w:tcPr>
          <w:p w14:paraId="2B691119"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336" w:type="dxa"/>
          </w:tcPr>
          <w:p w14:paraId="78C1C5B1"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105" w:type="dxa"/>
          </w:tcPr>
          <w:p w14:paraId="3CCA20CB"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112" w:type="dxa"/>
          </w:tcPr>
          <w:p w14:paraId="3158F193"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r>
      <w:tr w:rsidR="005C6948" w:rsidRPr="0036198E" w14:paraId="072E7859"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312" w:type="dxa"/>
          </w:tcPr>
          <w:p w14:paraId="5B0CBC27" w14:textId="77777777" w:rsidR="005C6948" w:rsidRPr="0036198E" w:rsidRDefault="005C6948" w:rsidP="00652878">
            <w:pPr>
              <w:spacing w:line="360" w:lineRule="auto"/>
              <w:rPr>
                <w:rFonts w:eastAsia="Arial"/>
                <w:color w:val="000000"/>
              </w:rPr>
            </w:pPr>
            <w:r w:rsidRPr="0036198E">
              <w:rPr>
                <w:rFonts w:eastAsia="Arial"/>
                <w:color w:val="000000"/>
              </w:rPr>
              <w:t>Year</w:t>
            </w:r>
          </w:p>
        </w:tc>
        <w:tc>
          <w:tcPr>
            <w:tcW w:w="967" w:type="dxa"/>
          </w:tcPr>
          <w:p w14:paraId="129B07FA"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Cash Flow (£)</w:t>
            </w:r>
          </w:p>
        </w:tc>
        <w:tc>
          <w:tcPr>
            <w:tcW w:w="1243" w:type="dxa"/>
          </w:tcPr>
          <w:p w14:paraId="608DB332"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Capital Allowance (£)</w:t>
            </w:r>
          </w:p>
        </w:tc>
        <w:tc>
          <w:tcPr>
            <w:tcW w:w="974" w:type="dxa"/>
          </w:tcPr>
          <w:p w14:paraId="372079E7"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Taxable (£)</w:t>
            </w:r>
          </w:p>
        </w:tc>
        <w:tc>
          <w:tcPr>
            <w:tcW w:w="967" w:type="dxa"/>
          </w:tcPr>
          <w:p w14:paraId="73F16C9B"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Net Cash Flow (£)</w:t>
            </w:r>
          </w:p>
        </w:tc>
        <w:tc>
          <w:tcPr>
            <w:tcW w:w="1336" w:type="dxa"/>
          </w:tcPr>
          <w:p w14:paraId="0FE06069"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Cumulative Cash Flow (£)</w:t>
            </w:r>
          </w:p>
        </w:tc>
        <w:tc>
          <w:tcPr>
            <w:tcW w:w="1105" w:type="dxa"/>
          </w:tcPr>
          <w:p w14:paraId="2DDF576A"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Discount Factor (5%)</w:t>
            </w:r>
          </w:p>
        </w:tc>
        <w:tc>
          <w:tcPr>
            <w:tcW w:w="1112" w:type="dxa"/>
          </w:tcPr>
          <w:p w14:paraId="6C294AFB"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Present Value (£)</w:t>
            </w:r>
          </w:p>
        </w:tc>
      </w:tr>
      <w:tr w:rsidR="005C6948" w:rsidRPr="0036198E" w14:paraId="479E2120" w14:textId="77777777" w:rsidTr="009F268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312" w:type="dxa"/>
          </w:tcPr>
          <w:p w14:paraId="1CCB96DF" w14:textId="77777777" w:rsidR="005C6948" w:rsidRPr="0036198E" w:rsidRDefault="005C6948" w:rsidP="00652878">
            <w:pPr>
              <w:spacing w:line="360" w:lineRule="auto"/>
              <w:rPr>
                <w:rFonts w:eastAsia="Arial"/>
                <w:color w:val="000000"/>
              </w:rPr>
            </w:pPr>
            <w:r w:rsidRPr="0036198E">
              <w:rPr>
                <w:rFonts w:eastAsia="Arial"/>
                <w:color w:val="000000"/>
              </w:rPr>
              <w:t>0</w:t>
            </w:r>
          </w:p>
        </w:tc>
        <w:tc>
          <w:tcPr>
            <w:tcW w:w="967" w:type="dxa"/>
          </w:tcPr>
          <w:p w14:paraId="4967A6C1"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600,000</w:t>
            </w:r>
          </w:p>
        </w:tc>
        <w:tc>
          <w:tcPr>
            <w:tcW w:w="1243" w:type="dxa"/>
          </w:tcPr>
          <w:p w14:paraId="2875075E"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120000</w:t>
            </w:r>
          </w:p>
        </w:tc>
        <w:tc>
          <w:tcPr>
            <w:tcW w:w="974" w:type="dxa"/>
          </w:tcPr>
          <w:p w14:paraId="2CA85F0A"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967" w:type="dxa"/>
          </w:tcPr>
          <w:p w14:paraId="5252DDD2"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336" w:type="dxa"/>
          </w:tcPr>
          <w:p w14:paraId="50149D4D"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-600,000</w:t>
            </w:r>
          </w:p>
        </w:tc>
        <w:tc>
          <w:tcPr>
            <w:tcW w:w="1105" w:type="dxa"/>
          </w:tcPr>
          <w:p w14:paraId="41E36EE9"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w:t>
            </w:r>
          </w:p>
        </w:tc>
        <w:tc>
          <w:tcPr>
            <w:tcW w:w="1112" w:type="dxa"/>
          </w:tcPr>
          <w:p w14:paraId="4D22B59D"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r>
      <w:tr w:rsidR="005C6948" w:rsidRPr="0036198E" w14:paraId="6081A209"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312" w:type="dxa"/>
          </w:tcPr>
          <w:p w14:paraId="1869A158" w14:textId="77777777" w:rsidR="005C6948" w:rsidRPr="0036198E" w:rsidRDefault="005C6948" w:rsidP="00652878">
            <w:pPr>
              <w:spacing w:line="360" w:lineRule="auto"/>
              <w:rPr>
                <w:rFonts w:eastAsia="Arial"/>
                <w:color w:val="000000"/>
              </w:rPr>
            </w:pPr>
            <w:r w:rsidRPr="0036198E">
              <w:rPr>
                <w:rFonts w:eastAsia="Arial"/>
                <w:color w:val="000000"/>
              </w:rPr>
              <w:t>1</w:t>
            </w:r>
          </w:p>
        </w:tc>
        <w:tc>
          <w:tcPr>
            <w:tcW w:w="967" w:type="dxa"/>
          </w:tcPr>
          <w:p w14:paraId="275F62D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100,000</w:t>
            </w:r>
          </w:p>
        </w:tc>
        <w:tc>
          <w:tcPr>
            <w:tcW w:w="1243" w:type="dxa"/>
          </w:tcPr>
          <w:p w14:paraId="115FC2F3"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120000</w:t>
            </w:r>
          </w:p>
        </w:tc>
        <w:tc>
          <w:tcPr>
            <w:tcW w:w="974" w:type="dxa"/>
          </w:tcPr>
          <w:p w14:paraId="21C6ACE3"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-20,000</w:t>
            </w:r>
          </w:p>
        </w:tc>
        <w:tc>
          <w:tcPr>
            <w:tcW w:w="967" w:type="dxa"/>
          </w:tcPr>
          <w:p w14:paraId="5DE33450"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105,000</w:t>
            </w:r>
          </w:p>
        </w:tc>
        <w:tc>
          <w:tcPr>
            <w:tcW w:w="1336" w:type="dxa"/>
          </w:tcPr>
          <w:p w14:paraId="705AD593"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-495,000</w:t>
            </w:r>
          </w:p>
        </w:tc>
        <w:tc>
          <w:tcPr>
            <w:tcW w:w="1105" w:type="dxa"/>
          </w:tcPr>
          <w:p w14:paraId="67C0538C"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0.9524</w:t>
            </w:r>
          </w:p>
        </w:tc>
        <w:tc>
          <w:tcPr>
            <w:tcW w:w="1112" w:type="dxa"/>
          </w:tcPr>
          <w:p w14:paraId="5852187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100002</w:t>
            </w:r>
          </w:p>
        </w:tc>
      </w:tr>
      <w:tr w:rsidR="005C6948" w:rsidRPr="0036198E" w14:paraId="0E0EB82C" w14:textId="77777777" w:rsidTr="009F268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312" w:type="dxa"/>
          </w:tcPr>
          <w:p w14:paraId="6832296E" w14:textId="77777777" w:rsidR="005C6948" w:rsidRPr="0036198E" w:rsidRDefault="005C6948" w:rsidP="00652878">
            <w:pPr>
              <w:spacing w:line="360" w:lineRule="auto"/>
              <w:rPr>
                <w:rFonts w:eastAsia="Arial"/>
                <w:color w:val="000000"/>
              </w:rPr>
            </w:pPr>
            <w:r w:rsidRPr="0036198E">
              <w:rPr>
                <w:rFonts w:eastAsia="Arial"/>
                <w:color w:val="000000"/>
              </w:rPr>
              <w:t>2</w:t>
            </w:r>
          </w:p>
        </w:tc>
        <w:tc>
          <w:tcPr>
            <w:tcW w:w="967" w:type="dxa"/>
          </w:tcPr>
          <w:p w14:paraId="676C4BF5"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180,000</w:t>
            </w:r>
          </w:p>
        </w:tc>
        <w:tc>
          <w:tcPr>
            <w:tcW w:w="1243" w:type="dxa"/>
          </w:tcPr>
          <w:p w14:paraId="40AADE87"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120000</w:t>
            </w:r>
          </w:p>
        </w:tc>
        <w:tc>
          <w:tcPr>
            <w:tcW w:w="974" w:type="dxa"/>
          </w:tcPr>
          <w:p w14:paraId="7627C9CA"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60,000</w:t>
            </w:r>
          </w:p>
        </w:tc>
        <w:tc>
          <w:tcPr>
            <w:tcW w:w="967" w:type="dxa"/>
          </w:tcPr>
          <w:p w14:paraId="6F754809"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165,000</w:t>
            </w:r>
          </w:p>
        </w:tc>
        <w:tc>
          <w:tcPr>
            <w:tcW w:w="1336" w:type="dxa"/>
          </w:tcPr>
          <w:p w14:paraId="015972A4"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-330,000</w:t>
            </w:r>
          </w:p>
        </w:tc>
        <w:tc>
          <w:tcPr>
            <w:tcW w:w="1105" w:type="dxa"/>
          </w:tcPr>
          <w:p w14:paraId="5F8FAA4F"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0.907</w:t>
            </w:r>
          </w:p>
        </w:tc>
        <w:tc>
          <w:tcPr>
            <w:tcW w:w="1112" w:type="dxa"/>
          </w:tcPr>
          <w:p w14:paraId="25858366"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149655</w:t>
            </w:r>
          </w:p>
        </w:tc>
      </w:tr>
      <w:tr w:rsidR="005C6948" w:rsidRPr="0036198E" w14:paraId="6CA76A03"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312" w:type="dxa"/>
          </w:tcPr>
          <w:p w14:paraId="65BC3AD6" w14:textId="77777777" w:rsidR="005C6948" w:rsidRPr="0036198E" w:rsidRDefault="005C6948" w:rsidP="00652878">
            <w:pPr>
              <w:spacing w:line="360" w:lineRule="auto"/>
              <w:rPr>
                <w:rFonts w:eastAsia="Arial"/>
                <w:color w:val="000000"/>
              </w:rPr>
            </w:pPr>
            <w:r w:rsidRPr="0036198E">
              <w:rPr>
                <w:rFonts w:eastAsia="Arial"/>
                <w:color w:val="000000"/>
              </w:rPr>
              <w:t>3</w:t>
            </w:r>
          </w:p>
        </w:tc>
        <w:tc>
          <w:tcPr>
            <w:tcW w:w="967" w:type="dxa"/>
          </w:tcPr>
          <w:p w14:paraId="012A0F32"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210,000</w:t>
            </w:r>
          </w:p>
        </w:tc>
        <w:tc>
          <w:tcPr>
            <w:tcW w:w="1243" w:type="dxa"/>
          </w:tcPr>
          <w:p w14:paraId="45959069"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120000</w:t>
            </w:r>
          </w:p>
        </w:tc>
        <w:tc>
          <w:tcPr>
            <w:tcW w:w="974" w:type="dxa"/>
          </w:tcPr>
          <w:p w14:paraId="15D1DC2C"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90,000</w:t>
            </w:r>
          </w:p>
        </w:tc>
        <w:tc>
          <w:tcPr>
            <w:tcW w:w="967" w:type="dxa"/>
          </w:tcPr>
          <w:p w14:paraId="2EF842A0"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187,500</w:t>
            </w:r>
          </w:p>
        </w:tc>
        <w:tc>
          <w:tcPr>
            <w:tcW w:w="1336" w:type="dxa"/>
          </w:tcPr>
          <w:p w14:paraId="0520C846"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-142,500</w:t>
            </w:r>
          </w:p>
        </w:tc>
        <w:tc>
          <w:tcPr>
            <w:tcW w:w="1105" w:type="dxa"/>
          </w:tcPr>
          <w:p w14:paraId="55AFD83B"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0.8638</w:t>
            </w:r>
          </w:p>
        </w:tc>
        <w:tc>
          <w:tcPr>
            <w:tcW w:w="1112" w:type="dxa"/>
          </w:tcPr>
          <w:p w14:paraId="56072F1E"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161962.5</w:t>
            </w:r>
          </w:p>
        </w:tc>
      </w:tr>
      <w:tr w:rsidR="005C6948" w:rsidRPr="0036198E" w14:paraId="351A361B" w14:textId="77777777" w:rsidTr="009F268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312" w:type="dxa"/>
          </w:tcPr>
          <w:p w14:paraId="6D9AE64E" w14:textId="77777777" w:rsidR="005C6948" w:rsidRPr="0036198E" w:rsidRDefault="005C6948" w:rsidP="00652878">
            <w:pPr>
              <w:spacing w:line="360" w:lineRule="auto"/>
              <w:rPr>
                <w:rFonts w:eastAsia="Arial"/>
                <w:color w:val="000000"/>
              </w:rPr>
            </w:pPr>
            <w:r w:rsidRPr="0036198E">
              <w:rPr>
                <w:rFonts w:eastAsia="Arial"/>
                <w:color w:val="000000"/>
              </w:rPr>
              <w:t>4</w:t>
            </w:r>
          </w:p>
        </w:tc>
        <w:tc>
          <w:tcPr>
            <w:tcW w:w="967" w:type="dxa"/>
          </w:tcPr>
          <w:p w14:paraId="6A8229DB"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260,000</w:t>
            </w:r>
          </w:p>
        </w:tc>
        <w:tc>
          <w:tcPr>
            <w:tcW w:w="1243" w:type="dxa"/>
          </w:tcPr>
          <w:p w14:paraId="1E8CA993"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120000</w:t>
            </w:r>
          </w:p>
        </w:tc>
        <w:tc>
          <w:tcPr>
            <w:tcW w:w="974" w:type="dxa"/>
          </w:tcPr>
          <w:p w14:paraId="15523F47"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140,000</w:t>
            </w:r>
          </w:p>
        </w:tc>
        <w:tc>
          <w:tcPr>
            <w:tcW w:w="967" w:type="dxa"/>
          </w:tcPr>
          <w:p w14:paraId="0F52363A"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225,000</w:t>
            </w:r>
          </w:p>
        </w:tc>
        <w:tc>
          <w:tcPr>
            <w:tcW w:w="1336" w:type="dxa"/>
          </w:tcPr>
          <w:p w14:paraId="5FF701B8"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82,500</w:t>
            </w:r>
          </w:p>
        </w:tc>
        <w:tc>
          <w:tcPr>
            <w:tcW w:w="1105" w:type="dxa"/>
          </w:tcPr>
          <w:p w14:paraId="2209E7F5"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0.8227</w:t>
            </w:r>
          </w:p>
        </w:tc>
        <w:tc>
          <w:tcPr>
            <w:tcW w:w="1112" w:type="dxa"/>
          </w:tcPr>
          <w:p w14:paraId="71145BFF"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185107.5</w:t>
            </w:r>
          </w:p>
        </w:tc>
      </w:tr>
      <w:tr w:rsidR="005C6948" w:rsidRPr="0036198E" w14:paraId="274290D3"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312" w:type="dxa"/>
          </w:tcPr>
          <w:p w14:paraId="499A7603" w14:textId="77777777" w:rsidR="005C6948" w:rsidRPr="0036198E" w:rsidRDefault="005C6948" w:rsidP="00652878">
            <w:pPr>
              <w:spacing w:line="360" w:lineRule="auto"/>
              <w:rPr>
                <w:rFonts w:eastAsia="Arial"/>
                <w:color w:val="000000"/>
              </w:rPr>
            </w:pPr>
            <w:r w:rsidRPr="0036198E">
              <w:rPr>
                <w:rFonts w:eastAsia="Arial"/>
                <w:color w:val="000000"/>
              </w:rPr>
              <w:t>Total PV</w:t>
            </w:r>
          </w:p>
        </w:tc>
        <w:tc>
          <w:tcPr>
            <w:tcW w:w="967" w:type="dxa"/>
          </w:tcPr>
          <w:p w14:paraId="45AE2084"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243" w:type="dxa"/>
          </w:tcPr>
          <w:p w14:paraId="4422301C"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974" w:type="dxa"/>
          </w:tcPr>
          <w:p w14:paraId="6E9C78F0"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967" w:type="dxa"/>
          </w:tcPr>
          <w:p w14:paraId="03D87611"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336" w:type="dxa"/>
          </w:tcPr>
          <w:p w14:paraId="22362CCA"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105" w:type="dxa"/>
          </w:tcPr>
          <w:p w14:paraId="1361073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112" w:type="dxa"/>
          </w:tcPr>
          <w:p w14:paraId="0C5EADEA"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596727</w:t>
            </w:r>
          </w:p>
        </w:tc>
      </w:tr>
    </w:tbl>
    <w:p w14:paraId="3FBAA593" w14:textId="77777777" w:rsidR="005C6948" w:rsidRPr="0036198E" w:rsidRDefault="005C6948" w:rsidP="005C6948">
      <w:pPr>
        <w:spacing w:line="360" w:lineRule="auto"/>
        <w:rPr>
          <w:rFonts w:eastAsia="Arial"/>
          <w:color w:val="000000"/>
          <w:szCs w:val="24"/>
        </w:rPr>
      </w:pPr>
    </w:p>
    <w:p w14:paraId="766ED7B5" w14:textId="2E448650" w:rsidR="005C6948" w:rsidRPr="0036198E" w:rsidRDefault="005C6948" w:rsidP="0025664A">
      <w:pPr>
        <w:spacing w:line="278" w:lineRule="auto"/>
        <w:rPr>
          <w:rFonts w:eastAsia="Arial"/>
          <w:b/>
          <w:bCs/>
          <w:color w:val="000000"/>
          <w:szCs w:val="24"/>
        </w:rPr>
      </w:pPr>
      <w:r w:rsidRPr="0036198E">
        <w:rPr>
          <w:rFonts w:eastAsia="Arial"/>
          <w:b/>
          <w:bCs/>
          <w:color w:val="000000"/>
          <w:szCs w:val="24"/>
        </w:rPr>
        <w:lastRenderedPageBreak/>
        <w:t>Appendix B: Project B</w:t>
      </w:r>
    </w:p>
    <w:tbl>
      <w:tblPr>
        <w:tblStyle w:val="GridTable4-Accent4"/>
        <w:tblW w:w="9016" w:type="dxa"/>
        <w:tblLayout w:type="fixed"/>
        <w:tblLook w:val="04A0" w:firstRow="1" w:lastRow="0" w:firstColumn="1" w:lastColumn="0" w:noHBand="0" w:noVBand="1"/>
      </w:tblPr>
      <w:tblGrid>
        <w:gridCol w:w="1312"/>
        <w:gridCol w:w="967"/>
        <w:gridCol w:w="1242"/>
        <w:gridCol w:w="974"/>
        <w:gridCol w:w="967"/>
        <w:gridCol w:w="1335"/>
        <w:gridCol w:w="1104"/>
        <w:gridCol w:w="1115"/>
      </w:tblGrid>
      <w:tr w:rsidR="005C6948" w:rsidRPr="0036198E" w14:paraId="286597A6" w14:textId="77777777" w:rsidTr="009F2682">
        <w:trPr>
          <w:cnfStyle w:val="100000000000" w:firstRow="1" w:lastRow="0" w:firstColumn="0" w:lastColumn="0" w:oddVBand="0" w:evenVBand="0" w:oddHBand="0" w:evenHBand="0" w:firstRowFirstColumn="0" w:firstRowLastColumn="0" w:lastRowFirstColumn="0" w:lastRowLastColumn="0"/>
          <w:trHeight w:val="750"/>
        </w:trPr>
        <w:tc>
          <w:tcPr>
            <w:cnfStyle w:val="001000000000" w:firstRow="0" w:lastRow="0" w:firstColumn="1" w:lastColumn="0" w:oddVBand="0" w:evenVBand="0" w:oddHBand="0" w:evenHBand="0" w:firstRowFirstColumn="0" w:firstRowLastColumn="0" w:lastRowFirstColumn="0" w:lastRowLastColumn="0"/>
            <w:tcW w:w="9016" w:type="dxa"/>
            <w:gridSpan w:val="8"/>
          </w:tcPr>
          <w:p w14:paraId="15563CC2" w14:textId="77777777" w:rsidR="005C6948" w:rsidRPr="0036198E" w:rsidRDefault="005C6948" w:rsidP="00652878">
            <w:pPr>
              <w:spacing w:line="360" w:lineRule="auto"/>
              <w:rPr>
                <w:rFonts w:eastAsia="Arial"/>
                <w:color w:val="000000"/>
              </w:rPr>
            </w:pPr>
            <w:r w:rsidRPr="0036198E">
              <w:rPr>
                <w:rFonts w:eastAsia="Arial"/>
                <w:color w:val="000000"/>
              </w:rPr>
              <w:t>Project B</w:t>
            </w:r>
          </w:p>
        </w:tc>
      </w:tr>
      <w:tr w:rsidR="005C6948" w:rsidRPr="0036198E" w14:paraId="6DD6D907" w14:textId="77777777" w:rsidTr="009F2682">
        <w:trPr>
          <w:cnfStyle w:val="000000100000" w:firstRow="0" w:lastRow="0" w:firstColumn="0" w:lastColumn="0" w:oddVBand="0" w:evenVBand="0" w:oddHBand="1" w:evenHBand="0" w:firstRowFirstColumn="0" w:firstRowLastColumn="0" w:lastRowFirstColumn="0" w:lastRowLastColumn="0"/>
          <w:trHeight w:val="1125"/>
        </w:trPr>
        <w:tc>
          <w:tcPr>
            <w:cnfStyle w:val="001000000000" w:firstRow="0" w:lastRow="0" w:firstColumn="1" w:lastColumn="0" w:oddVBand="0" w:evenVBand="0" w:oddHBand="0" w:evenHBand="0" w:firstRowFirstColumn="0" w:firstRowLastColumn="0" w:lastRowFirstColumn="0" w:lastRowLastColumn="0"/>
            <w:tcW w:w="1312" w:type="dxa"/>
          </w:tcPr>
          <w:p w14:paraId="5C77857B" w14:textId="77777777" w:rsidR="005C6948" w:rsidRPr="0036198E" w:rsidRDefault="005C6948" w:rsidP="00652878">
            <w:pPr>
              <w:spacing w:line="360" w:lineRule="auto"/>
              <w:rPr>
                <w:rFonts w:eastAsia="Arial"/>
                <w:color w:val="000000"/>
              </w:rPr>
            </w:pPr>
            <w:r w:rsidRPr="0036198E">
              <w:rPr>
                <w:rFonts w:eastAsia="Arial"/>
                <w:color w:val="000000"/>
              </w:rPr>
              <w:t>Initial Investment</w:t>
            </w:r>
          </w:p>
        </w:tc>
        <w:tc>
          <w:tcPr>
            <w:tcW w:w="967" w:type="dxa"/>
          </w:tcPr>
          <w:p w14:paraId="7048B924"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900,000</w:t>
            </w:r>
          </w:p>
        </w:tc>
        <w:tc>
          <w:tcPr>
            <w:tcW w:w="1242" w:type="dxa"/>
          </w:tcPr>
          <w:p w14:paraId="30F384C7"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974" w:type="dxa"/>
          </w:tcPr>
          <w:p w14:paraId="093992F3"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967" w:type="dxa"/>
          </w:tcPr>
          <w:p w14:paraId="00C720CA"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335" w:type="dxa"/>
          </w:tcPr>
          <w:p w14:paraId="724194CF"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104" w:type="dxa"/>
          </w:tcPr>
          <w:p w14:paraId="58F6C894"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115" w:type="dxa"/>
          </w:tcPr>
          <w:p w14:paraId="0E79B30E"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r>
      <w:tr w:rsidR="005C6948" w:rsidRPr="0036198E" w14:paraId="358E1D9E"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312" w:type="dxa"/>
          </w:tcPr>
          <w:p w14:paraId="6650E38B" w14:textId="77777777" w:rsidR="005C6948" w:rsidRPr="0036198E" w:rsidRDefault="005C6948" w:rsidP="00652878">
            <w:pPr>
              <w:spacing w:line="360" w:lineRule="auto"/>
              <w:rPr>
                <w:rFonts w:eastAsia="Arial"/>
                <w:color w:val="000000"/>
              </w:rPr>
            </w:pPr>
            <w:r w:rsidRPr="0036198E">
              <w:rPr>
                <w:rFonts w:eastAsia="Arial"/>
                <w:color w:val="000000"/>
              </w:rPr>
              <w:t>Year</w:t>
            </w:r>
          </w:p>
        </w:tc>
        <w:tc>
          <w:tcPr>
            <w:tcW w:w="967" w:type="dxa"/>
          </w:tcPr>
          <w:p w14:paraId="48362B0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Cash Flow (£)</w:t>
            </w:r>
          </w:p>
        </w:tc>
        <w:tc>
          <w:tcPr>
            <w:tcW w:w="1242" w:type="dxa"/>
          </w:tcPr>
          <w:p w14:paraId="611D9C15"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Capital Allowance (£)</w:t>
            </w:r>
          </w:p>
        </w:tc>
        <w:tc>
          <w:tcPr>
            <w:tcW w:w="974" w:type="dxa"/>
          </w:tcPr>
          <w:p w14:paraId="47F9CB16"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Taxable (£)</w:t>
            </w:r>
          </w:p>
        </w:tc>
        <w:tc>
          <w:tcPr>
            <w:tcW w:w="967" w:type="dxa"/>
          </w:tcPr>
          <w:p w14:paraId="54F0F5B0"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Net Cash Flow (£)</w:t>
            </w:r>
          </w:p>
        </w:tc>
        <w:tc>
          <w:tcPr>
            <w:tcW w:w="1335" w:type="dxa"/>
          </w:tcPr>
          <w:p w14:paraId="3B0E53F4"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proofErr w:type="gramStart"/>
            <w:r w:rsidRPr="0036198E">
              <w:rPr>
                <w:rFonts w:eastAsia="Arial"/>
                <w:b/>
                <w:bCs/>
                <w:color w:val="000000"/>
              </w:rPr>
              <w:t>Cumulative  Cash</w:t>
            </w:r>
            <w:proofErr w:type="gramEnd"/>
            <w:r w:rsidRPr="0036198E">
              <w:rPr>
                <w:rFonts w:eastAsia="Arial"/>
                <w:b/>
                <w:bCs/>
                <w:color w:val="000000"/>
              </w:rPr>
              <w:t xml:space="preserve"> Flow (£)</w:t>
            </w:r>
          </w:p>
        </w:tc>
        <w:tc>
          <w:tcPr>
            <w:tcW w:w="1104" w:type="dxa"/>
          </w:tcPr>
          <w:p w14:paraId="2FB78A83"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Discount Factor (5%)</w:t>
            </w:r>
          </w:p>
        </w:tc>
        <w:tc>
          <w:tcPr>
            <w:tcW w:w="1115" w:type="dxa"/>
          </w:tcPr>
          <w:p w14:paraId="2F499962"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Present Value (£)</w:t>
            </w:r>
          </w:p>
        </w:tc>
      </w:tr>
      <w:tr w:rsidR="005C6948" w:rsidRPr="0036198E" w14:paraId="4125C387" w14:textId="77777777" w:rsidTr="009F268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312" w:type="dxa"/>
          </w:tcPr>
          <w:p w14:paraId="28130826" w14:textId="77777777" w:rsidR="005C6948" w:rsidRPr="0036198E" w:rsidRDefault="005C6948" w:rsidP="00652878">
            <w:pPr>
              <w:spacing w:line="360" w:lineRule="auto"/>
              <w:rPr>
                <w:rFonts w:eastAsia="Arial"/>
                <w:color w:val="000000"/>
              </w:rPr>
            </w:pPr>
            <w:r w:rsidRPr="0036198E">
              <w:rPr>
                <w:rFonts w:eastAsia="Arial"/>
                <w:color w:val="000000"/>
              </w:rPr>
              <w:t>0</w:t>
            </w:r>
          </w:p>
        </w:tc>
        <w:tc>
          <w:tcPr>
            <w:tcW w:w="967" w:type="dxa"/>
          </w:tcPr>
          <w:p w14:paraId="7D2C53CC"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900,000</w:t>
            </w:r>
          </w:p>
        </w:tc>
        <w:tc>
          <w:tcPr>
            <w:tcW w:w="1242" w:type="dxa"/>
          </w:tcPr>
          <w:p w14:paraId="2897A994"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180,000</w:t>
            </w:r>
          </w:p>
        </w:tc>
        <w:tc>
          <w:tcPr>
            <w:tcW w:w="974" w:type="dxa"/>
          </w:tcPr>
          <w:p w14:paraId="5D515EF7"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967" w:type="dxa"/>
          </w:tcPr>
          <w:p w14:paraId="15B51F85"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335" w:type="dxa"/>
          </w:tcPr>
          <w:p w14:paraId="6086F978"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-900,000</w:t>
            </w:r>
          </w:p>
        </w:tc>
        <w:tc>
          <w:tcPr>
            <w:tcW w:w="1104" w:type="dxa"/>
          </w:tcPr>
          <w:p w14:paraId="351D6DBA"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w:t>
            </w:r>
          </w:p>
        </w:tc>
        <w:tc>
          <w:tcPr>
            <w:tcW w:w="1115" w:type="dxa"/>
          </w:tcPr>
          <w:p w14:paraId="45073915"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r>
      <w:tr w:rsidR="005C6948" w:rsidRPr="0036198E" w14:paraId="5B6A3ED3"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312" w:type="dxa"/>
          </w:tcPr>
          <w:p w14:paraId="60CAF745" w14:textId="77777777" w:rsidR="005C6948" w:rsidRPr="0036198E" w:rsidRDefault="005C6948" w:rsidP="00652878">
            <w:pPr>
              <w:spacing w:line="360" w:lineRule="auto"/>
              <w:rPr>
                <w:rFonts w:eastAsia="Arial"/>
                <w:color w:val="000000"/>
              </w:rPr>
            </w:pPr>
            <w:r w:rsidRPr="0036198E">
              <w:rPr>
                <w:rFonts w:eastAsia="Arial"/>
                <w:color w:val="000000"/>
              </w:rPr>
              <w:t>1</w:t>
            </w:r>
          </w:p>
        </w:tc>
        <w:tc>
          <w:tcPr>
            <w:tcW w:w="967" w:type="dxa"/>
          </w:tcPr>
          <w:p w14:paraId="657CFB1D"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220,000</w:t>
            </w:r>
          </w:p>
        </w:tc>
        <w:tc>
          <w:tcPr>
            <w:tcW w:w="1242" w:type="dxa"/>
          </w:tcPr>
          <w:p w14:paraId="06BA7AB4"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180,000</w:t>
            </w:r>
          </w:p>
        </w:tc>
        <w:tc>
          <w:tcPr>
            <w:tcW w:w="974" w:type="dxa"/>
          </w:tcPr>
          <w:p w14:paraId="3B0205D6"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40,000</w:t>
            </w:r>
          </w:p>
        </w:tc>
        <w:tc>
          <w:tcPr>
            <w:tcW w:w="967" w:type="dxa"/>
          </w:tcPr>
          <w:p w14:paraId="57A6B04B"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210,000</w:t>
            </w:r>
          </w:p>
        </w:tc>
        <w:tc>
          <w:tcPr>
            <w:tcW w:w="1335" w:type="dxa"/>
          </w:tcPr>
          <w:p w14:paraId="30C60703"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-690,000</w:t>
            </w:r>
          </w:p>
        </w:tc>
        <w:tc>
          <w:tcPr>
            <w:tcW w:w="1104" w:type="dxa"/>
          </w:tcPr>
          <w:p w14:paraId="3807C8CB"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0.9524</w:t>
            </w:r>
          </w:p>
        </w:tc>
        <w:tc>
          <w:tcPr>
            <w:tcW w:w="1115" w:type="dxa"/>
          </w:tcPr>
          <w:p w14:paraId="1DAEF142"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200004</w:t>
            </w:r>
          </w:p>
        </w:tc>
      </w:tr>
      <w:tr w:rsidR="005C6948" w:rsidRPr="0036198E" w14:paraId="60CC28A9" w14:textId="77777777" w:rsidTr="009F268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312" w:type="dxa"/>
          </w:tcPr>
          <w:p w14:paraId="15F91A4B" w14:textId="77777777" w:rsidR="005C6948" w:rsidRPr="0036198E" w:rsidRDefault="005C6948" w:rsidP="00652878">
            <w:pPr>
              <w:spacing w:line="360" w:lineRule="auto"/>
              <w:rPr>
                <w:rFonts w:eastAsia="Arial"/>
                <w:color w:val="000000"/>
              </w:rPr>
            </w:pPr>
            <w:r w:rsidRPr="0036198E">
              <w:rPr>
                <w:rFonts w:eastAsia="Arial"/>
                <w:color w:val="000000"/>
              </w:rPr>
              <w:t>2</w:t>
            </w:r>
          </w:p>
        </w:tc>
        <w:tc>
          <w:tcPr>
            <w:tcW w:w="967" w:type="dxa"/>
          </w:tcPr>
          <w:p w14:paraId="10726978"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270,000</w:t>
            </w:r>
          </w:p>
        </w:tc>
        <w:tc>
          <w:tcPr>
            <w:tcW w:w="1242" w:type="dxa"/>
          </w:tcPr>
          <w:p w14:paraId="1044D93E"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180,000</w:t>
            </w:r>
          </w:p>
        </w:tc>
        <w:tc>
          <w:tcPr>
            <w:tcW w:w="974" w:type="dxa"/>
          </w:tcPr>
          <w:p w14:paraId="3C4EDF4A"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90,000</w:t>
            </w:r>
          </w:p>
        </w:tc>
        <w:tc>
          <w:tcPr>
            <w:tcW w:w="967" w:type="dxa"/>
          </w:tcPr>
          <w:p w14:paraId="38D8E377"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247,500</w:t>
            </w:r>
          </w:p>
        </w:tc>
        <w:tc>
          <w:tcPr>
            <w:tcW w:w="1335" w:type="dxa"/>
          </w:tcPr>
          <w:p w14:paraId="739B0DF1"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-442,500</w:t>
            </w:r>
          </w:p>
        </w:tc>
        <w:tc>
          <w:tcPr>
            <w:tcW w:w="1104" w:type="dxa"/>
          </w:tcPr>
          <w:p w14:paraId="1E72BBDB"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0.907</w:t>
            </w:r>
          </w:p>
        </w:tc>
        <w:tc>
          <w:tcPr>
            <w:tcW w:w="1115" w:type="dxa"/>
          </w:tcPr>
          <w:p w14:paraId="329D8A37"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224482.5</w:t>
            </w:r>
          </w:p>
        </w:tc>
      </w:tr>
      <w:tr w:rsidR="005C6948" w:rsidRPr="0036198E" w14:paraId="3C135759"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312" w:type="dxa"/>
          </w:tcPr>
          <w:p w14:paraId="1340BC94" w14:textId="77777777" w:rsidR="005C6948" w:rsidRPr="0036198E" w:rsidRDefault="005C6948" w:rsidP="00652878">
            <w:pPr>
              <w:spacing w:line="360" w:lineRule="auto"/>
              <w:rPr>
                <w:rFonts w:eastAsia="Arial"/>
                <w:color w:val="000000"/>
              </w:rPr>
            </w:pPr>
            <w:r w:rsidRPr="0036198E">
              <w:rPr>
                <w:rFonts w:eastAsia="Arial"/>
                <w:color w:val="000000"/>
              </w:rPr>
              <w:t>3</w:t>
            </w:r>
          </w:p>
        </w:tc>
        <w:tc>
          <w:tcPr>
            <w:tcW w:w="967" w:type="dxa"/>
          </w:tcPr>
          <w:p w14:paraId="358F43CC"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350,000</w:t>
            </w:r>
          </w:p>
        </w:tc>
        <w:tc>
          <w:tcPr>
            <w:tcW w:w="1242" w:type="dxa"/>
          </w:tcPr>
          <w:p w14:paraId="5428AE44"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180,000</w:t>
            </w:r>
          </w:p>
        </w:tc>
        <w:tc>
          <w:tcPr>
            <w:tcW w:w="974" w:type="dxa"/>
          </w:tcPr>
          <w:p w14:paraId="37B259A5"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170,000</w:t>
            </w:r>
          </w:p>
        </w:tc>
        <w:tc>
          <w:tcPr>
            <w:tcW w:w="967" w:type="dxa"/>
          </w:tcPr>
          <w:p w14:paraId="5025DAD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307,500</w:t>
            </w:r>
          </w:p>
        </w:tc>
        <w:tc>
          <w:tcPr>
            <w:tcW w:w="1335" w:type="dxa"/>
          </w:tcPr>
          <w:p w14:paraId="57496A62"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-135,000</w:t>
            </w:r>
          </w:p>
        </w:tc>
        <w:tc>
          <w:tcPr>
            <w:tcW w:w="1104" w:type="dxa"/>
          </w:tcPr>
          <w:p w14:paraId="36830A3E"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0.8638</w:t>
            </w:r>
          </w:p>
        </w:tc>
        <w:tc>
          <w:tcPr>
            <w:tcW w:w="1115" w:type="dxa"/>
          </w:tcPr>
          <w:p w14:paraId="5C2CC1CA"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265618.5</w:t>
            </w:r>
          </w:p>
        </w:tc>
      </w:tr>
      <w:tr w:rsidR="005C6948" w:rsidRPr="0036198E" w14:paraId="0ACDC6BB" w14:textId="77777777" w:rsidTr="009F268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312" w:type="dxa"/>
          </w:tcPr>
          <w:p w14:paraId="4D0AB990" w14:textId="77777777" w:rsidR="005C6948" w:rsidRPr="0036198E" w:rsidRDefault="005C6948" w:rsidP="00652878">
            <w:pPr>
              <w:spacing w:line="360" w:lineRule="auto"/>
              <w:rPr>
                <w:rFonts w:eastAsia="Arial"/>
                <w:color w:val="000000"/>
              </w:rPr>
            </w:pPr>
            <w:r w:rsidRPr="0036198E">
              <w:rPr>
                <w:rFonts w:eastAsia="Arial"/>
                <w:color w:val="000000"/>
              </w:rPr>
              <w:t>4</w:t>
            </w:r>
          </w:p>
        </w:tc>
        <w:tc>
          <w:tcPr>
            <w:tcW w:w="967" w:type="dxa"/>
          </w:tcPr>
          <w:p w14:paraId="2F7DA70D"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400,000</w:t>
            </w:r>
          </w:p>
        </w:tc>
        <w:tc>
          <w:tcPr>
            <w:tcW w:w="1242" w:type="dxa"/>
          </w:tcPr>
          <w:p w14:paraId="027E5A1E"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180,000</w:t>
            </w:r>
          </w:p>
        </w:tc>
        <w:tc>
          <w:tcPr>
            <w:tcW w:w="974" w:type="dxa"/>
          </w:tcPr>
          <w:p w14:paraId="4453F3CF"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220,000</w:t>
            </w:r>
          </w:p>
        </w:tc>
        <w:tc>
          <w:tcPr>
            <w:tcW w:w="967" w:type="dxa"/>
          </w:tcPr>
          <w:p w14:paraId="63BD2DE8"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345,000</w:t>
            </w:r>
          </w:p>
        </w:tc>
        <w:tc>
          <w:tcPr>
            <w:tcW w:w="1335" w:type="dxa"/>
          </w:tcPr>
          <w:p w14:paraId="6B9708BA"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210,000</w:t>
            </w:r>
          </w:p>
        </w:tc>
        <w:tc>
          <w:tcPr>
            <w:tcW w:w="1104" w:type="dxa"/>
          </w:tcPr>
          <w:p w14:paraId="1C36B38B"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0.8227</w:t>
            </w:r>
          </w:p>
        </w:tc>
        <w:tc>
          <w:tcPr>
            <w:tcW w:w="1115" w:type="dxa"/>
          </w:tcPr>
          <w:p w14:paraId="7992AB97"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283831.5</w:t>
            </w:r>
          </w:p>
        </w:tc>
      </w:tr>
      <w:tr w:rsidR="005C6948" w:rsidRPr="0036198E" w14:paraId="2A82B447"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312" w:type="dxa"/>
          </w:tcPr>
          <w:p w14:paraId="134DA59D" w14:textId="77777777" w:rsidR="005C6948" w:rsidRPr="0036198E" w:rsidRDefault="005C6948" w:rsidP="00652878">
            <w:pPr>
              <w:spacing w:line="360" w:lineRule="auto"/>
              <w:rPr>
                <w:rFonts w:eastAsia="Arial"/>
                <w:color w:val="000000"/>
              </w:rPr>
            </w:pPr>
            <w:r w:rsidRPr="0036198E">
              <w:rPr>
                <w:rFonts w:eastAsia="Arial"/>
                <w:color w:val="000000"/>
              </w:rPr>
              <w:t>Total PV</w:t>
            </w:r>
          </w:p>
        </w:tc>
        <w:tc>
          <w:tcPr>
            <w:tcW w:w="967" w:type="dxa"/>
          </w:tcPr>
          <w:p w14:paraId="24D73BEC"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242" w:type="dxa"/>
          </w:tcPr>
          <w:p w14:paraId="702295F0"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974" w:type="dxa"/>
          </w:tcPr>
          <w:p w14:paraId="79DF03C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967" w:type="dxa"/>
          </w:tcPr>
          <w:p w14:paraId="7BA10990"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335" w:type="dxa"/>
          </w:tcPr>
          <w:p w14:paraId="6BF8C78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104" w:type="dxa"/>
          </w:tcPr>
          <w:p w14:paraId="420B8DBD"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115" w:type="dxa"/>
          </w:tcPr>
          <w:p w14:paraId="504963B3"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973936.5</w:t>
            </w:r>
          </w:p>
        </w:tc>
      </w:tr>
      <w:tr w:rsidR="005C6948" w:rsidRPr="0036198E" w14:paraId="0D461431" w14:textId="77777777" w:rsidTr="009F268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12" w:type="dxa"/>
          </w:tcPr>
          <w:p w14:paraId="734AD0FF" w14:textId="77777777" w:rsidR="005C6948" w:rsidRPr="0036198E" w:rsidRDefault="005C6948" w:rsidP="00652878">
            <w:pPr>
              <w:spacing w:line="360" w:lineRule="auto"/>
              <w:rPr>
                <w:rFonts w:eastAsia="Arial"/>
                <w:color w:val="000000"/>
              </w:rPr>
            </w:pPr>
            <w:r w:rsidRPr="0036198E">
              <w:rPr>
                <w:rFonts w:eastAsia="Arial"/>
                <w:color w:val="000000"/>
              </w:rPr>
              <w:t>NPV</w:t>
            </w:r>
          </w:p>
        </w:tc>
        <w:tc>
          <w:tcPr>
            <w:tcW w:w="967" w:type="dxa"/>
          </w:tcPr>
          <w:p w14:paraId="1840B23D"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73,937</w:t>
            </w:r>
          </w:p>
        </w:tc>
        <w:tc>
          <w:tcPr>
            <w:tcW w:w="1242" w:type="dxa"/>
          </w:tcPr>
          <w:p w14:paraId="05027B59"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974" w:type="dxa"/>
          </w:tcPr>
          <w:p w14:paraId="4B42A6C0"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967" w:type="dxa"/>
          </w:tcPr>
          <w:p w14:paraId="5703EE0A"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335" w:type="dxa"/>
          </w:tcPr>
          <w:p w14:paraId="4CCFCAC0"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104" w:type="dxa"/>
          </w:tcPr>
          <w:p w14:paraId="5AA20EC6"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115" w:type="dxa"/>
          </w:tcPr>
          <w:p w14:paraId="161DB8C5"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r>
    </w:tbl>
    <w:p w14:paraId="4EA5559E" w14:textId="77777777" w:rsidR="007946DE" w:rsidRDefault="007946DE" w:rsidP="0025664A">
      <w:pPr>
        <w:spacing w:line="278" w:lineRule="auto"/>
        <w:rPr>
          <w:rFonts w:eastAsia="Arial"/>
          <w:b/>
          <w:bCs/>
          <w:color w:val="000000"/>
          <w:szCs w:val="24"/>
        </w:rPr>
      </w:pPr>
    </w:p>
    <w:p w14:paraId="213FF7F1" w14:textId="77777777" w:rsidR="007946DE" w:rsidRDefault="007946DE">
      <w:pPr>
        <w:spacing w:line="278" w:lineRule="auto"/>
        <w:rPr>
          <w:rFonts w:eastAsia="Arial"/>
          <w:b/>
          <w:bCs/>
          <w:color w:val="000000"/>
          <w:szCs w:val="24"/>
        </w:rPr>
      </w:pPr>
      <w:r>
        <w:rPr>
          <w:rFonts w:eastAsia="Arial"/>
          <w:b/>
          <w:bCs/>
          <w:color w:val="000000"/>
          <w:szCs w:val="24"/>
        </w:rPr>
        <w:br w:type="page"/>
      </w:r>
    </w:p>
    <w:p w14:paraId="022F6CEC" w14:textId="37D27E31" w:rsidR="005C6948" w:rsidRPr="0036198E" w:rsidRDefault="005C6948" w:rsidP="0025664A">
      <w:pPr>
        <w:spacing w:line="278" w:lineRule="auto"/>
        <w:rPr>
          <w:rFonts w:eastAsia="Arial"/>
          <w:b/>
          <w:bCs/>
          <w:color w:val="000000"/>
          <w:szCs w:val="24"/>
        </w:rPr>
      </w:pPr>
      <w:r w:rsidRPr="0036198E">
        <w:rPr>
          <w:rFonts w:eastAsia="Arial"/>
          <w:b/>
          <w:bCs/>
          <w:color w:val="000000"/>
          <w:szCs w:val="24"/>
        </w:rPr>
        <w:lastRenderedPageBreak/>
        <w:t>Appendix C: Project C</w:t>
      </w:r>
    </w:p>
    <w:tbl>
      <w:tblPr>
        <w:tblStyle w:val="GridTable4-Accent4"/>
        <w:tblW w:w="9016" w:type="dxa"/>
        <w:tblLayout w:type="fixed"/>
        <w:tblLook w:val="04A0" w:firstRow="1" w:lastRow="0" w:firstColumn="1" w:lastColumn="0" w:noHBand="0" w:noVBand="1"/>
      </w:tblPr>
      <w:tblGrid>
        <w:gridCol w:w="1260"/>
        <w:gridCol w:w="1095"/>
        <w:gridCol w:w="1193"/>
        <w:gridCol w:w="937"/>
        <w:gridCol w:w="930"/>
        <w:gridCol w:w="1281"/>
        <w:gridCol w:w="1061"/>
        <w:gridCol w:w="1259"/>
      </w:tblGrid>
      <w:tr w:rsidR="005C6948" w:rsidRPr="0036198E" w14:paraId="6CA6FB2D" w14:textId="77777777" w:rsidTr="009F2682">
        <w:trPr>
          <w:cnfStyle w:val="100000000000" w:firstRow="1" w:lastRow="0" w:firstColumn="0" w:lastColumn="0" w:oddVBand="0" w:evenVBand="0" w:oddHBand="0" w:evenHBand="0" w:firstRowFirstColumn="0" w:firstRowLastColumn="0" w:lastRowFirstColumn="0" w:lastRowLastColumn="0"/>
          <w:trHeight w:val="750"/>
        </w:trPr>
        <w:tc>
          <w:tcPr>
            <w:cnfStyle w:val="001000000000" w:firstRow="0" w:lastRow="0" w:firstColumn="1" w:lastColumn="0" w:oddVBand="0" w:evenVBand="0" w:oddHBand="0" w:evenHBand="0" w:firstRowFirstColumn="0" w:firstRowLastColumn="0" w:lastRowFirstColumn="0" w:lastRowLastColumn="0"/>
            <w:tcW w:w="9016" w:type="dxa"/>
            <w:gridSpan w:val="8"/>
          </w:tcPr>
          <w:p w14:paraId="70725154" w14:textId="77777777" w:rsidR="005C6948" w:rsidRPr="0036198E" w:rsidRDefault="005C6948" w:rsidP="00652878">
            <w:pPr>
              <w:spacing w:line="360" w:lineRule="auto"/>
              <w:rPr>
                <w:rFonts w:eastAsia="Arial"/>
                <w:color w:val="000000"/>
              </w:rPr>
            </w:pPr>
            <w:r w:rsidRPr="0036198E">
              <w:rPr>
                <w:rFonts w:eastAsia="Arial"/>
                <w:color w:val="000000"/>
              </w:rPr>
              <w:t>Project C</w:t>
            </w:r>
          </w:p>
        </w:tc>
      </w:tr>
      <w:tr w:rsidR="005C6948" w:rsidRPr="0036198E" w14:paraId="5B5E982E" w14:textId="77777777" w:rsidTr="009F2682">
        <w:trPr>
          <w:cnfStyle w:val="000000100000" w:firstRow="0" w:lastRow="0" w:firstColumn="0" w:lastColumn="0" w:oddVBand="0" w:evenVBand="0" w:oddHBand="1" w:evenHBand="0" w:firstRowFirstColumn="0" w:firstRowLastColumn="0" w:lastRowFirstColumn="0" w:lastRowLastColumn="0"/>
          <w:trHeight w:val="1125"/>
        </w:trPr>
        <w:tc>
          <w:tcPr>
            <w:cnfStyle w:val="001000000000" w:firstRow="0" w:lastRow="0" w:firstColumn="1" w:lastColumn="0" w:oddVBand="0" w:evenVBand="0" w:oddHBand="0" w:evenHBand="0" w:firstRowFirstColumn="0" w:firstRowLastColumn="0" w:lastRowFirstColumn="0" w:lastRowLastColumn="0"/>
            <w:tcW w:w="1260" w:type="dxa"/>
          </w:tcPr>
          <w:p w14:paraId="5CFEE143" w14:textId="77777777" w:rsidR="005C6948" w:rsidRPr="0036198E" w:rsidRDefault="005C6948" w:rsidP="00652878">
            <w:pPr>
              <w:spacing w:line="360" w:lineRule="auto"/>
              <w:rPr>
                <w:rFonts w:eastAsia="Arial"/>
                <w:color w:val="000000"/>
              </w:rPr>
            </w:pPr>
            <w:r w:rsidRPr="0036198E">
              <w:rPr>
                <w:rFonts w:eastAsia="Arial"/>
                <w:color w:val="000000"/>
              </w:rPr>
              <w:t>Initial Investment</w:t>
            </w:r>
          </w:p>
        </w:tc>
        <w:tc>
          <w:tcPr>
            <w:tcW w:w="1095" w:type="dxa"/>
          </w:tcPr>
          <w:p w14:paraId="3914A12E"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1,000,000</w:t>
            </w:r>
          </w:p>
        </w:tc>
        <w:tc>
          <w:tcPr>
            <w:tcW w:w="1193" w:type="dxa"/>
          </w:tcPr>
          <w:p w14:paraId="67783361"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937" w:type="dxa"/>
          </w:tcPr>
          <w:p w14:paraId="09580FFF"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930" w:type="dxa"/>
          </w:tcPr>
          <w:p w14:paraId="126A5180"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281" w:type="dxa"/>
          </w:tcPr>
          <w:p w14:paraId="13C56741"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061" w:type="dxa"/>
          </w:tcPr>
          <w:p w14:paraId="1716F498"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259" w:type="dxa"/>
          </w:tcPr>
          <w:p w14:paraId="66B225BC"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r>
      <w:tr w:rsidR="005C6948" w:rsidRPr="0036198E" w14:paraId="6B5F866B"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260" w:type="dxa"/>
          </w:tcPr>
          <w:p w14:paraId="5700F25A" w14:textId="77777777" w:rsidR="005C6948" w:rsidRPr="0036198E" w:rsidRDefault="005C6948" w:rsidP="00652878">
            <w:pPr>
              <w:spacing w:line="360" w:lineRule="auto"/>
              <w:rPr>
                <w:rFonts w:eastAsia="Arial"/>
                <w:color w:val="000000"/>
              </w:rPr>
            </w:pPr>
            <w:r w:rsidRPr="0036198E">
              <w:rPr>
                <w:rFonts w:eastAsia="Arial"/>
                <w:color w:val="000000"/>
              </w:rPr>
              <w:t>Year</w:t>
            </w:r>
          </w:p>
        </w:tc>
        <w:tc>
          <w:tcPr>
            <w:tcW w:w="1095" w:type="dxa"/>
          </w:tcPr>
          <w:p w14:paraId="5A5E5823"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Cash Flow (£)</w:t>
            </w:r>
          </w:p>
        </w:tc>
        <w:tc>
          <w:tcPr>
            <w:tcW w:w="1193" w:type="dxa"/>
          </w:tcPr>
          <w:p w14:paraId="706810B3"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Capital Allowance (£)</w:t>
            </w:r>
          </w:p>
        </w:tc>
        <w:tc>
          <w:tcPr>
            <w:tcW w:w="937" w:type="dxa"/>
          </w:tcPr>
          <w:p w14:paraId="6355A8FF"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Taxable (£)</w:t>
            </w:r>
          </w:p>
        </w:tc>
        <w:tc>
          <w:tcPr>
            <w:tcW w:w="930" w:type="dxa"/>
          </w:tcPr>
          <w:p w14:paraId="68413625"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Net Cash Flow (£)</w:t>
            </w:r>
          </w:p>
        </w:tc>
        <w:tc>
          <w:tcPr>
            <w:tcW w:w="1281" w:type="dxa"/>
          </w:tcPr>
          <w:p w14:paraId="28C71EC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proofErr w:type="gramStart"/>
            <w:r w:rsidRPr="0036198E">
              <w:rPr>
                <w:rFonts w:eastAsia="Arial"/>
                <w:b/>
                <w:bCs/>
                <w:color w:val="000000"/>
              </w:rPr>
              <w:t>Cumulative  Cash</w:t>
            </w:r>
            <w:proofErr w:type="gramEnd"/>
            <w:r w:rsidRPr="0036198E">
              <w:rPr>
                <w:rFonts w:eastAsia="Arial"/>
                <w:b/>
                <w:bCs/>
                <w:color w:val="000000"/>
              </w:rPr>
              <w:t xml:space="preserve"> Flow (£)</w:t>
            </w:r>
          </w:p>
        </w:tc>
        <w:tc>
          <w:tcPr>
            <w:tcW w:w="1061" w:type="dxa"/>
          </w:tcPr>
          <w:p w14:paraId="79F4A35D"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Discount Factor (5%)</w:t>
            </w:r>
          </w:p>
        </w:tc>
        <w:tc>
          <w:tcPr>
            <w:tcW w:w="1259" w:type="dxa"/>
          </w:tcPr>
          <w:p w14:paraId="392C1647"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Present Value (£)</w:t>
            </w:r>
          </w:p>
        </w:tc>
      </w:tr>
      <w:tr w:rsidR="005C6948" w:rsidRPr="0036198E" w14:paraId="2A5E4116" w14:textId="77777777" w:rsidTr="009F268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260" w:type="dxa"/>
          </w:tcPr>
          <w:p w14:paraId="4AB4B4E6" w14:textId="77777777" w:rsidR="005C6948" w:rsidRPr="0036198E" w:rsidRDefault="005C6948" w:rsidP="00652878">
            <w:pPr>
              <w:spacing w:line="360" w:lineRule="auto"/>
              <w:rPr>
                <w:rFonts w:eastAsia="Arial"/>
                <w:color w:val="000000"/>
              </w:rPr>
            </w:pPr>
            <w:r w:rsidRPr="0036198E">
              <w:rPr>
                <w:rFonts w:eastAsia="Arial"/>
                <w:color w:val="000000"/>
              </w:rPr>
              <w:t>0</w:t>
            </w:r>
          </w:p>
        </w:tc>
        <w:tc>
          <w:tcPr>
            <w:tcW w:w="1095" w:type="dxa"/>
          </w:tcPr>
          <w:p w14:paraId="118CC97A"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1,000,000</w:t>
            </w:r>
          </w:p>
        </w:tc>
        <w:tc>
          <w:tcPr>
            <w:tcW w:w="1193" w:type="dxa"/>
          </w:tcPr>
          <w:p w14:paraId="611A12B4"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200,000</w:t>
            </w:r>
          </w:p>
        </w:tc>
        <w:tc>
          <w:tcPr>
            <w:tcW w:w="937" w:type="dxa"/>
          </w:tcPr>
          <w:p w14:paraId="404C64DF"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930" w:type="dxa"/>
          </w:tcPr>
          <w:p w14:paraId="4DC6A4EA"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281" w:type="dxa"/>
          </w:tcPr>
          <w:p w14:paraId="58B1800B"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-1,000,000</w:t>
            </w:r>
          </w:p>
        </w:tc>
        <w:tc>
          <w:tcPr>
            <w:tcW w:w="1061" w:type="dxa"/>
          </w:tcPr>
          <w:p w14:paraId="2C8A1A70"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w:t>
            </w:r>
          </w:p>
        </w:tc>
        <w:tc>
          <w:tcPr>
            <w:tcW w:w="1259" w:type="dxa"/>
          </w:tcPr>
          <w:p w14:paraId="4924F881"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r>
      <w:tr w:rsidR="005C6948" w:rsidRPr="0036198E" w14:paraId="71A25338"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260" w:type="dxa"/>
          </w:tcPr>
          <w:p w14:paraId="7CF3A2C2" w14:textId="77777777" w:rsidR="005C6948" w:rsidRPr="0036198E" w:rsidRDefault="005C6948" w:rsidP="00652878">
            <w:pPr>
              <w:spacing w:line="360" w:lineRule="auto"/>
              <w:rPr>
                <w:rFonts w:eastAsia="Arial"/>
                <w:color w:val="000000"/>
              </w:rPr>
            </w:pPr>
            <w:r w:rsidRPr="0036198E">
              <w:rPr>
                <w:rFonts w:eastAsia="Arial"/>
                <w:color w:val="000000"/>
              </w:rPr>
              <w:t>1</w:t>
            </w:r>
          </w:p>
        </w:tc>
        <w:tc>
          <w:tcPr>
            <w:tcW w:w="1095" w:type="dxa"/>
          </w:tcPr>
          <w:p w14:paraId="29B7EE67"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250,000</w:t>
            </w:r>
          </w:p>
        </w:tc>
        <w:tc>
          <w:tcPr>
            <w:tcW w:w="1193" w:type="dxa"/>
          </w:tcPr>
          <w:p w14:paraId="1041BE10"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200,000</w:t>
            </w:r>
          </w:p>
        </w:tc>
        <w:tc>
          <w:tcPr>
            <w:tcW w:w="937" w:type="dxa"/>
          </w:tcPr>
          <w:p w14:paraId="45251AB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50,000</w:t>
            </w:r>
          </w:p>
        </w:tc>
        <w:tc>
          <w:tcPr>
            <w:tcW w:w="930" w:type="dxa"/>
          </w:tcPr>
          <w:p w14:paraId="3B7ED372"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237,500</w:t>
            </w:r>
          </w:p>
        </w:tc>
        <w:tc>
          <w:tcPr>
            <w:tcW w:w="1281" w:type="dxa"/>
          </w:tcPr>
          <w:p w14:paraId="0B8284A6"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-762,500</w:t>
            </w:r>
          </w:p>
        </w:tc>
        <w:tc>
          <w:tcPr>
            <w:tcW w:w="1061" w:type="dxa"/>
          </w:tcPr>
          <w:p w14:paraId="29278BAE"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0.9524</w:t>
            </w:r>
          </w:p>
        </w:tc>
        <w:tc>
          <w:tcPr>
            <w:tcW w:w="1259" w:type="dxa"/>
          </w:tcPr>
          <w:p w14:paraId="6D264E9A"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226195</w:t>
            </w:r>
          </w:p>
        </w:tc>
      </w:tr>
      <w:tr w:rsidR="005C6948" w:rsidRPr="0036198E" w14:paraId="3D5BA2A1" w14:textId="77777777" w:rsidTr="009F268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260" w:type="dxa"/>
          </w:tcPr>
          <w:p w14:paraId="7B5F6D1F" w14:textId="77777777" w:rsidR="005C6948" w:rsidRPr="0036198E" w:rsidRDefault="005C6948" w:rsidP="00652878">
            <w:pPr>
              <w:spacing w:line="360" w:lineRule="auto"/>
              <w:rPr>
                <w:rFonts w:eastAsia="Arial"/>
                <w:color w:val="000000"/>
              </w:rPr>
            </w:pPr>
            <w:r w:rsidRPr="0036198E">
              <w:rPr>
                <w:rFonts w:eastAsia="Arial"/>
                <w:color w:val="000000"/>
              </w:rPr>
              <w:t>2</w:t>
            </w:r>
          </w:p>
        </w:tc>
        <w:tc>
          <w:tcPr>
            <w:tcW w:w="1095" w:type="dxa"/>
          </w:tcPr>
          <w:p w14:paraId="16EA401E"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310,000</w:t>
            </w:r>
          </w:p>
        </w:tc>
        <w:tc>
          <w:tcPr>
            <w:tcW w:w="1193" w:type="dxa"/>
          </w:tcPr>
          <w:p w14:paraId="33AA6A22"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200,000</w:t>
            </w:r>
          </w:p>
        </w:tc>
        <w:tc>
          <w:tcPr>
            <w:tcW w:w="937" w:type="dxa"/>
          </w:tcPr>
          <w:p w14:paraId="2BB66CC6"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110,000</w:t>
            </w:r>
          </w:p>
        </w:tc>
        <w:tc>
          <w:tcPr>
            <w:tcW w:w="930" w:type="dxa"/>
          </w:tcPr>
          <w:p w14:paraId="1077BA47"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282,500</w:t>
            </w:r>
          </w:p>
        </w:tc>
        <w:tc>
          <w:tcPr>
            <w:tcW w:w="1281" w:type="dxa"/>
          </w:tcPr>
          <w:p w14:paraId="5C32012B"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-480,000</w:t>
            </w:r>
          </w:p>
        </w:tc>
        <w:tc>
          <w:tcPr>
            <w:tcW w:w="1061" w:type="dxa"/>
          </w:tcPr>
          <w:p w14:paraId="0563C47D"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0.907</w:t>
            </w:r>
          </w:p>
        </w:tc>
        <w:tc>
          <w:tcPr>
            <w:tcW w:w="1259" w:type="dxa"/>
          </w:tcPr>
          <w:p w14:paraId="5F75982B"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256227.5</w:t>
            </w:r>
          </w:p>
        </w:tc>
      </w:tr>
      <w:tr w:rsidR="005C6948" w:rsidRPr="0036198E" w14:paraId="3EAE9B38"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260" w:type="dxa"/>
          </w:tcPr>
          <w:p w14:paraId="7F7AE1BC" w14:textId="77777777" w:rsidR="005C6948" w:rsidRPr="0036198E" w:rsidRDefault="005C6948" w:rsidP="00652878">
            <w:pPr>
              <w:spacing w:line="360" w:lineRule="auto"/>
              <w:rPr>
                <w:rFonts w:eastAsia="Arial"/>
                <w:color w:val="000000"/>
              </w:rPr>
            </w:pPr>
            <w:r w:rsidRPr="0036198E">
              <w:rPr>
                <w:rFonts w:eastAsia="Arial"/>
                <w:color w:val="000000"/>
              </w:rPr>
              <w:t>3</w:t>
            </w:r>
          </w:p>
        </w:tc>
        <w:tc>
          <w:tcPr>
            <w:tcW w:w="1095" w:type="dxa"/>
          </w:tcPr>
          <w:p w14:paraId="2832F50A"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400,000</w:t>
            </w:r>
          </w:p>
        </w:tc>
        <w:tc>
          <w:tcPr>
            <w:tcW w:w="1193" w:type="dxa"/>
          </w:tcPr>
          <w:p w14:paraId="45EF5155"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200,000</w:t>
            </w:r>
          </w:p>
        </w:tc>
        <w:tc>
          <w:tcPr>
            <w:tcW w:w="937" w:type="dxa"/>
          </w:tcPr>
          <w:p w14:paraId="090FF569"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200,000</w:t>
            </w:r>
          </w:p>
        </w:tc>
        <w:tc>
          <w:tcPr>
            <w:tcW w:w="930" w:type="dxa"/>
          </w:tcPr>
          <w:p w14:paraId="4446743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350,000</w:t>
            </w:r>
          </w:p>
        </w:tc>
        <w:tc>
          <w:tcPr>
            <w:tcW w:w="1281" w:type="dxa"/>
          </w:tcPr>
          <w:p w14:paraId="5DE54F39"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-130,000</w:t>
            </w:r>
          </w:p>
        </w:tc>
        <w:tc>
          <w:tcPr>
            <w:tcW w:w="1061" w:type="dxa"/>
          </w:tcPr>
          <w:p w14:paraId="411D3777"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0.8638</w:t>
            </w:r>
          </w:p>
        </w:tc>
        <w:tc>
          <w:tcPr>
            <w:tcW w:w="1259" w:type="dxa"/>
          </w:tcPr>
          <w:p w14:paraId="18E5B071"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302330</w:t>
            </w:r>
          </w:p>
        </w:tc>
      </w:tr>
      <w:tr w:rsidR="005C6948" w:rsidRPr="0036198E" w14:paraId="7001AFBD" w14:textId="77777777" w:rsidTr="009F2682">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260" w:type="dxa"/>
          </w:tcPr>
          <w:p w14:paraId="4B8587B6" w14:textId="77777777" w:rsidR="005C6948" w:rsidRPr="0036198E" w:rsidRDefault="005C6948" w:rsidP="00652878">
            <w:pPr>
              <w:spacing w:line="360" w:lineRule="auto"/>
              <w:rPr>
                <w:rFonts w:eastAsia="Arial"/>
                <w:color w:val="000000"/>
              </w:rPr>
            </w:pPr>
            <w:r w:rsidRPr="0036198E">
              <w:rPr>
                <w:rFonts w:eastAsia="Arial"/>
                <w:color w:val="000000"/>
              </w:rPr>
              <w:t>4</w:t>
            </w:r>
          </w:p>
        </w:tc>
        <w:tc>
          <w:tcPr>
            <w:tcW w:w="1095" w:type="dxa"/>
          </w:tcPr>
          <w:p w14:paraId="5CB43F2F"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430,000</w:t>
            </w:r>
          </w:p>
        </w:tc>
        <w:tc>
          <w:tcPr>
            <w:tcW w:w="1193" w:type="dxa"/>
          </w:tcPr>
          <w:p w14:paraId="09E8E7C3"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200,000</w:t>
            </w:r>
          </w:p>
        </w:tc>
        <w:tc>
          <w:tcPr>
            <w:tcW w:w="937" w:type="dxa"/>
          </w:tcPr>
          <w:p w14:paraId="470FD6B7"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230,000</w:t>
            </w:r>
          </w:p>
        </w:tc>
        <w:tc>
          <w:tcPr>
            <w:tcW w:w="930" w:type="dxa"/>
          </w:tcPr>
          <w:p w14:paraId="45AD1122"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372,500</w:t>
            </w:r>
          </w:p>
        </w:tc>
        <w:tc>
          <w:tcPr>
            <w:tcW w:w="1281" w:type="dxa"/>
          </w:tcPr>
          <w:p w14:paraId="1B771959"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242,500</w:t>
            </w:r>
          </w:p>
        </w:tc>
        <w:tc>
          <w:tcPr>
            <w:tcW w:w="1061" w:type="dxa"/>
          </w:tcPr>
          <w:p w14:paraId="4314368F"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0.8227</w:t>
            </w:r>
          </w:p>
        </w:tc>
        <w:tc>
          <w:tcPr>
            <w:tcW w:w="1259" w:type="dxa"/>
          </w:tcPr>
          <w:p w14:paraId="797DF3DF"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306455.75</w:t>
            </w:r>
          </w:p>
        </w:tc>
      </w:tr>
      <w:tr w:rsidR="005C6948" w:rsidRPr="0036198E" w14:paraId="4DD41E5C"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260" w:type="dxa"/>
          </w:tcPr>
          <w:p w14:paraId="0BBFDE13" w14:textId="77777777" w:rsidR="005C6948" w:rsidRPr="0036198E" w:rsidRDefault="005C6948" w:rsidP="00652878">
            <w:pPr>
              <w:spacing w:line="360" w:lineRule="auto"/>
              <w:rPr>
                <w:rFonts w:eastAsia="Arial"/>
                <w:color w:val="000000"/>
              </w:rPr>
            </w:pPr>
            <w:r w:rsidRPr="0036198E">
              <w:rPr>
                <w:rFonts w:eastAsia="Arial"/>
                <w:color w:val="000000"/>
              </w:rPr>
              <w:t>Total PV</w:t>
            </w:r>
          </w:p>
        </w:tc>
        <w:tc>
          <w:tcPr>
            <w:tcW w:w="1095" w:type="dxa"/>
          </w:tcPr>
          <w:p w14:paraId="5AB72E7B"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193" w:type="dxa"/>
          </w:tcPr>
          <w:p w14:paraId="407F0BA3"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937" w:type="dxa"/>
          </w:tcPr>
          <w:p w14:paraId="64EE35B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930" w:type="dxa"/>
          </w:tcPr>
          <w:p w14:paraId="218FB4F4"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281" w:type="dxa"/>
          </w:tcPr>
          <w:p w14:paraId="211DB7B4"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061" w:type="dxa"/>
          </w:tcPr>
          <w:p w14:paraId="0C1D3DAD"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259" w:type="dxa"/>
          </w:tcPr>
          <w:p w14:paraId="58D3BBAF"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1091208.25</w:t>
            </w:r>
          </w:p>
        </w:tc>
      </w:tr>
      <w:tr w:rsidR="005C6948" w:rsidRPr="0036198E" w14:paraId="4643A61E" w14:textId="77777777" w:rsidTr="009F268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260" w:type="dxa"/>
          </w:tcPr>
          <w:p w14:paraId="5D9D9DF1" w14:textId="77777777" w:rsidR="005C6948" w:rsidRPr="0036198E" w:rsidRDefault="005C6948" w:rsidP="00652878">
            <w:pPr>
              <w:spacing w:line="360" w:lineRule="auto"/>
              <w:rPr>
                <w:rFonts w:eastAsia="Arial"/>
                <w:color w:val="000000"/>
              </w:rPr>
            </w:pPr>
            <w:r w:rsidRPr="0036198E">
              <w:rPr>
                <w:rFonts w:eastAsia="Arial"/>
                <w:color w:val="000000"/>
              </w:rPr>
              <w:t>NPV</w:t>
            </w:r>
          </w:p>
        </w:tc>
        <w:tc>
          <w:tcPr>
            <w:tcW w:w="1095" w:type="dxa"/>
          </w:tcPr>
          <w:p w14:paraId="02C0FD52"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91,208</w:t>
            </w:r>
          </w:p>
        </w:tc>
        <w:tc>
          <w:tcPr>
            <w:tcW w:w="1193" w:type="dxa"/>
          </w:tcPr>
          <w:p w14:paraId="40C2F34D"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937" w:type="dxa"/>
          </w:tcPr>
          <w:p w14:paraId="11FCB9E1"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930" w:type="dxa"/>
          </w:tcPr>
          <w:p w14:paraId="27739C3F"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281" w:type="dxa"/>
          </w:tcPr>
          <w:p w14:paraId="193DD682"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061" w:type="dxa"/>
          </w:tcPr>
          <w:p w14:paraId="745B06D9"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259" w:type="dxa"/>
          </w:tcPr>
          <w:p w14:paraId="6322B9ED"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r>
    </w:tbl>
    <w:p w14:paraId="2C48B1C1" w14:textId="77777777" w:rsidR="005C6948" w:rsidRPr="0036198E" w:rsidRDefault="005C6948" w:rsidP="005C6948">
      <w:pPr>
        <w:spacing w:line="360" w:lineRule="auto"/>
        <w:rPr>
          <w:rFonts w:eastAsia="Arial"/>
          <w:color w:val="000000"/>
          <w:szCs w:val="24"/>
        </w:rPr>
      </w:pPr>
    </w:p>
    <w:p w14:paraId="77C59ECC" w14:textId="77777777" w:rsidR="009F2682" w:rsidRPr="0036198E" w:rsidRDefault="009F2682" w:rsidP="009F2682">
      <w:pPr>
        <w:spacing w:line="278" w:lineRule="auto"/>
        <w:rPr>
          <w:rFonts w:eastAsia="Arial"/>
          <w:b/>
          <w:bCs/>
          <w:color w:val="000000"/>
          <w:szCs w:val="24"/>
        </w:rPr>
      </w:pPr>
    </w:p>
    <w:p w14:paraId="3FB6316F" w14:textId="77777777" w:rsidR="009F2682" w:rsidRPr="0036198E" w:rsidRDefault="009F2682" w:rsidP="009F2682">
      <w:pPr>
        <w:spacing w:line="278" w:lineRule="auto"/>
        <w:rPr>
          <w:rFonts w:eastAsia="Arial"/>
          <w:b/>
          <w:bCs/>
          <w:color w:val="000000"/>
          <w:szCs w:val="24"/>
        </w:rPr>
      </w:pPr>
    </w:p>
    <w:p w14:paraId="6AAA361A" w14:textId="77777777" w:rsidR="009F2682" w:rsidRPr="0036198E" w:rsidRDefault="009F2682" w:rsidP="009F2682">
      <w:pPr>
        <w:spacing w:line="278" w:lineRule="auto"/>
        <w:rPr>
          <w:rFonts w:eastAsia="Arial"/>
          <w:b/>
          <w:bCs/>
          <w:color w:val="000000"/>
          <w:szCs w:val="24"/>
        </w:rPr>
      </w:pPr>
    </w:p>
    <w:p w14:paraId="245399CA" w14:textId="77777777" w:rsidR="009F2682" w:rsidRPr="0036198E" w:rsidRDefault="009F2682" w:rsidP="009F2682">
      <w:pPr>
        <w:spacing w:line="278" w:lineRule="auto"/>
        <w:rPr>
          <w:rFonts w:eastAsia="Arial"/>
          <w:b/>
          <w:bCs/>
          <w:color w:val="000000"/>
          <w:szCs w:val="24"/>
        </w:rPr>
      </w:pPr>
    </w:p>
    <w:p w14:paraId="44ACC37C" w14:textId="77777777" w:rsidR="009F2682" w:rsidRPr="0036198E" w:rsidRDefault="009F2682" w:rsidP="009F2682">
      <w:pPr>
        <w:spacing w:line="278" w:lineRule="auto"/>
        <w:rPr>
          <w:rFonts w:eastAsia="Arial"/>
          <w:b/>
          <w:bCs/>
          <w:color w:val="000000"/>
          <w:szCs w:val="24"/>
        </w:rPr>
      </w:pPr>
    </w:p>
    <w:p w14:paraId="1A1DED21" w14:textId="77777777" w:rsidR="007946DE" w:rsidRDefault="007946DE" w:rsidP="009F2682">
      <w:pPr>
        <w:spacing w:line="278" w:lineRule="auto"/>
        <w:rPr>
          <w:rFonts w:eastAsia="Arial"/>
          <w:b/>
          <w:bCs/>
          <w:color w:val="000000"/>
          <w:szCs w:val="24"/>
        </w:rPr>
      </w:pPr>
    </w:p>
    <w:p w14:paraId="7BD7FF51" w14:textId="57DED1A8" w:rsidR="005C6948" w:rsidRPr="0036198E" w:rsidRDefault="005C6948" w:rsidP="009F2682">
      <w:pPr>
        <w:spacing w:line="278" w:lineRule="auto"/>
        <w:rPr>
          <w:rFonts w:eastAsia="Arial"/>
          <w:b/>
          <w:bCs/>
          <w:color w:val="000000"/>
          <w:szCs w:val="24"/>
        </w:rPr>
      </w:pPr>
      <w:r w:rsidRPr="0036198E">
        <w:rPr>
          <w:rFonts w:eastAsia="Arial"/>
          <w:b/>
          <w:bCs/>
          <w:color w:val="000000"/>
          <w:szCs w:val="24"/>
        </w:rPr>
        <w:lastRenderedPageBreak/>
        <w:t>Appendix D: IRR</w:t>
      </w:r>
    </w:p>
    <w:tbl>
      <w:tblPr>
        <w:tblStyle w:val="GridTable4-Accent4"/>
        <w:tblW w:w="8149" w:type="dxa"/>
        <w:tblLayout w:type="fixed"/>
        <w:tblLook w:val="04A0" w:firstRow="1" w:lastRow="0" w:firstColumn="1" w:lastColumn="0" w:noHBand="0" w:noVBand="1"/>
      </w:tblPr>
      <w:tblGrid>
        <w:gridCol w:w="1656"/>
        <w:gridCol w:w="3517"/>
        <w:gridCol w:w="1626"/>
        <w:gridCol w:w="1350"/>
      </w:tblGrid>
      <w:tr w:rsidR="005C6948" w:rsidRPr="0036198E" w14:paraId="2475331A" w14:textId="77777777" w:rsidTr="009F2682">
        <w:trPr>
          <w:cnfStyle w:val="100000000000" w:firstRow="1" w:lastRow="0" w:firstColumn="0" w:lastColumn="0" w:oddVBand="0" w:evenVBand="0" w:oddHBand="0" w:evenHBand="0" w:firstRowFirstColumn="0" w:firstRowLastColumn="0" w:lastRowFirstColumn="0" w:lastRowLastColumn="0"/>
          <w:trHeight w:val="525"/>
        </w:trPr>
        <w:tc>
          <w:tcPr>
            <w:cnfStyle w:val="001000000000" w:firstRow="0" w:lastRow="0" w:firstColumn="1" w:lastColumn="0" w:oddVBand="0" w:evenVBand="0" w:oddHBand="0" w:evenHBand="0" w:firstRowFirstColumn="0" w:firstRowLastColumn="0" w:lastRowFirstColumn="0" w:lastRowLastColumn="0"/>
            <w:tcW w:w="8149" w:type="dxa"/>
            <w:gridSpan w:val="4"/>
          </w:tcPr>
          <w:p w14:paraId="286ACE33" w14:textId="77777777" w:rsidR="005C6948" w:rsidRPr="0036198E" w:rsidRDefault="005C6948" w:rsidP="00652878">
            <w:pPr>
              <w:spacing w:line="360" w:lineRule="auto"/>
              <w:jc w:val="center"/>
              <w:rPr>
                <w:rFonts w:eastAsia="Arial"/>
                <w:color w:val="000000"/>
              </w:rPr>
            </w:pPr>
            <w:r w:rsidRPr="0036198E">
              <w:rPr>
                <w:rFonts w:eastAsia="Arial"/>
                <w:color w:val="000000"/>
              </w:rPr>
              <w:t>Project C</w:t>
            </w:r>
          </w:p>
        </w:tc>
      </w:tr>
      <w:tr w:rsidR="005C6948" w:rsidRPr="0036198E" w14:paraId="1B3F893A" w14:textId="77777777" w:rsidTr="009F268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149" w:type="dxa"/>
            <w:gridSpan w:val="4"/>
          </w:tcPr>
          <w:p w14:paraId="3F36253E" w14:textId="77777777" w:rsidR="005C6948" w:rsidRPr="0036198E" w:rsidRDefault="005C6948" w:rsidP="00652878">
            <w:pPr>
              <w:spacing w:line="360" w:lineRule="auto"/>
              <w:jc w:val="center"/>
              <w:rPr>
                <w:rFonts w:eastAsia="Arial"/>
                <w:color w:val="000000"/>
              </w:rPr>
            </w:pPr>
            <w:r w:rsidRPr="0036198E">
              <w:rPr>
                <w:rFonts w:eastAsia="Arial"/>
                <w:color w:val="000000"/>
              </w:rPr>
              <w:t>NPV at 12%</w:t>
            </w:r>
          </w:p>
        </w:tc>
      </w:tr>
      <w:tr w:rsidR="005C6948" w:rsidRPr="0036198E" w14:paraId="08AF9B4E"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656" w:type="dxa"/>
          </w:tcPr>
          <w:p w14:paraId="6F803768" w14:textId="77777777" w:rsidR="005C6948" w:rsidRPr="0036198E" w:rsidRDefault="005C6948" w:rsidP="00652878">
            <w:pPr>
              <w:spacing w:line="360" w:lineRule="auto"/>
              <w:rPr>
                <w:rFonts w:eastAsia="Arial"/>
                <w:color w:val="000000"/>
              </w:rPr>
            </w:pPr>
            <w:r w:rsidRPr="0036198E">
              <w:rPr>
                <w:rFonts w:eastAsia="Arial"/>
                <w:color w:val="000000"/>
              </w:rPr>
              <w:t>Year</w:t>
            </w:r>
          </w:p>
        </w:tc>
        <w:tc>
          <w:tcPr>
            <w:tcW w:w="3517" w:type="dxa"/>
          </w:tcPr>
          <w:p w14:paraId="24DA799C"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Cash Flow (£)</w:t>
            </w:r>
          </w:p>
        </w:tc>
        <w:tc>
          <w:tcPr>
            <w:tcW w:w="1626" w:type="dxa"/>
          </w:tcPr>
          <w:p w14:paraId="6C780DA4"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Discount Factor</w:t>
            </w:r>
          </w:p>
        </w:tc>
        <w:tc>
          <w:tcPr>
            <w:tcW w:w="1350" w:type="dxa"/>
          </w:tcPr>
          <w:p w14:paraId="54B040B7"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PV (£)</w:t>
            </w:r>
          </w:p>
        </w:tc>
      </w:tr>
      <w:tr w:rsidR="005C6948" w:rsidRPr="0036198E" w14:paraId="1C14B4BA" w14:textId="77777777" w:rsidTr="009F268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56" w:type="dxa"/>
          </w:tcPr>
          <w:p w14:paraId="53E5A540" w14:textId="77777777" w:rsidR="005C6948" w:rsidRPr="0036198E" w:rsidRDefault="005C6948" w:rsidP="00652878">
            <w:pPr>
              <w:spacing w:line="360" w:lineRule="auto"/>
              <w:rPr>
                <w:rFonts w:eastAsia="Arial"/>
                <w:color w:val="000000"/>
              </w:rPr>
            </w:pPr>
            <w:r w:rsidRPr="0036198E">
              <w:rPr>
                <w:rFonts w:eastAsia="Arial"/>
                <w:color w:val="000000"/>
              </w:rPr>
              <w:t>0</w:t>
            </w:r>
          </w:p>
        </w:tc>
        <w:tc>
          <w:tcPr>
            <w:tcW w:w="3517" w:type="dxa"/>
          </w:tcPr>
          <w:p w14:paraId="2C015EA5"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1,000,000</w:t>
            </w:r>
          </w:p>
        </w:tc>
        <w:tc>
          <w:tcPr>
            <w:tcW w:w="1626" w:type="dxa"/>
          </w:tcPr>
          <w:p w14:paraId="4B98A3FA"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350" w:type="dxa"/>
          </w:tcPr>
          <w:p w14:paraId="39D784F6"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r>
      <w:tr w:rsidR="005C6948" w:rsidRPr="0036198E" w14:paraId="47FA9230" w14:textId="77777777" w:rsidTr="009F2682">
        <w:trPr>
          <w:trHeight w:val="300"/>
        </w:trPr>
        <w:tc>
          <w:tcPr>
            <w:cnfStyle w:val="001000000000" w:firstRow="0" w:lastRow="0" w:firstColumn="1" w:lastColumn="0" w:oddVBand="0" w:evenVBand="0" w:oddHBand="0" w:evenHBand="0" w:firstRowFirstColumn="0" w:firstRowLastColumn="0" w:lastRowFirstColumn="0" w:lastRowLastColumn="0"/>
            <w:tcW w:w="1656" w:type="dxa"/>
          </w:tcPr>
          <w:p w14:paraId="6165F180" w14:textId="77777777" w:rsidR="005C6948" w:rsidRPr="0036198E" w:rsidRDefault="005C6948" w:rsidP="00652878">
            <w:pPr>
              <w:spacing w:line="360" w:lineRule="auto"/>
              <w:rPr>
                <w:rFonts w:eastAsia="Arial"/>
                <w:color w:val="000000"/>
              </w:rPr>
            </w:pPr>
            <w:r w:rsidRPr="0036198E">
              <w:rPr>
                <w:rFonts w:eastAsia="Arial"/>
                <w:color w:val="000000"/>
              </w:rPr>
              <w:t>1</w:t>
            </w:r>
          </w:p>
        </w:tc>
        <w:tc>
          <w:tcPr>
            <w:tcW w:w="3517" w:type="dxa"/>
          </w:tcPr>
          <w:p w14:paraId="1EEEA29B"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250,000</w:t>
            </w:r>
          </w:p>
        </w:tc>
        <w:tc>
          <w:tcPr>
            <w:tcW w:w="1626" w:type="dxa"/>
          </w:tcPr>
          <w:p w14:paraId="43E0C563"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0.8929</w:t>
            </w:r>
          </w:p>
        </w:tc>
        <w:tc>
          <w:tcPr>
            <w:tcW w:w="1350" w:type="dxa"/>
          </w:tcPr>
          <w:p w14:paraId="21013FD5"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223225</w:t>
            </w:r>
          </w:p>
        </w:tc>
      </w:tr>
      <w:tr w:rsidR="005C6948" w:rsidRPr="0036198E" w14:paraId="6AD8643E" w14:textId="77777777" w:rsidTr="009F268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56" w:type="dxa"/>
          </w:tcPr>
          <w:p w14:paraId="72C72409" w14:textId="77777777" w:rsidR="005C6948" w:rsidRPr="0036198E" w:rsidRDefault="005C6948" w:rsidP="00652878">
            <w:pPr>
              <w:spacing w:line="360" w:lineRule="auto"/>
              <w:rPr>
                <w:rFonts w:eastAsia="Arial"/>
                <w:color w:val="000000"/>
              </w:rPr>
            </w:pPr>
            <w:r w:rsidRPr="0036198E">
              <w:rPr>
                <w:rFonts w:eastAsia="Arial"/>
                <w:color w:val="000000"/>
              </w:rPr>
              <w:t>2</w:t>
            </w:r>
          </w:p>
        </w:tc>
        <w:tc>
          <w:tcPr>
            <w:tcW w:w="3517" w:type="dxa"/>
          </w:tcPr>
          <w:p w14:paraId="5CBE5CFC"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310,000</w:t>
            </w:r>
          </w:p>
        </w:tc>
        <w:tc>
          <w:tcPr>
            <w:tcW w:w="1626" w:type="dxa"/>
          </w:tcPr>
          <w:p w14:paraId="0E022929"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0.7972</w:t>
            </w:r>
          </w:p>
        </w:tc>
        <w:tc>
          <w:tcPr>
            <w:tcW w:w="1350" w:type="dxa"/>
          </w:tcPr>
          <w:p w14:paraId="03F1B5CE"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247132</w:t>
            </w:r>
          </w:p>
        </w:tc>
      </w:tr>
      <w:tr w:rsidR="005C6948" w:rsidRPr="0036198E" w14:paraId="7F76FDEC" w14:textId="77777777" w:rsidTr="009F2682">
        <w:trPr>
          <w:trHeight w:val="300"/>
        </w:trPr>
        <w:tc>
          <w:tcPr>
            <w:cnfStyle w:val="001000000000" w:firstRow="0" w:lastRow="0" w:firstColumn="1" w:lastColumn="0" w:oddVBand="0" w:evenVBand="0" w:oddHBand="0" w:evenHBand="0" w:firstRowFirstColumn="0" w:firstRowLastColumn="0" w:lastRowFirstColumn="0" w:lastRowLastColumn="0"/>
            <w:tcW w:w="1656" w:type="dxa"/>
          </w:tcPr>
          <w:p w14:paraId="0A8A9883" w14:textId="77777777" w:rsidR="005C6948" w:rsidRPr="0036198E" w:rsidRDefault="005C6948" w:rsidP="00652878">
            <w:pPr>
              <w:spacing w:line="360" w:lineRule="auto"/>
              <w:rPr>
                <w:rFonts w:eastAsia="Arial"/>
                <w:color w:val="000000"/>
              </w:rPr>
            </w:pPr>
            <w:r w:rsidRPr="0036198E">
              <w:rPr>
                <w:rFonts w:eastAsia="Arial"/>
                <w:color w:val="000000"/>
              </w:rPr>
              <w:t>3</w:t>
            </w:r>
          </w:p>
        </w:tc>
        <w:tc>
          <w:tcPr>
            <w:tcW w:w="3517" w:type="dxa"/>
          </w:tcPr>
          <w:p w14:paraId="020981FB"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400,000</w:t>
            </w:r>
          </w:p>
        </w:tc>
        <w:tc>
          <w:tcPr>
            <w:tcW w:w="1626" w:type="dxa"/>
          </w:tcPr>
          <w:p w14:paraId="41CC29FD"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0.7118</w:t>
            </w:r>
          </w:p>
        </w:tc>
        <w:tc>
          <w:tcPr>
            <w:tcW w:w="1350" w:type="dxa"/>
          </w:tcPr>
          <w:p w14:paraId="5073A46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284720</w:t>
            </w:r>
          </w:p>
        </w:tc>
      </w:tr>
      <w:tr w:rsidR="005C6948" w:rsidRPr="0036198E" w14:paraId="2281D6B9" w14:textId="77777777" w:rsidTr="009F268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56" w:type="dxa"/>
          </w:tcPr>
          <w:p w14:paraId="12F84644" w14:textId="77777777" w:rsidR="005C6948" w:rsidRPr="0036198E" w:rsidRDefault="005C6948" w:rsidP="00652878">
            <w:pPr>
              <w:spacing w:line="360" w:lineRule="auto"/>
              <w:rPr>
                <w:rFonts w:eastAsia="Arial"/>
                <w:color w:val="000000"/>
              </w:rPr>
            </w:pPr>
            <w:r w:rsidRPr="0036198E">
              <w:rPr>
                <w:rFonts w:eastAsia="Arial"/>
                <w:color w:val="000000"/>
              </w:rPr>
              <w:t>4</w:t>
            </w:r>
          </w:p>
        </w:tc>
        <w:tc>
          <w:tcPr>
            <w:tcW w:w="3517" w:type="dxa"/>
          </w:tcPr>
          <w:p w14:paraId="59AC582C"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430,000</w:t>
            </w:r>
          </w:p>
        </w:tc>
        <w:tc>
          <w:tcPr>
            <w:tcW w:w="1626" w:type="dxa"/>
          </w:tcPr>
          <w:p w14:paraId="43BF7609"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0.6355</w:t>
            </w:r>
          </w:p>
        </w:tc>
        <w:tc>
          <w:tcPr>
            <w:tcW w:w="1350" w:type="dxa"/>
          </w:tcPr>
          <w:p w14:paraId="2320203F"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273265</w:t>
            </w:r>
          </w:p>
        </w:tc>
      </w:tr>
      <w:tr w:rsidR="005C6948" w:rsidRPr="0036198E" w14:paraId="79C7132D" w14:textId="77777777" w:rsidTr="009F2682">
        <w:trPr>
          <w:trHeight w:val="300"/>
        </w:trPr>
        <w:tc>
          <w:tcPr>
            <w:cnfStyle w:val="001000000000" w:firstRow="0" w:lastRow="0" w:firstColumn="1" w:lastColumn="0" w:oddVBand="0" w:evenVBand="0" w:oddHBand="0" w:evenHBand="0" w:firstRowFirstColumn="0" w:firstRowLastColumn="0" w:lastRowFirstColumn="0" w:lastRowLastColumn="0"/>
            <w:tcW w:w="1656" w:type="dxa"/>
          </w:tcPr>
          <w:p w14:paraId="6A1735C5" w14:textId="77777777" w:rsidR="005C6948" w:rsidRPr="0036198E" w:rsidRDefault="005C6948" w:rsidP="00652878">
            <w:pPr>
              <w:spacing w:line="360" w:lineRule="auto"/>
              <w:rPr>
                <w:rFonts w:eastAsia="Arial"/>
                <w:color w:val="000000"/>
              </w:rPr>
            </w:pPr>
            <w:r w:rsidRPr="0036198E">
              <w:rPr>
                <w:rFonts w:eastAsia="Arial"/>
                <w:color w:val="000000"/>
              </w:rPr>
              <w:t>Total PV</w:t>
            </w:r>
          </w:p>
        </w:tc>
        <w:tc>
          <w:tcPr>
            <w:tcW w:w="3517" w:type="dxa"/>
          </w:tcPr>
          <w:p w14:paraId="1776BA1C"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1028342</w:t>
            </w:r>
          </w:p>
        </w:tc>
        <w:tc>
          <w:tcPr>
            <w:tcW w:w="1626" w:type="dxa"/>
          </w:tcPr>
          <w:p w14:paraId="40CE7B1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350" w:type="dxa"/>
          </w:tcPr>
          <w:p w14:paraId="4C552707"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r>
      <w:tr w:rsidR="005C6948" w:rsidRPr="0036198E" w14:paraId="4E35EAF7" w14:textId="77777777" w:rsidTr="009F268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56" w:type="dxa"/>
          </w:tcPr>
          <w:p w14:paraId="6537AB2B" w14:textId="77777777" w:rsidR="005C6948" w:rsidRPr="0036198E" w:rsidRDefault="005C6948" w:rsidP="00652878">
            <w:pPr>
              <w:spacing w:line="360" w:lineRule="auto"/>
              <w:rPr>
                <w:rFonts w:eastAsia="Arial"/>
                <w:color w:val="000000"/>
              </w:rPr>
            </w:pPr>
            <w:r w:rsidRPr="0036198E">
              <w:rPr>
                <w:rFonts w:eastAsia="Arial"/>
                <w:color w:val="000000"/>
              </w:rPr>
              <w:t>NPV</w:t>
            </w:r>
          </w:p>
        </w:tc>
        <w:tc>
          <w:tcPr>
            <w:tcW w:w="3517" w:type="dxa"/>
          </w:tcPr>
          <w:p w14:paraId="23AE7A59"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28,342</w:t>
            </w:r>
          </w:p>
        </w:tc>
        <w:tc>
          <w:tcPr>
            <w:tcW w:w="1626" w:type="dxa"/>
          </w:tcPr>
          <w:p w14:paraId="7798671E"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350" w:type="dxa"/>
          </w:tcPr>
          <w:p w14:paraId="2CB8F258"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r>
      <w:tr w:rsidR="005C6948" w:rsidRPr="0036198E" w14:paraId="312CFE4E" w14:textId="77777777" w:rsidTr="009F2682">
        <w:trPr>
          <w:trHeight w:val="300"/>
        </w:trPr>
        <w:tc>
          <w:tcPr>
            <w:cnfStyle w:val="001000000000" w:firstRow="0" w:lastRow="0" w:firstColumn="1" w:lastColumn="0" w:oddVBand="0" w:evenVBand="0" w:oddHBand="0" w:evenHBand="0" w:firstRowFirstColumn="0" w:firstRowLastColumn="0" w:lastRowFirstColumn="0" w:lastRowLastColumn="0"/>
            <w:tcW w:w="8149" w:type="dxa"/>
            <w:gridSpan w:val="4"/>
          </w:tcPr>
          <w:p w14:paraId="0583ED23" w14:textId="77777777" w:rsidR="005C6948" w:rsidRPr="0036198E" w:rsidRDefault="005C6948" w:rsidP="00652878">
            <w:pPr>
              <w:spacing w:line="360" w:lineRule="auto"/>
              <w:rPr>
                <w:rFonts w:eastAsia="Arial"/>
                <w:color w:val="000000"/>
              </w:rPr>
            </w:pPr>
          </w:p>
        </w:tc>
      </w:tr>
      <w:tr w:rsidR="005C6948" w:rsidRPr="0036198E" w14:paraId="6AB55E26" w14:textId="77777777" w:rsidTr="009F268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149" w:type="dxa"/>
            <w:gridSpan w:val="4"/>
          </w:tcPr>
          <w:p w14:paraId="2624BEB8" w14:textId="77777777" w:rsidR="005C6948" w:rsidRPr="0036198E" w:rsidRDefault="005C6948" w:rsidP="00652878">
            <w:pPr>
              <w:spacing w:line="360" w:lineRule="auto"/>
              <w:jc w:val="center"/>
              <w:rPr>
                <w:rFonts w:eastAsia="Arial"/>
                <w:color w:val="000000"/>
              </w:rPr>
            </w:pPr>
            <w:r w:rsidRPr="0036198E">
              <w:rPr>
                <w:rFonts w:eastAsia="Arial"/>
                <w:color w:val="000000"/>
              </w:rPr>
              <w:t>NPV at 14%</w:t>
            </w:r>
          </w:p>
        </w:tc>
      </w:tr>
      <w:tr w:rsidR="005C6948" w:rsidRPr="0036198E" w14:paraId="4C0E08A7" w14:textId="77777777" w:rsidTr="009F2682">
        <w:trPr>
          <w:trHeight w:val="375"/>
        </w:trPr>
        <w:tc>
          <w:tcPr>
            <w:cnfStyle w:val="001000000000" w:firstRow="0" w:lastRow="0" w:firstColumn="1" w:lastColumn="0" w:oddVBand="0" w:evenVBand="0" w:oddHBand="0" w:evenHBand="0" w:firstRowFirstColumn="0" w:firstRowLastColumn="0" w:lastRowFirstColumn="0" w:lastRowLastColumn="0"/>
            <w:tcW w:w="1656" w:type="dxa"/>
          </w:tcPr>
          <w:p w14:paraId="4AE9D8AE" w14:textId="77777777" w:rsidR="005C6948" w:rsidRPr="0036198E" w:rsidRDefault="005C6948" w:rsidP="00652878">
            <w:pPr>
              <w:spacing w:line="360" w:lineRule="auto"/>
              <w:rPr>
                <w:rFonts w:eastAsia="Arial"/>
                <w:color w:val="000000"/>
              </w:rPr>
            </w:pPr>
            <w:r w:rsidRPr="0036198E">
              <w:rPr>
                <w:rFonts w:eastAsia="Arial"/>
                <w:color w:val="000000"/>
              </w:rPr>
              <w:t>Year</w:t>
            </w:r>
          </w:p>
        </w:tc>
        <w:tc>
          <w:tcPr>
            <w:tcW w:w="3517" w:type="dxa"/>
          </w:tcPr>
          <w:p w14:paraId="082A753D"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Cash Flow (£)</w:t>
            </w:r>
          </w:p>
        </w:tc>
        <w:tc>
          <w:tcPr>
            <w:tcW w:w="1626" w:type="dxa"/>
          </w:tcPr>
          <w:p w14:paraId="5FE05975"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Discount Factor</w:t>
            </w:r>
          </w:p>
        </w:tc>
        <w:tc>
          <w:tcPr>
            <w:tcW w:w="1350" w:type="dxa"/>
          </w:tcPr>
          <w:p w14:paraId="3CD4D577"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b/>
                <w:bCs/>
                <w:color w:val="000000"/>
              </w:rPr>
            </w:pPr>
            <w:r w:rsidRPr="0036198E">
              <w:rPr>
                <w:rFonts w:eastAsia="Arial"/>
                <w:b/>
                <w:bCs/>
                <w:color w:val="000000"/>
              </w:rPr>
              <w:t>PV (£)</w:t>
            </w:r>
          </w:p>
        </w:tc>
      </w:tr>
      <w:tr w:rsidR="005C6948" w:rsidRPr="0036198E" w14:paraId="18DE2DEF" w14:textId="77777777" w:rsidTr="009F268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56" w:type="dxa"/>
          </w:tcPr>
          <w:p w14:paraId="516EC103" w14:textId="77777777" w:rsidR="005C6948" w:rsidRPr="0036198E" w:rsidRDefault="005C6948" w:rsidP="00652878">
            <w:pPr>
              <w:spacing w:line="360" w:lineRule="auto"/>
              <w:rPr>
                <w:rFonts w:eastAsia="Arial"/>
                <w:color w:val="000000"/>
              </w:rPr>
            </w:pPr>
            <w:r w:rsidRPr="0036198E">
              <w:rPr>
                <w:rFonts w:eastAsia="Arial"/>
                <w:color w:val="000000"/>
              </w:rPr>
              <w:t>0</w:t>
            </w:r>
          </w:p>
        </w:tc>
        <w:tc>
          <w:tcPr>
            <w:tcW w:w="3517" w:type="dxa"/>
          </w:tcPr>
          <w:p w14:paraId="20EF81D5"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1,000,000</w:t>
            </w:r>
          </w:p>
        </w:tc>
        <w:tc>
          <w:tcPr>
            <w:tcW w:w="1626" w:type="dxa"/>
          </w:tcPr>
          <w:p w14:paraId="1F5497E1"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350" w:type="dxa"/>
          </w:tcPr>
          <w:p w14:paraId="0B5361DE"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r>
      <w:tr w:rsidR="005C6948" w:rsidRPr="0036198E" w14:paraId="277D8CB0" w14:textId="77777777" w:rsidTr="009F2682">
        <w:trPr>
          <w:trHeight w:val="300"/>
        </w:trPr>
        <w:tc>
          <w:tcPr>
            <w:cnfStyle w:val="001000000000" w:firstRow="0" w:lastRow="0" w:firstColumn="1" w:lastColumn="0" w:oddVBand="0" w:evenVBand="0" w:oddHBand="0" w:evenHBand="0" w:firstRowFirstColumn="0" w:firstRowLastColumn="0" w:lastRowFirstColumn="0" w:lastRowLastColumn="0"/>
            <w:tcW w:w="1656" w:type="dxa"/>
          </w:tcPr>
          <w:p w14:paraId="1E94EAB7" w14:textId="77777777" w:rsidR="005C6948" w:rsidRPr="0036198E" w:rsidRDefault="005C6948" w:rsidP="00652878">
            <w:pPr>
              <w:spacing w:line="360" w:lineRule="auto"/>
              <w:rPr>
                <w:rFonts w:eastAsia="Arial"/>
                <w:color w:val="000000"/>
              </w:rPr>
            </w:pPr>
            <w:r w:rsidRPr="0036198E">
              <w:rPr>
                <w:rFonts w:eastAsia="Arial"/>
                <w:color w:val="000000"/>
              </w:rPr>
              <w:t>1</w:t>
            </w:r>
          </w:p>
        </w:tc>
        <w:tc>
          <w:tcPr>
            <w:tcW w:w="3517" w:type="dxa"/>
          </w:tcPr>
          <w:p w14:paraId="51FD2D7F"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250,000</w:t>
            </w:r>
          </w:p>
        </w:tc>
        <w:tc>
          <w:tcPr>
            <w:tcW w:w="1626" w:type="dxa"/>
          </w:tcPr>
          <w:p w14:paraId="78C731C2"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0.8772</w:t>
            </w:r>
          </w:p>
        </w:tc>
        <w:tc>
          <w:tcPr>
            <w:tcW w:w="1350" w:type="dxa"/>
          </w:tcPr>
          <w:p w14:paraId="0CCCCA67"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219300</w:t>
            </w:r>
          </w:p>
        </w:tc>
      </w:tr>
      <w:tr w:rsidR="005C6948" w:rsidRPr="0036198E" w14:paraId="7C595746" w14:textId="77777777" w:rsidTr="009F268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56" w:type="dxa"/>
          </w:tcPr>
          <w:p w14:paraId="168B096B" w14:textId="77777777" w:rsidR="005C6948" w:rsidRPr="0036198E" w:rsidRDefault="005C6948" w:rsidP="00652878">
            <w:pPr>
              <w:spacing w:line="360" w:lineRule="auto"/>
              <w:rPr>
                <w:rFonts w:eastAsia="Arial"/>
                <w:color w:val="000000"/>
              </w:rPr>
            </w:pPr>
            <w:r w:rsidRPr="0036198E">
              <w:rPr>
                <w:rFonts w:eastAsia="Arial"/>
                <w:color w:val="000000"/>
              </w:rPr>
              <w:t>2</w:t>
            </w:r>
          </w:p>
        </w:tc>
        <w:tc>
          <w:tcPr>
            <w:tcW w:w="3517" w:type="dxa"/>
          </w:tcPr>
          <w:p w14:paraId="6EF4FA4D"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310,000</w:t>
            </w:r>
          </w:p>
        </w:tc>
        <w:tc>
          <w:tcPr>
            <w:tcW w:w="1626" w:type="dxa"/>
          </w:tcPr>
          <w:p w14:paraId="47335129"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0.7695</w:t>
            </w:r>
          </w:p>
        </w:tc>
        <w:tc>
          <w:tcPr>
            <w:tcW w:w="1350" w:type="dxa"/>
          </w:tcPr>
          <w:p w14:paraId="16BD6F09"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238545</w:t>
            </w:r>
          </w:p>
        </w:tc>
      </w:tr>
      <w:tr w:rsidR="005C6948" w:rsidRPr="0036198E" w14:paraId="3F64A49B" w14:textId="77777777" w:rsidTr="009F2682">
        <w:trPr>
          <w:trHeight w:val="300"/>
        </w:trPr>
        <w:tc>
          <w:tcPr>
            <w:cnfStyle w:val="001000000000" w:firstRow="0" w:lastRow="0" w:firstColumn="1" w:lastColumn="0" w:oddVBand="0" w:evenVBand="0" w:oddHBand="0" w:evenHBand="0" w:firstRowFirstColumn="0" w:firstRowLastColumn="0" w:lastRowFirstColumn="0" w:lastRowLastColumn="0"/>
            <w:tcW w:w="1656" w:type="dxa"/>
          </w:tcPr>
          <w:p w14:paraId="0A7622AD" w14:textId="77777777" w:rsidR="005C6948" w:rsidRPr="0036198E" w:rsidRDefault="005C6948" w:rsidP="00652878">
            <w:pPr>
              <w:spacing w:line="360" w:lineRule="auto"/>
              <w:rPr>
                <w:rFonts w:eastAsia="Arial"/>
                <w:color w:val="000000"/>
              </w:rPr>
            </w:pPr>
            <w:r w:rsidRPr="0036198E">
              <w:rPr>
                <w:rFonts w:eastAsia="Arial"/>
                <w:color w:val="000000"/>
              </w:rPr>
              <w:t>3</w:t>
            </w:r>
          </w:p>
        </w:tc>
        <w:tc>
          <w:tcPr>
            <w:tcW w:w="3517" w:type="dxa"/>
          </w:tcPr>
          <w:p w14:paraId="711CFF44"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400,000</w:t>
            </w:r>
          </w:p>
        </w:tc>
        <w:tc>
          <w:tcPr>
            <w:tcW w:w="1626" w:type="dxa"/>
          </w:tcPr>
          <w:p w14:paraId="0079CB4B"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0.675</w:t>
            </w:r>
          </w:p>
        </w:tc>
        <w:tc>
          <w:tcPr>
            <w:tcW w:w="1350" w:type="dxa"/>
          </w:tcPr>
          <w:p w14:paraId="5B78ABD3"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270000</w:t>
            </w:r>
          </w:p>
        </w:tc>
      </w:tr>
      <w:tr w:rsidR="005C6948" w:rsidRPr="0036198E" w14:paraId="566930BC" w14:textId="77777777" w:rsidTr="009F268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56" w:type="dxa"/>
          </w:tcPr>
          <w:p w14:paraId="130BA348" w14:textId="77777777" w:rsidR="005C6948" w:rsidRPr="0036198E" w:rsidRDefault="005C6948" w:rsidP="00652878">
            <w:pPr>
              <w:spacing w:line="360" w:lineRule="auto"/>
              <w:rPr>
                <w:rFonts w:eastAsia="Arial"/>
                <w:color w:val="000000"/>
              </w:rPr>
            </w:pPr>
            <w:r w:rsidRPr="0036198E">
              <w:rPr>
                <w:rFonts w:eastAsia="Arial"/>
                <w:color w:val="000000"/>
              </w:rPr>
              <w:t>4</w:t>
            </w:r>
          </w:p>
        </w:tc>
        <w:tc>
          <w:tcPr>
            <w:tcW w:w="3517" w:type="dxa"/>
          </w:tcPr>
          <w:p w14:paraId="4083B3E2"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430,000</w:t>
            </w:r>
          </w:p>
        </w:tc>
        <w:tc>
          <w:tcPr>
            <w:tcW w:w="1626" w:type="dxa"/>
          </w:tcPr>
          <w:p w14:paraId="1798BDD2"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0.5921</w:t>
            </w:r>
          </w:p>
        </w:tc>
        <w:tc>
          <w:tcPr>
            <w:tcW w:w="1350" w:type="dxa"/>
          </w:tcPr>
          <w:p w14:paraId="59B6D729"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254603</w:t>
            </w:r>
          </w:p>
        </w:tc>
      </w:tr>
      <w:tr w:rsidR="005C6948" w:rsidRPr="0036198E" w14:paraId="17F91455" w14:textId="77777777" w:rsidTr="009F2682">
        <w:trPr>
          <w:trHeight w:val="300"/>
        </w:trPr>
        <w:tc>
          <w:tcPr>
            <w:cnfStyle w:val="001000000000" w:firstRow="0" w:lastRow="0" w:firstColumn="1" w:lastColumn="0" w:oddVBand="0" w:evenVBand="0" w:oddHBand="0" w:evenHBand="0" w:firstRowFirstColumn="0" w:firstRowLastColumn="0" w:lastRowFirstColumn="0" w:lastRowLastColumn="0"/>
            <w:tcW w:w="1656" w:type="dxa"/>
          </w:tcPr>
          <w:p w14:paraId="1C7F8B45" w14:textId="77777777" w:rsidR="005C6948" w:rsidRPr="0036198E" w:rsidRDefault="005C6948" w:rsidP="00652878">
            <w:pPr>
              <w:spacing w:line="360" w:lineRule="auto"/>
              <w:rPr>
                <w:rFonts w:eastAsia="Arial"/>
                <w:color w:val="000000"/>
              </w:rPr>
            </w:pPr>
            <w:r w:rsidRPr="0036198E">
              <w:rPr>
                <w:rFonts w:eastAsia="Arial"/>
                <w:color w:val="000000"/>
              </w:rPr>
              <w:t>Total PV</w:t>
            </w:r>
          </w:p>
        </w:tc>
        <w:tc>
          <w:tcPr>
            <w:tcW w:w="3517" w:type="dxa"/>
          </w:tcPr>
          <w:p w14:paraId="640E89EA"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982448</w:t>
            </w:r>
          </w:p>
        </w:tc>
        <w:tc>
          <w:tcPr>
            <w:tcW w:w="1626" w:type="dxa"/>
          </w:tcPr>
          <w:p w14:paraId="1CCDCA86"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350" w:type="dxa"/>
          </w:tcPr>
          <w:p w14:paraId="1DDF3B77"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r>
      <w:tr w:rsidR="005C6948" w:rsidRPr="0036198E" w14:paraId="3F6009D5" w14:textId="77777777" w:rsidTr="009F268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56" w:type="dxa"/>
          </w:tcPr>
          <w:p w14:paraId="498DBB06" w14:textId="77777777" w:rsidR="005C6948" w:rsidRPr="0036198E" w:rsidRDefault="005C6948" w:rsidP="00652878">
            <w:pPr>
              <w:spacing w:line="360" w:lineRule="auto"/>
              <w:rPr>
                <w:rFonts w:eastAsia="Arial"/>
                <w:color w:val="000000"/>
              </w:rPr>
            </w:pPr>
            <w:r w:rsidRPr="0036198E">
              <w:rPr>
                <w:rFonts w:eastAsia="Arial"/>
                <w:color w:val="000000"/>
              </w:rPr>
              <w:t>NPV</w:t>
            </w:r>
          </w:p>
        </w:tc>
        <w:tc>
          <w:tcPr>
            <w:tcW w:w="3517" w:type="dxa"/>
          </w:tcPr>
          <w:p w14:paraId="5D4CAD38"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r w:rsidRPr="0036198E">
              <w:rPr>
                <w:rFonts w:eastAsia="Arial"/>
                <w:color w:val="000000"/>
              </w:rPr>
              <w:t>-17,552</w:t>
            </w:r>
          </w:p>
        </w:tc>
        <w:tc>
          <w:tcPr>
            <w:tcW w:w="1626" w:type="dxa"/>
          </w:tcPr>
          <w:p w14:paraId="619E2797"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c>
          <w:tcPr>
            <w:tcW w:w="1350" w:type="dxa"/>
          </w:tcPr>
          <w:p w14:paraId="0B61BB6D"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color w:val="000000"/>
              </w:rPr>
            </w:pPr>
          </w:p>
        </w:tc>
      </w:tr>
      <w:tr w:rsidR="005C6948" w:rsidRPr="0036198E" w14:paraId="79FB635D" w14:textId="77777777" w:rsidTr="009F2682">
        <w:trPr>
          <w:trHeight w:val="420"/>
        </w:trPr>
        <w:tc>
          <w:tcPr>
            <w:cnfStyle w:val="001000000000" w:firstRow="0" w:lastRow="0" w:firstColumn="1" w:lastColumn="0" w:oddVBand="0" w:evenVBand="0" w:oddHBand="0" w:evenHBand="0" w:firstRowFirstColumn="0" w:firstRowLastColumn="0" w:lastRowFirstColumn="0" w:lastRowLastColumn="0"/>
            <w:tcW w:w="1656" w:type="dxa"/>
          </w:tcPr>
          <w:p w14:paraId="626603EC" w14:textId="77777777" w:rsidR="005C6948" w:rsidRPr="0036198E" w:rsidRDefault="005C6948" w:rsidP="00652878">
            <w:pPr>
              <w:spacing w:line="360" w:lineRule="auto"/>
              <w:rPr>
                <w:rFonts w:eastAsia="Arial"/>
                <w:color w:val="000000"/>
              </w:rPr>
            </w:pPr>
            <w:r w:rsidRPr="0036198E">
              <w:rPr>
                <w:rFonts w:eastAsia="Arial"/>
                <w:color w:val="000000"/>
              </w:rPr>
              <w:t xml:space="preserve">IRR </w:t>
            </w:r>
          </w:p>
        </w:tc>
        <w:tc>
          <w:tcPr>
            <w:tcW w:w="3517" w:type="dxa"/>
          </w:tcPr>
          <w:p w14:paraId="7EB162E0"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13.235106985662600%</w:t>
            </w:r>
          </w:p>
        </w:tc>
        <w:tc>
          <w:tcPr>
            <w:tcW w:w="1626" w:type="dxa"/>
          </w:tcPr>
          <w:p w14:paraId="762B2C06"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c>
          <w:tcPr>
            <w:tcW w:w="1350" w:type="dxa"/>
          </w:tcPr>
          <w:p w14:paraId="7144DDBC"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color w:val="000000"/>
              </w:rPr>
            </w:pPr>
          </w:p>
        </w:tc>
      </w:tr>
    </w:tbl>
    <w:p w14:paraId="3C1FE08B" w14:textId="56AC91BA" w:rsidR="005C6948" w:rsidRPr="0036198E" w:rsidRDefault="005C6948" w:rsidP="009F2682">
      <w:pPr>
        <w:spacing w:line="278" w:lineRule="auto"/>
        <w:rPr>
          <w:rFonts w:eastAsia="Arial"/>
          <w:b/>
          <w:bCs/>
          <w:color w:val="000000"/>
          <w:szCs w:val="24"/>
        </w:rPr>
      </w:pPr>
      <w:r w:rsidRPr="0036198E">
        <w:rPr>
          <w:rFonts w:eastAsia="Arial"/>
          <w:b/>
          <w:bCs/>
          <w:color w:val="000000"/>
          <w:szCs w:val="24"/>
        </w:rPr>
        <w:t>Appendix E: PI</w:t>
      </w:r>
    </w:p>
    <w:tbl>
      <w:tblPr>
        <w:tblStyle w:val="GridTable4-Accent4"/>
        <w:tblW w:w="5727" w:type="dxa"/>
        <w:tblLayout w:type="fixed"/>
        <w:tblLook w:val="04A0" w:firstRow="1" w:lastRow="0" w:firstColumn="1" w:lastColumn="0" w:noHBand="0" w:noVBand="1"/>
      </w:tblPr>
      <w:tblGrid>
        <w:gridCol w:w="2047"/>
        <w:gridCol w:w="1180"/>
        <w:gridCol w:w="1160"/>
        <w:gridCol w:w="1340"/>
      </w:tblGrid>
      <w:tr w:rsidR="005C6948" w:rsidRPr="0036198E" w14:paraId="65C2F6A4" w14:textId="77777777" w:rsidTr="004B43A0">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047" w:type="dxa"/>
          </w:tcPr>
          <w:p w14:paraId="2DF614C8" w14:textId="77777777" w:rsidR="005C6948" w:rsidRPr="0036198E" w:rsidRDefault="005C6948" w:rsidP="00652878">
            <w:pPr>
              <w:spacing w:line="360" w:lineRule="auto"/>
              <w:rPr>
                <w:rFonts w:eastAsia="Arial"/>
                <w:color w:val="000000"/>
              </w:rPr>
            </w:pPr>
          </w:p>
        </w:tc>
        <w:tc>
          <w:tcPr>
            <w:tcW w:w="1180" w:type="dxa"/>
          </w:tcPr>
          <w:p w14:paraId="5487FFCB" w14:textId="77777777" w:rsidR="005C6948" w:rsidRPr="0036198E" w:rsidRDefault="005C6948" w:rsidP="00652878">
            <w:pPr>
              <w:spacing w:line="360" w:lineRule="auto"/>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 xml:space="preserve">Project A </w:t>
            </w:r>
          </w:p>
        </w:tc>
        <w:tc>
          <w:tcPr>
            <w:tcW w:w="1160" w:type="dxa"/>
          </w:tcPr>
          <w:p w14:paraId="006CDF00" w14:textId="77777777" w:rsidR="005C6948" w:rsidRPr="0036198E" w:rsidRDefault="005C6948" w:rsidP="00652878">
            <w:pPr>
              <w:spacing w:line="360" w:lineRule="auto"/>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Project B</w:t>
            </w:r>
          </w:p>
        </w:tc>
        <w:tc>
          <w:tcPr>
            <w:tcW w:w="1340" w:type="dxa"/>
          </w:tcPr>
          <w:p w14:paraId="6BB3A4B7" w14:textId="77777777" w:rsidR="005C6948" w:rsidRPr="0036198E" w:rsidRDefault="005C6948" w:rsidP="00652878">
            <w:pPr>
              <w:spacing w:line="360" w:lineRule="auto"/>
              <w:cnfStyle w:val="100000000000" w:firstRow="1" w:lastRow="0" w:firstColumn="0" w:lastColumn="0" w:oddVBand="0" w:evenVBand="0" w:oddHBand="0" w:evenHBand="0" w:firstRowFirstColumn="0" w:firstRowLastColumn="0" w:lastRowFirstColumn="0" w:lastRowLastColumn="0"/>
              <w:rPr>
                <w:rFonts w:eastAsia="Arial"/>
                <w:color w:val="000000"/>
              </w:rPr>
            </w:pPr>
            <w:r w:rsidRPr="0036198E">
              <w:rPr>
                <w:rFonts w:eastAsia="Arial"/>
                <w:color w:val="000000"/>
              </w:rPr>
              <w:t>Project C</w:t>
            </w:r>
          </w:p>
        </w:tc>
      </w:tr>
      <w:tr w:rsidR="005C6948" w:rsidRPr="0036198E" w14:paraId="4B317BBF" w14:textId="77777777" w:rsidTr="004B43A0">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047" w:type="dxa"/>
          </w:tcPr>
          <w:p w14:paraId="037CE832" w14:textId="77777777" w:rsidR="005C6948" w:rsidRPr="0036198E" w:rsidRDefault="005C6948" w:rsidP="00652878">
            <w:pPr>
              <w:spacing w:line="360" w:lineRule="auto"/>
              <w:rPr>
                <w:rFonts w:eastAsia="Arial"/>
              </w:rPr>
            </w:pPr>
            <w:r w:rsidRPr="0036198E">
              <w:rPr>
                <w:rFonts w:eastAsia="Arial"/>
              </w:rPr>
              <w:t xml:space="preserve">Initial Investment </w:t>
            </w:r>
            <w:r w:rsidRPr="0036198E">
              <w:rPr>
                <w:rFonts w:eastAsia="Arial"/>
                <w:b w:val="0"/>
                <w:bCs w:val="0"/>
                <w:color w:val="000000"/>
              </w:rPr>
              <w:t>(£)</w:t>
            </w:r>
          </w:p>
        </w:tc>
        <w:tc>
          <w:tcPr>
            <w:tcW w:w="1180" w:type="dxa"/>
          </w:tcPr>
          <w:p w14:paraId="69E467E1"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600,000</w:t>
            </w:r>
          </w:p>
        </w:tc>
        <w:tc>
          <w:tcPr>
            <w:tcW w:w="1160" w:type="dxa"/>
          </w:tcPr>
          <w:p w14:paraId="7A7218E6"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900,000</w:t>
            </w:r>
          </w:p>
        </w:tc>
        <w:tc>
          <w:tcPr>
            <w:tcW w:w="1340" w:type="dxa"/>
          </w:tcPr>
          <w:p w14:paraId="06321A8E"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1,000,000</w:t>
            </w:r>
          </w:p>
        </w:tc>
      </w:tr>
      <w:tr w:rsidR="005C6948" w:rsidRPr="0036198E" w14:paraId="6560E67A" w14:textId="77777777" w:rsidTr="004B43A0">
        <w:trPr>
          <w:trHeight w:val="375"/>
        </w:trPr>
        <w:tc>
          <w:tcPr>
            <w:cnfStyle w:val="001000000000" w:firstRow="0" w:lastRow="0" w:firstColumn="1" w:lastColumn="0" w:oddVBand="0" w:evenVBand="0" w:oddHBand="0" w:evenHBand="0" w:firstRowFirstColumn="0" w:firstRowLastColumn="0" w:lastRowFirstColumn="0" w:lastRowLastColumn="0"/>
            <w:tcW w:w="2047" w:type="dxa"/>
          </w:tcPr>
          <w:p w14:paraId="44653723" w14:textId="77777777" w:rsidR="005C6948" w:rsidRPr="0036198E" w:rsidRDefault="005C6948" w:rsidP="00652878">
            <w:pPr>
              <w:spacing w:line="360" w:lineRule="auto"/>
              <w:rPr>
                <w:rFonts w:eastAsia="Arial"/>
              </w:rPr>
            </w:pPr>
            <w:r w:rsidRPr="0036198E">
              <w:rPr>
                <w:rFonts w:eastAsia="Arial"/>
              </w:rPr>
              <w:t>NPV</w:t>
            </w:r>
          </w:p>
        </w:tc>
        <w:tc>
          <w:tcPr>
            <w:tcW w:w="1180" w:type="dxa"/>
          </w:tcPr>
          <w:p w14:paraId="7A011101"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-3,273</w:t>
            </w:r>
          </w:p>
        </w:tc>
        <w:tc>
          <w:tcPr>
            <w:tcW w:w="1160" w:type="dxa"/>
          </w:tcPr>
          <w:p w14:paraId="15F644A8"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73937</w:t>
            </w:r>
          </w:p>
        </w:tc>
        <w:tc>
          <w:tcPr>
            <w:tcW w:w="1340" w:type="dxa"/>
          </w:tcPr>
          <w:p w14:paraId="23B4AD16" w14:textId="77777777" w:rsidR="005C6948" w:rsidRPr="0036198E" w:rsidRDefault="005C6948" w:rsidP="00652878">
            <w:pPr>
              <w:spacing w:line="360" w:lineRule="auto"/>
              <w:cnfStyle w:val="000000000000" w:firstRow="0" w:lastRow="0" w:firstColumn="0" w:lastColumn="0" w:oddVBand="0" w:evenVBand="0" w:oddHBand="0" w:evenHBand="0" w:firstRowFirstColumn="0" w:firstRowLastColumn="0" w:lastRowFirstColumn="0" w:lastRowLastColumn="0"/>
              <w:rPr>
                <w:rFonts w:eastAsia="Arial"/>
              </w:rPr>
            </w:pPr>
            <w:r w:rsidRPr="0036198E">
              <w:rPr>
                <w:rFonts w:eastAsia="Arial"/>
              </w:rPr>
              <w:t>91208</w:t>
            </w:r>
          </w:p>
        </w:tc>
      </w:tr>
      <w:tr w:rsidR="005C6948" w:rsidRPr="0036198E" w14:paraId="533F5BC0" w14:textId="77777777" w:rsidTr="004B43A0">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047" w:type="dxa"/>
          </w:tcPr>
          <w:p w14:paraId="5176CD15" w14:textId="77777777" w:rsidR="005C6948" w:rsidRPr="0036198E" w:rsidRDefault="005C6948" w:rsidP="00652878">
            <w:pPr>
              <w:spacing w:line="360" w:lineRule="auto"/>
              <w:rPr>
                <w:rFonts w:eastAsia="Arial"/>
              </w:rPr>
            </w:pPr>
            <w:r w:rsidRPr="0036198E">
              <w:rPr>
                <w:rFonts w:eastAsia="Arial"/>
              </w:rPr>
              <w:t>Profitability Index</w:t>
            </w:r>
          </w:p>
        </w:tc>
        <w:tc>
          <w:tcPr>
            <w:tcW w:w="1180" w:type="dxa"/>
          </w:tcPr>
          <w:p w14:paraId="55A674A5"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-0.0055</w:t>
            </w:r>
          </w:p>
        </w:tc>
        <w:tc>
          <w:tcPr>
            <w:tcW w:w="1160" w:type="dxa"/>
          </w:tcPr>
          <w:p w14:paraId="6DD5CBDC"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0.08215</w:t>
            </w:r>
          </w:p>
        </w:tc>
        <w:tc>
          <w:tcPr>
            <w:tcW w:w="1340" w:type="dxa"/>
          </w:tcPr>
          <w:p w14:paraId="3DFAA2AB" w14:textId="77777777" w:rsidR="005C6948" w:rsidRPr="0036198E" w:rsidRDefault="005C6948" w:rsidP="00652878">
            <w:pPr>
              <w:spacing w:line="360" w:lineRule="auto"/>
              <w:cnfStyle w:val="000000100000" w:firstRow="0" w:lastRow="0" w:firstColumn="0" w:lastColumn="0" w:oddVBand="0" w:evenVBand="0" w:oddHBand="1" w:evenHBand="0" w:firstRowFirstColumn="0" w:firstRowLastColumn="0" w:lastRowFirstColumn="0" w:lastRowLastColumn="0"/>
              <w:rPr>
                <w:rFonts w:eastAsia="Arial"/>
              </w:rPr>
            </w:pPr>
            <w:r w:rsidRPr="0036198E">
              <w:rPr>
                <w:rFonts w:eastAsia="Arial"/>
              </w:rPr>
              <w:t>0.091208</w:t>
            </w:r>
          </w:p>
        </w:tc>
      </w:tr>
    </w:tbl>
    <w:p w14:paraId="2A841D70" w14:textId="05638770" w:rsidR="00793FA7" w:rsidRPr="0036198E" w:rsidRDefault="00793FA7" w:rsidP="006C6D81"/>
    <w:sectPr w:rsidR="00793FA7" w:rsidRPr="0036198E" w:rsidSect="00644C21">
      <w:footerReference w:type="default" r:id="rId13"/>
      <w:pgSz w:w="11906" w:h="16838"/>
      <w:pgMar w:top="1440" w:right="1440" w:bottom="1440" w:left="1440" w:header="708" w:footer="708"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5E222E" w14:textId="77777777" w:rsidR="005B5511" w:rsidRDefault="005B5511" w:rsidP="00EF3DF2">
      <w:pPr>
        <w:spacing w:after="0" w:line="240" w:lineRule="auto"/>
      </w:pPr>
      <w:r>
        <w:separator/>
      </w:r>
    </w:p>
  </w:endnote>
  <w:endnote w:type="continuationSeparator" w:id="0">
    <w:p w14:paraId="68C9D34C" w14:textId="77777777" w:rsidR="005B5511" w:rsidRDefault="005B5511" w:rsidP="00EF3D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4CE061" w14:textId="77777777" w:rsidR="00ED57CD" w:rsidRDefault="00ED57CD">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4E48AE52" w14:textId="77777777" w:rsidR="00ED57CD" w:rsidRDefault="00ED57CD">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9CEACE" w14:textId="77777777" w:rsidR="005B5511" w:rsidRDefault="005B5511" w:rsidP="00EF3DF2">
      <w:pPr>
        <w:spacing w:after="0" w:line="240" w:lineRule="auto"/>
      </w:pPr>
      <w:r>
        <w:separator/>
      </w:r>
    </w:p>
  </w:footnote>
  <w:footnote w:type="continuationSeparator" w:id="0">
    <w:p w14:paraId="7C435390" w14:textId="77777777" w:rsidR="005B5511" w:rsidRDefault="005B5511" w:rsidP="00EF3D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85243E"/>
    <w:multiLevelType w:val="multilevel"/>
    <w:tmpl w:val="38104CD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74DF520A"/>
    <w:multiLevelType w:val="hybridMultilevel"/>
    <w:tmpl w:val="E5EE675E"/>
    <w:lvl w:ilvl="0" w:tplc="5A861CFA">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1574144">
    <w:abstractNumId w:val="1"/>
  </w:num>
  <w:num w:numId="2" w16cid:durableId="989149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3DC"/>
    <w:rsid w:val="00013756"/>
    <w:rsid w:val="00013A58"/>
    <w:rsid w:val="00015898"/>
    <w:rsid w:val="00024862"/>
    <w:rsid w:val="00032A3F"/>
    <w:rsid w:val="0003521C"/>
    <w:rsid w:val="000504B7"/>
    <w:rsid w:val="00072FFE"/>
    <w:rsid w:val="000812B2"/>
    <w:rsid w:val="00083AD1"/>
    <w:rsid w:val="00085AF4"/>
    <w:rsid w:val="000A1CB4"/>
    <w:rsid w:val="000B1D17"/>
    <w:rsid w:val="000B504F"/>
    <w:rsid w:val="000C372F"/>
    <w:rsid w:val="000C6957"/>
    <w:rsid w:val="000D4472"/>
    <w:rsid w:val="000E6694"/>
    <w:rsid w:val="000F2814"/>
    <w:rsid w:val="000F6DEB"/>
    <w:rsid w:val="00110C7F"/>
    <w:rsid w:val="00143700"/>
    <w:rsid w:val="001542B9"/>
    <w:rsid w:val="00164810"/>
    <w:rsid w:val="00187EBA"/>
    <w:rsid w:val="00192F9C"/>
    <w:rsid w:val="001B586C"/>
    <w:rsid w:val="001C5F2A"/>
    <w:rsid w:val="001D471A"/>
    <w:rsid w:val="002023FE"/>
    <w:rsid w:val="0021176C"/>
    <w:rsid w:val="0021257A"/>
    <w:rsid w:val="00227062"/>
    <w:rsid w:val="00241A7C"/>
    <w:rsid w:val="00247C09"/>
    <w:rsid w:val="00253BCB"/>
    <w:rsid w:val="0025664A"/>
    <w:rsid w:val="00262517"/>
    <w:rsid w:val="002649AC"/>
    <w:rsid w:val="00267536"/>
    <w:rsid w:val="00277DC4"/>
    <w:rsid w:val="00281172"/>
    <w:rsid w:val="00293D28"/>
    <w:rsid w:val="002A44EF"/>
    <w:rsid w:val="002A75A5"/>
    <w:rsid w:val="002A7825"/>
    <w:rsid w:val="002B0C31"/>
    <w:rsid w:val="002C00DD"/>
    <w:rsid w:val="002C7571"/>
    <w:rsid w:val="002F29F0"/>
    <w:rsid w:val="0030368C"/>
    <w:rsid w:val="00305D4C"/>
    <w:rsid w:val="0031574E"/>
    <w:rsid w:val="003245A6"/>
    <w:rsid w:val="003316D6"/>
    <w:rsid w:val="00334958"/>
    <w:rsid w:val="00340816"/>
    <w:rsid w:val="00354318"/>
    <w:rsid w:val="003543DC"/>
    <w:rsid w:val="0036198E"/>
    <w:rsid w:val="00386591"/>
    <w:rsid w:val="00387509"/>
    <w:rsid w:val="00393FDB"/>
    <w:rsid w:val="00394ED1"/>
    <w:rsid w:val="003A121E"/>
    <w:rsid w:val="003A2CF6"/>
    <w:rsid w:val="003E2C3B"/>
    <w:rsid w:val="003F595D"/>
    <w:rsid w:val="00406A37"/>
    <w:rsid w:val="00407B99"/>
    <w:rsid w:val="00425591"/>
    <w:rsid w:val="00482A18"/>
    <w:rsid w:val="004A07FD"/>
    <w:rsid w:val="004B4107"/>
    <w:rsid w:val="004B43A0"/>
    <w:rsid w:val="004D38E7"/>
    <w:rsid w:val="004F05F8"/>
    <w:rsid w:val="004F1854"/>
    <w:rsid w:val="00502C17"/>
    <w:rsid w:val="0052729B"/>
    <w:rsid w:val="00533909"/>
    <w:rsid w:val="00550B5B"/>
    <w:rsid w:val="0056084D"/>
    <w:rsid w:val="00561BC9"/>
    <w:rsid w:val="005642D1"/>
    <w:rsid w:val="005760DB"/>
    <w:rsid w:val="00576C44"/>
    <w:rsid w:val="005A73E3"/>
    <w:rsid w:val="005B20B7"/>
    <w:rsid w:val="005B5511"/>
    <w:rsid w:val="005C2E72"/>
    <w:rsid w:val="005C4E75"/>
    <w:rsid w:val="005C5F58"/>
    <w:rsid w:val="005C6948"/>
    <w:rsid w:val="005E3EFA"/>
    <w:rsid w:val="005F40AD"/>
    <w:rsid w:val="00600F2E"/>
    <w:rsid w:val="006252FD"/>
    <w:rsid w:val="00625FBA"/>
    <w:rsid w:val="00644C21"/>
    <w:rsid w:val="00653E3B"/>
    <w:rsid w:val="006571D3"/>
    <w:rsid w:val="006600F3"/>
    <w:rsid w:val="00662896"/>
    <w:rsid w:val="00662CEC"/>
    <w:rsid w:val="00670DDA"/>
    <w:rsid w:val="006731F7"/>
    <w:rsid w:val="006959D9"/>
    <w:rsid w:val="006A12FC"/>
    <w:rsid w:val="006C6D81"/>
    <w:rsid w:val="006D3113"/>
    <w:rsid w:val="006F70FA"/>
    <w:rsid w:val="00713B62"/>
    <w:rsid w:val="007242AE"/>
    <w:rsid w:val="00744A2B"/>
    <w:rsid w:val="00750DB8"/>
    <w:rsid w:val="00766493"/>
    <w:rsid w:val="00767F5A"/>
    <w:rsid w:val="00770606"/>
    <w:rsid w:val="00770E7B"/>
    <w:rsid w:val="00771FD4"/>
    <w:rsid w:val="007756B3"/>
    <w:rsid w:val="007908C1"/>
    <w:rsid w:val="0079280D"/>
    <w:rsid w:val="00793FA7"/>
    <w:rsid w:val="007946DE"/>
    <w:rsid w:val="007956E2"/>
    <w:rsid w:val="007D259B"/>
    <w:rsid w:val="007D3D60"/>
    <w:rsid w:val="007D68E1"/>
    <w:rsid w:val="007D6BF2"/>
    <w:rsid w:val="007E017A"/>
    <w:rsid w:val="007E331E"/>
    <w:rsid w:val="007E4A1D"/>
    <w:rsid w:val="007F52B8"/>
    <w:rsid w:val="007F5D77"/>
    <w:rsid w:val="00801F6E"/>
    <w:rsid w:val="008155A3"/>
    <w:rsid w:val="00835BD6"/>
    <w:rsid w:val="00845F87"/>
    <w:rsid w:val="008555C0"/>
    <w:rsid w:val="00855ACF"/>
    <w:rsid w:val="008563E2"/>
    <w:rsid w:val="008633C0"/>
    <w:rsid w:val="0087016A"/>
    <w:rsid w:val="00874E8D"/>
    <w:rsid w:val="00880C46"/>
    <w:rsid w:val="00897B21"/>
    <w:rsid w:val="008A4E90"/>
    <w:rsid w:val="008B14BF"/>
    <w:rsid w:val="008F050D"/>
    <w:rsid w:val="008F076F"/>
    <w:rsid w:val="009031DD"/>
    <w:rsid w:val="00920836"/>
    <w:rsid w:val="00931171"/>
    <w:rsid w:val="00935EE8"/>
    <w:rsid w:val="0094299C"/>
    <w:rsid w:val="00943277"/>
    <w:rsid w:val="0094451C"/>
    <w:rsid w:val="0095058E"/>
    <w:rsid w:val="00972191"/>
    <w:rsid w:val="009741D8"/>
    <w:rsid w:val="00975C77"/>
    <w:rsid w:val="00983341"/>
    <w:rsid w:val="00985632"/>
    <w:rsid w:val="009E2A17"/>
    <w:rsid w:val="009F2682"/>
    <w:rsid w:val="00A23057"/>
    <w:rsid w:val="00A274F9"/>
    <w:rsid w:val="00A32101"/>
    <w:rsid w:val="00A36D95"/>
    <w:rsid w:val="00A442C2"/>
    <w:rsid w:val="00A54F6B"/>
    <w:rsid w:val="00A65C47"/>
    <w:rsid w:val="00A66E5F"/>
    <w:rsid w:val="00A77D04"/>
    <w:rsid w:val="00A838D9"/>
    <w:rsid w:val="00AB4523"/>
    <w:rsid w:val="00AB49F2"/>
    <w:rsid w:val="00AB78BF"/>
    <w:rsid w:val="00AC4487"/>
    <w:rsid w:val="00AD122C"/>
    <w:rsid w:val="00AD249B"/>
    <w:rsid w:val="00AD4188"/>
    <w:rsid w:val="00AE02F5"/>
    <w:rsid w:val="00AE3A6D"/>
    <w:rsid w:val="00AF0FCF"/>
    <w:rsid w:val="00B020FD"/>
    <w:rsid w:val="00B03281"/>
    <w:rsid w:val="00B053A7"/>
    <w:rsid w:val="00B05B21"/>
    <w:rsid w:val="00B2145A"/>
    <w:rsid w:val="00B3662B"/>
    <w:rsid w:val="00B4139D"/>
    <w:rsid w:val="00B51B98"/>
    <w:rsid w:val="00B52D04"/>
    <w:rsid w:val="00B55315"/>
    <w:rsid w:val="00B55BD7"/>
    <w:rsid w:val="00B733D3"/>
    <w:rsid w:val="00BB5610"/>
    <w:rsid w:val="00BC08FA"/>
    <w:rsid w:val="00BC24EC"/>
    <w:rsid w:val="00BD5098"/>
    <w:rsid w:val="00BF76E3"/>
    <w:rsid w:val="00C13177"/>
    <w:rsid w:val="00C27BA0"/>
    <w:rsid w:val="00C51095"/>
    <w:rsid w:val="00C52D7E"/>
    <w:rsid w:val="00C64059"/>
    <w:rsid w:val="00C753BB"/>
    <w:rsid w:val="00C7699D"/>
    <w:rsid w:val="00C92F94"/>
    <w:rsid w:val="00C9721F"/>
    <w:rsid w:val="00CB3C1C"/>
    <w:rsid w:val="00CB5C87"/>
    <w:rsid w:val="00CC64BB"/>
    <w:rsid w:val="00CD047C"/>
    <w:rsid w:val="00CD2005"/>
    <w:rsid w:val="00CF7F0F"/>
    <w:rsid w:val="00D039DA"/>
    <w:rsid w:val="00D162BD"/>
    <w:rsid w:val="00D26EA2"/>
    <w:rsid w:val="00D26EFF"/>
    <w:rsid w:val="00D32CD0"/>
    <w:rsid w:val="00D4610B"/>
    <w:rsid w:val="00D50DCD"/>
    <w:rsid w:val="00D511C9"/>
    <w:rsid w:val="00D51F99"/>
    <w:rsid w:val="00D63420"/>
    <w:rsid w:val="00D75425"/>
    <w:rsid w:val="00D93AEC"/>
    <w:rsid w:val="00D9544D"/>
    <w:rsid w:val="00D95577"/>
    <w:rsid w:val="00DA3B66"/>
    <w:rsid w:val="00DA52D5"/>
    <w:rsid w:val="00DA5390"/>
    <w:rsid w:val="00DA6342"/>
    <w:rsid w:val="00DC0AEF"/>
    <w:rsid w:val="00DC42F3"/>
    <w:rsid w:val="00DD4D1D"/>
    <w:rsid w:val="00DE71B4"/>
    <w:rsid w:val="00DF4509"/>
    <w:rsid w:val="00DF6DE7"/>
    <w:rsid w:val="00DF795C"/>
    <w:rsid w:val="00E439B0"/>
    <w:rsid w:val="00E4589C"/>
    <w:rsid w:val="00E5122A"/>
    <w:rsid w:val="00E66C4E"/>
    <w:rsid w:val="00E71888"/>
    <w:rsid w:val="00E82FD5"/>
    <w:rsid w:val="00E92599"/>
    <w:rsid w:val="00E928A3"/>
    <w:rsid w:val="00EA1CC1"/>
    <w:rsid w:val="00EA2A03"/>
    <w:rsid w:val="00EA6641"/>
    <w:rsid w:val="00EB1379"/>
    <w:rsid w:val="00ED57CD"/>
    <w:rsid w:val="00ED6BB4"/>
    <w:rsid w:val="00EF3DF2"/>
    <w:rsid w:val="00EF3E87"/>
    <w:rsid w:val="00EF77EB"/>
    <w:rsid w:val="00F053A6"/>
    <w:rsid w:val="00F05686"/>
    <w:rsid w:val="00F06992"/>
    <w:rsid w:val="00F1739C"/>
    <w:rsid w:val="00F31BEC"/>
    <w:rsid w:val="00F360B3"/>
    <w:rsid w:val="00F4032C"/>
    <w:rsid w:val="00F526EA"/>
    <w:rsid w:val="00F57EA3"/>
    <w:rsid w:val="00F6435F"/>
    <w:rsid w:val="00F70BED"/>
    <w:rsid w:val="00FA308C"/>
    <w:rsid w:val="00FA6ED8"/>
    <w:rsid w:val="00FB66AA"/>
    <w:rsid w:val="00FC0B59"/>
    <w:rsid w:val="00FE2A39"/>
    <w:rsid w:val="00FE6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0129D"/>
  <w15:chartTrackingRefBased/>
  <w15:docId w15:val="{BCFB4D19-35FE-432D-A8F6-0BE9C851B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0B3"/>
    <w:pPr>
      <w:spacing w:line="259" w:lineRule="auto"/>
    </w:pPr>
    <w:rPr>
      <w:rFonts w:ascii="Calibri" w:eastAsia="Calibri" w:hAnsi="Calibri" w:cs="Calibri"/>
      <w:kern w:val="0"/>
      <w:szCs w:val="22"/>
      <w:lang w:eastAsia="en-GB"/>
      <w14:ligatures w14:val="none"/>
    </w:rPr>
  </w:style>
  <w:style w:type="paragraph" w:styleId="Heading1">
    <w:name w:val="heading 1"/>
    <w:basedOn w:val="Normal"/>
    <w:next w:val="Normal"/>
    <w:link w:val="Heading1Char"/>
    <w:uiPriority w:val="9"/>
    <w:qFormat/>
    <w:rsid w:val="00072FFE"/>
    <w:pPr>
      <w:keepNext/>
      <w:keepLines/>
      <w:spacing w:before="360" w:after="80"/>
      <w:outlineLvl w:val="0"/>
    </w:pPr>
    <w:rPr>
      <w:rFonts w:eastAsiaTheme="majorEastAsia" w:cstheme="majorBidi"/>
      <w:b/>
      <w:bCs/>
      <w:color w:val="000000" w:themeColor="text1"/>
      <w:sz w:val="28"/>
      <w:szCs w:val="32"/>
    </w:rPr>
  </w:style>
  <w:style w:type="paragraph" w:styleId="Heading2">
    <w:name w:val="heading 2"/>
    <w:basedOn w:val="Normal"/>
    <w:next w:val="Normal"/>
    <w:link w:val="Heading2Char"/>
    <w:uiPriority w:val="9"/>
    <w:unhideWhenUsed/>
    <w:qFormat/>
    <w:rsid w:val="00072FFE"/>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072FFE"/>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3543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43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43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43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43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43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FFE"/>
    <w:rPr>
      <w:rFonts w:ascii="Calibri" w:eastAsiaTheme="majorEastAsia" w:hAnsi="Calibri" w:cstheme="majorBidi"/>
      <w:b/>
      <w:bCs/>
      <w:color w:val="000000" w:themeColor="text1"/>
      <w:kern w:val="0"/>
      <w:sz w:val="28"/>
      <w:szCs w:val="32"/>
      <w:lang w:eastAsia="en-GB"/>
      <w14:ligatures w14:val="none"/>
    </w:rPr>
  </w:style>
  <w:style w:type="character" w:customStyle="1" w:styleId="Heading2Char">
    <w:name w:val="Heading 2 Char"/>
    <w:basedOn w:val="DefaultParagraphFont"/>
    <w:link w:val="Heading2"/>
    <w:uiPriority w:val="9"/>
    <w:rsid w:val="00072FFE"/>
    <w:rPr>
      <w:rFonts w:ascii="Calibri" w:eastAsiaTheme="majorEastAsia" w:hAnsi="Calibri" w:cstheme="majorBidi"/>
      <w:b/>
      <w:color w:val="000000" w:themeColor="text1"/>
      <w:kern w:val="0"/>
      <w:szCs w:val="32"/>
      <w:lang w:eastAsia="en-GB"/>
      <w14:ligatures w14:val="none"/>
    </w:rPr>
  </w:style>
  <w:style w:type="character" w:customStyle="1" w:styleId="Heading3Char">
    <w:name w:val="Heading 3 Char"/>
    <w:basedOn w:val="DefaultParagraphFont"/>
    <w:link w:val="Heading3"/>
    <w:uiPriority w:val="9"/>
    <w:rsid w:val="00072FFE"/>
    <w:rPr>
      <w:rFonts w:ascii="Calibri" w:eastAsiaTheme="majorEastAsia" w:hAnsi="Calibri" w:cstheme="majorBidi"/>
      <w:b/>
      <w:color w:val="000000" w:themeColor="text1"/>
      <w:kern w:val="0"/>
      <w:szCs w:val="28"/>
      <w:lang w:eastAsia="en-GB"/>
      <w14:ligatures w14:val="none"/>
    </w:rPr>
  </w:style>
  <w:style w:type="character" w:customStyle="1" w:styleId="Heading4Char">
    <w:name w:val="Heading 4 Char"/>
    <w:basedOn w:val="DefaultParagraphFont"/>
    <w:link w:val="Heading4"/>
    <w:uiPriority w:val="9"/>
    <w:semiHidden/>
    <w:rsid w:val="003543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43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43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43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43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43DC"/>
    <w:rPr>
      <w:rFonts w:eastAsiaTheme="majorEastAsia" w:cstheme="majorBidi"/>
      <w:color w:val="272727" w:themeColor="text1" w:themeTint="D8"/>
    </w:rPr>
  </w:style>
  <w:style w:type="paragraph" w:styleId="Title">
    <w:name w:val="Title"/>
    <w:basedOn w:val="Normal"/>
    <w:next w:val="Normal"/>
    <w:link w:val="TitleChar"/>
    <w:uiPriority w:val="10"/>
    <w:qFormat/>
    <w:rsid w:val="003543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43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43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43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43DC"/>
    <w:pPr>
      <w:spacing w:before="160"/>
      <w:jc w:val="center"/>
    </w:pPr>
    <w:rPr>
      <w:i/>
      <w:iCs/>
      <w:color w:val="404040" w:themeColor="text1" w:themeTint="BF"/>
    </w:rPr>
  </w:style>
  <w:style w:type="character" w:customStyle="1" w:styleId="QuoteChar">
    <w:name w:val="Quote Char"/>
    <w:basedOn w:val="DefaultParagraphFont"/>
    <w:link w:val="Quote"/>
    <w:uiPriority w:val="29"/>
    <w:rsid w:val="003543DC"/>
    <w:rPr>
      <w:i/>
      <w:iCs/>
      <w:color w:val="404040" w:themeColor="text1" w:themeTint="BF"/>
    </w:rPr>
  </w:style>
  <w:style w:type="paragraph" w:styleId="ListParagraph">
    <w:name w:val="List Paragraph"/>
    <w:basedOn w:val="Normal"/>
    <w:uiPriority w:val="34"/>
    <w:qFormat/>
    <w:rsid w:val="003543DC"/>
    <w:pPr>
      <w:ind w:left="720"/>
      <w:contextualSpacing/>
    </w:pPr>
  </w:style>
  <w:style w:type="character" w:styleId="IntenseEmphasis">
    <w:name w:val="Intense Emphasis"/>
    <w:basedOn w:val="DefaultParagraphFont"/>
    <w:uiPriority w:val="21"/>
    <w:qFormat/>
    <w:rsid w:val="003543DC"/>
    <w:rPr>
      <w:i/>
      <w:iCs/>
      <w:color w:val="0F4761" w:themeColor="accent1" w:themeShade="BF"/>
    </w:rPr>
  </w:style>
  <w:style w:type="paragraph" w:styleId="IntenseQuote">
    <w:name w:val="Intense Quote"/>
    <w:basedOn w:val="Normal"/>
    <w:next w:val="Normal"/>
    <w:link w:val="IntenseQuoteChar"/>
    <w:uiPriority w:val="30"/>
    <w:qFormat/>
    <w:rsid w:val="003543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43DC"/>
    <w:rPr>
      <w:i/>
      <w:iCs/>
      <w:color w:val="0F4761" w:themeColor="accent1" w:themeShade="BF"/>
    </w:rPr>
  </w:style>
  <w:style w:type="character" w:styleId="IntenseReference">
    <w:name w:val="Intense Reference"/>
    <w:basedOn w:val="DefaultParagraphFont"/>
    <w:uiPriority w:val="32"/>
    <w:qFormat/>
    <w:rsid w:val="003543DC"/>
    <w:rPr>
      <w:b/>
      <w:bCs/>
      <w:smallCaps/>
      <w:color w:val="0F4761" w:themeColor="accent1" w:themeShade="BF"/>
      <w:spacing w:val="5"/>
    </w:rPr>
  </w:style>
  <w:style w:type="character" w:styleId="Hyperlink">
    <w:name w:val="Hyperlink"/>
    <w:basedOn w:val="DefaultParagraphFont"/>
    <w:uiPriority w:val="99"/>
    <w:unhideWhenUsed/>
    <w:rsid w:val="0079280D"/>
    <w:rPr>
      <w:color w:val="467886" w:themeColor="hyperlink"/>
      <w:u w:val="single"/>
    </w:rPr>
  </w:style>
  <w:style w:type="character" w:styleId="FollowedHyperlink">
    <w:name w:val="FollowedHyperlink"/>
    <w:basedOn w:val="DefaultParagraphFont"/>
    <w:uiPriority w:val="99"/>
    <w:semiHidden/>
    <w:unhideWhenUsed/>
    <w:rsid w:val="0079280D"/>
    <w:rPr>
      <w:color w:val="96607D" w:themeColor="followedHyperlink"/>
      <w:u w:val="single"/>
    </w:rPr>
  </w:style>
  <w:style w:type="paragraph" w:customStyle="1" w:styleId="msonormal0">
    <w:name w:val="msonormal"/>
    <w:basedOn w:val="Normal"/>
    <w:rsid w:val="0079280D"/>
    <w:pPr>
      <w:spacing w:before="100" w:beforeAutospacing="1" w:after="100" w:afterAutospacing="1" w:line="240" w:lineRule="auto"/>
    </w:pPr>
    <w:rPr>
      <w:rFonts w:ascii="Times New Roman" w:eastAsia="Times New Roman" w:hAnsi="Times New Roman" w:cs="Times New Roman"/>
    </w:rPr>
  </w:style>
  <w:style w:type="paragraph" w:styleId="TOC1">
    <w:name w:val="toc 1"/>
    <w:basedOn w:val="Normal"/>
    <w:next w:val="Normal"/>
    <w:autoRedefine/>
    <w:uiPriority w:val="39"/>
    <w:unhideWhenUsed/>
    <w:rsid w:val="00625FBA"/>
    <w:pPr>
      <w:tabs>
        <w:tab w:val="right" w:pos="9016"/>
      </w:tabs>
      <w:spacing w:after="100" w:line="240" w:lineRule="auto"/>
    </w:pPr>
    <w:rPr>
      <w:rFonts w:eastAsia="Arial"/>
      <w:b/>
      <w:bCs/>
      <w:noProof/>
      <w:szCs w:val="24"/>
    </w:rPr>
  </w:style>
  <w:style w:type="paragraph" w:styleId="TOC2">
    <w:name w:val="toc 2"/>
    <w:basedOn w:val="Normal"/>
    <w:next w:val="Normal"/>
    <w:autoRedefine/>
    <w:uiPriority w:val="39"/>
    <w:unhideWhenUsed/>
    <w:rsid w:val="00625FBA"/>
    <w:pPr>
      <w:tabs>
        <w:tab w:val="right" w:pos="9016"/>
      </w:tabs>
      <w:spacing w:after="100" w:line="256" w:lineRule="auto"/>
      <w:ind w:left="220"/>
    </w:pPr>
    <w:rPr>
      <w:rFonts w:eastAsia="Arial"/>
      <w:b/>
      <w:bCs/>
      <w:noProof/>
      <w:szCs w:val="24"/>
    </w:rPr>
  </w:style>
  <w:style w:type="table" w:customStyle="1" w:styleId="TableNormal0">
    <w:name w:val="TableNormal"/>
    <w:rsid w:val="0079280D"/>
    <w:pPr>
      <w:spacing w:line="256" w:lineRule="auto"/>
    </w:pPr>
    <w:rPr>
      <w:rFonts w:ascii="Calibri" w:eastAsia="Calibri" w:hAnsi="Calibri" w:cs="Calibri"/>
      <w:kern w:val="0"/>
      <w:sz w:val="22"/>
      <w:szCs w:val="22"/>
      <w:lang w:eastAsia="en-GB"/>
      <w14:ligatures w14:val="none"/>
    </w:rPr>
    <w:tblPr>
      <w:tblCellMar>
        <w:top w:w="100" w:type="dxa"/>
        <w:left w:w="100" w:type="dxa"/>
        <w:bottom w:w="100" w:type="dxa"/>
        <w:right w:w="100" w:type="dxa"/>
      </w:tblCellMar>
    </w:tblPr>
  </w:style>
  <w:style w:type="character" w:styleId="UnresolvedMention">
    <w:name w:val="Unresolved Mention"/>
    <w:basedOn w:val="DefaultParagraphFont"/>
    <w:uiPriority w:val="99"/>
    <w:semiHidden/>
    <w:unhideWhenUsed/>
    <w:rsid w:val="0079280D"/>
    <w:rPr>
      <w:color w:val="605E5C"/>
      <w:shd w:val="clear" w:color="auto" w:fill="E1DFDD"/>
    </w:rPr>
  </w:style>
  <w:style w:type="paragraph" w:styleId="Header">
    <w:name w:val="header"/>
    <w:basedOn w:val="Normal"/>
    <w:link w:val="HeaderChar"/>
    <w:uiPriority w:val="99"/>
    <w:unhideWhenUsed/>
    <w:rsid w:val="00EF3D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3DF2"/>
    <w:rPr>
      <w:rFonts w:ascii="Calibri" w:eastAsia="Calibri" w:hAnsi="Calibri" w:cs="Calibri"/>
      <w:kern w:val="0"/>
      <w:sz w:val="22"/>
      <w:szCs w:val="22"/>
      <w:lang w:eastAsia="en-GB"/>
      <w14:ligatures w14:val="none"/>
    </w:rPr>
  </w:style>
  <w:style w:type="paragraph" w:styleId="Footer">
    <w:name w:val="footer"/>
    <w:basedOn w:val="Normal"/>
    <w:link w:val="FooterChar"/>
    <w:uiPriority w:val="99"/>
    <w:unhideWhenUsed/>
    <w:rsid w:val="00EF3D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3DF2"/>
    <w:rPr>
      <w:rFonts w:ascii="Calibri" w:eastAsia="Calibri" w:hAnsi="Calibri" w:cs="Calibri"/>
      <w:kern w:val="0"/>
      <w:sz w:val="22"/>
      <w:szCs w:val="22"/>
      <w:lang w:eastAsia="en-GB"/>
      <w14:ligatures w14:val="none"/>
    </w:rPr>
  </w:style>
  <w:style w:type="table" w:styleId="TableGrid">
    <w:name w:val="Table Grid"/>
    <w:basedOn w:val="TableNormal"/>
    <w:uiPriority w:val="39"/>
    <w:rsid w:val="005272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770E7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26753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7D3D6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4-Accent5">
    <w:name w:val="Grid Table 4 Accent 5"/>
    <w:basedOn w:val="TableNormal"/>
    <w:uiPriority w:val="49"/>
    <w:rsid w:val="007D68E1"/>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2">
    <w:name w:val="Grid Table 4 Accent 2"/>
    <w:basedOn w:val="TableNormal"/>
    <w:uiPriority w:val="49"/>
    <w:rsid w:val="007D68E1"/>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1">
    <w:name w:val="Grid Table 4 Accent 1"/>
    <w:basedOn w:val="TableNormal"/>
    <w:uiPriority w:val="49"/>
    <w:rsid w:val="007D68E1"/>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5Dark-Accent1">
    <w:name w:val="Grid Table 5 Dark Accent 1"/>
    <w:basedOn w:val="TableNormal"/>
    <w:uiPriority w:val="50"/>
    <w:rsid w:val="0034081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2-Accent1">
    <w:name w:val="Grid Table 2 Accent 1"/>
    <w:basedOn w:val="TableNormal"/>
    <w:uiPriority w:val="47"/>
    <w:rsid w:val="00340816"/>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4">
    <w:name w:val="Grid Table 4 Accent 4"/>
    <w:basedOn w:val="TableNormal"/>
    <w:uiPriority w:val="49"/>
    <w:rsid w:val="00340816"/>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5Dark-Accent4">
    <w:name w:val="Grid Table 5 Dark Accent 4"/>
    <w:basedOn w:val="TableNormal"/>
    <w:uiPriority w:val="50"/>
    <w:rsid w:val="002A44E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TOCHeading">
    <w:name w:val="TOC Heading"/>
    <w:basedOn w:val="Heading1"/>
    <w:next w:val="Normal"/>
    <w:uiPriority w:val="39"/>
    <w:unhideWhenUsed/>
    <w:qFormat/>
    <w:rsid w:val="0094299C"/>
    <w:pPr>
      <w:spacing w:before="240" w:after="0"/>
      <w:outlineLvl w:val="9"/>
    </w:pPr>
    <w:rPr>
      <w:rFonts w:asciiTheme="majorHAnsi" w:hAnsiTheme="majorHAnsi"/>
      <w:b w:val="0"/>
      <w:bCs w:val="0"/>
      <w:color w:val="0F4761" w:themeColor="accent1" w:themeShade="BF"/>
      <w:sz w:val="32"/>
      <w:lang w:val="en-US" w:eastAsia="en-US"/>
    </w:rPr>
  </w:style>
  <w:style w:type="paragraph" w:styleId="TOC3">
    <w:name w:val="toc 3"/>
    <w:basedOn w:val="Normal"/>
    <w:next w:val="Normal"/>
    <w:autoRedefine/>
    <w:uiPriority w:val="39"/>
    <w:unhideWhenUsed/>
    <w:rsid w:val="0094299C"/>
    <w:pPr>
      <w:spacing w:after="100"/>
      <w:ind w:left="440"/>
    </w:pPr>
    <w:rPr>
      <w:rFonts w:asciiTheme="minorHAnsi" w:eastAsiaTheme="minorEastAsia" w:hAnsiTheme="minorHAnsi" w:cs="Times New Roman"/>
      <w:sz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bp.com/content/dam/bp/business-sites/en/global/corporate/pdfs/investors/bp-annual-report-and-form-20f-2025.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p.com/content/dam/bp/business-sites/en/global/corporate/pdfs/investors/bp-annual-report-and-form-20f-2024.pdf"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DE50A0-C1B7-4BD3-9B0E-95B6C6BBFE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3158</TotalTime>
  <Pages>38</Pages>
  <Words>8478</Words>
  <Characters>48325</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Finance for Business Manager Assignment</dc:title>
  <dc:subject/>
  <dc:creator>SMIT BAROT</dc:creator>
  <cp:keywords/>
  <dc:description/>
  <cp:lastModifiedBy>SMIT BAROT</cp:lastModifiedBy>
  <cp:revision>261</cp:revision>
  <dcterms:created xsi:type="dcterms:W3CDTF">2026-04-02T12:15:00Z</dcterms:created>
  <dcterms:modified xsi:type="dcterms:W3CDTF">2026-04-20T19:54:00Z</dcterms:modified>
</cp:coreProperties>
</file>