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E1C28" w14:textId="13D8C7F7" w:rsidR="00FB0853" w:rsidRPr="00FB0853" w:rsidRDefault="00FB0853" w:rsidP="00FB0853">
      <w:pPr>
        <w:spacing w:line="360" w:lineRule="auto"/>
        <w:jc w:val="center"/>
        <w:rPr>
          <w:b/>
          <w:bCs/>
          <w:sz w:val="32"/>
          <w:szCs w:val="24"/>
          <w:lang w:val="en-IN"/>
        </w:rPr>
      </w:pPr>
      <w:r w:rsidRPr="00FB0853">
        <w:rPr>
          <w:b/>
          <w:bCs/>
          <w:noProof/>
          <w:sz w:val="32"/>
          <w:szCs w:val="24"/>
          <w:lang w:val="en-IN"/>
        </w:rPr>
        <w:drawing>
          <wp:inline distT="0" distB="0" distL="0" distR="0" wp14:anchorId="7FB93473" wp14:editId="0223008D">
            <wp:extent cx="3817620" cy="914400"/>
            <wp:effectExtent l="0" t="0" r="0" b="0"/>
            <wp:docPr id="1706235088"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ack background with white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7620" cy="914400"/>
                    </a:xfrm>
                    <a:prstGeom prst="rect">
                      <a:avLst/>
                    </a:prstGeom>
                    <a:noFill/>
                    <a:ln>
                      <a:noFill/>
                    </a:ln>
                  </pic:spPr>
                </pic:pic>
              </a:graphicData>
            </a:graphic>
          </wp:inline>
        </w:drawing>
      </w:r>
    </w:p>
    <w:p w14:paraId="412B1874" w14:textId="77777777" w:rsidR="00FB0853" w:rsidRPr="00FB0853" w:rsidRDefault="00FB0853" w:rsidP="00FB0853">
      <w:pPr>
        <w:spacing w:line="360" w:lineRule="auto"/>
        <w:jc w:val="center"/>
        <w:rPr>
          <w:b/>
          <w:bCs/>
          <w:sz w:val="32"/>
          <w:szCs w:val="24"/>
          <w:lang w:val="en-IN"/>
        </w:rPr>
      </w:pPr>
    </w:p>
    <w:tbl>
      <w:tblPr>
        <w:tblStyle w:val="TableGrid"/>
        <w:tblW w:w="9428"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14"/>
        <w:gridCol w:w="4714"/>
      </w:tblGrid>
      <w:tr w:rsidR="001D10F6" w14:paraId="4D582777" w14:textId="77777777" w:rsidTr="007A0106">
        <w:trPr>
          <w:trHeight w:val="954"/>
        </w:trPr>
        <w:tc>
          <w:tcPr>
            <w:tcW w:w="4714" w:type="dxa"/>
            <w:tcBorders>
              <w:top w:val="single" w:sz="6" w:space="0" w:color="auto"/>
              <w:left w:val="single" w:sz="6" w:space="0" w:color="auto"/>
            </w:tcBorders>
            <w:tcMar>
              <w:left w:w="90" w:type="dxa"/>
              <w:right w:w="90" w:type="dxa"/>
            </w:tcMar>
            <w:vAlign w:val="center"/>
          </w:tcPr>
          <w:p w14:paraId="47458635" w14:textId="77777777" w:rsidR="001D10F6" w:rsidRDefault="001D10F6" w:rsidP="00633427">
            <w:pPr>
              <w:spacing w:line="360" w:lineRule="auto"/>
            </w:pPr>
            <w:r w:rsidRPr="23A0FA6E">
              <w:rPr>
                <w:lang w:val="en-GB"/>
              </w:rPr>
              <w:t>Program Name</w:t>
            </w:r>
          </w:p>
        </w:tc>
        <w:tc>
          <w:tcPr>
            <w:tcW w:w="4714" w:type="dxa"/>
            <w:tcBorders>
              <w:top w:val="single" w:sz="6" w:space="0" w:color="auto"/>
              <w:right w:val="single" w:sz="6" w:space="0" w:color="auto"/>
            </w:tcBorders>
            <w:tcMar>
              <w:left w:w="90" w:type="dxa"/>
              <w:right w:w="90" w:type="dxa"/>
            </w:tcMar>
            <w:vAlign w:val="center"/>
          </w:tcPr>
          <w:p w14:paraId="513A86F4" w14:textId="77777777" w:rsidR="001D10F6" w:rsidRDefault="001D10F6" w:rsidP="00633427">
            <w:pPr>
              <w:spacing w:line="360" w:lineRule="auto"/>
            </w:pPr>
            <w:r w:rsidRPr="23A0FA6E">
              <w:rPr>
                <w:lang w:val="en-GB"/>
              </w:rPr>
              <w:t>MBA IB</w:t>
            </w:r>
          </w:p>
        </w:tc>
      </w:tr>
      <w:tr w:rsidR="001D10F6" w14:paraId="3105768F" w14:textId="77777777" w:rsidTr="007A0106">
        <w:trPr>
          <w:trHeight w:val="954"/>
        </w:trPr>
        <w:tc>
          <w:tcPr>
            <w:tcW w:w="4714" w:type="dxa"/>
            <w:tcBorders>
              <w:left w:val="single" w:sz="6" w:space="0" w:color="auto"/>
            </w:tcBorders>
            <w:tcMar>
              <w:left w:w="90" w:type="dxa"/>
              <w:right w:w="90" w:type="dxa"/>
            </w:tcMar>
            <w:vAlign w:val="center"/>
          </w:tcPr>
          <w:p w14:paraId="49EEDE7D" w14:textId="77777777" w:rsidR="001D10F6" w:rsidRDefault="001D10F6" w:rsidP="00633427">
            <w:pPr>
              <w:spacing w:line="360" w:lineRule="auto"/>
            </w:pPr>
            <w:r w:rsidRPr="23A0FA6E">
              <w:rPr>
                <w:lang w:val="en-GB"/>
              </w:rPr>
              <w:t>Module Name</w:t>
            </w:r>
          </w:p>
        </w:tc>
        <w:tc>
          <w:tcPr>
            <w:tcW w:w="4714" w:type="dxa"/>
            <w:tcBorders>
              <w:right w:val="single" w:sz="6" w:space="0" w:color="auto"/>
            </w:tcBorders>
            <w:tcMar>
              <w:left w:w="90" w:type="dxa"/>
              <w:right w:w="90" w:type="dxa"/>
            </w:tcMar>
            <w:vAlign w:val="center"/>
          </w:tcPr>
          <w:p w14:paraId="6BDA4E94" w14:textId="0C45CA10" w:rsidR="001D10F6" w:rsidRDefault="005E170F" w:rsidP="00633427">
            <w:pPr>
              <w:spacing w:line="360" w:lineRule="auto"/>
            </w:pPr>
            <w:r>
              <w:rPr>
                <w:lang w:val="en-GB"/>
              </w:rPr>
              <w:t>International Business Concepts</w:t>
            </w:r>
          </w:p>
        </w:tc>
      </w:tr>
      <w:tr w:rsidR="001D10F6" w14:paraId="316E7B26" w14:textId="77777777" w:rsidTr="007A0106">
        <w:trPr>
          <w:trHeight w:val="954"/>
        </w:trPr>
        <w:tc>
          <w:tcPr>
            <w:tcW w:w="4714" w:type="dxa"/>
            <w:tcBorders>
              <w:left w:val="single" w:sz="6" w:space="0" w:color="auto"/>
            </w:tcBorders>
            <w:tcMar>
              <w:left w:w="90" w:type="dxa"/>
              <w:right w:w="90" w:type="dxa"/>
            </w:tcMar>
            <w:vAlign w:val="center"/>
          </w:tcPr>
          <w:p w14:paraId="39A209EA" w14:textId="77777777" w:rsidR="001D10F6" w:rsidRDefault="001D10F6" w:rsidP="00633427">
            <w:pPr>
              <w:spacing w:line="360" w:lineRule="auto"/>
            </w:pPr>
            <w:r w:rsidRPr="23A0FA6E">
              <w:rPr>
                <w:lang w:val="en-GB"/>
              </w:rPr>
              <w:t>Module Code</w:t>
            </w:r>
          </w:p>
        </w:tc>
        <w:tc>
          <w:tcPr>
            <w:tcW w:w="4714" w:type="dxa"/>
            <w:tcBorders>
              <w:right w:val="single" w:sz="6" w:space="0" w:color="auto"/>
            </w:tcBorders>
            <w:tcMar>
              <w:left w:w="90" w:type="dxa"/>
              <w:right w:w="90" w:type="dxa"/>
            </w:tcMar>
            <w:vAlign w:val="center"/>
          </w:tcPr>
          <w:p w14:paraId="1863382B" w14:textId="3184AB4B" w:rsidR="001D10F6" w:rsidRDefault="001D10F6" w:rsidP="00633427">
            <w:pPr>
              <w:spacing w:line="360" w:lineRule="auto"/>
            </w:pPr>
            <w:r w:rsidRPr="23A0FA6E">
              <w:rPr>
                <w:lang w:val="en-GB"/>
              </w:rPr>
              <w:t>L</w:t>
            </w:r>
            <w:r w:rsidR="005E170F">
              <w:rPr>
                <w:lang w:val="en-GB"/>
              </w:rPr>
              <w:t>CMB7034</w:t>
            </w:r>
          </w:p>
        </w:tc>
      </w:tr>
      <w:tr w:rsidR="001D10F6" w14:paraId="10EC0FE5" w14:textId="77777777" w:rsidTr="007A0106">
        <w:trPr>
          <w:trHeight w:val="954"/>
        </w:trPr>
        <w:tc>
          <w:tcPr>
            <w:tcW w:w="4714" w:type="dxa"/>
            <w:tcBorders>
              <w:left w:val="single" w:sz="6" w:space="0" w:color="auto"/>
            </w:tcBorders>
            <w:tcMar>
              <w:left w:w="90" w:type="dxa"/>
              <w:right w:w="90" w:type="dxa"/>
            </w:tcMar>
            <w:vAlign w:val="center"/>
          </w:tcPr>
          <w:p w14:paraId="76773D1D" w14:textId="77777777" w:rsidR="001D10F6" w:rsidRDefault="001D10F6" w:rsidP="00633427">
            <w:pPr>
              <w:spacing w:line="360" w:lineRule="auto"/>
            </w:pPr>
            <w:r w:rsidRPr="23A0FA6E">
              <w:rPr>
                <w:lang w:val="en-GB"/>
              </w:rPr>
              <w:t>Assessment Title</w:t>
            </w:r>
          </w:p>
        </w:tc>
        <w:tc>
          <w:tcPr>
            <w:tcW w:w="4714" w:type="dxa"/>
            <w:tcBorders>
              <w:right w:val="single" w:sz="6" w:space="0" w:color="auto"/>
            </w:tcBorders>
            <w:tcMar>
              <w:left w:w="90" w:type="dxa"/>
              <w:right w:w="90" w:type="dxa"/>
            </w:tcMar>
            <w:vAlign w:val="center"/>
          </w:tcPr>
          <w:p w14:paraId="57707958" w14:textId="7713964E" w:rsidR="001D10F6" w:rsidRDefault="00A469AE" w:rsidP="00633427">
            <w:pPr>
              <w:spacing w:line="360" w:lineRule="auto"/>
            </w:pPr>
            <w:r>
              <w:rPr>
                <w:lang w:val="en-GB"/>
              </w:rPr>
              <w:t>I</w:t>
            </w:r>
            <w:r w:rsidR="00266098">
              <w:rPr>
                <w:lang w:val="en-GB"/>
              </w:rPr>
              <w:t xml:space="preserve">ndividual </w:t>
            </w:r>
            <w:r w:rsidR="008E0077">
              <w:rPr>
                <w:lang w:val="en-GB"/>
              </w:rPr>
              <w:t>Report</w:t>
            </w:r>
          </w:p>
        </w:tc>
      </w:tr>
      <w:tr w:rsidR="001D10F6" w14:paraId="326F5BE0" w14:textId="77777777" w:rsidTr="007A0106">
        <w:trPr>
          <w:trHeight w:val="954"/>
        </w:trPr>
        <w:tc>
          <w:tcPr>
            <w:tcW w:w="4714" w:type="dxa"/>
            <w:tcBorders>
              <w:left w:val="single" w:sz="6" w:space="0" w:color="auto"/>
            </w:tcBorders>
            <w:tcMar>
              <w:left w:w="90" w:type="dxa"/>
              <w:right w:w="90" w:type="dxa"/>
            </w:tcMar>
            <w:vAlign w:val="center"/>
          </w:tcPr>
          <w:p w14:paraId="4B2A7F62" w14:textId="77777777" w:rsidR="001D10F6" w:rsidRDefault="001D10F6" w:rsidP="00633427">
            <w:pPr>
              <w:spacing w:line="360" w:lineRule="auto"/>
            </w:pPr>
            <w:r w:rsidRPr="23A0FA6E">
              <w:rPr>
                <w:lang w:val="en-GB"/>
              </w:rPr>
              <w:t>Report Title</w:t>
            </w:r>
          </w:p>
        </w:tc>
        <w:tc>
          <w:tcPr>
            <w:tcW w:w="4714" w:type="dxa"/>
            <w:tcBorders>
              <w:right w:val="single" w:sz="6" w:space="0" w:color="auto"/>
            </w:tcBorders>
            <w:tcMar>
              <w:left w:w="90" w:type="dxa"/>
              <w:right w:w="90" w:type="dxa"/>
            </w:tcMar>
            <w:vAlign w:val="center"/>
          </w:tcPr>
          <w:p w14:paraId="3865BF79" w14:textId="122895B5" w:rsidR="001D10F6" w:rsidRDefault="006052DB" w:rsidP="00633427">
            <w:pPr>
              <w:spacing w:line="360" w:lineRule="auto"/>
            </w:pPr>
            <w:r>
              <w:rPr>
                <w:lang w:val="en-GB"/>
              </w:rPr>
              <w:t xml:space="preserve">International Expansion Strategy Report </w:t>
            </w:r>
            <w:r>
              <w:rPr>
                <w:lang w:val="en-GB"/>
              </w:rPr>
              <w:br/>
            </w:r>
            <w:r w:rsidR="006D7003">
              <w:rPr>
                <w:lang w:val="en-GB"/>
              </w:rPr>
              <w:t xml:space="preserve">GSk’s Entry </w:t>
            </w:r>
            <w:r w:rsidR="006F2C26">
              <w:rPr>
                <w:lang w:val="en-GB"/>
              </w:rPr>
              <w:t>into</w:t>
            </w:r>
            <w:r w:rsidR="006D7003">
              <w:rPr>
                <w:lang w:val="en-GB"/>
              </w:rPr>
              <w:t xml:space="preserve"> India</w:t>
            </w:r>
          </w:p>
        </w:tc>
      </w:tr>
      <w:tr w:rsidR="001D10F6" w14:paraId="05ED3DD5" w14:textId="77777777" w:rsidTr="007A0106">
        <w:trPr>
          <w:trHeight w:val="954"/>
        </w:trPr>
        <w:tc>
          <w:tcPr>
            <w:tcW w:w="4714" w:type="dxa"/>
            <w:tcBorders>
              <w:left w:val="single" w:sz="6" w:space="0" w:color="auto"/>
            </w:tcBorders>
            <w:tcMar>
              <w:left w:w="90" w:type="dxa"/>
              <w:right w:w="90" w:type="dxa"/>
            </w:tcMar>
            <w:vAlign w:val="center"/>
          </w:tcPr>
          <w:p w14:paraId="75246ED2" w14:textId="77777777" w:rsidR="001D10F6" w:rsidRDefault="001D10F6" w:rsidP="00633427">
            <w:pPr>
              <w:spacing w:line="360" w:lineRule="auto"/>
            </w:pPr>
            <w:r w:rsidRPr="23A0FA6E">
              <w:rPr>
                <w:lang w:val="en-GB"/>
              </w:rPr>
              <w:t>Student Name</w:t>
            </w:r>
          </w:p>
        </w:tc>
        <w:tc>
          <w:tcPr>
            <w:tcW w:w="4714" w:type="dxa"/>
            <w:tcBorders>
              <w:right w:val="single" w:sz="6" w:space="0" w:color="auto"/>
            </w:tcBorders>
            <w:tcMar>
              <w:left w:w="90" w:type="dxa"/>
              <w:right w:w="90" w:type="dxa"/>
            </w:tcMar>
            <w:vAlign w:val="center"/>
          </w:tcPr>
          <w:p w14:paraId="11BC7550" w14:textId="77777777" w:rsidR="001D10F6" w:rsidRDefault="001D10F6" w:rsidP="00633427">
            <w:pPr>
              <w:spacing w:line="360" w:lineRule="auto"/>
            </w:pPr>
            <w:r w:rsidRPr="23A0FA6E">
              <w:rPr>
                <w:lang w:val="en-GB"/>
              </w:rPr>
              <w:t xml:space="preserve">Masum Patel Harishbhai </w:t>
            </w:r>
          </w:p>
        </w:tc>
      </w:tr>
      <w:tr w:rsidR="001D10F6" w14:paraId="2C2464A0" w14:textId="77777777" w:rsidTr="007A0106">
        <w:trPr>
          <w:trHeight w:val="954"/>
        </w:trPr>
        <w:tc>
          <w:tcPr>
            <w:tcW w:w="4714" w:type="dxa"/>
            <w:tcBorders>
              <w:left w:val="single" w:sz="6" w:space="0" w:color="auto"/>
            </w:tcBorders>
            <w:tcMar>
              <w:left w:w="90" w:type="dxa"/>
              <w:right w:w="90" w:type="dxa"/>
            </w:tcMar>
            <w:vAlign w:val="center"/>
          </w:tcPr>
          <w:p w14:paraId="7969B798" w14:textId="77777777" w:rsidR="001D10F6" w:rsidRDefault="001D10F6" w:rsidP="00633427">
            <w:pPr>
              <w:spacing w:line="360" w:lineRule="auto"/>
            </w:pPr>
            <w:r w:rsidRPr="23A0FA6E">
              <w:rPr>
                <w:lang w:val="en-GB"/>
              </w:rPr>
              <w:t>Student ID</w:t>
            </w:r>
          </w:p>
        </w:tc>
        <w:tc>
          <w:tcPr>
            <w:tcW w:w="4714" w:type="dxa"/>
            <w:tcBorders>
              <w:right w:val="single" w:sz="6" w:space="0" w:color="auto"/>
            </w:tcBorders>
            <w:tcMar>
              <w:left w:w="90" w:type="dxa"/>
              <w:right w:w="90" w:type="dxa"/>
            </w:tcMar>
            <w:vAlign w:val="center"/>
          </w:tcPr>
          <w:p w14:paraId="67B52A4B" w14:textId="77777777" w:rsidR="001D10F6" w:rsidRDefault="001D10F6" w:rsidP="00633427">
            <w:pPr>
              <w:spacing w:line="360" w:lineRule="auto"/>
            </w:pPr>
            <w:r w:rsidRPr="23A0FA6E">
              <w:rPr>
                <w:lang w:val="en-GB"/>
              </w:rPr>
              <w:t>2430264</w:t>
            </w:r>
          </w:p>
        </w:tc>
      </w:tr>
      <w:tr w:rsidR="001D10F6" w14:paraId="09866842" w14:textId="77777777" w:rsidTr="007A0106">
        <w:trPr>
          <w:trHeight w:val="954"/>
        </w:trPr>
        <w:tc>
          <w:tcPr>
            <w:tcW w:w="4714" w:type="dxa"/>
            <w:tcBorders>
              <w:left w:val="single" w:sz="6" w:space="0" w:color="auto"/>
            </w:tcBorders>
            <w:tcMar>
              <w:left w:w="90" w:type="dxa"/>
              <w:right w:w="90" w:type="dxa"/>
            </w:tcMar>
            <w:vAlign w:val="center"/>
          </w:tcPr>
          <w:p w14:paraId="0B351EC0" w14:textId="77777777" w:rsidR="001D10F6" w:rsidRDefault="001D10F6" w:rsidP="00633427">
            <w:pPr>
              <w:spacing w:line="360" w:lineRule="auto"/>
            </w:pPr>
            <w:r w:rsidRPr="23A0FA6E">
              <w:rPr>
                <w:lang w:val="en-GB"/>
              </w:rPr>
              <w:t>Lecturer</w:t>
            </w:r>
          </w:p>
        </w:tc>
        <w:tc>
          <w:tcPr>
            <w:tcW w:w="4714" w:type="dxa"/>
            <w:tcBorders>
              <w:right w:val="single" w:sz="6" w:space="0" w:color="auto"/>
            </w:tcBorders>
            <w:tcMar>
              <w:left w:w="90" w:type="dxa"/>
              <w:right w:w="90" w:type="dxa"/>
            </w:tcMar>
            <w:vAlign w:val="center"/>
          </w:tcPr>
          <w:p w14:paraId="0FE97050" w14:textId="68E3CE93" w:rsidR="001D10F6" w:rsidRDefault="007A0106" w:rsidP="00633427">
            <w:pPr>
              <w:spacing w:line="360" w:lineRule="auto"/>
            </w:pPr>
            <w:r>
              <w:rPr>
                <w:lang w:val="en-GB"/>
              </w:rPr>
              <w:t>Jean Wang</w:t>
            </w:r>
          </w:p>
        </w:tc>
      </w:tr>
      <w:tr w:rsidR="001D10F6" w14:paraId="5EAB332E" w14:textId="77777777" w:rsidTr="007A0106">
        <w:trPr>
          <w:trHeight w:val="954"/>
        </w:trPr>
        <w:tc>
          <w:tcPr>
            <w:tcW w:w="4714" w:type="dxa"/>
            <w:tcBorders>
              <w:left w:val="single" w:sz="6" w:space="0" w:color="auto"/>
            </w:tcBorders>
            <w:tcMar>
              <w:left w:w="90" w:type="dxa"/>
              <w:right w:w="90" w:type="dxa"/>
            </w:tcMar>
            <w:vAlign w:val="center"/>
          </w:tcPr>
          <w:p w14:paraId="045A727D" w14:textId="77777777" w:rsidR="001D10F6" w:rsidRDefault="001D10F6" w:rsidP="00633427">
            <w:pPr>
              <w:spacing w:line="360" w:lineRule="auto"/>
            </w:pPr>
            <w:r w:rsidRPr="23A0FA6E">
              <w:rPr>
                <w:lang w:val="en-GB"/>
              </w:rPr>
              <w:t>Date of Submission</w:t>
            </w:r>
          </w:p>
        </w:tc>
        <w:tc>
          <w:tcPr>
            <w:tcW w:w="4714" w:type="dxa"/>
            <w:tcBorders>
              <w:right w:val="single" w:sz="6" w:space="0" w:color="auto"/>
            </w:tcBorders>
            <w:tcMar>
              <w:left w:w="90" w:type="dxa"/>
              <w:right w:w="90" w:type="dxa"/>
            </w:tcMar>
            <w:vAlign w:val="center"/>
          </w:tcPr>
          <w:p w14:paraId="1CE6D5F7" w14:textId="520E6928" w:rsidR="001D10F6" w:rsidRDefault="007A0106" w:rsidP="00633427">
            <w:pPr>
              <w:spacing w:line="360" w:lineRule="auto"/>
            </w:pPr>
            <w:r>
              <w:rPr>
                <w:lang w:val="en-GB"/>
              </w:rPr>
              <w:t>15</w:t>
            </w:r>
            <w:r w:rsidR="001D10F6" w:rsidRPr="23A0FA6E">
              <w:rPr>
                <w:lang w:val="en-GB"/>
              </w:rPr>
              <w:t xml:space="preserve"> Aug 2025</w:t>
            </w:r>
          </w:p>
        </w:tc>
      </w:tr>
      <w:tr w:rsidR="007A0106" w14:paraId="2BCF1D60" w14:textId="77777777" w:rsidTr="007A0106">
        <w:trPr>
          <w:trHeight w:val="954"/>
        </w:trPr>
        <w:tc>
          <w:tcPr>
            <w:tcW w:w="4714" w:type="dxa"/>
            <w:tcBorders>
              <w:left w:val="single" w:sz="6" w:space="0" w:color="auto"/>
              <w:bottom w:val="single" w:sz="6" w:space="0" w:color="auto"/>
            </w:tcBorders>
            <w:tcMar>
              <w:left w:w="90" w:type="dxa"/>
              <w:right w:w="90" w:type="dxa"/>
            </w:tcMar>
            <w:vAlign w:val="center"/>
          </w:tcPr>
          <w:p w14:paraId="64089992" w14:textId="1077FE04" w:rsidR="007A0106" w:rsidRPr="23A0FA6E" w:rsidRDefault="00321D23" w:rsidP="00633427">
            <w:pPr>
              <w:spacing w:line="360" w:lineRule="auto"/>
              <w:rPr>
                <w:lang w:val="en-GB"/>
              </w:rPr>
            </w:pPr>
            <w:r>
              <w:rPr>
                <w:lang w:val="en-GB"/>
              </w:rPr>
              <w:t>Word Count</w:t>
            </w:r>
          </w:p>
        </w:tc>
        <w:tc>
          <w:tcPr>
            <w:tcW w:w="4714" w:type="dxa"/>
            <w:tcBorders>
              <w:bottom w:val="single" w:sz="6" w:space="0" w:color="auto"/>
              <w:right w:val="single" w:sz="6" w:space="0" w:color="auto"/>
            </w:tcBorders>
            <w:tcMar>
              <w:left w:w="90" w:type="dxa"/>
              <w:right w:w="90" w:type="dxa"/>
            </w:tcMar>
            <w:vAlign w:val="center"/>
          </w:tcPr>
          <w:p w14:paraId="38F861DD" w14:textId="1C0C3FE2" w:rsidR="007A0106" w:rsidRDefault="00321D23" w:rsidP="00633427">
            <w:pPr>
              <w:spacing w:line="360" w:lineRule="auto"/>
              <w:rPr>
                <w:lang w:val="en-GB"/>
              </w:rPr>
            </w:pPr>
            <w:r>
              <w:rPr>
                <w:lang w:val="en-GB"/>
              </w:rPr>
              <w:t>5003</w:t>
            </w:r>
          </w:p>
        </w:tc>
      </w:tr>
    </w:tbl>
    <w:p w14:paraId="31393D4F" w14:textId="25A9D766" w:rsidR="00570671" w:rsidRPr="008E2414" w:rsidRDefault="00D51B2C" w:rsidP="001D10F6">
      <w:pPr>
        <w:spacing w:line="360" w:lineRule="auto"/>
        <w:rPr>
          <w:b/>
          <w:bCs/>
          <w:sz w:val="32"/>
          <w:szCs w:val="24"/>
        </w:rPr>
      </w:pPr>
      <w:r>
        <w:rPr>
          <w:b/>
          <w:bCs/>
          <w:sz w:val="24"/>
          <w:szCs w:val="24"/>
        </w:rPr>
        <w:br w:type="page"/>
      </w:r>
    </w:p>
    <w:sdt>
      <w:sdtPr>
        <w:rPr>
          <w:rFonts w:ascii="Arial" w:eastAsia="Arial" w:hAnsi="Arial" w:cs="Arial"/>
          <w:b w:val="0"/>
          <w:bCs w:val="0"/>
          <w:color w:val="auto"/>
          <w:sz w:val="22"/>
          <w:szCs w:val="22"/>
        </w:rPr>
        <w:id w:val="511430954"/>
        <w:docPartObj>
          <w:docPartGallery w:val="Table of Contents"/>
          <w:docPartUnique/>
        </w:docPartObj>
      </w:sdtPr>
      <w:sdtContent>
        <w:p w14:paraId="7BF1CF6B" w14:textId="77777777" w:rsidR="00570671" w:rsidRPr="008E2414" w:rsidRDefault="00570671" w:rsidP="008E2414">
          <w:pPr>
            <w:pStyle w:val="TOCHeading"/>
            <w:spacing w:before="0"/>
            <w:jc w:val="center"/>
            <w:rPr>
              <w:rFonts w:ascii="Arial" w:hAnsi="Arial" w:cs="Arial"/>
              <w:color w:val="auto"/>
              <w:sz w:val="24"/>
              <w:szCs w:val="24"/>
            </w:rPr>
          </w:pPr>
          <w:r w:rsidRPr="008E2414">
            <w:rPr>
              <w:rFonts w:ascii="Arial" w:hAnsi="Arial" w:cs="Arial"/>
              <w:color w:val="auto"/>
              <w:sz w:val="24"/>
              <w:szCs w:val="24"/>
            </w:rPr>
            <w:t>Table of Contents</w:t>
          </w:r>
        </w:p>
        <w:p w14:paraId="111F5779" w14:textId="0D5F29EF" w:rsidR="00D83EA2" w:rsidRDefault="00570671">
          <w:pPr>
            <w:pStyle w:val="TOC1"/>
            <w:tabs>
              <w:tab w:val="right" w:leader="dot" w:pos="9019"/>
            </w:tabs>
            <w:rPr>
              <w:rFonts w:asciiTheme="minorHAnsi" w:eastAsiaTheme="minorEastAsia" w:hAnsiTheme="minorHAnsi" w:cstheme="minorBidi"/>
              <w:noProof/>
              <w:kern w:val="2"/>
              <w:sz w:val="24"/>
              <w:szCs w:val="24"/>
              <w14:ligatures w14:val="standardContextual"/>
            </w:rPr>
          </w:pPr>
          <w:r w:rsidRPr="008E2414">
            <w:rPr>
              <w:sz w:val="24"/>
              <w:szCs w:val="24"/>
            </w:rPr>
            <w:fldChar w:fldCharType="begin"/>
          </w:r>
          <w:r w:rsidRPr="008E2414">
            <w:rPr>
              <w:sz w:val="24"/>
              <w:szCs w:val="24"/>
            </w:rPr>
            <w:instrText xml:space="preserve"> TOC \o "1-3" \h \z \u </w:instrText>
          </w:r>
          <w:r w:rsidRPr="008E2414">
            <w:rPr>
              <w:sz w:val="24"/>
              <w:szCs w:val="24"/>
            </w:rPr>
            <w:fldChar w:fldCharType="separate"/>
          </w:r>
          <w:hyperlink w:anchor="_Toc216689665" w:history="1">
            <w:r w:rsidR="00D83EA2" w:rsidRPr="00157F76">
              <w:rPr>
                <w:rStyle w:val="Hyperlink"/>
                <w:noProof/>
              </w:rPr>
              <w:t>1: Introduction</w:t>
            </w:r>
            <w:r w:rsidR="00D83EA2">
              <w:rPr>
                <w:noProof/>
                <w:webHidden/>
              </w:rPr>
              <w:tab/>
            </w:r>
            <w:r w:rsidR="00D83EA2">
              <w:rPr>
                <w:noProof/>
                <w:webHidden/>
              </w:rPr>
              <w:fldChar w:fldCharType="begin"/>
            </w:r>
            <w:r w:rsidR="00D83EA2">
              <w:rPr>
                <w:noProof/>
                <w:webHidden/>
              </w:rPr>
              <w:instrText xml:space="preserve"> PAGEREF _Toc216689665 \h </w:instrText>
            </w:r>
            <w:r w:rsidR="00D83EA2">
              <w:rPr>
                <w:noProof/>
                <w:webHidden/>
              </w:rPr>
            </w:r>
            <w:r w:rsidR="00D83EA2">
              <w:rPr>
                <w:noProof/>
                <w:webHidden/>
              </w:rPr>
              <w:fldChar w:fldCharType="separate"/>
            </w:r>
            <w:r w:rsidR="00D83EA2">
              <w:rPr>
                <w:noProof/>
                <w:webHidden/>
              </w:rPr>
              <w:t>3</w:t>
            </w:r>
            <w:r w:rsidR="00D83EA2">
              <w:rPr>
                <w:noProof/>
                <w:webHidden/>
              </w:rPr>
              <w:fldChar w:fldCharType="end"/>
            </w:r>
          </w:hyperlink>
        </w:p>
        <w:p w14:paraId="7A6B7A18" w14:textId="069A48AB"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66" w:history="1">
            <w:r w:rsidRPr="00157F76">
              <w:rPr>
                <w:rStyle w:val="Hyperlink"/>
                <w:noProof/>
              </w:rPr>
              <w:t>2: GSK’S International Operations and Benefits</w:t>
            </w:r>
            <w:r>
              <w:rPr>
                <w:noProof/>
                <w:webHidden/>
              </w:rPr>
              <w:tab/>
            </w:r>
            <w:r>
              <w:rPr>
                <w:noProof/>
                <w:webHidden/>
              </w:rPr>
              <w:fldChar w:fldCharType="begin"/>
            </w:r>
            <w:r>
              <w:rPr>
                <w:noProof/>
                <w:webHidden/>
              </w:rPr>
              <w:instrText xml:space="preserve"> PAGEREF _Toc216689666 \h </w:instrText>
            </w:r>
            <w:r>
              <w:rPr>
                <w:noProof/>
                <w:webHidden/>
              </w:rPr>
            </w:r>
            <w:r>
              <w:rPr>
                <w:noProof/>
                <w:webHidden/>
              </w:rPr>
              <w:fldChar w:fldCharType="separate"/>
            </w:r>
            <w:r>
              <w:rPr>
                <w:noProof/>
                <w:webHidden/>
              </w:rPr>
              <w:t>4</w:t>
            </w:r>
            <w:r>
              <w:rPr>
                <w:noProof/>
                <w:webHidden/>
              </w:rPr>
              <w:fldChar w:fldCharType="end"/>
            </w:r>
          </w:hyperlink>
        </w:p>
        <w:p w14:paraId="0837F351" w14:textId="74A70588"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67" w:history="1">
            <w:r w:rsidRPr="00157F76">
              <w:rPr>
                <w:rStyle w:val="Hyperlink"/>
                <w:noProof/>
              </w:rPr>
              <w:t>2.1. Designation as a TNC</w:t>
            </w:r>
            <w:r>
              <w:rPr>
                <w:noProof/>
                <w:webHidden/>
              </w:rPr>
              <w:tab/>
            </w:r>
            <w:r>
              <w:rPr>
                <w:noProof/>
                <w:webHidden/>
              </w:rPr>
              <w:fldChar w:fldCharType="begin"/>
            </w:r>
            <w:r>
              <w:rPr>
                <w:noProof/>
                <w:webHidden/>
              </w:rPr>
              <w:instrText xml:space="preserve"> PAGEREF _Toc216689667 \h </w:instrText>
            </w:r>
            <w:r>
              <w:rPr>
                <w:noProof/>
                <w:webHidden/>
              </w:rPr>
            </w:r>
            <w:r>
              <w:rPr>
                <w:noProof/>
                <w:webHidden/>
              </w:rPr>
              <w:fldChar w:fldCharType="separate"/>
            </w:r>
            <w:r>
              <w:rPr>
                <w:noProof/>
                <w:webHidden/>
              </w:rPr>
              <w:t>4</w:t>
            </w:r>
            <w:r>
              <w:rPr>
                <w:noProof/>
                <w:webHidden/>
              </w:rPr>
              <w:fldChar w:fldCharType="end"/>
            </w:r>
          </w:hyperlink>
        </w:p>
        <w:p w14:paraId="657E22FF" w14:textId="079BC92B"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68" w:history="1">
            <w:r w:rsidRPr="00157F76">
              <w:rPr>
                <w:rStyle w:val="Hyperlink"/>
                <w:noProof/>
              </w:rPr>
              <w:t>2.2. Nature of Global Operations and Value Chain</w:t>
            </w:r>
            <w:r>
              <w:rPr>
                <w:noProof/>
                <w:webHidden/>
              </w:rPr>
              <w:tab/>
            </w:r>
            <w:r>
              <w:rPr>
                <w:noProof/>
                <w:webHidden/>
              </w:rPr>
              <w:fldChar w:fldCharType="begin"/>
            </w:r>
            <w:r>
              <w:rPr>
                <w:noProof/>
                <w:webHidden/>
              </w:rPr>
              <w:instrText xml:space="preserve"> PAGEREF _Toc216689668 \h </w:instrText>
            </w:r>
            <w:r>
              <w:rPr>
                <w:noProof/>
                <w:webHidden/>
              </w:rPr>
            </w:r>
            <w:r>
              <w:rPr>
                <w:noProof/>
                <w:webHidden/>
              </w:rPr>
              <w:fldChar w:fldCharType="separate"/>
            </w:r>
            <w:r>
              <w:rPr>
                <w:noProof/>
                <w:webHidden/>
              </w:rPr>
              <w:t>5</w:t>
            </w:r>
            <w:r>
              <w:rPr>
                <w:noProof/>
                <w:webHidden/>
              </w:rPr>
              <w:fldChar w:fldCharType="end"/>
            </w:r>
          </w:hyperlink>
        </w:p>
        <w:p w14:paraId="33116FCC" w14:textId="3E2A1C62"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69" w:history="1">
            <w:r w:rsidRPr="00157F76">
              <w:rPr>
                <w:rStyle w:val="Hyperlink"/>
                <w:noProof/>
                <w:lang w:val="en-GB"/>
              </w:rPr>
              <w:t>2.3 Key benefits of GSK from international operations</w:t>
            </w:r>
            <w:r>
              <w:rPr>
                <w:noProof/>
                <w:webHidden/>
              </w:rPr>
              <w:tab/>
            </w:r>
            <w:r>
              <w:rPr>
                <w:noProof/>
                <w:webHidden/>
              </w:rPr>
              <w:fldChar w:fldCharType="begin"/>
            </w:r>
            <w:r>
              <w:rPr>
                <w:noProof/>
                <w:webHidden/>
              </w:rPr>
              <w:instrText xml:space="preserve"> PAGEREF _Toc216689669 \h </w:instrText>
            </w:r>
            <w:r>
              <w:rPr>
                <w:noProof/>
                <w:webHidden/>
              </w:rPr>
            </w:r>
            <w:r>
              <w:rPr>
                <w:noProof/>
                <w:webHidden/>
              </w:rPr>
              <w:fldChar w:fldCharType="separate"/>
            </w:r>
            <w:r>
              <w:rPr>
                <w:noProof/>
                <w:webHidden/>
              </w:rPr>
              <w:t>7</w:t>
            </w:r>
            <w:r>
              <w:rPr>
                <w:noProof/>
                <w:webHidden/>
              </w:rPr>
              <w:fldChar w:fldCharType="end"/>
            </w:r>
          </w:hyperlink>
        </w:p>
        <w:p w14:paraId="3EFAB2CF" w14:textId="50C6A909"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70" w:history="1">
            <w:r w:rsidRPr="00157F76">
              <w:rPr>
                <w:rStyle w:val="Hyperlink"/>
                <w:noProof/>
                <w:lang w:val="en-GB"/>
              </w:rPr>
              <w:t>3. GSK’s Entry Modes</w:t>
            </w:r>
            <w:r>
              <w:rPr>
                <w:noProof/>
                <w:webHidden/>
              </w:rPr>
              <w:tab/>
            </w:r>
            <w:r>
              <w:rPr>
                <w:noProof/>
                <w:webHidden/>
              </w:rPr>
              <w:fldChar w:fldCharType="begin"/>
            </w:r>
            <w:r>
              <w:rPr>
                <w:noProof/>
                <w:webHidden/>
              </w:rPr>
              <w:instrText xml:space="preserve"> PAGEREF _Toc216689670 \h </w:instrText>
            </w:r>
            <w:r>
              <w:rPr>
                <w:noProof/>
                <w:webHidden/>
              </w:rPr>
            </w:r>
            <w:r>
              <w:rPr>
                <w:noProof/>
                <w:webHidden/>
              </w:rPr>
              <w:fldChar w:fldCharType="separate"/>
            </w:r>
            <w:r>
              <w:rPr>
                <w:noProof/>
                <w:webHidden/>
              </w:rPr>
              <w:t>9</w:t>
            </w:r>
            <w:r>
              <w:rPr>
                <w:noProof/>
                <w:webHidden/>
              </w:rPr>
              <w:fldChar w:fldCharType="end"/>
            </w:r>
          </w:hyperlink>
        </w:p>
        <w:p w14:paraId="32AA96E7" w14:textId="3C4590E8"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1" w:history="1">
            <w:r w:rsidRPr="00157F76">
              <w:rPr>
                <w:rStyle w:val="Hyperlink"/>
                <w:noProof/>
                <w:lang w:val="en-GB"/>
              </w:rPr>
              <w:t>3.1 How GSK Enters International Market: Entry Mode Analysis</w:t>
            </w:r>
            <w:r>
              <w:rPr>
                <w:noProof/>
                <w:webHidden/>
              </w:rPr>
              <w:tab/>
            </w:r>
            <w:r>
              <w:rPr>
                <w:noProof/>
                <w:webHidden/>
              </w:rPr>
              <w:fldChar w:fldCharType="begin"/>
            </w:r>
            <w:r>
              <w:rPr>
                <w:noProof/>
                <w:webHidden/>
              </w:rPr>
              <w:instrText xml:space="preserve"> PAGEREF _Toc216689671 \h </w:instrText>
            </w:r>
            <w:r>
              <w:rPr>
                <w:noProof/>
                <w:webHidden/>
              </w:rPr>
            </w:r>
            <w:r>
              <w:rPr>
                <w:noProof/>
                <w:webHidden/>
              </w:rPr>
              <w:fldChar w:fldCharType="separate"/>
            </w:r>
            <w:r>
              <w:rPr>
                <w:noProof/>
                <w:webHidden/>
              </w:rPr>
              <w:t>9</w:t>
            </w:r>
            <w:r>
              <w:rPr>
                <w:noProof/>
                <w:webHidden/>
              </w:rPr>
              <w:fldChar w:fldCharType="end"/>
            </w:r>
          </w:hyperlink>
        </w:p>
        <w:p w14:paraId="556BDE61" w14:textId="2CA2D735"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2" w:history="1">
            <w:r w:rsidRPr="00157F76">
              <w:rPr>
                <w:rStyle w:val="Hyperlink"/>
                <w:noProof/>
                <w:lang w:val="en-GB"/>
              </w:rPr>
              <w:t>3.2 How GSK Entered in Indian Market – OLI Framework Analysis</w:t>
            </w:r>
            <w:r>
              <w:rPr>
                <w:noProof/>
                <w:webHidden/>
              </w:rPr>
              <w:tab/>
            </w:r>
            <w:r>
              <w:rPr>
                <w:noProof/>
                <w:webHidden/>
              </w:rPr>
              <w:fldChar w:fldCharType="begin"/>
            </w:r>
            <w:r>
              <w:rPr>
                <w:noProof/>
                <w:webHidden/>
              </w:rPr>
              <w:instrText xml:space="preserve"> PAGEREF _Toc216689672 \h </w:instrText>
            </w:r>
            <w:r>
              <w:rPr>
                <w:noProof/>
                <w:webHidden/>
              </w:rPr>
            </w:r>
            <w:r>
              <w:rPr>
                <w:noProof/>
                <w:webHidden/>
              </w:rPr>
              <w:fldChar w:fldCharType="separate"/>
            </w:r>
            <w:r>
              <w:rPr>
                <w:noProof/>
                <w:webHidden/>
              </w:rPr>
              <w:t>10</w:t>
            </w:r>
            <w:r>
              <w:rPr>
                <w:noProof/>
                <w:webHidden/>
              </w:rPr>
              <w:fldChar w:fldCharType="end"/>
            </w:r>
          </w:hyperlink>
        </w:p>
        <w:p w14:paraId="263F0D80" w14:textId="34FFBC45"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3" w:history="1">
            <w:r w:rsidRPr="00157F76">
              <w:rPr>
                <w:rStyle w:val="Hyperlink"/>
                <w:noProof/>
                <w:lang w:val="en-GB"/>
              </w:rPr>
              <w:t>3.2.1 Ownership Advantage</w:t>
            </w:r>
            <w:r>
              <w:rPr>
                <w:noProof/>
                <w:webHidden/>
              </w:rPr>
              <w:tab/>
            </w:r>
            <w:r>
              <w:rPr>
                <w:noProof/>
                <w:webHidden/>
              </w:rPr>
              <w:fldChar w:fldCharType="begin"/>
            </w:r>
            <w:r>
              <w:rPr>
                <w:noProof/>
                <w:webHidden/>
              </w:rPr>
              <w:instrText xml:space="preserve"> PAGEREF _Toc216689673 \h </w:instrText>
            </w:r>
            <w:r>
              <w:rPr>
                <w:noProof/>
                <w:webHidden/>
              </w:rPr>
            </w:r>
            <w:r>
              <w:rPr>
                <w:noProof/>
                <w:webHidden/>
              </w:rPr>
              <w:fldChar w:fldCharType="separate"/>
            </w:r>
            <w:r>
              <w:rPr>
                <w:noProof/>
                <w:webHidden/>
              </w:rPr>
              <w:t>10</w:t>
            </w:r>
            <w:r>
              <w:rPr>
                <w:noProof/>
                <w:webHidden/>
              </w:rPr>
              <w:fldChar w:fldCharType="end"/>
            </w:r>
          </w:hyperlink>
        </w:p>
        <w:p w14:paraId="5BF5AE4E" w14:textId="138913FD"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4" w:history="1">
            <w:r w:rsidRPr="00157F76">
              <w:rPr>
                <w:rStyle w:val="Hyperlink"/>
                <w:noProof/>
                <w:lang w:val="en-GB"/>
              </w:rPr>
              <w:t>3.2.2 Location Advantage</w:t>
            </w:r>
            <w:r>
              <w:rPr>
                <w:noProof/>
                <w:webHidden/>
              </w:rPr>
              <w:tab/>
            </w:r>
            <w:r>
              <w:rPr>
                <w:noProof/>
                <w:webHidden/>
              </w:rPr>
              <w:fldChar w:fldCharType="begin"/>
            </w:r>
            <w:r>
              <w:rPr>
                <w:noProof/>
                <w:webHidden/>
              </w:rPr>
              <w:instrText xml:space="preserve"> PAGEREF _Toc216689674 \h </w:instrText>
            </w:r>
            <w:r>
              <w:rPr>
                <w:noProof/>
                <w:webHidden/>
              </w:rPr>
            </w:r>
            <w:r>
              <w:rPr>
                <w:noProof/>
                <w:webHidden/>
              </w:rPr>
              <w:fldChar w:fldCharType="separate"/>
            </w:r>
            <w:r>
              <w:rPr>
                <w:noProof/>
                <w:webHidden/>
              </w:rPr>
              <w:t>11</w:t>
            </w:r>
            <w:r>
              <w:rPr>
                <w:noProof/>
                <w:webHidden/>
              </w:rPr>
              <w:fldChar w:fldCharType="end"/>
            </w:r>
          </w:hyperlink>
        </w:p>
        <w:p w14:paraId="7B2CD91F" w14:textId="38ACC208"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5" w:history="1">
            <w:r w:rsidRPr="00157F76">
              <w:rPr>
                <w:rStyle w:val="Hyperlink"/>
                <w:noProof/>
                <w:lang w:val="en-GB"/>
              </w:rPr>
              <w:t>3.2.3 Internalisation advantage</w:t>
            </w:r>
            <w:r>
              <w:rPr>
                <w:noProof/>
                <w:webHidden/>
              </w:rPr>
              <w:tab/>
            </w:r>
            <w:r>
              <w:rPr>
                <w:noProof/>
                <w:webHidden/>
              </w:rPr>
              <w:fldChar w:fldCharType="begin"/>
            </w:r>
            <w:r>
              <w:rPr>
                <w:noProof/>
                <w:webHidden/>
              </w:rPr>
              <w:instrText xml:space="preserve"> PAGEREF _Toc216689675 \h </w:instrText>
            </w:r>
            <w:r>
              <w:rPr>
                <w:noProof/>
                <w:webHidden/>
              </w:rPr>
            </w:r>
            <w:r>
              <w:rPr>
                <w:noProof/>
                <w:webHidden/>
              </w:rPr>
              <w:fldChar w:fldCharType="separate"/>
            </w:r>
            <w:r>
              <w:rPr>
                <w:noProof/>
                <w:webHidden/>
              </w:rPr>
              <w:t>12</w:t>
            </w:r>
            <w:r>
              <w:rPr>
                <w:noProof/>
                <w:webHidden/>
              </w:rPr>
              <w:fldChar w:fldCharType="end"/>
            </w:r>
          </w:hyperlink>
        </w:p>
        <w:p w14:paraId="029284F5" w14:textId="4C4C31AE"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76" w:history="1">
            <w:r w:rsidRPr="00157F76">
              <w:rPr>
                <w:rStyle w:val="Hyperlink"/>
                <w:noProof/>
              </w:rPr>
              <w:t>4: Critical Evaluation of Cultural Differences</w:t>
            </w:r>
            <w:r>
              <w:rPr>
                <w:noProof/>
                <w:webHidden/>
              </w:rPr>
              <w:tab/>
            </w:r>
            <w:r>
              <w:rPr>
                <w:noProof/>
                <w:webHidden/>
              </w:rPr>
              <w:fldChar w:fldCharType="begin"/>
            </w:r>
            <w:r>
              <w:rPr>
                <w:noProof/>
                <w:webHidden/>
              </w:rPr>
              <w:instrText xml:space="preserve"> PAGEREF _Toc216689676 \h </w:instrText>
            </w:r>
            <w:r>
              <w:rPr>
                <w:noProof/>
                <w:webHidden/>
              </w:rPr>
            </w:r>
            <w:r>
              <w:rPr>
                <w:noProof/>
                <w:webHidden/>
              </w:rPr>
              <w:fldChar w:fldCharType="separate"/>
            </w:r>
            <w:r>
              <w:rPr>
                <w:noProof/>
                <w:webHidden/>
              </w:rPr>
              <w:t>14</w:t>
            </w:r>
            <w:r>
              <w:rPr>
                <w:noProof/>
                <w:webHidden/>
              </w:rPr>
              <w:fldChar w:fldCharType="end"/>
            </w:r>
          </w:hyperlink>
        </w:p>
        <w:p w14:paraId="4A0366DF" w14:textId="7900F821"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7" w:history="1">
            <w:r w:rsidRPr="00157F76">
              <w:rPr>
                <w:rStyle w:val="Hyperlink"/>
                <w:noProof/>
              </w:rPr>
              <w:t>4.1 Cultural profile comparison</w:t>
            </w:r>
            <w:r>
              <w:rPr>
                <w:noProof/>
                <w:webHidden/>
              </w:rPr>
              <w:tab/>
            </w:r>
            <w:r>
              <w:rPr>
                <w:noProof/>
                <w:webHidden/>
              </w:rPr>
              <w:fldChar w:fldCharType="begin"/>
            </w:r>
            <w:r>
              <w:rPr>
                <w:noProof/>
                <w:webHidden/>
              </w:rPr>
              <w:instrText xml:space="preserve"> PAGEREF _Toc216689677 \h </w:instrText>
            </w:r>
            <w:r>
              <w:rPr>
                <w:noProof/>
                <w:webHidden/>
              </w:rPr>
            </w:r>
            <w:r>
              <w:rPr>
                <w:noProof/>
                <w:webHidden/>
              </w:rPr>
              <w:fldChar w:fldCharType="separate"/>
            </w:r>
            <w:r>
              <w:rPr>
                <w:noProof/>
                <w:webHidden/>
              </w:rPr>
              <w:t>14</w:t>
            </w:r>
            <w:r>
              <w:rPr>
                <w:noProof/>
                <w:webHidden/>
              </w:rPr>
              <w:fldChar w:fldCharType="end"/>
            </w:r>
          </w:hyperlink>
        </w:p>
        <w:p w14:paraId="7F8E57DF" w14:textId="5A855560"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8" w:history="1">
            <w:r w:rsidRPr="00157F76">
              <w:rPr>
                <w:rStyle w:val="Hyperlink"/>
                <w:noProof/>
              </w:rPr>
              <w:t>4.2 Impact on market entry strategy</w:t>
            </w:r>
            <w:r>
              <w:rPr>
                <w:noProof/>
                <w:webHidden/>
              </w:rPr>
              <w:tab/>
            </w:r>
            <w:r>
              <w:rPr>
                <w:noProof/>
                <w:webHidden/>
              </w:rPr>
              <w:fldChar w:fldCharType="begin"/>
            </w:r>
            <w:r>
              <w:rPr>
                <w:noProof/>
                <w:webHidden/>
              </w:rPr>
              <w:instrText xml:space="preserve"> PAGEREF _Toc216689678 \h </w:instrText>
            </w:r>
            <w:r>
              <w:rPr>
                <w:noProof/>
                <w:webHidden/>
              </w:rPr>
            </w:r>
            <w:r>
              <w:rPr>
                <w:noProof/>
                <w:webHidden/>
              </w:rPr>
              <w:fldChar w:fldCharType="separate"/>
            </w:r>
            <w:r>
              <w:rPr>
                <w:noProof/>
                <w:webHidden/>
              </w:rPr>
              <w:t>16</w:t>
            </w:r>
            <w:r>
              <w:rPr>
                <w:noProof/>
                <w:webHidden/>
              </w:rPr>
              <w:fldChar w:fldCharType="end"/>
            </w:r>
          </w:hyperlink>
        </w:p>
        <w:p w14:paraId="12CDF535" w14:textId="6E515109"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79" w:history="1">
            <w:r w:rsidRPr="00157F76">
              <w:rPr>
                <w:rStyle w:val="Hyperlink"/>
                <w:noProof/>
              </w:rPr>
              <w:t>4.3 Impact on potential for success (post-entry)</w:t>
            </w:r>
            <w:r>
              <w:rPr>
                <w:noProof/>
                <w:webHidden/>
              </w:rPr>
              <w:tab/>
            </w:r>
            <w:r>
              <w:rPr>
                <w:noProof/>
                <w:webHidden/>
              </w:rPr>
              <w:fldChar w:fldCharType="begin"/>
            </w:r>
            <w:r>
              <w:rPr>
                <w:noProof/>
                <w:webHidden/>
              </w:rPr>
              <w:instrText xml:space="preserve"> PAGEREF _Toc216689679 \h </w:instrText>
            </w:r>
            <w:r>
              <w:rPr>
                <w:noProof/>
                <w:webHidden/>
              </w:rPr>
            </w:r>
            <w:r>
              <w:rPr>
                <w:noProof/>
                <w:webHidden/>
              </w:rPr>
              <w:fldChar w:fldCharType="separate"/>
            </w:r>
            <w:r>
              <w:rPr>
                <w:noProof/>
                <w:webHidden/>
              </w:rPr>
              <w:t>16</w:t>
            </w:r>
            <w:r>
              <w:rPr>
                <w:noProof/>
                <w:webHidden/>
              </w:rPr>
              <w:fldChar w:fldCharType="end"/>
            </w:r>
          </w:hyperlink>
        </w:p>
        <w:p w14:paraId="0244BB03" w14:textId="24005AD9"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80" w:history="1">
            <w:r w:rsidRPr="00157F76">
              <w:rPr>
                <w:rStyle w:val="Hyperlink"/>
                <w:noProof/>
              </w:rPr>
              <w:t>5: Recommended SOP adjustment for success</w:t>
            </w:r>
            <w:r>
              <w:rPr>
                <w:noProof/>
                <w:webHidden/>
              </w:rPr>
              <w:tab/>
            </w:r>
            <w:r>
              <w:rPr>
                <w:noProof/>
                <w:webHidden/>
              </w:rPr>
              <w:fldChar w:fldCharType="begin"/>
            </w:r>
            <w:r>
              <w:rPr>
                <w:noProof/>
                <w:webHidden/>
              </w:rPr>
              <w:instrText xml:space="preserve"> PAGEREF _Toc216689680 \h </w:instrText>
            </w:r>
            <w:r>
              <w:rPr>
                <w:noProof/>
                <w:webHidden/>
              </w:rPr>
            </w:r>
            <w:r>
              <w:rPr>
                <w:noProof/>
                <w:webHidden/>
              </w:rPr>
              <w:fldChar w:fldCharType="separate"/>
            </w:r>
            <w:r>
              <w:rPr>
                <w:noProof/>
                <w:webHidden/>
              </w:rPr>
              <w:t>18</w:t>
            </w:r>
            <w:r>
              <w:rPr>
                <w:noProof/>
                <w:webHidden/>
              </w:rPr>
              <w:fldChar w:fldCharType="end"/>
            </w:r>
          </w:hyperlink>
        </w:p>
        <w:p w14:paraId="21C723E1" w14:textId="62EF8C6C"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81" w:history="1">
            <w:r w:rsidRPr="00157F76">
              <w:rPr>
                <w:rStyle w:val="Hyperlink"/>
                <w:noProof/>
              </w:rPr>
              <w:t>5.1 Rationale and context</w:t>
            </w:r>
            <w:r>
              <w:rPr>
                <w:noProof/>
                <w:webHidden/>
              </w:rPr>
              <w:tab/>
            </w:r>
            <w:r>
              <w:rPr>
                <w:noProof/>
                <w:webHidden/>
              </w:rPr>
              <w:fldChar w:fldCharType="begin"/>
            </w:r>
            <w:r>
              <w:rPr>
                <w:noProof/>
                <w:webHidden/>
              </w:rPr>
              <w:instrText xml:space="preserve"> PAGEREF _Toc216689681 \h </w:instrText>
            </w:r>
            <w:r>
              <w:rPr>
                <w:noProof/>
                <w:webHidden/>
              </w:rPr>
            </w:r>
            <w:r>
              <w:rPr>
                <w:noProof/>
                <w:webHidden/>
              </w:rPr>
              <w:fldChar w:fldCharType="separate"/>
            </w:r>
            <w:r>
              <w:rPr>
                <w:noProof/>
                <w:webHidden/>
              </w:rPr>
              <w:t>18</w:t>
            </w:r>
            <w:r>
              <w:rPr>
                <w:noProof/>
                <w:webHidden/>
              </w:rPr>
              <w:fldChar w:fldCharType="end"/>
            </w:r>
          </w:hyperlink>
        </w:p>
        <w:p w14:paraId="6FB834A5" w14:textId="43739845"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82" w:history="1">
            <w:r w:rsidRPr="00157F76">
              <w:rPr>
                <w:rStyle w:val="Hyperlink"/>
                <w:noProof/>
              </w:rPr>
              <w:t>5.2 Recommended adjustment 1: Ethical Marketing and HCP engagement</w:t>
            </w:r>
            <w:r>
              <w:rPr>
                <w:noProof/>
                <w:webHidden/>
              </w:rPr>
              <w:tab/>
            </w:r>
            <w:r>
              <w:rPr>
                <w:noProof/>
                <w:webHidden/>
              </w:rPr>
              <w:fldChar w:fldCharType="begin"/>
            </w:r>
            <w:r>
              <w:rPr>
                <w:noProof/>
                <w:webHidden/>
              </w:rPr>
              <w:instrText xml:space="preserve"> PAGEREF _Toc216689682 \h </w:instrText>
            </w:r>
            <w:r>
              <w:rPr>
                <w:noProof/>
                <w:webHidden/>
              </w:rPr>
            </w:r>
            <w:r>
              <w:rPr>
                <w:noProof/>
                <w:webHidden/>
              </w:rPr>
              <w:fldChar w:fldCharType="separate"/>
            </w:r>
            <w:r>
              <w:rPr>
                <w:noProof/>
                <w:webHidden/>
              </w:rPr>
              <w:t>18</w:t>
            </w:r>
            <w:r>
              <w:rPr>
                <w:noProof/>
                <w:webHidden/>
              </w:rPr>
              <w:fldChar w:fldCharType="end"/>
            </w:r>
          </w:hyperlink>
        </w:p>
        <w:p w14:paraId="08C8A0D8" w14:textId="16C51454"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83" w:history="1">
            <w:r w:rsidRPr="00157F76">
              <w:rPr>
                <w:rStyle w:val="Hyperlink"/>
                <w:noProof/>
              </w:rPr>
              <w:t>5.3 Recommended adjustment 2: Focus on internal communication and performance management</w:t>
            </w:r>
            <w:r>
              <w:rPr>
                <w:noProof/>
                <w:webHidden/>
              </w:rPr>
              <w:tab/>
            </w:r>
            <w:r>
              <w:rPr>
                <w:noProof/>
                <w:webHidden/>
              </w:rPr>
              <w:fldChar w:fldCharType="begin"/>
            </w:r>
            <w:r>
              <w:rPr>
                <w:noProof/>
                <w:webHidden/>
              </w:rPr>
              <w:instrText xml:space="preserve"> PAGEREF _Toc216689683 \h </w:instrText>
            </w:r>
            <w:r>
              <w:rPr>
                <w:noProof/>
                <w:webHidden/>
              </w:rPr>
            </w:r>
            <w:r>
              <w:rPr>
                <w:noProof/>
                <w:webHidden/>
              </w:rPr>
              <w:fldChar w:fldCharType="separate"/>
            </w:r>
            <w:r>
              <w:rPr>
                <w:noProof/>
                <w:webHidden/>
              </w:rPr>
              <w:t>19</w:t>
            </w:r>
            <w:r>
              <w:rPr>
                <w:noProof/>
                <w:webHidden/>
              </w:rPr>
              <w:fldChar w:fldCharType="end"/>
            </w:r>
          </w:hyperlink>
        </w:p>
        <w:p w14:paraId="13CF3E89" w14:textId="0403550F" w:rsidR="00D83EA2" w:rsidRDefault="00D83EA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89684" w:history="1">
            <w:r w:rsidRPr="00157F76">
              <w:rPr>
                <w:rStyle w:val="Hyperlink"/>
                <w:noProof/>
              </w:rPr>
              <w:t>5.4 Recommended adjustment 3: Focus on supply chain integrity</w:t>
            </w:r>
            <w:r>
              <w:rPr>
                <w:noProof/>
                <w:webHidden/>
              </w:rPr>
              <w:tab/>
            </w:r>
            <w:r>
              <w:rPr>
                <w:noProof/>
                <w:webHidden/>
              </w:rPr>
              <w:fldChar w:fldCharType="begin"/>
            </w:r>
            <w:r>
              <w:rPr>
                <w:noProof/>
                <w:webHidden/>
              </w:rPr>
              <w:instrText xml:space="preserve"> PAGEREF _Toc216689684 \h </w:instrText>
            </w:r>
            <w:r>
              <w:rPr>
                <w:noProof/>
                <w:webHidden/>
              </w:rPr>
            </w:r>
            <w:r>
              <w:rPr>
                <w:noProof/>
                <w:webHidden/>
              </w:rPr>
              <w:fldChar w:fldCharType="separate"/>
            </w:r>
            <w:r>
              <w:rPr>
                <w:noProof/>
                <w:webHidden/>
              </w:rPr>
              <w:t>20</w:t>
            </w:r>
            <w:r>
              <w:rPr>
                <w:noProof/>
                <w:webHidden/>
              </w:rPr>
              <w:fldChar w:fldCharType="end"/>
            </w:r>
          </w:hyperlink>
        </w:p>
        <w:p w14:paraId="109ECCDD" w14:textId="2C1D3CF9"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85" w:history="1">
            <w:r w:rsidRPr="00157F76">
              <w:rPr>
                <w:rStyle w:val="Hyperlink"/>
                <w:noProof/>
              </w:rPr>
              <w:t>6: Conclusion</w:t>
            </w:r>
            <w:r>
              <w:rPr>
                <w:noProof/>
                <w:webHidden/>
              </w:rPr>
              <w:tab/>
            </w:r>
            <w:r>
              <w:rPr>
                <w:noProof/>
                <w:webHidden/>
              </w:rPr>
              <w:fldChar w:fldCharType="begin"/>
            </w:r>
            <w:r>
              <w:rPr>
                <w:noProof/>
                <w:webHidden/>
              </w:rPr>
              <w:instrText xml:space="preserve"> PAGEREF _Toc216689685 \h </w:instrText>
            </w:r>
            <w:r>
              <w:rPr>
                <w:noProof/>
                <w:webHidden/>
              </w:rPr>
            </w:r>
            <w:r>
              <w:rPr>
                <w:noProof/>
                <w:webHidden/>
              </w:rPr>
              <w:fldChar w:fldCharType="separate"/>
            </w:r>
            <w:r>
              <w:rPr>
                <w:noProof/>
                <w:webHidden/>
              </w:rPr>
              <w:t>22</w:t>
            </w:r>
            <w:r>
              <w:rPr>
                <w:noProof/>
                <w:webHidden/>
              </w:rPr>
              <w:fldChar w:fldCharType="end"/>
            </w:r>
          </w:hyperlink>
        </w:p>
        <w:p w14:paraId="3725EB84" w14:textId="694984BD" w:rsidR="00D83EA2" w:rsidRDefault="00D83EA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89686" w:history="1">
            <w:r w:rsidRPr="00157F76">
              <w:rPr>
                <w:rStyle w:val="Hyperlink"/>
                <w:noProof/>
              </w:rPr>
              <w:t>Reference List</w:t>
            </w:r>
            <w:r>
              <w:rPr>
                <w:noProof/>
                <w:webHidden/>
              </w:rPr>
              <w:tab/>
            </w:r>
            <w:r>
              <w:rPr>
                <w:noProof/>
                <w:webHidden/>
              </w:rPr>
              <w:fldChar w:fldCharType="begin"/>
            </w:r>
            <w:r>
              <w:rPr>
                <w:noProof/>
                <w:webHidden/>
              </w:rPr>
              <w:instrText xml:space="preserve"> PAGEREF _Toc216689686 \h </w:instrText>
            </w:r>
            <w:r>
              <w:rPr>
                <w:noProof/>
                <w:webHidden/>
              </w:rPr>
            </w:r>
            <w:r>
              <w:rPr>
                <w:noProof/>
                <w:webHidden/>
              </w:rPr>
              <w:fldChar w:fldCharType="separate"/>
            </w:r>
            <w:r>
              <w:rPr>
                <w:noProof/>
                <w:webHidden/>
              </w:rPr>
              <w:t>23</w:t>
            </w:r>
            <w:r>
              <w:rPr>
                <w:noProof/>
                <w:webHidden/>
              </w:rPr>
              <w:fldChar w:fldCharType="end"/>
            </w:r>
          </w:hyperlink>
        </w:p>
        <w:p w14:paraId="6292E93D" w14:textId="44C8E764" w:rsidR="00570671" w:rsidRDefault="00570671" w:rsidP="008E2414">
          <w:pPr>
            <w:spacing w:line="360" w:lineRule="auto"/>
          </w:pPr>
          <w:r w:rsidRPr="008E2414">
            <w:rPr>
              <w:sz w:val="24"/>
              <w:szCs w:val="24"/>
            </w:rPr>
            <w:fldChar w:fldCharType="end"/>
          </w:r>
        </w:p>
      </w:sdtContent>
    </w:sdt>
    <w:p w14:paraId="390AAE17" w14:textId="77777777" w:rsidR="003A71D2" w:rsidRDefault="003A71D2" w:rsidP="008E2414">
      <w:pPr>
        <w:spacing w:line="360" w:lineRule="auto"/>
        <w:rPr>
          <w:b/>
          <w:bCs/>
          <w:sz w:val="24"/>
          <w:szCs w:val="24"/>
        </w:rPr>
      </w:pPr>
      <w:r>
        <w:rPr>
          <w:b/>
          <w:bCs/>
          <w:sz w:val="24"/>
          <w:szCs w:val="24"/>
        </w:rPr>
        <w:br w:type="page"/>
      </w:r>
    </w:p>
    <w:p w14:paraId="69C57588" w14:textId="07BFEB60" w:rsidR="003F7257" w:rsidRDefault="00F223B5" w:rsidP="008E2414">
      <w:pPr>
        <w:pStyle w:val="Heading1"/>
        <w:spacing w:before="0" w:after="0"/>
        <w:rPr>
          <w:vertAlign w:val="superscript"/>
        </w:rPr>
      </w:pPr>
      <w:bookmarkStart w:id="0" w:name="_Toc216689665"/>
      <w:r>
        <w:lastRenderedPageBreak/>
        <w:t>1: Introduction</w:t>
      </w:r>
      <w:bookmarkEnd w:id="0"/>
      <w:r>
        <w:t xml:space="preserve"> </w:t>
      </w:r>
    </w:p>
    <w:p w14:paraId="573ABFB1" w14:textId="7C2782E5" w:rsidR="003F7257" w:rsidRDefault="00F223B5" w:rsidP="008E2414">
      <w:pPr>
        <w:pStyle w:val="Normal1"/>
        <w:spacing w:line="360" w:lineRule="auto"/>
        <w:jc w:val="both"/>
        <w:rPr>
          <w:sz w:val="24"/>
          <w:szCs w:val="24"/>
        </w:rPr>
      </w:pPr>
      <w:r>
        <w:rPr>
          <w:sz w:val="24"/>
          <w:szCs w:val="24"/>
        </w:rPr>
        <w:t>GlaxoSmithKline Plc (GSK) is a renowned biopharmaceutical company, whose headquarters are in London but operates in 75 countries and specializes in medicines and vaccines for respiratory disease, HIV, and oncology, with a steady focus on R&amp;D and innovation (GSK, 2025). It is crucial for GSK to enter emerging markets to strengthen economic capabilitie</w:t>
      </w:r>
      <w:r w:rsidR="00FB0853">
        <w:rPr>
          <w:sz w:val="24"/>
          <w:szCs w:val="24"/>
        </w:rPr>
        <w:t>s</w:t>
      </w:r>
      <w:r>
        <w:rPr>
          <w:sz w:val="24"/>
          <w:szCs w:val="24"/>
        </w:rPr>
        <w:t xml:space="preserve"> and address the demand for special diseases. </w:t>
      </w:r>
    </w:p>
    <w:p w14:paraId="03D8C89D" w14:textId="77777777" w:rsidR="003F7257" w:rsidRDefault="00F223B5" w:rsidP="008E2414">
      <w:pPr>
        <w:pStyle w:val="Normal1"/>
        <w:spacing w:line="360" w:lineRule="auto"/>
        <w:jc w:val="both"/>
        <w:rPr>
          <w:sz w:val="24"/>
          <w:szCs w:val="24"/>
        </w:rPr>
      </w:pPr>
      <w:r>
        <w:rPr>
          <w:sz w:val="24"/>
          <w:szCs w:val="24"/>
        </w:rPr>
        <w:t xml:space="preserve">This report focuses on GSK re-entering India, which, as an emerging economy (EE), presents a unique opportunity as the fourth-largest economy in the world and projected to achieve $7.3 trillion GDP by 2030 (PIB.GOV, 2025). </w:t>
      </w:r>
    </w:p>
    <w:p w14:paraId="2E94E450" w14:textId="77777777" w:rsidR="003F7257" w:rsidRDefault="00F223B5" w:rsidP="008E2414">
      <w:pPr>
        <w:pStyle w:val="Normal1"/>
        <w:spacing w:line="360" w:lineRule="auto"/>
        <w:jc w:val="center"/>
        <w:rPr>
          <w:sz w:val="24"/>
          <w:szCs w:val="24"/>
        </w:rPr>
      </w:pPr>
      <w:r>
        <w:rPr>
          <w:noProof/>
          <w:sz w:val="24"/>
          <w:szCs w:val="24"/>
          <w:lang w:val="en-IN" w:eastAsia="en-IN"/>
        </w:rPr>
        <w:drawing>
          <wp:inline distT="114300" distB="114300" distL="114300" distR="114300" wp14:anchorId="7B283B66" wp14:editId="107267F3">
            <wp:extent cx="4343400" cy="3771900"/>
            <wp:effectExtent l="76200" t="76200" r="114300" b="1143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cstate="print"/>
                    <a:stretch>
                      <a:fillRect/>
                    </a:stretch>
                  </pic:blipFill>
                  <pic:spPr>
                    <a:xfrm>
                      <a:off x="0" y="0"/>
                      <a:ext cx="4343400" cy="3771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078A29" w14:textId="77777777" w:rsidR="003F7257" w:rsidRDefault="00F223B5" w:rsidP="008E2414">
      <w:pPr>
        <w:pStyle w:val="Normal1"/>
        <w:spacing w:line="360" w:lineRule="auto"/>
        <w:jc w:val="center"/>
        <w:rPr>
          <w:b/>
          <w:bCs/>
          <w:sz w:val="24"/>
          <w:szCs w:val="24"/>
        </w:rPr>
      </w:pPr>
      <w:r>
        <w:rPr>
          <w:b/>
          <w:bCs/>
          <w:sz w:val="24"/>
          <w:szCs w:val="24"/>
        </w:rPr>
        <w:t>Figure 1: GDP growth of India compared to other nations</w:t>
      </w:r>
    </w:p>
    <w:p w14:paraId="336F45DD" w14:textId="77777777" w:rsidR="008572CD" w:rsidRDefault="008572CD" w:rsidP="008E2414">
      <w:pPr>
        <w:pStyle w:val="Normal1"/>
        <w:spacing w:line="360" w:lineRule="auto"/>
        <w:jc w:val="center"/>
        <w:rPr>
          <w:sz w:val="24"/>
          <w:szCs w:val="24"/>
        </w:rPr>
      </w:pPr>
    </w:p>
    <w:p w14:paraId="394C0A1B" w14:textId="03E2EB73" w:rsidR="003F7257" w:rsidRDefault="00F223B5" w:rsidP="008E2414">
      <w:pPr>
        <w:pStyle w:val="Normal1"/>
        <w:spacing w:line="360" w:lineRule="auto"/>
        <w:jc w:val="center"/>
        <w:rPr>
          <w:sz w:val="24"/>
          <w:szCs w:val="24"/>
        </w:rPr>
      </w:pPr>
      <w:r>
        <w:rPr>
          <w:sz w:val="24"/>
          <w:szCs w:val="24"/>
        </w:rPr>
        <w:t>(Source: PIB.GOV, 2025)</w:t>
      </w:r>
    </w:p>
    <w:p w14:paraId="352C8507" w14:textId="77777777" w:rsidR="003F7257" w:rsidRDefault="00F223B5" w:rsidP="008E2414">
      <w:pPr>
        <w:pStyle w:val="Normal1"/>
        <w:spacing w:line="360" w:lineRule="auto"/>
        <w:jc w:val="both"/>
        <w:rPr>
          <w:sz w:val="24"/>
          <w:szCs w:val="24"/>
        </w:rPr>
      </w:pPr>
      <w:r>
        <w:rPr>
          <w:sz w:val="24"/>
          <w:szCs w:val="24"/>
        </w:rPr>
        <w:t xml:space="preserve">This report aims to critically evaluate GSK's strategic objective to enter India with two innovative oncology therapy measures (Times of India, 2025). This report conducts value chain analysis for GSK, evaluates entry modes for foreign markets, analyzes OLI factors, differentiates between home and host markets, and recommends three adjustments that need to be made in the SOP of GSK to operate in India. </w:t>
      </w:r>
    </w:p>
    <w:p w14:paraId="07F82182" w14:textId="4D89F3B4" w:rsidR="003F7257" w:rsidRDefault="00F223B5" w:rsidP="008E2414">
      <w:pPr>
        <w:pStyle w:val="Heading1"/>
        <w:spacing w:before="0" w:after="0"/>
        <w:rPr>
          <w:vertAlign w:val="superscript"/>
        </w:rPr>
      </w:pPr>
      <w:bookmarkStart w:id="1" w:name="_Toc216689666"/>
      <w:r>
        <w:lastRenderedPageBreak/>
        <w:t xml:space="preserve">2: </w:t>
      </w:r>
      <w:r w:rsidR="00DA1326">
        <w:t xml:space="preserve">GSK’S </w:t>
      </w:r>
      <w:r>
        <w:t xml:space="preserve">International </w:t>
      </w:r>
      <w:r w:rsidRPr="00450EEC">
        <w:t>Operations</w:t>
      </w:r>
      <w:r w:rsidR="00DA1326">
        <w:t xml:space="preserve"> and Benefits</w:t>
      </w:r>
      <w:bookmarkEnd w:id="1"/>
    </w:p>
    <w:p w14:paraId="552A2209" w14:textId="77777777" w:rsidR="003F7257" w:rsidRDefault="00F223B5" w:rsidP="008E2414">
      <w:pPr>
        <w:pStyle w:val="Heading2"/>
        <w:spacing w:before="0" w:after="0"/>
        <w:rPr>
          <w:vertAlign w:val="superscript"/>
        </w:rPr>
      </w:pPr>
      <w:bookmarkStart w:id="2" w:name="_Toc216689667"/>
      <w:r>
        <w:t xml:space="preserve">2.1. Designation as a </w:t>
      </w:r>
      <w:r w:rsidRPr="00450EEC">
        <w:t>TNC</w:t>
      </w:r>
      <w:bookmarkEnd w:id="2"/>
      <w:r>
        <w:t xml:space="preserve"> </w:t>
      </w:r>
    </w:p>
    <w:p w14:paraId="4C689ABF" w14:textId="77777777" w:rsidR="003F7257" w:rsidRDefault="00F223B5" w:rsidP="008E2414">
      <w:pPr>
        <w:pStyle w:val="Normal1"/>
        <w:spacing w:line="360" w:lineRule="auto"/>
        <w:jc w:val="both"/>
        <w:rPr>
          <w:sz w:val="24"/>
          <w:szCs w:val="24"/>
        </w:rPr>
      </w:pPr>
      <w:r>
        <w:rPr>
          <w:sz w:val="24"/>
          <w:szCs w:val="24"/>
        </w:rPr>
        <w:t xml:space="preserve">Kristiansen and Schweizer (2022) defined "multinational corporations (MNCs)" that have "integrated headquarters" and offshore subsidiaries, but their activities are not strictly overseen by headquarters; they adopt managerial practices that are "lean" and "agile" in nature instead of focusing heavily on innovation. On the other hand, MODI (2024) contributed to the understanding of "transnational corporations (TNC)" developed by Bartlett and Ghosal, and identifies as a unique yet independent network that centralizes some of its resources and decentralizes others. In TNCs, expertise is scattered in different parts, and offshore subsidiaries function as critical junctions to operate in different markets with different product-customer ratios. Ietto-Gillies (2023) furthered this understanding of TNCs, which operate with distinctive hubs for innovation and manufacturing but harmonize these activities in proper synchronicity. </w:t>
      </w:r>
    </w:p>
    <w:p w14:paraId="6405654E" w14:textId="77777777" w:rsidR="003F7257" w:rsidRDefault="00F223B5" w:rsidP="008E2414">
      <w:pPr>
        <w:pStyle w:val="Normal1"/>
        <w:spacing w:line="360" w:lineRule="auto"/>
        <w:jc w:val="center"/>
        <w:rPr>
          <w:sz w:val="24"/>
          <w:szCs w:val="24"/>
        </w:rPr>
      </w:pPr>
      <w:r>
        <w:rPr>
          <w:noProof/>
          <w:sz w:val="24"/>
          <w:szCs w:val="24"/>
          <w:lang w:val="en-IN" w:eastAsia="en-IN"/>
        </w:rPr>
        <w:drawing>
          <wp:inline distT="114300" distB="114300" distL="114300" distR="114300" wp14:anchorId="0F44F129" wp14:editId="62E47C85">
            <wp:extent cx="5731200" cy="38862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3" cstate="print"/>
                    <a:stretch>
                      <a:fillRect/>
                    </a:stretch>
                  </pic:blipFill>
                  <pic:spPr>
                    <a:xfrm>
                      <a:off x="0" y="0"/>
                      <a:ext cx="5731200" cy="3886200"/>
                    </a:xfrm>
                    <a:prstGeom prst="rect">
                      <a:avLst/>
                    </a:prstGeom>
                    <a:ln w="25400">
                      <a:solidFill>
                        <a:srgbClr val="000000"/>
                      </a:solidFill>
                      <a:prstDash val="solid"/>
                    </a:ln>
                  </pic:spPr>
                </pic:pic>
              </a:graphicData>
            </a:graphic>
          </wp:inline>
        </w:drawing>
      </w:r>
    </w:p>
    <w:p w14:paraId="3E0C4BF6" w14:textId="77777777" w:rsidR="003F7257" w:rsidRDefault="00F223B5" w:rsidP="008E2414">
      <w:pPr>
        <w:pStyle w:val="Normal1"/>
        <w:spacing w:line="360" w:lineRule="auto"/>
        <w:jc w:val="center"/>
        <w:rPr>
          <w:b/>
          <w:bCs/>
          <w:sz w:val="24"/>
          <w:szCs w:val="24"/>
        </w:rPr>
      </w:pPr>
      <w:r>
        <w:rPr>
          <w:b/>
          <w:bCs/>
          <w:sz w:val="24"/>
          <w:szCs w:val="24"/>
        </w:rPr>
        <w:t>Figure 2: Centralized structure of MNC</w:t>
      </w:r>
    </w:p>
    <w:p w14:paraId="78CAE20C" w14:textId="77777777" w:rsidR="003F7257" w:rsidRDefault="00F223B5" w:rsidP="008E2414">
      <w:pPr>
        <w:pStyle w:val="Normal1"/>
        <w:spacing w:line="360" w:lineRule="auto"/>
        <w:jc w:val="center"/>
        <w:rPr>
          <w:sz w:val="24"/>
          <w:szCs w:val="24"/>
        </w:rPr>
      </w:pPr>
      <w:r>
        <w:rPr>
          <w:sz w:val="24"/>
          <w:szCs w:val="24"/>
        </w:rPr>
        <w:t>(Source: Kristiansen and Schweizer, 2022)</w:t>
      </w:r>
    </w:p>
    <w:p w14:paraId="1A4EE3B8" w14:textId="77777777" w:rsidR="003F7257" w:rsidRDefault="00F223B5" w:rsidP="008E2414">
      <w:pPr>
        <w:pStyle w:val="Normal1"/>
        <w:spacing w:line="360" w:lineRule="auto"/>
        <w:jc w:val="both"/>
        <w:rPr>
          <w:sz w:val="24"/>
          <w:szCs w:val="24"/>
        </w:rPr>
      </w:pPr>
      <w:r>
        <w:rPr>
          <w:sz w:val="24"/>
          <w:szCs w:val="24"/>
        </w:rPr>
        <w:t xml:space="preserve">As the definitions of MNC and TNC are tallied against the operational activities of GSK, it becomes evident that GSK operates as a TNC and does not bear similarities </w:t>
      </w:r>
      <w:r>
        <w:rPr>
          <w:sz w:val="24"/>
          <w:szCs w:val="24"/>
        </w:rPr>
        <w:lastRenderedPageBreak/>
        <w:t xml:space="preserve">with the centralized structure of an MNC. For instance, the R&amp;D hubs for GSK are mainly situated in the UK, USA, Belgium, Italy, and Spain (GSK, 2025). Although GSK's headquarters is in the UK, its product manufacturing, clinical trials, and vaccine development activities are not limited to the UK. </w:t>
      </w:r>
    </w:p>
    <w:p w14:paraId="5F82B8F9" w14:textId="77777777" w:rsidR="003F7257" w:rsidRDefault="00F223B5" w:rsidP="008E2414">
      <w:pPr>
        <w:pStyle w:val="Normal1"/>
        <w:spacing w:line="360" w:lineRule="auto"/>
        <w:jc w:val="center"/>
        <w:rPr>
          <w:sz w:val="24"/>
          <w:szCs w:val="24"/>
        </w:rPr>
      </w:pPr>
      <w:r>
        <w:rPr>
          <w:noProof/>
          <w:sz w:val="24"/>
          <w:szCs w:val="24"/>
          <w:lang w:val="en-IN" w:eastAsia="en-IN"/>
        </w:rPr>
        <w:drawing>
          <wp:inline distT="114300" distB="114300" distL="114300" distR="114300" wp14:anchorId="7289F738" wp14:editId="31DE17AE">
            <wp:extent cx="5731200" cy="14986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4" cstate="print"/>
                    <a:stretch>
                      <a:fillRect/>
                    </a:stretch>
                  </pic:blipFill>
                  <pic:spPr>
                    <a:xfrm>
                      <a:off x="0" y="0"/>
                      <a:ext cx="5731200" cy="1498600"/>
                    </a:xfrm>
                    <a:prstGeom prst="rect">
                      <a:avLst/>
                    </a:prstGeom>
                    <a:ln w="25400">
                      <a:solidFill>
                        <a:srgbClr val="000000"/>
                      </a:solidFill>
                      <a:prstDash val="solid"/>
                    </a:ln>
                  </pic:spPr>
                </pic:pic>
              </a:graphicData>
            </a:graphic>
          </wp:inline>
        </w:drawing>
      </w:r>
    </w:p>
    <w:p w14:paraId="34FF0BF6" w14:textId="77777777" w:rsidR="003F7257" w:rsidRDefault="00F223B5" w:rsidP="008E2414">
      <w:pPr>
        <w:pStyle w:val="Normal1"/>
        <w:spacing w:line="360" w:lineRule="auto"/>
        <w:jc w:val="center"/>
        <w:rPr>
          <w:b/>
          <w:bCs/>
          <w:sz w:val="24"/>
          <w:szCs w:val="24"/>
        </w:rPr>
      </w:pPr>
      <w:r>
        <w:rPr>
          <w:b/>
          <w:bCs/>
          <w:sz w:val="24"/>
          <w:szCs w:val="24"/>
        </w:rPr>
        <w:t>Figure 3: Individualized revenue from different segments</w:t>
      </w:r>
    </w:p>
    <w:p w14:paraId="377ABE99" w14:textId="77777777" w:rsidR="003F7257" w:rsidRDefault="00F223B5" w:rsidP="008E2414">
      <w:pPr>
        <w:pStyle w:val="Normal1"/>
        <w:spacing w:line="360" w:lineRule="auto"/>
        <w:jc w:val="center"/>
        <w:rPr>
          <w:sz w:val="24"/>
          <w:szCs w:val="24"/>
        </w:rPr>
      </w:pPr>
      <w:r>
        <w:rPr>
          <w:sz w:val="24"/>
          <w:szCs w:val="24"/>
        </w:rPr>
        <w:t>(Source: GSK, 2025)</w:t>
      </w:r>
    </w:p>
    <w:p w14:paraId="7AEED270" w14:textId="77777777" w:rsidR="003F7257" w:rsidRDefault="00F223B5" w:rsidP="008E2414">
      <w:pPr>
        <w:pStyle w:val="Normal1"/>
        <w:spacing w:line="360" w:lineRule="auto"/>
        <w:jc w:val="both"/>
        <w:rPr>
          <w:sz w:val="24"/>
          <w:szCs w:val="24"/>
        </w:rPr>
      </w:pPr>
      <w:r>
        <w:rPr>
          <w:sz w:val="24"/>
          <w:szCs w:val="24"/>
        </w:rPr>
        <w:t xml:space="preserve">Overall, there are a total of 37 manufacturing sites used by GSK, including the USA, France, Puerto Rico, Belgium, and Singapore, apart from 9 manufacturing sites in the UK (GSK, 2025). The transnational attribute is more clearly evident in distinctive and localized product manufacturing. For instance, GSK is working in partnership with BioViserys in South Africa for clinical trials of </w:t>
      </w:r>
      <w:r>
        <w:rPr>
          <w:b/>
          <w:bCs/>
          <w:i/>
          <w:iCs/>
          <w:sz w:val="24"/>
          <w:szCs w:val="24"/>
        </w:rPr>
        <w:t>“alpibectir”</w:t>
      </w:r>
      <w:r>
        <w:rPr>
          <w:sz w:val="24"/>
          <w:szCs w:val="24"/>
        </w:rPr>
        <w:t xml:space="preserve"> to treat TB, an infectious disease that is more common in Africa (Pharmaceutical Technology, 2024). For vaccine development, GSK has extended its partnership till 2034 with </w:t>
      </w:r>
      <w:r>
        <w:rPr>
          <w:i/>
          <w:iCs/>
          <w:sz w:val="24"/>
          <w:szCs w:val="24"/>
        </w:rPr>
        <w:t xml:space="preserve">Zhifei </w:t>
      </w:r>
      <w:r>
        <w:rPr>
          <w:sz w:val="24"/>
          <w:szCs w:val="24"/>
        </w:rPr>
        <w:t xml:space="preserve">for </w:t>
      </w:r>
      <w:r>
        <w:rPr>
          <w:b/>
          <w:bCs/>
          <w:i/>
          <w:iCs/>
          <w:sz w:val="24"/>
          <w:szCs w:val="24"/>
        </w:rPr>
        <w:t>“Shingrix”</w:t>
      </w:r>
      <w:r>
        <w:rPr>
          <w:sz w:val="24"/>
          <w:szCs w:val="24"/>
        </w:rPr>
        <w:t xml:space="preserve">, a vaccine devised for shingles (GSK, 2024). The stratified approach for different categories has helped GSK to earn £11.8 billion from specialized medicines and £9.1 billion from vaccines in 2024FY (GSK, 2025). These diverse manufacturing and R&amp;D facilities strike a perfect contrast with the linear operating standards of MNCs and distinguish GSK as a TNC. </w:t>
      </w:r>
    </w:p>
    <w:p w14:paraId="370C113E" w14:textId="77777777" w:rsidR="003F7257" w:rsidRDefault="00F223B5" w:rsidP="008E2414">
      <w:pPr>
        <w:pStyle w:val="Heading2"/>
        <w:spacing w:before="0" w:after="0"/>
        <w:rPr>
          <w:vertAlign w:val="superscript"/>
        </w:rPr>
      </w:pPr>
      <w:bookmarkStart w:id="3" w:name="_Toc216689668"/>
      <w:r>
        <w:t>2.2. Nature of Global Operations and Value Chain</w:t>
      </w:r>
      <w:bookmarkEnd w:id="3"/>
    </w:p>
    <w:p w14:paraId="64FE496B" w14:textId="7F1346F2" w:rsidR="003F7257" w:rsidRDefault="00F223B5" w:rsidP="008E2414">
      <w:pPr>
        <w:pStyle w:val="Normal1"/>
        <w:spacing w:line="360" w:lineRule="auto"/>
        <w:jc w:val="both"/>
        <w:rPr>
          <w:sz w:val="24"/>
          <w:szCs w:val="24"/>
        </w:rPr>
      </w:pPr>
      <w:r>
        <w:rPr>
          <w:sz w:val="24"/>
          <w:szCs w:val="24"/>
        </w:rPr>
        <w:t xml:space="preserve">The global operations and value chain of GSK </w:t>
      </w:r>
      <w:r w:rsidR="008E2414">
        <w:rPr>
          <w:sz w:val="24"/>
          <w:szCs w:val="24"/>
        </w:rPr>
        <w:t>follow</w:t>
      </w:r>
      <w:r>
        <w:rPr>
          <w:sz w:val="24"/>
          <w:szCs w:val="24"/>
        </w:rPr>
        <w:t xml:space="preserve"> a transitional network.</w:t>
      </w:r>
    </w:p>
    <w:p w14:paraId="0A537C2B" w14:textId="77777777" w:rsidR="003F7257" w:rsidRDefault="00F223B5" w:rsidP="008E2414">
      <w:pPr>
        <w:pStyle w:val="Normal1"/>
        <w:numPr>
          <w:ilvl w:val="0"/>
          <w:numId w:val="1"/>
        </w:numPr>
        <w:spacing w:line="360" w:lineRule="auto"/>
        <w:jc w:val="both"/>
        <w:rPr>
          <w:b/>
          <w:bCs/>
          <w:i/>
          <w:iCs/>
          <w:sz w:val="24"/>
          <w:szCs w:val="24"/>
        </w:rPr>
      </w:pPr>
      <w:r>
        <w:rPr>
          <w:b/>
          <w:bCs/>
          <w:i/>
          <w:iCs/>
          <w:sz w:val="24"/>
          <w:szCs w:val="24"/>
        </w:rPr>
        <w:t>Porter’s value chain analysis</w:t>
      </w:r>
    </w:p>
    <w:p w14:paraId="3FCF3F7C" w14:textId="77777777" w:rsidR="003F7257" w:rsidRDefault="00F223B5" w:rsidP="008E2414">
      <w:pPr>
        <w:pStyle w:val="Normal1"/>
        <w:spacing w:line="360" w:lineRule="auto"/>
        <w:jc w:val="both"/>
        <w:rPr>
          <w:b/>
          <w:bCs/>
          <w:i/>
          <w:iCs/>
          <w:sz w:val="24"/>
          <w:szCs w:val="24"/>
        </w:rPr>
      </w:pPr>
      <w:r>
        <w:rPr>
          <w:b/>
          <w:bCs/>
          <w:i/>
          <w:iCs/>
          <w:sz w:val="24"/>
          <w:szCs w:val="24"/>
        </w:rPr>
        <w:t>a) Primary activities</w:t>
      </w:r>
    </w:p>
    <w:p w14:paraId="0CC344ED" w14:textId="77777777" w:rsidR="003F7257" w:rsidRDefault="00F223B5" w:rsidP="008E2414">
      <w:pPr>
        <w:pStyle w:val="Normal1"/>
        <w:spacing w:line="360" w:lineRule="auto"/>
        <w:jc w:val="both"/>
        <w:rPr>
          <w:b/>
          <w:bCs/>
          <w:i/>
          <w:iCs/>
          <w:sz w:val="24"/>
          <w:szCs w:val="24"/>
          <w:u w:val="single"/>
        </w:rPr>
      </w:pPr>
      <w:r>
        <w:rPr>
          <w:b/>
          <w:bCs/>
          <w:i/>
          <w:iCs/>
          <w:sz w:val="24"/>
          <w:szCs w:val="24"/>
          <w:u w:val="single"/>
        </w:rPr>
        <w:t>R&amp;D</w:t>
      </w:r>
    </w:p>
    <w:p w14:paraId="3A37F983" w14:textId="77777777" w:rsidR="003F7257" w:rsidRDefault="00F223B5" w:rsidP="008E2414">
      <w:pPr>
        <w:pStyle w:val="Normal1"/>
        <w:spacing w:line="360" w:lineRule="auto"/>
        <w:jc w:val="both"/>
        <w:rPr>
          <w:sz w:val="24"/>
          <w:szCs w:val="24"/>
        </w:rPr>
      </w:pPr>
      <w:r>
        <w:rPr>
          <w:sz w:val="24"/>
          <w:szCs w:val="24"/>
        </w:rPr>
        <w:t xml:space="preserve">A number of distant locations are used for R&amp;D activities of GSK, such as the R&amp;D facility in Hertfordshire, UK, which is dedicated to conducting studies on immunology and respiratory drugs (GSK, 2025). Three sites in Belgium (Wavre, Rixensart, and Gembloux) mainly focus on vaccine production (GSK, 2025). EE markets, such as </w:t>
      </w:r>
      <w:r>
        <w:rPr>
          <w:sz w:val="24"/>
          <w:szCs w:val="24"/>
        </w:rPr>
        <w:lastRenderedPageBreak/>
        <w:t xml:space="preserve">India, are largely used for clinical trials by GSK, but India has more than 1800 R&amp;D facilities run by foreign companies in 2025; hence, India can be exploited as an R&amp;D center as well (Inductus GCC, 2025).  The stratified R&amp;D approach of GSK requires localized regulatory compliance, instantaneous yet seamless synchronization, and competence of the R&amp;D team. </w:t>
      </w:r>
    </w:p>
    <w:p w14:paraId="106BE006" w14:textId="77777777" w:rsidR="003F7257" w:rsidRDefault="00F223B5" w:rsidP="008E2414">
      <w:pPr>
        <w:pStyle w:val="Normal1"/>
        <w:spacing w:line="360" w:lineRule="auto"/>
        <w:jc w:val="center"/>
        <w:rPr>
          <w:sz w:val="24"/>
          <w:szCs w:val="24"/>
        </w:rPr>
      </w:pPr>
      <w:r>
        <w:rPr>
          <w:noProof/>
          <w:sz w:val="24"/>
          <w:szCs w:val="24"/>
          <w:lang w:val="en-IN" w:eastAsia="en-IN"/>
        </w:rPr>
        <w:drawing>
          <wp:inline distT="114300" distB="114300" distL="114300" distR="114300" wp14:anchorId="303F3D43" wp14:editId="051DFF05">
            <wp:extent cx="5731200" cy="21717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5" cstate="print"/>
                    <a:stretch>
                      <a:fillRect/>
                    </a:stretch>
                  </pic:blipFill>
                  <pic:spPr>
                    <a:xfrm>
                      <a:off x="0" y="0"/>
                      <a:ext cx="5731200" cy="2171700"/>
                    </a:xfrm>
                    <a:prstGeom prst="rect">
                      <a:avLst/>
                    </a:prstGeom>
                    <a:ln w="25400">
                      <a:solidFill>
                        <a:srgbClr val="000000"/>
                      </a:solidFill>
                      <a:prstDash val="solid"/>
                    </a:ln>
                  </pic:spPr>
                </pic:pic>
              </a:graphicData>
            </a:graphic>
          </wp:inline>
        </w:drawing>
      </w:r>
    </w:p>
    <w:p w14:paraId="157DF9F5" w14:textId="77777777" w:rsidR="003F7257" w:rsidRDefault="00F223B5" w:rsidP="008E2414">
      <w:pPr>
        <w:pStyle w:val="Normal1"/>
        <w:spacing w:line="360" w:lineRule="auto"/>
        <w:jc w:val="center"/>
        <w:rPr>
          <w:b/>
          <w:bCs/>
          <w:sz w:val="24"/>
          <w:szCs w:val="24"/>
        </w:rPr>
      </w:pPr>
      <w:r>
        <w:rPr>
          <w:b/>
          <w:bCs/>
          <w:sz w:val="24"/>
          <w:szCs w:val="24"/>
        </w:rPr>
        <w:t>Figure 4: Growth of global capability hubs in India</w:t>
      </w:r>
    </w:p>
    <w:p w14:paraId="1CEAF330" w14:textId="77777777" w:rsidR="003F7257" w:rsidRDefault="00F223B5" w:rsidP="008E2414">
      <w:pPr>
        <w:pStyle w:val="Normal1"/>
        <w:spacing w:line="360" w:lineRule="auto"/>
        <w:jc w:val="center"/>
        <w:rPr>
          <w:sz w:val="24"/>
          <w:szCs w:val="24"/>
        </w:rPr>
      </w:pPr>
      <w:r>
        <w:rPr>
          <w:sz w:val="24"/>
          <w:szCs w:val="24"/>
        </w:rPr>
        <w:t>(Source: Inductus GCC, 2025)</w:t>
      </w:r>
    </w:p>
    <w:p w14:paraId="7C804157" w14:textId="77777777" w:rsidR="003F7257" w:rsidRDefault="00F223B5" w:rsidP="008E2414">
      <w:pPr>
        <w:pStyle w:val="Normal1"/>
        <w:spacing w:line="360" w:lineRule="auto"/>
        <w:jc w:val="both"/>
        <w:rPr>
          <w:b/>
          <w:bCs/>
          <w:i/>
          <w:iCs/>
          <w:sz w:val="24"/>
          <w:szCs w:val="24"/>
          <w:u w:val="single"/>
        </w:rPr>
      </w:pPr>
      <w:r>
        <w:rPr>
          <w:b/>
          <w:bCs/>
          <w:i/>
          <w:iCs/>
          <w:sz w:val="24"/>
          <w:szCs w:val="24"/>
          <w:u w:val="single"/>
        </w:rPr>
        <w:t>Product manufacturing</w:t>
      </w:r>
    </w:p>
    <w:p w14:paraId="5F579CB1" w14:textId="77777777" w:rsidR="003F7257" w:rsidRDefault="00F223B5" w:rsidP="008E2414">
      <w:pPr>
        <w:pStyle w:val="Normal1"/>
        <w:spacing w:line="360" w:lineRule="auto"/>
        <w:jc w:val="both"/>
        <w:rPr>
          <w:sz w:val="24"/>
          <w:szCs w:val="24"/>
        </w:rPr>
      </w:pPr>
      <w:r>
        <w:rPr>
          <w:sz w:val="24"/>
          <w:szCs w:val="24"/>
        </w:rPr>
        <w:t xml:space="preserve">The scattered manufacturing hubs, each dedicated to different product categories, of GSK serve its strategic intent to develop high-quality vaccines and specialty medicines as per regional demand. In 2025, GSK announced to invest £22.77 billion in SCM and manufacturing, out of which £0.91 billion was in incorporating AI, £1.29 billion in SCM networks, and £1.52 billion in manufacturing (Pharmabiz, 2025). </w:t>
      </w:r>
    </w:p>
    <w:p w14:paraId="3F231655" w14:textId="77777777" w:rsidR="003F7257" w:rsidRDefault="00F223B5" w:rsidP="008E2414">
      <w:pPr>
        <w:pStyle w:val="Normal1"/>
        <w:spacing w:line="360" w:lineRule="auto"/>
        <w:jc w:val="both"/>
        <w:rPr>
          <w:b/>
          <w:bCs/>
          <w:i/>
          <w:iCs/>
          <w:sz w:val="24"/>
          <w:szCs w:val="24"/>
          <w:u w:val="single"/>
        </w:rPr>
      </w:pPr>
      <w:r>
        <w:rPr>
          <w:b/>
          <w:bCs/>
          <w:i/>
          <w:iCs/>
          <w:sz w:val="24"/>
          <w:szCs w:val="24"/>
          <w:u w:val="single"/>
        </w:rPr>
        <w:t>Promotion and sales</w:t>
      </w:r>
    </w:p>
    <w:p w14:paraId="401C8129" w14:textId="77777777" w:rsidR="003F7257" w:rsidRDefault="00F223B5" w:rsidP="008E2414">
      <w:pPr>
        <w:pStyle w:val="Normal1"/>
        <w:spacing w:line="360" w:lineRule="auto"/>
        <w:jc w:val="both"/>
        <w:rPr>
          <w:sz w:val="24"/>
          <w:szCs w:val="24"/>
        </w:rPr>
      </w:pPr>
      <w:r>
        <w:rPr>
          <w:sz w:val="24"/>
          <w:szCs w:val="24"/>
        </w:rPr>
        <w:t xml:space="preserve">Different marketing strategies are used by GSK, for instance, their sales representatives advertise products to local healthcare representatives (GSK, 2024). Marketing channels are extended directly to consumers along with the help of brands, such as Sensodyn and Voltaren, which offer them the highest financial returns (Orientation Marketing, 2025). </w:t>
      </w:r>
    </w:p>
    <w:p w14:paraId="2093EA46" w14:textId="77777777" w:rsidR="003F7257" w:rsidRDefault="00F223B5" w:rsidP="008E2414">
      <w:pPr>
        <w:pStyle w:val="Normal1"/>
        <w:spacing w:line="360" w:lineRule="auto"/>
        <w:jc w:val="both"/>
        <w:rPr>
          <w:b/>
          <w:bCs/>
          <w:i/>
          <w:iCs/>
          <w:sz w:val="24"/>
          <w:szCs w:val="24"/>
        </w:rPr>
      </w:pPr>
      <w:r>
        <w:rPr>
          <w:b/>
          <w:bCs/>
          <w:i/>
          <w:iCs/>
          <w:sz w:val="24"/>
          <w:szCs w:val="24"/>
        </w:rPr>
        <w:t>b) Secondary activities</w:t>
      </w:r>
    </w:p>
    <w:p w14:paraId="658F33E1" w14:textId="77777777" w:rsidR="003F7257" w:rsidRDefault="00F223B5" w:rsidP="008E2414">
      <w:pPr>
        <w:pStyle w:val="Normal1"/>
        <w:spacing w:line="360" w:lineRule="auto"/>
        <w:jc w:val="both"/>
        <w:rPr>
          <w:b/>
          <w:bCs/>
          <w:i/>
          <w:iCs/>
          <w:sz w:val="24"/>
          <w:szCs w:val="24"/>
          <w:u w:val="single"/>
        </w:rPr>
      </w:pPr>
      <w:r>
        <w:rPr>
          <w:b/>
          <w:bCs/>
          <w:i/>
          <w:iCs/>
          <w:sz w:val="24"/>
          <w:szCs w:val="24"/>
          <w:u w:val="single"/>
        </w:rPr>
        <w:t>Procuring raw materials</w:t>
      </w:r>
    </w:p>
    <w:p w14:paraId="41C61E46" w14:textId="77777777" w:rsidR="003F7257" w:rsidRDefault="00F223B5" w:rsidP="008E2414">
      <w:pPr>
        <w:pStyle w:val="Normal1"/>
        <w:spacing w:line="360" w:lineRule="auto"/>
        <w:jc w:val="both"/>
        <w:rPr>
          <w:sz w:val="24"/>
          <w:szCs w:val="24"/>
        </w:rPr>
      </w:pPr>
      <w:r>
        <w:rPr>
          <w:sz w:val="24"/>
          <w:szCs w:val="24"/>
        </w:rPr>
        <w:t xml:space="preserve">GSK maintains a global SCM to procure raw materials such as “active pharmaceutical ingredients (APIs)” from low-cost countries to maintain competitiveness in the global market. In 2019, GSK procured 51% of raw materials from other countries for manufacturing their products (IJRRCEM, 2019).  For </w:t>
      </w:r>
      <w:r>
        <w:rPr>
          <w:sz w:val="24"/>
          <w:szCs w:val="24"/>
        </w:rPr>
        <w:lastRenderedPageBreak/>
        <w:t xml:space="preserve">instance, GSK can procure raw materials from China, which is one of the largest producers of APIs in the world, and India, which has exported APIs worth £322.41 billion in 2022-2023-FY (The Hindu, 2023). </w:t>
      </w:r>
    </w:p>
    <w:p w14:paraId="68842D9B" w14:textId="77777777" w:rsidR="003F7257" w:rsidRDefault="00F223B5" w:rsidP="008E2414">
      <w:pPr>
        <w:pStyle w:val="Normal1"/>
        <w:spacing w:line="360" w:lineRule="auto"/>
        <w:jc w:val="center"/>
        <w:rPr>
          <w:sz w:val="24"/>
          <w:szCs w:val="24"/>
        </w:rPr>
      </w:pPr>
      <w:r>
        <w:rPr>
          <w:noProof/>
          <w:sz w:val="24"/>
          <w:szCs w:val="24"/>
          <w:lang w:val="en-IN" w:eastAsia="en-IN"/>
        </w:rPr>
        <w:drawing>
          <wp:inline distT="114300" distB="114300" distL="114300" distR="114300" wp14:anchorId="6ACD27D3" wp14:editId="5B7DAEA8">
            <wp:extent cx="5731200" cy="21717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6" cstate="print"/>
                    <a:stretch>
                      <a:fillRect/>
                    </a:stretch>
                  </pic:blipFill>
                  <pic:spPr>
                    <a:xfrm>
                      <a:off x="0" y="0"/>
                      <a:ext cx="5731200" cy="2171700"/>
                    </a:xfrm>
                    <a:prstGeom prst="rect">
                      <a:avLst/>
                    </a:prstGeom>
                    <a:ln w="25400">
                      <a:solidFill>
                        <a:srgbClr val="000000"/>
                      </a:solidFill>
                      <a:prstDash val="solid"/>
                    </a:ln>
                  </pic:spPr>
                </pic:pic>
              </a:graphicData>
            </a:graphic>
          </wp:inline>
        </w:drawing>
      </w:r>
    </w:p>
    <w:p w14:paraId="31D68CC5" w14:textId="77777777" w:rsidR="003F7257" w:rsidRDefault="00F223B5" w:rsidP="008E2414">
      <w:pPr>
        <w:pStyle w:val="Normal1"/>
        <w:spacing w:line="360" w:lineRule="auto"/>
        <w:jc w:val="center"/>
        <w:rPr>
          <w:b/>
          <w:bCs/>
          <w:sz w:val="24"/>
          <w:szCs w:val="24"/>
        </w:rPr>
      </w:pPr>
      <w:r>
        <w:rPr>
          <w:b/>
          <w:bCs/>
          <w:sz w:val="24"/>
          <w:szCs w:val="24"/>
        </w:rPr>
        <w:t>Figure 5: Value-chain analysis of GSK</w:t>
      </w:r>
    </w:p>
    <w:p w14:paraId="0EE325E8" w14:textId="77777777" w:rsidR="003F7257" w:rsidRDefault="00F223B5" w:rsidP="008E2414">
      <w:pPr>
        <w:pStyle w:val="Normal1"/>
        <w:spacing w:line="360" w:lineRule="auto"/>
        <w:jc w:val="center"/>
        <w:rPr>
          <w:sz w:val="24"/>
          <w:szCs w:val="24"/>
        </w:rPr>
      </w:pPr>
      <w:r>
        <w:rPr>
          <w:sz w:val="24"/>
          <w:szCs w:val="24"/>
        </w:rPr>
        <w:t>(Source: IJRRCEM, 2019)</w:t>
      </w:r>
    </w:p>
    <w:p w14:paraId="3B31DB92" w14:textId="77777777" w:rsidR="003F7257" w:rsidRDefault="00F223B5" w:rsidP="008E2414">
      <w:pPr>
        <w:pStyle w:val="Normal1"/>
        <w:spacing w:line="360" w:lineRule="auto"/>
        <w:jc w:val="both"/>
        <w:rPr>
          <w:b/>
          <w:bCs/>
          <w:i/>
          <w:iCs/>
          <w:sz w:val="24"/>
          <w:szCs w:val="24"/>
          <w:u w:val="single"/>
        </w:rPr>
      </w:pPr>
      <w:r>
        <w:rPr>
          <w:b/>
          <w:bCs/>
          <w:i/>
          <w:iCs/>
          <w:sz w:val="24"/>
          <w:szCs w:val="24"/>
          <w:u w:val="single"/>
        </w:rPr>
        <w:t>Funding and allocation of resources</w:t>
      </w:r>
    </w:p>
    <w:p w14:paraId="02C142EA" w14:textId="77777777" w:rsidR="00570671" w:rsidRDefault="00F223B5" w:rsidP="008E2414">
      <w:pPr>
        <w:pStyle w:val="Normal1"/>
        <w:spacing w:line="360" w:lineRule="auto"/>
        <w:jc w:val="both"/>
        <w:rPr>
          <w:sz w:val="24"/>
          <w:szCs w:val="24"/>
        </w:rPr>
      </w:pPr>
      <w:r>
        <w:rPr>
          <w:sz w:val="24"/>
          <w:szCs w:val="24"/>
        </w:rPr>
        <w:t>GSK has to invest heavily in EE to make suitable R&amp;D and manufacturing facilities. GSK invests handsomely in India because India contributes to 15% of the total revenue generated in EE for GSK, and India is the second-highest emerging market for GSK (Investing.com, 2023). GSK applies a tiered pricing structure in different markets. In affluent markets, GSK applies a value-based pricing strategy, but in low-income markets, an innovative pricing structure is applied. In lower-income markets, GSK forms partnerships to offer medicines and vaccines at affordable prices to eliminate economic barriers (GSK, 2025).</w:t>
      </w:r>
    </w:p>
    <w:p w14:paraId="7ABB1670" w14:textId="18509CF2" w:rsidR="007847D8" w:rsidRPr="003A2B57" w:rsidRDefault="007847D8" w:rsidP="00DA1326">
      <w:pPr>
        <w:pStyle w:val="Heading2"/>
        <w:spacing w:before="0" w:after="0"/>
        <w:rPr>
          <w:lang w:val="en-GB"/>
        </w:rPr>
      </w:pPr>
      <w:bookmarkStart w:id="4" w:name="_Toc216689669"/>
      <w:r w:rsidRPr="003A2B57">
        <w:rPr>
          <w:lang w:val="en-GB"/>
        </w:rPr>
        <w:t>2.</w:t>
      </w:r>
      <w:r w:rsidR="00DA1326">
        <w:rPr>
          <w:lang w:val="en-GB"/>
        </w:rPr>
        <w:t>3</w:t>
      </w:r>
      <w:r w:rsidRPr="003A2B57">
        <w:rPr>
          <w:lang w:val="en-GB"/>
        </w:rPr>
        <w:t xml:space="preserve"> Key benefits of GSK from international operations</w:t>
      </w:r>
      <w:bookmarkEnd w:id="4"/>
    </w:p>
    <w:p w14:paraId="7658B3B5"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GSK has gradually expanded its business operations across 150 countries. This has given them a global presence (Gsk.com, 2025). This massive scale of operation has enabled the company to reach out to more than 2.6 billion people and positively influence their lives. GSK has also successfully reached out to 1.3 billion people in lower-income countries. From the VRIO perspective, these are valuable and rare aspects. </w:t>
      </w:r>
    </w:p>
    <w:p w14:paraId="43F30BAF"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Operations in multiple markets elevates their trust level among consumer, and lowers their risk level. GSK plc ranks 2 by Access to Medicine Foundation for pursuing best practices in business while operating globally (AccessToMedicineFoundation.org, 2025). </w:t>
      </w:r>
    </w:p>
    <w:p w14:paraId="5E1405D3" w14:textId="77777777" w:rsidR="007847D8" w:rsidRPr="003A2B57" w:rsidRDefault="007847D8" w:rsidP="008E2414">
      <w:pPr>
        <w:spacing w:line="360" w:lineRule="auto"/>
        <w:jc w:val="both"/>
        <w:rPr>
          <w:sz w:val="24"/>
          <w:szCs w:val="24"/>
          <w:lang w:val="en-GB"/>
        </w:rPr>
      </w:pPr>
      <w:r w:rsidRPr="003A2B57">
        <w:rPr>
          <w:sz w:val="24"/>
          <w:szCs w:val="24"/>
          <w:lang w:val="en-GB"/>
        </w:rPr>
        <w:lastRenderedPageBreak/>
        <w:t>GS</w:t>
      </w:r>
      <w:r>
        <w:rPr>
          <w:sz w:val="24"/>
          <w:szCs w:val="24"/>
          <w:lang w:val="en-GB"/>
        </w:rPr>
        <w:t>K</w:t>
      </w:r>
      <w:r w:rsidRPr="003A2B57">
        <w:rPr>
          <w:sz w:val="24"/>
          <w:szCs w:val="24"/>
          <w:lang w:val="en-GB"/>
        </w:rPr>
        <w:t xml:space="preserve"> operates in emerging markets and advanced markets alike. GSK transfers knowledge to several subsidiaries and businesses, where a partnership has been built. For example, it transferred knowledge and technology for a paediatric vaccine to Fiocruz and Biological E. It also engages with the UN-supported Medicine Patent Pool to encourage voluntary licensing and technology transfer to low and middle-income countries. From the VRIO perspective, it is an inimitable capability.  </w:t>
      </w:r>
    </w:p>
    <w:p w14:paraId="64BD3CA3" w14:textId="77777777" w:rsidR="008E2414" w:rsidRDefault="008E2414">
      <w:pPr>
        <w:rPr>
          <w:b/>
          <w:sz w:val="24"/>
          <w:szCs w:val="40"/>
          <w:lang w:val="en-GB"/>
        </w:rPr>
      </w:pPr>
      <w:r>
        <w:rPr>
          <w:lang w:val="en-GB"/>
        </w:rPr>
        <w:br w:type="page"/>
      </w:r>
    </w:p>
    <w:p w14:paraId="413053E8" w14:textId="7F420652" w:rsidR="007847D8" w:rsidRPr="003A2B57" w:rsidRDefault="00DA1326" w:rsidP="008E2414">
      <w:pPr>
        <w:pStyle w:val="Heading1"/>
        <w:spacing w:before="0" w:after="0"/>
        <w:rPr>
          <w:lang w:val="en-GB"/>
        </w:rPr>
      </w:pPr>
      <w:bookmarkStart w:id="5" w:name="_Toc216689670"/>
      <w:r>
        <w:rPr>
          <w:lang w:val="en-GB"/>
        </w:rPr>
        <w:lastRenderedPageBreak/>
        <w:t>3</w:t>
      </w:r>
      <w:r w:rsidR="007847D8" w:rsidRPr="003A2B57">
        <w:rPr>
          <w:lang w:val="en-GB"/>
        </w:rPr>
        <w:t xml:space="preserve">. </w:t>
      </w:r>
      <w:r>
        <w:rPr>
          <w:lang w:val="en-GB"/>
        </w:rPr>
        <w:t>GSK’s Entry Modes</w:t>
      </w:r>
      <w:bookmarkEnd w:id="5"/>
    </w:p>
    <w:p w14:paraId="760FC677" w14:textId="36AE8DBA" w:rsidR="007847D8" w:rsidRDefault="007847D8" w:rsidP="008E2414">
      <w:pPr>
        <w:spacing w:line="360" w:lineRule="auto"/>
        <w:jc w:val="both"/>
        <w:rPr>
          <w:sz w:val="24"/>
          <w:szCs w:val="24"/>
          <w:lang w:val="en-GB"/>
        </w:rPr>
      </w:pPr>
      <w:r w:rsidRPr="003A2B57">
        <w:rPr>
          <w:sz w:val="24"/>
          <w:szCs w:val="24"/>
          <w:lang w:val="en-GB"/>
        </w:rPr>
        <w:t xml:space="preserve">The OLI model or the Eclectic Paradigm is crucial to weigh out the advantages associated with FDI. Upon possession of sufficient OLI advantages, FDI can be pursued. Using this framework, businesses can assess firm-specific advantages that can be gained by expanding to a specific country. Especially for a pharmaceutical </w:t>
      </w:r>
      <w:r w:rsidR="008E2414" w:rsidRPr="003A2B57">
        <w:rPr>
          <w:sz w:val="24"/>
          <w:szCs w:val="24"/>
          <w:lang w:val="en-GB"/>
        </w:rPr>
        <w:t>business-like</w:t>
      </w:r>
      <w:r w:rsidRPr="003A2B57">
        <w:rPr>
          <w:sz w:val="24"/>
          <w:szCs w:val="24"/>
          <w:lang w:val="en-GB"/>
        </w:rPr>
        <w:t xml:space="preserve"> GSK, which is research-intensive, evaluating aspects like ownership conditions, location favourability, and internal governance forms is critical.</w:t>
      </w:r>
    </w:p>
    <w:p w14:paraId="0B4685B7" w14:textId="18F69562" w:rsidR="00DA1326" w:rsidRPr="003A2B57" w:rsidRDefault="00DA1326" w:rsidP="00DA1326">
      <w:pPr>
        <w:pStyle w:val="Heading2"/>
        <w:spacing w:before="0" w:after="0"/>
        <w:rPr>
          <w:color w:val="0A0A0A"/>
          <w:sz w:val="32"/>
          <w:highlight w:val="white"/>
          <w:lang w:val="en-GB"/>
        </w:rPr>
      </w:pPr>
      <w:bookmarkStart w:id="6" w:name="_Toc216689671"/>
      <w:r>
        <w:rPr>
          <w:lang w:val="en-GB"/>
        </w:rPr>
        <w:t>3.1 How GSK Enters International Market: Entry Mode Analysis</w:t>
      </w:r>
      <w:bookmarkEnd w:id="6"/>
    </w:p>
    <w:p w14:paraId="2B846352" w14:textId="77777777" w:rsidR="00DA1326" w:rsidRPr="003A2B57" w:rsidRDefault="00DA1326" w:rsidP="00DA1326">
      <w:pPr>
        <w:spacing w:line="360" w:lineRule="auto"/>
        <w:jc w:val="both"/>
        <w:rPr>
          <w:sz w:val="24"/>
          <w:szCs w:val="24"/>
          <w:lang w:val="en-GB"/>
        </w:rPr>
      </w:pPr>
      <w:r w:rsidRPr="003A2B57">
        <w:rPr>
          <w:sz w:val="24"/>
          <w:szCs w:val="24"/>
          <w:lang w:val="en-GB"/>
        </w:rPr>
        <w:t xml:space="preserve">GSK does not have a specific entry mode that is used across all company operations. Rather, it uses an agile approach. The entry mode is determined based on the market's nature. </w:t>
      </w:r>
    </w:p>
    <w:p w14:paraId="10E31037" w14:textId="77777777" w:rsidR="00DA1326" w:rsidRPr="003A2B57" w:rsidRDefault="00DA1326" w:rsidP="00DA1326">
      <w:pPr>
        <w:spacing w:line="360" w:lineRule="auto"/>
        <w:jc w:val="both"/>
        <w:rPr>
          <w:sz w:val="24"/>
          <w:szCs w:val="24"/>
          <w:lang w:val="en-GB"/>
        </w:rPr>
      </w:pPr>
      <w:r w:rsidRPr="003A2B57">
        <w:rPr>
          <w:b/>
          <w:bCs/>
          <w:i/>
          <w:iCs/>
          <w:sz w:val="24"/>
          <w:szCs w:val="24"/>
          <w:lang w:val="en-GB"/>
        </w:rPr>
        <w:t>Joint Venture-</w:t>
      </w:r>
      <w:r w:rsidRPr="003A2B57">
        <w:rPr>
          <w:sz w:val="24"/>
          <w:szCs w:val="24"/>
          <w:lang w:val="en-GB"/>
        </w:rPr>
        <w:t xml:space="preserve"> GSK has announced a JV with the Biological E Limited company to develop different combinations of vaccines. These are developed specifically for India and other developing countries (Gsk.com, 2025).  GSK formed a JV with Jiangsu Walvax Biotech Company, especially for the local manufacturing of paediatric vaccines that are to be used in China (Gsk.com, 2025). </w:t>
      </w:r>
    </w:p>
    <w:p w14:paraId="71F1D622" w14:textId="77777777" w:rsidR="00DA1326" w:rsidRPr="003A2B57" w:rsidRDefault="00DA1326" w:rsidP="00DA1326">
      <w:pPr>
        <w:spacing w:line="360" w:lineRule="auto"/>
        <w:jc w:val="both"/>
        <w:rPr>
          <w:sz w:val="24"/>
          <w:szCs w:val="24"/>
          <w:lang w:val="en-GB"/>
        </w:rPr>
      </w:pPr>
      <w:r w:rsidRPr="003A2B57">
        <w:rPr>
          <w:b/>
          <w:bCs/>
          <w:i/>
          <w:iCs/>
          <w:sz w:val="24"/>
          <w:szCs w:val="24"/>
          <w:lang w:val="en-GB"/>
        </w:rPr>
        <w:t>Strategic Alliance-</w:t>
      </w:r>
      <w:r w:rsidRPr="003A2B57">
        <w:rPr>
          <w:sz w:val="24"/>
          <w:szCs w:val="24"/>
          <w:lang w:val="en-GB"/>
        </w:rPr>
        <w:t xml:space="preserve"> The strategic alliance is an entry mode characterized by the collaboration of companies. Azis </w:t>
      </w:r>
      <w:r w:rsidRPr="003A2B57">
        <w:rPr>
          <w:i/>
          <w:iCs/>
          <w:sz w:val="24"/>
          <w:szCs w:val="24"/>
          <w:lang w:val="en-GB"/>
        </w:rPr>
        <w:t>et al.,</w:t>
      </w:r>
      <w:r w:rsidRPr="003A2B57">
        <w:rPr>
          <w:sz w:val="24"/>
          <w:szCs w:val="24"/>
          <w:lang w:val="en-GB"/>
        </w:rPr>
        <w:t xml:space="preserve"> (2023) state that these companies possess a common goal. GSK has a long-standing partnership with Fiocruz and ViiV Healthcare of Brazil. These partnerships are developed for developing treatment for dengue, HIV, malaria, and other tropical diseases. GSK specifically transferred the Synflorix Pneumococcal vaccine as part of the technology transfer in the alliance. GSK forms a strategic alliance with Dr. Reddy Laboratories for the development and marketing of generic drugs in India (Gsk.com, 2025).  </w:t>
      </w:r>
    </w:p>
    <w:p w14:paraId="65B0D37B" w14:textId="77777777" w:rsidR="00DA1326" w:rsidRPr="003A2B57" w:rsidRDefault="00DA1326" w:rsidP="00DA1326">
      <w:pPr>
        <w:spacing w:line="360" w:lineRule="auto"/>
        <w:jc w:val="both"/>
        <w:rPr>
          <w:sz w:val="24"/>
          <w:szCs w:val="24"/>
          <w:lang w:val="en-GB"/>
        </w:rPr>
      </w:pPr>
      <w:r w:rsidRPr="003A2B57">
        <w:rPr>
          <w:b/>
          <w:bCs/>
          <w:i/>
          <w:iCs/>
          <w:sz w:val="24"/>
          <w:szCs w:val="24"/>
          <w:lang w:val="en-GB"/>
        </w:rPr>
        <w:t xml:space="preserve">Strategic Acquisition (incremental internationalisation)- </w:t>
      </w:r>
      <w:r w:rsidRPr="003A2B57">
        <w:rPr>
          <w:sz w:val="24"/>
          <w:szCs w:val="24"/>
          <w:lang w:val="en-GB"/>
        </w:rPr>
        <w:t xml:space="preserve">This entry mode is characterized by market entry through the purchase of an entire company. This not only gives access to the market, but its customer base as well (Tyukhtenko </w:t>
      </w:r>
      <w:r w:rsidRPr="003A2B57">
        <w:rPr>
          <w:i/>
          <w:iCs/>
          <w:sz w:val="24"/>
          <w:szCs w:val="24"/>
          <w:lang w:val="en-GB"/>
        </w:rPr>
        <w:t>et al.,</w:t>
      </w:r>
      <w:r w:rsidRPr="003A2B57">
        <w:rPr>
          <w:sz w:val="24"/>
          <w:szCs w:val="24"/>
          <w:lang w:val="en-GB"/>
        </w:rPr>
        <w:t xml:space="preserve"> 2024). GSK acquired Phoenix Laboratories. This enabled GSK to gain access to the Argentine market and broader Latin America market and portfolio expansion with generic medicines (Gsk.com, 2025). GSK also acquired Novartis to further strengthen its position as a leading vaccine manufacturer and strengthen its oncology portfolio (Gsk.com, 2025). GSK acquired a 75% stake in Hindustan Unilever to increase its strong hold on the consumer healthcare segment (Gsk.com, 2025). </w:t>
      </w:r>
    </w:p>
    <w:p w14:paraId="4BADFCB6" w14:textId="7972793D" w:rsidR="00DA1326" w:rsidRPr="003A2B57" w:rsidRDefault="00DA1326" w:rsidP="00DA1326">
      <w:pPr>
        <w:spacing w:line="360" w:lineRule="auto"/>
        <w:jc w:val="both"/>
        <w:rPr>
          <w:sz w:val="24"/>
          <w:szCs w:val="24"/>
          <w:lang w:val="en-GB"/>
        </w:rPr>
      </w:pPr>
      <w:r w:rsidRPr="003A2B57">
        <w:rPr>
          <w:sz w:val="24"/>
          <w:szCs w:val="24"/>
          <w:lang w:val="en-GB"/>
        </w:rPr>
        <w:lastRenderedPageBreak/>
        <w:t xml:space="preserve">GSK does not limit itself to a single mode of entry. Even in a single country, different modes of entry in different domains exist. For example, in India, GSK uses Strategic acquisition for consumer healthcare, </w:t>
      </w:r>
      <w:r w:rsidR="00FB0853" w:rsidRPr="003A2B57">
        <w:rPr>
          <w:sz w:val="24"/>
          <w:szCs w:val="24"/>
          <w:lang w:val="en-GB"/>
        </w:rPr>
        <w:t>whereas</w:t>
      </w:r>
      <w:r w:rsidRPr="003A2B57">
        <w:rPr>
          <w:sz w:val="24"/>
          <w:szCs w:val="24"/>
          <w:lang w:val="en-GB"/>
        </w:rPr>
        <w:t xml:space="preserve"> strategic alliance is used for drug development. Overall, the dominant mode of market entry can be stated as partnership-based entry. This is done mostly through joint ventures and strategic alliances. </w:t>
      </w:r>
    </w:p>
    <w:p w14:paraId="4D9C0F61" w14:textId="77777777" w:rsidR="00FB0853" w:rsidRDefault="00DA1326" w:rsidP="008E2414">
      <w:pPr>
        <w:pStyle w:val="Heading2"/>
        <w:spacing w:before="0" w:after="0"/>
        <w:rPr>
          <w:lang w:val="en-GB"/>
        </w:rPr>
      </w:pPr>
      <w:bookmarkStart w:id="7" w:name="_Toc216689672"/>
      <w:r w:rsidRPr="003A2B57">
        <w:rPr>
          <w:lang w:val="en-GB"/>
        </w:rPr>
        <w:t>3.</w:t>
      </w:r>
      <w:r>
        <w:rPr>
          <w:lang w:val="en-GB"/>
        </w:rPr>
        <w:t>2</w:t>
      </w:r>
      <w:r w:rsidRPr="003A2B57">
        <w:rPr>
          <w:lang w:val="en-GB"/>
        </w:rPr>
        <w:t xml:space="preserve"> </w:t>
      </w:r>
      <w:r>
        <w:rPr>
          <w:lang w:val="en-GB"/>
        </w:rPr>
        <w:t>How GSK Entered in Indian Market – OLI Framework Analysis</w:t>
      </w:r>
      <w:bookmarkEnd w:id="7"/>
    </w:p>
    <w:p w14:paraId="563DC59B" w14:textId="0CED98E2" w:rsidR="007847D8" w:rsidRPr="00FB0853" w:rsidRDefault="00FB0853" w:rsidP="008E2414">
      <w:pPr>
        <w:pStyle w:val="Heading2"/>
        <w:spacing w:before="0" w:after="0"/>
        <w:rPr>
          <w:lang w:val="en-GB"/>
        </w:rPr>
      </w:pPr>
      <w:bookmarkStart w:id="8" w:name="_Toc216689673"/>
      <w:r>
        <w:rPr>
          <w:lang w:val="en-GB"/>
        </w:rPr>
        <w:t xml:space="preserve">3.2.1 </w:t>
      </w:r>
      <w:r w:rsidR="007847D8" w:rsidRPr="00FB0853">
        <w:rPr>
          <w:lang w:val="en-GB"/>
        </w:rPr>
        <w:t>Ownership Advantage</w:t>
      </w:r>
      <w:bookmarkEnd w:id="8"/>
    </w:p>
    <w:p w14:paraId="1AD2A740"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GSK possesses a stronghold on its patent portfolio. They have 143000 patents focusing on oncology, immunology, HIV, and infectious diseases (Gsk.com, 2025). This forms the key advantage within the ownership aspect for GSK. GSK also enjoys global recognition and a strong research and development team with sufficient resources to support it.  The rich knowledge possessed by the company in the four core areas it operates gives it a specific business advantage. This is supported by Garavito Hernandez and Rueda Galvis (2021), who state that patents support business expansion and their profitability from the sale of products. In addition, Tulum </w:t>
      </w:r>
      <w:r w:rsidRPr="003A2B57">
        <w:rPr>
          <w:i/>
          <w:iCs/>
          <w:sz w:val="24"/>
          <w:szCs w:val="24"/>
          <w:lang w:val="en-GB"/>
        </w:rPr>
        <w:t>et al.,</w:t>
      </w:r>
      <w:r w:rsidRPr="003A2B57">
        <w:rPr>
          <w:sz w:val="24"/>
          <w:szCs w:val="24"/>
          <w:lang w:val="en-GB"/>
        </w:rPr>
        <w:t xml:space="preserve"> (2022) states that GSK has strong pharmaceutical technology capability, especially in the domain of immunology and oncology. This tacit knowledge becomes hard to imitate by competitors. </w:t>
      </w:r>
    </w:p>
    <w:p w14:paraId="1E66F0DC" w14:textId="77777777" w:rsidR="007847D8" w:rsidRPr="003A2B57" w:rsidRDefault="007847D8" w:rsidP="008E2414">
      <w:pPr>
        <w:spacing w:line="360" w:lineRule="auto"/>
        <w:jc w:val="center"/>
        <w:rPr>
          <w:sz w:val="24"/>
          <w:szCs w:val="24"/>
          <w:lang w:val="en-GB"/>
        </w:rPr>
      </w:pPr>
      <w:r w:rsidRPr="003A2B57">
        <w:rPr>
          <w:noProof/>
          <w:sz w:val="24"/>
          <w:szCs w:val="24"/>
          <w:lang w:val="en-IN" w:eastAsia="en-IN"/>
        </w:rPr>
        <w:drawing>
          <wp:inline distT="114300" distB="114300" distL="114300" distR="114300" wp14:anchorId="0EAC6B9E" wp14:editId="6BC682A2">
            <wp:extent cx="5943600" cy="1765300"/>
            <wp:effectExtent l="76200" t="76200" r="114300" b="120650"/>
            <wp:docPr id="10401082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176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32DAA5" w14:textId="7C6D013B" w:rsidR="007847D8" w:rsidRPr="003A2B57" w:rsidRDefault="007847D8" w:rsidP="008E2414">
      <w:pPr>
        <w:spacing w:line="360" w:lineRule="auto"/>
        <w:jc w:val="center"/>
        <w:rPr>
          <w:b/>
          <w:bCs/>
          <w:sz w:val="24"/>
          <w:szCs w:val="24"/>
          <w:lang w:val="en-GB"/>
        </w:rPr>
      </w:pPr>
      <w:r w:rsidRPr="003A2B57">
        <w:rPr>
          <w:b/>
          <w:bCs/>
          <w:sz w:val="24"/>
          <w:szCs w:val="24"/>
          <w:lang w:val="en-GB"/>
        </w:rPr>
        <w:t>Figure</w:t>
      </w:r>
      <w:r w:rsidR="008B6C77">
        <w:rPr>
          <w:b/>
          <w:bCs/>
          <w:sz w:val="24"/>
          <w:szCs w:val="24"/>
          <w:lang w:val="en-GB"/>
        </w:rPr>
        <w:t xml:space="preserve"> 6</w:t>
      </w:r>
      <w:r w:rsidRPr="003A2B57">
        <w:rPr>
          <w:b/>
          <w:bCs/>
          <w:sz w:val="24"/>
          <w:szCs w:val="24"/>
          <w:lang w:val="en-GB"/>
        </w:rPr>
        <w:t>: The four major therapeutic areas of GSK</w:t>
      </w:r>
    </w:p>
    <w:p w14:paraId="2FFAEB05" w14:textId="77777777" w:rsidR="007847D8" w:rsidRPr="003A2B57" w:rsidRDefault="007847D8" w:rsidP="008E2414">
      <w:pPr>
        <w:spacing w:line="360" w:lineRule="auto"/>
        <w:jc w:val="center"/>
        <w:rPr>
          <w:b/>
          <w:bCs/>
          <w:sz w:val="24"/>
          <w:szCs w:val="24"/>
          <w:lang w:val="en-GB"/>
        </w:rPr>
      </w:pPr>
      <w:r w:rsidRPr="003A2B57">
        <w:rPr>
          <w:sz w:val="24"/>
          <w:szCs w:val="24"/>
          <w:lang w:val="en-GB"/>
        </w:rPr>
        <w:t>(Source: Gsk.com, 2025)</w:t>
      </w:r>
    </w:p>
    <w:p w14:paraId="4816FB0E"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Transfer of these ownership advantages to the Indian market does not automatically guarantee success. Several aspects need to be considered. Firstly, taking into consideration the Indian pharmaceutical market, it can be stated that this sector is rapidly evolving. Within the countries, the pharma sector ranks as a leading sector. </w:t>
      </w:r>
      <w:r w:rsidRPr="003A2B57">
        <w:rPr>
          <w:sz w:val="24"/>
          <w:szCs w:val="24"/>
          <w:lang w:val="en-GB"/>
        </w:rPr>
        <w:lastRenderedPageBreak/>
        <w:t xml:space="preserve">Even the government policies focus on capacity building and self-reliance, which contributed to the boost in the pharmaceutical segment (Festa </w:t>
      </w:r>
      <w:r w:rsidRPr="003A2B57">
        <w:rPr>
          <w:i/>
          <w:iCs/>
          <w:sz w:val="24"/>
          <w:szCs w:val="24"/>
          <w:lang w:val="en-GB"/>
        </w:rPr>
        <w:t>et al.,</w:t>
      </w:r>
      <w:r w:rsidRPr="003A2B57">
        <w:rPr>
          <w:sz w:val="24"/>
          <w:szCs w:val="24"/>
          <w:lang w:val="en-GB"/>
        </w:rPr>
        <w:t xml:space="preserve"> 2022). </w:t>
      </w:r>
    </w:p>
    <w:p w14:paraId="34AA1291"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Secondly, the Indian consumers show a strong preference for generic drugs. 70-80% of the market volume is dominated by generic drugs, which do not belong to any specific leading brands. Ajetunmobi and Laobangdisa (2024) state that this preference comes from a perspective of the affordability of consumers belonging to developing nations. Vitales </w:t>
      </w:r>
      <w:r w:rsidRPr="003A2B57">
        <w:rPr>
          <w:i/>
          <w:iCs/>
          <w:sz w:val="24"/>
          <w:szCs w:val="24"/>
          <w:lang w:val="en-GB"/>
        </w:rPr>
        <w:t>et al.,</w:t>
      </w:r>
      <w:r w:rsidRPr="003A2B57">
        <w:rPr>
          <w:sz w:val="24"/>
          <w:szCs w:val="24"/>
          <w:lang w:val="en-GB"/>
        </w:rPr>
        <w:t xml:space="preserve"> (2024) also add that preference towards generic medication is a result of low awareness in developing nations. All of these aspects give GSK strong competition within the local market. </w:t>
      </w:r>
    </w:p>
    <w:p w14:paraId="7B970D47" w14:textId="77777777" w:rsidR="007847D8" w:rsidRPr="003A2B57" w:rsidRDefault="007847D8" w:rsidP="008E2414">
      <w:pPr>
        <w:spacing w:line="360" w:lineRule="auto"/>
        <w:jc w:val="both"/>
        <w:rPr>
          <w:sz w:val="24"/>
          <w:szCs w:val="24"/>
          <w:lang w:val="en-GB"/>
        </w:rPr>
      </w:pPr>
      <w:r w:rsidRPr="003A2B57">
        <w:rPr>
          <w:sz w:val="24"/>
          <w:szCs w:val="24"/>
          <w:lang w:val="en-GB"/>
        </w:rPr>
        <w:t>Thirdly, the Indian Patent Law, Section 3(d), is another challenge for GSK. According to this law, it is difficult to patent minor drug improvements (Ipindia.gov.in, 2025). This has a negative impact on the incentive generated. It also greatly affects the patent advantage possessed by GSK.</w:t>
      </w:r>
    </w:p>
    <w:p w14:paraId="6CE55D5E"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GSK separated its consumer healthcare domain to Haleon, so that it can exclusively focus on developing speciality medicines and vaccines. This results in narrowing down their portfolio, which is an advantage to fortify their position within India. Therefore, the ownership advantage can be reaped when GSK has a strong competitive oversight and navigates the Indian legal landscape carefully. </w:t>
      </w:r>
    </w:p>
    <w:p w14:paraId="363BD3AA" w14:textId="18F0C8F8" w:rsidR="007847D8" w:rsidRPr="003A2B57" w:rsidRDefault="00FB0853" w:rsidP="008E2414">
      <w:pPr>
        <w:pStyle w:val="Heading2"/>
        <w:spacing w:before="0" w:after="0"/>
        <w:rPr>
          <w:lang w:val="en-GB"/>
        </w:rPr>
      </w:pPr>
      <w:bookmarkStart w:id="9" w:name="_Toc216689674"/>
      <w:r>
        <w:rPr>
          <w:lang w:val="en-GB"/>
        </w:rPr>
        <w:t xml:space="preserve">3.2.2 </w:t>
      </w:r>
      <w:r w:rsidR="007847D8" w:rsidRPr="003A2B57">
        <w:rPr>
          <w:lang w:val="en-GB"/>
        </w:rPr>
        <w:t>Location Advantage</w:t>
      </w:r>
      <w:bookmarkEnd w:id="9"/>
      <w:r w:rsidR="007847D8" w:rsidRPr="003A2B57">
        <w:rPr>
          <w:lang w:val="en-GB"/>
        </w:rPr>
        <w:t xml:space="preserve"> </w:t>
      </w:r>
    </w:p>
    <w:p w14:paraId="3033E59E"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The UK-based pharma company encounters several location advantages when considering India. Firstly, the Indian population is growing rapidly. Cancer is a disease that is of great concern in India. The economic burden associated with the disease is on the rise. In 2020, the incidence of cancer was 13.92 lakhs, whereas in 2025 it was 15.69 (Indianexpress.com, 2025). </w:t>
      </w:r>
    </w:p>
    <w:p w14:paraId="51FCB577"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Secondly, even the labour force available in India is heavily skilled. The high density of skilled health workers increases the scope to gain access to labour at affordable rates (Karan </w:t>
      </w:r>
      <w:r w:rsidRPr="003A2B57">
        <w:rPr>
          <w:i/>
          <w:iCs/>
          <w:sz w:val="24"/>
          <w:szCs w:val="24"/>
          <w:lang w:val="en-GB"/>
        </w:rPr>
        <w:t>et al.,</w:t>
      </w:r>
      <w:r w:rsidRPr="003A2B57">
        <w:rPr>
          <w:sz w:val="24"/>
          <w:szCs w:val="24"/>
          <w:lang w:val="en-GB"/>
        </w:rPr>
        <w:t xml:space="preserve"> 2021). </w:t>
      </w:r>
    </w:p>
    <w:p w14:paraId="66CA729D"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Thirdly, Desai </w:t>
      </w:r>
      <w:r w:rsidRPr="003A2B57">
        <w:rPr>
          <w:i/>
          <w:iCs/>
          <w:sz w:val="24"/>
          <w:szCs w:val="24"/>
          <w:lang w:val="en-GB"/>
        </w:rPr>
        <w:t xml:space="preserve">et al., </w:t>
      </w:r>
      <w:r w:rsidRPr="003A2B57">
        <w:rPr>
          <w:sz w:val="24"/>
          <w:szCs w:val="24"/>
          <w:lang w:val="en-GB"/>
        </w:rPr>
        <w:t>(2021) state that the majority of the clinical trials are conducted on patients belonging to low-to middle-income families, due to easy acceptance. This also proves to be advantageous for the company. All of these become lucrative opportunities for businesses wanting to invest.</w:t>
      </w:r>
    </w:p>
    <w:p w14:paraId="7F9BEFCF" w14:textId="77777777" w:rsidR="007847D8" w:rsidRPr="003A2B57" w:rsidRDefault="007847D8" w:rsidP="008E2414">
      <w:pPr>
        <w:spacing w:line="360" w:lineRule="auto"/>
        <w:jc w:val="center"/>
        <w:rPr>
          <w:sz w:val="24"/>
          <w:szCs w:val="24"/>
          <w:lang w:val="en-GB"/>
        </w:rPr>
      </w:pPr>
      <w:r w:rsidRPr="003A2B57">
        <w:rPr>
          <w:noProof/>
          <w:sz w:val="24"/>
          <w:szCs w:val="24"/>
          <w:lang w:val="en-IN" w:eastAsia="en-IN"/>
        </w:rPr>
        <w:lastRenderedPageBreak/>
        <w:drawing>
          <wp:inline distT="114300" distB="114300" distL="114300" distR="114300" wp14:anchorId="04A7F32B" wp14:editId="29059E56">
            <wp:extent cx="5943600" cy="2438400"/>
            <wp:effectExtent l="76200" t="76200" r="114300" b="114300"/>
            <wp:docPr id="178557569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43600"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4BE54B" w14:textId="17D2FFAD" w:rsidR="007847D8" w:rsidRPr="003A2B57" w:rsidRDefault="007847D8" w:rsidP="008E2414">
      <w:pPr>
        <w:spacing w:line="360" w:lineRule="auto"/>
        <w:jc w:val="center"/>
        <w:rPr>
          <w:b/>
          <w:bCs/>
          <w:sz w:val="24"/>
          <w:szCs w:val="24"/>
          <w:lang w:val="en-GB"/>
        </w:rPr>
      </w:pPr>
      <w:r w:rsidRPr="003A2B57">
        <w:rPr>
          <w:b/>
          <w:bCs/>
          <w:sz w:val="24"/>
          <w:szCs w:val="24"/>
          <w:lang w:val="en-GB"/>
        </w:rPr>
        <w:t>Figure</w:t>
      </w:r>
      <w:r w:rsidR="008B6C77">
        <w:rPr>
          <w:b/>
          <w:bCs/>
          <w:sz w:val="24"/>
          <w:szCs w:val="24"/>
          <w:lang w:val="en-GB"/>
        </w:rPr>
        <w:t xml:space="preserve"> 7</w:t>
      </w:r>
      <w:r w:rsidRPr="003A2B57">
        <w:rPr>
          <w:b/>
          <w:bCs/>
          <w:sz w:val="24"/>
          <w:szCs w:val="24"/>
          <w:lang w:val="en-GB"/>
        </w:rPr>
        <w:t>: Cancer incidence in India</w:t>
      </w:r>
    </w:p>
    <w:p w14:paraId="26A822EC" w14:textId="77777777" w:rsidR="007847D8" w:rsidRPr="003A2B57" w:rsidRDefault="007847D8" w:rsidP="008E2414">
      <w:pPr>
        <w:spacing w:line="360" w:lineRule="auto"/>
        <w:jc w:val="center"/>
        <w:rPr>
          <w:sz w:val="24"/>
          <w:szCs w:val="24"/>
          <w:lang w:val="en-GB"/>
        </w:rPr>
      </w:pPr>
      <w:r w:rsidRPr="003A2B57">
        <w:rPr>
          <w:sz w:val="24"/>
          <w:szCs w:val="24"/>
          <w:lang w:val="en-GB"/>
        </w:rPr>
        <w:t>(Source: Indianexpress.com, 2025)</w:t>
      </w:r>
    </w:p>
    <w:p w14:paraId="1B5085D0"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In contradiction to the advantages mentioned above, there are some location-based disadvantages as well. Firstly, the price of drugs is heavily monitored and controlled by a governmental agency. The National Pharmaceutical Pricing Authority controls the price of drugs available and distributed in India (Nppa.gov.in, 2025). The body was primarily made to keep drug prices affordable for consumers. Drugs related to cancer also encounter this price challenge. This creates a challenge in receiving adequate revenue for GSK. </w:t>
      </w:r>
    </w:p>
    <w:p w14:paraId="7B2A3A60"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Secondly, the time for approval of drugs in India is historically slow. In order to eliminate this drug lag, the Central Drug Standard Control Organisation has proposed to streamline drug approval within 45 days, but it has yet to be implemented. </w:t>
      </w:r>
    </w:p>
    <w:p w14:paraId="1E0E6F76"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Thirdly, Rathod (2022) states the significant amount of patent opposition that occurs within India, by the civil society groups. This paves the path for generic medicines within the Indian market, and pressurises companies to lower their prices for life-saving drugs. This lowers the effectiveness of GSK patents in India. </w:t>
      </w:r>
    </w:p>
    <w:p w14:paraId="2AD6BBA3"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Therefore, even though India provides GSK a large market with growing patients needing cancer drugs, the institutional risks are significant. </w:t>
      </w:r>
    </w:p>
    <w:p w14:paraId="0AE937C8" w14:textId="7244B8C7" w:rsidR="007847D8" w:rsidRPr="008B6C77" w:rsidRDefault="00FB0853" w:rsidP="008E2414">
      <w:pPr>
        <w:pStyle w:val="Heading2"/>
        <w:spacing w:before="0" w:after="0"/>
        <w:rPr>
          <w:lang w:val="en-GB"/>
        </w:rPr>
      </w:pPr>
      <w:bookmarkStart w:id="10" w:name="_Toc216689675"/>
      <w:r>
        <w:rPr>
          <w:lang w:val="en-GB"/>
        </w:rPr>
        <w:t xml:space="preserve">3.2.3 </w:t>
      </w:r>
      <w:r w:rsidR="007847D8" w:rsidRPr="008B6C77">
        <w:rPr>
          <w:lang w:val="en-GB"/>
        </w:rPr>
        <w:t>Internalisation advantage</w:t>
      </w:r>
      <w:bookmarkEnd w:id="10"/>
    </w:p>
    <w:p w14:paraId="300DA5C9" w14:textId="77777777" w:rsidR="007847D8" w:rsidRPr="003A2B57" w:rsidRDefault="007847D8" w:rsidP="008E2414">
      <w:pPr>
        <w:spacing w:line="360" w:lineRule="auto"/>
        <w:jc w:val="both"/>
        <w:rPr>
          <w:sz w:val="24"/>
          <w:szCs w:val="24"/>
          <w:lang w:val="en-GB"/>
        </w:rPr>
      </w:pPr>
      <w:r w:rsidRPr="003A2B57">
        <w:rPr>
          <w:sz w:val="24"/>
          <w:szCs w:val="24"/>
          <w:lang w:val="en-GB"/>
        </w:rPr>
        <w:t xml:space="preserve">Sharing of critical knowledge and technology related to cancer drug development bears several risks. Silva (2021) states that there might be a risk of opportunism, where the knowledge is either imitated or leaked for unethical gains. Considering this </w:t>
      </w:r>
      <w:r w:rsidRPr="003A2B57">
        <w:rPr>
          <w:sz w:val="24"/>
          <w:szCs w:val="24"/>
          <w:lang w:val="en-GB"/>
        </w:rPr>
        <w:lastRenderedPageBreak/>
        <w:t xml:space="preserve">risk, GSK has often been seen to select options like joint ventures, where the strategic oversight of the company is very strong. In such situations, it is optimal to outsource commercial marketing activities while retaining control over the drug manufacturing processes. </w:t>
      </w:r>
    </w:p>
    <w:p w14:paraId="169DD75B" w14:textId="1A11F021" w:rsidR="007847D8" w:rsidRDefault="007847D8" w:rsidP="008E2414">
      <w:pPr>
        <w:spacing w:line="360" w:lineRule="auto"/>
        <w:jc w:val="both"/>
        <w:rPr>
          <w:sz w:val="24"/>
          <w:szCs w:val="24"/>
          <w:lang w:val="en-GB"/>
        </w:rPr>
      </w:pPr>
      <w:r w:rsidRPr="003A2B57">
        <w:rPr>
          <w:sz w:val="24"/>
          <w:szCs w:val="24"/>
          <w:lang w:val="en-GB"/>
        </w:rPr>
        <w:t>Through assessment of all three OLI aspects, it can be stated that GSK has a stronghold on patents; it needs entry modes that are highly regulated. On the contrary, even though a wholly owned subsidiary also offers high control operating amidst the regulatory volatility of India makes it risky. Therefore, in order to balance the risks, partnerships or joint ventures are most suitable for GSK in the Indian context.</w:t>
      </w:r>
    </w:p>
    <w:p w14:paraId="14F7CFBF" w14:textId="77777777" w:rsidR="008E2414" w:rsidRDefault="008E2414">
      <w:pPr>
        <w:rPr>
          <w:b/>
          <w:sz w:val="24"/>
          <w:szCs w:val="40"/>
        </w:rPr>
      </w:pPr>
      <w:r>
        <w:br w:type="page"/>
      </w:r>
    </w:p>
    <w:p w14:paraId="23C85F74" w14:textId="4ACC26C2" w:rsidR="00450EEC" w:rsidRDefault="00450EEC" w:rsidP="008E2414">
      <w:pPr>
        <w:pStyle w:val="Heading1"/>
        <w:spacing w:before="0" w:after="0"/>
      </w:pPr>
      <w:bookmarkStart w:id="11" w:name="_Toc216689676"/>
      <w:r>
        <w:lastRenderedPageBreak/>
        <w:t>4: Critical Evaluation of Cultural Differences</w:t>
      </w:r>
      <w:bookmarkEnd w:id="11"/>
    </w:p>
    <w:p w14:paraId="5902BAEF" w14:textId="77777777" w:rsidR="00450EEC" w:rsidRDefault="00450EEC" w:rsidP="008E2414">
      <w:pPr>
        <w:pStyle w:val="Heading2"/>
        <w:spacing w:before="0" w:after="0"/>
      </w:pPr>
      <w:bookmarkStart w:id="12" w:name="_Toc216689677"/>
      <w:r>
        <w:t>4.1 Cultural profile comparison</w:t>
      </w:r>
      <w:bookmarkEnd w:id="12"/>
    </w:p>
    <w:p w14:paraId="58CA3BD6" w14:textId="77777777" w:rsidR="00450EEC" w:rsidRDefault="00450EEC" w:rsidP="008E2414">
      <w:pPr>
        <w:spacing w:line="360" w:lineRule="auto"/>
        <w:jc w:val="center"/>
        <w:rPr>
          <w:sz w:val="24"/>
          <w:szCs w:val="24"/>
        </w:rPr>
      </w:pPr>
      <w:r>
        <w:rPr>
          <w:noProof/>
          <w:sz w:val="24"/>
          <w:szCs w:val="24"/>
          <w:lang w:val="en-IN"/>
        </w:rPr>
        <w:drawing>
          <wp:inline distT="114300" distB="114300" distL="114300" distR="114300" wp14:anchorId="4C40E95F" wp14:editId="7145BF9E">
            <wp:extent cx="5943600" cy="31877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3187700"/>
                    </a:xfrm>
                    <a:prstGeom prst="rect">
                      <a:avLst/>
                    </a:prstGeom>
                    <a:ln w="12700">
                      <a:solidFill>
                        <a:srgbClr val="000000"/>
                      </a:solidFill>
                      <a:prstDash val="solid"/>
                    </a:ln>
                  </pic:spPr>
                </pic:pic>
              </a:graphicData>
            </a:graphic>
          </wp:inline>
        </w:drawing>
      </w:r>
    </w:p>
    <w:p w14:paraId="616678DA" w14:textId="6458E7D9" w:rsidR="00450EEC" w:rsidRDefault="00BE71D4" w:rsidP="008E2414">
      <w:pPr>
        <w:spacing w:line="360" w:lineRule="auto"/>
        <w:jc w:val="center"/>
        <w:rPr>
          <w:b/>
          <w:bCs/>
          <w:sz w:val="24"/>
          <w:szCs w:val="24"/>
        </w:rPr>
      </w:pPr>
      <w:r>
        <w:rPr>
          <w:b/>
          <w:bCs/>
          <w:sz w:val="24"/>
          <w:szCs w:val="24"/>
        </w:rPr>
        <w:t>Figure 8</w:t>
      </w:r>
      <w:r w:rsidR="00450EEC">
        <w:rPr>
          <w:b/>
          <w:bCs/>
          <w:sz w:val="24"/>
          <w:szCs w:val="24"/>
        </w:rPr>
        <w:t>: Hofstede’s cultural profile comparison between the UK and India</w:t>
      </w:r>
    </w:p>
    <w:p w14:paraId="3337238E" w14:textId="77777777" w:rsidR="00450EEC" w:rsidRDefault="00450EEC" w:rsidP="008E2414">
      <w:pPr>
        <w:spacing w:line="360" w:lineRule="auto"/>
        <w:jc w:val="center"/>
        <w:rPr>
          <w:sz w:val="24"/>
          <w:szCs w:val="24"/>
        </w:rPr>
      </w:pPr>
      <w:r>
        <w:rPr>
          <w:sz w:val="24"/>
          <w:szCs w:val="24"/>
        </w:rPr>
        <w:t>(Source: Hofstede Insights, 2025)</w:t>
      </w:r>
    </w:p>
    <w:p w14:paraId="655BC8B0" w14:textId="67C836C3" w:rsidR="00450EEC" w:rsidRDefault="00450EEC" w:rsidP="008E2414">
      <w:pPr>
        <w:widowControl w:val="0"/>
        <w:spacing w:line="360" w:lineRule="auto"/>
        <w:jc w:val="both"/>
        <w:rPr>
          <w:sz w:val="24"/>
          <w:szCs w:val="24"/>
        </w:rPr>
      </w:pPr>
      <w:r>
        <w:rPr>
          <w:sz w:val="24"/>
          <w:szCs w:val="24"/>
        </w:rPr>
        <w:t xml:space="preserve">A Power Distance (PDI) score for the UK and India is 35 (low) and 77 (high), respectively. It reveals that a conflict between egalitarian (UK-based) and hierarchical (India-based) cultures is expected in the international expansion process. On the other hand, a high (76) individualism score for the UK and a low (24) score have been found from the analysis. </w:t>
      </w:r>
      <w:r w:rsidR="008E2414">
        <w:rPr>
          <w:sz w:val="24"/>
          <w:szCs w:val="24"/>
        </w:rPr>
        <w:t>Its</w:t>
      </w:r>
      <w:r>
        <w:rPr>
          <w:sz w:val="24"/>
          <w:szCs w:val="24"/>
        </w:rPr>
        <w:t xml:space="preserve"> implied differences in performance management between individualist and collectivist cultures (Malik </w:t>
      </w:r>
      <w:r>
        <w:rPr>
          <w:i/>
          <w:iCs/>
          <w:sz w:val="24"/>
          <w:szCs w:val="24"/>
        </w:rPr>
        <w:t>et al.</w:t>
      </w:r>
      <w:r>
        <w:rPr>
          <w:sz w:val="24"/>
          <w:szCs w:val="24"/>
        </w:rPr>
        <w:t xml:space="preserve">, 2021). Hence, GSK is required to shift its reward structure from individual-centric to group-based recognition. In terms of “motivation towards achievement and success”, a slight difference in score between the UK (66) and India (56) can be noticed. As a consequence, a moderate alignment in competition-driven culture in both countries can be noticed. Both countries have shown low uncertainty avoidance (UK:35; India:40), which indicates the scope of developing an adaptable operating environment. </w:t>
      </w:r>
    </w:p>
    <w:p w14:paraId="0D2EFA6E" w14:textId="63B3149D" w:rsidR="00450EEC" w:rsidRDefault="00450EEC" w:rsidP="008E2414">
      <w:pPr>
        <w:widowControl w:val="0"/>
        <w:spacing w:line="360" w:lineRule="auto"/>
        <w:jc w:val="both"/>
        <w:rPr>
          <w:sz w:val="24"/>
          <w:szCs w:val="24"/>
        </w:rPr>
      </w:pPr>
      <w:r>
        <w:rPr>
          <w:sz w:val="24"/>
          <w:szCs w:val="24"/>
        </w:rPr>
        <w:t xml:space="preserve">In addition, as per Hofstede’s cultural dimension analysis, the long-term orientation for the UK and India is 60 (high) and 51 (moderate), respectively. A moderate difference can be beneficial for GSK in expanding or re-entering the Indian oncology-based pharmaceutical market. The long-term orientation also helps in managing </w:t>
      </w:r>
      <w:r>
        <w:rPr>
          <w:sz w:val="24"/>
          <w:szCs w:val="24"/>
        </w:rPr>
        <w:lastRenderedPageBreak/>
        <w:t xml:space="preserve">stakeholder expectations while R&amp;D activities take time to generate credible results. Finally, the UK has been viewed as an indulgent culture (IVR: 69) while India is </w:t>
      </w:r>
      <w:r w:rsidR="008E2414">
        <w:rPr>
          <w:sz w:val="24"/>
          <w:szCs w:val="24"/>
        </w:rPr>
        <w:t>recognized</w:t>
      </w:r>
      <w:r>
        <w:rPr>
          <w:sz w:val="24"/>
          <w:szCs w:val="24"/>
        </w:rPr>
        <w:t xml:space="preserve"> as a restrained culture (IVR: 26). This implies that employee expectations and motivation strategies for GSK in India are required to be modified based on varying social norms and discipline (Sandhu and Chanana, 2025). In terms of leadership style, a situational leadership style has to be preferred to delegate responsibilities as per the given context. </w:t>
      </w:r>
    </w:p>
    <w:p w14:paraId="5E4A166A" w14:textId="77777777" w:rsidR="00450EEC" w:rsidRDefault="00450EEC" w:rsidP="008E2414">
      <w:pPr>
        <w:widowControl w:val="0"/>
        <w:spacing w:line="360" w:lineRule="auto"/>
        <w:jc w:val="center"/>
        <w:rPr>
          <w:sz w:val="24"/>
          <w:szCs w:val="24"/>
        </w:rPr>
      </w:pPr>
      <w:r>
        <w:rPr>
          <w:noProof/>
          <w:sz w:val="24"/>
          <w:szCs w:val="24"/>
          <w:lang w:val="en-IN"/>
        </w:rPr>
        <w:drawing>
          <wp:inline distT="114300" distB="114300" distL="114300" distR="114300" wp14:anchorId="1BD51600" wp14:editId="58B9AC61">
            <wp:extent cx="5943600" cy="34290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943600" cy="3429000"/>
                    </a:xfrm>
                    <a:prstGeom prst="rect">
                      <a:avLst/>
                    </a:prstGeom>
                    <a:ln w="12700">
                      <a:solidFill>
                        <a:srgbClr val="000000"/>
                      </a:solidFill>
                      <a:prstDash val="solid"/>
                    </a:ln>
                  </pic:spPr>
                </pic:pic>
              </a:graphicData>
            </a:graphic>
          </wp:inline>
        </w:drawing>
      </w:r>
    </w:p>
    <w:p w14:paraId="5B4AD326" w14:textId="2BC8F41F" w:rsidR="00450EEC" w:rsidRDefault="0099530C" w:rsidP="008E2414">
      <w:pPr>
        <w:widowControl w:val="0"/>
        <w:spacing w:line="360" w:lineRule="auto"/>
        <w:jc w:val="center"/>
        <w:rPr>
          <w:b/>
          <w:bCs/>
          <w:sz w:val="24"/>
          <w:szCs w:val="24"/>
        </w:rPr>
      </w:pPr>
      <w:r>
        <w:rPr>
          <w:b/>
          <w:bCs/>
          <w:sz w:val="24"/>
          <w:szCs w:val="24"/>
        </w:rPr>
        <w:t>Figure 9</w:t>
      </w:r>
      <w:r w:rsidR="00450EEC">
        <w:rPr>
          <w:b/>
          <w:bCs/>
          <w:sz w:val="24"/>
          <w:szCs w:val="24"/>
        </w:rPr>
        <w:t>: Trompenaar’s Corporate Management Culture</w:t>
      </w:r>
    </w:p>
    <w:p w14:paraId="60932F32" w14:textId="77777777" w:rsidR="00450EEC" w:rsidRDefault="00450EEC" w:rsidP="008E2414">
      <w:pPr>
        <w:widowControl w:val="0"/>
        <w:spacing w:line="360" w:lineRule="auto"/>
        <w:jc w:val="center"/>
        <w:rPr>
          <w:sz w:val="24"/>
          <w:szCs w:val="24"/>
        </w:rPr>
      </w:pPr>
      <w:r>
        <w:rPr>
          <w:sz w:val="24"/>
          <w:szCs w:val="24"/>
        </w:rPr>
        <w:t>(Source: Francis, 2024)</w:t>
      </w:r>
    </w:p>
    <w:p w14:paraId="09867B91" w14:textId="44288CAF" w:rsidR="00450EEC" w:rsidRDefault="00450EEC" w:rsidP="008E2414">
      <w:pPr>
        <w:widowControl w:val="0"/>
        <w:spacing w:line="360" w:lineRule="auto"/>
        <w:jc w:val="both"/>
        <w:rPr>
          <w:sz w:val="24"/>
          <w:szCs w:val="24"/>
        </w:rPr>
      </w:pPr>
      <w:r>
        <w:rPr>
          <w:sz w:val="24"/>
          <w:szCs w:val="24"/>
        </w:rPr>
        <w:t xml:space="preserve">To compare cultural profiles between the home country and host country for the UK, an application of Trompenaars’ cultural dimension and ‘corporate management culture’ frameworks has been ensured. In the context of ‘universalism vs. particularism’, UK culture has shown high universalism while the Indian culture has been aligned with high particularism (Khalique, Madan and Puri, 2023). Hence, a major conflict may occur in developing SOPs and forming a homogenous corporate culture for GSK in India. For example, it is necessary to develop trust and personal rapport along with following formal compliance norms in the Indian context. On the other hand, a focus on hierarchy to develop a ‘chain of command’ during task completion has to be considered for GSK in India. A moderate rate of </w:t>
      </w:r>
      <w:r w:rsidR="008E2414">
        <w:rPr>
          <w:sz w:val="24"/>
          <w:szCs w:val="24"/>
        </w:rPr>
        <w:t>formalization</w:t>
      </w:r>
      <w:r>
        <w:rPr>
          <w:sz w:val="24"/>
          <w:szCs w:val="24"/>
        </w:rPr>
        <w:t xml:space="preserve"> based on a combination of ‘task-emphasis’ and ‘person-</w:t>
      </w:r>
      <w:r w:rsidR="008E2414">
        <w:rPr>
          <w:sz w:val="24"/>
          <w:szCs w:val="24"/>
        </w:rPr>
        <w:t>emphases</w:t>
      </w:r>
      <w:r>
        <w:rPr>
          <w:sz w:val="24"/>
          <w:szCs w:val="24"/>
        </w:rPr>
        <w:t xml:space="preserve"> has been </w:t>
      </w:r>
      <w:r>
        <w:rPr>
          <w:sz w:val="24"/>
          <w:szCs w:val="24"/>
        </w:rPr>
        <w:lastRenderedPageBreak/>
        <w:t xml:space="preserve">considered in developing an appropriate corporate culture in India. </w:t>
      </w:r>
    </w:p>
    <w:p w14:paraId="073F1A75" w14:textId="77777777" w:rsidR="00450EEC" w:rsidRDefault="00450EEC" w:rsidP="008E2414">
      <w:pPr>
        <w:pStyle w:val="Heading2"/>
        <w:spacing w:before="0" w:after="0"/>
      </w:pPr>
      <w:bookmarkStart w:id="13" w:name="_Toc216689678"/>
      <w:r>
        <w:t>4.2 Impact on market entry strategy</w:t>
      </w:r>
      <w:bookmarkEnd w:id="13"/>
    </w:p>
    <w:p w14:paraId="1AE6B780" w14:textId="661161FA" w:rsidR="00450EEC" w:rsidRDefault="00450EEC" w:rsidP="008E2414">
      <w:pPr>
        <w:spacing w:line="360" w:lineRule="auto"/>
        <w:jc w:val="both"/>
        <w:rPr>
          <w:sz w:val="24"/>
          <w:szCs w:val="24"/>
        </w:rPr>
      </w:pPr>
      <w:r>
        <w:rPr>
          <w:sz w:val="24"/>
          <w:szCs w:val="24"/>
        </w:rPr>
        <w:t xml:space="preserve">An in-depth understanding of the corporate culture assisted in the development of a ‘specialised market entry’ strategy for GSK has been considered while re-entering oncology-based pharmaceutical operations and supply in India. A ‘tiered-pricing’ structure and ‘innovation-led high-impact therapies’ have been considered as the company has announced the launch of “Jemperli” and “Zejula” (The Times of India, 2025). These two precision therapies have been aimed at treating gynaecological cancers (ovarian and endometrial). Based on the existing culture and scope of expansion of GSK in India, a patient support initiative (‘Phoenix’) has been considered. The market entry (re-entry in the oncology division) has adopted a strategy of repositioning GSK’s business and product portfolio in India. Initially, domestic manufacturing has been reinforced while developing a </w:t>
      </w:r>
      <w:r w:rsidR="008E2414">
        <w:rPr>
          <w:sz w:val="24"/>
          <w:szCs w:val="24"/>
        </w:rPr>
        <w:t>specialty</w:t>
      </w:r>
      <w:r>
        <w:rPr>
          <w:sz w:val="24"/>
          <w:szCs w:val="24"/>
        </w:rPr>
        <w:t xml:space="preserve">/oncology platform. </w:t>
      </w:r>
    </w:p>
    <w:p w14:paraId="201A576F" w14:textId="77777777" w:rsidR="00450EEC" w:rsidRDefault="00450EEC" w:rsidP="008E2414">
      <w:pPr>
        <w:spacing w:line="360" w:lineRule="auto"/>
        <w:jc w:val="both"/>
        <w:rPr>
          <w:sz w:val="24"/>
          <w:szCs w:val="24"/>
        </w:rPr>
      </w:pPr>
      <w:r>
        <w:rPr>
          <w:sz w:val="24"/>
          <w:szCs w:val="24"/>
        </w:rPr>
        <w:t xml:space="preserve">Apart from that, the past market entry decisions for GSK in India included the acquisition of BDH Group Limited. As the brand has existing operations in other domains, its new entry into the oncology pharmaceuticals division can be best suited with the acquisition-based “incremental internationalisation” model. As sustained innovation and HCP contributed to 9% revenue growth in FY 2024-25 for GSK India, a focus on collaboration with third-party partners (“Contract Manufacturing Organisations” - CMO) has been considered to improve the outcome of the distribution network (Annual Report, 2025). It allows a rapid scope of delivery of oncology therapeutic medicines through 20 CMO partners and 6,000 stockists associated with 26 nationwide warehouses (GSK India, 2025). Based on the cultural aspects, digital tools similar to the ‘VaxiKart app’ have to be developed to ensure online access to oncology therapeutic solutions. </w:t>
      </w:r>
    </w:p>
    <w:p w14:paraId="2D98FE10" w14:textId="77777777" w:rsidR="00450EEC" w:rsidRDefault="00450EEC" w:rsidP="008E2414">
      <w:pPr>
        <w:pStyle w:val="Heading2"/>
        <w:spacing w:before="0" w:after="0"/>
      </w:pPr>
      <w:bookmarkStart w:id="14" w:name="_Toc216689679"/>
      <w:r>
        <w:t>4.3 Impact on potential for success (post-entry)</w:t>
      </w:r>
      <w:bookmarkEnd w:id="14"/>
    </w:p>
    <w:p w14:paraId="61578341" w14:textId="77777777" w:rsidR="00450EEC" w:rsidRDefault="00450EEC" w:rsidP="008E2414">
      <w:pPr>
        <w:spacing w:line="360" w:lineRule="auto"/>
        <w:jc w:val="both"/>
        <w:rPr>
          <w:sz w:val="24"/>
          <w:szCs w:val="24"/>
        </w:rPr>
      </w:pPr>
      <w:r>
        <w:rPr>
          <w:sz w:val="24"/>
          <w:szCs w:val="24"/>
        </w:rPr>
        <w:t xml:space="preserve">In terms of developing marketing and sales operations to address the demands of a collectivist culture, such as India, a focus on sales model adaptation and the development of the doctor-patient relationship has been considered. GSK has been focusing on gaining institutional credibility as quality certification of the launched products is promoted through brand websites and social media channels. Moreover, knowledge base and awareness of GSK’s oncological solutions are expected to be increased due to collaboration with doctors and other members of medical </w:t>
      </w:r>
      <w:r>
        <w:rPr>
          <w:sz w:val="24"/>
          <w:szCs w:val="24"/>
        </w:rPr>
        <w:lastRenderedPageBreak/>
        <w:t xml:space="preserve">communities in the marketing process. An active engagement of healthcare professionals (HCPs) is expected to contribute to a further streamlined supply chain for GSK (Gomez-Sanchez </w:t>
      </w:r>
      <w:r>
        <w:rPr>
          <w:i/>
          <w:iCs/>
          <w:sz w:val="24"/>
          <w:szCs w:val="24"/>
        </w:rPr>
        <w:t>et al.</w:t>
      </w:r>
      <w:r>
        <w:rPr>
          <w:sz w:val="24"/>
          <w:szCs w:val="24"/>
        </w:rPr>
        <w:t xml:space="preserve">, 2021). Formalised access and structured transactions can lead to further credibility of the product launch in the oncology treatment sector. </w:t>
      </w:r>
    </w:p>
    <w:p w14:paraId="75532D7A" w14:textId="4F5DD239" w:rsidR="00450EEC" w:rsidRDefault="00450EEC" w:rsidP="008E2414">
      <w:pPr>
        <w:spacing w:line="360" w:lineRule="auto"/>
        <w:jc w:val="both"/>
        <w:rPr>
          <w:b/>
          <w:bCs/>
          <w:sz w:val="24"/>
          <w:szCs w:val="24"/>
        </w:rPr>
      </w:pPr>
      <w:r>
        <w:rPr>
          <w:sz w:val="24"/>
          <w:szCs w:val="24"/>
        </w:rPr>
        <w:t xml:space="preserve">In addition, word-of-mouth marketing can play a vital role in a collectivist culture (India) so that GSK’s solutions can be integrated into long-term treatment initiatives for the targeted Indian patients. Adoption of the “Anti-Bribery </w:t>
      </w:r>
      <w:r w:rsidR="008E2414">
        <w:rPr>
          <w:sz w:val="24"/>
          <w:szCs w:val="24"/>
        </w:rPr>
        <w:t>and</w:t>
      </w:r>
      <w:r>
        <w:rPr>
          <w:sz w:val="24"/>
          <w:szCs w:val="24"/>
        </w:rPr>
        <w:t xml:space="preserve"> Corruption” (ABAC) programme can lead to increased trust of stakeholders in the pharmaceutical industry (KPMG, 2025). An ethical positioning of the brand can be developed to increase long-term prescription success by 15% in a trust-based ecosystem (Bourcier-Béquaert, Baïada-Hirèche and Sachet-Milliat, 2020). On the other hand, HRM practices can be modified as there is a scope for implementing directive leadership styles to provide clear instructions to the hierarchy. As India offers a high-PDI environment, ‘psychological safety’ and ‘accountability for impact’ have to be ensured. A need for considering constructive feedback in performance reporting can ensure transparency in company operations in India. </w:t>
      </w:r>
      <w:r>
        <w:br w:type="page"/>
      </w:r>
    </w:p>
    <w:p w14:paraId="13048B7F" w14:textId="33B5B677" w:rsidR="00450EEC" w:rsidRDefault="00450EEC" w:rsidP="008E2414">
      <w:pPr>
        <w:pStyle w:val="Heading1"/>
        <w:spacing w:before="0" w:after="0"/>
      </w:pPr>
      <w:bookmarkStart w:id="15" w:name="_Toc216689680"/>
      <w:r>
        <w:lastRenderedPageBreak/>
        <w:t>5: Recommended SOP adjustment for success</w:t>
      </w:r>
      <w:bookmarkEnd w:id="15"/>
    </w:p>
    <w:p w14:paraId="30684973" w14:textId="77777777" w:rsidR="00450EEC" w:rsidRDefault="00450EEC" w:rsidP="008E2414">
      <w:pPr>
        <w:pStyle w:val="Heading2"/>
        <w:spacing w:before="0" w:after="0"/>
      </w:pPr>
      <w:bookmarkStart w:id="16" w:name="_Toc216689681"/>
      <w:r>
        <w:t>5.1 Rationale and context</w:t>
      </w:r>
      <w:bookmarkEnd w:id="16"/>
    </w:p>
    <w:p w14:paraId="2BD6911A" w14:textId="77777777" w:rsidR="00450EEC" w:rsidRDefault="00450EEC" w:rsidP="008E2414">
      <w:pPr>
        <w:spacing w:line="360" w:lineRule="auto"/>
        <w:jc w:val="both"/>
        <w:rPr>
          <w:sz w:val="24"/>
          <w:szCs w:val="24"/>
        </w:rPr>
      </w:pPr>
      <w:r>
        <w:rPr>
          <w:sz w:val="24"/>
          <w:szCs w:val="24"/>
        </w:rPr>
        <w:t xml:space="preserve">The rationale for developing SOP is to address organisational change as it plans to enter (or re-enter) an international emerging economy/market (India). An application of Lewin’s change management model has been considered for GSK as it follows an ‘incremental internationalisation’ strategy in India. In the ‘unfreeze’ phase, a repositioning strategy has to be focused on organisational operations as it enters high-value speciality segments, including oncology. In the change process, GSK has to implement “innovative pricing models”, “patient assistance programs” and “digital marketing initiatives” to increase awareness of oncology-related speciality drugs such as Jemperli and Zejula (Ghangurde, 2024). </w:t>
      </w:r>
    </w:p>
    <w:p w14:paraId="6189617E" w14:textId="77777777" w:rsidR="00450EEC" w:rsidRDefault="00450EEC" w:rsidP="008E2414">
      <w:pPr>
        <w:spacing w:line="360" w:lineRule="auto"/>
        <w:jc w:val="both"/>
        <w:rPr>
          <w:sz w:val="24"/>
          <w:szCs w:val="24"/>
        </w:rPr>
      </w:pPr>
      <w:r>
        <w:rPr>
          <w:sz w:val="24"/>
          <w:szCs w:val="24"/>
        </w:rPr>
        <w:t xml:space="preserve">Use of tiered pricing has been considered to address affordability issues in the Indian pharmaceutical sector. Use of phased payment plans is also expected to purchase rate of the therapeutic drugs. Finally, in the refreeze phase, institutionalising new practices is expected to develop supply chain resilience as two new speciality drugs are introduced in the distribution network (Memon, Shah and Khoso, 2021). The market positioning for GSK India should allow more scope for continuous innovation investments. </w:t>
      </w:r>
    </w:p>
    <w:p w14:paraId="6E6E10D0" w14:textId="77777777" w:rsidR="00450EEC" w:rsidRDefault="00450EEC" w:rsidP="008E2414">
      <w:pPr>
        <w:pStyle w:val="Heading2"/>
        <w:spacing w:before="0" w:after="0"/>
      </w:pPr>
      <w:bookmarkStart w:id="17" w:name="_Toc216689682"/>
      <w:r>
        <w:t>5.2 Recommended adjustment 1: Ethical Marketing and HCP engagement</w:t>
      </w:r>
      <w:bookmarkEnd w:id="17"/>
    </w:p>
    <w:p w14:paraId="0F87E6F0" w14:textId="77777777" w:rsidR="00450EEC" w:rsidRDefault="00450EEC" w:rsidP="008E2414">
      <w:pPr>
        <w:spacing w:line="360" w:lineRule="auto"/>
        <w:jc w:val="both"/>
        <w:rPr>
          <w:sz w:val="24"/>
          <w:szCs w:val="24"/>
        </w:rPr>
      </w:pPr>
      <w:r>
        <w:rPr>
          <w:sz w:val="24"/>
          <w:szCs w:val="24"/>
        </w:rPr>
        <w:t xml:space="preserve">The global SOP for GSK prevents gifting or providing financial incentives to doctors to maintain integrity in applying a science-led communication model. As per the OLI framework, the communication model provides an ownership advantage for GSK. However, in the case of expanding into collectivist cultures such as India, it can lead to developing an impersonal stance and limit marketing effectiveness in the relationship-driven Indian pharmaceutical market. On the other hand, domestic firms can rely on transactional promotional practices, which may imply prescription resistance for GSK-manufactured products. Hence, a recommendation of marketing the brand as a ‘trusted advisor’ can maximise the outcome of relationship-based engagement in the Indian pharmaceutical market (Rasheed </w:t>
      </w:r>
      <w:r>
        <w:rPr>
          <w:i/>
          <w:iCs/>
          <w:sz w:val="24"/>
          <w:szCs w:val="24"/>
        </w:rPr>
        <w:t>et al.</w:t>
      </w:r>
      <w:r>
        <w:rPr>
          <w:sz w:val="24"/>
          <w:szCs w:val="24"/>
        </w:rPr>
        <w:t xml:space="preserve">, 2025). </w:t>
      </w:r>
    </w:p>
    <w:p w14:paraId="6BB343E6" w14:textId="77777777" w:rsidR="00450EEC" w:rsidRDefault="00450EEC" w:rsidP="008E2414">
      <w:pPr>
        <w:numPr>
          <w:ilvl w:val="0"/>
          <w:numId w:val="8"/>
        </w:numPr>
        <w:spacing w:line="360" w:lineRule="auto"/>
        <w:jc w:val="both"/>
        <w:rPr>
          <w:b/>
          <w:bCs/>
          <w:i/>
          <w:iCs/>
          <w:sz w:val="24"/>
          <w:szCs w:val="24"/>
        </w:rPr>
      </w:pPr>
      <w:r>
        <w:rPr>
          <w:b/>
          <w:bCs/>
          <w:i/>
          <w:iCs/>
          <w:sz w:val="24"/>
          <w:szCs w:val="24"/>
        </w:rPr>
        <w:t>Non-promotional community support</w:t>
      </w:r>
    </w:p>
    <w:p w14:paraId="5740D008" w14:textId="77777777" w:rsidR="00450EEC" w:rsidRDefault="00450EEC" w:rsidP="008E2414">
      <w:pPr>
        <w:spacing w:line="360" w:lineRule="auto"/>
        <w:jc w:val="both"/>
        <w:rPr>
          <w:sz w:val="24"/>
          <w:szCs w:val="24"/>
        </w:rPr>
      </w:pPr>
      <w:r>
        <w:rPr>
          <w:sz w:val="24"/>
          <w:szCs w:val="24"/>
        </w:rPr>
        <w:t xml:space="preserve">It is recommended for the GSK India sales team to dedicate 25% of contact time to engaging with GSK-sponsored ‘Community Health Initiatives’ (CHI). It can lead to a transition from a ‘transaction approach’ to the development of an ‘institutional relationship model’ for doctors and medical staff (Kumar </w:t>
      </w:r>
      <w:r>
        <w:rPr>
          <w:i/>
          <w:iCs/>
          <w:sz w:val="24"/>
          <w:szCs w:val="24"/>
        </w:rPr>
        <w:t>et al.</w:t>
      </w:r>
      <w:r>
        <w:rPr>
          <w:sz w:val="24"/>
          <w:szCs w:val="24"/>
        </w:rPr>
        <w:t xml:space="preserve">, 2024). Use of digital </w:t>
      </w:r>
      <w:r>
        <w:rPr>
          <w:sz w:val="24"/>
          <w:szCs w:val="24"/>
        </w:rPr>
        <w:lastRenderedPageBreak/>
        <w:t xml:space="preserve">health monitoring tools has further increased engagement from community members and individuals from the medical community in promoting oncology-based solutions such as Jemperli and Zejula. </w:t>
      </w:r>
    </w:p>
    <w:p w14:paraId="6C7997F3" w14:textId="77777777" w:rsidR="00450EEC" w:rsidRDefault="00450EEC" w:rsidP="008E2414">
      <w:pPr>
        <w:numPr>
          <w:ilvl w:val="0"/>
          <w:numId w:val="6"/>
        </w:numPr>
        <w:spacing w:line="360" w:lineRule="auto"/>
        <w:jc w:val="both"/>
        <w:rPr>
          <w:b/>
          <w:bCs/>
          <w:i/>
          <w:iCs/>
          <w:sz w:val="24"/>
          <w:szCs w:val="24"/>
        </w:rPr>
      </w:pPr>
      <w:r>
        <w:rPr>
          <w:b/>
          <w:bCs/>
          <w:i/>
          <w:iCs/>
          <w:sz w:val="24"/>
          <w:szCs w:val="24"/>
        </w:rPr>
        <w:t>Medical Education Partnership</w:t>
      </w:r>
    </w:p>
    <w:p w14:paraId="0FC72557" w14:textId="77777777" w:rsidR="00450EEC" w:rsidRDefault="00450EEC" w:rsidP="008E2414">
      <w:pPr>
        <w:spacing w:line="360" w:lineRule="auto"/>
        <w:jc w:val="both"/>
        <w:rPr>
          <w:sz w:val="24"/>
          <w:szCs w:val="24"/>
        </w:rPr>
      </w:pPr>
      <w:r>
        <w:rPr>
          <w:sz w:val="24"/>
          <w:szCs w:val="24"/>
        </w:rPr>
        <w:t xml:space="preserve">Engagement of doctors with GSK products in the oncology section can be maximised by introducing accredited ‘Continuous Medical Examination’ (CME) workshops for the medical fraternity. Use of a clinical research partnership can lead to 15-20% greater penetration of the mentioned drugs among the targeted patient communities (Festa </w:t>
      </w:r>
      <w:r>
        <w:rPr>
          <w:i/>
          <w:iCs/>
          <w:sz w:val="24"/>
          <w:szCs w:val="24"/>
        </w:rPr>
        <w:t>et al.</w:t>
      </w:r>
      <w:r>
        <w:rPr>
          <w:sz w:val="24"/>
          <w:szCs w:val="24"/>
        </w:rPr>
        <w:t xml:space="preserve">, 2021). </w:t>
      </w:r>
    </w:p>
    <w:p w14:paraId="65F028FC" w14:textId="77777777" w:rsidR="00450EEC" w:rsidRDefault="00450EEC" w:rsidP="008E2414">
      <w:pPr>
        <w:numPr>
          <w:ilvl w:val="0"/>
          <w:numId w:val="3"/>
        </w:numPr>
        <w:spacing w:line="360" w:lineRule="auto"/>
        <w:jc w:val="both"/>
        <w:rPr>
          <w:b/>
          <w:bCs/>
          <w:sz w:val="24"/>
          <w:szCs w:val="24"/>
        </w:rPr>
      </w:pPr>
      <w:r>
        <w:rPr>
          <w:b/>
          <w:bCs/>
          <w:sz w:val="24"/>
          <w:szCs w:val="24"/>
        </w:rPr>
        <w:t>Documentation of scientific dialogue</w:t>
      </w:r>
    </w:p>
    <w:p w14:paraId="49613618" w14:textId="77777777" w:rsidR="00450EEC" w:rsidRDefault="00450EEC" w:rsidP="008E2414">
      <w:pPr>
        <w:spacing w:line="360" w:lineRule="auto"/>
        <w:jc w:val="both"/>
        <w:rPr>
          <w:sz w:val="24"/>
          <w:szCs w:val="24"/>
        </w:rPr>
      </w:pPr>
      <w:r>
        <w:rPr>
          <w:sz w:val="24"/>
          <w:szCs w:val="24"/>
        </w:rPr>
        <w:t xml:space="preserve">For every HCP visit, GSK India executive teams are expected to record detailed documentation of the engagement process. It can include inputs from doctors about the scope of further use of existing drugs or other insights to improve the effectiveness of R&amp;D outcomes based on oncology patient responses. </w:t>
      </w:r>
    </w:p>
    <w:p w14:paraId="31651BCC" w14:textId="77777777" w:rsidR="00450EEC" w:rsidRDefault="00450EEC" w:rsidP="008E2414">
      <w:pPr>
        <w:pStyle w:val="Heading2"/>
        <w:spacing w:before="0" w:after="0"/>
      </w:pPr>
      <w:bookmarkStart w:id="18" w:name="_Toc216689683"/>
      <w:r>
        <w:t>5.3 Recommended adjustment 2: Focus on internal communication and performance management</w:t>
      </w:r>
      <w:bookmarkEnd w:id="18"/>
      <w:r>
        <w:t xml:space="preserve"> </w:t>
      </w:r>
    </w:p>
    <w:p w14:paraId="0EE83C3A" w14:textId="77777777" w:rsidR="00450EEC" w:rsidRDefault="00450EEC" w:rsidP="008E2414">
      <w:pPr>
        <w:spacing w:line="360" w:lineRule="auto"/>
        <w:jc w:val="both"/>
        <w:rPr>
          <w:sz w:val="24"/>
          <w:szCs w:val="24"/>
        </w:rPr>
      </w:pPr>
      <w:r>
        <w:rPr>
          <w:sz w:val="24"/>
          <w:szCs w:val="24"/>
        </w:rPr>
        <w:t xml:space="preserve">An analysis of current challenges in the ‘incremental internationalisation’ process for GSK India has highlighted the issue of high PDI. It has resulted in minimal consideration of upward feedback from ground-level workers. In alignment with global GSK practices, a 360-degree feedback has to be implemented to ensure transparency and contribute to agility in organisational decision-making. The company has to make changes to administrative policies so that it can make a strategic shift from a low-PDI environment (UK) to a high-PDI environment (India). It has been found that cultural misalignment reduces organisational productivity by 23% (Festa </w:t>
      </w:r>
      <w:r>
        <w:rPr>
          <w:i/>
          <w:iCs/>
          <w:sz w:val="24"/>
          <w:szCs w:val="24"/>
        </w:rPr>
        <w:t>et al.</w:t>
      </w:r>
      <w:r>
        <w:rPr>
          <w:sz w:val="24"/>
          <w:szCs w:val="24"/>
        </w:rPr>
        <w:t xml:space="preserve">, 2020). It can be adjusted with the necessary modifications in internal communication. </w:t>
      </w:r>
    </w:p>
    <w:p w14:paraId="7E5B2BBF" w14:textId="77777777" w:rsidR="00450EEC" w:rsidRDefault="00450EEC" w:rsidP="008E2414">
      <w:pPr>
        <w:numPr>
          <w:ilvl w:val="0"/>
          <w:numId w:val="4"/>
        </w:numPr>
        <w:spacing w:line="360" w:lineRule="auto"/>
        <w:jc w:val="both"/>
        <w:rPr>
          <w:b/>
          <w:bCs/>
          <w:i/>
          <w:iCs/>
          <w:sz w:val="24"/>
          <w:szCs w:val="24"/>
        </w:rPr>
      </w:pPr>
      <w:r>
        <w:rPr>
          <w:b/>
          <w:bCs/>
          <w:i/>
          <w:iCs/>
          <w:sz w:val="24"/>
          <w:szCs w:val="24"/>
        </w:rPr>
        <w:t>Use of an anonymous digital feedback platform</w:t>
      </w:r>
    </w:p>
    <w:p w14:paraId="0AAA44D0" w14:textId="4BFEB57A" w:rsidR="00710256" w:rsidRDefault="00450EEC" w:rsidP="008E2414">
      <w:pPr>
        <w:spacing w:line="360" w:lineRule="auto"/>
        <w:jc w:val="both"/>
        <w:rPr>
          <w:sz w:val="24"/>
          <w:szCs w:val="24"/>
        </w:rPr>
      </w:pPr>
      <w:r>
        <w:rPr>
          <w:sz w:val="24"/>
          <w:szCs w:val="24"/>
        </w:rPr>
        <w:t>In terms of SOP for GSK India, it is recommended that a third-party anonymous digital feedback tool be implemented in performance reviews. It can lead to a better understanding of concerns associated with management effectiveness while distributing the oncology-related drugs in India. As disciplinary action can be taken in case of poor performance of subordinates, it can lead to standardisation of marketing, sales and HCP engagement efficiency for GSK teams.</w:t>
      </w:r>
    </w:p>
    <w:p w14:paraId="2017CC20" w14:textId="54761FCD" w:rsidR="00450EEC" w:rsidRDefault="00710256" w:rsidP="00710256">
      <w:pPr>
        <w:rPr>
          <w:sz w:val="24"/>
          <w:szCs w:val="24"/>
        </w:rPr>
      </w:pPr>
      <w:r>
        <w:rPr>
          <w:sz w:val="24"/>
          <w:szCs w:val="24"/>
        </w:rPr>
        <w:br w:type="page"/>
      </w:r>
    </w:p>
    <w:p w14:paraId="411E8DF2" w14:textId="77777777" w:rsidR="00450EEC" w:rsidRDefault="00450EEC" w:rsidP="008E2414">
      <w:pPr>
        <w:numPr>
          <w:ilvl w:val="0"/>
          <w:numId w:val="2"/>
        </w:numPr>
        <w:spacing w:line="360" w:lineRule="auto"/>
        <w:jc w:val="both"/>
        <w:rPr>
          <w:b/>
          <w:bCs/>
          <w:i/>
          <w:iCs/>
          <w:sz w:val="24"/>
          <w:szCs w:val="24"/>
        </w:rPr>
      </w:pPr>
      <w:r>
        <w:rPr>
          <w:b/>
          <w:bCs/>
          <w:i/>
          <w:iCs/>
          <w:sz w:val="24"/>
          <w:szCs w:val="24"/>
        </w:rPr>
        <w:lastRenderedPageBreak/>
        <w:t>Development of cross-functional project teams</w:t>
      </w:r>
    </w:p>
    <w:p w14:paraId="4C384119" w14:textId="77777777" w:rsidR="00450EEC" w:rsidRDefault="00450EEC" w:rsidP="008E2414">
      <w:pPr>
        <w:spacing w:line="360" w:lineRule="auto"/>
        <w:jc w:val="both"/>
        <w:rPr>
          <w:sz w:val="24"/>
          <w:szCs w:val="24"/>
        </w:rPr>
      </w:pPr>
      <w:r>
        <w:rPr>
          <w:sz w:val="24"/>
          <w:szCs w:val="24"/>
        </w:rPr>
        <w:t xml:space="preserve">In a multicultural environment, delivering value through multi-stakeholder projects can be achieved for GSK India through developing short-term project-specific cross-functional teams. It has been found that task-based leadership reduce compliance violation risks in product innovation by 16% (Vasudevan, 2025). Besides, decentralised decision-making has to be followed to develop local leadership quality. It can further contribute to developing a feedback-based and psychologically safe work environment for employees. </w:t>
      </w:r>
    </w:p>
    <w:p w14:paraId="2526412A" w14:textId="77777777" w:rsidR="00450EEC" w:rsidRDefault="00450EEC" w:rsidP="008E2414">
      <w:pPr>
        <w:numPr>
          <w:ilvl w:val="0"/>
          <w:numId w:val="10"/>
        </w:numPr>
        <w:spacing w:line="360" w:lineRule="auto"/>
        <w:jc w:val="both"/>
        <w:rPr>
          <w:b/>
          <w:bCs/>
          <w:i/>
          <w:iCs/>
          <w:sz w:val="24"/>
          <w:szCs w:val="24"/>
        </w:rPr>
      </w:pPr>
      <w:r>
        <w:rPr>
          <w:b/>
          <w:bCs/>
          <w:i/>
          <w:iCs/>
          <w:sz w:val="24"/>
          <w:szCs w:val="24"/>
        </w:rPr>
        <w:t>Developing an approach of ‘leader-as-facilitator’</w:t>
      </w:r>
    </w:p>
    <w:p w14:paraId="479E9D02" w14:textId="77777777" w:rsidR="00450EEC" w:rsidRDefault="00450EEC" w:rsidP="008E2414">
      <w:pPr>
        <w:spacing w:line="360" w:lineRule="auto"/>
        <w:jc w:val="both"/>
        <w:rPr>
          <w:sz w:val="24"/>
          <w:szCs w:val="24"/>
        </w:rPr>
      </w:pPr>
      <w:r>
        <w:rPr>
          <w:sz w:val="24"/>
          <w:szCs w:val="24"/>
        </w:rPr>
        <w:t xml:space="preserve">A ‘leader-as-facilitator’ approach has been recommended as a communication model so that managers can be trained to appropriately engage with HCP to improve the distribution of oncology-related drugs for GSK. Use of team-based suggestions can contribute to making incremental improvements in product innovation and ensure cultural alignment with the Indian corporate culture. Integrating location-specific intelligence with global SOPs for GSK has been recommended to increase the efficiency of internal performance management. </w:t>
      </w:r>
    </w:p>
    <w:p w14:paraId="2AFA2AC6" w14:textId="77777777" w:rsidR="00450EEC" w:rsidRDefault="00450EEC" w:rsidP="008E2414">
      <w:pPr>
        <w:pStyle w:val="Heading2"/>
        <w:spacing w:before="0" w:after="0"/>
      </w:pPr>
      <w:bookmarkStart w:id="19" w:name="_Toc216689684"/>
      <w:r>
        <w:t>5.4 Recommended adjustment 3: Focus on supply chain integrity</w:t>
      </w:r>
      <w:bookmarkEnd w:id="19"/>
    </w:p>
    <w:p w14:paraId="5A47A7A0" w14:textId="77777777" w:rsidR="00450EEC" w:rsidRDefault="00450EEC" w:rsidP="008E2414">
      <w:pPr>
        <w:spacing w:line="360" w:lineRule="auto"/>
        <w:jc w:val="both"/>
        <w:rPr>
          <w:sz w:val="24"/>
          <w:szCs w:val="24"/>
        </w:rPr>
      </w:pPr>
      <w:r>
        <w:rPr>
          <w:sz w:val="24"/>
          <w:szCs w:val="24"/>
        </w:rPr>
        <w:t xml:space="preserve">Linking GSK India’s current scope with the findings of the OLI framework, it can be said that a ‘location-based’ disadvantage is experienced due to a fragmented supply chain. As a result, the company has to develop partnerships with multiple third-party CMOs. As product quality and ethics in the pharmaceutical manufacturing process, it is necessary to strictly prevent counterfeiting and cold chain breaches. It further maximises the risk of violation of ABAC protocols. In the context of enhancing GSK’s internationalisation advantage, it is recommended that due diligence of suppliers and vendors in the Indian network be performed. Partnering with stakeholders that follow sustainability and ethical distribution norms can lead to increased supply chain integrity for GSK. </w:t>
      </w:r>
    </w:p>
    <w:p w14:paraId="09F679B9" w14:textId="77777777" w:rsidR="00450EEC" w:rsidRDefault="00450EEC" w:rsidP="008E2414">
      <w:pPr>
        <w:numPr>
          <w:ilvl w:val="0"/>
          <w:numId w:val="5"/>
        </w:numPr>
        <w:spacing w:line="360" w:lineRule="auto"/>
        <w:jc w:val="both"/>
        <w:rPr>
          <w:b/>
          <w:bCs/>
          <w:i/>
          <w:iCs/>
          <w:sz w:val="24"/>
          <w:szCs w:val="24"/>
        </w:rPr>
      </w:pPr>
      <w:r>
        <w:rPr>
          <w:b/>
          <w:bCs/>
          <w:i/>
          <w:iCs/>
          <w:sz w:val="24"/>
          <w:szCs w:val="24"/>
        </w:rPr>
        <w:t>Adopting SET protocols</w:t>
      </w:r>
    </w:p>
    <w:p w14:paraId="4FA86474" w14:textId="77777777" w:rsidR="00450EEC" w:rsidRDefault="00450EEC" w:rsidP="008E2414">
      <w:pPr>
        <w:spacing w:line="360" w:lineRule="auto"/>
        <w:jc w:val="both"/>
        <w:rPr>
          <w:sz w:val="24"/>
          <w:szCs w:val="24"/>
        </w:rPr>
      </w:pPr>
      <w:r>
        <w:rPr>
          <w:sz w:val="24"/>
          <w:szCs w:val="24"/>
        </w:rPr>
        <w:t xml:space="preserve">To enhance the transparency and efficiency of SCM operations for the distribution of Jemperli and Zejula for GSK India, the use of “serialised e-tracking” (SET) facilities is recommended (Nwador, 2025). It can lead to the inclusion of a traceable ID on each pack of drugs being manufactured and transported. Hence, it is directed at improving supply chain integrity as it offers a scope of creating a “digitally enforceable chain of custody” that can assist GSK to reduce the risk of counterfeiting. In the present </w:t>
      </w:r>
      <w:r>
        <w:rPr>
          <w:sz w:val="24"/>
          <w:szCs w:val="24"/>
        </w:rPr>
        <w:lastRenderedPageBreak/>
        <w:t xml:space="preserve">context, the adoption of technology can further contribute to the ownership advantage associated with brand integrity. </w:t>
      </w:r>
    </w:p>
    <w:p w14:paraId="0A22A377" w14:textId="77777777" w:rsidR="00450EEC" w:rsidRDefault="00450EEC" w:rsidP="008E2414">
      <w:pPr>
        <w:numPr>
          <w:ilvl w:val="0"/>
          <w:numId w:val="9"/>
        </w:numPr>
        <w:spacing w:line="360" w:lineRule="auto"/>
        <w:jc w:val="both"/>
        <w:rPr>
          <w:b/>
          <w:bCs/>
          <w:i/>
          <w:iCs/>
          <w:sz w:val="24"/>
          <w:szCs w:val="24"/>
        </w:rPr>
      </w:pPr>
      <w:r>
        <w:rPr>
          <w:b/>
          <w:bCs/>
          <w:i/>
          <w:iCs/>
          <w:sz w:val="24"/>
          <w:szCs w:val="24"/>
        </w:rPr>
        <w:t>Cold Chain compliance</w:t>
      </w:r>
    </w:p>
    <w:p w14:paraId="6DE5C03A" w14:textId="77777777" w:rsidR="00450EEC" w:rsidRDefault="00450EEC" w:rsidP="008E2414">
      <w:pPr>
        <w:spacing w:line="360" w:lineRule="auto"/>
        <w:jc w:val="both"/>
        <w:rPr>
          <w:sz w:val="24"/>
          <w:szCs w:val="24"/>
        </w:rPr>
      </w:pPr>
      <w:r>
        <w:rPr>
          <w:sz w:val="24"/>
          <w:szCs w:val="24"/>
        </w:rPr>
        <w:t xml:space="preserve">In case of transferring specific oncology-related drugs marked as temperature-sensitive products, a ‘continuous data logging’ under cold chain compliance is recommended. The SOP is expected to implement a zero-tolerance policy for any product being transferred at a temperature beyond the temperature threshold. It helps in maintaining quality in 99% of temperature-sensitive consignments (Joseph, 2024). Mandated GPS-tracking of the refrigerated containers used in SCM operations for GSK can further contribute to supply chain integrity. </w:t>
      </w:r>
    </w:p>
    <w:p w14:paraId="220C7386" w14:textId="77777777" w:rsidR="00450EEC" w:rsidRDefault="00450EEC" w:rsidP="008E2414">
      <w:pPr>
        <w:numPr>
          <w:ilvl w:val="0"/>
          <w:numId w:val="7"/>
        </w:numPr>
        <w:spacing w:line="360" w:lineRule="auto"/>
        <w:jc w:val="both"/>
        <w:rPr>
          <w:b/>
          <w:bCs/>
          <w:i/>
          <w:iCs/>
          <w:sz w:val="24"/>
          <w:szCs w:val="24"/>
        </w:rPr>
      </w:pPr>
      <w:r>
        <w:rPr>
          <w:b/>
          <w:bCs/>
          <w:i/>
          <w:iCs/>
          <w:sz w:val="24"/>
          <w:szCs w:val="24"/>
        </w:rPr>
        <w:t>Risk-tiered due diligence</w:t>
      </w:r>
    </w:p>
    <w:p w14:paraId="52B8984C" w14:textId="77777777" w:rsidR="00450EEC" w:rsidRDefault="00450EEC" w:rsidP="008E2414">
      <w:pPr>
        <w:spacing w:line="360" w:lineRule="auto"/>
        <w:jc w:val="both"/>
        <w:rPr>
          <w:sz w:val="24"/>
          <w:szCs w:val="24"/>
        </w:rPr>
      </w:pPr>
      <w:r>
        <w:rPr>
          <w:sz w:val="24"/>
          <w:szCs w:val="24"/>
        </w:rPr>
        <w:t>Following the “Third-Party Risk Management” promotes due diligence of all third-party engagements for GSK India while considering ABAC audit standards. Risk-tiering criteria have to be set that can have an allowable range for scrutiny. Based on the communication standards followed for 24,000 global GSK suppliers, a progressive embedding of GSK contractual principles is recommended. On the other hand, as digital tools are preferred in marketing, cybersecurity tiering has been recommended. As a continuation of existing practices at GSK India, “risk-based, quantitative TPRM” (TPRM 2.0) can be integrated to consider AI-based recommendations to mitigate supply chain risks (GSK, 2025).</w:t>
      </w:r>
    </w:p>
    <w:p w14:paraId="7AFCF033" w14:textId="77777777" w:rsidR="008E2414" w:rsidRDefault="008E2414">
      <w:pPr>
        <w:rPr>
          <w:b/>
          <w:sz w:val="24"/>
          <w:szCs w:val="40"/>
        </w:rPr>
      </w:pPr>
      <w:r>
        <w:br w:type="page"/>
      </w:r>
    </w:p>
    <w:p w14:paraId="0EB7736E" w14:textId="01E9A21D" w:rsidR="00450EEC" w:rsidRDefault="00450EEC" w:rsidP="008E2414">
      <w:pPr>
        <w:pStyle w:val="Heading1"/>
        <w:spacing w:before="0" w:after="0"/>
      </w:pPr>
      <w:bookmarkStart w:id="20" w:name="_Toc216689685"/>
      <w:r>
        <w:lastRenderedPageBreak/>
        <w:t>6: Conclusion</w:t>
      </w:r>
      <w:bookmarkEnd w:id="20"/>
    </w:p>
    <w:p w14:paraId="2ED3F1F1" w14:textId="77777777" w:rsidR="00450EEC" w:rsidRDefault="00450EEC" w:rsidP="008E2414">
      <w:pPr>
        <w:spacing w:line="360" w:lineRule="auto"/>
        <w:jc w:val="both"/>
        <w:rPr>
          <w:sz w:val="24"/>
          <w:szCs w:val="24"/>
        </w:rPr>
      </w:pPr>
      <w:r>
        <w:rPr>
          <w:sz w:val="24"/>
          <w:szCs w:val="24"/>
        </w:rPr>
        <w:t xml:space="preserve">The report has highlighted key aspects involved in the decision-making process for international expansion or market entry for a transnational brand (GSK PLC, UK). In aligning company activities with the international business framework, Porter’s Value Chain analysis has been considered. An analysis of traditional market entry modes has been conducted to show how GSK has entered the Indian market through acquisition. Several entry modes, including joint venture, strategic alliance and strategic acquisition, have been discussed. In the present case, it is following the ‘incremental internationalisation’ model to enter (or re-enter) the division of oncology-related pharmaceuticals. Information about R&amp;D, product manufacturing, sourcing raw materials and resource allocation has been presented and analysed through the framework to develop GSK’s competitive advantage in the Indian market. A VRIO-based benefit analysis for GSK India has been presented in this market entry process. </w:t>
      </w:r>
    </w:p>
    <w:p w14:paraId="13F5801F" w14:textId="77777777" w:rsidR="00450EEC" w:rsidRDefault="00450EEC" w:rsidP="008E2414">
      <w:pPr>
        <w:spacing w:line="360" w:lineRule="auto"/>
        <w:jc w:val="both"/>
        <w:rPr>
          <w:sz w:val="24"/>
          <w:szCs w:val="24"/>
        </w:rPr>
      </w:pPr>
      <w:r>
        <w:rPr>
          <w:sz w:val="24"/>
          <w:szCs w:val="24"/>
        </w:rPr>
        <w:t xml:space="preserve">In addition, the use of the eclectic paradigm (OLI framework) has been preferred to show how ownership of product IPs or manufacturing plants increased ownership advantage for GSK. A multi-varied portfolio has also contributed to knowledge transfer and following similar project schedules in developing oncology-related medicines. Also, location and internationalisation advantages have been strategically discussed for GSK. On the other hand, as a difference in culture is expected to be experienced for GSK in the home country (UK) and the host country (India), an analysis of Hofstede’s cultural dimensions and Trompenaar’s corporate management culture has been presented. Based on the findings, three key recommendations for modifying SOPs have been presented to provide a complete overview. </w:t>
      </w:r>
    </w:p>
    <w:p w14:paraId="3D35D2B1" w14:textId="77777777" w:rsidR="00450EEC" w:rsidRDefault="00450EEC" w:rsidP="008E2414">
      <w:pPr>
        <w:spacing w:line="360" w:lineRule="auto"/>
        <w:jc w:val="both"/>
        <w:rPr>
          <w:sz w:val="24"/>
          <w:szCs w:val="24"/>
          <w:lang w:val="en-GB"/>
        </w:rPr>
      </w:pPr>
    </w:p>
    <w:p w14:paraId="4B30BA70" w14:textId="7E0E9A45" w:rsidR="00570671" w:rsidRPr="00E63C90" w:rsidRDefault="00570671" w:rsidP="008E2414">
      <w:pPr>
        <w:spacing w:line="360" w:lineRule="auto"/>
        <w:rPr>
          <w:sz w:val="24"/>
          <w:szCs w:val="24"/>
          <w:lang w:val="en-GB"/>
        </w:rPr>
      </w:pPr>
      <w:r>
        <w:rPr>
          <w:sz w:val="24"/>
          <w:szCs w:val="24"/>
        </w:rPr>
        <w:br w:type="page"/>
      </w:r>
    </w:p>
    <w:p w14:paraId="276D33B5" w14:textId="77777777" w:rsidR="00570671" w:rsidRPr="000A64CB" w:rsidRDefault="00570671" w:rsidP="008E2414">
      <w:pPr>
        <w:pStyle w:val="Heading1"/>
        <w:spacing w:before="0" w:after="0"/>
      </w:pPr>
      <w:bookmarkStart w:id="21" w:name="_Toc216689686"/>
      <w:r w:rsidRPr="000A64CB">
        <w:lastRenderedPageBreak/>
        <w:t>Reference List</w:t>
      </w:r>
      <w:bookmarkEnd w:id="21"/>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9"/>
      </w:tblGrid>
      <w:tr w:rsidR="00947A8B" w:rsidRPr="008C229D" w14:paraId="2E2B194F" w14:textId="77777777" w:rsidTr="008C27BD">
        <w:trPr>
          <w:tblCellSpacing w:w="0" w:type="dxa"/>
        </w:trPr>
        <w:tc>
          <w:tcPr>
            <w:tcW w:w="0" w:type="auto"/>
            <w:shd w:val="clear" w:color="auto" w:fill="FFFFFF"/>
            <w:vAlign w:val="center"/>
            <w:hideMark/>
          </w:tcPr>
          <w:p w14:paraId="1ED00A62" w14:textId="77777777" w:rsidR="00947A8B" w:rsidRPr="008C229D" w:rsidRDefault="00947A8B" w:rsidP="008E2414">
            <w:pPr>
              <w:spacing w:line="360" w:lineRule="auto"/>
              <w:jc w:val="both"/>
              <w:outlineLvl w:val="0"/>
              <w:rPr>
                <w:rFonts w:eastAsia="Times New Roman"/>
                <w:b/>
                <w:bCs/>
                <w:color w:val="000000"/>
                <w:kern w:val="36"/>
                <w:sz w:val="30"/>
                <w:szCs w:val="30"/>
              </w:rPr>
            </w:pPr>
          </w:p>
        </w:tc>
      </w:tr>
      <w:tr w:rsidR="00947A8B" w:rsidRPr="008C229D" w14:paraId="548AFC0E" w14:textId="77777777" w:rsidTr="008C27BD">
        <w:trPr>
          <w:tblCellSpacing w:w="0" w:type="dxa"/>
        </w:trPr>
        <w:tc>
          <w:tcPr>
            <w:tcW w:w="0" w:type="auto"/>
            <w:shd w:val="clear" w:color="auto" w:fill="FFFFFF"/>
            <w:hideMark/>
          </w:tcPr>
          <w:p w14:paraId="4676BF05" w14:textId="77777777" w:rsidR="00947A8B" w:rsidRPr="008C229D" w:rsidRDefault="00947A8B" w:rsidP="008E2414">
            <w:pPr>
              <w:spacing w:line="360" w:lineRule="auto"/>
              <w:jc w:val="both"/>
              <w:rPr>
                <w:rFonts w:eastAsia="Times New Roman"/>
                <w:color w:val="222222"/>
                <w:sz w:val="18"/>
                <w:szCs w:val="18"/>
              </w:rPr>
            </w:pPr>
          </w:p>
        </w:tc>
      </w:tr>
    </w:tbl>
    <w:p w14:paraId="326E5BF3" w14:textId="77777777" w:rsidR="00E63C90" w:rsidRPr="00E63C90" w:rsidRDefault="00E63C90" w:rsidP="008E2414">
      <w:pPr>
        <w:spacing w:line="360" w:lineRule="auto"/>
        <w:jc w:val="both"/>
        <w:rPr>
          <w:sz w:val="24"/>
          <w:szCs w:val="24"/>
        </w:rPr>
      </w:pPr>
      <w:r w:rsidRPr="00E63C90">
        <w:rPr>
          <w:sz w:val="24"/>
          <w:szCs w:val="24"/>
        </w:rPr>
        <w:t xml:space="preserve">Accesstomedicinefoundation.org (2025) </w:t>
      </w:r>
      <w:r w:rsidRPr="00E63C90">
        <w:rPr>
          <w:i/>
          <w:iCs/>
          <w:sz w:val="24"/>
          <w:szCs w:val="24"/>
        </w:rPr>
        <w:t>Performance in the 2024 Index</w:t>
      </w:r>
      <w:r w:rsidRPr="00E63C90">
        <w:rPr>
          <w:sz w:val="24"/>
          <w:szCs w:val="24"/>
        </w:rPr>
        <w:t xml:space="preserve"> Available at:  </w:t>
      </w:r>
      <w:hyperlink r:id="rId21" w:history="1">
        <w:r w:rsidRPr="00E63C90">
          <w:rPr>
            <w:rStyle w:val="Hyperlink"/>
            <w:sz w:val="24"/>
            <w:szCs w:val="24"/>
          </w:rPr>
          <w:t>https://accesstomedicinefoundation.org/company/glaxosmithkline-plc</w:t>
        </w:r>
      </w:hyperlink>
      <w:r w:rsidRPr="00E63C90">
        <w:rPr>
          <w:sz w:val="24"/>
          <w:szCs w:val="24"/>
        </w:rPr>
        <w:t xml:space="preserve"> [Accessed on: 26/11/2025]</w:t>
      </w:r>
    </w:p>
    <w:p w14:paraId="4ECA39B7" w14:textId="77777777" w:rsidR="00E63C90" w:rsidRPr="00E63C90" w:rsidRDefault="00E63C90" w:rsidP="008E2414">
      <w:pPr>
        <w:spacing w:line="360" w:lineRule="auto"/>
        <w:jc w:val="both"/>
        <w:rPr>
          <w:sz w:val="24"/>
          <w:szCs w:val="24"/>
        </w:rPr>
      </w:pPr>
      <w:r w:rsidRPr="00E63C90">
        <w:rPr>
          <w:sz w:val="24"/>
          <w:szCs w:val="24"/>
        </w:rPr>
        <w:t>Ajetunmobi, O.A. and Laobangdisa, S., (2024). ‘The Effect of Cultural and Socio-economics Factors on Consumer Perception’. </w:t>
      </w:r>
      <w:r w:rsidRPr="00E63C90">
        <w:rPr>
          <w:i/>
          <w:iCs/>
          <w:sz w:val="24"/>
          <w:szCs w:val="24"/>
        </w:rPr>
        <w:t>Consumer Perceptions and Food</w:t>
      </w:r>
      <w:r w:rsidRPr="00E63C90">
        <w:rPr>
          <w:sz w:val="24"/>
          <w:szCs w:val="24"/>
        </w:rPr>
        <w:t xml:space="preserve">, pp.23-44. </w:t>
      </w:r>
      <w:hyperlink r:id="rId22" w:history="1">
        <w:r w:rsidRPr="00E63C90">
          <w:rPr>
            <w:rStyle w:val="Hyperlink"/>
            <w:sz w:val="24"/>
            <w:szCs w:val="24"/>
          </w:rPr>
          <w:t>https://link.springer.com/chapter/10.1007/978-981-97-7870-6_2</w:t>
        </w:r>
      </w:hyperlink>
      <w:r w:rsidRPr="00E63C90">
        <w:rPr>
          <w:sz w:val="24"/>
          <w:szCs w:val="24"/>
        </w:rPr>
        <w:t xml:space="preserve"> </w:t>
      </w:r>
    </w:p>
    <w:p w14:paraId="3F15036A"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Annual Report (2025) </w:t>
      </w:r>
      <w:r w:rsidRPr="00E63C90">
        <w:rPr>
          <w:i/>
          <w:iCs/>
          <w:sz w:val="24"/>
          <w:szCs w:val="24"/>
          <w:lang w:val="en-IN"/>
        </w:rPr>
        <w:t>100th Annual General Meeting of GSK Pharmaceuticals Limited July 27, 2025</w:t>
      </w:r>
      <w:r w:rsidRPr="00E63C90">
        <w:rPr>
          <w:sz w:val="24"/>
          <w:szCs w:val="24"/>
          <w:lang w:val="en-IN"/>
        </w:rPr>
        <w:t>. Available at: https://india-pharma.gsk.com/media/133bxc5h/gsk-100th-agm-transcript-27062025.pdf (Accessed: 26 November 2025).</w:t>
      </w:r>
    </w:p>
    <w:p w14:paraId="2430BC7F" w14:textId="77777777" w:rsidR="00E63C90" w:rsidRPr="00E63C90" w:rsidRDefault="00E63C90" w:rsidP="008E2414">
      <w:pPr>
        <w:spacing w:line="360" w:lineRule="auto"/>
        <w:jc w:val="both"/>
        <w:rPr>
          <w:sz w:val="24"/>
          <w:szCs w:val="24"/>
        </w:rPr>
      </w:pPr>
      <w:r w:rsidRPr="00E63C90">
        <w:rPr>
          <w:sz w:val="24"/>
          <w:szCs w:val="24"/>
        </w:rPr>
        <w:t>Azis, A., Dewi, A., Septyadi, G., Sihite, R. and Khaddafi, M., (2023). ‘Joint venture and strategic alliance.’ </w:t>
      </w:r>
      <w:r w:rsidRPr="00E63C90">
        <w:rPr>
          <w:i/>
          <w:iCs/>
          <w:sz w:val="24"/>
          <w:szCs w:val="24"/>
        </w:rPr>
        <w:t>Journal of Accounting Research, Utility Finance and Digital Assets</w:t>
      </w:r>
      <w:r w:rsidRPr="00E63C90">
        <w:rPr>
          <w:sz w:val="24"/>
          <w:szCs w:val="24"/>
        </w:rPr>
        <w:t>, </w:t>
      </w:r>
      <w:r w:rsidRPr="00E63C90">
        <w:rPr>
          <w:i/>
          <w:iCs/>
          <w:sz w:val="24"/>
          <w:szCs w:val="24"/>
        </w:rPr>
        <w:t>2</w:t>
      </w:r>
      <w:r w:rsidRPr="00E63C90">
        <w:rPr>
          <w:sz w:val="24"/>
          <w:szCs w:val="24"/>
        </w:rPr>
        <w:t xml:space="preserve">(1), pp.435-444. </w:t>
      </w:r>
      <w:hyperlink r:id="rId23" w:history="1">
        <w:r w:rsidRPr="00E63C90">
          <w:rPr>
            <w:rStyle w:val="Hyperlink"/>
            <w:sz w:val="24"/>
            <w:szCs w:val="24"/>
          </w:rPr>
          <w:t>http://jaruda.org/index.php/go/article/download/66/56</w:t>
        </w:r>
      </w:hyperlink>
      <w:r w:rsidRPr="00E63C90">
        <w:rPr>
          <w:sz w:val="24"/>
          <w:szCs w:val="24"/>
        </w:rPr>
        <w:t xml:space="preserve"> </w:t>
      </w:r>
    </w:p>
    <w:p w14:paraId="7CBC1672"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Bourcier-Béquaert, B., Baïada-Hirèche, L. and Sachet-Milliat, A. (2020) ‘Cure or Sell: How Do Pharmaceutical Industry Marketers Combine Their Dual Mission? An Approach Using Moral Dissonance’, </w:t>
      </w:r>
      <w:r w:rsidRPr="00E63C90">
        <w:rPr>
          <w:i/>
          <w:iCs/>
          <w:sz w:val="24"/>
          <w:szCs w:val="24"/>
          <w:lang w:val="en-IN"/>
        </w:rPr>
        <w:t>Journal of Business Ethics</w:t>
      </w:r>
      <w:r w:rsidRPr="00E63C90">
        <w:rPr>
          <w:sz w:val="24"/>
          <w:szCs w:val="24"/>
          <w:lang w:val="en-IN"/>
        </w:rPr>
        <w:t xml:space="preserve"> [Preprint]. Available at: https://doi.org/10.1007/s10551-020-04657-4.</w:t>
      </w:r>
    </w:p>
    <w:p w14:paraId="56B60A19" w14:textId="77777777" w:rsidR="00E63C90" w:rsidRPr="00E63C90" w:rsidRDefault="00E63C90" w:rsidP="008E2414">
      <w:pPr>
        <w:spacing w:line="360" w:lineRule="auto"/>
        <w:jc w:val="both"/>
        <w:rPr>
          <w:sz w:val="24"/>
          <w:szCs w:val="24"/>
        </w:rPr>
      </w:pPr>
      <w:r w:rsidRPr="00E63C90">
        <w:rPr>
          <w:sz w:val="24"/>
          <w:szCs w:val="24"/>
        </w:rPr>
        <w:t>Desai, A., Sirohi, B. and Mathew, A., (2021). ‘Clinical trial access in low-and middle-income countries: a case study on India’. </w:t>
      </w:r>
      <w:r w:rsidRPr="00E63C90">
        <w:rPr>
          <w:i/>
          <w:iCs/>
          <w:sz w:val="24"/>
          <w:szCs w:val="24"/>
        </w:rPr>
        <w:t>Cancer Investigation</w:t>
      </w:r>
      <w:r w:rsidRPr="00E63C90">
        <w:rPr>
          <w:sz w:val="24"/>
          <w:szCs w:val="24"/>
        </w:rPr>
        <w:t>, </w:t>
      </w:r>
      <w:r w:rsidRPr="00E63C90">
        <w:rPr>
          <w:i/>
          <w:iCs/>
          <w:sz w:val="24"/>
          <w:szCs w:val="24"/>
        </w:rPr>
        <w:t>39</w:t>
      </w:r>
      <w:r w:rsidRPr="00E63C90">
        <w:rPr>
          <w:sz w:val="24"/>
          <w:szCs w:val="24"/>
        </w:rPr>
        <w:t xml:space="preserve">(9), pp.685-689. </w:t>
      </w:r>
      <w:hyperlink r:id="rId24" w:history="1">
        <w:r w:rsidRPr="00E63C90">
          <w:rPr>
            <w:rStyle w:val="Hyperlink"/>
            <w:sz w:val="24"/>
            <w:szCs w:val="24"/>
          </w:rPr>
          <w:t>https://www.tandfonline.com/doi/abs/10.1080/07357907.2021.1912078</w:t>
        </w:r>
      </w:hyperlink>
      <w:r w:rsidRPr="00E63C90">
        <w:rPr>
          <w:sz w:val="24"/>
          <w:szCs w:val="24"/>
        </w:rPr>
        <w:t xml:space="preserve"> </w:t>
      </w:r>
    </w:p>
    <w:p w14:paraId="20AE567F"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Festa, G., Kolte, A., Carli, M.R. and Rossi, M. (2021) ‘Envisioning the challenges of the pharmaceutical sector in the Indian health-care industry: a scenario analysis’, </w:t>
      </w:r>
      <w:r w:rsidRPr="00E63C90">
        <w:rPr>
          <w:i/>
          <w:iCs/>
          <w:sz w:val="24"/>
          <w:szCs w:val="24"/>
          <w:lang w:val="en-IN"/>
        </w:rPr>
        <w:t>Journal of Business &amp; Industrial Marketing</w:t>
      </w:r>
      <w:r w:rsidRPr="00E63C90">
        <w:rPr>
          <w:sz w:val="24"/>
          <w:szCs w:val="24"/>
          <w:lang w:val="en-IN"/>
        </w:rPr>
        <w:t>, ahead-of-print(ahead-of-print).</w:t>
      </w:r>
    </w:p>
    <w:p w14:paraId="5B3911D0" w14:textId="77777777" w:rsidR="00E63C90" w:rsidRPr="00E63C90" w:rsidRDefault="00E63C90" w:rsidP="008E2414">
      <w:pPr>
        <w:spacing w:line="360" w:lineRule="auto"/>
        <w:jc w:val="both"/>
        <w:rPr>
          <w:sz w:val="24"/>
          <w:szCs w:val="24"/>
        </w:rPr>
      </w:pPr>
      <w:r w:rsidRPr="00E63C90">
        <w:rPr>
          <w:sz w:val="24"/>
          <w:szCs w:val="24"/>
        </w:rPr>
        <w:t>Festa, G., Kolte, A., Carli, M.R. and Rossi, M., (2022). ‘Envisioning the challenges of the pharmaceutical sector in the Indian health-care industry: a scenario analysis.’ </w:t>
      </w:r>
      <w:r w:rsidRPr="00E63C90">
        <w:rPr>
          <w:i/>
          <w:iCs/>
          <w:sz w:val="24"/>
          <w:szCs w:val="24"/>
        </w:rPr>
        <w:t>Journal of Business &amp; Industrial Marketing</w:t>
      </w:r>
      <w:r w:rsidRPr="00E63C90">
        <w:rPr>
          <w:sz w:val="24"/>
          <w:szCs w:val="24"/>
        </w:rPr>
        <w:t>, </w:t>
      </w:r>
      <w:r w:rsidRPr="00E63C90">
        <w:rPr>
          <w:i/>
          <w:iCs/>
          <w:sz w:val="24"/>
          <w:szCs w:val="24"/>
        </w:rPr>
        <w:t>37</w:t>
      </w:r>
      <w:r w:rsidRPr="00E63C90">
        <w:rPr>
          <w:sz w:val="24"/>
          <w:szCs w:val="24"/>
        </w:rPr>
        <w:t xml:space="preserve">(8), pp.1662-1674. </w:t>
      </w:r>
      <w:hyperlink r:id="rId25" w:history="1">
        <w:r w:rsidRPr="00E63C90">
          <w:rPr>
            <w:rStyle w:val="Hyperlink"/>
            <w:sz w:val="24"/>
            <w:szCs w:val="24"/>
          </w:rPr>
          <w:t>https://www.emerald.com/insight/content/doi/10.1108/JBIM-07-2020-0365/full/html</w:t>
        </w:r>
      </w:hyperlink>
      <w:r w:rsidRPr="00E63C90">
        <w:rPr>
          <w:sz w:val="24"/>
          <w:szCs w:val="24"/>
        </w:rPr>
        <w:t xml:space="preserve"> </w:t>
      </w:r>
    </w:p>
    <w:p w14:paraId="376D43F0"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Festa, G., Rossi, M., Kolte, A. and Marinelli, L. (2020) ‘The contribution of intellectual capital to financial stability in Indian pharmaceutical companies’, </w:t>
      </w:r>
      <w:r w:rsidRPr="00E63C90">
        <w:rPr>
          <w:i/>
          <w:iCs/>
          <w:sz w:val="24"/>
          <w:szCs w:val="24"/>
          <w:lang w:val="en-IN"/>
        </w:rPr>
        <w:t>Journal of Intellectual Capital</w:t>
      </w:r>
      <w:r w:rsidRPr="00E63C90">
        <w:rPr>
          <w:sz w:val="24"/>
          <w:szCs w:val="24"/>
          <w:lang w:val="en-IN"/>
        </w:rPr>
        <w:t>, ahead-of-print(ahead-of-print). Available at: https://doi.org/10.1108/jic-03-2020-0091.</w:t>
      </w:r>
    </w:p>
    <w:p w14:paraId="75D40CD3"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Francis, A. (2024) </w:t>
      </w:r>
      <w:r w:rsidRPr="00E63C90">
        <w:rPr>
          <w:i/>
          <w:iCs/>
          <w:sz w:val="24"/>
          <w:szCs w:val="24"/>
          <w:lang w:val="en-IN"/>
        </w:rPr>
        <w:t>Trompenaar’s Four Types of Corporate Management Culture - MBA Knowledge Base</w:t>
      </w:r>
      <w:r w:rsidRPr="00E63C90">
        <w:rPr>
          <w:sz w:val="24"/>
          <w:szCs w:val="24"/>
          <w:lang w:val="en-IN"/>
        </w:rPr>
        <w:t xml:space="preserve">, </w:t>
      </w:r>
      <w:r w:rsidRPr="00E63C90">
        <w:rPr>
          <w:i/>
          <w:iCs/>
          <w:sz w:val="24"/>
          <w:szCs w:val="24"/>
          <w:lang w:val="en-IN"/>
        </w:rPr>
        <w:t>MBA Knowledge Base</w:t>
      </w:r>
      <w:r w:rsidRPr="00E63C90">
        <w:rPr>
          <w:sz w:val="24"/>
          <w:szCs w:val="24"/>
          <w:lang w:val="en-IN"/>
        </w:rPr>
        <w:t xml:space="preserve">. Available at: </w:t>
      </w:r>
      <w:r w:rsidRPr="00E63C90">
        <w:rPr>
          <w:sz w:val="24"/>
          <w:szCs w:val="24"/>
          <w:lang w:val="en-IN"/>
        </w:rPr>
        <w:lastRenderedPageBreak/>
        <w:t>https://www.mbaknol.com/modern-management-concepts/trompenaars-four-types-of-corporate-management-culture/ (Accessed: 26 November 2025).</w:t>
      </w:r>
    </w:p>
    <w:p w14:paraId="62FCF529" w14:textId="77777777" w:rsidR="00E63C90" w:rsidRPr="00E63C90" w:rsidRDefault="00E63C90" w:rsidP="008E2414">
      <w:pPr>
        <w:spacing w:line="360" w:lineRule="auto"/>
        <w:jc w:val="both"/>
        <w:rPr>
          <w:sz w:val="24"/>
          <w:szCs w:val="24"/>
        </w:rPr>
      </w:pPr>
      <w:r w:rsidRPr="00E63C90">
        <w:rPr>
          <w:sz w:val="24"/>
          <w:szCs w:val="24"/>
        </w:rPr>
        <w:t>Garavito Hernandez, Y. and Rueda Galvis, J.F., (2021). ‘Innovation and patents as a business success factor. </w:t>
      </w:r>
      <w:r w:rsidRPr="00E63C90">
        <w:rPr>
          <w:i/>
          <w:iCs/>
          <w:sz w:val="24"/>
          <w:szCs w:val="24"/>
        </w:rPr>
        <w:t>Journal of Economics, Finance and Administrative Science</w:t>
      </w:r>
      <w:r w:rsidRPr="00E63C90">
        <w:rPr>
          <w:sz w:val="24"/>
          <w:szCs w:val="24"/>
        </w:rPr>
        <w:t>,’ </w:t>
      </w:r>
      <w:r w:rsidRPr="00E63C90">
        <w:rPr>
          <w:i/>
          <w:iCs/>
          <w:sz w:val="24"/>
          <w:szCs w:val="24"/>
        </w:rPr>
        <w:t>26</w:t>
      </w:r>
      <w:r w:rsidRPr="00E63C90">
        <w:rPr>
          <w:sz w:val="24"/>
          <w:szCs w:val="24"/>
        </w:rPr>
        <w:t xml:space="preserve">(51), pp.143-159. </w:t>
      </w:r>
      <w:hyperlink r:id="rId26" w:history="1">
        <w:r w:rsidRPr="00E63C90">
          <w:rPr>
            <w:rStyle w:val="Hyperlink"/>
            <w:sz w:val="24"/>
            <w:szCs w:val="24"/>
          </w:rPr>
          <w:t>http://www.scielo.org.pe/scielo.php?pid=S2077-18862021000100143&amp;script=sci_abstract</w:t>
        </w:r>
      </w:hyperlink>
      <w:r w:rsidRPr="00E63C90">
        <w:rPr>
          <w:sz w:val="24"/>
          <w:szCs w:val="24"/>
        </w:rPr>
        <w:t xml:space="preserve"> </w:t>
      </w:r>
    </w:p>
    <w:p w14:paraId="1D55FF23"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Ghangurde, A. (2024) </w:t>
      </w:r>
      <w:r w:rsidRPr="00E63C90">
        <w:rPr>
          <w:i/>
          <w:iCs/>
          <w:sz w:val="24"/>
          <w:szCs w:val="24"/>
          <w:lang w:val="en-IN"/>
        </w:rPr>
        <w:t>100 Years In India -GSK’s Secret Sauce To Not Just Stay Relevant But Thrive</w:t>
      </w:r>
      <w:r w:rsidRPr="00E63C90">
        <w:rPr>
          <w:sz w:val="24"/>
          <w:szCs w:val="24"/>
          <w:lang w:val="en-IN"/>
        </w:rPr>
        <w:t>. Available at: https://india-pharma.gsk.com/media/yg4eqoe0/scrip-18-sep-24.pdf (Accessed: 26 November 2025).</w:t>
      </w:r>
    </w:p>
    <w:p w14:paraId="0729A202"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Gomez-Sanchez, R., Besley, S., Quayle, J., Green, J., Warren-Godkin, N., Areri, I. and Zeliku, Z. (2021) ‘Maintaining a High-Quality Screening Collection: The GSK Experience’, </w:t>
      </w:r>
      <w:r w:rsidRPr="00E63C90">
        <w:rPr>
          <w:i/>
          <w:iCs/>
          <w:sz w:val="24"/>
          <w:szCs w:val="24"/>
          <w:lang w:val="en-IN"/>
        </w:rPr>
        <w:t>SLAS Discovery</w:t>
      </w:r>
      <w:r w:rsidRPr="00E63C90">
        <w:rPr>
          <w:sz w:val="24"/>
          <w:szCs w:val="24"/>
          <w:lang w:val="en-IN"/>
        </w:rPr>
        <w:t>, 26(8), pp. 1065–1070. Available at: https://doi.org/10.1177/24725552211017526.</w:t>
      </w:r>
    </w:p>
    <w:p w14:paraId="6338D45B"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GSK (2025) </w:t>
      </w:r>
      <w:r w:rsidRPr="00E63C90">
        <w:rPr>
          <w:i/>
          <w:iCs/>
          <w:sz w:val="24"/>
          <w:szCs w:val="24"/>
          <w:lang w:val="en-IN"/>
        </w:rPr>
        <w:t>Working with third parties | GSK</w:t>
      </w:r>
      <w:r w:rsidRPr="00E63C90">
        <w:rPr>
          <w:sz w:val="24"/>
          <w:szCs w:val="24"/>
          <w:lang w:val="en-IN"/>
        </w:rPr>
        <w:t xml:space="preserve">, </w:t>
      </w:r>
      <w:r w:rsidRPr="00E63C90">
        <w:rPr>
          <w:i/>
          <w:iCs/>
          <w:sz w:val="24"/>
          <w:szCs w:val="24"/>
          <w:lang w:val="en-IN"/>
        </w:rPr>
        <w:t>www.gsk.com</w:t>
      </w:r>
      <w:r w:rsidRPr="00E63C90">
        <w:rPr>
          <w:sz w:val="24"/>
          <w:szCs w:val="24"/>
          <w:lang w:val="en-IN"/>
        </w:rPr>
        <w:t>. Available at: https://www.gsk.com/en-gb/responsibility/ethical-standards/working-with-third-parties/ (Accessed: 26 November 2025).</w:t>
      </w:r>
    </w:p>
    <w:p w14:paraId="163798A7"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GSK India (2025) </w:t>
      </w:r>
      <w:r w:rsidRPr="00E63C90">
        <w:rPr>
          <w:i/>
          <w:iCs/>
          <w:sz w:val="24"/>
          <w:szCs w:val="24"/>
          <w:lang w:val="en-IN"/>
        </w:rPr>
        <w:t>Discover GSK in India | GSK India</w:t>
      </w:r>
      <w:r w:rsidRPr="00E63C90">
        <w:rPr>
          <w:sz w:val="24"/>
          <w:szCs w:val="24"/>
          <w:lang w:val="en-IN"/>
        </w:rPr>
        <w:t xml:space="preserve">, </w:t>
      </w:r>
      <w:r w:rsidRPr="00E63C90">
        <w:rPr>
          <w:i/>
          <w:iCs/>
          <w:sz w:val="24"/>
          <w:szCs w:val="24"/>
          <w:lang w:val="en-IN"/>
        </w:rPr>
        <w:t>india-pharma.gsk.com</w:t>
      </w:r>
      <w:r w:rsidRPr="00E63C90">
        <w:rPr>
          <w:sz w:val="24"/>
          <w:szCs w:val="24"/>
          <w:lang w:val="en-IN"/>
        </w:rPr>
        <w:t>. Available at: https://india-pharma.gsk.com/en-in/company/discover-gsk-in-india/ (Accessed: 26 November 2025).</w:t>
      </w:r>
    </w:p>
    <w:p w14:paraId="6DE8003A" w14:textId="77777777" w:rsidR="00E63C90" w:rsidRPr="00E63C90" w:rsidRDefault="00E63C90" w:rsidP="008E2414">
      <w:pPr>
        <w:spacing w:line="360" w:lineRule="auto"/>
        <w:jc w:val="both"/>
        <w:rPr>
          <w:sz w:val="24"/>
          <w:szCs w:val="24"/>
        </w:rPr>
      </w:pPr>
      <w:r w:rsidRPr="00E63C90">
        <w:rPr>
          <w:bCs/>
          <w:sz w:val="24"/>
          <w:szCs w:val="24"/>
        </w:rPr>
        <w:t xml:space="preserve">GSK, (2024). </w:t>
      </w:r>
      <w:r w:rsidRPr="00E63C90">
        <w:rPr>
          <w:rFonts w:eastAsiaTheme="minorHAnsi"/>
          <w:i/>
          <w:sz w:val="24"/>
          <w:szCs w:val="24"/>
        </w:rPr>
        <w:t>GSK and Zhifei revise and extend strategic vaccine collaboration in China</w:t>
      </w:r>
      <w:r w:rsidRPr="00E63C90">
        <w:rPr>
          <w:i/>
          <w:sz w:val="24"/>
          <w:szCs w:val="24"/>
        </w:rPr>
        <w:t>.</w:t>
      </w:r>
      <w:r w:rsidRPr="00E63C90">
        <w:rPr>
          <w:bCs/>
          <w:sz w:val="24"/>
          <w:szCs w:val="24"/>
        </w:rPr>
        <w:t xml:space="preserve"> Available at: </w:t>
      </w:r>
      <w:hyperlink r:id="rId27" w:history="1">
        <w:r w:rsidRPr="00E63C90">
          <w:rPr>
            <w:rStyle w:val="Hyperlink"/>
            <w:sz w:val="24"/>
            <w:szCs w:val="24"/>
          </w:rPr>
          <w:t>https://www.gsk.com/en-gb/media/press-releases/gsk-and-zhifei-revise-and-extend-strategic-vaccine-collaboration-in-china/</w:t>
        </w:r>
      </w:hyperlink>
      <w:r w:rsidRPr="00E63C90">
        <w:rPr>
          <w:sz w:val="24"/>
          <w:szCs w:val="24"/>
        </w:rPr>
        <w:t xml:space="preserve"> </w:t>
      </w:r>
      <w:r w:rsidRPr="00E63C90">
        <w:rPr>
          <w:bCs/>
          <w:sz w:val="24"/>
          <w:szCs w:val="24"/>
        </w:rPr>
        <w:t>[Accessed on: 25/11/2025]</w:t>
      </w:r>
    </w:p>
    <w:p w14:paraId="785DAECC" w14:textId="77777777" w:rsidR="00E63C90" w:rsidRPr="00E63C90" w:rsidRDefault="00E63C90" w:rsidP="008E2414">
      <w:pPr>
        <w:spacing w:line="360" w:lineRule="auto"/>
        <w:jc w:val="both"/>
        <w:rPr>
          <w:bCs/>
          <w:sz w:val="24"/>
          <w:szCs w:val="24"/>
        </w:rPr>
      </w:pPr>
      <w:r w:rsidRPr="00E63C90">
        <w:rPr>
          <w:bCs/>
          <w:sz w:val="24"/>
          <w:szCs w:val="24"/>
        </w:rPr>
        <w:t xml:space="preserve">GSK, (2024). </w:t>
      </w:r>
      <w:r w:rsidRPr="00E63C90">
        <w:rPr>
          <w:i/>
          <w:sz w:val="24"/>
          <w:szCs w:val="24"/>
        </w:rPr>
        <w:t>Promotional and Non-Promotional External Interactions</w:t>
      </w:r>
      <w:r w:rsidRPr="00E63C90">
        <w:rPr>
          <w:bCs/>
          <w:i/>
          <w:sz w:val="24"/>
          <w:szCs w:val="24"/>
        </w:rPr>
        <w:t>.</w:t>
      </w:r>
      <w:r w:rsidRPr="00E63C90">
        <w:rPr>
          <w:bCs/>
          <w:sz w:val="24"/>
          <w:szCs w:val="24"/>
        </w:rPr>
        <w:t xml:space="preserve"> Available at: </w:t>
      </w:r>
      <w:hyperlink r:id="rId28" w:history="1">
        <w:r w:rsidRPr="00E63C90">
          <w:rPr>
            <w:rStyle w:val="Hyperlink"/>
            <w:sz w:val="24"/>
            <w:szCs w:val="24"/>
          </w:rPr>
          <w:t>https://www.gsk.com/media/ai1arglr/promotional-and-non-promotional-external-interactions-policy.pdf</w:t>
        </w:r>
      </w:hyperlink>
      <w:r w:rsidRPr="00E63C90">
        <w:rPr>
          <w:sz w:val="24"/>
          <w:szCs w:val="24"/>
        </w:rPr>
        <w:t xml:space="preserve"> </w:t>
      </w:r>
      <w:r w:rsidRPr="00E63C90">
        <w:rPr>
          <w:bCs/>
          <w:sz w:val="24"/>
          <w:szCs w:val="24"/>
        </w:rPr>
        <w:t>[Accessed on: 25/11/2025]</w:t>
      </w:r>
    </w:p>
    <w:p w14:paraId="3D07C085" w14:textId="77777777" w:rsidR="00E63C90" w:rsidRPr="00E63C90" w:rsidRDefault="00E63C90" w:rsidP="008E2414">
      <w:pPr>
        <w:spacing w:line="360" w:lineRule="auto"/>
        <w:jc w:val="both"/>
        <w:rPr>
          <w:sz w:val="24"/>
          <w:szCs w:val="24"/>
        </w:rPr>
      </w:pPr>
      <w:r w:rsidRPr="00E63C90">
        <w:rPr>
          <w:bCs/>
          <w:sz w:val="24"/>
          <w:szCs w:val="24"/>
        </w:rPr>
        <w:t xml:space="preserve">GSK, (2025). </w:t>
      </w:r>
      <w:r w:rsidRPr="00E63C90">
        <w:rPr>
          <w:i/>
          <w:sz w:val="24"/>
          <w:szCs w:val="24"/>
        </w:rPr>
        <w:t>GSK Annual Report 2024</w:t>
      </w:r>
      <w:r w:rsidRPr="00E63C90">
        <w:rPr>
          <w:bCs/>
          <w:i/>
          <w:sz w:val="24"/>
          <w:szCs w:val="24"/>
        </w:rPr>
        <w:t>.</w:t>
      </w:r>
      <w:r w:rsidRPr="00E63C90">
        <w:rPr>
          <w:bCs/>
          <w:sz w:val="24"/>
          <w:szCs w:val="24"/>
        </w:rPr>
        <w:t xml:space="preserve"> Available at: </w:t>
      </w:r>
      <w:hyperlink r:id="rId29" w:history="1">
        <w:r w:rsidRPr="00E63C90">
          <w:rPr>
            <w:rStyle w:val="Hyperlink"/>
            <w:sz w:val="24"/>
            <w:szCs w:val="24"/>
          </w:rPr>
          <w:t>https://www.annualreports.com/HostedData/AnnualReports/PDF/LSE_GSK_2024.pdf</w:t>
        </w:r>
      </w:hyperlink>
      <w:r w:rsidRPr="00E63C90">
        <w:rPr>
          <w:sz w:val="24"/>
          <w:szCs w:val="24"/>
        </w:rPr>
        <w:t xml:space="preserve"> </w:t>
      </w:r>
      <w:r w:rsidRPr="00E63C90">
        <w:rPr>
          <w:bCs/>
          <w:sz w:val="24"/>
          <w:szCs w:val="24"/>
        </w:rPr>
        <w:t>[Accessed on: 25/11/2025]</w:t>
      </w:r>
    </w:p>
    <w:p w14:paraId="6D718442" w14:textId="77777777" w:rsidR="00E63C90" w:rsidRPr="00E63C90" w:rsidRDefault="00E63C90" w:rsidP="008E2414">
      <w:pPr>
        <w:spacing w:line="360" w:lineRule="auto"/>
        <w:jc w:val="both"/>
        <w:rPr>
          <w:bCs/>
          <w:sz w:val="24"/>
          <w:szCs w:val="24"/>
        </w:rPr>
      </w:pPr>
      <w:r w:rsidRPr="00E63C90">
        <w:rPr>
          <w:bCs/>
          <w:sz w:val="24"/>
          <w:szCs w:val="24"/>
        </w:rPr>
        <w:t xml:space="preserve">GSK, (2025). </w:t>
      </w:r>
      <w:r w:rsidRPr="00E63C90">
        <w:rPr>
          <w:rFonts w:eastAsiaTheme="minorHAnsi"/>
          <w:i/>
          <w:sz w:val="24"/>
          <w:szCs w:val="24"/>
        </w:rPr>
        <w:t>GSK at a glance</w:t>
      </w:r>
      <w:r w:rsidRPr="00E63C90">
        <w:rPr>
          <w:bCs/>
          <w:i/>
          <w:sz w:val="24"/>
          <w:szCs w:val="24"/>
        </w:rPr>
        <w:t>.</w:t>
      </w:r>
      <w:r w:rsidRPr="00E63C90">
        <w:rPr>
          <w:bCs/>
          <w:sz w:val="24"/>
          <w:szCs w:val="24"/>
        </w:rPr>
        <w:t xml:space="preserve"> Available at: </w:t>
      </w:r>
      <w:hyperlink r:id="rId30" w:history="1">
        <w:r w:rsidRPr="00E63C90">
          <w:rPr>
            <w:rStyle w:val="Hyperlink"/>
            <w:sz w:val="24"/>
            <w:szCs w:val="24"/>
          </w:rPr>
          <w:t>https://www.gsk.com/en-gb/company/gsk-at-a-glance/</w:t>
        </w:r>
      </w:hyperlink>
      <w:r w:rsidRPr="00E63C90">
        <w:rPr>
          <w:sz w:val="24"/>
          <w:szCs w:val="24"/>
        </w:rPr>
        <w:t xml:space="preserve"> </w:t>
      </w:r>
      <w:r w:rsidRPr="00E63C90">
        <w:rPr>
          <w:bCs/>
          <w:sz w:val="24"/>
          <w:szCs w:val="24"/>
        </w:rPr>
        <w:t>[Accessed on: 25/11/2025]</w:t>
      </w:r>
    </w:p>
    <w:p w14:paraId="36EBBEEE" w14:textId="77777777" w:rsidR="00E63C90" w:rsidRPr="00E63C90" w:rsidRDefault="00E63C90" w:rsidP="008E2414">
      <w:pPr>
        <w:spacing w:line="360" w:lineRule="auto"/>
        <w:jc w:val="both"/>
        <w:rPr>
          <w:bCs/>
          <w:sz w:val="24"/>
          <w:szCs w:val="24"/>
        </w:rPr>
      </w:pPr>
      <w:r w:rsidRPr="00E63C90">
        <w:rPr>
          <w:bCs/>
          <w:sz w:val="24"/>
          <w:szCs w:val="24"/>
        </w:rPr>
        <w:t xml:space="preserve">GSK, (2025). </w:t>
      </w:r>
      <w:r w:rsidRPr="00E63C90">
        <w:rPr>
          <w:rFonts w:eastAsiaTheme="minorHAnsi"/>
          <w:i/>
          <w:sz w:val="24"/>
          <w:szCs w:val="24"/>
        </w:rPr>
        <w:t>Our global and regional hubs</w:t>
      </w:r>
      <w:r w:rsidRPr="00E63C90">
        <w:rPr>
          <w:bCs/>
          <w:i/>
          <w:sz w:val="24"/>
          <w:szCs w:val="24"/>
        </w:rPr>
        <w:t>.</w:t>
      </w:r>
      <w:r w:rsidRPr="00E63C90">
        <w:rPr>
          <w:bCs/>
          <w:sz w:val="24"/>
          <w:szCs w:val="24"/>
        </w:rPr>
        <w:t xml:space="preserve"> Available at: </w:t>
      </w:r>
      <w:hyperlink r:id="rId31" w:history="1">
        <w:r w:rsidRPr="00E63C90">
          <w:rPr>
            <w:rStyle w:val="Hyperlink"/>
            <w:sz w:val="24"/>
            <w:szCs w:val="24"/>
          </w:rPr>
          <w:t>https://www.gsk.com/en-gb/careers/our-global-and-regional-hubs/</w:t>
        </w:r>
      </w:hyperlink>
      <w:r w:rsidRPr="00E63C90">
        <w:rPr>
          <w:sz w:val="24"/>
          <w:szCs w:val="24"/>
        </w:rPr>
        <w:t xml:space="preserve"> </w:t>
      </w:r>
      <w:r w:rsidRPr="00E63C90">
        <w:rPr>
          <w:bCs/>
          <w:sz w:val="24"/>
          <w:szCs w:val="24"/>
        </w:rPr>
        <w:t>[Accessed on: 25/11/2025]</w:t>
      </w:r>
    </w:p>
    <w:p w14:paraId="0D087A1E" w14:textId="77777777" w:rsidR="00E63C90" w:rsidRPr="00E63C90" w:rsidRDefault="00E63C90" w:rsidP="008E2414">
      <w:pPr>
        <w:spacing w:line="360" w:lineRule="auto"/>
        <w:jc w:val="both"/>
        <w:rPr>
          <w:bCs/>
          <w:sz w:val="24"/>
          <w:szCs w:val="24"/>
        </w:rPr>
      </w:pPr>
      <w:r w:rsidRPr="00E63C90">
        <w:rPr>
          <w:bCs/>
          <w:sz w:val="24"/>
          <w:szCs w:val="24"/>
        </w:rPr>
        <w:lastRenderedPageBreak/>
        <w:t xml:space="preserve">GSK, (2025). </w:t>
      </w:r>
      <w:r w:rsidRPr="00E63C90">
        <w:rPr>
          <w:i/>
          <w:sz w:val="24"/>
          <w:szCs w:val="24"/>
        </w:rPr>
        <w:t>Our position on Pricing and Access</w:t>
      </w:r>
      <w:r w:rsidRPr="00E63C90">
        <w:rPr>
          <w:bCs/>
          <w:i/>
          <w:sz w:val="24"/>
          <w:szCs w:val="24"/>
        </w:rPr>
        <w:t>.</w:t>
      </w:r>
      <w:r w:rsidRPr="00E63C90">
        <w:rPr>
          <w:bCs/>
          <w:sz w:val="24"/>
          <w:szCs w:val="24"/>
        </w:rPr>
        <w:t xml:space="preserve"> Available at: </w:t>
      </w:r>
      <w:hyperlink r:id="rId32" w:history="1">
        <w:r w:rsidRPr="00E63C90">
          <w:rPr>
            <w:rStyle w:val="Hyperlink"/>
            <w:sz w:val="24"/>
            <w:szCs w:val="24"/>
          </w:rPr>
          <w:t>https://www.gsk.com/media/kqigjizr/gsk-position-on-pricing-and-access.pdf</w:t>
        </w:r>
      </w:hyperlink>
      <w:r w:rsidRPr="00E63C90">
        <w:rPr>
          <w:sz w:val="24"/>
          <w:szCs w:val="24"/>
        </w:rPr>
        <w:t xml:space="preserve"> </w:t>
      </w:r>
      <w:r w:rsidRPr="00E63C90">
        <w:rPr>
          <w:bCs/>
          <w:sz w:val="24"/>
          <w:szCs w:val="24"/>
        </w:rPr>
        <w:t>[Accessed on: 25/11/2025]</w:t>
      </w:r>
    </w:p>
    <w:p w14:paraId="19419995" w14:textId="77777777" w:rsidR="00E63C90" w:rsidRPr="00E63C90" w:rsidRDefault="00E63C90" w:rsidP="008E2414">
      <w:pPr>
        <w:spacing w:line="360" w:lineRule="auto"/>
        <w:jc w:val="both"/>
        <w:rPr>
          <w:sz w:val="24"/>
          <w:szCs w:val="24"/>
        </w:rPr>
      </w:pPr>
      <w:r w:rsidRPr="00E63C90">
        <w:rPr>
          <w:bCs/>
          <w:sz w:val="24"/>
          <w:szCs w:val="24"/>
        </w:rPr>
        <w:t xml:space="preserve">GSK, (2025). </w:t>
      </w:r>
      <w:r w:rsidRPr="00E63C90">
        <w:rPr>
          <w:rFonts w:eastAsiaTheme="minorHAnsi"/>
          <w:i/>
          <w:sz w:val="24"/>
          <w:szCs w:val="24"/>
        </w:rPr>
        <w:t>United Kingdom</w:t>
      </w:r>
      <w:r w:rsidRPr="00E63C90">
        <w:rPr>
          <w:bCs/>
          <w:i/>
          <w:sz w:val="24"/>
          <w:szCs w:val="24"/>
        </w:rPr>
        <w:t>.</w:t>
      </w:r>
      <w:r w:rsidRPr="00E63C90">
        <w:rPr>
          <w:bCs/>
          <w:sz w:val="24"/>
          <w:szCs w:val="24"/>
        </w:rPr>
        <w:t xml:space="preserve"> Available at: </w:t>
      </w:r>
      <w:hyperlink r:id="rId33" w:history="1">
        <w:r w:rsidRPr="00E63C90">
          <w:rPr>
            <w:rStyle w:val="Hyperlink"/>
            <w:sz w:val="24"/>
            <w:szCs w:val="24"/>
          </w:rPr>
          <w:t>https://www.gsk.com/en-gb/locations/united-kingdom/</w:t>
        </w:r>
      </w:hyperlink>
      <w:r w:rsidRPr="00E63C90">
        <w:rPr>
          <w:sz w:val="24"/>
          <w:szCs w:val="24"/>
        </w:rPr>
        <w:t xml:space="preserve"> </w:t>
      </w:r>
      <w:r w:rsidRPr="00E63C90">
        <w:rPr>
          <w:bCs/>
          <w:sz w:val="24"/>
          <w:szCs w:val="24"/>
        </w:rPr>
        <w:t>[Accessed on: 25/11/2025]</w:t>
      </w:r>
    </w:p>
    <w:p w14:paraId="04ADA3F4" w14:textId="77777777" w:rsidR="00E63C90" w:rsidRPr="00E63C90" w:rsidRDefault="00E63C90" w:rsidP="008E2414">
      <w:pPr>
        <w:spacing w:line="360" w:lineRule="auto"/>
        <w:jc w:val="both"/>
        <w:rPr>
          <w:bCs/>
          <w:sz w:val="24"/>
          <w:szCs w:val="24"/>
        </w:rPr>
      </w:pPr>
      <w:r w:rsidRPr="00E63C90">
        <w:rPr>
          <w:bCs/>
          <w:sz w:val="24"/>
          <w:szCs w:val="24"/>
        </w:rPr>
        <w:t xml:space="preserve">GSK, (2025). </w:t>
      </w:r>
      <w:r w:rsidRPr="00E63C90">
        <w:rPr>
          <w:rFonts w:eastAsiaTheme="minorHAnsi"/>
          <w:i/>
          <w:sz w:val="24"/>
          <w:szCs w:val="24"/>
        </w:rPr>
        <w:t>Welcome to GSK Belgium</w:t>
      </w:r>
      <w:r w:rsidRPr="00E63C90">
        <w:rPr>
          <w:bCs/>
          <w:i/>
          <w:sz w:val="24"/>
          <w:szCs w:val="24"/>
        </w:rPr>
        <w:t>.</w:t>
      </w:r>
      <w:r w:rsidRPr="00E63C90">
        <w:rPr>
          <w:bCs/>
          <w:sz w:val="24"/>
          <w:szCs w:val="24"/>
        </w:rPr>
        <w:t xml:space="preserve"> Available at: </w:t>
      </w:r>
      <w:hyperlink r:id="rId34" w:history="1">
        <w:r w:rsidRPr="00E63C90">
          <w:rPr>
            <w:rStyle w:val="Hyperlink"/>
            <w:sz w:val="24"/>
            <w:szCs w:val="24"/>
          </w:rPr>
          <w:t>https://be.gsk.com/en-be/home/</w:t>
        </w:r>
      </w:hyperlink>
      <w:r w:rsidRPr="00E63C90">
        <w:rPr>
          <w:sz w:val="24"/>
          <w:szCs w:val="24"/>
        </w:rPr>
        <w:t xml:space="preserve"> </w:t>
      </w:r>
      <w:r w:rsidRPr="00E63C90">
        <w:rPr>
          <w:bCs/>
          <w:sz w:val="24"/>
          <w:szCs w:val="24"/>
        </w:rPr>
        <w:t>[Accessed on: 25/11/2025]</w:t>
      </w:r>
    </w:p>
    <w:p w14:paraId="14776B4F" w14:textId="77777777" w:rsidR="00E63C90" w:rsidRPr="00E63C90" w:rsidRDefault="00E63C90" w:rsidP="008E2414">
      <w:pPr>
        <w:spacing w:line="360" w:lineRule="auto"/>
        <w:jc w:val="both"/>
        <w:rPr>
          <w:bCs/>
          <w:sz w:val="24"/>
          <w:szCs w:val="24"/>
        </w:rPr>
      </w:pPr>
      <w:r w:rsidRPr="00E63C90">
        <w:rPr>
          <w:bCs/>
          <w:sz w:val="24"/>
          <w:szCs w:val="24"/>
        </w:rPr>
        <w:t xml:space="preserve">GSK, 2025. </w:t>
      </w:r>
      <w:r w:rsidRPr="00E63C90">
        <w:rPr>
          <w:rFonts w:eastAsiaTheme="minorHAnsi"/>
          <w:i/>
          <w:sz w:val="24"/>
          <w:szCs w:val="24"/>
        </w:rPr>
        <w:t>R&amp;D locations</w:t>
      </w:r>
      <w:r w:rsidRPr="00E63C90">
        <w:rPr>
          <w:bCs/>
          <w:i/>
          <w:sz w:val="24"/>
          <w:szCs w:val="24"/>
        </w:rPr>
        <w:t>.</w:t>
      </w:r>
      <w:r w:rsidRPr="00E63C90">
        <w:rPr>
          <w:bCs/>
          <w:sz w:val="24"/>
          <w:szCs w:val="24"/>
        </w:rPr>
        <w:t xml:space="preserve"> Available at: </w:t>
      </w:r>
      <w:hyperlink r:id="rId35" w:history="1">
        <w:r w:rsidRPr="00E63C90">
          <w:rPr>
            <w:rStyle w:val="Hyperlink"/>
            <w:sz w:val="24"/>
            <w:szCs w:val="24"/>
          </w:rPr>
          <w:t>https://www.gsk.com/en-gb/innovation/rd-locations/</w:t>
        </w:r>
      </w:hyperlink>
      <w:r w:rsidRPr="00E63C90">
        <w:rPr>
          <w:sz w:val="24"/>
          <w:szCs w:val="24"/>
        </w:rPr>
        <w:t xml:space="preserve"> </w:t>
      </w:r>
      <w:r w:rsidRPr="00E63C90">
        <w:rPr>
          <w:bCs/>
          <w:sz w:val="24"/>
          <w:szCs w:val="24"/>
        </w:rPr>
        <w:t>[Accessed on: 25/11/2025]</w:t>
      </w:r>
    </w:p>
    <w:p w14:paraId="445C7ADC"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and Biological E. announce joint venture to develop combination vaccine for India and other developing countries</w:t>
      </w:r>
      <w:r w:rsidRPr="00E63C90">
        <w:rPr>
          <w:sz w:val="24"/>
          <w:szCs w:val="24"/>
        </w:rPr>
        <w:t xml:space="preserve"> Available at:  </w:t>
      </w:r>
      <w:hyperlink r:id="rId36" w:history="1">
        <w:r w:rsidRPr="00E63C90">
          <w:rPr>
            <w:rStyle w:val="Hyperlink"/>
            <w:sz w:val="24"/>
            <w:szCs w:val="24"/>
          </w:rPr>
          <w:t>https://www.gsk.com/en-gb/media/press-releases/gsk-and-biological-e-announce-joint-venture-to-develop-combination-vaccine-for-india-and-other-developing-countries/</w:t>
        </w:r>
      </w:hyperlink>
      <w:r w:rsidRPr="00E63C90">
        <w:rPr>
          <w:sz w:val="24"/>
          <w:szCs w:val="24"/>
        </w:rPr>
        <w:t xml:space="preserve"> [Accessed on: 26/11/2025]</w:t>
      </w:r>
    </w:p>
    <w:p w14:paraId="2AE21680"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announces a strategic alliance with Dr. Reddy’s to further accelerate sales growth in emerging markets</w:t>
      </w:r>
      <w:r w:rsidRPr="00E63C90">
        <w:rPr>
          <w:sz w:val="24"/>
          <w:szCs w:val="24"/>
        </w:rPr>
        <w:t xml:space="preserve"> Available at:  </w:t>
      </w:r>
      <w:hyperlink r:id="rId37" w:history="1">
        <w:r w:rsidRPr="00E63C90">
          <w:rPr>
            <w:rStyle w:val="Hyperlink"/>
            <w:sz w:val="24"/>
            <w:szCs w:val="24"/>
          </w:rPr>
          <w:t>https://www.gsk.com/en-gb/media/press-releases/gsk-announces-a-strategic-alliance-with-dr-reddy-s-to-further-accelerate-sales-growth-in-emerging-markets/</w:t>
        </w:r>
      </w:hyperlink>
      <w:r w:rsidRPr="00E63C90">
        <w:rPr>
          <w:sz w:val="24"/>
          <w:szCs w:val="24"/>
        </w:rPr>
        <w:t xml:space="preserve"> [Accessed on: 26/11/2025]</w:t>
      </w:r>
    </w:p>
    <w:p w14:paraId="3E85F867"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drives Latin America growth strategy with acquisition of Laboratorios</w:t>
      </w:r>
      <w:r w:rsidRPr="00E63C90">
        <w:rPr>
          <w:sz w:val="24"/>
          <w:szCs w:val="24"/>
        </w:rPr>
        <w:t xml:space="preserve"> Phoenix Available at:  </w:t>
      </w:r>
      <w:hyperlink r:id="rId38" w:history="1">
        <w:r w:rsidRPr="00E63C90">
          <w:rPr>
            <w:rStyle w:val="Hyperlink"/>
            <w:sz w:val="24"/>
            <w:szCs w:val="24"/>
          </w:rPr>
          <w:t>https://www.gsk.com/en-gb/media/press-releases/gsk-drives-latin-america-growth-strategy-with-acquisition-of-laboratorios-phoenix/</w:t>
        </w:r>
      </w:hyperlink>
      <w:r w:rsidRPr="00E63C90">
        <w:rPr>
          <w:sz w:val="24"/>
          <w:szCs w:val="24"/>
        </w:rPr>
        <w:t xml:space="preserve">[Accessed on: 26/11/2025] </w:t>
      </w:r>
    </w:p>
    <w:p w14:paraId="34976155"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expands presence in China through strategic cooperation to form a joint venture on paediatric vaccines</w:t>
      </w:r>
      <w:r w:rsidRPr="00E63C90">
        <w:rPr>
          <w:sz w:val="24"/>
          <w:szCs w:val="24"/>
        </w:rPr>
        <w:t xml:space="preserve"> Available at:  </w:t>
      </w:r>
      <w:hyperlink r:id="rId39" w:history="1">
        <w:r w:rsidRPr="00E63C90">
          <w:rPr>
            <w:rStyle w:val="Hyperlink"/>
            <w:sz w:val="24"/>
            <w:szCs w:val="24"/>
          </w:rPr>
          <w:t>https://www.gsk.com/en-gb/media/press-releases/gsk-expands-presence-in-china-through-strategic-cooperation-to-form-a-joint-venture-on-paediatric-vaccines/</w:t>
        </w:r>
      </w:hyperlink>
      <w:r w:rsidRPr="00E63C90">
        <w:rPr>
          <w:sz w:val="24"/>
          <w:szCs w:val="24"/>
        </w:rPr>
        <w:t xml:space="preserve"> [Accessed on: 26/11/2025]</w:t>
      </w:r>
    </w:p>
    <w:p w14:paraId="2E7DD285"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increases stake in Indian Pharmaceuticals subsidiary to 75 per cent after Open Offer</w:t>
      </w:r>
      <w:r w:rsidRPr="00E63C90">
        <w:rPr>
          <w:sz w:val="24"/>
          <w:szCs w:val="24"/>
        </w:rPr>
        <w:t xml:space="preserve"> Available at:  </w:t>
      </w:r>
      <w:hyperlink r:id="rId40" w:history="1">
        <w:r w:rsidRPr="00E63C90">
          <w:rPr>
            <w:rStyle w:val="Hyperlink"/>
            <w:sz w:val="24"/>
            <w:szCs w:val="24"/>
          </w:rPr>
          <w:t>https://www.gsk.com/en-gb/media/press-releases/gsk-increases-stake-in-indian-pharmaceuticals-subsidiary-to-75-per-cent-after-open-offer/</w:t>
        </w:r>
      </w:hyperlink>
      <w:r w:rsidRPr="00E63C90">
        <w:rPr>
          <w:sz w:val="24"/>
          <w:szCs w:val="24"/>
        </w:rPr>
        <w:t xml:space="preserve"> [Accessed on: 26/11/2025]</w:t>
      </w:r>
    </w:p>
    <w:p w14:paraId="2C020D96"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GSK reaches agreement with Novartis to acquire full ownership of Consumer Healthcare Busines</w:t>
      </w:r>
      <w:r w:rsidRPr="00E63C90">
        <w:rPr>
          <w:sz w:val="24"/>
          <w:szCs w:val="24"/>
        </w:rPr>
        <w:t xml:space="preserve">s Available at:  </w:t>
      </w:r>
      <w:hyperlink r:id="rId41" w:history="1">
        <w:r w:rsidRPr="00E63C90">
          <w:rPr>
            <w:rStyle w:val="Hyperlink"/>
            <w:sz w:val="24"/>
            <w:szCs w:val="24"/>
          </w:rPr>
          <w:t>https://www.gsk.com/en-</w:t>
        </w:r>
        <w:r w:rsidRPr="00E63C90">
          <w:rPr>
            <w:rStyle w:val="Hyperlink"/>
            <w:sz w:val="24"/>
            <w:szCs w:val="24"/>
          </w:rPr>
          <w:lastRenderedPageBreak/>
          <w:t>gb/media/press-releases/gsk-reaches-agreement-with-novartis-to-acquire-full-ownership-of-consumer-healthcare-business/</w:t>
        </w:r>
      </w:hyperlink>
      <w:r w:rsidRPr="00E63C90">
        <w:rPr>
          <w:sz w:val="24"/>
          <w:szCs w:val="24"/>
        </w:rPr>
        <w:t xml:space="preserve"> [Accessed on: 26/11/2025]</w:t>
      </w:r>
    </w:p>
    <w:p w14:paraId="65D00217"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Our position on Intellectual Property</w:t>
      </w:r>
      <w:r w:rsidRPr="00E63C90">
        <w:rPr>
          <w:sz w:val="24"/>
          <w:szCs w:val="24"/>
        </w:rPr>
        <w:t xml:space="preserve"> Available at:  </w:t>
      </w:r>
      <w:hyperlink r:id="rId42" w:history="1">
        <w:r w:rsidRPr="00E63C90">
          <w:rPr>
            <w:rStyle w:val="Hyperlink"/>
            <w:sz w:val="24"/>
            <w:szCs w:val="24"/>
          </w:rPr>
          <w:t>https://www.gsk.com/media/tabhxvsi/gsk-position-on-intellectual-property.pdf</w:t>
        </w:r>
      </w:hyperlink>
      <w:r w:rsidRPr="00E63C90">
        <w:rPr>
          <w:sz w:val="24"/>
          <w:szCs w:val="24"/>
        </w:rPr>
        <w:t xml:space="preserve"> [Accessed on: 26/11/2025]</w:t>
      </w:r>
    </w:p>
    <w:p w14:paraId="77ED1AF2" w14:textId="77777777" w:rsidR="00E63C90" w:rsidRPr="00E63C90" w:rsidRDefault="00E63C90" w:rsidP="008E2414">
      <w:pPr>
        <w:spacing w:line="360" w:lineRule="auto"/>
        <w:jc w:val="both"/>
        <w:rPr>
          <w:sz w:val="24"/>
          <w:szCs w:val="24"/>
        </w:rPr>
      </w:pPr>
      <w:r w:rsidRPr="00E63C90">
        <w:rPr>
          <w:sz w:val="24"/>
          <w:szCs w:val="24"/>
        </w:rPr>
        <w:t xml:space="preserve">Gsk.com (2025) </w:t>
      </w:r>
      <w:r w:rsidRPr="00E63C90">
        <w:rPr>
          <w:i/>
          <w:iCs/>
          <w:sz w:val="24"/>
          <w:szCs w:val="24"/>
        </w:rPr>
        <w:t>Worldwide</w:t>
      </w:r>
      <w:r w:rsidRPr="00E63C90">
        <w:rPr>
          <w:sz w:val="24"/>
          <w:szCs w:val="24"/>
        </w:rPr>
        <w:t xml:space="preserve"> Available at:  </w:t>
      </w:r>
      <w:hyperlink r:id="rId43" w:history="1">
        <w:r w:rsidRPr="00E63C90">
          <w:rPr>
            <w:rStyle w:val="Hyperlink"/>
            <w:sz w:val="24"/>
            <w:szCs w:val="24"/>
          </w:rPr>
          <w:t>https://www.gsk.com/en-gb/contact-us/worldwide/</w:t>
        </w:r>
      </w:hyperlink>
      <w:r w:rsidRPr="00E63C90">
        <w:rPr>
          <w:sz w:val="24"/>
          <w:szCs w:val="24"/>
        </w:rPr>
        <w:t xml:space="preserve"> [Accessed on: 26/11/2025]</w:t>
      </w:r>
    </w:p>
    <w:p w14:paraId="5E2FBA03"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Hofstede Insights (2025) </w:t>
      </w:r>
      <w:r w:rsidRPr="00E63C90">
        <w:rPr>
          <w:i/>
          <w:iCs/>
          <w:sz w:val="24"/>
          <w:szCs w:val="24"/>
          <w:lang w:val="en-IN"/>
        </w:rPr>
        <w:t>Country Comparison Tool</w:t>
      </w:r>
      <w:r w:rsidRPr="00E63C90">
        <w:rPr>
          <w:sz w:val="24"/>
          <w:szCs w:val="24"/>
          <w:lang w:val="en-IN"/>
        </w:rPr>
        <w:t xml:space="preserve">, </w:t>
      </w:r>
      <w:r w:rsidRPr="00E63C90">
        <w:rPr>
          <w:i/>
          <w:iCs/>
          <w:sz w:val="24"/>
          <w:szCs w:val="24"/>
          <w:lang w:val="en-IN"/>
        </w:rPr>
        <w:t>Theculturefactor.com</w:t>
      </w:r>
      <w:r w:rsidRPr="00E63C90">
        <w:rPr>
          <w:sz w:val="24"/>
          <w:szCs w:val="24"/>
          <w:lang w:val="en-IN"/>
        </w:rPr>
        <w:t>. Available at: https://www.theculturefactor.com/country-comparison-tool?countries=india%2Cunited+kingdom (Accessed: 26 November 2025).</w:t>
      </w:r>
    </w:p>
    <w:p w14:paraId="67FFE7EB" w14:textId="77777777" w:rsidR="00E63C90" w:rsidRPr="00E63C90" w:rsidRDefault="00E63C90" w:rsidP="008E2414">
      <w:pPr>
        <w:spacing w:line="360" w:lineRule="auto"/>
        <w:jc w:val="both"/>
        <w:rPr>
          <w:sz w:val="24"/>
          <w:szCs w:val="24"/>
        </w:rPr>
      </w:pPr>
      <w:r w:rsidRPr="00E63C90">
        <w:rPr>
          <w:sz w:val="24"/>
          <w:szCs w:val="24"/>
        </w:rPr>
        <w:t>Ietto-Gillies, G., (2023). ‘The importance of being… transnational’. </w:t>
      </w:r>
      <w:r w:rsidRPr="00E63C90">
        <w:rPr>
          <w:i/>
          <w:iCs/>
          <w:sz w:val="24"/>
          <w:szCs w:val="24"/>
        </w:rPr>
        <w:t>Critical Perspectives on International Business</w:t>
      </w:r>
      <w:r w:rsidRPr="00E63C90">
        <w:rPr>
          <w:sz w:val="24"/>
          <w:szCs w:val="24"/>
        </w:rPr>
        <w:t>, </w:t>
      </w:r>
      <w:r w:rsidRPr="00E63C90">
        <w:rPr>
          <w:i/>
          <w:iCs/>
          <w:sz w:val="24"/>
          <w:szCs w:val="24"/>
        </w:rPr>
        <w:t>19</w:t>
      </w:r>
      <w:r w:rsidRPr="00E63C90">
        <w:rPr>
          <w:sz w:val="24"/>
          <w:szCs w:val="24"/>
        </w:rPr>
        <w:t xml:space="preserve">(4), pp.511-522. </w:t>
      </w:r>
      <w:hyperlink r:id="rId44" w:history="1">
        <w:r w:rsidRPr="00E63C90">
          <w:rPr>
            <w:rStyle w:val="Hyperlink"/>
            <w:sz w:val="24"/>
            <w:szCs w:val="24"/>
          </w:rPr>
          <w:t>https://www.researchgate.net/profile/Grazia-Ietto-Gillies/publication/372344720_The_Importance_of_Being_Transnational/links/64906923c41fb852dd18bebb/The-Importance-of-Being-Transnational.pdf</w:t>
        </w:r>
      </w:hyperlink>
    </w:p>
    <w:p w14:paraId="5F71129D" w14:textId="77777777" w:rsidR="00E63C90" w:rsidRPr="00E63C90" w:rsidRDefault="00E63C90" w:rsidP="008E2414">
      <w:pPr>
        <w:spacing w:line="360" w:lineRule="auto"/>
        <w:jc w:val="both"/>
        <w:rPr>
          <w:sz w:val="24"/>
          <w:szCs w:val="24"/>
        </w:rPr>
      </w:pPr>
      <w:r w:rsidRPr="00E63C90">
        <w:rPr>
          <w:bCs/>
          <w:sz w:val="24"/>
          <w:szCs w:val="24"/>
        </w:rPr>
        <w:t xml:space="preserve">IJRRCEM, (2019). </w:t>
      </w:r>
      <w:r w:rsidRPr="00E63C90">
        <w:rPr>
          <w:i/>
          <w:sz w:val="24"/>
          <w:szCs w:val="24"/>
        </w:rPr>
        <w:t>GlaxoSmithKline (GSK)</w:t>
      </w:r>
      <w:r w:rsidRPr="00E63C90">
        <w:rPr>
          <w:bCs/>
          <w:i/>
          <w:sz w:val="24"/>
          <w:szCs w:val="24"/>
        </w:rPr>
        <w:t>.</w:t>
      </w:r>
      <w:r w:rsidRPr="00E63C90">
        <w:rPr>
          <w:bCs/>
          <w:sz w:val="24"/>
          <w:szCs w:val="24"/>
        </w:rPr>
        <w:t xml:space="preserve"> Available at: </w:t>
      </w:r>
      <w:hyperlink r:id="rId45" w:history="1">
        <w:r w:rsidRPr="00E63C90">
          <w:rPr>
            <w:rStyle w:val="Hyperlink"/>
            <w:sz w:val="24"/>
            <w:szCs w:val="24"/>
          </w:rPr>
          <w:t>https://www.paperpublications.org/upload/book/GlaxoSmithKline%20(GSK)-1300.pdf</w:t>
        </w:r>
      </w:hyperlink>
      <w:r w:rsidRPr="00E63C90">
        <w:rPr>
          <w:sz w:val="24"/>
          <w:szCs w:val="24"/>
        </w:rPr>
        <w:t xml:space="preserve"> </w:t>
      </w:r>
      <w:r w:rsidRPr="00E63C90">
        <w:rPr>
          <w:bCs/>
          <w:sz w:val="24"/>
          <w:szCs w:val="24"/>
        </w:rPr>
        <w:t>[Accessed on: 25/11/2025]</w:t>
      </w:r>
    </w:p>
    <w:p w14:paraId="0FE3EEA0" w14:textId="77777777" w:rsidR="00E63C90" w:rsidRPr="00E63C90" w:rsidRDefault="00E63C90" w:rsidP="008E2414">
      <w:pPr>
        <w:spacing w:line="360" w:lineRule="auto"/>
        <w:jc w:val="both"/>
        <w:rPr>
          <w:sz w:val="24"/>
          <w:szCs w:val="24"/>
        </w:rPr>
      </w:pPr>
      <w:r w:rsidRPr="00E63C90">
        <w:rPr>
          <w:sz w:val="24"/>
          <w:szCs w:val="24"/>
        </w:rPr>
        <w:t xml:space="preserve">Indianexpress.com (2025) </w:t>
      </w:r>
      <w:r w:rsidRPr="00E63C90">
        <w:rPr>
          <w:i/>
          <w:iCs/>
          <w:sz w:val="24"/>
          <w:szCs w:val="24"/>
        </w:rPr>
        <w:t>What will it take for India to replicate cancer decline like in the US</w:t>
      </w:r>
      <w:r w:rsidRPr="00E63C90">
        <w:rPr>
          <w:sz w:val="24"/>
          <w:szCs w:val="24"/>
        </w:rPr>
        <w:t xml:space="preserve"> Available at:  </w:t>
      </w:r>
      <w:hyperlink r:id="rId46" w:history="1">
        <w:r w:rsidRPr="00E63C90">
          <w:rPr>
            <w:rStyle w:val="Hyperlink"/>
            <w:sz w:val="24"/>
            <w:szCs w:val="24"/>
          </w:rPr>
          <w:t>https://indianexpress.com/article/explained/explained-health/cancer-in-india-a-status-report-8385754/</w:t>
        </w:r>
      </w:hyperlink>
      <w:r w:rsidRPr="00E63C90">
        <w:rPr>
          <w:sz w:val="24"/>
          <w:szCs w:val="24"/>
        </w:rPr>
        <w:t xml:space="preserve"> [Accessed on: 26/11/2025]</w:t>
      </w:r>
    </w:p>
    <w:p w14:paraId="36461E95" w14:textId="77777777" w:rsidR="00E63C90" w:rsidRPr="00E63C90" w:rsidRDefault="00E63C90" w:rsidP="008E2414">
      <w:pPr>
        <w:spacing w:line="360" w:lineRule="auto"/>
        <w:jc w:val="both"/>
        <w:rPr>
          <w:sz w:val="24"/>
          <w:szCs w:val="24"/>
        </w:rPr>
      </w:pPr>
      <w:r w:rsidRPr="00E63C90">
        <w:rPr>
          <w:bCs/>
          <w:sz w:val="24"/>
          <w:szCs w:val="24"/>
        </w:rPr>
        <w:t xml:space="preserve">Inductus GCC, (2025). </w:t>
      </w:r>
      <w:r w:rsidRPr="00E63C90">
        <w:rPr>
          <w:rFonts w:eastAsiaTheme="minorHAnsi"/>
          <w:bCs/>
          <w:i/>
          <w:sz w:val="24"/>
          <w:szCs w:val="24"/>
        </w:rPr>
        <w:t>India’s GCC 3.0 Era: Redefining Global R&amp;D Through Capability Centers</w:t>
      </w:r>
      <w:r w:rsidRPr="00E63C90">
        <w:rPr>
          <w:bCs/>
          <w:i/>
          <w:sz w:val="24"/>
          <w:szCs w:val="24"/>
        </w:rPr>
        <w:t>.</w:t>
      </w:r>
      <w:r w:rsidRPr="00E63C90">
        <w:rPr>
          <w:bCs/>
          <w:sz w:val="24"/>
          <w:szCs w:val="24"/>
        </w:rPr>
        <w:t xml:space="preserve"> Available at: </w:t>
      </w:r>
      <w:hyperlink r:id="rId47" w:anchor=":~:text=An%20important%20trend%20that%20pursues,undisputed%20global%20leader%20in%20operations" w:history="1">
        <w:r w:rsidRPr="00E63C90">
          <w:rPr>
            <w:rStyle w:val="Hyperlink"/>
            <w:sz w:val="24"/>
            <w:szCs w:val="24"/>
          </w:rPr>
          <w:t>https://inductusgcc.com/indias-gcc-3-0-era-redefining-global-rd-through-capability-centers/#:~:text=An%20important%20trend%20that%20pursues,undisputed%20global%20leader%20in%20operations</w:t>
        </w:r>
      </w:hyperlink>
      <w:r w:rsidRPr="00E63C90">
        <w:rPr>
          <w:sz w:val="24"/>
          <w:szCs w:val="24"/>
        </w:rPr>
        <w:t>.</w:t>
      </w:r>
      <w:r w:rsidRPr="00E63C90">
        <w:rPr>
          <w:bCs/>
          <w:sz w:val="24"/>
          <w:szCs w:val="24"/>
        </w:rPr>
        <w:t>[Accessed on: 25/11/2025]</w:t>
      </w:r>
    </w:p>
    <w:p w14:paraId="3B100548" w14:textId="77777777" w:rsidR="00E63C90" w:rsidRPr="00E63C90" w:rsidRDefault="00E63C90" w:rsidP="008E2414">
      <w:pPr>
        <w:spacing w:line="360" w:lineRule="auto"/>
        <w:jc w:val="both"/>
        <w:rPr>
          <w:bCs/>
          <w:sz w:val="24"/>
          <w:szCs w:val="24"/>
        </w:rPr>
      </w:pPr>
      <w:r w:rsidRPr="00E63C90">
        <w:rPr>
          <w:bCs/>
          <w:sz w:val="24"/>
          <w:szCs w:val="24"/>
        </w:rPr>
        <w:t xml:space="preserve">Investing.com, (2023). </w:t>
      </w:r>
      <w:r w:rsidRPr="00E63C90">
        <w:rPr>
          <w:rFonts w:eastAsiaTheme="minorHAnsi"/>
          <w:bCs/>
          <w:i/>
          <w:sz w:val="24"/>
          <w:szCs w:val="24"/>
        </w:rPr>
        <w:t>GSK: Value Investment Amid Focus on Innovative Specialty Pharma and Vaccines</w:t>
      </w:r>
      <w:r w:rsidRPr="00E63C90">
        <w:rPr>
          <w:bCs/>
          <w:i/>
          <w:sz w:val="24"/>
          <w:szCs w:val="24"/>
        </w:rPr>
        <w:t>.</w:t>
      </w:r>
      <w:r w:rsidRPr="00E63C90">
        <w:rPr>
          <w:bCs/>
          <w:sz w:val="24"/>
          <w:szCs w:val="24"/>
        </w:rPr>
        <w:t xml:space="preserve"> Available at: </w:t>
      </w:r>
      <w:hyperlink r:id="rId48" w:history="1">
        <w:r w:rsidRPr="00E63C90">
          <w:rPr>
            <w:rStyle w:val="Hyperlink"/>
            <w:sz w:val="24"/>
            <w:szCs w:val="24"/>
          </w:rPr>
          <w:t>https://in.investing.com/analysis/gsk-value-investment-amid-focus-on-innovative-specialty-pharma-and-vaccines-200560893</w:t>
        </w:r>
      </w:hyperlink>
      <w:r w:rsidRPr="00E63C90">
        <w:rPr>
          <w:sz w:val="24"/>
          <w:szCs w:val="24"/>
        </w:rPr>
        <w:t xml:space="preserve"> </w:t>
      </w:r>
      <w:r w:rsidRPr="00E63C90">
        <w:rPr>
          <w:bCs/>
          <w:sz w:val="24"/>
          <w:szCs w:val="24"/>
        </w:rPr>
        <w:t>[Accessed on: 25/11/2025]</w:t>
      </w:r>
    </w:p>
    <w:p w14:paraId="70A77C1C" w14:textId="77777777" w:rsidR="00E63C90" w:rsidRPr="00E63C90" w:rsidRDefault="00E63C90" w:rsidP="008E2414">
      <w:pPr>
        <w:spacing w:line="360" w:lineRule="auto"/>
        <w:jc w:val="both"/>
        <w:rPr>
          <w:sz w:val="24"/>
          <w:szCs w:val="24"/>
        </w:rPr>
      </w:pPr>
      <w:r w:rsidRPr="00E63C90">
        <w:rPr>
          <w:sz w:val="24"/>
          <w:szCs w:val="24"/>
        </w:rPr>
        <w:t xml:space="preserve">Ipindia.gov.in (2025) </w:t>
      </w:r>
      <w:r w:rsidRPr="00E63C90">
        <w:rPr>
          <w:i/>
          <w:iCs/>
          <w:sz w:val="24"/>
          <w:szCs w:val="24"/>
        </w:rPr>
        <w:t>THE PATENTS ACT, 1970</w:t>
      </w:r>
      <w:r w:rsidRPr="00E63C90">
        <w:rPr>
          <w:sz w:val="24"/>
          <w:szCs w:val="24"/>
        </w:rPr>
        <w:t xml:space="preserve"> Available at:  </w:t>
      </w:r>
      <w:hyperlink r:id="rId49" w:history="1">
        <w:r w:rsidRPr="00E63C90">
          <w:rPr>
            <w:rStyle w:val="Hyperlink"/>
            <w:sz w:val="24"/>
            <w:szCs w:val="24"/>
          </w:rPr>
          <w:t>https://ipindia.gov.in/writereaddata/portal/ev/sections/ps3.html</w:t>
        </w:r>
      </w:hyperlink>
      <w:r w:rsidRPr="00E63C90">
        <w:rPr>
          <w:sz w:val="24"/>
          <w:szCs w:val="24"/>
        </w:rPr>
        <w:t xml:space="preserve"> [Accessed on: 26/11/2025]</w:t>
      </w:r>
    </w:p>
    <w:p w14:paraId="64514005" w14:textId="77777777" w:rsidR="00E63C90" w:rsidRPr="00E63C90" w:rsidRDefault="00E63C90" w:rsidP="008E2414">
      <w:pPr>
        <w:spacing w:line="360" w:lineRule="auto"/>
        <w:jc w:val="both"/>
        <w:rPr>
          <w:sz w:val="24"/>
          <w:szCs w:val="24"/>
          <w:lang w:val="en-IN"/>
        </w:rPr>
      </w:pPr>
      <w:r w:rsidRPr="00E63C90">
        <w:rPr>
          <w:sz w:val="24"/>
          <w:szCs w:val="24"/>
          <w:lang w:val="en-IN"/>
        </w:rPr>
        <w:lastRenderedPageBreak/>
        <w:t xml:space="preserve">Joseph, I. (2024) ‘Importance of Compliance With Regulations in the Pharmaceutical Industry’, </w:t>
      </w:r>
      <w:r w:rsidRPr="00E63C90">
        <w:rPr>
          <w:i/>
          <w:iCs/>
          <w:sz w:val="24"/>
          <w:szCs w:val="24"/>
          <w:lang w:val="en-IN"/>
        </w:rPr>
        <w:t>Social Science Research Network</w:t>
      </w:r>
      <w:r w:rsidRPr="00E63C90">
        <w:rPr>
          <w:sz w:val="24"/>
          <w:szCs w:val="24"/>
          <w:lang w:val="en-IN"/>
        </w:rPr>
        <w:t xml:space="preserve"> [Preprint]. Available at: https://doi.org/10.2139/ssrn.4679812.</w:t>
      </w:r>
    </w:p>
    <w:p w14:paraId="1C11F7C7" w14:textId="77777777" w:rsidR="00E63C90" w:rsidRPr="00E63C90" w:rsidRDefault="00E63C90" w:rsidP="008E2414">
      <w:pPr>
        <w:spacing w:line="360" w:lineRule="auto"/>
        <w:jc w:val="both"/>
        <w:rPr>
          <w:sz w:val="24"/>
          <w:szCs w:val="24"/>
        </w:rPr>
      </w:pPr>
      <w:r w:rsidRPr="00E63C90">
        <w:rPr>
          <w:sz w:val="24"/>
          <w:szCs w:val="24"/>
        </w:rPr>
        <w:t>Karan, A., Negandhi, H., Hussain, S., Zapata, T., Mairembam, D., De Graeve, H., Buchan, J. and Zodpey, S., (2021). ‘Size, composition and distribution of health workforce in India: why, and where to invest?’. </w:t>
      </w:r>
      <w:r w:rsidRPr="00E63C90">
        <w:rPr>
          <w:i/>
          <w:iCs/>
          <w:sz w:val="24"/>
          <w:szCs w:val="24"/>
        </w:rPr>
        <w:t>Human resources for health</w:t>
      </w:r>
      <w:r w:rsidRPr="00E63C90">
        <w:rPr>
          <w:sz w:val="24"/>
          <w:szCs w:val="24"/>
        </w:rPr>
        <w:t>, </w:t>
      </w:r>
      <w:r w:rsidRPr="00E63C90">
        <w:rPr>
          <w:i/>
          <w:iCs/>
          <w:sz w:val="24"/>
          <w:szCs w:val="24"/>
        </w:rPr>
        <w:t>19</w:t>
      </w:r>
      <w:r w:rsidRPr="00E63C90">
        <w:rPr>
          <w:sz w:val="24"/>
          <w:szCs w:val="24"/>
        </w:rPr>
        <w:t xml:space="preserve">(1), p.39. </w:t>
      </w:r>
      <w:hyperlink r:id="rId50" w:history="1">
        <w:r w:rsidRPr="00E63C90">
          <w:rPr>
            <w:rStyle w:val="Hyperlink"/>
            <w:sz w:val="24"/>
            <w:szCs w:val="24"/>
          </w:rPr>
          <w:t>https://link.springer.com/article/10.1186/s12960-021-00575-2</w:t>
        </w:r>
      </w:hyperlink>
      <w:r w:rsidRPr="00E63C90">
        <w:rPr>
          <w:sz w:val="24"/>
          <w:szCs w:val="24"/>
        </w:rPr>
        <w:t xml:space="preserve"> </w:t>
      </w:r>
    </w:p>
    <w:p w14:paraId="785B5FB6"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Khalique, F., Madan, P. and Puri, G. (2023) ‘Study of cultural dimensions in MNC subsidiaries in India’, </w:t>
      </w:r>
      <w:r w:rsidRPr="00E63C90">
        <w:rPr>
          <w:i/>
          <w:iCs/>
          <w:sz w:val="24"/>
          <w:szCs w:val="24"/>
          <w:lang w:val="en-IN"/>
        </w:rPr>
        <w:t>Routledge eBooks</w:t>
      </w:r>
      <w:r w:rsidRPr="00E63C90">
        <w:rPr>
          <w:sz w:val="24"/>
          <w:szCs w:val="24"/>
          <w:lang w:val="en-IN"/>
        </w:rPr>
        <w:t>, pp. 22–35. Available at: https://doi.org/10.4324/9781003295068-4.</w:t>
      </w:r>
    </w:p>
    <w:p w14:paraId="6473C1D3"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KPMG (2025) </w:t>
      </w:r>
      <w:r w:rsidRPr="00E63C90">
        <w:rPr>
          <w:i/>
          <w:iCs/>
          <w:sz w:val="24"/>
          <w:szCs w:val="24"/>
          <w:lang w:val="en-IN"/>
        </w:rPr>
        <w:t>Anti-bribery and corruption regulatory compliance</w:t>
      </w:r>
      <w:r w:rsidRPr="00E63C90">
        <w:rPr>
          <w:sz w:val="24"/>
          <w:szCs w:val="24"/>
          <w:lang w:val="en-IN"/>
        </w:rPr>
        <w:t xml:space="preserve">, </w:t>
      </w:r>
      <w:r w:rsidRPr="00E63C90">
        <w:rPr>
          <w:i/>
          <w:iCs/>
          <w:sz w:val="24"/>
          <w:szCs w:val="24"/>
          <w:lang w:val="en-IN"/>
        </w:rPr>
        <w:t>KPMG</w:t>
      </w:r>
      <w:r w:rsidRPr="00E63C90">
        <w:rPr>
          <w:sz w:val="24"/>
          <w:szCs w:val="24"/>
          <w:lang w:val="en-IN"/>
        </w:rPr>
        <w:t>. Available at: https://kpmg.com/in/en/services/advisory/consulting/risk-advisory/forensic-services/anti-bribery-anti-corruption-regulatory-compliance.html (Accessed: 26 November 2025).</w:t>
      </w:r>
    </w:p>
    <w:p w14:paraId="47DFAD78" w14:textId="77777777" w:rsidR="00E63C90" w:rsidRPr="00E63C90" w:rsidRDefault="00E63C90" w:rsidP="008E2414">
      <w:pPr>
        <w:spacing w:line="360" w:lineRule="auto"/>
        <w:jc w:val="both"/>
        <w:rPr>
          <w:sz w:val="24"/>
          <w:szCs w:val="24"/>
        </w:rPr>
      </w:pPr>
      <w:r w:rsidRPr="00E63C90">
        <w:rPr>
          <w:sz w:val="24"/>
          <w:szCs w:val="24"/>
        </w:rPr>
        <w:t>Kristiansen, A. and Schweizer, R., (2022). ‘Practice coordination by principles: a contemporary MNC approach to coordinating global practices’. </w:t>
      </w:r>
      <w:r w:rsidRPr="00E63C90">
        <w:rPr>
          <w:i/>
          <w:iCs/>
          <w:sz w:val="24"/>
          <w:szCs w:val="24"/>
        </w:rPr>
        <w:t>critical perspectives on international business</w:t>
      </w:r>
      <w:r w:rsidRPr="00E63C90">
        <w:rPr>
          <w:sz w:val="24"/>
          <w:szCs w:val="24"/>
        </w:rPr>
        <w:t>, </w:t>
      </w:r>
      <w:r w:rsidRPr="00E63C90">
        <w:rPr>
          <w:i/>
          <w:iCs/>
          <w:sz w:val="24"/>
          <w:szCs w:val="24"/>
        </w:rPr>
        <w:t>18</w:t>
      </w:r>
      <w:r w:rsidRPr="00E63C90">
        <w:rPr>
          <w:sz w:val="24"/>
          <w:szCs w:val="24"/>
        </w:rPr>
        <w:t xml:space="preserve">(5), pp.724-745. </w:t>
      </w:r>
      <w:hyperlink r:id="rId51" w:history="1">
        <w:r w:rsidRPr="00E63C90">
          <w:rPr>
            <w:rStyle w:val="Hyperlink"/>
            <w:sz w:val="24"/>
            <w:szCs w:val="24"/>
          </w:rPr>
          <w:t>https://www.emerald.com/insight/content/doi/10.1108/cpoib-04-2020-0027/full/pdf</w:t>
        </w:r>
      </w:hyperlink>
    </w:p>
    <w:p w14:paraId="6B0EAB0F"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Kumar, A., Singh, U.P., Sidhu, A. and Shubham Kakran (2024) ‘Government Healthcare Initiatives and the Demand for Pharmaceuticals’, </w:t>
      </w:r>
      <w:r w:rsidRPr="00E63C90">
        <w:rPr>
          <w:i/>
          <w:iCs/>
          <w:sz w:val="24"/>
          <w:szCs w:val="24"/>
          <w:lang w:val="en-IN"/>
        </w:rPr>
        <w:t>Apple Academic Press eBooks</w:t>
      </w:r>
      <w:r w:rsidRPr="00E63C90">
        <w:rPr>
          <w:sz w:val="24"/>
          <w:szCs w:val="24"/>
          <w:lang w:val="en-IN"/>
        </w:rPr>
        <w:t>, pp. 247–276. Available at: https://doi.org/10.1201/9781003506362-12.</w:t>
      </w:r>
    </w:p>
    <w:p w14:paraId="2CC54FD1"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Malik, A., Budhwar, P., Patel, C. and Laker, B. (2021) ‘Holistic indigenous and atomistic modernity: Analyzing performance management in two Indian emerging market multinational corporations’, </w:t>
      </w:r>
      <w:r w:rsidRPr="00E63C90">
        <w:rPr>
          <w:i/>
          <w:iCs/>
          <w:sz w:val="24"/>
          <w:szCs w:val="24"/>
          <w:lang w:val="en-IN"/>
        </w:rPr>
        <w:t>Human Resource Management</w:t>
      </w:r>
      <w:r w:rsidRPr="00E63C90">
        <w:rPr>
          <w:sz w:val="24"/>
          <w:szCs w:val="24"/>
          <w:lang w:val="en-IN"/>
        </w:rPr>
        <w:t>, 60(5).</w:t>
      </w:r>
    </w:p>
    <w:p w14:paraId="2893D806"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Memon, F.A., Shah, S. and Khoso, U. (2021) </w:t>
      </w:r>
      <w:r w:rsidRPr="00E63C90">
        <w:rPr>
          <w:i/>
          <w:iCs/>
          <w:sz w:val="24"/>
          <w:szCs w:val="24"/>
          <w:lang w:val="en-IN"/>
        </w:rPr>
        <w:t>Improving employee’s engagement in change: Reassessing kurt levin model</w:t>
      </w:r>
      <w:r w:rsidRPr="00E63C90">
        <w:rPr>
          <w:sz w:val="24"/>
          <w:szCs w:val="24"/>
          <w:lang w:val="en-IN"/>
        </w:rPr>
        <w:t>. Available at: https://www.researchgate.net/profile/Sobia-Shah/publication/382591683_Improving_Employee.</w:t>
      </w:r>
    </w:p>
    <w:p w14:paraId="4AD32284" w14:textId="77777777" w:rsidR="00E63C90" w:rsidRPr="00E63C90" w:rsidRDefault="00E63C90" w:rsidP="008E2414">
      <w:pPr>
        <w:spacing w:line="360" w:lineRule="auto"/>
        <w:jc w:val="both"/>
        <w:rPr>
          <w:sz w:val="24"/>
          <w:szCs w:val="24"/>
        </w:rPr>
      </w:pPr>
      <w:r w:rsidRPr="00E63C90">
        <w:rPr>
          <w:sz w:val="24"/>
          <w:szCs w:val="24"/>
        </w:rPr>
        <w:t xml:space="preserve">MODI, R.K. (2024). ‘A Detailed Examination Of Multinational Corporations, Their Organizational Frameworks, Strategies, And Their Connection To Global Human Resource Management’. </w:t>
      </w:r>
      <w:hyperlink r:id="rId52" w:history="1">
        <w:r w:rsidRPr="00E63C90">
          <w:rPr>
            <w:rStyle w:val="Hyperlink"/>
            <w:sz w:val="24"/>
            <w:szCs w:val="24"/>
          </w:rPr>
          <w:t>https://www.researchgate.net/profile/Raj-Modi-4/publication/378525091_A_Detailed_Examination_Of_Multinational_Corporations_Their_Organizational_Frameworks_Strategies_And_Their_Connection_To_Global_Human_Resource_Management/links/65deb60fadc608480aed8fd9/A-Detailed-</w:t>
        </w:r>
        <w:r w:rsidRPr="00E63C90">
          <w:rPr>
            <w:rStyle w:val="Hyperlink"/>
            <w:sz w:val="24"/>
            <w:szCs w:val="24"/>
          </w:rPr>
          <w:lastRenderedPageBreak/>
          <w:t>Examination-Of-Multinational-Corporations-Their-Organizational-Frameworks-Strategies-And-Their-Connection-To-Global-Human-Resource-Management.pdf</w:t>
        </w:r>
      </w:hyperlink>
    </w:p>
    <w:p w14:paraId="20DFEE9B" w14:textId="77777777" w:rsidR="00E63C90" w:rsidRPr="00E63C90" w:rsidRDefault="00E63C90" w:rsidP="008E2414">
      <w:pPr>
        <w:spacing w:line="360" w:lineRule="auto"/>
        <w:jc w:val="both"/>
        <w:rPr>
          <w:sz w:val="24"/>
          <w:szCs w:val="24"/>
        </w:rPr>
      </w:pPr>
      <w:r w:rsidRPr="00E63C90">
        <w:rPr>
          <w:sz w:val="24"/>
          <w:szCs w:val="24"/>
        </w:rPr>
        <w:t xml:space="preserve">Nppa.gov.in (2025) </w:t>
      </w:r>
      <w:r w:rsidRPr="00E63C90">
        <w:rPr>
          <w:i/>
          <w:iCs/>
          <w:sz w:val="24"/>
          <w:szCs w:val="24"/>
        </w:rPr>
        <w:t>FAQs</w:t>
      </w:r>
      <w:r w:rsidRPr="00E63C90">
        <w:rPr>
          <w:sz w:val="24"/>
          <w:szCs w:val="24"/>
        </w:rPr>
        <w:t xml:space="preserve"> Available at:  </w:t>
      </w:r>
      <w:hyperlink r:id="rId53" w:history="1">
        <w:r w:rsidRPr="00E63C90">
          <w:rPr>
            <w:rStyle w:val="Hyperlink"/>
            <w:sz w:val="24"/>
            <w:szCs w:val="24"/>
          </w:rPr>
          <w:t>https://nppa.gov.in/faqs</w:t>
        </w:r>
      </w:hyperlink>
      <w:r w:rsidRPr="00E63C90">
        <w:rPr>
          <w:sz w:val="24"/>
          <w:szCs w:val="24"/>
        </w:rPr>
        <w:t xml:space="preserve"> [Accessed on: 26/11/2025]</w:t>
      </w:r>
    </w:p>
    <w:p w14:paraId="49D1832E"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Nwador, C.A. (2025) </w:t>
      </w:r>
      <w:r w:rsidRPr="00E63C90">
        <w:rPr>
          <w:i/>
          <w:iCs/>
          <w:sz w:val="24"/>
          <w:szCs w:val="24"/>
          <w:lang w:val="en-IN"/>
        </w:rPr>
        <w:t>E-Tracking and Service Performance of the Pharmaceutical Industry in Port Harcourt</w:t>
      </w:r>
      <w:r w:rsidRPr="00E63C90">
        <w:rPr>
          <w:sz w:val="24"/>
          <w:szCs w:val="24"/>
          <w:lang w:val="en-IN"/>
        </w:rPr>
        <w:t>. Available at: http://www.arcnjournals.org/images/COMPLETE-JOURNAL-ARCN-IJMMS-2022-14-1-AND-2_compressed.pdf#page=116 (Accessed: 26 November 2025).</w:t>
      </w:r>
    </w:p>
    <w:p w14:paraId="05A25182" w14:textId="77777777" w:rsidR="00E63C90" w:rsidRPr="00E63C90" w:rsidRDefault="00E63C90" w:rsidP="008E2414">
      <w:pPr>
        <w:spacing w:line="360" w:lineRule="auto"/>
        <w:jc w:val="both"/>
        <w:rPr>
          <w:sz w:val="24"/>
          <w:szCs w:val="24"/>
        </w:rPr>
      </w:pPr>
      <w:r w:rsidRPr="00E63C90">
        <w:rPr>
          <w:bCs/>
          <w:sz w:val="24"/>
          <w:szCs w:val="24"/>
        </w:rPr>
        <w:t xml:space="preserve">Orientation Marketing, (2025). </w:t>
      </w:r>
      <w:r w:rsidRPr="00E63C90">
        <w:rPr>
          <w:i/>
          <w:sz w:val="24"/>
          <w:szCs w:val="24"/>
        </w:rPr>
        <w:t>Promotional and Non-Promotion</w:t>
      </w:r>
      <w:r w:rsidRPr="00E63C90">
        <w:rPr>
          <w:bCs/>
          <w:i/>
          <w:sz w:val="24"/>
          <w:szCs w:val="24"/>
        </w:rPr>
        <w:t xml:space="preserve">. </w:t>
      </w:r>
      <w:r w:rsidRPr="00E63C90">
        <w:rPr>
          <w:bCs/>
          <w:sz w:val="24"/>
          <w:szCs w:val="24"/>
        </w:rPr>
        <w:t xml:space="preserve">Available at: </w:t>
      </w:r>
      <w:hyperlink r:id="rId54" w:anchor=":~:text=GSK's%20overall%20marketing%20and%20innovation,respiratory%20and%20therapeutic%20oral%20health" w:history="1">
        <w:r w:rsidRPr="00E63C90">
          <w:rPr>
            <w:rStyle w:val="Hyperlink"/>
            <w:sz w:val="24"/>
            <w:szCs w:val="24"/>
          </w:rPr>
          <w:t>https://www.orientation.agency/insights/benchmark-series-gsk-pharmaceuticals#:~:text=GSK's%20overall%20marketing%20and%20innovation,respiratory%20and%20therapeutic%20oral%20health</w:t>
        </w:r>
      </w:hyperlink>
      <w:r w:rsidRPr="00E63C90">
        <w:rPr>
          <w:sz w:val="24"/>
          <w:szCs w:val="24"/>
        </w:rPr>
        <w:t xml:space="preserve">. </w:t>
      </w:r>
      <w:r w:rsidRPr="00E63C90">
        <w:rPr>
          <w:bCs/>
          <w:sz w:val="24"/>
          <w:szCs w:val="24"/>
        </w:rPr>
        <w:t>[Accessed on: 25/11/2025]</w:t>
      </w:r>
    </w:p>
    <w:p w14:paraId="3F1D9AE1" w14:textId="77777777" w:rsidR="00E63C90" w:rsidRPr="00E63C90" w:rsidRDefault="00E63C90" w:rsidP="008E2414">
      <w:pPr>
        <w:spacing w:line="360" w:lineRule="auto"/>
        <w:jc w:val="both"/>
        <w:rPr>
          <w:bCs/>
          <w:sz w:val="24"/>
          <w:szCs w:val="24"/>
        </w:rPr>
      </w:pPr>
      <w:r w:rsidRPr="00E63C90">
        <w:rPr>
          <w:bCs/>
          <w:sz w:val="24"/>
          <w:szCs w:val="24"/>
        </w:rPr>
        <w:t xml:space="preserve">Pharmabiz, (2025). </w:t>
      </w:r>
      <w:r w:rsidRPr="00E63C90">
        <w:rPr>
          <w:bCs/>
          <w:i/>
          <w:sz w:val="24"/>
          <w:szCs w:val="24"/>
        </w:rPr>
        <w:t>GSK to invest $30 billion in R&amp;D and supply chain infrastructure in US over next 5 years</w:t>
      </w:r>
      <w:r w:rsidRPr="00E63C90">
        <w:rPr>
          <w:bCs/>
          <w:sz w:val="24"/>
          <w:szCs w:val="24"/>
        </w:rPr>
        <w:t xml:space="preserve">. Available at: </w:t>
      </w:r>
      <w:hyperlink r:id="rId55" w:history="1">
        <w:r w:rsidRPr="00E63C90">
          <w:rPr>
            <w:rStyle w:val="Hyperlink"/>
            <w:sz w:val="24"/>
            <w:szCs w:val="24"/>
          </w:rPr>
          <w:t>https://www.pharmabiz.com/NewsDetails.aspx?aid=181323&amp;sid=2</w:t>
        </w:r>
      </w:hyperlink>
      <w:r w:rsidRPr="00E63C90">
        <w:rPr>
          <w:sz w:val="24"/>
          <w:szCs w:val="24"/>
        </w:rPr>
        <w:t xml:space="preserve"> </w:t>
      </w:r>
      <w:r w:rsidRPr="00E63C90">
        <w:rPr>
          <w:bCs/>
          <w:sz w:val="24"/>
          <w:szCs w:val="24"/>
        </w:rPr>
        <w:t>[Accessed on: 25/11/2025]</w:t>
      </w:r>
    </w:p>
    <w:p w14:paraId="6DCB7B7C" w14:textId="77777777" w:rsidR="00E63C90" w:rsidRPr="00E63C90" w:rsidRDefault="00E63C90" w:rsidP="008E2414">
      <w:pPr>
        <w:spacing w:line="360" w:lineRule="auto"/>
        <w:jc w:val="both"/>
        <w:rPr>
          <w:b/>
          <w:bCs/>
          <w:i/>
          <w:sz w:val="24"/>
          <w:szCs w:val="24"/>
        </w:rPr>
      </w:pPr>
      <w:r w:rsidRPr="00E63C90">
        <w:rPr>
          <w:bCs/>
          <w:sz w:val="24"/>
          <w:szCs w:val="24"/>
        </w:rPr>
        <w:t xml:space="preserve">Pharmaceutical Technology, (2024). </w:t>
      </w:r>
      <w:r w:rsidRPr="00E63C90">
        <w:rPr>
          <w:rFonts w:eastAsiaTheme="minorHAnsi"/>
          <w:bCs/>
          <w:i/>
          <w:sz w:val="24"/>
          <w:szCs w:val="24"/>
        </w:rPr>
        <w:t>BioVersys and GSK expand their partnership for TB treatment alpibectir</w:t>
      </w:r>
      <w:r w:rsidRPr="00E63C90">
        <w:rPr>
          <w:bCs/>
          <w:i/>
          <w:sz w:val="24"/>
          <w:szCs w:val="24"/>
        </w:rPr>
        <w:t>.</w:t>
      </w:r>
      <w:r w:rsidRPr="00E63C90">
        <w:rPr>
          <w:bCs/>
          <w:sz w:val="24"/>
          <w:szCs w:val="24"/>
        </w:rPr>
        <w:t xml:space="preserve"> Available at: </w:t>
      </w:r>
      <w:hyperlink r:id="rId56" w:history="1">
        <w:r w:rsidRPr="00E63C90">
          <w:rPr>
            <w:rStyle w:val="Hyperlink"/>
            <w:sz w:val="24"/>
            <w:szCs w:val="24"/>
          </w:rPr>
          <w:t>https://www.gsk.com/en-gb/careers/our-global-and-regional-hubs/</w:t>
        </w:r>
      </w:hyperlink>
      <w:r w:rsidRPr="00E63C90">
        <w:rPr>
          <w:sz w:val="24"/>
          <w:szCs w:val="24"/>
        </w:rPr>
        <w:t xml:space="preserve"> </w:t>
      </w:r>
      <w:r w:rsidRPr="00E63C90">
        <w:rPr>
          <w:bCs/>
          <w:sz w:val="24"/>
          <w:szCs w:val="24"/>
        </w:rPr>
        <w:t>[Accessed on: 25/11/2025]</w:t>
      </w:r>
    </w:p>
    <w:p w14:paraId="324D2468" w14:textId="77777777" w:rsidR="00E63C90" w:rsidRPr="00E63C90" w:rsidRDefault="00E63C90" w:rsidP="008E2414">
      <w:pPr>
        <w:spacing w:line="360" w:lineRule="auto"/>
        <w:jc w:val="both"/>
        <w:rPr>
          <w:sz w:val="24"/>
          <w:szCs w:val="24"/>
        </w:rPr>
      </w:pPr>
      <w:r w:rsidRPr="00E63C90">
        <w:rPr>
          <w:bCs/>
          <w:sz w:val="24"/>
          <w:szCs w:val="24"/>
        </w:rPr>
        <w:t xml:space="preserve">PIB.GOV, (2025). </w:t>
      </w:r>
      <w:r w:rsidRPr="00E63C90">
        <w:rPr>
          <w:rFonts w:eastAsiaTheme="minorHAnsi"/>
          <w:i/>
          <w:sz w:val="24"/>
          <w:szCs w:val="24"/>
        </w:rPr>
        <w:t>India’s GDP Surge: Driving the Growth Story</w:t>
      </w:r>
      <w:r w:rsidRPr="00E63C90">
        <w:rPr>
          <w:bCs/>
          <w:i/>
          <w:sz w:val="24"/>
          <w:szCs w:val="24"/>
        </w:rPr>
        <w:t>.</w:t>
      </w:r>
      <w:r w:rsidRPr="00E63C90">
        <w:rPr>
          <w:bCs/>
          <w:sz w:val="24"/>
          <w:szCs w:val="24"/>
        </w:rPr>
        <w:t xml:space="preserve"> Available at: </w:t>
      </w:r>
      <w:hyperlink r:id="rId57" w:anchor=":~:text=Currently%20the%20world's%20fourth%2Dlargest,reforms%2C%20and%20active%20global%20engagement" w:history="1">
        <w:r w:rsidRPr="00E63C90">
          <w:rPr>
            <w:rStyle w:val="Hyperlink"/>
            <w:sz w:val="24"/>
            <w:szCs w:val="24"/>
          </w:rPr>
          <w:t>https://www.pib.gov.in/PressNoteDetails.aspx?NoteId=155121&amp;ModuleId=3#:~:text=Currently%20the%20world's%20fourth%2Dlargest,reforms%2C%20and%20active%20global%20engagement</w:t>
        </w:r>
      </w:hyperlink>
      <w:r w:rsidRPr="00E63C90">
        <w:rPr>
          <w:sz w:val="24"/>
          <w:szCs w:val="24"/>
        </w:rPr>
        <w:t>.</w:t>
      </w:r>
      <w:r w:rsidRPr="00E63C90">
        <w:rPr>
          <w:bCs/>
          <w:sz w:val="24"/>
          <w:szCs w:val="24"/>
        </w:rPr>
        <w:t>[Accessed on: 25/11/2025]</w:t>
      </w:r>
    </w:p>
    <w:p w14:paraId="547A7409"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Rasheed, R., Rashid, A., Muhammad Nawaz Tunio and Noor Aina Amirah (2025) ‘Measuring the impact of leadership attributes on employee engagement through psychological empowerment: a study from the pharmaceutical industry’, </w:t>
      </w:r>
      <w:r w:rsidRPr="00E63C90">
        <w:rPr>
          <w:i/>
          <w:iCs/>
          <w:sz w:val="24"/>
          <w:szCs w:val="24"/>
          <w:lang w:val="en-IN"/>
        </w:rPr>
        <w:t>Evidence-based HRM a Global Forum for Empirical Scholarship</w:t>
      </w:r>
      <w:r w:rsidRPr="00E63C90">
        <w:rPr>
          <w:sz w:val="24"/>
          <w:szCs w:val="24"/>
          <w:lang w:val="en-IN"/>
        </w:rPr>
        <w:t xml:space="preserve"> [Preprint]. Available at: https://doi.org/10.1108/ebhrm-08-2024-0307.</w:t>
      </w:r>
    </w:p>
    <w:p w14:paraId="78C25755" w14:textId="77777777" w:rsidR="00E63C90" w:rsidRPr="00E63C90" w:rsidRDefault="00E63C90" w:rsidP="008E2414">
      <w:pPr>
        <w:spacing w:line="360" w:lineRule="auto"/>
        <w:jc w:val="both"/>
        <w:rPr>
          <w:sz w:val="24"/>
          <w:szCs w:val="24"/>
        </w:rPr>
      </w:pPr>
      <w:r w:rsidRPr="00E63C90">
        <w:rPr>
          <w:sz w:val="24"/>
          <w:szCs w:val="24"/>
        </w:rPr>
        <w:t>Rathod, S.K., (2022). ‘Patent oppositions in India’. </w:t>
      </w:r>
      <w:r w:rsidRPr="00E63C90">
        <w:rPr>
          <w:i/>
          <w:iCs/>
          <w:sz w:val="24"/>
          <w:szCs w:val="24"/>
        </w:rPr>
        <w:t>Access to medicines and vaccines</w:t>
      </w:r>
      <w:r w:rsidRPr="00E63C90">
        <w:rPr>
          <w:sz w:val="24"/>
          <w:szCs w:val="24"/>
        </w:rPr>
        <w:t xml:space="preserve">, p.151. </w:t>
      </w:r>
      <w:hyperlink r:id="rId58" w:anchor="page=157" w:history="1">
        <w:r w:rsidRPr="00E63C90">
          <w:rPr>
            <w:rStyle w:val="Hyperlink"/>
            <w:sz w:val="24"/>
            <w:szCs w:val="24"/>
          </w:rPr>
          <w:t>https://library.oapen.org/bitstream/handle/20.500.12657/51469/1/9783030831141.pdf#page=157</w:t>
        </w:r>
      </w:hyperlink>
      <w:r w:rsidRPr="00E63C90">
        <w:rPr>
          <w:sz w:val="24"/>
          <w:szCs w:val="24"/>
        </w:rPr>
        <w:t xml:space="preserve"> </w:t>
      </w:r>
    </w:p>
    <w:p w14:paraId="529D3E74" w14:textId="77777777" w:rsidR="00E63C90" w:rsidRPr="00E63C90" w:rsidRDefault="00E63C90" w:rsidP="008E2414">
      <w:pPr>
        <w:spacing w:line="360" w:lineRule="auto"/>
        <w:jc w:val="both"/>
        <w:rPr>
          <w:sz w:val="24"/>
          <w:szCs w:val="24"/>
          <w:lang w:val="en-IN"/>
        </w:rPr>
      </w:pPr>
      <w:r w:rsidRPr="00E63C90">
        <w:rPr>
          <w:sz w:val="24"/>
          <w:szCs w:val="24"/>
          <w:lang w:val="en-IN"/>
        </w:rPr>
        <w:lastRenderedPageBreak/>
        <w:t xml:space="preserve">Sandhu, S. and Chanana, N. (2025) ‘Organizational Cynicism And Its Impact On  Job Engagement In The Pharma Industry’, </w:t>
      </w:r>
      <w:r w:rsidRPr="00E63C90">
        <w:rPr>
          <w:i/>
          <w:iCs/>
          <w:sz w:val="24"/>
          <w:szCs w:val="24"/>
          <w:lang w:val="en-IN"/>
        </w:rPr>
        <w:t>International Journal of Environmental Sciences</w:t>
      </w:r>
      <w:r w:rsidRPr="00E63C90">
        <w:rPr>
          <w:sz w:val="24"/>
          <w:szCs w:val="24"/>
          <w:lang w:val="en-IN"/>
        </w:rPr>
        <w:t>, pp. 1037–1046. Available at: https://doi.org/10.64252/r9bf8w11.</w:t>
      </w:r>
    </w:p>
    <w:p w14:paraId="7571DB9A" w14:textId="77777777" w:rsidR="00E63C90" w:rsidRPr="00E63C90" w:rsidRDefault="00E63C90" w:rsidP="008E2414">
      <w:pPr>
        <w:spacing w:line="360" w:lineRule="auto"/>
        <w:jc w:val="both"/>
        <w:rPr>
          <w:sz w:val="24"/>
          <w:szCs w:val="24"/>
        </w:rPr>
      </w:pPr>
      <w:r w:rsidRPr="00E63C90">
        <w:rPr>
          <w:sz w:val="24"/>
          <w:szCs w:val="24"/>
        </w:rPr>
        <w:t>Silva, A.A., (2021). ‘Transaction costs in the pharmaceutical retail market: Impacts of opportunism and analytical dimensions of transactions.’ </w:t>
      </w:r>
      <w:r w:rsidRPr="00E63C90">
        <w:rPr>
          <w:i/>
          <w:iCs/>
          <w:sz w:val="24"/>
          <w:szCs w:val="24"/>
        </w:rPr>
        <w:t>RAM. Revista de Administração Mackenzie</w:t>
      </w:r>
      <w:r w:rsidRPr="00E63C90">
        <w:rPr>
          <w:sz w:val="24"/>
          <w:szCs w:val="24"/>
        </w:rPr>
        <w:t>, </w:t>
      </w:r>
      <w:r w:rsidRPr="00E63C90">
        <w:rPr>
          <w:i/>
          <w:iCs/>
          <w:sz w:val="24"/>
          <w:szCs w:val="24"/>
        </w:rPr>
        <w:t>22</w:t>
      </w:r>
      <w:r w:rsidRPr="00E63C90">
        <w:rPr>
          <w:sz w:val="24"/>
          <w:szCs w:val="24"/>
        </w:rPr>
        <w:t xml:space="preserve">, p.eRAMR210037. </w:t>
      </w:r>
      <w:hyperlink r:id="rId59" w:history="1">
        <w:r w:rsidRPr="00E63C90">
          <w:rPr>
            <w:rStyle w:val="Hyperlink"/>
            <w:sz w:val="24"/>
            <w:szCs w:val="24"/>
          </w:rPr>
          <w:t>https://www.scielo.br/j/ram/a/QqnhYQKyT96CFFVbmvMmKzx/</w:t>
        </w:r>
      </w:hyperlink>
      <w:r w:rsidRPr="00E63C90">
        <w:rPr>
          <w:sz w:val="24"/>
          <w:szCs w:val="24"/>
        </w:rPr>
        <w:t xml:space="preserve"> </w:t>
      </w:r>
    </w:p>
    <w:p w14:paraId="2C029FA1" w14:textId="77777777" w:rsidR="00E63C90" w:rsidRPr="00E63C90" w:rsidRDefault="00E63C90" w:rsidP="008E2414">
      <w:pPr>
        <w:spacing w:line="360" w:lineRule="auto"/>
        <w:jc w:val="both"/>
        <w:rPr>
          <w:sz w:val="24"/>
          <w:szCs w:val="24"/>
        </w:rPr>
      </w:pPr>
      <w:r w:rsidRPr="00E63C90">
        <w:rPr>
          <w:bCs/>
          <w:sz w:val="24"/>
          <w:szCs w:val="24"/>
        </w:rPr>
        <w:t xml:space="preserve">The Hindu, (2023). </w:t>
      </w:r>
      <w:r w:rsidRPr="00E63C90">
        <w:rPr>
          <w:rFonts w:eastAsiaTheme="minorHAnsi"/>
          <w:bCs/>
          <w:i/>
          <w:sz w:val="24"/>
          <w:szCs w:val="24"/>
        </w:rPr>
        <w:t>India’s import of Active Pharmaceutical Ingredients and Key Starting Material from other countries including China grew: Ministry</w:t>
      </w:r>
      <w:r w:rsidRPr="00E63C90">
        <w:rPr>
          <w:bCs/>
          <w:i/>
          <w:sz w:val="24"/>
          <w:szCs w:val="24"/>
        </w:rPr>
        <w:t>.</w:t>
      </w:r>
      <w:r w:rsidRPr="00E63C90">
        <w:rPr>
          <w:bCs/>
          <w:sz w:val="24"/>
          <w:szCs w:val="24"/>
        </w:rPr>
        <w:t xml:space="preserve"> Available at: </w:t>
      </w:r>
      <w:hyperlink r:id="rId60" w:history="1">
        <w:r w:rsidRPr="00E63C90">
          <w:rPr>
            <w:rStyle w:val="Hyperlink"/>
            <w:sz w:val="24"/>
            <w:szCs w:val="24"/>
          </w:rPr>
          <w:t>https://www.thehindu.com/news/national/indias-import-of-active-pharmaceutical-ingredients-and-key-starting-material-from-other-countries-including-china-grew-ministry/article67621117.ece</w:t>
        </w:r>
      </w:hyperlink>
      <w:r w:rsidRPr="00E63C90">
        <w:rPr>
          <w:sz w:val="24"/>
          <w:szCs w:val="24"/>
        </w:rPr>
        <w:t xml:space="preserve"> </w:t>
      </w:r>
      <w:r w:rsidRPr="00E63C90">
        <w:rPr>
          <w:bCs/>
          <w:sz w:val="24"/>
          <w:szCs w:val="24"/>
        </w:rPr>
        <w:t>[Accessed on: 25/11/2025]</w:t>
      </w:r>
    </w:p>
    <w:p w14:paraId="7BB2A08D"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The Times of India (2025) </w:t>
      </w:r>
      <w:r w:rsidRPr="00E63C90">
        <w:rPr>
          <w:i/>
          <w:iCs/>
          <w:sz w:val="24"/>
          <w:szCs w:val="24"/>
          <w:lang w:val="en-IN"/>
        </w:rPr>
        <w:t>GSK Pharma re-enters oncology market</w:t>
      </w:r>
      <w:r w:rsidRPr="00E63C90">
        <w:rPr>
          <w:sz w:val="24"/>
          <w:szCs w:val="24"/>
          <w:lang w:val="en-IN"/>
        </w:rPr>
        <w:t xml:space="preserve">, </w:t>
      </w:r>
      <w:r w:rsidRPr="00E63C90">
        <w:rPr>
          <w:i/>
          <w:iCs/>
          <w:sz w:val="24"/>
          <w:szCs w:val="24"/>
          <w:lang w:val="en-IN"/>
        </w:rPr>
        <w:t>The Times of India</w:t>
      </w:r>
      <w:r w:rsidRPr="00E63C90">
        <w:rPr>
          <w:sz w:val="24"/>
          <w:szCs w:val="24"/>
          <w:lang w:val="en-IN"/>
        </w:rPr>
        <w:t>. The Times Of India. Available at: https://timesofindia.indiatimes.com/business/india-business/gsk-pharma-re-enters-oncology-market/articleshow/123530043.cms (Accessed: 26 November 2025).</w:t>
      </w:r>
    </w:p>
    <w:p w14:paraId="0EC642DA" w14:textId="77777777" w:rsidR="00E63C90" w:rsidRPr="00E63C90" w:rsidRDefault="00E63C90" w:rsidP="008E2414">
      <w:pPr>
        <w:spacing w:line="360" w:lineRule="auto"/>
        <w:jc w:val="both"/>
        <w:rPr>
          <w:bCs/>
          <w:sz w:val="24"/>
          <w:szCs w:val="24"/>
        </w:rPr>
      </w:pPr>
      <w:r w:rsidRPr="00E63C90">
        <w:rPr>
          <w:bCs/>
          <w:sz w:val="24"/>
          <w:szCs w:val="24"/>
        </w:rPr>
        <w:t xml:space="preserve">Times of India, (2025). </w:t>
      </w:r>
      <w:r w:rsidRPr="00E63C90">
        <w:rPr>
          <w:i/>
          <w:sz w:val="24"/>
          <w:szCs w:val="24"/>
        </w:rPr>
        <w:t>GSK Pharma reenters oncology market</w:t>
      </w:r>
      <w:r w:rsidRPr="00E63C90">
        <w:rPr>
          <w:bCs/>
          <w:i/>
          <w:sz w:val="24"/>
          <w:szCs w:val="24"/>
        </w:rPr>
        <w:t>.</w:t>
      </w:r>
      <w:r w:rsidRPr="00E63C90">
        <w:rPr>
          <w:bCs/>
          <w:sz w:val="24"/>
          <w:szCs w:val="24"/>
        </w:rPr>
        <w:t xml:space="preserve"> Available at: </w:t>
      </w:r>
      <w:hyperlink r:id="rId61" w:history="1">
        <w:r w:rsidRPr="00E63C90">
          <w:rPr>
            <w:rStyle w:val="Hyperlink"/>
            <w:sz w:val="24"/>
            <w:szCs w:val="24"/>
          </w:rPr>
          <w:t>https://timesofindia.indiatimes.com/business/india-business/gsk-pharma-re-enters-oncology-market/articleshow/123530043.cms</w:t>
        </w:r>
      </w:hyperlink>
      <w:r w:rsidRPr="00E63C90">
        <w:rPr>
          <w:sz w:val="24"/>
          <w:szCs w:val="24"/>
        </w:rPr>
        <w:t xml:space="preserve"> </w:t>
      </w:r>
      <w:r w:rsidRPr="00E63C90">
        <w:rPr>
          <w:bCs/>
          <w:sz w:val="24"/>
          <w:szCs w:val="24"/>
        </w:rPr>
        <w:t>[Accessed on: 25/11/2025]</w:t>
      </w:r>
    </w:p>
    <w:p w14:paraId="66FF61F6" w14:textId="77777777" w:rsidR="00E63C90" w:rsidRPr="00E63C90" w:rsidRDefault="00E63C90" w:rsidP="008E2414">
      <w:pPr>
        <w:spacing w:line="360" w:lineRule="auto"/>
        <w:jc w:val="both"/>
        <w:rPr>
          <w:sz w:val="24"/>
          <w:szCs w:val="24"/>
        </w:rPr>
      </w:pPr>
      <w:r w:rsidRPr="00E63C90">
        <w:rPr>
          <w:sz w:val="24"/>
          <w:szCs w:val="24"/>
        </w:rPr>
        <w:t>Tulum, Ö., Andreoni, A. and Lazonick, W., (2022). ‘</w:t>
      </w:r>
      <w:r w:rsidRPr="00E63C90">
        <w:rPr>
          <w:i/>
          <w:iCs/>
          <w:sz w:val="24"/>
          <w:szCs w:val="24"/>
        </w:rPr>
        <w:t>From financialisation to innovation in UK Big pharma: AstraZeneca and GlaxoSmithKline</w:t>
      </w:r>
      <w:r w:rsidRPr="00E63C90">
        <w:rPr>
          <w:sz w:val="24"/>
          <w:szCs w:val="24"/>
        </w:rPr>
        <w:t xml:space="preserve">.’ Cambridge University Press. </w:t>
      </w:r>
      <w:hyperlink r:id="rId62" w:history="1">
        <w:r w:rsidRPr="00E63C90">
          <w:rPr>
            <w:rStyle w:val="Hyperlink"/>
            <w:sz w:val="24"/>
            <w:szCs w:val="24"/>
          </w:rPr>
          <w:t>https://www.cambridge.org/core/elements/from-financialisation-to-innovation-in-uk-big-pharma/A077D6158F0A945ED53F3F125EE0650F</w:t>
        </w:r>
      </w:hyperlink>
      <w:r w:rsidRPr="00E63C90">
        <w:rPr>
          <w:sz w:val="24"/>
          <w:szCs w:val="24"/>
        </w:rPr>
        <w:t xml:space="preserve"> </w:t>
      </w:r>
    </w:p>
    <w:p w14:paraId="6E5E001E" w14:textId="77777777" w:rsidR="00E63C90" w:rsidRPr="00E63C90" w:rsidRDefault="00E63C90" w:rsidP="008E2414">
      <w:pPr>
        <w:spacing w:line="360" w:lineRule="auto"/>
        <w:jc w:val="both"/>
        <w:rPr>
          <w:sz w:val="24"/>
          <w:szCs w:val="24"/>
        </w:rPr>
      </w:pPr>
      <w:r w:rsidRPr="00E63C90">
        <w:rPr>
          <w:sz w:val="24"/>
          <w:szCs w:val="24"/>
        </w:rPr>
        <w:t>Tyukhtenko, N., Churkina, I., Pavlovych, O., Mokhnenko, A. and Burak, V., (2024). ‘Foreign market entry strategy as a key to the competitiveness of enterprises.’ </w:t>
      </w:r>
      <w:r w:rsidRPr="00E63C90">
        <w:rPr>
          <w:i/>
          <w:iCs/>
          <w:sz w:val="24"/>
          <w:szCs w:val="24"/>
        </w:rPr>
        <w:t>Ekonomika APK</w:t>
      </w:r>
      <w:r w:rsidRPr="00E63C90">
        <w:rPr>
          <w:sz w:val="24"/>
          <w:szCs w:val="24"/>
        </w:rPr>
        <w:t>, </w:t>
      </w:r>
      <w:r w:rsidRPr="00E63C90">
        <w:rPr>
          <w:i/>
          <w:iCs/>
          <w:sz w:val="24"/>
          <w:szCs w:val="24"/>
        </w:rPr>
        <w:t>31</w:t>
      </w:r>
      <w:r w:rsidRPr="00E63C90">
        <w:rPr>
          <w:sz w:val="24"/>
          <w:szCs w:val="24"/>
        </w:rPr>
        <w:t xml:space="preserve">(5). </w:t>
      </w:r>
      <w:hyperlink r:id="rId63" w:anchor="page=86" w:history="1">
        <w:r w:rsidRPr="00E63C90">
          <w:rPr>
            <w:rStyle w:val="Hyperlink"/>
            <w:sz w:val="24"/>
            <w:szCs w:val="24"/>
          </w:rPr>
          <w:t>https://eapk.com.ua/web/uploads/journals_pdf/%E2%80%9CEkonomika%20APK%E2%80%9D,%20Vol.%2031(No.%205),%202024.pdf#page=86</w:t>
        </w:r>
      </w:hyperlink>
      <w:r w:rsidRPr="00E63C90">
        <w:rPr>
          <w:sz w:val="24"/>
          <w:szCs w:val="24"/>
        </w:rPr>
        <w:t xml:space="preserve"> </w:t>
      </w:r>
    </w:p>
    <w:p w14:paraId="2737725D" w14:textId="77777777" w:rsidR="00E63C90" w:rsidRPr="00E63C90" w:rsidRDefault="00E63C90" w:rsidP="008E2414">
      <w:pPr>
        <w:spacing w:line="360" w:lineRule="auto"/>
        <w:jc w:val="both"/>
        <w:rPr>
          <w:sz w:val="24"/>
          <w:szCs w:val="24"/>
          <w:lang w:val="en-IN"/>
        </w:rPr>
      </w:pPr>
      <w:r w:rsidRPr="00E63C90">
        <w:rPr>
          <w:sz w:val="24"/>
          <w:szCs w:val="24"/>
          <w:lang w:val="en-IN"/>
        </w:rPr>
        <w:t xml:space="preserve">Vasudevan, M. (2025) ‘Optimizing New Product Development: The role of cross-functional collaboration and leadership practices’, </w:t>
      </w:r>
      <w:r w:rsidRPr="00E63C90">
        <w:rPr>
          <w:i/>
          <w:iCs/>
          <w:sz w:val="24"/>
          <w:szCs w:val="24"/>
          <w:lang w:val="en-IN"/>
        </w:rPr>
        <w:t>Journal of Information Systems Engineering and Management</w:t>
      </w:r>
      <w:r w:rsidRPr="00E63C90">
        <w:rPr>
          <w:sz w:val="24"/>
          <w:szCs w:val="24"/>
          <w:lang w:val="en-IN"/>
        </w:rPr>
        <w:t>, 10(19s), pp. 41–55. Available at: https://doi.org/10.52783/jisem.v10i19s.2973.</w:t>
      </w:r>
    </w:p>
    <w:p w14:paraId="152B302E" w14:textId="77777777" w:rsidR="00E63C90" w:rsidRPr="00E63C90" w:rsidRDefault="00E63C90" w:rsidP="008E2414">
      <w:pPr>
        <w:spacing w:line="360" w:lineRule="auto"/>
        <w:jc w:val="both"/>
        <w:rPr>
          <w:sz w:val="24"/>
          <w:szCs w:val="24"/>
        </w:rPr>
      </w:pPr>
      <w:r w:rsidRPr="00E63C90">
        <w:rPr>
          <w:sz w:val="24"/>
          <w:szCs w:val="24"/>
        </w:rPr>
        <w:t xml:space="preserve">Vitales, S.M.A., Sumayao, V.J., Ventosa, H.A.H., Shane, M., Yambot, Q. and Fronda, J.G., (2024). ‘Consumer Preferences between Branded and Generic </w:t>
      </w:r>
      <w:r w:rsidRPr="00E63C90">
        <w:rPr>
          <w:sz w:val="24"/>
          <w:szCs w:val="24"/>
        </w:rPr>
        <w:lastRenderedPageBreak/>
        <w:t>Medications: A Comparative Study.’ </w:t>
      </w:r>
      <w:r w:rsidRPr="00E63C90">
        <w:rPr>
          <w:i/>
          <w:iCs/>
          <w:sz w:val="24"/>
          <w:szCs w:val="24"/>
        </w:rPr>
        <w:t>International Journal of Advanced Engineering, Management and Science</w:t>
      </w:r>
      <w:r w:rsidRPr="00E63C90">
        <w:rPr>
          <w:sz w:val="24"/>
          <w:szCs w:val="24"/>
        </w:rPr>
        <w:t>, </w:t>
      </w:r>
      <w:r w:rsidRPr="00E63C90">
        <w:rPr>
          <w:i/>
          <w:iCs/>
          <w:sz w:val="24"/>
          <w:szCs w:val="24"/>
        </w:rPr>
        <w:t>10</w:t>
      </w:r>
      <w:r w:rsidRPr="00E63C90">
        <w:rPr>
          <w:sz w:val="24"/>
          <w:szCs w:val="24"/>
        </w:rPr>
        <w:t xml:space="preserve">(7), p.590613. </w:t>
      </w:r>
      <w:hyperlink r:id="rId64" w:history="1">
        <w:r w:rsidRPr="00E63C90">
          <w:rPr>
            <w:rStyle w:val="Hyperlink"/>
            <w:sz w:val="24"/>
            <w:szCs w:val="24"/>
          </w:rPr>
          <w:t>https://www.academia.edu/download/120510785/IJAEMS_18_November_December_2024.pdf</w:t>
        </w:r>
      </w:hyperlink>
      <w:r w:rsidRPr="00E63C90">
        <w:rPr>
          <w:sz w:val="24"/>
          <w:szCs w:val="24"/>
        </w:rPr>
        <w:t xml:space="preserve"> </w:t>
      </w:r>
    </w:p>
    <w:p w14:paraId="7D0A40ED" w14:textId="77777777" w:rsidR="00947A8B" w:rsidRPr="00947A8B" w:rsidRDefault="00947A8B" w:rsidP="008E2414">
      <w:pPr>
        <w:spacing w:line="360" w:lineRule="auto"/>
        <w:jc w:val="both"/>
        <w:rPr>
          <w:sz w:val="24"/>
          <w:szCs w:val="24"/>
        </w:rPr>
      </w:pPr>
    </w:p>
    <w:p w14:paraId="40E75314" w14:textId="77777777" w:rsidR="00570671" w:rsidRPr="00947A8B" w:rsidRDefault="00570671" w:rsidP="008E2414">
      <w:pPr>
        <w:spacing w:line="360" w:lineRule="auto"/>
        <w:jc w:val="both"/>
        <w:rPr>
          <w:sz w:val="24"/>
          <w:szCs w:val="24"/>
        </w:rPr>
      </w:pPr>
    </w:p>
    <w:p w14:paraId="056B0488" w14:textId="77777777" w:rsidR="00570671" w:rsidRPr="00947A8B" w:rsidRDefault="00570671" w:rsidP="008E2414">
      <w:pPr>
        <w:spacing w:line="360" w:lineRule="auto"/>
        <w:jc w:val="both"/>
        <w:rPr>
          <w:sz w:val="24"/>
          <w:szCs w:val="24"/>
        </w:rPr>
      </w:pPr>
    </w:p>
    <w:p w14:paraId="759975D9" w14:textId="77777777" w:rsidR="00570671" w:rsidRPr="00947A8B" w:rsidRDefault="00570671" w:rsidP="008E2414">
      <w:pPr>
        <w:spacing w:line="360" w:lineRule="auto"/>
        <w:jc w:val="both"/>
        <w:rPr>
          <w:bCs/>
          <w:sz w:val="24"/>
          <w:szCs w:val="24"/>
        </w:rPr>
      </w:pPr>
    </w:p>
    <w:p w14:paraId="19E5BF1B" w14:textId="469CD26A" w:rsidR="003F7257" w:rsidRDefault="003F7257" w:rsidP="008E2414">
      <w:pPr>
        <w:pStyle w:val="Normal1"/>
        <w:spacing w:line="360" w:lineRule="auto"/>
        <w:jc w:val="both"/>
        <w:rPr>
          <w:sz w:val="24"/>
          <w:szCs w:val="24"/>
        </w:rPr>
      </w:pPr>
    </w:p>
    <w:p w14:paraId="1DE12FD9" w14:textId="77777777" w:rsidR="003F7257" w:rsidRDefault="003F7257" w:rsidP="008E2414">
      <w:pPr>
        <w:pStyle w:val="Normal1"/>
        <w:spacing w:line="360" w:lineRule="auto"/>
        <w:jc w:val="both"/>
        <w:rPr>
          <w:sz w:val="24"/>
          <w:szCs w:val="24"/>
        </w:rPr>
      </w:pPr>
    </w:p>
    <w:p w14:paraId="62F564C8" w14:textId="77777777" w:rsidR="003F7257" w:rsidRDefault="003F7257" w:rsidP="008E2414">
      <w:pPr>
        <w:pStyle w:val="Normal1"/>
        <w:spacing w:line="360" w:lineRule="auto"/>
        <w:jc w:val="both"/>
        <w:rPr>
          <w:sz w:val="24"/>
          <w:szCs w:val="24"/>
        </w:rPr>
      </w:pPr>
    </w:p>
    <w:sectPr w:rsidR="003F7257" w:rsidSect="00570671">
      <w:footerReference w:type="default" r:id="rId6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936F5" w14:textId="77777777" w:rsidR="004D542A" w:rsidRDefault="004D542A" w:rsidP="00570671">
      <w:pPr>
        <w:spacing w:line="240" w:lineRule="auto"/>
      </w:pPr>
      <w:r>
        <w:separator/>
      </w:r>
    </w:p>
  </w:endnote>
  <w:endnote w:type="continuationSeparator" w:id="0">
    <w:p w14:paraId="21099D7F" w14:textId="77777777" w:rsidR="004D542A" w:rsidRDefault="004D542A" w:rsidP="005706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72AA3EF-97C0-4D50-9A63-EE53074547C8}"/>
  </w:font>
  <w:font w:name="Cambria">
    <w:panose1 w:val="02040503050406030204"/>
    <w:charset w:val="00"/>
    <w:family w:val="roman"/>
    <w:pitch w:val="variable"/>
    <w:sig w:usb0="E00006FF" w:usb1="420024FF" w:usb2="02000000" w:usb3="00000000" w:csb0="0000019F" w:csb1="00000000"/>
    <w:embedRegular r:id="rId2" w:fontKey="{9C0218D8-C7FD-4268-A771-F9B9446FEC32}"/>
    <w:embedItalic r:id="rId3" w:fontKey="{5B22E3FE-3F15-4913-9F55-E92DF352CBA5}"/>
  </w:font>
  <w:font w:name="Calibri">
    <w:panose1 w:val="020F0502020204030204"/>
    <w:charset w:val="00"/>
    <w:family w:val="swiss"/>
    <w:pitch w:val="variable"/>
    <w:sig w:usb0="E4002EFF" w:usb1="C000247B" w:usb2="00000009" w:usb3="00000000" w:csb0="000001FF" w:csb1="00000000"/>
    <w:embedRegular r:id="rId4" w:fontKey="{F2F01D54-62BC-4497-A976-E338F58C99EE}"/>
    <w:embedBold r:id="rId5" w:fontKey="{72950D6C-5BCB-4AC9-B965-78348C5D8B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430955"/>
      <w:docPartObj>
        <w:docPartGallery w:val="Page Numbers (Bottom of Page)"/>
        <w:docPartUnique/>
      </w:docPartObj>
    </w:sdtPr>
    <w:sdtContent>
      <w:p w14:paraId="312E1B47" w14:textId="7F4A1A59" w:rsidR="00570671" w:rsidRDefault="00570671">
        <w:pPr>
          <w:pStyle w:val="Footer"/>
          <w:jc w:val="right"/>
        </w:pPr>
        <w:r w:rsidRPr="00570671">
          <w:rPr>
            <w:sz w:val="20"/>
          </w:rPr>
          <w:fldChar w:fldCharType="begin"/>
        </w:r>
        <w:r w:rsidRPr="00570671">
          <w:rPr>
            <w:sz w:val="20"/>
          </w:rPr>
          <w:instrText xml:space="preserve"> PAGE   \* MERGEFORMAT </w:instrText>
        </w:r>
        <w:r w:rsidRPr="00570671">
          <w:rPr>
            <w:sz w:val="20"/>
          </w:rPr>
          <w:fldChar w:fldCharType="separate"/>
        </w:r>
        <w:r w:rsidR="00E84498">
          <w:rPr>
            <w:noProof/>
            <w:sz w:val="20"/>
          </w:rPr>
          <w:t>1</w:t>
        </w:r>
        <w:r w:rsidRPr="00570671">
          <w:rPr>
            <w:sz w:val="20"/>
          </w:rPr>
          <w:fldChar w:fldCharType="end"/>
        </w:r>
      </w:p>
    </w:sdtContent>
  </w:sdt>
  <w:p w14:paraId="50D94E6E" w14:textId="77777777" w:rsidR="00570671" w:rsidRDefault="00570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7C1F1" w14:textId="77777777" w:rsidR="004D542A" w:rsidRDefault="004D542A" w:rsidP="00570671">
      <w:pPr>
        <w:spacing w:line="240" w:lineRule="auto"/>
      </w:pPr>
      <w:r>
        <w:separator/>
      </w:r>
    </w:p>
  </w:footnote>
  <w:footnote w:type="continuationSeparator" w:id="0">
    <w:p w14:paraId="67745760" w14:textId="77777777" w:rsidR="004D542A" w:rsidRDefault="004D542A" w:rsidP="005706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A6B63"/>
    <w:multiLevelType w:val="multilevel"/>
    <w:tmpl w:val="011A7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D4002"/>
    <w:multiLevelType w:val="multilevel"/>
    <w:tmpl w:val="864EF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01499B"/>
    <w:multiLevelType w:val="multilevel"/>
    <w:tmpl w:val="FA96D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6E1784"/>
    <w:multiLevelType w:val="multilevel"/>
    <w:tmpl w:val="90487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AF3741"/>
    <w:multiLevelType w:val="multilevel"/>
    <w:tmpl w:val="09CC2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3C526A"/>
    <w:multiLevelType w:val="multilevel"/>
    <w:tmpl w:val="E6283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3921B5"/>
    <w:multiLevelType w:val="multilevel"/>
    <w:tmpl w:val="BA0605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F36FD3"/>
    <w:multiLevelType w:val="multilevel"/>
    <w:tmpl w:val="78A4B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D746CE"/>
    <w:multiLevelType w:val="multilevel"/>
    <w:tmpl w:val="FB184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5B029A"/>
    <w:multiLevelType w:val="multilevel"/>
    <w:tmpl w:val="FB8AA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0701942">
    <w:abstractNumId w:val="5"/>
  </w:num>
  <w:num w:numId="2" w16cid:durableId="1127507467">
    <w:abstractNumId w:val="0"/>
  </w:num>
  <w:num w:numId="3" w16cid:durableId="1093477221">
    <w:abstractNumId w:val="3"/>
  </w:num>
  <w:num w:numId="4" w16cid:durableId="1020858189">
    <w:abstractNumId w:val="7"/>
  </w:num>
  <w:num w:numId="5" w16cid:durableId="1018779511">
    <w:abstractNumId w:val="2"/>
  </w:num>
  <w:num w:numId="6" w16cid:durableId="1805587472">
    <w:abstractNumId w:val="4"/>
  </w:num>
  <w:num w:numId="7" w16cid:durableId="1696465306">
    <w:abstractNumId w:val="9"/>
  </w:num>
  <w:num w:numId="8" w16cid:durableId="1653635412">
    <w:abstractNumId w:val="8"/>
  </w:num>
  <w:num w:numId="9" w16cid:durableId="888491310">
    <w:abstractNumId w:val="1"/>
  </w:num>
  <w:num w:numId="10" w16cid:durableId="3646742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7257"/>
    <w:rsid w:val="000576F9"/>
    <w:rsid w:val="00197CF9"/>
    <w:rsid w:val="001B29E6"/>
    <w:rsid w:val="001D10F6"/>
    <w:rsid w:val="001E12E3"/>
    <w:rsid w:val="00266098"/>
    <w:rsid w:val="00321D23"/>
    <w:rsid w:val="00371F40"/>
    <w:rsid w:val="003A71D2"/>
    <w:rsid w:val="003B16D0"/>
    <w:rsid w:val="003F7257"/>
    <w:rsid w:val="00450EEC"/>
    <w:rsid w:val="004B437E"/>
    <w:rsid w:val="004B5771"/>
    <w:rsid w:val="004D542A"/>
    <w:rsid w:val="004D68B6"/>
    <w:rsid w:val="00535F10"/>
    <w:rsid w:val="00570671"/>
    <w:rsid w:val="00590F87"/>
    <w:rsid w:val="00593772"/>
    <w:rsid w:val="005E170F"/>
    <w:rsid w:val="006052DB"/>
    <w:rsid w:val="00657B99"/>
    <w:rsid w:val="006B430A"/>
    <w:rsid w:val="006D7003"/>
    <w:rsid w:val="006F2C26"/>
    <w:rsid w:val="00710256"/>
    <w:rsid w:val="00721754"/>
    <w:rsid w:val="007847D8"/>
    <w:rsid w:val="00796C28"/>
    <w:rsid w:val="007A0106"/>
    <w:rsid w:val="00837880"/>
    <w:rsid w:val="008572CD"/>
    <w:rsid w:val="00881116"/>
    <w:rsid w:val="008B6C77"/>
    <w:rsid w:val="008E0077"/>
    <w:rsid w:val="008E2414"/>
    <w:rsid w:val="00947A8B"/>
    <w:rsid w:val="009679DE"/>
    <w:rsid w:val="0099530C"/>
    <w:rsid w:val="009D113A"/>
    <w:rsid w:val="00A469AE"/>
    <w:rsid w:val="00A70085"/>
    <w:rsid w:val="00B87BD2"/>
    <w:rsid w:val="00BE71D4"/>
    <w:rsid w:val="00C65DA8"/>
    <w:rsid w:val="00CF42A2"/>
    <w:rsid w:val="00D25D97"/>
    <w:rsid w:val="00D51B2C"/>
    <w:rsid w:val="00D83EA2"/>
    <w:rsid w:val="00DA1326"/>
    <w:rsid w:val="00DC5F1A"/>
    <w:rsid w:val="00DE71BF"/>
    <w:rsid w:val="00E2108F"/>
    <w:rsid w:val="00E5053C"/>
    <w:rsid w:val="00E63C90"/>
    <w:rsid w:val="00E84498"/>
    <w:rsid w:val="00E95F94"/>
    <w:rsid w:val="00F023E3"/>
    <w:rsid w:val="00F223B5"/>
    <w:rsid w:val="00FA2964"/>
    <w:rsid w:val="00FB0853"/>
    <w:rsid w:val="00FE29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53DD0"/>
  <w15:docId w15:val="{0F6A1CA0-36E3-485A-B549-008F758AF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C28"/>
  </w:style>
  <w:style w:type="paragraph" w:styleId="Heading1">
    <w:name w:val="heading 1"/>
    <w:basedOn w:val="Normal1"/>
    <w:next w:val="Normal1"/>
    <w:rsid w:val="00450EEC"/>
    <w:pPr>
      <w:keepNext/>
      <w:keepLines/>
      <w:spacing w:before="400" w:after="120" w:line="360" w:lineRule="auto"/>
      <w:jc w:val="both"/>
      <w:outlineLvl w:val="0"/>
    </w:pPr>
    <w:rPr>
      <w:b/>
      <w:sz w:val="24"/>
      <w:szCs w:val="40"/>
    </w:rPr>
  </w:style>
  <w:style w:type="paragraph" w:styleId="Heading2">
    <w:name w:val="heading 2"/>
    <w:basedOn w:val="Normal1"/>
    <w:next w:val="Normal1"/>
    <w:rsid w:val="00450EEC"/>
    <w:pPr>
      <w:keepNext/>
      <w:keepLines/>
      <w:spacing w:before="360" w:after="120" w:line="360" w:lineRule="auto"/>
      <w:jc w:val="both"/>
      <w:outlineLvl w:val="1"/>
    </w:pPr>
    <w:rPr>
      <w:b/>
      <w:sz w:val="24"/>
      <w:szCs w:val="32"/>
    </w:rPr>
  </w:style>
  <w:style w:type="paragraph" w:styleId="Heading3">
    <w:name w:val="heading 3"/>
    <w:basedOn w:val="Normal1"/>
    <w:next w:val="Normal1"/>
    <w:rsid w:val="003F7257"/>
    <w:pPr>
      <w:keepNext/>
      <w:keepLines/>
      <w:spacing w:before="320" w:after="80"/>
      <w:outlineLvl w:val="2"/>
    </w:pPr>
    <w:rPr>
      <w:color w:val="434343"/>
      <w:sz w:val="28"/>
      <w:szCs w:val="28"/>
    </w:rPr>
  </w:style>
  <w:style w:type="paragraph" w:styleId="Heading4">
    <w:name w:val="heading 4"/>
    <w:basedOn w:val="Normal1"/>
    <w:next w:val="Normal1"/>
    <w:rsid w:val="003F7257"/>
    <w:pPr>
      <w:keepNext/>
      <w:keepLines/>
      <w:spacing w:before="280" w:after="80"/>
      <w:outlineLvl w:val="3"/>
    </w:pPr>
    <w:rPr>
      <w:color w:val="666666"/>
      <w:sz w:val="24"/>
      <w:szCs w:val="24"/>
    </w:rPr>
  </w:style>
  <w:style w:type="paragraph" w:styleId="Heading5">
    <w:name w:val="heading 5"/>
    <w:basedOn w:val="Normal1"/>
    <w:next w:val="Normal1"/>
    <w:rsid w:val="003F7257"/>
    <w:pPr>
      <w:keepNext/>
      <w:keepLines/>
      <w:spacing w:before="240" w:after="80"/>
      <w:outlineLvl w:val="4"/>
    </w:pPr>
    <w:rPr>
      <w:color w:val="666666"/>
    </w:rPr>
  </w:style>
  <w:style w:type="paragraph" w:styleId="Heading6">
    <w:name w:val="heading 6"/>
    <w:basedOn w:val="Normal1"/>
    <w:next w:val="Normal1"/>
    <w:rsid w:val="003F7257"/>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F7257"/>
    <w:tblPr>
      <w:tblCellMar>
        <w:top w:w="100" w:type="dxa"/>
        <w:left w:w="100" w:type="dxa"/>
        <w:bottom w:w="100" w:type="dxa"/>
        <w:right w:w="100" w:type="dxa"/>
      </w:tblCellMar>
    </w:tblPr>
  </w:style>
  <w:style w:type="paragraph" w:customStyle="1" w:styleId="Normal1">
    <w:name w:val="Normal1"/>
    <w:rsid w:val="003F7257"/>
  </w:style>
  <w:style w:type="paragraph" w:styleId="Title">
    <w:name w:val="Title"/>
    <w:basedOn w:val="Normal1"/>
    <w:next w:val="Normal1"/>
    <w:rsid w:val="003F7257"/>
    <w:pPr>
      <w:keepNext/>
      <w:keepLines/>
      <w:spacing w:after="60"/>
    </w:pPr>
    <w:rPr>
      <w:sz w:val="52"/>
      <w:szCs w:val="52"/>
    </w:rPr>
  </w:style>
  <w:style w:type="paragraph" w:styleId="Subtitle">
    <w:name w:val="Subtitle"/>
    <w:basedOn w:val="Normal1"/>
    <w:next w:val="Normal1"/>
    <w:rsid w:val="003F725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97C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7CF9"/>
    <w:rPr>
      <w:rFonts w:ascii="Tahoma" w:hAnsi="Tahoma" w:cs="Tahoma"/>
      <w:sz w:val="16"/>
      <w:szCs w:val="16"/>
    </w:rPr>
  </w:style>
  <w:style w:type="character" w:styleId="Hyperlink">
    <w:name w:val="Hyperlink"/>
    <w:basedOn w:val="DefaultParagraphFont"/>
    <w:uiPriority w:val="99"/>
    <w:unhideWhenUsed/>
    <w:rsid w:val="00570671"/>
    <w:rPr>
      <w:color w:val="0000FF" w:themeColor="hyperlink"/>
      <w:u w:val="single"/>
    </w:rPr>
  </w:style>
  <w:style w:type="paragraph" w:styleId="ListParagraph">
    <w:name w:val="List Paragraph"/>
    <w:basedOn w:val="Normal"/>
    <w:uiPriority w:val="34"/>
    <w:qFormat/>
    <w:rsid w:val="00570671"/>
    <w:pPr>
      <w:spacing w:after="200"/>
      <w:ind w:left="720"/>
      <w:contextualSpacing/>
    </w:pPr>
    <w:rPr>
      <w:rFonts w:asciiTheme="minorHAnsi" w:eastAsiaTheme="minorHAnsi" w:hAnsiTheme="minorHAnsi" w:cstheme="minorBidi"/>
    </w:rPr>
  </w:style>
  <w:style w:type="paragraph" w:styleId="TOCHeading">
    <w:name w:val="TOC Heading"/>
    <w:basedOn w:val="Heading1"/>
    <w:next w:val="Normal"/>
    <w:uiPriority w:val="39"/>
    <w:unhideWhenUsed/>
    <w:qFormat/>
    <w:rsid w:val="00570671"/>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70671"/>
    <w:pPr>
      <w:spacing w:after="100"/>
    </w:pPr>
  </w:style>
  <w:style w:type="paragraph" w:styleId="TOC2">
    <w:name w:val="toc 2"/>
    <w:basedOn w:val="Normal"/>
    <w:next w:val="Normal"/>
    <w:autoRedefine/>
    <w:uiPriority w:val="39"/>
    <w:unhideWhenUsed/>
    <w:rsid w:val="00570671"/>
    <w:pPr>
      <w:spacing w:after="100"/>
      <w:ind w:left="220"/>
    </w:pPr>
  </w:style>
  <w:style w:type="paragraph" w:styleId="Header">
    <w:name w:val="header"/>
    <w:basedOn w:val="Normal"/>
    <w:link w:val="HeaderChar"/>
    <w:uiPriority w:val="99"/>
    <w:unhideWhenUsed/>
    <w:rsid w:val="00570671"/>
    <w:pPr>
      <w:tabs>
        <w:tab w:val="center" w:pos="4680"/>
        <w:tab w:val="right" w:pos="9360"/>
      </w:tabs>
      <w:spacing w:line="240" w:lineRule="auto"/>
    </w:pPr>
  </w:style>
  <w:style w:type="character" w:customStyle="1" w:styleId="HeaderChar">
    <w:name w:val="Header Char"/>
    <w:basedOn w:val="DefaultParagraphFont"/>
    <w:link w:val="Header"/>
    <w:uiPriority w:val="99"/>
    <w:rsid w:val="00570671"/>
  </w:style>
  <w:style w:type="paragraph" w:styleId="Footer">
    <w:name w:val="footer"/>
    <w:basedOn w:val="Normal"/>
    <w:link w:val="FooterChar"/>
    <w:uiPriority w:val="99"/>
    <w:unhideWhenUsed/>
    <w:rsid w:val="00570671"/>
    <w:pPr>
      <w:tabs>
        <w:tab w:val="center" w:pos="4680"/>
        <w:tab w:val="right" w:pos="9360"/>
      </w:tabs>
      <w:spacing w:line="240" w:lineRule="auto"/>
    </w:pPr>
  </w:style>
  <w:style w:type="character" w:customStyle="1" w:styleId="FooterChar">
    <w:name w:val="Footer Char"/>
    <w:basedOn w:val="DefaultParagraphFont"/>
    <w:link w:val="Footer"/>
    <w:uiPriority w:val="99"/>
    <w:rsid w:val="00570671"/>
  </w:style>
  <w:style w:type="table" w:styleId="TableGrid">
    <w:name w:val="Table Grid"/>
    <w:basedOn w:val="TableNormal"/>
    <w:uiPriority w:val="59"/>
    <w:rsid w:val="001D10F6"/>
    <w:pPr>
      <w:spacing w:line="240" w:lineRule="auto"/>
      <w:jc w:val="both"/>
    </w:pPr>
    <w:rPr>
      <w:sz w:val="24"/>
      <w:szCs w:val="24"/>
      <w:lang w:val="e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300167">
      <w:bodyDiv w:val="1"/>
      <w:marLeft w:val="0"/>
      <w:marRight w:val="0"/>
      <w:marTop w:val="0"/>
      <w:marBottom w:val="0"/>
      <w:divBdr>
        <w:top w:val="none" w:sz="0" w:space="0" w:color="auto"/>
        <w:left w:val="none" w:sz="0" w:space="0" w:color="auto"/>
        <w:bottom w:val="none" w:sz="0" w:space="0" w:color="auto"/>
        <w:right w:val="none" w:sz="0" w:space="0" w:color="auto"/>
      </w:divBdr>
      <w:divsChild>
        <w:div w:id="148837364">
          <w:marLeft w:val="0"/>
          <w:marRight w:val="0"/>
          <w:marTop w:val="0"/>
          <w:marBottom w:val="0"/>
          <w:divBdr>
            <w:top w:val="none" w:sz="0" w:space="0" w:color="auto"/>
            <w:left w:val="none" w:sz="0" w:space="0" w:color="auto"/>
            <w:bottom w:val="none" w:sz="0" w:space="0" w:color="auto"/>
            <w:right w:val="none" w:sz="0" w:space="0" w:color="auto"/>
          </w:divBdr>
        </w:div>
      </w:divsChild>
    </w:div>
    <w:div w:id="1746340955">
      <w:bodyDiv w:val="1"/>
      <w:marLeft w:val="0"/>
      <w:marRight w:val="0"/>
      <w:marTop w:val="0"/>
      <w:marBottom w:val="0"/>
      <w:divBdr>
        <w:top w:val="none" w:sz="0" w:space="0" w:color="auto"/>
        <w:left w:val="none" w:sz="0" w:space="0" w:color="auto"/>
        <w:bottom w:val="none" w:sz="0" w:space="0" w:color="auto"/>
        <w:right w:val="none" w:sz="0" w:space="0" w:color="auto"/>
      </w:divBdr>
      <w:divsChild>
        <w:div w:id="24380343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www.scielo.org.pe/scielo.php?pid=S2077-18862021000100143&amp;script=sci_abstract" TargetMode="External"/><Relationship Id="rId21" Type="http://schemas.openxmlformats.org/officeDocument/2006/relationships/hyperlink" Target="https://accesstomedicinefoundation.org/company/glaxosmithkline-plc" TargetMode="External"/><Relationship Id="rId34" Type="http://schemas.openxmlformats.org/officeDocument/2006/relationships/hyperlink" Target="https://be.gsk.com/en-be/home/" TargetMode="External"/><Relationship Id="rId42" Type="http://schemas.openxmlformats.org/officeDocument/2006/relationships/hyperlink" Target="https://www.gsk.com/media/tabhxvsi/gsk-position-on-intellectual-property.pdf" TargetMode="External"/><Relationship Id="rId47" Type="http://schemas.openxmlformats.org/officeDocument/2006/relationships/hyperlink" Target="https://inductusgcc.com/indias-gcc-3-0-era-redefining-global-rd-through-capability-centers/" TargetMode="External"/><Relationship Id="rId50" Type="http://schemas.openxmlformats.org/officeDocument/2006/relationships/hyperlink" Target="https://link.springer.com/article/10.1186/s12960-021-00575-2" TargetMode="External"/><Relationship Id="rId55" Type="http://schemas.openxmlformats.org/officeDocument/2006/relationships/hyperlink" Target="https://www.pharmabiz.com/NewsDetails.aspx?aid=181323&amp;sid=2" TargetMode="External"/><Relationship Id="rId63" Type="http://schemas.openxmlformats.org/officeDocument/2006/relationships/hyperlink" Target="https://eapk.com.ua/web/uploads/journals_pdf/%E2%80%9CEkonomika%20APK%E2%80%9D,%20Vol.%2031(No.%205),%202024.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annualreports.com/HostedData/AnnualReports/PDF/LSE_GSK_2024.pdf" TargetMode="External"/><Relationship Id="rId11" Type="http://schemas.openxmlformats.org/officeDocument/2006/relationships/image" Target="media/image1.png"/><Relationship Id="rId24" Type="http://schemas.openxmlformats.org/officeDocument/2006/relationships/hyperlink" Target="https://www.tandfonline.com/doi/abs/10.1080/07357907.2021.1912078" TargetMode="External"/><Relationship Id="rId32" Type="http://schemas.openxmlformats.org/officeDocument/2006/relationships/hyperlink" Target="https://www.gsk.com/media/kqigjizr/gsk-position-on-pricing-and-access.pdf" TargetMode="External"/><Relationship Id="rId37" Type="http://schemas.openxmlformats.org/officeDocument/2006/relationships/hyperlink" Target="https://www.gsk.com/en-gb/media/press-releases/gsk-announces-a-strategic-alliance-with-dr-reddy-s-to-further-accelerate-sales-growth-in-emerging-markets/" TargetMode="External"/><Relationship Id="rId40" Type="http://schemas.openxmlformats.org/officeDocument/2006/relationships/hyperlink" Target="https://www.gsk.com/en-gb/media/press-releases/gsk-increases-stake-in-indian-pharmaceuticals-subsidiary-to-75-per-cent-after-open-offer/" TargetMode="External"/><Relationship Id="rId45" Type="http://schemas.openxmlformats.org/officeDocument/2006/relationships/hyperlink" Target="https://www.paperpublications.org/upload/book/GlaxoSmithKline%20(GSK)-1300.pdf" TargetMode="External"/><Relationship Id="rId53" Type="http://schemas.openxmlformats.org/officeDocument/2006/relationships/hyperlink" Target="https://nppa.gov.in/faqs" TargetMode="External"/><Relationship Id="rId58" Type="http://schemas.openxmlformats.org/officeDocument/2006/relationships/hyperlink" Target="https://library.oapen.org/bitstream/handle/20.500.12657/51469/1/9783030831141.pdf"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timesofindia.indiatimes.com/business/india-business/gsk-pharma-re-enters-oncology-market/articleshow/123530043.cms"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hyperlink" Target="https://link.springer.com/chapter/10.1007/978-981-97-7870-6_2" TargetMode="External"/><Relationship Id="rId27" Type="http://schemas.openxmlformats.org/officeDocument/2006/relationships/hyperlink" Target="https://www.gsk.com/en-gb/media/press-releases/gsk-and-zhifei-revise-and-extend-strategic-vaccine-collaboration-in-china/" TargetMode="External"/><Relationship Id="rId30" Type="http://schemas.openxmlformats.org/officeDocument/2006/relationships/hyperlink" Target="https://www.gsk.com/en-gb/company/gsk-at-a-glance/" TargetMode="External"/><Relationship Id="rId35" Type="http://schemas.openxmlformats.org/officeDocument/2006/relationships/hyperlink" Target="https://www.gsk.com/en-gb/innovation/rd-locations/" TargetMode="External"/><Relationship Id="rId43" Type="http://schemas.openxmlformats.org/officeDocument/2006/relationships/hyperlink" Target="https://www.gsk.com/en-gb/contact-us/worldwide/" TargetMode="External"/><Relationship Id="rId48" Type="http://schemas.openxmlformats.org/officeDocument/2006/relationships/hyperlink" Target="https://in.investing.com/analysis/gsk-value-investment-amid-focus-on-innovative-specialty-pharma-and-vaccines-200560893" TargetMode="External"/><Relationship Id="rId56" Type="http://schemas.openxmlformats.org/officeDocument/2006/relationships/hyperlink" Target="https://www.gsk.com/en-gb/careers/our-global-and-regional-hubs/" TargetMode="External"/><Relationship Id="rId64" Type="http://schemas.openxmlformats.org/officeDocument/2006/relationships/hyperlink" Target="https://www.academia.edu/download/120510785/IJAEMS_18_November_December_2024.pdf" TargetMode="External"/><Relationship Id="rId8" Type="http://schemas.openxmlformats.org/officeDocument/2006/relationships/webSettings" Target="webSettings.xml"/><Relationship Id="rId51" Type="http://schemas.openxmlformats.org/officeDocument/2006/relationships/hyperlink" Target="https://www.emerald.com/insight/content/doi/10.1108/cpoib-04-2020-0027/full/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emerald.com/insight/content/doi/10.1108/JBIM-07-2020-0365/full/html" TargetMode="External"/><Relationship Id="rId33" Type="http://schemas.openxmlformats.org/officeDocument/2006/relationships/hyperlink" Target="https://www.gsk.com/en-gb/locations/united-kingdom/" TargetMode="External"/><Relationship Id="rId38" Type="http://schemas.openxmlformats.org/officeDocument/2006/relationships/hyperlink" Target="https://www.gsk.com/en-gb/media/press-releases/gsk-drives-latin-america-growth-strategy-with-acquisition-of-laboratorios-phoenix/" TargetMode="External"/><Relationship Id="rId46" Type="http://schemas.openxmlformats.org/officeDocument/2006/relationships/hyperlink" Target="https://indianexpress.com/article/explained/explained-health/cancer-in-india-a-status-report-8385754/" TargetMode="External"/><Relationship Id="rId59" Type="http://schemas.openxmlformats.org/officeDocument/2006/relationships/hyperlink" Target="https://www.scielo.br/j/ram/a/QqnhYQKyT96CFFVbmvMmKzx/" TargetMode="External"/><Relationship Id="rId6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www.gsk.com/en-gb/media/press-releases/gsk-reaches-agreement-with-novartis-to-acquire-full-ownership-of-consumer-healthcare-business/" TargetMode="External"/><Relationship Id="rId54" Type="http://schemas.openxmlformats.org/officeDocument/2006/relationships/hyperlink" Target="https://www.orientation.agency/insights/benchmark-series-gsk-pharmaceuticals" TargetMode="External"/><Relationship Id="rId62" Type="http://schemas.openxmlformats.org/officeDocument/2006/relationships/hyperlink" Target="https://www.cambridge.org/core/elements/from-financialisation-to-innovation-in-uk-big-pharma/A077D6158F0A945ED53F3F125EE0650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jaruda.org/index.php/go/article/download/66/56" TargetMode="External"/><Relationship Id="rId28" Type="http://schemas.openxmlformats.org/officeDocument/2006/relationships/hyperlink" Target="https://www.gsk.com/media/ai1arglr/promotional-and-non-promotional-external-interactions-policy.pdf" TargetMode="External"/><Relationship Id="rId36" Type="http://schemas.openxmlformats.org/officeDocument/2006/relationships/hyperlink" Target="https://www.gsk.com/en-gb/media/press-releases/gsk-and-biological-e-announce-joint-venture-to-develop-combination-vaccine-for-india-and-other-developing-countries/" TargetMode="External"/><Relationship Id="rId49" Type="http://schemas.openxmlformats.org/officeDocument/2006/relationships/hyperlink" Target="https://ipindia.gov.in/writereaddata/portal/ev/sections/ps3.html" TargetMode="External"/><Relationship Id="rId57" Type="http://schemas.openxmlformats.org/officeDocument/2006/relationships/hyperlink" Target="https://www.pib.gov.in/PressNoteDetails.aspx?NoteId=155121&amp;ModuleId=3" TargetMode="External"/><Relationship Id="rId10" Type="http://schemas.openxmlformats.org/officeDocument/2006/relationships/endnotes" Target="endnotes.xml"/><Relationship Id="rId31" Type="http://schemas.openxmlformats.org/officeDocument/2006/relationships/hyperlink" Target="https://www.gsk.com/en-gb/careers/our-global-and-regional-hubs/" TargetMode="External"/><Relationship Id="rId44" Type="http://schemas.openxmlformats.org/officeDocument/2006/relationships/hyperlink" Target="https://www.researchgate.net/profile/Grazia-Ietto-Gillies/publication/372344720_The_Importance_of_Being_Transnational/links/64906923c41fb852dd18bebb/The-Importance-of-Being-Transnational.pdf" TargetMode="External"/><Relationship Id="rId52" Type="http://schemas.openxmlformats.org/officeDocument/2006/relationships/hyperlink" Target="https://www.researchgate.net/profile/Raj-Modi-4/publication/378525091_A_Detailed_Examination_Of_Multinational_Corporations_Their_Organizational_Frameworks_Strategies_And_Their_Connection_To_Global_Human_Resource_Management/links/65deb60fadc608480aed8fd9/A-Detailed-Examination-Of-Multinational-Corporations-Their-Organizational-Frameworks-Strategies-And-Their-Connection-To-Global-Human-Resource-Management.pdf" TargetMode="External"/><Relationship Id="rId60" Type="http://schemas.openxmlformats.org/officeDocument/2006/relationships/hyperlink" Target="https://www.thehindu.com/news/national/indias-import-of-active-pharmaceutical-ingredients-and-key-starting-material-from-other-countries-including-china-grew-ministry/article67621117.ece"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gsk.com/en-gb/media/press-releases/gsk-expands-presence-in-china-through-strategic-cooperation-to-form-a-joint-venture-on-paediatric-vaccin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8A28C5B0F54BD94388081AEE01156BBE" ma:contentTypeVersion="5" ma:contentTypeDescription="Create a new document." ma:contentTypeScope="" ma:versionID="af46859539780de073d008d8173fc230">
  <xsd:schema xmlns:xsd="http://www.w3.org/2001/XMLSchema" xmlns:xs="http://www.w3.org/2001/XMLSchema" xmlns:p="http://schemas.microsoft.com/office/2006/metadata/properties" xmlns:ns3="fb6054f3-0400-4163-8b5f-23c1ea17cdd5" targetNamespace="http://schemas.microsoft.com/office/2006/metadata/properties" ma:root="true" ma:fieldsID="54ddf10eeebff69861583a094df52903" ns3:_="">
    <xsd:import namespace="fb6054f3-0400-4163-8b5f-23c1ea17cdd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054f3-0400-4163-8b5f-23c1ea17cdd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b6054f3-0400-4163-8b5f-23c1ea17cdd5" xsi:nil="true"/>
  </documentManagement>
</p:properties>
</file>

<file path=customXml/itemProps1.xml><?xml version="1.0" encoding="utf-8"?>
<ds:datastoreItem xmlns:ds="http://schemas.openxmlformats.org/officeDocument/2006/customXml" ds:itemID="{021BBA1E-F6FE-45EF-8AB6-3D9032A4A43C}">
  <ds:schemaRefs>
    <ds:schemaRef ds:uri="http://schemas.openxmlformats.org/officeDocument/2006/bibliography"/>
  </ds:schemaRefs>
</ds:datastoreItem>
</file>

<file path=customXml/itemProps2.xml><?xml version="1.0" encoding="utf-8"?>
<ds:datastoreItem xmlns:ds="http://schemas.openxmlformats.org/officeDocument/2006/customXml" ds:itemID="{F77D65E7-C8BC-438D-9FCB-C4E8AE0DFD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054f3-0400-4163-8b5f-23c1ea17cd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C53C36-670F-41A0-B6AB-1DA3E7335C09}">
  <ds:schemaRefs>
    <ds:schemaRef ds:uri="http://schemas.microsoft.com/sharepoint/v3/contenttype/forms"/>
  </ds:schemaRefs>
</ds:datastoreItem>
</file>

<file path=customXml/itemProps4.xml><?xml version="1.0" encoding="utf-8"?>
<ds:datastoreItem xmlns:ds="http://schemas.openxmlformats.org/officeDocument/2006/customXml" ds:itemID="{BF5BDF6C-9313-450E-9F82-AC7F8414E768}">
  <ds:schemaRefs>
    <ds:schemaRef ds:uri="http://schemas.microsoft.com/office/2006/metadata/properties"/>
    <ds:schemaRef ds:uri="http://schemas.microsoft.com/office/infopath/2007/PartnerControls"/>
    <ds:schemaRef ds:uri="fb6054f3-0400-4163-8b5f-23c1ea17cdd5"/>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30</Pages>
  <Words>8639</Words>
  <Characters>49245</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Masum Harishbhai Patel (2430264)</cp:lastModifiedBy>
  <cp:revision>23</cp:revision>
  <dcterms:created xsi:type="dcterms:W3CDTF">2025-12-15T10:55:00Z</dcterms:created>
  <dcterms:modified xsi:type="dcterms:W3CDTF">2025-12-15T11:21:00Z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0x0101008A28C5B0F54BD94388081AEE01156BBE</vt:lpwstr>
  </property>
</Properties>
</file>