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6176FC6" w14:textId="77777777" w:rsidR="00F32616" w:rsidRPr="00EB7866" w:rsidRDefault="00EB7866" w:rsidP="00EB7866">
      <w:pPr>
        <w:jc w:val="center"/>
        <w:rPr>
          <w:sz w:val="80"/>
          <w:szCs w:val="80"/>
        </w:rPr>
      </w:pPr>
      <w:r w:rsidRPr="00EB7866">
        <w:rPr>
          <w:sz w:val="80"/>
          <w:szCs w:val="80"/>
        </w:rPr>
        <w:t>Introduction to Health Research Swansea and Carmarthen</w:t>
      </w:r>
    </w:p>
    <w:p w14:paraId="3C27C643" w14:textId="77777777" w:rsidR="00F32616" w:rsidRDefault="00F32616">
      <w:pPr>
        <w:jc w:val="center"/>
        <w:rPr>
          <w:b/>
          <w:bCs/>
          <w:i/>
          <w:iCs/>
          <w:color w:val="333333"/>
          <w:sz w:val="92"/>
          <w:szCs w:val="92"/>
          <w:shd w:val="clear" w:color="auto" w:fill="FFFFFF"/>
        </w:rPr>
      </w:pPr>
    </w:p>
    <w:p w14:paraId="5CEDCF2E" w14:textId="77777777" w:rsidR="00D942C1" w:rsidRDefault="00D942C1">
      <w:pPr>
        <w:suppressAutoHyphens w:val="0"/>
        <w:spacing w:line="240" w:lineRule="auto"/>
        <w:jc w:val="left"/>
        <w:rPr>
          <w:b/>
          <w:bCs/>
          <w:i/>
          <w:iCs/>
          <w:color w:val="333333"/>
          <w:sz w:val="92"/>
          <w:szCs w:val="92"/>
          <w:shd w:val="clear" w:color="auto" w:fill="FFFFFF"/>
        </w:rPr>
      </w:pPr>
      <w:r>
        <w:rPr>
          <w:b/>
          <w:bCs/>
          <w:i/>
          <w:iCs/>
          <w:color w:val="333333"/>
          <w:sz w:val="92"/>
          <w:szCs w:val="92"/>
          <w:shd w:val="clear" w:color="auto" w:fill="FFFFFF"/>
        </w:rPr>
        <w:br w:type="page"/>
      </w:r>
    </w:p>
    <w:p w14:paraId="2A32058F" w14:textId="77777777" w:rsidR="00D942C1" w:rsidRDefault="00D942C1" w:rsidP="00D942C1">
      <w:pPr>
        <w:pStyle w:val="Heading1"/>
      </w:pPr>
      <w:bookmarkStart w:id="0" w:name="_Toc67415086"/>
      <w:r>
        <w:lastRenderedPageBreak/>
        <w:t>Abstract</w:t>
      </w:r>
      <w:bookmarkEnd w:id="0"/>
    </w:p>
    <w:p w14:paraId="5C0BFD5D" w14:textId="77777777" w:rsidR="009F265D" w:rsidRDefault="00D942C1" w:rsidP="009F265D">
      <w:pPr>
        <w:ind w:firstLine="720"/>
      </w:pPr>
      <w:r>
        <w:t xml:space="preserve">The report summaries the importance of rough and tough body to fight back with the different diseases which old age people suffers a lot. This is very much needed by everyone in the present situation to be fir and maintain a healthy life so that they can live strongly in their old age and fit for longer time. </w:t>
      </w:r>
      <w:r w:rsidR="009F265D" w:rsidRPr="00753320">
        <w:t>About 47.5 million persons currently have depression, a figure that just by 2050 is proj</w:t>
      </w:r>
      <w:r w:rsidR="009F265D">
        <w:t>ected to almost triple in scale.</w:t>
      </w:r>
    </w:p>
    <w:p w14:paraId="22C84C62" w14:textId="77777777" w:rsidR="00F32616" w:rsidRDefault="00A91693">
      <w:pPr>
        <w:pStyle w:val="Heading1"/>
      </w:pPr>
      <w:bookmarkStart w:id="1" w:name="_Toc67415088"/>
      <w:r>
        <w:t>INTRODUCTION</w:t>
      </w:r>
      <w:bookmarkEnd w:id="1"/>
    </w:p>
    <w:p w14:paraId="79271E65" w14:textId="77777777" w:rsidR="00A91693" w:rsidRDefault="005E1BAB" w:rsidP="008C6433">
      <w:r>
        <w:t>In this report, o</w:t>
      </w:r>
      <w:r w:rsidRPr="005E1BAB">
        <w:t>ld age is a psychical time frame of slowdown. Even if you don't get sans eyes, teeth, everything, you start slowing down psychologically straight away</w:t>
      </w:r>
      <w:r w:rsidR="008C6433">
        <w:t xml:space="preserve"> (</w:t>
      </w:r>
      <w:r w:rsidR="008C6433">
        <w:rPr>
          <w:rFonts w:eastAsia="Times New Roman"/>
          <w:color w:val="222222"/>
          <w:szCs w:val="24"/>
        </w:rPr>
        <w:t>González-Rodríguez and et. al., 2018</w:t>
      </w:r>
      <w:r w:rsidR="008C6433">
        <w:t>)</w:t>
      </w:r>
      <w:r w:rsidRPr="005E1BAB">
        <w:t>. The medical appearance relies on the inherited bill of rights, the way of life, and environmental variables. Several of the commonly involved reasons of declining health are having to live vagaries, poor diet, malnourishment, contagious, poisonings, indolence, ineffective rest, mental turmoil, overstretch, autoimmune conditions, as well as environmental factors such as changes in temperature.</w:t>
      </w:r>
    </w:p>
    <w:p w14:paraId="6CC5FDE0" w14:textId="77777777" w:rsidR="005E1BAB" w:rsidRDefault="005E1BAB" w:rsidP="005E1BAB">
      <w:pPr>
        <w:pStyle w:val="Heading1"/>
      </w:pPr>
      <w:bookmarkStart w:id="2" w:name="_Toc67415089"/>
      <w:r>
        <w:t>Main body</w:t>
      </w:r>
      <w:bookmarkEnd w:id="2"/>
    </w:p>
    <w:p w14:paraId="02A97DE1" w14:textId="77777777" w:rsidR="00351CB2" w:rsidRDefault="00351CB2" w:rsidP="00351CB2">
      <w:pPr>
        <w:rPr>
          <w:b/>
          <w:i/>
          <w:u w:val="single"/>
        </w:rPr>
      </w:pPr>
      <w:r w:rsidRPr="00351CB2">
        <w:rPr>
          <w:b/>
          <w:i/>
          <w:u w:val="single"/>
        </w:rPr>
        <w:t>TITLE: “Modern ways of health promotion and health prevention in Swansea and Carmarthen”.</w:t>
      </w:r>
    </w:p>
    <w:p w14:paraId="3B4ECBD3" w14:textId="77777777" w:rsidR="006C5B5E" w:rsidRPr="006C5B5E" w:rsidRDefault="006C5B5E" w:rsidP="006C5B5E">
      <w:pPr>
        <w:rPr>
          <w:b/>
          <w:szCs w:val="24"/>
        </w:rPr>
      </w:pPr>
      <w:r w:rsidRPr="006C5B5E">
        <w:rPr>
          <w:b/>
          <w:szCs w:val="24"/>
        </w:rPr>
        <w:t>What is the study about? Why has it been done?</w:t>
      </w:r>
    </w:p>
    <w:p w14:paraId="58EE2223" w14:textId="77777777" w:rsidR="006C5B5E" w:rsidRPr="00FE577D" w:rsidRDefault="00C1091B" w:rsidP="00FF634A">
      <w:pPr>
        <w:ind w:firstLine="720"/>
        <w:rPr>
          <w:color w:val="FF0000"/>
        </w:rPr>
      </w:pPr>
      <w:r w:rsidRPr="00C1091B">
        <w:t>Approximately 92 percent of adults have at least one mental health illness and 77 percent have had at least a handful, as per the National Council on Aging. The much more prevalent and expensive severe health forms of stress nearly half of fatalities every year are cardiovascular disease, heart attack, diabetes, and high blood pressure.</w:t>
      </w:r>
      <w:r w:rsidR="008B5E91">
        <w:t xml:space="preserve"> </w:t>
      </w:r>
      <w:r w:rsidR="008B5E91" w:rsidRPr="00FE577D">
        <w:rPr>
          <w:color w:val="FF0000"/>
        </w:rPr>
        <w:t xml:space="preserve">The current study is descriptive based which had properly described a population, situation, or phenomenon that is being studied. And also focuses on answering the how, what, when, and where questions If a research problem, rather than the why in order to accurately and systematically describe a population, situation or phenomenon in detailed manner. </w:t>
      </w:r>
      <w:r w:rsidR="00FE577D" w:rsidRPr="00FE577D">
        <w:rPr>
          <w:color w:val="FF0000"/>
        </w:rPr>
        <w:t xml:space="preserve">Use of descriptive approach is appropriate as it facilitates a detailed and theoretical aspect about the modern ways of health promotion and health prevention in Swansea and Carmarthen based on perception and view point of participants.  </w:t>
      </w:r>
    </w:p>
    <w:p w14:paraId="42A08A4E" w14:textId="77777777" w:rsidR="006C5B5E" w:rsidRDefault="006C5B5E" w:rsidP="006C5B5E">
      <w:pPr>
        <w:rPr>
          <w:b/>
          <w:szCs w:val="24"/>
        </w:rPr>
      </w:pPr>
      <w:r w:rsidRPr="006C5B5E">
        <w:rPr>
          <w:b/>
          <w:szCs w:val="24"/>
        </w:rPr>
        <w:t xml:space="preserve">Who has carried out the study? Have the researchers got the necessary professional/academic background? </w:t>
      </w:r>
    </w:p>
    <w:p w14:paraId="23E6BA43" w14:textId="77777777" w:rsidR="006C5B5E" w:rsidRDefault="00C1091B" w:rsidP="00FF634A">
      <w:pPr>
        <w:ind w:firstLine="720"/>
      </w:pPr>
      <w:r w:rsidRPr="00C1091B">
        <w:lastRenderedPageBreak/>
        <w:t>In order to help maintain or prevent diseases, the Centre for Chronic National Drug Control Policy advises conference with a doctor for an annual visit, keeping a positive eating habits and sustaining a workout regimen. Depression is a significant issue by many elderly people and this can actually decrease obesity as well as related chronic illnesses by participating in such health behaviours.</w:t>
      </w:r>
      <w:r>
        <w:t xml:space="preserve"> </w:t>
      </w:r>
      <w:r w:rsidR="00753320" w:rsidRPr="00753320">
        <w:t xml:space="preserve">Cognitive health is based on the capacity of an individual to perceive, learn and comprehend. Dementia, the deterioration of certain cognitive skills, is perhaps the most prominent cognitive medical problem affecting the elderly. </w:t>
      </w:r>
    </w:p>
    <w:p w14:paraId="658473B4" w14:textId="77777777" w:rsidR="006C5B5E" w:rsidRPr="006C5B5E" w:rsidRDefault="006C5B5E" w:rsidP="006C5B5E">
      <w:pPr>
        <w:rPr>
          <w:b/>
          <w:szCs w:val="24"/>
        </w:rPr>
      </w:pPr>
      <w:r w:rsidRPr="006C5B5E">
        <w:rPr>
          <w:b/>
          <w:szCs w:val="24"/>
        </w:rPr>
        <w:t>Study aim:</w:t>
      </w:r>
    </w:p>
    <w:p w14:paraId="2557B8A7" w14:textId="77777777" w:rsidR="006B6573" w:rsidRDefault="00753320" w:rsidP="00FF634A">
      <w:pPr>
        <w:ind w:firstLine="720"/>
      </w:pPr>
      <w:r w:rsidRPr="00753320">
        <w:t>Certain underlying health problems and disorders raise the risk of having disease, like alcohol misuse, diabetes, asthma, anxiety, HIV and smoke, as per the National Institute on Ageing.</w:t>
      </w:r>
      <w:r>
        <w:t xml:space="preserve"> </w:t>
      </w:r>
      <w:r w:rsidR="00587BA5" w:rsidRPr="00587BA5">
        <w:t>Physicians should administer a recovery plan including drugs to control the condition, and there are no treatments for dementia</w:t>
      </w:r>
      <w:r w:rsidR="008C6433">
        <w:t xml:space="preserve"> (</w:t>
      </w:r>
      <w:r w:rsidR="008C6433">
        <w:rPr>
          <w:rFonts w:eastAsia="Times New Roman"/>
          <w:color w:val="222222"/>
          <w:szCs w:val="24"/>
        </w:rPr>
        <w:t>Higgins, Omer and Phillips, 2015</w:t>
      </w:r>
      <w:r w:rsidR="008C6433">
        <w:t>)</w:t>
      </w:r>
      <w:r w:rsidR="00587BA5" w:rsidRPr="00587BA5">
        <w:t>.</w:t>
      </w:r>
      <w:r w:rsidR="00587BA5">
        <w:t xml:space="preserve"> </w:t>
      </w:r>
    </w:p>
    <w:p w14:paraId="3153A69A" w14:textId="77777777" w:rsidR="006C5B5E" w:rsidRPr="005D3CFD" w:rsidRDefault="006C5B5E" w:rsidP="006C5B5E">
      <w:pPr>
        <w:rPr>
          <w:rFonts w:ascii="Arial" w:hAnsi="Arial" w:cs="Arial"/>
          <w:b/>
          <w:sz w:val="22"/>
        </w:rPr>
      </w:pPr>
      <w:r w:rsidRPr="005D3CFD">
        <w:rPr>
          <w:rFonts w:ascii="Arial" w:hAnsi="Arial" w:cs="Arial"/>
          <w:b/>
          <w:sz w:val="22"/>
        </w:rPr>
        <w:t>Literature Review:</w:t>
      </w:r>
    </w:p>
    <w:p w14:paraId="712B23CE" w14:textId="77777777" w:rsidR="006C5B5E" w:rsidRDefault="00547681" w:rsidP="006C5B5E">
      <w:pPr>
        <w:ind w:firstLine="720"/>
      </w:pPr>
      <w:r w:rsidRPr="00547681">
        <w:t>About 15 % of people over the age of 60 suffering from a psychiatric illness, and per the World Health Organisation. Depression, which exists in 7 percent of the older population, is a widespread psychiatric illness among adults. This psychiatric illness is, sadly, frequently overdiagnosed and underdiagnosed. In the Us, elderly people account for approximately 18 per cent of accidental deaths. Since depression could be a side benefit of underlying health problems, these treatments reduce the risk of developing them. In particular, this can reduce the risk of developing depression by encouraging a healthier lifestyle, such as changing working environments and support networks from relatives, peers or outreach programs.</w:t>
      </w:r>
      <w:r>
        <w:t xml:space="preserve"> </w:t>
      </w:r>
      <w:r w:rsidRPr="00547681">
        <w:t>An aged patient is transported every 15 seconds to the urgent care for a falling.</w:t>
      </w:r>
    </w:p>
    <w:p w14:paraId="1F098914" w14:textId="77777777" w:rsidR="006C5B5E" w:rsidRPr="006C5B5E" w:rsidRDefault="006C5B5E" w:rsidP="006C5B5E">
      <w:pPr>
        <w:rPr>
          <w:b/>
          <w:szCs w:val="24"/>
        </w:rPr>
      </w:pPr>
      <w:r w:rsidRPr="006C5B5E">
        <w:rPr>
          <w:b/>
          <w:szCs w:val="24"/>
        </w:rPr>
        <w:t>Data analysis:</w:t>
      </w:r>
    </w:p>
    <w:p w14:paraId="4BDC85D4" w14:textId="77777777" w:rsidR="006C5B5E" w:rsidRDefault="00547681" w:rsidP="006C5B5E">
      <w:pPr>
        <w:ind w:firstLine="720"/>
      </w:pPr>
      <w:r w:rsidRPr="00547681">
        <w:t>Every 29 mins, a junior die through dropping, rendering it the primary cause of injuries among some of the aged. Since ageing causes shrinkage of the knees and loss of cardiovascular fitness in the muscles, seniors are more sure to damage their stability, fracturing and breaking the bone. Osteoarthritis and fibromyalgia are two maladies that lead to frailty. Dropping were never inevitable, though. In certain instances, by counselling, improved physical exercise and functional changes inside the household, they can be stopped</w:t>
      </w:r>
      <w:r w:rsidR="008C6433">
        <w:t xml:space="preserve"> (</w:t>
      </w:r>
      <w:r w:rsidR="008C6433">
        <w:rPr>
          <w:color w:val="222222"/>
          <w:szCs w:val="24"/>
        </w:rPr>
        <w:t>Malerba and et. al., 2015</w:t>
      </w:r>
      <w:r w:rsidR="008C6433">
        <w:t>)</w:t>
      </w:r>
      <w:r w:rsidRPr="00547681">
        <w:t>.</w:t>
      </w:r>
      <w:r w:rsidR="006C5B5E" w:rsidRPr="00753320">
        <w:t xml:space="preserve"> As many as 5 million people between the ages of 65 living from the condition in the United States, Diabetes is the most prevalent type of dementia. </w:t>
      </w:r>
    </w:p>
    <w:p w14:paraId="6606ED61" w14:textId="77777777" w:rsidR="006C5B5E" w:rsidRPr="006C5B5E" w:rsidRDefault="006C5B5E" w:rsidP="006C5B5E">
      <w:pPr>
        <w:rPr>
          <w:b/>
          <w:szCs w:val="24"/>
        </w:rPr>
      </w:pPr>
      <w:r w:rsidRPr="006C5B5E">
        <w:rPr>
          <w:b/>
          <w:szCs w:val="24"/>
        </w:rPr>
        <w:lastRenderedPageBreak/>
        <w:t>Discussion:</w:t>
      </w:r>
    </w:p>
    <w:p w14:paraId="32CD9A80" w14:textId="77777777" w:rsidR="00F55038" w:rsidRPr="006B6573" w:rsidRDefault="00F55038" w:rsidP="006C5B5E">
      <w:pPr>
        <w:ind w:firstLine="432"/>
      </w:pPr>
      <w:r w:rsidRPr="00F55038">
        <w:t>In 2013, the Institutions for Disease Prevention and Control (CDC) reported that 21% of Reported incidents resulted in individuals over the aged of 50, and 37% of accidents that same year have been in persons over the age of 55. Although sexual desires and abilities can shift as individuals mature, sexual attraction does not fully vanish. Seniors are unable to use contraceptives, which renders the seniors especially vulnerable to HIV when paired with a life threatening illness. In elderly people, chronic illness of HIV is typical since Impact of diseases are somewhat close with those of aging process, harder to diagnose and avoid immune response disruption.</w:t>
      </w:r>
      <w:r>
        <w:t xml:space="preserve"> </w:t>
      </w:r>
      <w:r w:rsidR="00A9018A" w:rsidRPr="00A9018A">
        <w:t>Malnutrition is frequently undiagnosed in older people above the age of 65 which can contribute to several other health conditions for the aged, such as a life threatening illness and extreme fatigue. Multiple health conditions (seniors diagnosed with dementia may fail to eat), obesity, addiction, food limitations, diminished social interaction and limited income can be blamed for the causes of obesity. Nutrition concerns in the aging can be improved by contributing to modest improvements in diet, like growing consumption of fruit and decreasing intake of processed sugar and fat. Including older people who are unable to afford things or who have trouble cooking meals, food options are developed.</w:t>
      </w:r>
      <w:r w:rsidR="00A9018A">
        <w:t xml:space="preserve"> </w:t>
      </w:r>
      <w:r w:rsidR="00AB6FE7" w:rsidRPr="00AB6FE7">
        <w:t>For elderly Adults over the age of 70, disabilities, like sight and hearing, are highly normal. One of every six elderly adults is physically challenged, as per the CDC, and one out of four is hard of hearing. Luckily, devices such as goggles or contact lenses can effectively cure any of these problems. New innovations are developing auditory loss evaluation and improved diagnostic accessibility.</w:t>
      </w:r>
      <w:r w:rsidR="00AB6FE7">
        <w:t xml:space="preserve"> </w:t>
      </w:r>
      <w:r w:rsidR="00594A7B" w:rsidRPr="00594A7B">
        <w:t>Sometimes ignored, dental health is among the elderly's many significant challenges. The Dental Care Department of the CDC noticed that around 25 percent of men over the age of 65 do not have their natural teeth left. Troubles like dental problems, low self-esteem, as well as other health conditions may lead to difficulties keeping a balanced diet. Dry skin, dental problems and oral cancer become general health problems common with elderly adults. By having daily oral check-ups, certain problems may be handled or avoided. Dental treatment, however, can be hard for retirees to obtain due to lack of medical insurance retirement period or financial drawbacks</w:t>
      </w:r>
      <w:r w:rsidR="008C6433">
        <w:t xml:space="preserve"> (</w:t>
      </w:r>
      <w:r w:rsidR="008C6433">
        <w:rPr>
          <w:rFonts w:eastAsia="Times New Roman"/>
          <w:iCs/>
          <w:color w:val="222222"/>
          <w:szCs w:val="24"/>
        </w:rPr>
        <w:t>Trevisan, 2016</w:t>
      </w:r>
      <w:r w:rsidR="008C6433">
        <w:t>)</w:t>
      </w:r>
      <w:r w:rsidR="00594A7B" w:rsidRPr="00594A7B">
        <w:t>.</w:t>
      </w:r>
      <w:r w:rsidR="00594A7B">
        <w:t xml:space="preserve"> </w:t>
      </w:r>
    </w:p>
    <w:p w14:paraId="14ACE86F" w14:textId="77777777" w:rsidR="006B6573" w:rsidRDefault="006B6573" w:rsidP="005E1BAB">
      <w:pPr>
        <w:pStyle w:val="Heading1"/>
      </w:pPr>
      <w:bookmarkStart w:id="3" w:name="_Toc67415090"/>
      <w:r>
        <w:t>Conclusion</w:t>
      </w:r>
      <w:bookmarkEnd w:id="3"/>
    </w:p>
    <w:p w14:paraId="485DAC30" w14:textId="77777777" w:rsidR="00B8478A" w:rsidRDefault="005E1BAB" w:rsidP="00771FFB">
      <w:r w:rsidRPr="00771FFB">
        <w:t xml:space="preserve"> </w:t>
      </w:r>
      <w:r w:rsidR="00771FFB" w:rsidRPr="00771FFB">
        <w:tab/>
      </w:r>
      <w:r w:rsidR="00771FFB">
        <w:t>I</w:t>
      </w:r>
      <w:r w:rsidR="00771FFB" w:rsidRPr="00771FFB">
        <w:t xml:space="preserve">n the </w:t>
      </w:r>
      <w:r w:rsidR="00771FFB">
        <w:t xml:space="preserve">end, it is concluded that </w:t>
      </w:r>
      <w:r w:rsidR="00386559">
        <w:t xml:space="preserve">in ole age they </w:t>
      </w:r>
      <w:r w:rsidR="00386559" w:rsidRPr="00386559">
        <w:t xml:space="preserve">became </w:t>
      </w:r>
      <w:r w:rsidR="00386559">
        <w:t>week</w:t>
      </w:r>
      <w:r w:rsidR="00386559" w:rsidRPr="00386559">
        <w:t xml:space="preserve">, more elderly people strive to operate past the average retirement age to have more opportunities to prepare for retirement. A </w:t>
      </w:r>
      <w:r w:rsidR="00386559" w:rsidRPr="00386559">
        <w:lastRenderedPageBreak/>
        <w:t>few other current adults constantly betrayed by this pattern and became worried that they would be pushed out from the employment market by new staff in higher posts.</w:t>
      </w:r>
      <w:r w:rsidR="00386559">
        <w:t xml:space="preserve"> </w:t>
      </w:r>
    </w:p>
    <w:p w14:paraId="4CA37A50" w14:textId="77777777" w:rsidR="00B8478A" w:rsidRDefault="00B8478A">
      <w:pPr>
        <w:suppressAutoHyphens w:val="0"/>
        <w:spacing w:line="240" w:lineRule="auto"/>
        <w:jc w:val="left"/>
      </w:pPr>
      <w:r>
        <w:br w:type="page"/>
      </w:r>
    </w:p>
    <w:p w14:paraId="369836D7" w14:textId="77777777" w:rsidR="005E1BAB" w:rsidRDefault="00B8478A" w:rsidP="00B8478A">
      <w:pPr>
        <w:pStyle w:val="Heading1"/>
      </w:pPr>
      <w:bookmarkStart w:id="4" w:name="_Toc67415091"/>
      <w:r>
        <w:lastRenderedPageBreak/>
        <w:t>REFERENCES</w:t>
      </w:r>
      <w:bookmarkEnd w:id="4"/>
    </w:p>
    <w:p w14:paraId="087C9F8A" w14:textId="77777777" w:rsidR="00B8478A" w:rsidRDefault="00B8478A" w:rsidP="00B8478A">
      <w:pPr>
        <w:rPr>
          <w:u w:val="single"/>
        </w:rPr>
      </w:pPr>
      <w:r w:rsidRPr="00B8478A">
        <w:rPr>
          <w:u w:val="single"/>
        </w:rPr>
        <w:t xml:space="preserve">Books and Journals </w:t>
      </w:r>
    </w:p>
    <w:p w14:paraId="300124E9" w14:textId="77777777" w:rsidR="00B8478A" w:rsidRDefault="00B8478A" w:rsidP="00B8478A">
      <w:pPr>
        <w:spacing w:line="100" w:lineRule="atLeast"/>
        <w:ind w:left="870" w:hanging="855"/>
        <w:rPr>
          <w:rFonts w:eastAsia="Times New Roman"/>
          <w:color w:val="222222"/>
          <w:szCs w:val="24"/>
        </w:rPr>
      </w:pPr>
      <w:r>
        <w:rPr>
          <w:rFonts w:eastAsia="Times New Roman"/>
          <w:color w:val="222222"/>
          <w:szCs w:val="24"/>
        </w:rPr>
        <w:t xml:space="preserve">González-Rodríguez, M. R. and et. al., 2018. Revisiting the link between business strategy and performance: </w:t>
      </w:r>
      <w:r>
        <w:rPr>
          <w:rFonts w:eastAsia="Times New Roman"/>
          <w:i/>
          <w:iCs/>
          <w:color w:val="222222"/>
          <w:szCs w:val="24"/>
        </w:rPr>
        <w:t xml:space="preserve">Evidence from hotels. International Journal of Hospitality Management. </w:t>
      </w:r>
      <w:r>
        <w:rPr>
          <w:rFonts w:eastAsia="Times New Roman"/>
          <w:color w:val="222222"/>
          <w:szCs w:val="24"/>
        </w:rPr>
        <w:t>72. pp.21-31.</w:t>
      </w:r>
    </w:p>
    <w:p w14:paraId="36F1C5D4" w14:textId="77777777" w:rsidR="00B8478A" w:rsidRDefault="00B8478A" w:rsidP="00B8478A">
      <w:pPr>
        <w:spacing w:line="100" w:lineRule="atLeast"/>
        <w:ind w:left="870" w:hanging="855"/>
        <w:rPr>
          <w:color w:val="222222"/>
          <w:szCs w:val="24"/>
        </w:rPr>
      </w:pPr>
      <w:r>
        <w:rPr>
          <w:rFonts w:eastAsia="Times New Roman"/>
          <w:color w:val="222222"/>
          <w:szCs w:val="24"/>
        </w:rPr>
        <w:t xml:space="preserve">Higgins, D., Omer, T. C. and Phillips, J. D., 2015. The influence of a firm's business strategy on its tax aggressiveness.v </w:t>
      </w:r>
      <w:r>
        <w:rPr>
          <w:rFonts w:eastAsia="Times New Roman"/>
          <w:i/>
          <w:iCs/>
          <w:color w:val="222222"/>
          <w:szCs w:val="24"/>
        </w:rPr>
        <w:t>Contemporary Accounting Research .</w:t>
      </w:r>
      <w:r>
        <w:rPr>
          <w:rFonts w:eastAsia="Times New Roman"/>
          <w:color w:val="222222"/>
          <w:szCs w:val="24"/>
        </w:rPr>
        <w:t>32(2). pp.674-702.</w:t>
      </w:r>
    </w:p>
    <w:p w14:paraId="743F1EEB" w14:textId="77777777" w:rsidR="00B8478A" w:rsidRDefault="00B8478A" w:rsidP="00B8478A">
      <w:pPr>
        <w:pStyle w:val="Timesnewroman"/>
        <w:spacing w:line="100" w:lineRule="atLeast"/>
        <w:ind w:left="870" w:hanging="855"/>
        <w:jc w:val="both"/>
        <w:rPr>
          <w:rFonts w:ascii="Times New Roman" w:eastAsia="Times New Roman" w:hAnsi="Times New Roman"/>
          <w:color w:val="222222"/>
          <w:sz w:val="24"/>
          <w:szCs w:val="24"/>
        </w:rPr>
      </w:pPr>
      <w:r>
        <w:rPr>
          <w:rFonts w:ascii="Times New Roman" w:hAnsi="Times New Roman" w:cs="Times New Roman"/>
          <w:color w:val="222222"/>
          <w:sz w:val="24"/>
          <w:szCs w:val="24"/>
        </w:rPr>
        <w:t>Malerba, F. and et. al., 2015.</w:t>
      </w:r>
      <w:r>
        <w:rPr>
          <w:rFonts w:ascii="Times New Roman" w:hAnsi="Times New Roman" w:cs="Times New Roman"/>
          <w:i/>
          <w:iCs/>
          <w:color w:val="222222"/>
          <w:sz w:val="24"/>
          <w:szCs w:val="24"/>
        </w:rPr>
        <w:t>Dynamics of knowledge intensive entrepreneurship: Business strategy and public policy.</w:t>
      </w:r>
      <w:r>
        <w:rPr>
          <w:rFonts w:ascii="Times New Roman" w:hAnsi="Times New Roman" w:cs="Times New Roman"/>
          <w:color w:val="222222"/>
          <w:sz w:val="24"/>
          <w:szCs w:val="24"/>
        </w:rPr>
        <w:t xml:space="preserve"> Routledge.</w:t>
      </w:r>
    </w:p>
    <w:p w14:paraId="34921376" w14:textId="77777777" w:rsidR="00B8478A" w:rsidRDefault="00B8478A" w:rsidP="00B8478A">
      <w:pPr>
        <w:spacing w:line="100" w:lineRule="atLeast"/>
        <w:ind w:left="870" w:hanging="855"/>
        <w:rPr>
          <w:rFonts w:eastAsia="Times New Roman"/>
          <w:color w:val="222222"/>
          <w:szCs w:val="24"/>
        </w:rPr>
      </w:pPr>
      <w:r>
        <w:rPr>
          <w:rFonts w:eastAsia="Times New Roman"/>
          <w:iCs/>
          <w:color w:val="222222"/>
          <w:szCs w:val="24"/>
        </w:rPr>
        <w:t xml:space="preserve">Trevisan, E., 2016. </w:t>
      </w:r>
      <w:r>
        <w:rPr>
          <w:rFonts w:eastAsia="Times New Roman"/>
          <w:i/>
          <w:iCs/>
          <w:color w:val="222222"/>
          <w:szCs w:val="24"/>
        </w:rPr>
        <w:t>The Irrational Consumer: Applying Behavioural Economics to Your Business Strategy</w:t>
      </w:r>
      <w:r>
        <w:rPr>
          <w:rFonts w:eastAsia="Times New Roman"/>
          <w:iCs/>
          <w:color w:val="222222"/>
          <w:szCs w:val="24"/>
        </w:rPr>
        <w:t>. Routledge.</w:t>
      </w:r>
    </w:p>
    <w:p w14:paraId="63015388" w14:textId="77777777" w:rsidR="00B8478A" w:rsidRPr="00B8478A" w:rsidRDefault="00B8478A" w:rsidP="00B8478A">
      <w:pPr>
        <w:rPr>
          <w:u w:val="single"/>
        </w:rPr>
      </w:pPr>
    </w:p>
    <w:sectPr w:rsidR="00B8478A" w:rsidRPr="00B8478A">
      <w:footerReference w:type="default" r:id="rId8"/>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E0FA1" w14:textId="77777777" w:rsidR="001B583C" w:rsidRDefault="001B583C">
      <w:pPr>
        <w:spacing w:line="240" w:lineRule="auto"/>
      </w:pPr>
      <w:r>
        <w:separator/>
      </w:r>
    </w:p>
  </w:endnote>
  <w:endnote w:type="continuationSeparator" w:id="0">
    <w:p w14:paraId="791C7471" w14:textId="77777777" w:rsidR="001B583C" w:rsidRDefault="001B58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charset w:val="00"/>
    <w:family w:val="auto"/>
    <w:pitch w:val="variable"/>
  </w:font>
  <w:font w:name="DejaVu Sans">
    <w:altName w:val="Arial"/>
    <w:charset w:val="00"/>
    <w:family w:val="swiss"/>
    <w:pitch w:val="variable"/>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nos">
    <w:altName w:val="MS Gothic"/>
    <w:charset w:val="80"/>
    <w:family w:val="roman"/>
    <w:pitch w:val="variable"/>
  </w:font>
  <w:font w:name="Calibri Light">
    <w:panose1 w:val="020F0302020204030204"/>
    <w:charset w:val="00"/>
    <w:family w:val="swiss"/>
    <w:pitch w:val="variable"/>
    <w:sig w:usb0="E4002EFF" w:usb1="C000247B" w:usb2="00000009" w:usb3="00000000" w:csb0="000001FF" w:csb1="00000000"/>
  </w:font>
  <w:font w:name="open sansregular">
    <w:altName w:val="MS Gothic"/>
    <w:charset w:val="8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813AE" w14:textId="77777777" w:rsidR="00F32616" w:rsidRDefault="00A91693">
    <w:pPr>
      <w:pStyle w:val="Footer"/>
      <w:jc w:val="center"/>
    </w:pPr>
    <w:r>
      <w:fldChar w:fldCharType="begin"/>
    </w:r>
    <w:r>
      <w:instrText xml:space="preserve"> PAGE </w:instrText>
    </w:r>
    <w:r>
      <w:fldChar w:fldCharType="separate"/>
    </w:r>
    <w:r w:rsidR="00FE577D">
      <w:rPr>
        <w:noProof/>
      </w:rPr>
      <w:t>1</w:t>
    </w:r>
    <w:r>
      <w:fldChar w:fldCharType="end"/>
    </w:r>
  </w:p>
  <w:p w14:paraId="7A77A4EB" w14:textId="77777777" w:rsidR="00F32616" w:rsidRDefault="00F326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9DC796" w14:textId="77777777" w:rsidR="001B583C" w:rsidRDefault="001B583C">
      <w:pPr>
        <w:spacing w:line="240" w:lineRule="auto"/>
      </w:pPr>
      <w:r>
        <w:separator/>
      </w:r>
    </w:p>
  </w:footnote>
  <w:footnote w:type="continuationSeparator" w:id="0">
    <w:p w14:paraId="55479C28" w14:textId="77777777" w:rsidR="001B583C" w:rsidRDefault="001B583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1AEE"/>
    <w:rsid w:val="00011AEE"/>
    <w:rsid w:val="001B583C"/>
    <w:rsid w:val="0025793F"/>
    <w:rsid w:val="002713B3"/>
    <w:rsid w:val="00331A8B"/>
    <w:rsid w:val="00351CB2"/>
    <w:rsid w:val="00386559"/>
    <w:rsid w:val="003F483B"/>
    <w:rsid w:val="004369CD"/>
    <w:rsid w:val="00520291"/>
    <w:rsid w:val="00547681"/>
    <w:rsid w:val="00587BA5"/>
    <w:rsid w:val="00594A7B"/>
    <w:rsid w:val="005B46D8"/>
    <w:rsid w:val="005E1BAB"/>
    <w:rsid w:val="006B6573"/>
    <w:rsid w:val="006C5B5E"/>
    <w:rsid w:val="00753320"/>
    <w:rsid w:val="00771FFB"/>
    <w:rsid w:val="00841CE6"/>
    <w:rsid w:val="008B3117"/>
    <w:rsid w:val="008B5E91"/>
    <w:rsid w:val="008C5DB5"/>
    <w:rsid w:val="008C6433"/>
    <w:rsid w:val="00901AB0"/>
    <w:rsid w:val="00954682"/>
    <w:rsid w:val="009F265D"/>
    <w:rsid w:val="00A9018A"/>
    <w:rsid w:val="00A91693"/>
    <w:rsid w:val="00AB6FE7"/>
    <w:rsid w:val="00B8478A"/>
    <w:rsid w:val="00BA4AA8"/>
    <w:rsid w:val="00C1091B"/>
    <w:rsid w:val="00D47A92"/>
    <w:rsid w:val="00D942C1"/>
    <w:rsid w:val="00D94FFC"/>
    <w:rsid w:val="00EB7035"/>
    <w:rsid w:val="00EB7866"/>
    <w:rsid w:val="00F32616"/>
    <w:rsid w:val="00F55038"/>
    <w:rsid w:val="00FE577D"/>
    <w:rsid w:val="00FF63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37AEE71B"/>
  <w15:chartTrackingRefBased/>
  <w15:docId w15:val="{435FDD64-CFA2-431A-896F-68237D4772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Normal"/>
    <w:next w:val="Normal"/>
    <w:qFormat/>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rPr>
      <w:rFonts w:ascii="Wingdings" w:hAnsi="Wingdings" w:cs="Wingdings" w:hint="default"/>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rPr>
      <w:rFonts w:ascii="Wingdings" w:hAnsi="Wingdings" w:cs="Wingdings" w:hint="default"/>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2">
    <w:name w:val="WW8Num6z2"/>
    <w:rPr>
      <w:rFonts w:ascii="Wingdings" w:hAnsi="Wingdings" w:cs="Wingdings" w:hint="default"/>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ascii="Symbol" w:hAnsi="Symbol" w:cs="Symbol"/>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4z2">
    <w:name w:val="WW8Num4z2"/>
    <w:rPr>
      <w:rFonts w:ascii="Wingdings" w:hAnsi="Wingdings" w:cs="Wingdings" w:hint="default"/>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12z0">
    <w:name w:val="WW8Num12z0"/>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rPr>
      <w:rFonts w:ascii="Symbol" w:hAnsi="Symbol" w:cs="Symbol"/>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ascii="Symbol" w:hAnsi="Symbol" w:cs="Symbol"/>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Symbol" w:hAnsi="Symbol" w:cs="Symbol"/>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apple-converted-space">
    <w:name w:val="apple-converted-space"/>
  </w:style>
  <w:style w:type="character" w:customStyle="1" w:styleId="Heading4Char">
    <w:name w:val="Heading 4 Char"/>
    <w:rPr>
      <w:rFonts w:ascii="Calibri" w:eastAsia="Times New Roman" w:hAnsi="Calibri" w:cs="Times New Roman"/>
      <w:b/>
      <w:bCs/>
      <w:color w:val="000000"/>
      <w:sz w:val="28"/>
      <w:szCs w:val="28"/>
      <w:lang w:val="en-GB"/>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Illustration">
    <w:name w:val="Illustration"/>
    <w:basedOn w:val="Caption"/>
  </w:style>
  <w:style w:type="paragraph" w:styleId="TOCHeading">
    <w:name w:val="TOC Heading"/>
    <w:basedOn w:val="Heading1"/>
    <w:next w:val="Normal"/>
    <w:uiPriority w:val="39"/>
    <w:qFormat/>
    <w:pPr>
      <w:numPr>
        <w:numId w:val="0"/>
      </w:numPr>
      <w:suppressAutoHyphens w:val="0"/>
      <w:spacing w:before="240" w:line="252" w:lineRule="auto"/>
      <w:jc w:val="left"/>
    </w:pPr>
    <w:rPr>
      <w:rFonts w:ascii="Calibri Light" w:hAnsi="Calibri Light"/>
      <w:b w:val="0"/>
      <w:bCs w:val="0"/>
      <w:color w:val="2E74B5"/>
      <w:sz w:val="32"/>
      <w:szCs w:val="32"/>
      <w:lang w:val="en-US"/>
    </w:rPr>
  </w:style>
  <w:style w:type="paragraph" w:styleId="TOC1">
    <w:name w:val="toc 1"/>
    <w:basedOn w:val="Normal"/>
    <w:next w:val="Normal"/>
    <w:uiPriority w:val="39"/>
  </w:style>
  <w:style w:type="paragraph" w:styleId="TOC2">
    <w:name w:val="toc 2"/>
    <w:basedOn w:val="Normal"/>
    <w:next w:val="Normal"/>
    <w:pPr>
      <w:ind w:left="240"/>
    </w:pPr>
  </w:style>
  <w:style w:type="paragraph" w:customStyle="1" w:styleId="TableContents">
    <w:name w:val="Table Contents"/>
    <w:basedOn w:val="Normal"/>
    <w:pPr>
      <w:suppressLineNumbers/>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Timesnewroman">
    <w:name w:val="Times new roman"/>
    <w:basedOn w:val="Normal"/>
    <w:rsid w:val="00B8478A"/>
    <w:pPr>
      <w:jc w:val="center"/>
    </w:pPr>
    <w:rPr>
      <w:rFonts w:ascii="open sansregular" w:hAnsi="open sansregular" w:cs="open sansregular"/>
      <w:bCs/>
      <w:color w:val="333333"/>
      <w:sz w:val="21"/>
      <w:szCs w:val="7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F8EEB5-4AC3-4B5B-AB00-DF279402C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1242</Words>
  <Characters>7082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user10</dc:creator>
  <cp:keywords/>
  <cp:lastModifiedBy>sohair ali bashir</cp:lastModifiedBy>
  <cp:revision>3</cp:revision>
  <cp:lastPrinted>1900-01-01T12:00:00Z</cp:lastPrinted>
  <dcterms:created xsi:type="dcterms:W3CDTF">2021-07-05T20:28:00Z</dcterms:created>
  <dcterms:modified xsi:type="dcterms:W3CDTF">2021-07-05T21:11:00Z</dcterms:modified>
</cp:coreProperties>
</file>