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1279DF" w14:textId="769B957C" w:rsidR="00F50995" w:rsidRPr="00F50995" w:rsidRDefault="00F50995" w:rsidP="00780DC2">
      <w:pPr>
        <w:pStyle w:val="Title"/>
        <w:jc w:val="both"/>
      </w:pPr>
      <w:r w:rsidRPr="00F50995">
        <w:t>Evaluation of Person</w:t>
      </w:r>
      <w:r w:rsidRPr="00F50995">
        <w:rPr>
          <w:rFonts w:ascii="Cambria Math" w:hAnsi="Cambria Math" w:cs="Cambria Math"/>
        </w:rPr>
        <w:t>‑</w:t>
      </w:r>
      <w:r w:rsidRPr="00F50995">
        <w:t>Centred Care (PCC) and Partnership Working (PW) in Adult Community Mental Health Teams</w:t>
      </w:r>
    </w:p>
    <w:p w14:paraId="516979F8" w14:textId="29202779" w:rsidR="00F50995" w:rsidRPr="00F50995" w:rsidRDefault="00F50995" w:rsidP="00780DC2">
      <w:pPr>
        <w:pStyle w:val="Subtitle"/>
        <w:jc w:val="both"/>
      </w:pPr>
      <w:r w:rsidRPr="00F50995">
        <w:t xml:space="preserve">Student Name: </w:t>
      </w:r>
      <w:r w:rsidRPr="00F50995">
        <w:t>Neayer Sultana</w:t>
      </w:r>
      <w:r w:rsidR="00B03C98">
        <w:t xml:space="preserve">| </w:t>
      </w:r>
      <w:r w:rsidRPr="00F50995">
        <w:t xml:space="preserve">Student Number: </w:t>
      </w:r>
      <w:r w:rsidRPr="00F50995">
        <w:t>2419538</w:t>
      </w:r>
      <w:r w:rsidR="00B03C98">
        <w:t xml:space="preserve">| </w:t>
      </w:r>
      <w:r w:rsidRPr="00F50995">
        <w:t xml:space="preserve">Module:  </w:t>
      </w:r>
      <w:r w:rsidRPr="00F50995">
        <w:t xml:space="preserve">BSc Health and Social Care| </w:t>
      </w:r>
      <w:r w:rsidRPr="00F50995">
        <w:t>Principles of Health and Social Care Practice</w:t>
      </w:r>
      <w:r w:rsidRPr="00F50995">
        <w:t xml:space="preserve">| </w:t>
      </w:r>
      <w:r w:rsidRPr="00F50995">
        <w:t>BMHP5016</w:t>
      </w:r>
      <w:r w:rsidR="00B03C98">
        <w:t xml:space="preserve">| </w:t>
      </w:r>
      <w:r w:rsidRPr="00F50995">
        <w:t>Date:</w:t>
      </w:r>
      <w:r w:rsidR="00B03C98">
        <w:t xml:space="preserve"> </w:t>
      </w:r>
      <w:r w:rsidRPr="00F50995">
        <w:t>1</w:t>
      </w:r>
      <w:r w:rsidR="00B03C98">
        <w:t>3</w:t>
      </w:r>
      <w:r w:rsidRPr="00F50995">
        <w:t>/03/2026</w:t>
      </w:r>
      <w:r w:rsidR="00B03C98">
        <w:t xml:space="preserve">. </w:t>
      </w:r>
    </w:p>
    <w:p w14:paraId="56791062" w14:textId="77777777" w:rsidR="00F50995" w:rsidRPr="00F50995" w:rsidRDefault="00F50995" w:rsidP="00780DC2">
      <w:pPr>
        <w:spacing w:line="360" w:lineRule="auto"/>
        <w:jc w:val="both"/>
        <w:rPr>
          <w:rFonts w:ascii="Arial" w:hAnsi="Arial" w:cs="Arial"/>
          <w:sz w:val="22"/>
          <w:szCs w:val="22"/>
        </w:rPr>
      </w:pPr>
    </w:p>
    <w:p w14:paraId="724FDFE2" w14:textId="77777777" w:rsidR="00F50995" w:rsidRDefault="00F50995" w:rsidP="00780DC2">
      <w:pPr>
        <w:spacing w:line="360" w:lineRule="auto"/>
        <w:jc w:val="both"/>
        <w:rPr>
          <w:rFonts w:ascii="Arial" w:hAnsi="Arial" w:cs="Arial"/>
          <w:sz w:val="22"/>
          <w:szCs w:val="22"/>
        </w:rPr>
      </w:pPr>
    </w:p>
    <w:p w14:paraId="494BA122" w14:textId="77777777" w:rsidR="00F50995" w:rsidRDefault="00F50995" w:rsidP="00780DC2">
      <w:pPr>
        <w:spacing w:line="360" w:lineRule="auto"/>
        <w:jc w:val="both"/>
        <w:rPr>
          <w:rFonts w:ascii="Arial" w:hAnsi="Arial" w:cs="Arial"/>
          <w:sz w:val="22"/>
          <w:szCs w:val="22"/>
        </w:rPr>
      </w:pPr>
    </w:p>
    <w:p w14:paraId="1CC1E0FE" w14:textId="77777777" w:rsidR="00F50995" w:rsidRDefault="00F50995" w:rsidP="00780DC2">
      <w:pPr>
        <w:spacing w:line="360" w:lineRule="auto"/>
        <w:jc w:val="both"/>
        <w:rPr>
          <w:rFonts w:ascii="Arial" w:hAnsi="Arial" w:cs="Arial"/>
          <w:sz w:val="22"/>
          <w:szCs w:val="22"/>
        </w:rPr>
      </w:pPr>
    </w:p>
    <w:p w14:paraId="5E64348E" w14:textId="77777777" w:rsidR="00F50995" w:rsidRDefault="00F50995" w:rsidP="00780DC2">
      <w:pPr>
        <w:spacing w:line="360" w:lineRule="auto"/>
        <w:jc w:val="both"/>
        <w:rPr>
          <w:rFonts w:ascii="Arial" w:hAnsi="Arial" w:cs="Arial"/>
          <w:sz w:val="22"/>
          <w:szCs w:val="22"/>
        </w:rPr>
      </w:pPr>
    </w:p>
    <w:p w14:paraId="6D5F96E7" w14:textId="77777777" w:rsidR="00F50995" w:rsidRDefault="00F50995" w:rsidP="00780DC2">
      <w:pPr>
        <w:spacing w:line="360" w:lineRule="auto"/>
        <w:jc w:val="both"/>
        <w:rPr>
          <w:rFonts w:ascii="Arial" w:hAnsi="Arial" w:cs="Arial"/>
          <w:sz w:val="22"/>
          <w:szCs w:val="22"/>
        </w:rPr>
      </w:pPr>
    </w:p>
    <w:p w14:paraId="646F531E" w14:textId="77777777" w:rsidR="00F50995" w:rsidRDefault="00F50995" w:rsidP="00780DC2">
      <w:pPr>
        <w:spacing w:line="360" w:lineRule="auto"/>
        <w:jc w:val="both"/>
        <w:rPr>
          <w:rFonts w:ascii="Arial" w:hAnsi="Arial" w:cs="Arial"/>
          <w:sz w:val="22"/>
          <w:szCs w:val="22"/>
        </w:rPr>
      </w:pPr>
    </w:p>
    <w:p w14:paraId="7CF5DEAA" w14:textId="77777777" w:rsidR="00F50995" w:rsidRDefault="00F50995" w:rsidP="00780DC2">
      <w:pPr>
        <w:spacing w:line="360" w:lineRule="auto"/>
        <w:jc w:val="both"/>
        <w:rPr>
          <w:rFonts w:ascii="Arial" w:hAnsi="Arial" w:cs="Arial"/>
          <w:sz w:val="22"/>
          <w:szCs w:val="22"/>
        </w:rPr>
      </w:pPr>
    </w:p>
    <w:p w14:paraId="70DF5FE0" w14:textId="77777777" w:rsidR="00F50995" w:rsidRDefault="00F50995" w:rsidP="00780DC2">
      <w:pPr>
        <w:spacing w:line="360" w:lineRule="auto"/>
        <w:jc w:val="both"/>
        <w:rPr>
          <w:rFonts w:ascii="Arial" w:hAnsi="Arial" w:cs="Arial"/>
          <w:sz w:val="22"/>
          <w:szCs w:val="22"/>
        </w:rPr>
      </w:pPr>
    </w:p>
    <w:p w14:paraId="4B2165A7" w14:textId="77777777" w:rsidR="00F50995" w:rsidRDefault="00F50995" w:rsidP="00780DC2">
      <w:pPr>
        <w:spacing w:line="360" w:lineRule="auto"/>
        <w:jc w:val="both"/>
        <w:rPr>
          <w:rFonts w:ascii="Arial" w:hAnsi="Arial" w:cs="Arial"/>
          <w:sz w:val="22"/>
          <w:szCs w:val="22"/>
        </w:rPr>
      </w:pPr>
    </w:p>
    <w:p w14:paraId="19F6F6DB" w14:textId="77777777" w:rsidR="00F50995" w:rsidRDefault="00F50995" w:rsidP="00780DC2">
      <w:pPr>
        <w:spacing w:line="360" w:lineRule="auto"/>
        <w:jc w:val="both"/>
        <w:rPr>
          <w:rFonts w:ascii="Arial" w:hAnsi="Arial" w:cs="Arial"/>
          <w:sz w:val="22"/>
          <w:szCs w:val="22"/>
        </w:rPr>
      </w:pPr>
    </w:p>
    <w:p w14:paraId="7C258A16" w14:textId="77777777" w:rsidR="00F50995" w:rsidRDefault="00F50995" w:rsidP="00780DC2">
      <w:pPr>
        <w:spacing w:line="360" w:lineRule="auto"/>
        <w:jc w:val="both"/>
        <w:rPr>
          <w:rFonts w:ascii="Arial" w:hAnsi="Arial" w:cs="Arial"/>
          <w:sz w:val="22"/>
          <w:szCs w:val="22"/>
        </w:rPr>
      </w:pPr>
    </w:p>
    <w:p w14:paraId="2B6DF7AD" w14:textId="34C36D15" w:rsidR="00F50995" w:rsidRDefault="00B03C98" w:rsidP="00B03C98">
      <w:pPr>
        <w:rPr>
          <w:rFonts w:ascii="Arial" w:hAnsi="Arial" w:cs="Arial"/>
          <w:sz w:val="22"/>
          <w:szCs w:val="22"/>
        </w:rPr>
      </w:pPr>
      <w:r>
        <w:rPr>
          <w:rFonts w:ascii="Arial" w:hAnsi="Arial" w:cs="Arial"/>
          <w:sz w:val="22"/>
          <w:szCs w:val="22"/>
        </w:rPr>
        <w:br w:type="page"/>
      </w:r>
    </w:p>
    <w:sdt>
      <w:sdtPr>
        <w:id w:val="-1994094740"/>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9150D54" w14:textId="42812213" w:rsidR="00F50995" w:rsidRDefault="00F50995" w:rsidP="00780DC2">
          <w:pPr>
            <w:pStyle w:val="TOCHeading"/>
            <w:jc w:val="both"/>
          </w:pPr>
          <w:r>
            <w:t>Contents</w:t>
          </w:r>
        </w:p>
        <w:p w14:paraId="5BD7F14D" w14:textId="2962FBC6" w:rsidR="00B03C98" w:rsidRDefault="00F5099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334634" w:history="1">
            <w:r w:rsidR="00B03C98" w:rsidRPr="00EA0FD0">
              <w:rPr>
                <w:rStyle w:val="Hyperlink"/>
                <w:noProof/>
              </w:rPr>
              <w:t>Introduction</w:t>
            </w:r>
            <w:r w:rsidR="00B03C98">
              <w:rPr>
                <w:noProof/>
                <w:webHidden/>
              </w:rPr>
              <w:tab/>
            </w:r>
            <w:r w:rsidR="00B03C98">
              <w:rPr>
                <w:noProof/>
                <w:webHidden/>
              </w:rPr>
              <w:fldChar w:fldCharType="begin"/>
            </w:r>
            <w:r w:rsidR="00B03C98">
              <w:rPr>
                <w:noProof/>
                <w:webHidden/>
              </w:rPr>
              <w:instrText xml:space="preserve"> PAGEREF _Toc224334634 \h </w:instrText>
            </w:r>
            <w:r w:rsidR="00B03C98">
              <w:rPr>
                <w:noProof/>
                <w:webHidden/>
              </w:rPr>
            </w:r>
            <w:r w:rsidR="00B03C98">
              <w:rPr>
                <w:noProof/>
                <w:webHidden/>
              </w:rPr>
              <w:fldChar w:fldCharType="separate"/>
            </w:r>
            <w:r w:rsidR="00B03C98">
              <w:rPr>
                <w:noProof/>
                <w:webHidden/>
              </w:rPr>
              <w:t>3</w:t>
            </w:r>
            <w:r w:rsidR="00B03C98">
              <w:rPr>
                <w:noProof/>
                <w:webHidden/>
              </w:rPr>
              <w:fldChar w:fldCharType="end"/>
            </w:r>
          </w:hyperlink>
        </w:p>
        <w:p w14:paraId="06510160" w14:textId="1D9D9B0E" w:rsidR="00B03C98" w:rsidRDefault="00B03C98">
          <w:pPr>
            <w:pStyle w:val="TOC1"/>
            <w:tabs>
              <w:tab w:val="right" w:leader="dot" w:pos="9016"/>
            </w:tabs>
            <w:rPr>
              <w:rFonts w:eastAsiaTheme="minorEastAsia"/>
              <w:noProof/>
              <w:lang w:eastAsia="en-GB"/>
            </w:rPr>
          </w:pPr>
          <w:hyperlink w:anchor="_Toc224334635" w:history="1">
            <w:r w:rsidRPr="00EA0FD0">
              <w:rPr>
                <w:rStyle w:val="Hyperlink"/>
                <w:noProof/>
              </w:rPr>
              <w:t>2. Definition of Person</w:t>
            </w:r>
            <w:r w:rsidRPr="00EA0FD0">
              <w:rPr>
                <w:rStyle w:val="Hyperlink"/>
                <w:rFonts w:ascii="Cambria Math" w:hAnsi="Cambria Math" w:cs="Cambria Math"/>
                <w:noProof/>
              </w:rPr>
              <w:t>‑</w:t>
            </w:r>
            <w:r w:rsidRPr="00EA0FD0">
              <w:rPr>
                <w:rStyle w:val="Hyperlink"/>
                <w:noProof/>
              </w:rPr>
              <w:t>Centred Care and Its Benefits and Limitations</w:t>
            </w:r>
            <w:r>
              <w:rPr>
                <w:noProof/>
                <w:webHidden/>
              </w:rPr>
              <w:tab/>
            </w:r>
            <w:r>
              <w:rPr>
                <w:noProof/>
                <w:webHidden/>
              </w:rPr>
              <w:fldChar w:fldCharType="begin"/>
            </w:r>
            <w:r>
              <w:rPr>
                <w:noProof/>
                <w:webHidden/>
              </w:rPr>
              <w:instrText xml:space="preserve"> PAGEREF _Toc224334635 \h </w:instrText>
            </w:r>
            <w:r>
              <w:rPr>
                <w:noProof/>
                <w:webHidden/>
              </w:rPr>
            </w:r>
            <w:r>
              <w:rPr>
                <w:noProof/>
                <w:webHidden/>
              </w:rPr>
              <w:fldChar w:fldCharType="separate"/>
            </w:r>
            <w:r>
              <w:rPr>
                <w:noProof/>
                <w:webHidden/>
              </w:rPr>
              <w:t>3</w:t>
            </w:r>
            <w:r>
              <w:rPr>
                <w:noProof/>
                <w:webHidden/>
              </w:rPr>
              <w:fldChar w:fldCharType="end"/>
            </w:r>
          </w:hyperlink>
        </w:p>
        <w:p w14:paraId="6CAE70A7" w14:textId="65599991" w:rsidR="00B03C98" w:rsidRDefault="00B03C98">
          <w:pPr>
            <w:pStyle w:val="TOC2"/>
            <w:tabs>
              <w:tab w:val="right" w:leader="dot" w:pos="9016"/>
            </w:tabs>
            <w:rPr>
              <w:rFonts w:eastAsiaTheme="minorEastAsia"/>
              <w:noProof/>
              <w:lang w:eastAsia="en-GB"/>
            </w:rPr>
          </w:pPr>
          <w:hyperlink w:anchor="_Toc224334636" w:history="1">
            <w:r w:rsidRPr="00EA0FD0">
              <w:rPr>
                <w:rStyle w:val="Hyperlink"/>
                <w:noProof/>
              </w:rPr>
              <w:t>Benefits of PCC in CMHTs</w:t>
            </w:r>
            <w:r>
              <w:rPr>
                <w:noProof/>
                <w:webHidden/>
              </w:rPr>
              <w:tab/>
            </w:r>
            <w:r>
              <w:rPr>
                <w:noProof/>
                <w:webHidden/>
              </w:rPr>
              <w:fldChar w:fldCharType="begin"/>
            </w:r>
            <w:r>
              <w:rPr>
                <w:noProof/>
                <w:webHidden/>
              </w:rPr>
              <w:instrText xml:space="preserve"> PAGEREF _Toc224334636 \h </w:instrText>
            </w:r>
            <w:r>
              <w:rPr>
                <w:noProof/>
                <w:webHidden/>
              </w:rPr>
            </w:r>
            <w:r>
              <w:rPr>
                <w:noProof/>
                <w:webHidden/>
              </w:rPr>
              <w:fldChar w:fldCharType="separate"/>
            </w:r>
            <w:r>
              <w:rPr>
                <w:noProof/>
                <w:webHidden/>
              </w:rPr>
              <w:t>4</w:t>
            </w:r>
            <w:r>
              <w:rPr>
                <w:noProof/>
                <w:webHidden/>
              </w:rPr>
              <w:fldChar w:fldCharType="end"/>
            </w:r>
          </w:hyperlink>
        </w:p>
        <w:p w14:paraId="7B249A05" w14:textId="7A32B065" w:rsidR="00B03C98" w:rsidRDefault="00B03C98">
          <w:pPr>
            <w:pStyle w:val="TOC2"/>
            <w:tabs>
              <w:tab w:val="right" w:leader="dot" w:pos="9016"/>
            </w:tabs>
            <w:rPr>
              <w:rFonts w:eastAsiaTheme="minorEastAsia"/>
              <w:noProof/>
              <w:lang w:eastAsia="en-GB"/>
            </w:rPr>
          </w:pPr>
          <w:hyperlink w:anchor="_Toc224334637" w:history="1">
            <w:r w:rsidRPr="00EA0FD0">
              <w:rPr>
                <w:rStyle w:val="Hyperlink"/>
                <w:noProof/>
              </w:rPr>
              <w:t>Limitations of PCC in CMHTs</w:t>
            </w:r>
            <w:r>
              <w:rPr>
                <w:noProof/>
                <w:webHidden/>
              </w:rPr>
              <w:tab/>
            </w:r>
            <w:r>
              <w:rPr>
                <w:noProof/>
                <w:webHidden/>
              </w:rPr>
              <w:fldChar w:fldCharType="begin"/>
            </w:r>
            <w:r>
              <w:rPr>
                <w:noProof/>
                <w:webHidden/>
              </w:rPr>
              <w:instrText xml:space="preserve"> PAGEREF _Toc224334637 \h </w:instrText>
            </w:r>
            <w:r>
              <w:rPr>
                <w:noProof/>
                <w:webHidden/>
              </w:rPr>
            </w:r>
            <w:r>
              <w:rPr>
                <w:noProof/>
                <w:webHidden/>
              </w:rPr>
              <w:fldChar w:fldCharType="separate"/>
            </w:r>
            <w:r>
              <w:rPr>
                <w:noProof/>
                <w:webHidden/>
              </w:rPr>
              <w:t>4</w:t>
            </w:r>
            <w:r>
              <w:rPr>
                <w:noProof/>
                <w:webHidden/>
              </w:rPr>
              <w:fldChar w:fldCharType="end"/>
            </w:r>
          </w:hyperlink>
        </w:p>
        <w:p w14:paraId="4635ACA0" w14:textId="502CA18F" w:rsidR="00B03C98" w:rsidRDefault="00B03C98">
          <w:pPr>
            <w:pStyle w:val="TOC1"/>
            <w:tabs>
              <w:tab w:val="right" w:leader="dot" w:pos="9016"/>
            </w:tabs>
            <w:rPr>
              <w:rFonts w:eastAsiaTheme="minorEastAsia"/>
              <w:noProof/>
              <w:lang w:eastAsia="en-GB"/>
            </w:rPr>
          </w:pPr>
          <w:hyperlink w:anchor="_Toc224334638" w:history="1">
            <w:r w:rsidRPr="00EA0FD0">
              <w:rPr>
                <w:rStyle w:val="Hyperlink"/>
                <w:noProof/>
              </w:rPr>
              <w:t>3. Theory Underpinning PCC: Carl Rogers’ Person</w:t>
            </w:r>
            <w:r w:rsidRPr="00EA0FD0">
              <w:rPr>
                <w:rStyle w:val="Hyperlink"/>
                <w:rFonts w:ascii="Cambria Math" w:hAnsi="Cambria Math" w:cs="Cambria Math"/>
                <w:noProof/>
              </w:rPr>
              <w:t>‑</w:t>
            </w:r>
            <w:r w:rsidRPr="00EA0FD0">
              <w:rPr>
                <w:rStyle w:val="Hyperlink"/>
                <w:noProof/>
              </w:rPr>
              <w:t>Centred Theory</w:t>
            </w:r>
            <w:r>
              <w:rPr>
                <w:noProof/>
                <w:webHidden/>
              </w:rPr>
              <w:tab/>
            </w:r>
            <w:r>
              <w:rPr>
                <w:noProof/>
                <w:webHidden/>
              </w:rPr>
              <w:fldChar w:fldCharType="begin"/>
            </w:r>
            <w:r>
              <w:rPr>
                <w:noProof/>
                <w:webHidden/>
              </w:rPr>
              <w:instrText xml:space="preserve"> PAGEREF _Toc224334638 \h </w:instrText>
            </w:r>
            <w:r>
              <w:rPr>
                <w:noProof/>
                <w:webHidden/>
              </w:rPr>
            </w:r>
            <w:r>
              <w:rPr>
                <w:noProof/>
                <w:webHidden/>
              </w:rPr>
              <w:fldChar w:fldCharType="separate"/>
            </w:r>
            <w:r>
              <w:rPr>
                <w:noProof/>
                <w:webHidden/>
              </w:rPr>
              <w:t>5</w:t>
            </w:r>
            <w:r>
              <w:rPr>
                <w:noProof/>
                <w:webHidden/>
              </w:rPr>
              <w:fldChar w:fldCharType="end"/>
            </w:r>
          </w:hyperlink>
        </w:p>
        <w:p w14:paraId="142C44E1" w14:textId="106F7DCF" w:rsidR="00B03C98" w:rsidRDefault="00B03C98">
          <w:pPr>
            <w:pStyle w:val="TOC2"/>
            <w:tabs>
              <w:tab w:val="right" w:leader="dot" w:pos="9016"/>
            </w:tabs>
            <w:rPr>
              <w:rFonts w:eastAsiaTheme="minorEastAsia"/>
              <w:noProof/>
              <w:lang w:eastAsia="en-GB"/>
            </w:rPr>
          </w:pPr>
          <w:hyperlink w:anchor="_Toc224334639" w:history="1">
            <w:r w:rsidRPr="00EA0FD0">
              <w:rPr>
                <w:rStyle w:val="Hyperlink"/>
                <w:noProof/>
              </w:rPr>
              <w:t>Application to CMHT Practice</w:t>
            </w:r>
            <w:r>
              <w:rPr>
                <w:noProof/>
                <w:webHidden/>
              </w:rPr>
              <w:tab/>
            </w:r>
            <w:r>
              <w:rPr>
                <w:noProof/>
                <w:webHidden/>
              </w:rPr>
              <w:fldChar w:fldCharType="begin"/>
            </w:r>
            <w:r>
              <w:rPr>
                <w:noProof/>
                <w:webHidden/>
              </w:rPr>
              <w:instrText xml:space="preserve"> PAGEREF _Toc224334639 \h </w:instrText>
            </w:r>
            <w:r>
              <w:rPr>
                <w:noProof/>
                <w:webHidden/>
              </w:rPr>
            </w:r>
            <w:r>
              <w:rPr>
                <w:noProof/>
                <w:webHidden/>
              </w:rPr>
              <w:fldChar w:fldCharType="separate"/>
            </w:r>
            <w:r>
              <w:rPr>
                <w:noProof/>
                <w:webHidden/>
              </w:rPr>
              <w:t>5</w:t>
            </w:r>
            <w:r>
              <w:rPr>
                <w:noProof/>
                <w:webHidden/>
              </w:rPr>
              <w:fldChar w:fldCharType="end"/>
            </w:r>
          </w:hyperlink>
        </w:p>
        <w:p w14:paraId="015B1B8C" w14:textId="74697624" w:rsidR="00B03C98" w:rsidRDefault="00B03C98">
          <w:pPr>
            <w:pStyle w:val="TOC2"/>
            <w:tabs>
              <w:tab w:val="right" w:leader="dot" w:pos="9016"/>
            </w:tabs>
            <w:rPr>
              <w:rFonts w:eastAsiaTheme="minorEastAsia"/>
              <w:noProof/>
              <w:lang w:eastAsia="en-GB"/>
            </w:rPr>
          </w:pPr>
          <w:hyperlink w:anchor="_Toc224334640" w:history="1">
            <w:r w:rsidRPr="00EA0FD0">
              <w:rPr>
                <w:rStyle w:val="Hyperlink"/>
                <w:noProof/>
              </w:rPr>
              <w:t>Critical Evaluation</w:t>
            </w:r>
            <w:r>
              <w:rPr>
                <w:noProof/>
                <w:webHidden/>
              </w:rPr>
              <w:tab/>
            </w:r>
            <w:r>
              <w:rPr>
                <w:noProof/>
                <w:webHidden/>
              </w:rPr>
              <w:fldChar w:fldCharType="begin"/>
            </w:r>
            <w:r>
              <w:rPr>
                <w:noProof/>
                <w:webHidden/>
              </w:rPr>
              <w:instrText xml:space="preserve"> PAGEREF _Toc224334640 \h </w:instrText>
            </w:r>
            <w:r>
              <w:rPr>
                <w:noProof/>
                <w:webHidden/>
              </w:rPr>
            </w:r>
            <w:r>
              <w:rPr>
                <w:noProof/>
                <w:webHidden/>
              </w:rPr>
              <w:fldChar w:fldCharType="separate"/>
            </w:r>
            <w:r>
              <w:rPr>
                <w:noProof/>
                <w:webHidden/>
              </w:rPr>
              <w:t>5</w:t>
            </w:r>
            <w:r>
              <w:rPr>
                <w:noProof/>
                <w:webHidden/>
              </w:rPr>
              <w:fldChar w:fldCharType="end"/>
            </w:r>
          </w:hyperlink>
        </w:p>
        <w:p w14:paraId="1F3C78FE" w14:textId="785C96BA" w:rsidR="00B03C98" w:rsidRDefault="00B03C98">
          <w:pPr>
            <w:pStyle w:val="TOC1"/>
            <w:tabs>
              <w:tab w:val="right" w:leader="dot" w:pos="9016"/>
            </w:tabs>
            <w:rPr>
              <w:rFonts w:eastAsiaTheme="minorEastAsia"/>
              <w:noProof/>
              <w:lang w:eastAsia="en-GB"/>
            </w:rPr>
          </w:pPr>
          <w:hyperlink w:anchor="_Toc224334641" w:history="1">
            <w:r w:rsidRPr="00EA0FD0">
              <w:rPr>
                <w:rStyle w:val="Hyperlink"/>
                <w:noProof/>
              </w:rPr>
              <w:t>4. Ethical Fundamentals in Health and Social Care</w:t>
            </w:r>
            <w:r>
              <w:rPr>
                <w:noProof/>
                <w:webHidden/>
              </w:rPr>
              <w:tab/>
            </w:r>
            <w:r>
              <w:rPr>
                <w:noProof/>
                <w:webHidden/>
              </w:rPr>
              <w:fldChar w:fldCharType="begin"/>
            </w:r>
            <w:r>
              <w:rPr>
                <w:noProof/>
                <w:webHidden/>
              </w:rPr>
              <w:instrText xml:space="preserve"> PAGEREF _Toc224334641 \h </w:instrText>
            </w:r>
            <w:r>
              <w:rPr>
                <w:noProof/>
                <w:webHidden/>
              </w:rPr>
            </w:r>
            <w:r>
              <w:rPr>
                <w:noProof/>
                <w:webHidden/>
              </w:rPr>
              <w:fldChar w:fldCharType="separate"/>
            </w:r>
            <w:r>
              <w:rPr>
                <w:noProof/>
                <w:webHidden/>
              </w:rPr>
              <w:t>6</w:t>
            </w:r>
            <w:r>
              <w:rPr>
                <w:noProof/>
                <w:webHidden/>
              </w:rPr>
              <w:fldChar w:fldCharType="end"/>
            </w:r>
          </w:hyperlink>
        </w:p>
        <w:p w14:paraId="6DFA656A" w14:textId="4C7C8A0F" w:rsidR="00B03C98" w:rsidRDefault="00B03C98">
          <w:pPr>
            <w:pStyle w:val="TOC1"/>
            <w:tabs>
              <w:tab w:val="right" w:leader="dot" w:pos="9016"/>
            </w:tabs>
            <w:rPr>
              <w:rFonts w:eastAsiaTheme="minorEastAsia"/>
              <w:noProof/>
              <w:lang w:eastAsia="en-GB"/>
            </w:rPr>
          </w:pPr>
          <w:hyperlink w:anchor="_Toc224334642" w:history="1">
            <w:r w:rsidRPr="00EA0FD0">
              <w:rPr>
                <w:rStyle w:val="Hyperlink"/>
                <w:noProof/>
              </w:rPr>
              <w:t>5. Evaluation of Partnership Working</w:t>
            </w:r>
            <w:r>
              <w:rPr>
                <w:noProof/>
                <w:webHidden/>
              </w:rPr>
              <w:tab/>
            </w:r>
            <w:r>
              <w:rPr>
                <w:noProof/>
                <w:webHidden/>
              </w:rPr>
              <w:fldChar w:fldCharType="begin"/>
            </w:r>
            <w:r>
              <w:rPr>
                <w:noProof/>
                <w:webHidden/>
              </w:rPr>
              <w:instrText xml:space="preserve"> PAGEREF _Toc224334642 \h </w:instrText>
            </w:r>
            <w:r>
              <w:rPr>
                <w:noProof/>
                <w:webHidden/>
              </w:rPr>
            </w:r>
            <w:r>
              <w:rPr>
                <w:noProof/>
                <w:webHidden/>
              </w:rPr>
              <w:fldChar w:fldCharType="separate"/>
            </w:r>
            <w:r>
              <w:rPr>
                <w:noProof/>
                <w:webHidden/>
              </w:rPr>
              <w:t>7</w:t>
            </w:r>
            <w:r>
              <w:rPr>
                <w:noProof/>
                <w:webHidden/>
              </w:rPr>
              <w:fldChar w:fldCharType="end"/>
            </w:r>
          </w:hyperlink>
        </w:p>
        <w:p w14:paraId="3A11813E" w14:textId="211A0CE5" w:rsidR="00B03C98" w:rsidRDefault="00B03C98">
          <w:pPr>
            <w:pStyle w:val="TOC1"/>
            <w:tabs>
              <w:tab w:val="right" w:leader="dot" w:pos="9016"/>
            </w:tabs>
            <w:rPr>
              <w:rFonts w:eastAsiaTheme="minorEastAsia"/>
              <w:noProof/>
              <w:lang w:eastAsia="en-GB"/>
            </w:rPr>
          </w:pPr>
          <w:hyperlink w:anchor="_Toc224334643" w:history="1">
            <w:r w:rsidRPr="00EA0FD0">
              <w:rPr>
                <w:rStyle w:val="Hyperlink"/>
                <w:noProof/>
              </w:rPr>
              <w:t>6. Application of Partnership Working in Adult Community Mental Health Teams</w:t>
            </w:r>
            <w:r>
              <w:rPr>
                <w:noProof/>
                <w:webHidden/>
              </w:rPr>
              <w:tab/>
            </w:r>
            <w:r>
              <w:rPr>
                <w:noProof/>
                <w:webHidden/>
              </w:rPr>
              <w:fldChar w:fldCharType="begin"/>
            </w:r>
            <w:r>
              <w:rPr>
                <w:noProof/>
                <w:webHidden/>
              </w:rPr>
              <w:instrText xml:space="preserve"> PAGEREF _Toc224334643 \h </w:instrText>
            </w:r>
            <w:r>
              <w:rPr>
                <w:noProof/>
                <w:webHidden/>
              </w:rPr>
            </w:r>
            <w:r>
              <w:rPr>
                <w:noProof/>
                <w:webHidden/>
              </w:rPr>
              <w:fldChar w:fldCharType="separate"/>
            </w:r>
            <w:r>
              <w:rPr>
                <w:noProof/>
                <w:webHidden/>
              </w:rPr>
              <w:t>7</w:t>
            </w:r>
            <w:r>
              <w:rPr>
                <w:noProof/>
                <w:webHidden/>
              </w:rPr>
              <w:fldChar w:fldCharType="end"/>
            </w:r>
          </w:hyperlink>
        </w:p>
        <w:p w14:paraId="4C97EEC8" w14:textId="263B8297" w:rsidR="00B03C98" w:rsidRDefault="00B03C98">
          <w:pPr>
            <w:pStyle w:val="TOC1"/>
            <w:tabs>
              <w:tab w:val="right" w:leader="dot" w:pos="9016"/>
            </w:tabs>
            <w:rPr>
              <w:rFonts w:eastAsiaTheme="minorEastAsia"/>
              <w:noProof/>
              <w:lang w:eastAsia="en-GB"/>
            </w:rPr>
          </w:pPr>
          <w:hyperlink w:anchor="_Toc224334644" w:history="1">
            <w:r w:rsidRPr="00EA0FD0">
              <w:rPr>
                <w:rStyle w:val="Hyperlink"/>
                <w:noProof/>
              </w:rPr>
              <w:t>7. Policy and Legislation Relevant to PCC and PW</w:t>
            </w:r>
            <w:r>
              <w:rPr>
                <w:noProof/>
                <w:webHidden/>
              </w:rPr>
              <w:tab/>
            </w:r>
            <w:r>
              <w:rPr>
                <w:noProof/>
                <w:webHidden/>
              </w:rPr>
              <w:fldChar w:fldCharType="begin"/>
            </w:r>
            <w:r>
              <w:rPr>
                <w:noProof/>
                <w:webHidden/>
              </w:rPr>
              <w:instrText xml:space="preserve"> PAGEREF _Toc224334644 \h </w:instrText>
            </w:r>
            <w:r>
              <w:rPr>
                <w:noProof/>
                <w:webHidden/>
              </w:rPr>
            </w:r>
            <w:r>
              <w:rPr>
                <w:noProof/>
                <w:webHidden/>
              </w:rPr>
              <w:fldChar w:fldCharType="separate"/>
            </w:r>
            <w:r>
              <w:rPr>
                <w:noProof/>
                <w:webHidden/>
              </w:rPr>
              <w:t>8</w:t>
            </w:r>
            <w:r>
              <w:rPr>
                <w:noProof/>
                <w:webHidden/>
              </w:rPr>
              <w:fldChar w:fldCharType="end"/>
            </w:r>
          </w:hyperlink>
        </w:p>
        <w:p w14:paraId="7BB03E87" w14:textId="2B97F0D2" w:rsidR="00B03C98" w:rsidRDefault="00B03C98">
          <w:pPr>
            <w:pStyle w:val="TOC1"/>
            <w:tabs>
              <w:tab w:val="right" w:leader="dot" w:pos="9016"/>
            </w:tabs>
            <w:rPr>
              <w:rFonts w:eastAsiaTheme="minorEastAsia"/>
              <w:noProof/>
              <w:lang w:eastAsia="en-GB"/>
            </w:rPr>
          </w:pPr>
          <w:hyperlink w:anchor="_Toc224334645" w:history="1">
            <w:r w:rsidRPr="00EA0FD0">
              <w:rPr>
                <w:rStyle w:val="Hyperlink"/>
                <w:noProof/>
              </w:rPr>
              <w:t>8. Recommendations for Future Development</w:t>
            </w:r>
            <w:r>
              <w:rPr>
                <w:noProof/>
                <w:webHidden/>
              </w:rPr>
              <w:tab/>
            </w:r>
            <w:r>
              <w:rPr>
                <w:noProof/>
                <w:webHidden/>
              </w:rPr>
              <w:fldChar w:fldCharType="begin"/>
            </w:r>
            <w:r>
              <w:rPr>
                <w:noProof/>
                <w:webHidden/>
              </w:rPr>
              <w:instrText xml:space="preserve"> PAGEREF _Toc224334645 \h </w:instrText>
            </w:r>
            <w:r>
              <w:rPr>
                <w:noProof/>
                <w:webHidden/>
              </w:rPr>
            </w:r>
            <w:r>
              <w:rPr>
                <w:noProof/>
                <w:webHidden/>
              </w:rPr>
              <w:fldChar w:fldCharType="separate"/>
            </w:r>
            <w:r>
              <w:rPr>
                <w:noProof/>
                <w:webHidden/>
              </w:rPr>
              <w:t>9</w:t>
            </w:r>
            <w:r>
              <w:rPr>
                <w:noProof/>
                <w:webHidden/>
              </w:rPr>
              <w:fldChar w:fldCharType="end"/>
            </w:r>
          </w:hyperlink>
        </w:p>
        <w:p w14:paraId="335BB303" w14:textId="04EFBC5F" w:rsidR="00B03C98" w:rsidRDefault="00B03C98">
          <w:pPr>
            <w:pStyle w:val="TOC1"/>
            <w:tabs>
              <w:tab w:val="right" w:leader="dot" w:pos="9016"/>
            </w:tabs>
            <w:rPr>
              <w:rFonts w:eastAsiaTheme="minorEastAsia"/>
              <w:noProof/>
              <w:lang w:eastAsia="en-GB"/>
            </w:rPr>
          </w:pPr>
          <w:hyperlink w:anchor="_Toc224334646" w:history="1">
            <w:r w:rsidRPr="00EA0FD0">
              <w:rPr>
                <w:rStyle w:val="Hyperlink"/>
                <w:noProof/>
              </w:rPr>
              <w:t>9. Conclusion</w:t>
            </w:r>
            <w:r>
              <w:rPr>
                <w:noProof/>
                <w:webHidden/>
              </w:rPr>
              <w:tab/>
            </w:r>
            <w:r>
              <w:rPr>
                <w:noProof/>
                <w:webHidden/>
              </w:rPr>
              <w:fldChar w:fldCharType="begin"/>
            </w:r>
            <w:r>
              <w:rPr>
                <w:noProof/>
                <w:webHidden/>
              </w:rPr>
              <w:instrText xml:space="preserve"> PAGEREF _Toc224334646 \h </w:instrText>
            </w:r>
            <w:r>
              <w:rPr>
                <w:noProof/>
                <w:webHidden/>
              </w:rPr>
            </w:r>
            <w:r>
              <w:rPr>
                <w:noProof/>
                <w:webHidden/>
              </w:rPr>
              <w:fldChar w:fldCharType="separate"/>
            </w:r>
            <w:r>
              <w:rPr>
                <w:noProof/>
                <w:webHidden/>
              </w:rPr>
              <w:t>9</w:t>
            </w:r>
            <w:r>
              <w:rPr>
                <w:noProof/>
                <w:webHidden/>
              </w:rPr>
              <w:fldChar w:fldCharType="end"/>
            </w:r>
          </w:hyperlink>
        </w:p>
        <w:p w14:paraId="5FEF3834" w14:textId="14FDB046" w:rsidR="00B03C98" w:rsidRDefault="00B03C98">
          <w:pPr>
            <w:pStyle w:val="TOC1"/>
            <w:tabs>
              <w:tab w:val="right" w:leader="dot" w:pos="9016"/>
            </w:tabs>
            <w:rPr>
              <w:rFonts w:eastAsiaTheme="minorEastAsia"/>
              <w:noProof/>
              <w:lang w:eastAsia="en-GB"/>
            </w:rPr>
          </w:pPr>
          <w:hyperlink w:anchor="_Toc224334647" w:history="1">
            <w:r w:rsidRPr="00EA0FD0">
              <w:rPr>
                <w:rStyle w:val="Hyperlink"/>
                <w:noProof/>
              </w:rPr>
              <w:t>Reference List</w:t>
            </w:r>
            <w:r>
              <w:rPr>
                <w:noProof/>
                <w:webHidden/>
              </w:rPr>
              <w:tab/>
            </w:r>
            <w:r>
              <w:rPr>
                <w:noProof/>
                <w:webHidden/>
              </w:rPr>
              <w:fldChar w:fldCharType="begin"/>
            </w:r>
            <w:r>
              <w:rPr>
                <w:noProof/>
                <w:webHidden/>
              </w:rPr>
              <w:instrText xml:space="preserve"> PAGEREF _Toc224334647 \h </w:instrText>
            </w:r>
            <w:r>
              <w:rPr>
                <w:noProof/>
                <w:webHidden/>
              </w:rPr>
            </w:r>
            <w:r>
              <w:rPr>
                <w:noProof/>
                <w:webHidden/>
              </w:rPr>
              <w:fldChar w:fldCharType="separate"/>
            </w:r>
            <w:r>
              <w:rPr>
                <w:noProof/>
                <w:webHidden/>
              </w:rPr>
              <w:t>10</w:t>
            </w:r>
            <w:r>
              <w:rPr>
                <w:noProof/>
                <w:webHidden/>
              </w:rPr>
              <w:fldChar w:fldCharType="end"/>
            </w:r>
          </w:hyperlink>
        </w:p>
        <w:p w14:paraId="37AD40A8" w14:textId="774C12FB" w:rsidR="00F50995" w:rsidRDefault="00F50995" w:rsidP="00780DC2">
          <w:pPr>
            <w:jc w:val="both"/>
          </w:pPr>
          <w:r>
            <w:rPr>
              <w:b/>
              <w:bCs/>
              <w:noProof/>
            </w:rPr>
            <w:fldChar w:fldCharType="end"/>
          </w:r>
        </w:p>
      </w:sdtContent>
    </w:sdt>
    <w:p w14:paraId="6250EFAB" w14:textId="56076875" w:rsidR="00F50995" w:rsidRPr="00F50995" w:rsidRDefault="00780DC2" w:rsidP="00780DC2">
      <w:pPr>
        <w:rPr>
          <w:rFonts w:ascii="Arial" w:hAnsi="Arial" w:cs="Arial"/>
          <w:sz w:val="22"/>
          <w:szCs w:val="22"/>
        </w:rPr>
      </w:pPr>
      <w:r>
        <w:rPr>
          <w:rFonts w:ascii="Arial" w:hAnsi="Arial" w:cs="Arial"/>
          <w:sz w:val="22"/>
          <w:szCs w:val="22"/>
        </w:rPr>
        <w:br w:type="page"/>
      </w:r>
    </w:p>
    <w:p w14:paraId="7D4CC50D" w14:textId="7CB68CAF" w:rsidR="00F50995" w:rsidRPr="00B03C98" w:rsidRDefault="00F50995" w:rsidP="00B03C98">
      <w:pPr>
        <w:pStyle w:val="Heading1"/>
      </w:pPr>
      <w:bookmarkStart w:id="0" w:name="_Toc224334634"/>
      <w:r w:rsidRPr="00B03C98">
        <w:lastRenderedPageBreak/>
        <w:t>Introduction</w:t>
      </w:r>
      <w:bookmarkEnd w:id="0"/>
    </w:p>
    <w:p w14:paraId="5A724AA2" w14:textId="7ED93F5E" w:rsidR="00780DC2" w:rsidRPr="00780DC2" w:rsidRDefault="00780DC2" w:rsidP="00780DC2">
      <w:pPr>
        <w:spacing w:line="360" w:lineRule="auto"/>
        <w:jc w:val="both"/>
        <w:rPr>
          <w:rFonts w:ascii="Arial" w:hAnsi="Arial" w:cs="Arial"/>
          <w:sz w:val="22"/>
          <w:szCs w:val="22"/>
        </w:rPr>
      </w:pPr>
      <w:r w:rsidRPr="00780DC2">
        <w:rPr>
          <w:rFonts w:ascii="Arial" w:hAnsi="Arial" w:cs="Arial"/>
          <w:sz w:val="22"/>
          <w:szCs w:val="22"/>
        </w:rPr>
        <w:t>Person</w:t>
      </w:r>
      <w:r w:rsidRPr="00780DC2">
        <w:rPr>
          <w:rFonts w:ascii="Cambria Math" w:hAnsi="Cambria Math" w:cs="Cambria Math"/>
          <w:sz w:val="22"/>
          <w:szCs w:val="22"/>
        </w:rPr>
        <w:t>‑</w:t>
      </w:r>
      <w:r w:rsidRPr="00780DC2">
        <w:rPr>
          <w:rFonts w:ascii="Arial" w:hAnsi="Arial" w:cs="Arial"/>
          <w:sz w:val="22"/>
          <w:szCs w:val="22"/>
        </w:rPr>
        <w:t>centred care (PCC) and partnership working (PW) are widely recognised as essential components of high</w:t>
      </w:r>
      <w:r w:rsidRPr="00780DC2">
        <w:rPr>
          <w:rFonts w:ascii="Cambria Math" w:hAnsi="Cambria Math" w:cs="Cambria Math"/>
          <w:sz w:val="22"/>
          <w:szCs w:val="22"/>
        </w:rPr>
        <w:t>‑</w:t>
      </w:r>
      <w:r w:rsidRPr="00780DC2">
        <w:rPr>
          <w:rFonts w:ascii="Arial" w:hAnsi="Arial" w:cs="Arial"/>
          <w:sz w:val="22"/>
          <w:szCs w:val="22"/>
        </w:rPr>
        <w:t>quality health and social care practice in the United Kingdom. PCC emphasises treating individuals with dignity, respect, and compassion, while ensuring that their preferences, values, and lived experiences shape the planning and delivery of care. This approach is particularly significant in mental health services, where individuals often experience fluctuating needs, stigma, and complex psychosocial challenges. Partnership working, meanwhile, refers to the collaborative efforts of professionals, organisations, service users, and carers to deliver coordinated, holistic, and effective support. In the context of Adult Community Mental Health Teams (CMHTs), PW is indispensable due to the multidisciplinary nature of mental health care and the need for integrated responses to issues such as housing, employment, physical health, and social inclusion.</w:t>
      </w:r>
    </w:p>
    <w:p w14:paraId="2F44C7ED" w14:textId="6DA621DC" w:rsidR="00780DC2" w:rsidRPr="00780DC2" w:rsidRDefault="00780DC2" w:rsidP="00780DC2">
      <w:pPr>
        <w:spacing w:line="360" w:lineRule="auto"/>
        <w:jc w:val="both"/>
        <w:rPr>
          <w:rFonts w:ascii="Arial" w:hAnsi="Arial" w:cs="Arial"/>
          <w:sz w:val="22"/>
          <w:szCs w:val="22"/>
        </w:rPr>
      </w:pPr>
      <w:r w:rsidRPr="00780DC2">
        <w:rPr>
          <w:rFonts w:ascii="Arial" w:hAnsi="Arial" w:cs="Arial"/>
          <w:sz w:val="22"/>
          <w:szCs w:val="22"/>
        </w:rPr>
        <w:t>CMHTs typically support adults with severe and enduring mental health conditions, including schizophrenia, bipolar disorder, major depression, and personality disorders. These conditions often require long</w:t>
      </w:r>
      <w:r w:rsidRPr="00780DC2">
        <w:rPr>
          <w:rFonts w:ascii="Cambria Math" w:hAnsi="Cambria Math" w:cs="Cambria Math"/>
          <w:sz w:val="22"/>
          <w:szCs w:val="22"/>
        </w:rPr>
        <w:t>‑</w:t>
      </w:r>
      <w:r w:rsidRPr="00780DC2">
        <w:rPr>
          <w:rFonts w:ascii="Arial" w:hAnsi="Arial" w:cs="Arial"/>
          <w:sz w:val="22"/>
          <w:szCs w:val="22"/>
        </w:rPr>
        <w:t>term, multi</w:t>
      </w:r>
      <w:r w:rsidRPr="00780DC2">
        <w:rPr>
          <w:rFonts w:ascii="Cambria Math" w:hAnsi="Cambria Math" w:cs="Cambria Math"/>
          <w:sz w:val="22"/>
          <w:szCs w:val="22"/>
        </w:rPr>
        <w:t>‑</w:t>
      </w:r>
      <w:r w:rsidRPr="00780DC2">
        <w:rPr>
          <w:rFonts w:ascii="Arial" w:hAnsi="Arial" w:cs="Arial"/>
          <w:sz w:val="22"/>
          <w:szCs w:val="22"/>
        </w:rPr>
        <w:t>agency involvement, making PCC and PW central to effective practice. This report critically evaluates PCC and PW, explores their theoretical and ethical foundations, and examines how they operate within CMHTs. It also analyses relevant policy and legislation that shape practice and concludes with recommendations for strengthening PCC and PW in the UK. By focusing on CMHTs, the report highlights the practical realities, challenges, and opportunities associated with delivering person</w:t>
      </w:r>
      <w:r w:rsidRPr="00780DC2">
        <w:rPr>
          <w:rFonts w:ascii="Cambria Math" w:hAnsi="Cambria Math" w:cs="Cambria Math"/>
          <w:sz w:val="22"/>
          <w:szCs w:val="22"/>
        </w:rPr>
        <w:t>‑</w:t>
      </w:r>
      <w:r w:rsidRPr="00780DC2">
        <w:rPr>
          <w:rFonts w:ascii="Arial" w:hAnsi="Arial" w:cs="Arial"/>
          <w:sz w:val="22"/>
          <w:szCs w:val="22"/>
        </w:rPr>
        <w:t>centred, collaborative mental health care in contemporary practice.</w:t>
      </w:r>
    </w:p>
    <w:p w14:paraId="352A2955" w14:textId="77777777" w:rsidR="00F50995" w:rsidRPr="00F50995" w:rsidRDefault="00F50995" w:rsidP="00780DC2">
      <w:pPr>
        <w:pStyle w:val="Heading1"/>
        <w:jc w:val="both"/>
      </w:pPr>
      <w:bookmarkStart w:id="1" w:name="_Toc224334635"/>
      <w:r w:rsidRPr="00F50995">
        <w:t>2. Definition of Person</w:t>
      </w:r>
      <w:r w:rsidRPr="00F50995">
        <w:rPr>
          <w:rFonts w:ascii="Cambria Math" w:hAnsi="Cambria Math" w:cs="Cambria Math"/>
        </w:rPr>
        <w:t>‑</w:t>
      </w:r>
      <w:r w:rsidRPr="00F50995">
        <w:t>Centred Care and Its Benefits and Limitations</w:t>
      </w:r>
      <w:bookmarkEnd w:id="1"/>
    </w:p>
    <w:p w14:paraId="578131E1" w14:textId="6202BB0F" w:rsidR="00780DC2" w:rsidRPr="00780DC2" w:rsidRDefault="00F50995" w:rsidP="00780DC2">
      <w:pPr>
        <w:spacing w:line="360" w:lineRule="auto"/>
        <w:jc w:val="both"/>
        <w:rPr>
          <w:rFonts w:ascii="Arial" w:hAnsi="Arial" w:cs="Arial"/>
          <w:sz w:val="22"/>
          <w:szCs w:val="22"/>
        </w:rPr>
      </w:pPr>
      <w:r w:rsidRPr="00F50995">
        <w:rPr>
          <w:rFonts w:ascii="Arial" w:hAnsi="Arial" w:cs="Arial"/>
          <w:sz w:val="22"/>
          <w:szCs w:val="22"/>
        </w:rPr>
        <w:t>Person</w:t>
      </w:r>
      <w:r w:rsidRPr="00F50995">
        <w:rPr>
          <w:rFonts w:ascii="Cambria Math" w:hAnsi="Cambria Math" w:cs="Cambria Math"/>
          <w:sz w:val="22"/>
          <w:szCs w:val="22"/>
        </w:rPr>
        <w:t>‑</w:t>
      </w:r>
      <w:r w:rsidRPr="00F50995">
        <w:rPr>
          <w:rFonts w:ascii="Arial" w:hAnsi="Arial" w:cs="Arial"/>
          <w:sz w:val="22"/>
          <w:szCs w:val="22"/>
        </w:rPr>
        <w:t>centred</w:t>
      </w:r>
      <w:r w:rsidR="00780DC2">
        <w:rPr>
          <w:rFonts w:ascii="Arial" w:hAnsi="Arial" w:cs="Arial"/>
          <w:sz w:val="22"/>
          <w:szCs w:val="22"/>
        </w:rPr>
        <w:t xml:space="preserve"> </w:t>
      </w:r>
      <w:r w:rsidR="00780DC2" w:rsidRPr="00780DC2">
        <w:rPr>
          <w:rFonts w:ascii="Arial" w:hAnsi="Arial" w:cs="Arial"/>
          <w:sz w:val="22"/>
          <w:szCs w:val="22"/>
        </w:rPr>
        <w:t>care is an approach that places the individual at the centre of their care experience, ensuring that treatment aligns with their values, needs, and preferences (Health Foundation, 2016). The Care Quality Commission (2021) describes PCC as care that is compassionate, respectful, and responsive to what matters most to the person. McCormack and McCance’s (2017) Person</w:t>
      </w:r>
      <w:r w:rsidR="00780DC2" w:rsidRPr="00780DC2">
        <w:rPr>
          <w:rFonts w:ascii="Cambria Math" w:hAnsi="Cambria Math" w:cs="Cambria Math"/>
          <w:sz w:val="22"/>
          <w:szCs w:val="22"/>
        </w:rPr>
        <w:t>‑</w:t>
      </w:r>
      <w:r w:rsidR="00780DC2" w:rsidRPr="00780DC2">
        <w:rPr>
          <w:rFonts w:ascii="Arial" w:hAnsi="Arial" w:cs="Arial"/>
          <w:sz w:val="22"/>
          <w:szCs w:val="22"/>
        </w:rPr>
        <w:t>Centred Practice Framework emphasises shared decision</w:t>
      </w:r>
      <w:r w:rsidR="00780DC2" w:rsidRPr="00780DC2">
        <w:rPr>
          <w:rFonts w:ascii="Cambria Math" w:hAnsi="Cambria Math" w:cs="Cambria Math"/>
          <w:sz w:val="22"/>
          <w:szCs w:val="22"/>
        </w:rPr>
        <w:t>‑</w:t>
      </w:r>
      <w:r w:rsidR="00780DC2" w:rsidRPr="00780DC2">
        <w:rPr>
          <w:rFonts w:ascii="Arial" w:hAnsi="Arial" w:cs="Arial"/>
          <w:sz w:val="22"/>
          <w:szCs w:val="22"/>
        </w:rPr>
        <w:t>making, empowerment, therapeutic relationships, and meaningful engagement. In mental health settings, PCC is closely aligned with recovery</w:t>
      </w:r>
      <w:r w:rsidR="00780DC2" w:rsidRPr="00780DC2">
        <w:rPr>
          <w:rFonts w:ascii="Cambria Math" w:hAnsi="Cambria Math" w:cs="Cambria Math"/>
          <w:sz w:val="22"/>
          <w:szCs w:val="22"/>
        </w:rPr>
        <w:t>‑</w:t>
      </w:r>
      <w:r w:rsidR="00780DC2" w:rsidRPr="00780DC2">
        <w:rPr>
          <w:rFonts w:ascii="Arial" w:hAnsi="Arial" w:cs="Arial"/>
          <w:sz w:val="22"/>
          <w:szCs w:val="22"/>
        </w:rPr>
        <w:t>oriented practice, which focuses on hope, autonomy, and the belief that individuals can live meaningful lives despite mental illness.</w:t>
      </w:r>
    </w:p>
    <w:p w14:paraId="12637C07" w14:textId="77777777" w:rsidR="00780DC2" w:rsidRPr="00780DC2" w:rsidRDefault="00780DC2" w:rsidP="00780DC2">
      <w:pPr>
        <w:spacing w:line="360" w:lineRule="auto"/>
        <w:jc w:val="both"/>
        <w:rPr>
          <w:rFonts w:ascii="Arial" w:hAnsi="Arial" w:cs="Arial"/>
          <w:sz w:val="22"/>
          <w:szCs w:val="22"/>
        </w:rPr>
      </w:pPr>
    </w:p>
    <w:p w14:paraId="0D99D29E" w14:textId="32652EEE" w:rsidR="00780DC2" w:rsidRPr="00780DC2" w:rsidRDefault="00780DC2" w:rsidP="00780DC2">
      <w:pPr>
        <w:pStyle w:val="Heading2"/>
      </w:pPr>
      <w:bookmarkStart w:id="2" w:name="_Toc224334636"/>
      <w:r w:rsidRPr="00780DC2">
        <w:lastRenderedPageBreak/>
        <w:t>Benefits of PCC in CMHTs</w:t>
      </w:r>
      <w:bookmarkEnd w:id="2"/>
      <w:r w:rsidRPr="00780DC2">
        <w:t xml:space="preserve"> </w:t>
      </w:r>
    </w:p>
    <w:p w14:paraId="4824D42E" w14:textId="79CB0A69" w:rsidR="00780DC2" w:rsidRPr="00780DC2" w:rsidRDefault="00780DC2" w:rsidP="00780DC2">
      <w:pPr>
        <w:spacing w:line="360" w:lineRule="auto"/>
        <w:jc w:val="both"/>
        <w:rPr>
          <w:rFonts w:ascii="Arial" w:hAnsi="Arial" w:cs="Arial"/>
          <w:sz w:val="22"/>
          <w:szCs w:val="22"/>
        </w:rPr>
      </w:pPr>
      <w:r w:rsidRPr="00780DC2">
        <w:rPr>
          <w:rFonts w:ascii="Arial" w:hAnsi="Arial" w:cs="Arial"/>
          <w:sz w:val="22"/>
          <w:szCs w:val="22"/>
        </w:rPr>
        <w:t>PCC offers numerous benefits within CMHTs. First, it strengthens therapeutic relationships by fostering trust, empathy, and mutual respect. Strong therapeutic alliances are associated with improved engagement, reduced relapse rates, and better long</w:t>
      </w:r>
      <w:r w:rsidRPr="00780DC2">
        <w:rPr>
          <w:rFonts w:ascii="Cambria Math" w:hAnsi="Cambria Math" w:cs="Cambria Math"/>
          <w:sz w:val="22"/>
          <w:szCs w:val="22"/>
        </w:rPr>
        <w:t>‑</w:t>
      </w:r>
      <w:r w:rsidRPr="00780DC2">
        <w:rPr>
          <w:rFonts w:ascii="Arial" w:hAnsi="Arial" w:cs="Arial"/>
          <w:sz w:val="22"/>
          <w:szCs w:val="22"/>
        </w:rPr>
        <w:t>term outcomes (Slade, 2017). Second, PCC enhances recovery by encouraging individuals to take an active role in their care, promoting self</w:t>
      </w:r>
      <w:r w:rsidRPr="00780DC2">
        <w:rPr>
          <w:rFonts w:ascii="Cambria Math" w:hAnsi="Cambria Math" w:cs="Cambria Math"/>
          <w:sz w:val="22"/>
          <w:szCs w:val="22"/>
        </w:rPr>
        <w:t>‑</w:t>
      </w:r>
      <w:r w:rsidRPr="00780DC2">
        <w:rPr>
          <w:rFonts w:ascii="Arial" w:hAnsi="Arial" w:cs="Arial"/>
          <w:sz w:val="22"/>
          <w:szCs w:val="22"/>
        </w:rPr>
        <w:t>management and resilience. This is particularly important in mental health, where empowerment and agency are key components of recovery.</w:t>
      </w:r>
    </w:p>
    <w:p w14:paraId="5E63EA40" w14:textId="7D5B4B50" w:rsidR="00780DC2" w:rsidRPr="00780DC2" w:rsidRDefault="00780DC2" w:rsidP="00780DC2">
      <w:pPr>
        <w:spacing w:line="360" w:lineRule="auto"/>
        <w:jc w:val="both"/>
        <w:rPr>
          <w:rFonts w:ascii="Arial" w:hAnsi="Arial" w:cs="Arial"/>
          <w:sz w:val="22"/>
          <w:szCs w:val="22"/>
        </w:rPr>
      </w:pPr>
      <w:r w:rsidRPr="00780DC2">
        <w:rPr>
          <w:rFonts w:ascii="Arial" w:hAnsi="Arial" w:cs="Arial"/>
          <w:sz w:val="22"/>
          <w:szCs w:val="22"/>
        </w:rPr>
        <w:t>Third, PCC improves service</w:t>
      </w:r>
      <w:r w:rsidRPr="00780DC2">
        <w:rPr>
          <w:rFonts w:ascii="Cambria Math" w:hAnsi="Cambria Math" w:cs="Cambria Math"/>
          <w:sz w:val="22"/>
          <w:szCs w:val="22"/>
        </w:rPr>
        <w:t>‑</w:t>
      </w:r>
      <w:r w:rsidRPr="00780DC2">
        <w:rPr>
          <w:rFonts w:ascii="Arial" w:hAnsi="Arial" w:cs="Arial"/>
          <w:sz w:val="22"/>
          <w:szCs w:val="22"/>
        </w:rPr>
        <w:t>user satisfaction by ensuring that care is tailored to individual needs rather than delivered through a one</w:t>
      </w:r>
      <w:r w:rsidRPr="00780DC2">
        <w:rPr>
          <w:rFonts w:ascii="Cambria Math" w:hAnsi="Cambria Math" w:cs="Cambria Math"/>
          <w:sz w:val="22"/>
          <w:szCs w:val="22"/>
        </w:rPr>
        <w:t>‑</w:t>
      </w:r>
      <w:r w:rsidRPr="00780DC2">
        <w:rPr>
          <w:rFonts w:ascii="Arial" w:hAnsi="Arial" w:cs="Arial"/>
          <w:sz w:val="22"/>
          <w:szCs w:val="22"/>
        </w:rPr>
        <w:t>size</w:t>
      </w:r>
      <w:r w:rsidRPr="00780DC2">
        <w:rPr>
          <w:rFonts w:ascii="Cambria Math" w:hAnsi="Cambria Math" w:cs="Cambria Math"/>
          <w:sz w:val="22"/>
          <w:szCs w:val="22"/>
        </w:rPr>
        <w:t>‑</w:t>
      </w:r>
      <w:r w:rsidRPr="00780DC2">
        <w:rPr>
          <w:rFonts w:ascii="Arial" w:hAnsi="Arial" w:cs="Arial"/>
          <w:sz w:val="22"/>
          <w:szCs w:val="22"/>
        </w:rPr>
        <w:t>fits</w:t>
      </w:r>
      <w:r w:rsidRPr="00780DC2">
        <w:rPr>
          <w:rFonts w:ascii="Cambria Math" w:hAnsi="Cambria Math" w:cs="Cambria Math"/>
          <w:sz w:val="22"/>
          <w:szCs w:val="22"/>
        </w:rPr>
        <w:t>‑</w:t>
      </w:r>
      <w:r w:rsidRPr="00780DC2">
        <w:rPr>
          <w:rFonts w:ascii="Arial" w:hAnsi="Arial" w:cs="Arial"/>
          <w:sz w:val="22"/>
          <w:szCs w:val="22"/>
        </w:rPr>
        <w:t>all model (Coulter &amp; Oldham, 2016). Fourth, PCC can lead to better adherence to treatment plans, as individuals are more likely to follow interventions they have helped design. Finally, PCC contributes to reduced hospital admissions by enabling early intervention and proactive crisis planning (NHS England, 2022). In CMHTs, where service users often experience fluctuating mental states, personalised crisis plans and collaborative risk assessments are vital tools for preventing deterioration.</w:t>
      </w:r>
    </w:p>
    <w:p w14:paraId="3A1E8167" w14:textId="259B0147" w:rsidR="00780DC2" w:rsidRPr="00780DC2" w:rsidRDefault="00780DC2" w:rsidP="00780DC2">
      <w:pPr>
        <w:pStyle w:val="Heading2"/>
      </w:pPr>
      <w:bookmarkStart w:id="3" w:name="_Toc224334637"/>
      <w:r w:rsidRPr="00780DC2">
        <w:t>Limitations of PCC in CMHTs</w:t>
      </w:r>
      <w:bookmarkEnd w:id="3"/>
      <w:r w:rsidRPr="00780DC2">
        <w:t xml:space="preserve"> </w:t>
      </w:r>
    </w:p>
    <w:p w14:paraId="0A66E60D" w14:textId="3F25BB9B" w:rsidR="00780DC2" w:rsidRPr="00780DC2" w:rsidRDefault="00780DC2" w:rsidP="00780DC2">
      <w:pPr>
        <w:spacing w:line="360" w:lineRule="auto"/>
        <w:jc w:val="both"/>
        <w:rPr>
          <w:rFonts w:ascii="Arial" w:hAnsi="Arial" w:cs="Arial"/>
          <w:sz w:val="22"/>
          <w:szCs w:val="22"/>
        </w:rPr>
      </w:pPr>
      <w:r w:rsidRPr="00780DC2">
        <w:rPr>
          <w:rFonts w:ascii="Arial" w:hAnsi="Arial" w:cs="Arial"/>
          <w:sz w:val="22"/>
          <w:szCs w:val="22"/>
        </w:rPr>
        <w:t>Despite its benefits, PCC faces several limitations in CMHTs. Resource constraints, including staff shortages, high caseloads, and limited appointment times, can make it difficult for practitioners to deliver truly personalised care (Kings Fund, 2020). Mental health practitioners often face competing demands, such as administrative tasks, safeguarding responsibilities, and crisis management, which reduce the time available for relationship</w:t>
      </w:r>
      <w:r w:rsidRPr="00780DC2">
        <w:rPr>
          <w:rFonts w:ascii="Cambria Math" w:hAnsi="Cambria Math" w:cs="Cambria Math"/>
          <w:sz w:val="22"/>
          <w:szCs w:val="22"/>
        </w:rPr>
        <w:t>‑</w:t>
      </w:r>
      <w:r w:rsidRPr="00780DC2">
        <w:rPr>
          <w:rFonts w:ascii="Arial" w:hAnsi="Arial" w:cs="Arial"/>
          <w:sz w:val="22"/>
          <w:szCs w:val="22"/>
        </w:rPr>
        <w:t>building.</w:t>
      </w:r>
    </w:p>
    <w:p w14:paraId="5BDF34F4" w14:textId="09BD52FF" w:rsidR="00780DC2" w:rsidRPr="00780DC2" w:rsidRDefault="00780DC2" w:rsidP="00780DC2">
      <w:pPr>
        <w:spacing w:line="360" w:lineRule="auto"/>
        <w:jc w:val="both"/>
        <w:rPr>
          <w:rFonts w:ascii="Arial" w:hAnsi="Arial" w:cs="Arial"/>
          <w:sz w:val="22"/>
          <w:szCs w:val="22"/>
        </w:rPr>
      </w:pPr>
      <w:r w:rsidRPr="00780DC2">
        <w:rPr>
          <w:rFonts w:ascii="Arial" w:hAnsi="Arial" w:cs="Arial"/>
          <w:sz w:val="22"/>
          <w:szCs w:val="22"/>
        </w:rPr>
        <w:t>Fluctuating mental states can also limit the effectiveness of PCC. During periods of acute distress, psychosis, or severe depression, individuals may struggle to articulate their preferences or participate in decision</w:t>
      </w:r>
      <w:r w:rsidRPr="00780DC2">
        <w:rPr>
          <w:rFonts w:ascii="Cambria Math" w:hAnsi="Cambria Math" w:cs="Cambria Math"/>
          <w:sz w:val="22"/>
          <w:szCs w:val="22"/>
        </w:rPr>
        <w:t>‑</w:t>
      </w:r>
      <w:r w:rsidRPr="00780DC2">
        <w:rPr>
          <w:rFonts w:ascii="Arial" w:hAnsi="Arial" w:cs="Arial"/>
          <w:sz w:val="22"/>
          <w:szCs w:val="22"/>
        </w:rPr>
        <w:t>making. This raises ethical and practical challenges, particularly when compulsory treatment is required under the Mental Health Act (1983, amended 2007).</w:t>
      </w:r>
    </w:p>
    <w:p w14:paraId="09F10196" w14:textId="1DCF090A" w:rsidR="00F50995" w:rsidRPr="00F50995" w:rsidRDefault="00780DC2" w:rsidP="00780DC2">
      <w:pPr>
        <w:spacing w:line="360" w:lineRule="auto"/>
        <w:jc w:val="both"/>
        <w:rPr>
          <w:rFonts w:ascii="Arial" w:hAnsi="Arial" w:cs="Arial"/>
          <w:sz w:val="22"/>
          <w:szCs w:val="22"/>
        </w:rPr>
      </w:pPr>
      <w:r w:rsidRPr="00780DC2">
        <w:rPr>
          <w:rFonts w:ascii="Arial" w:hAnsi="Arial" w:cs="Arial"/>
          <w:sz w:val="22"/>
          <w:szCs w:val="22"/>
        </w:rPr>
        <w:t>Risk management pressures may also conflict with PCC principles. Practitioners may prioritise safety over autonomy, especially when there is a risk of self</w:t>
      </w:r>
      <w:r w:rsidRPr="00780DC2">
        <w:rPr>
          <w:rFonts w:ascii="Cambria Math" w:hAnsi="Cambria Math" w:cs="Cambria Math"/>
          <w:sz w:val="22"/>
          <w:szCs w:val="22"/>
        </w:rPr>
        <w:t>‑</w:t>
      </w:r>
      <w:r w:rsidRPr="00780DC2">
        <w:rPr>
          <w:rFonts w:ascii="Arial" w:hAnsi="Arial" w:cs="Arial"/>
          <w:sz w:val="22"/>
          <w:szCs w:val="22"/>
        </w:rPr>
        <w:t>harm or harm to others. Organisational culture can further hinder PCC, as some practitioners may resist change or lack training in person</w:t>
      </w:r>
      <w:r w:rsidRPr="00780DC2">
        <w:rPr>
          <w:rFonts w:ascii="Cambria Math" w:hAnsi="Cambria Math" w:cs="Cambria Math"/>
          <w:sz w:val="22"/>
          <w:szCs w:val="22"/>
        </w:rPr>
        <w:t>‑</w:t>
      </w:r>
      <w:r w:rsidRPr="00780DC2">
        <w:rPr>
          <w:rFonts w:ascii="Arial" w:hAnsi="Arial" w:cs="Arial"/>
          <w:sz w:val="22"/>
          <w:szCs w:val="22"/>
        </w:rPr>
        <w:t>centred approaches (Brooker &amp; Latham, 2016). Finally, capacity issues may arise, requiring legal frameworks such as the Mental Capacity Act (2005) to guide decision</w:t>
      </w:r>
      <w:r w:rsidRPr="00780DC2">
        <w:rPr>
          <w:rFonts w:ascii="Cambria Math" w:hAnsi="Cambria Math" w:cs="Cambria Math"/>
          <w:sz w:val="22"/>
          <w:szCs w:val="22"/>
        </w:rPr>
        <w:t>‑</w:t>
      </w:r>
      <w:r w:rsidRPr="00780DC2">
        <w:rPr>
          <w:rFonts w:ascii="Arial" w:hAnsi="Arial" w:cs="Arial"/>
          <w:sz w:val="22"/>
          <w:szCs w:val="22"/>
        </w:rPr>
        <w:t>making. These limitations highlight the need for systemic improvements to support PCC in CMHTs</w:t>
      </w:r>
      <w:r>
        <w:rPr>
          <w:rFonts w:ascii="Arial" w:hAnsi="Arial" w:cs="Arial"/>
          <w:sz w:val="22"/>
          <w:szCs w:val="22"/>
        </w:rPr>
        <w:t>.</w:t>
      </w:r>
    </w:p>
    <w:p w14:paraId="06954B8B" w14:textId="77777777" w:rsidR="00F50995" w:rsidRPr="00F50995" w:rsidRDefault="00F50995" w:rsidP="00B03C98">
      <w:pPr>
        <w:pStyle w:val="Heading1"/>
      </w:pPr>
      <w:bookmarkStart w:id="4" w:name="_Toc224334638"/>
      <w:r w:rsidRPr="00F50995">
        <w:lastRenderedPageBreak/>
        <w:t>3. Theory Underpinning PCC: Carl Rogers’ Person</w:t>
      </w:r>
      <w:r w:rsidRPr="00F50995">
        <w:rPr>
          <w:rFonts w:ascii="Cambria Math" w:hAnsi="Cambria Math" w:cs="Cambria Math"/>
        </w:rPr>
        <w:t>‑</w:t>
      </w:r>
      <w:r w:rsidRPr="00F50995">
        <w:t>Centred Theory</w:t>
      </w:r>
      <w:bookmarkEnd w:id="4"/>
    </w:p>
    <w:p w14:paraId="3CBC2201" w14:textId="21FB8AD0" w:rsidR="00780DC2" w:rsidRPr="00780DC2" w:rsidRDefault="00F50995" w:rsidP="00780DC2">
      <w:pPr>
        <w:spacing w:line="360" w:lineRule="auto"/>
        <w:jc w:val="both"/>
        <w:rPr>
          <w:rFonts w:ascii="Arial" w:hAnsi="Arial" w:cs="Arial"/>
          <w:sz w:val="22"/>
          <w:szCs w:val="22"/>
        </w:rPr>
      </w:pPr>
      <w:r w:rsidRPr="00F50995">
        <w:rPr>
          <w:rFonts w:ascii="Arial" w:hAnsi="Arial" w:cs="Arial"/>
          <w:sz w:val="22"/>
          <w:szCs w:val="22"/>
        </w:rPr>
        <w:t xml:space="preserve">Carl Rogers’ </w:t>
      </w:r>
      <w:r w:rsidR="00780DC2" w:rsidRPr="00780DC2">
        <w:rPr>
          <w:rFonts w:ascii="Arial" w:hAnsi="Arial" w:cs="Arial"/>
          <w:sz w:val="22"/>
          <w:szCs w:val="22"/>
        </w:rPr>
        <w:t>Person</w:t>
      </w:r>
      <w:r w:rsidR="00780DC2" w:rsidRPr="00780DC2">
        <w:rPr>
          <w:rFonts w:ascii="Cambria Math" w:hAnsi="Cambria Math" w:cs="Cambria Math"/>
          <w:sz w:val="22"/>
          <w:szCs w:val="22"/>
        </w:rPr>
        <w:t>‑</w:t>
      </w:r>
      <w:r w:rsidR="00780DC2" w:rsidRPr="00780DC2">
        <w:rPr>
          <w:rFonts w:ascii="Arial" w:hAnsi="Arial" w:cs="Arial"/>
          <w:sz w:val="22"/>
          <w:szCs w:val="22"/>
        </w:rPr>
        <w:t>Centred Theory provides a strong theoretical foundation for PCC. Rogers (1951) argued that individuals have an innate tendency toward growth, self</w:t>
      </w:r>
      <w:r w:rsidR="00780DC2" w:rsidRPr="00780DC2">
        <w:rPr>
          <w:rFonts w:ascii="Cambria Math" w:hAnsi="Cambria Math" w:cs="Cambria Math"/>
          <w:sz w:val="22"/>
          <w:szCs w:val="22"/>
        </w:rPr>
        <w:t>‑</w:t>
      </w:r>
      <w:r w:rsidR="00780DC2" w:rsidRPr="00780DC2">
        <w:rPr>
          <w:rFonts w:ascii="Arial" w:hAnsi="Arial" w:cs="Arial"/>
          <w:sz w:val="22"/>
          <w:szCs w:val="22"/>
        </w:rPr>
        <w:t>actualisation, and psychological wellbeing. This natural tendency can be supported through three core therapeutic conditions: empathy, unconditional positive regard, and congruence. These conditions underpin therapeutic relationships in mental health care and align closely with PCC principles.</w:t>
      </w:r>
    </w:p>
    <w:p w14:paraId="187145E6" w14:textId="7B5A2AD8" w:rsidR="00780DC2" w:rsidRPr="00780DC2" w:rsidRDefault="00780DC2" w:rsidP="00780DC2">
      <w:pPr>
        <w:pStyle w:val="Heading2"/>
      </w:pPr>
      <w:bookmarkStart w:id="5" w:name="_Toc224334639"/>
      <w:r w:rsidRPr="00780DC2">
        <w:t>Application to CMHT Practice</w:t>
      </w:r>
      <w:bookmarkEnd w:id="5"/>
      <w:r w:rsidRPr="00780DC2">
        <w:t xml:space="preserve"> </w:t>
      </w:r>
    </w:p>
    <w:p w14:paraId="4AAEAB55" w14:textId="40258B34" w:rsidR="00780DC2" w:rsidRPr="00780DC2" w:rsidRDefault="00780DC2" w:rsidP="00780DC2">
      <w:pPr>
        <w:spacing w:line="360" w:lineRule="auto"/>
        <w:jc w:val="both"/>
        <w:rPr>
          <w:rFonts w:ascii="Arial" w:hAnsi="Arial" w:cs="Arial"/>
          <w:sz w:val="22"/>
          <w:szCs w:val="22"/>
        </w:rPr>
      </w:pPr>
      <w:r w:rsidRPr="00780DC2">
        <w:rPr>
          <w:rFonts w:ascii="Arial" w:hAnsi="Arial" w:cs="Arial"/>
          <w:sz w:val="22"/>
          <w:szCs w:val="22"/>
        </w:rPr>
        <w:t>Rogers’ theory is highly relevant to CMHT practice. Empathy enables practitioners to understand the individual’s lived experience, which is essential for developing personalised care plans. Unconditional positive regard promotes acceptance and reduces stigma, helping individuals feel valued and respected. Congruence, or authenticity, fosters trust and transparency in therapeutic relationships.</w:t>
      </w:r>
    </w:p>
    <w:p w14:paraId="6C65E227" w14:textId="60E80570" w:rsidR="00780DC2" w:rsidRPr="00780DC2" w:rsidRDefault="00780DC2" w:rsidP="00780DC2">
      <w:pPr>
        <w:spacing w:line="360" w:lineRule="auto"/>
        <w:jc w:val="both"/>
        <w:rPr>
          <w:rFonts w:ascii="Arial" w:hAnsi="Arial" w:cs="Arial"/>
          <w:sz w:val="22"/>
          <w:szCs w:val="22"/>
        </w:rPr>
      </w:pPr>
      <w:r w:rsidRPr="00780DC2">
        <w:rPr>
          <w:rFonts w:ascii="Arial" w:hAnsi="Arial" w:cs="Arial"/>
          <w:sz w:val="22"/>
          <w:szCs w:val="22"/>
        </w:rPr>
        <w:t>Rogers’ principles inform recovery</w:t>
      </w:r>
      <w:r w:rsidRPr="00780DC2">
        <w:rPr>
          <w:rFonts w:ascii="Cambria Math" w:hAnsi="Cambria Math" w:cs="Cambria Math"/>
          <w:sz w:val="22"/>
          <w:szCs w:val="22"/>
        </w:rPr>
        <w:t>‑</w:t>
      </w:r>
      <w:r w:rsidRPr="00780DC2">
        <w:rPr>
          <w:rFonts w:ascii="Arial" w:hAnsi="Arial" w:cs="Arial"/>
          <w:sz w:val="22"/>
          <w:szCs w:val="22"/>
        </w:rPr>
        <w:t>focused interventions, collaborative care planning, strength</w:t>
      </w:r>
      <w:r w:rsidRPr="00780DC2">
        <w:rPr>
          <w:rFonts w:ascii="Cambria Math" w:hAnsi="Cambria Math" w:cs="Cambria Math"/>
          <w:sz w:val="22"/>
          <w:szCs w:val="22"/>
        </w:rPr>
        <w:t>‑</w:t>
      </w:r>
      <w:r w:rsidRPr="00780DC2">
        <w:rPr>
          <w:rFonts w:ascii="Arial" w:hAnsi="Arial" w:cs="Arial"/>
          <w:sz w:val="22"/>
          <w:szCs w:val="22"/>
        </w:rPr>
        <w:t>based assessments, and trauma</w:t>
      </w:r>
      <w:r w:rsidRPr="00780DC2">
        <w:rPr>
          <w:rFonts w:ascii="Cambria Math" w:hAnsi="Cambria Math" w:cs="Cambria Math"/>
          <w:sz w:val="22"/>
          <w:szCs w:val="22"/>
        </w:rPr>
        <w:t>‑</w:t>
      </w:r>
      <w:r w:rsidRPr="00780DC2">
        <w:rPr>
          <w:rFonts w:ascii="Arial" w:hAnsi="Arial" w:cs="Arial"/>
          <w:sz w:val="22"/>
          <w:szCs w:val="22"/>
        </w:rPr>
        <w:t>informed approaches. For example, motivational interviewing, widely used in CMHTs to support behaviour change, is grounded in person</w:t>
      </w:r>
      <w:r w:rsidRPr="00780DC2">
        <w:rPr>
          <w:rFonts w:ascii="Cambria Math" w:hAnsi="Cambria Math" w:cs="Cambria Math"/>
          <w:sz w:val="22"/>
          <w:szCs w:val="22"/>
        </w:rPr>
        <w:t>‑</w:t>
      </w:r>
      <w:r w:rsidRPr="00780DC2">
        <w:rPr>
          <w:rFonts w:ascii="Arial" w:hAnsi="Arial" w:cs="Arial"/>
          <w:sz w:val="22"/>
          <w:szCs w:val="22"/>
        </w:rPr>
        <w:t>centred principles. Practitioners use these techniques to empower individuals, promote autonomy, and support long</w:t>
      </w:r>
      <w:r w:rsidRPr="00780DC2">
        <w:rPr>
          <w:rFonts w:ascii="Cambria Math" w:hAnsi="Cambria Math" w:cs="Cambria Math"/>
          <w:sz w:val="22"/>
          <w:szCs w:val="22"/>
        </w:rPr>
        <w:t>‑</w:t>
      </w:r>
      <w:r w:rsidRPr="00780DC2">
        <w:rPr>
          <w:rFonts w:ascii="Arial" w:hAnsi="Arial" w:cs="Arial"/>
          <w:sz w:val="22"/>
          <w:szCs w:val="22"/>
        </w:rPr>
        <w:t>term recovery.</w:t>
      </w:r>
    </w:p>
    <w:p w14:paraId="1BA1D381" w14:textId="13E11B70" w:rsidR="00780DC2" w:rsidRPr="00780DC2" w:rsidRDefault="00780DC2" w:rsidP="00780DC2">
      <w:pPr>
        <w:pStyle w:val="Heading2"/>
      </w:pPr>
      <w:bookmarkStart w:id="6" w:name="_Toc224334640"/>
      <w:r w:rsidRPr="00780DC2">
        <w:t>Critical Evaluation</w:t>
      </w:r>
      <w:bookmarkEnd w:id="6"/>
      <w:r w:rsidRPr="00780DC2">
        <w:t xml:space="preserve"> </w:t>
      </w:r>
    </w:p>
    <w:p w14:paraId="4E7D7161" w14:textId="5C7DCB2B" w:rsidR="00780DC2" w:rsidRPr="00780DC2" w:rsidRDefault="00780DC2" w:rsidP="00780DC2">
      <w:pPr>
        <w:spacing w:line="360" w:lineRule="auto"/>
        <w:jc w:val="both"/>
        <w:rPr>
          <w:rFonts w:ascii="Arial" w:hAnsi="Arial" w:cs="Arial"/>
          <w:sz w:val="22"/>
          <w:szCs w:val="22"/>
        </w:rPr>
      </w:pPr>
      <w:r w:rsidRPr="00780DC2">
        <w:rPr>
          <w:rFonts w:ascii="Arial" w:hAnsi="Arial" w:cs="Arial"/>
          <w:sz w:val="22"/>
          <w:szCs w:val="22"/>
        </w:rPr>
        <w:t xml:space="preserve">While influential, Rogers’ theory has limitations. Critics argue that it may oversimplify complex clinical presentations, particularly in cases of severe mental illness </w:t>
      </w:r>
      <w:proofErr w:type="gramStart"/>
      <w:r w:rsidRPr="00780DC2">
        <w:rPr>
          <w:rFonts w:ascii="Arial" w:hAnsi="Arial" w:cs="Arial"/>
          <w:sz w:val="22"/>
          <w:szCs w:val="22"/>
        </w:rPr>
        <w:t>where</w:t>
      </w:r>
      <w:proofErr w:type="gramEnd"/>
      <w:r w:rsidRPr="00780DC2">
        <w:rPr>
          <w:rFonts w:ascii="Arial" w:hAnsi="Arial" w:cs="Arial"/>
          <w:sz w:val="22"/>
          <w:szCs w:val="22"/>
        </w:rPr>
        <w:t xml:space="preserve"> structured interventions, medication, or crisis management may be required (Pilgrim, 2019). The theory assumes that individuals can articulate their needs and engage in reflective dialogue, which may not be possible during acute episodes of psychosis or severe mood disorders.</w:t>
      </w:r>
    </w:p>
    <w:p w14:paraId="44961305" w14:textId="3D7385CF" w:rsidR="00F50995" w:rsidRPr="00F50995" w:rsidRDefault="00780DC2" w:rsidP="00780DC2">
      <w:pPr>
        <w:spacing w:line="360" w:lineRule="auto"/>
        <w:jc w:val="both"/>
        <w:rPr>
          <w:rFonts w:ascii="Arial" w:hAnsi="Arial" w:cs="Arial"/>
          <w:sz w:val="22"/>
          <w:szCs w:val="22"/>
        </w:rPr>
      </w:pPr>
      <w:r w:rsidRPr="00780DC2">
        <w:rPr>
          <w:rFonts w:ascii="Arial" w:hAnsi="Arial" w:cs="Arial"/>
          <w:sz w:val="22"/>
          <w:szCs w:val="22"/>
        </w:rPr>
        <w:t>Additionally, Rogers’ non</w:t>
      </w:r>
      <w:r w:rsidRPr="00780DC2">
        <w:rPr>
          <w:rFonts w:ascii="Cambria Math" w:hAnsi="Cambria Math" w:cs="Cambria Math"/>
          <w:sz w:val="22"/>
          <w:szCs w:val="22"/>
        </w:rPr>
        <w:t>‑</w:t>
      </w:r>
      <w:r w:rsidRPr="00780DC2">
        <w:rPr>
          <w:rFonts w:ascii="Arial" w:hAnsi="Arial" w:cs="Arial"/>
          <w:sz w:val="22"/>
          <w:szCs w:val="22"/>
        </w:rPr>
        <w:t>directive approach may not provide sufficient guidance for individuals who require more structured support. Despite these limitations, Rogers’ model remains central to PCC and continues to shape contemporary mental health practice, particularly in CMHTs where therapeutic relationships are foundational.</w:t>
      </w:r>
    </w:p>
    <w:p w14:paraId="4C647903" w14:textId="77777777" w:rsidR="00F50995" w:rsidRPr="00F50995" w:rsidRDefault="00F50995" w:rsidP="00780DC2">
      <w:pPr>
        <w:pStyle w:val="Heading1"/>
        <w:jc w:val="both"/>
      </w:pPr>
      <w:bookmarkStart w:id="7" w:name="_Toc224334641"/>
      <w:r w:rsidRPr="00F50995">
        <w:lastRenderedPageBreak/>
        <w:t>4. Ethical Fundamentals in Health and Social Care</w:t>
      </w:r>
      <w:bookmarkEnd w:id="7"/>
    </w:p>
    <w:p w14:paraId="6DA02168" w14:textId="669421DF" w:rsidR="00780DC2" w:rsidRPr="00780DC2" w:rsidRDefault="00F50995" w:rsidP="00780DC2">
      <w:pPr>
        <w:spacing w:line="360" w:lineRule="auto"/>
        <w:jc w:val="both"/>
        <w:rPr>
          <w:rFonts w:ascii="Arial" w:hAnsi="Arial" w:cs="Arial"/>
          <w:sz w:val="22"/>
          <w:szCs w:val="22"/>
        </w:rPr>
      </w:pPr>
      <w:r w:rsidRPr="00F50995">
        <w:rPr>
          <w:rFonts w:ascii="Arial" w:hAnsi="Arial" w:cs="Arial"/>
          <w:sz w:val="22"/>
          <w:szCs w:val="22"/>
        </w:rPr>
        <w:t>Ethical</w:t>
      </w:r>
      <w:r w:rsidR="00780DC2">
        <w:rPr>
          <w:rFonts w:ascii="Arial" w:hAnsi="Arial" w:cs="Arial"/>
          <w:sz w:val="22"/>
          <w:szCs w:val="22"/>
        </w:rPr>
        <w:t xml:space="preserve"> </w:t>
      </w:r>
      <w:r w:rsidR="00780DC2" w:rsidRPr="00780DC2">
        <w:rPr>
          <w:rFonts w:ascii="Arial" w:hAnsi="Arial" w:cs="Arial"/>
          <w:sz w:val="22"/>
          <w:szCs w:val="22"/>
        </w:rPr>
        <w:t>practice is essential to PCC and PW. Four key ethical principles underpin health and social care: autonomy, beneficence, non</w:t>
      </w:r>
      <w:r w:rsidR="00780DC2" w:rsidRPr="00780DC2">
        <w:rPr>
          <w:rFonts w:ascii="Cambria Math" w:hAnsi="Cambria Math" w:cs="Cambria Math"/>
          <w:sz w:val="22"/>
          <w:szCs w:val="22"/>
        </w:rPr>
        <w:t>‑</w:t>
      </w:r>
      <w:r w:rsidR="00780DC2" w:rsidRPr="00780DC2">
        <w:rPr>
          <w:rFonts w:ascii="Arial" w:hAnsi="Arial" w:cs="Arial"/>
          <w:sz w:val="22"/>
          <w:szCs w:val="22"/>
        </w:rPr>
        <w:t>maleficence, and justice (Beauchamp &amp; Childress, 2019). These principles guide decision</w:t>
      </w:r>
      <w:r w:rsidR="00780DC2" w:rsidRPr="00780DC2">
        <w:rPr>
          <w:rFonts w:ascii="Cambria Math" w:hAnsi="Cambria Math" w:cs="Cambria Math"/>
          <w:sz w:val="22"/>
          <w:szCs w:val="22"/>
        </w:rPr>
        <w:t>‑</w:t>
      </w:r>
      <w:r w:rsidR="00780DC2" w:rsidRPr="00780DC2">
        <w:rPr>
          <w:rFonts w:ascii="Arial" w:hAnsi="Arial" w:cs="Arial"/>
          <w:sz w:val="22"/>
          <w:szCs w:val="22"/>
        </w:rPr>
        <w:t>making, safeguard service</w:t>
      </w:r>
      <w:r w:rsidR="00780DC2" w:rsidRPr="00780DC2">
        <w:rPr>
          <w:rFonts w:ascii="Cambria Math" w:hAnsi="Cambria Math" w:cs="Cambria Math"/>
          <w:sz w:val="22"/>
          <w:szCs w:val="22"/>
        </w:rPr>
        <w:t>‑</w:t>
      </w:r>
      <w:r w:rsidR="00780DC2" w:rsidRPr="00780DC2">
        <w:rPr>
          <w:rFonts w:ascii="Arial" w:hAnsi="Arial" w:cs="Arial"/>
          <w:sz w:val="22"/>
          <w:szCs w:val="22"/>
        </w:rPr>
        <w:t>user rights, and ensure that care is delivered ethically and responsibly.</w:t>
      </w:r>
    </w:p>
    <w:p w14:paraId="332E7C35" w14:textId="67820B8C" w:rsidR="00780DC2" w:rsidRPr="00780DC2" w:rsidRDefault="00780DC2" w:rsidP="00780DC2">
      <w:pPr>
        <w:spacing w:line="360" w:lineRule="auto"/>
        <w:jc w:val="both"/>
        <w:rPr>
          <w:rFonts w:ascii="Arial" w:hAnsi="Arial" w:cs="Arial"/>
          <w:b/>
          <w:bCs/>
          <w:sz w:val="22"/>
          <w:szCs w:val="22"/>
        </w:rPr>
      </w:pPr>
      <w:r w:rsidRPr="00780DC2">
        <w:rPr>
          <w:rFonts w:ascii="Arial" w:hAnsi="Arial" w:cs="Arial"/>
          <w:b/>
          <w:bCs/>
          <w:sz w:val="22"/>
          <w:szCs w:val="22"/>
        </w:rPr>
        <w:t xml:space="preserve">Autonomy </w:t>
      </w:r>
    </w:p>
    <w:p w14:paraId="0A5321D9" w14:textId="2B6547D9" w:rsidR="00780DC2" w:rsidRPr="00780DC2" w:rsidRDefault="00780DC2" w:rsidP="00780DC2">
      <w:pPr>
        <w:spacing w:line="360" w:lineRule="auto"/>
        <w:jc w:val="both"/>
        <w:rPr>
          <w:rFonts w:ascii="Arial" w:hAnsi="Arial" w:cs="Arial"/>
          <w:sz w:val="22"/>
          <w:szCs w:val="22"/>
        </w:rPr>
      </w:pPr>
      <w:r w:rsidRPr="00780DC2">
        <w:rPr>
          <w:rFonts w:ascii="Arial" w:hAnsi="Arial" w:cs="Arial"/>
          <w:sz w:val="22"/>
          <w:szCs w:val="22"/>
        </w:rPr>
        <w:t>Autonomy refers to respecting an individual’s right to make informed decisions about their care. In CMHTs, autonomy is promoted through shared decision</w:t>
      </w:r>
      <w:r w:rsidRPr="00780DC2">
        <w:rPr>
          <w:rFonts w:ascii="Cambria Math" w:hAnsi="Cambria Math" w:cs="Cambria Math"/>
          <w:sz w:val="22"/>
          <w:szCs w:val="22"/>
        </w:rPr>
        <w:t>‑</w:t>
      </w:r>
      <w:r w:rsidRPr="00780DC2">
        <w:rPr>
          <w:rFonts w:ascii="Arial" w:hAnsi="Arial" w:cs="Arial"/>
          <w:sz w:val="22"/>
          <w:szCs w:val="22"/>
        </w:rPr>
        <w:t>making, personalised care planning, and collaborative risk assessments. However, autonomy may be limited during crises or when capacity is impaired. Practitioners must balance respect for autonomy with the need to protect individuals from harm, particularly when there is a risk of self</w:t>
      </w:r>
      <w:r w:rsidRPr="00780DC2">
        <w:rPr>
          <w:rFonts w:ascii="Cambria Math" w:hAnsi="Cambria Math" w:cs="Cambria Math"/>
          <w:sz w:val="22"/>
          <w:szCs w:val="22"/>
        </w:rPr>
        <w:t>‑</w:t>
      </w:r>
      <w:r w:rsidRPr="00780DC2">
        <w:rPr>
          <w:rFonts w:ascii="Arial" w:hAnsi="Arial" w:cs="Arial"/>
          <w:sz w:val="22"/>
          <w:szCs w:val="22"/>
        </w:rPr>
        <w:t>harm or deterioration.</w:t>
      </w:r>
    </w:p>
    <w:p w14:paraId="324626C6" w14:textId="499EE126" w:rsidR="00780DC2" w:rsidRPr="00780DC2" w:rsidRDefault="00780DC2" w:rsidP="00780DC2">
      <w:pPr>
        <w:spacing w:line="360" w:lineRule="auto"/>
        <w:jc w:val="both"/>
        <w:rPr>
          <w:rFonts w:ascii="Arial" w:hAnsi="Arial" w:cs="Arial"/>
          <w:b/>
          <w:bCs/>
          <w:sz w:val="22"/>
          <w:szCs w:val="22"/>
        </w:rPr>
      </w:pPr>
      <w:r w:rsidRPr="00780DC2">
        <w:rPr>
          <w:rFonts w:ascii="Arial" w:hAnsi="Arial" w:cs="Arial"/>
          <w:b/>
          <w:bCs/>
          <w:sz w:val="22"/>
          <w:szCs w:val="22"/>
        </w:rPr>
        <w:t xml:space="preserve">Beneficence </w:t>
      </w:r>
    </w:p>
    <w:p w14:paraId="63E47C1C" w14:textId="6F304F76" w:rsidR="00780DC2" w:rsidRPr="00780DC2" w:rsidRDefault="00780DC2" w:rsidP="00780DC2">
      <w:pPr>
        <w:spacing w:line="360" w:lineRule="auto"/>
        <w:jc w:val="both"/>
        <w:rPr>
          <w:rFonts w:ascii="Arial" w:hAnsi="Arial" w:cs="Arial"/>
          <w:sz w:val="22"/>
          <w:szCs w:val="22"/>
        </w:rPr>
      </w:pPr>
      <w:r w:rsidRPr="00780DC2">
        <w:rPr>
          <w:rFonts w:ascii="Arial" w:hAnsi="Arial" w:cs="Arial"/>
          <w:sz w:val="22"/>
          <w:szCs w:val="22"/>
        </w:rPr>
        <w:t>Beneficence involves acting in the person’s best interests. CMHT practitioners aim to promote recovery, wellbeing, and social inclusion by providing holistic support that addresses mental, physical, and social needs. Beneficence underpins interventions such as medication management, psychological therapies, and social support.</w:t>
      </w:r>
    </w:p>
    <w:p w14:paraId="4F7A36CE" w14:textId="24436C4F" w:rsidR="00780DC2" w:rsidRPr="00780DC2" w:rsidRDefault="00780DC2" w:rsidP="00780DC2">
      <w:pPr>
        <w:spacing w:line="360" w:lineRule="auto"/>
        <w:jc w:val="both"/>
        <w:rPr>
          <w:rFonts w:ascii="Arial" w:hAnsi="Arial" w:cs="Arial"/>
          <w:b/>
          <w:bCs/>
          <w:sz w:val="22"/>
          <w:szCs w:val="22"/>
        </w:rPr>
      </w:pPr>
      <w:r w:rsidRPr="00780DC2">
        <w:rPr>
          <w:rFonts w:ascii="Arial" w:hAnsi="Arial" w:cs="Arial"/>
          <w:b/>
          <w:bCs/>
          <w:sz w:val="22"/>
          <w:szCs w:val="22"/>
        </w:rPr>
        <w:t>Non</w:t>
      </w:r>
      <w:r w:rsidRPr="00780DC2">
        <w:rPr>
          <w:rFonts w:ascii="Cambria Math" w:hAnsi="Cambria Math" w:cs="Cambria Math"/>
          <w:b/>
          <w:bCs/>
          <w:sz w:val="22"/>
          <w:szCs w:val="22"/>
        </w:rPr>
        <w:t>‑</w:t>
      </w:r>
      <w:r w:rsidRPr="00780DC2">
        <w:rPr>
          <w:rFonts w:ascii="Arial" w:hAnsi="Arial" w:cs="Arial"/>
          <w:b/>
          <w:bCs/>
          <w:sz w:val="22"/>
          <w:szCs w:val="22"/>
        </w:rPr>
        <w:t xml:space="preserve">Maleficence </w:t>
      </w:r>
    </w:p>
    <w:p w14:paraId="64B49F4A" w14:textId="29184CB4" w:rsidR="00780DC2" w:rsidRPr="00780DC2" w:rsidRDefault="00780DC2" w:rsidP="00780DC2">
      <w:pPr>
        <w:spacing w:line="360" w:lineRule="auto"/>
        <w:jc w:val="both"/>
        <w:rPr>
          <w:rFonts w:ascii="Arial" w:hAnsi="Arial" w:cs="Arial"/>
          <w:sz w:val="22"/>
          <w:szCs w:val="22"/>
        </w:rPr>
      </w:pPr>
      <w:r w:rsidRPr="00780DC2">
        <w:rPr>
          <w:rFonts w:ascii="Arial" w:hAnsi="Arial" w:cs="Arial"/>
          <w:sz w:val="22"/>
          <w:szCs w:val="22"/>
        </w:rPr>
        <w:t>Non</w:t>
      </w:r>
      <w:r w:rsidRPr="00780DC2">
        <w:rPr>
          <w:rFonts w:ascii="Cambria Math" w:hAnsi="Cambria Math" w:cs="Cambria Math"/>
          <w:sz w:val="22"/>
          <w:szCs w:val="22"/>
        </w:rPr>
        <w:t>‑</w:t>
      </w:r>
      <w:r w:rsidRPr="00780DC2">
        <w:rPr>
          <w:rFonts w:ascii="Arial" w:hAnsi="Arial" w:cs="Arial"/>
          <w:sz w:val="22"/>
          <w:szCs w:val="22"/>
        </w:rPr>
        <w:t xml:space="preserve">maleficence requires practitioners to avoid causing harm. This </w:t>
      </w:r>
      <w:proofErr w:type="gramStart"/>
      <w:r w:rsidRPr="00780DC2">
        <w:rPr>
          <w:rFonts w:ascii="Arial" w:hAnsi="Arial" w:cs="Arial"/>
          <w:sz w:val="22"/>
          <w:szCs w:val="22"/>
        </w:rPr>
        <w:t>principle</w:t>
      </w:r>
      <w:proofErr w:type="gramEnd"/>
      <w:r w:rsidRPr="00780DC2">
        <w:rPr>
          <w:rFonts w:ascii="Arial" w:hAnsi="Arial" w:cs="Arial"/>
          <w:sz w:val="22"/>
          <w:szCs w:val="22"/>
        </w:rPr>
        <w:t xml:space="preserve"> guides risk assessments, safeguarding procedures, and crisis intervention. Balancing autonomy with safety is a common ethical dilemma in CMHTs, particularly when individuals refuse treatment or disengage from services.</w:t>
      </w:r>
    </w:p>
    <w:p w14:paraId="004FCF00" w14:textId="248134C8" w:rsidR="00780DC2" w:rsidRPr="00780DC2" w:rsidRDefault="00780DC2" w:rsidP="00780DC2">
      <w:pPr>
        <w:spacing w:line="360" w:lineRule="auto"/>
        <w:jc w:val="both"/>
        <w:rPr>
          <w:rFonts w:ascii="Arial" w:hAnsi="Arial" w:cs="Arial"/>
          <w:b/>
          <w:bCs/>
          <w:sz w:val="22"/>
          <w:szCs w:val="22"/>
        </w:rPr>
      </w:pPr>
      <w:r w:rsidRPr="00780DC2">
        <w:rPr>
          <w:rFonts w:ascii="Arial" w:hAnsi="Arial" w:cs="Arial"/>
          <w:b/>
          <w:bCs/>
          <w:sz w:val="22"/>
          <w:szCs w:val="22"/>
        </w:rPr>
        <w:t xml:space="preserve">Justice </w:t>
      </w:r>
    </w:p>
    <w:p w14:paraId="6C3DCE54" w14:textId="0BD297DA" w:rsidR="00780DC2" w:rsidRPr="00780DC2" w:rsidRDefault="00780DC2" w:rsidP="00780DC2">
      <w:pPr>
        <w:spacing w:line="360" w:lineRule="auto"/>
        <w:jc w:val="both"/>
        <w:rPr>
          <w:rFonts w:ascii="Arial" w:hAnsi="Arial" w:cs="Arial"/>
          <w:sz w:val="22"/>
          <w:szCs w:val="22"/>
        </w:rPr>
      </w:pPr>
      <w:r w:rsidRPr="00780DC2">
        <w:rPr>
          <w:rFonts w:ascii="Arial" w:hAnsi="Arial" w:cs="Arial"/>
          <w:sz w:val="22"/>
          <w:szCs w:val="22"/>
        </w:rPr>
        <w:t>Justice relates to fairness, equality, and access to services. The Equality Act (2010) protects individuals from discrimination, while CMHTs aim to provide equitable access to mental health support. Justice also involves ensuring that resources are allocated fairly, which can be challenging in the context of limited funding and high demand.</w:t>
      </w:r>
    </w:p>
    <w:p w14:paraId="1A215E64" w14:textId="5A87BD97" w:rsidR="00780DC2" w:rsidRPr="00780DC2" w:rsidRDefault="00780DC2" w:rsidP="00780DC2">
      <w:pPr>
        <w:spacing w:line="360" w:lineRule="auto"/>
        <w:jc w:val="both"/>
        <w:rPr>
          <w:rFonts w:ascii="Arial" w:hAnsi="Arial" w:cs="Arial"/>
          <w:b/>
          <w:bCs/>
          <w:sz w:val="22"/>
          <w:szCs w:val="22"/>
        </w:rPr>
      </w:pPr>
      <w:r w:rsidRPr="00780DC2">
        <w:rPr>
          <w:rFonts w:ascii="Arial" w:hAnsi="Arial" w:cs="Arial"/>
          <w:b/>
          <w:bCs/>
          <w:sz w:val="22"/>
          <w:szCs w:val="22"/>
        </w:rPr>
        <w:t xml:space="preserve">Ethical Dilemmas in CMHTs </w:t>
      </w:r>
    </w:p>
    <w:p w14:paraId="4132CBA7" w14:textId="0D2EE159" w:rsidR="00F50995" w:rsidRPr="00F50995" w:rsidRDefault="00780DC2" w:rsidP="00780DC2">
      <w:pPr>
        <w:spacing w:line="360" w:lineRule="auto"/>
        <w:jc w:val="both"/>
        <w:rPr>
          <w:rFonts w:ascii="Arial" w:hAnsi="Arial" w:cs="Arial"/>
          <w:sz w:val="22"/>
          <w:szCs w:val="22"/>
        </w:rPr>
      </w:pPr>
      <w:r w:rsidRPr="00780DC2">
        <w:rPr>
          <w:rFonts w:ascii="Arial" w:hAnsi="Arial" w:cs="Arial"/>
          <w:sz w:val="22"/>
          <w:szCs w:val="22"/>
        </w:rPr>
        <w:t>Common dilemmas include respecting autonomy vs. preventing harm, confidentiality vs. safeguarding, and least restrictive practice vs. risk management. The Mental Capacity Act (2005) provides a legal framework for resolving such dilemmas, ensuring that decisions are made in the individual’s best interests.</w:t>
      </w:r>
    </w:p>
    <w:p w14:paraId="4DF358D8" w14:textId="77777777" w:rsidR="00F50995" w:rsidRPr="00F50995" w:rsidRDefault="00F50995" w:rsidP="00780DC2">
      <w:pPr>
        <w:pStyle w:val="Heading1"/>
        <w:jc w:val="both"/>
      </w:pPr>
      <w:bookmarkStart w:id="8" w:name="_Toc224334642"/>
      <w:r w:rsidRPr="00F50995">
        <w:lastRenderedPageBreak/>
        <w:t>5. Evaluation of Partnership Working</w:t>
      </w:r>
      <w:bookmarkEnd w:id="8"/>
    </w:p>
    <w:p w14:paraId="6568AED6" w14:textId="5D7CB783" w:rsidR="00B03C98" w:rsidRPr="00B03C98" w:rsidRDefault="00F50995" w:rsidP="00B03C98">
      <w:pPr>
        <w:spacing w:line="360" w:lineRule="auto"/>
        <w:jc w:val="both"/>
        <w:rPr>
          <w:rFonts w:ascii="Arial" w:hAnsi="Arial" w:cs="Arial"/>
          <w:sz w:val="22"/>
          <w:szCs w:val="22"/>
        </w:rPr>
      </w:pPr>
      <w:r w:rsidRPr="00F50995">
        <w:rPr>
          <w:rFonts w:ascii="Arial" w:hAnsi="Arial" w:cs="Arial"/>
          <w:sz w:val="22"/>
          <w:szCs w:val="22"/>
        </w:rPr>
        <w:t>Partnership</w:t>
      </w:r>
      <w:r w:rsidR="00B03C98">
        <w:rPr>
          <w:rFonts w:ascii="Arial" w:hAnsi="Arial" w:cs="Arial"/>
          <w:sz w:val="22"/>
          <w:szCs w:val="22"/>
        </w:rPr>
        <w:t xml:space="preserve"> </w:t>
      </w:r>
      <w:r w:rsidR="00B03C98" w:rsidRPr="00B03C98">
        <w:rPr>
          <w:rFonts w:ascii="Arial" w:hAnsi="Arial" w:cs="Arial"/>
          <w:sz w:val="22"/>
          <w:szCs w:val="22"/>
        </w:rPr>
        <w:t>working involves collaboration between professionals, organisations, service users, and carers to deliver coordinated care (Glasby &amp; Dickinson, 2014). PW is essential in CMHTs due to the complex needs of service users, who often require support from multiple agencies.</w:t>
      </w:r>
    </w:p>
    <w:p w14:paraId="7C08397B" w14:textId="1A5219C9" w:rsidR="00B03C98" w:rsidRPr="00B03C98" w:rsidRDefault="00B03C98" w:rsidP="00B03C98">
      <w:pPr>
        <w:spacing w:line="360" w:lineRule="auto"/>
        <w:jc w:val="both"/>
        <w:rPr>
          <w:rFonts w:ascii="Arial" w:hAnsi="Arial" w:cs="Arial"/>
          <w:b/>
          <w:bCs/>
          <w:sz w:val="22"/>
          <w:szCs w:val="22"/>
        </w:rPr>
      </w:pPr>
      <w:r w:rsidRPr="00B03C98">
        <w:rPr>
          <w:rFonts w:ascii="Arial" w:hAnsi="Arial" w:cs="Arial"/>
          <w:b/>
          <w:bCs/>
          <w:sz w:val="22"/>
          <w:szCs w:val="22"/>
        </w:rPr>
        <w:t xml:space="preserve">Benefits of PW in CMHTs </w:t>
      </w:r>
    </w:p>
    <w:p w14:paraId="19EADF10" w14:textId="58AA5A2B" w:rsidR="00B03C98" w:rsidRPr="00B03C98" w:rsidRDefault="00B03C98" w:rsidP="00B03C98">
      <w:pPr>
        <w:spacing w:line="360" w:lineRule="auto"/>
        <w:jc w:val="both"/>
        <w:rPr>
          <w:rFonts w:ascii="Arial" w:hAnsi="Arial" w:cs="Arial"/>
          <w:sz w:val="22"/>
          <w:szCs w:val="22"/>
        </w:rPr>
      </w:pPr>
      <w:r w:rsidRPr="00B03C98">
        <w:rPr>
          <w:rFonts w:ascii="Arial" w:hAnsi="Arial" w:cs="Arial"/>
          <w:sz w:val="22"/>
          <w:szCs w:val="22"/>
        </w:rPr>
        <w:t>PW improves communication, reduces duplication, and ensures that care is holistic and coordinated. It enables practitioners to share expertise, leading to more comprehensive assessments and interventions. PW also enhances crisis management by ensuring timely responses from crisis teams, police, and emergency services. Additionally, PW supports continuity of care, which is crucial for individuals with long</w:t>
      </w:r>
      <w:r w:rsidRPr="00B03C98">
        <w:rPr>
          <w:rFonts w:ascii="Cambria Math" w:hAnsi="Cambria Math" w:cs="Cambria Math"/>
          <w:sz w:val="22"/>
          <w:szCs w:val="22"/>
        </w:rPr>
        <w:t>‑</w:t>
      </w:r>
      <w:r w:rsidRPr="00B03C98">
        <w:rPr>
          <w:rFonts w:ascii="Arial" w:hAnsi="Arial" w:cs="Arial"/>
          <w:sz w:val="22"/>
          <w:szCs w:val="22"/>
        </w:rPr>
        <w:t>term mental health conditions.</w:t>
      </w:r>
    </w:p>
    <w:p w14:paraId="627C1C10" w14:textId="5A21AB02" w:rsidR="00B03C98" w:rsidRPr="00B03C98" w:rsidRDefault="00B03C98" w:rsidP="00B03C98">
      <w:pPr>
        <w:spacing w:line="360" w:lineRule="auto"/>
        <w:jc w:val="both"/>
        <w:rPr>
          <w:rFonts w:ascii="Arial" w:hAnsi="Arial" w:cs="Arial"/>
          <w:b/>
          <w:bCs/>
          <w:sz w:val="22"/>
          <w:szCs w:val="22"/>
        </w:rPr>
      </w:pPr>
      <w:r w:rsidRPr="00B03C98">
        <w:rPr>
          <w:rFonts w:ascii="Arial" w:hAnsi="Arial" w:cs="Arial"/>
          <w:b/>
          <w:bCs/>
          <w:sz w:val="22"/>
          <w:szCs w:val="22"/>
        </w:rPr>
        <w:t xml:space="preserve">Challenges of PW </w:t>
      </w:r>
    </w:p>
    <w:p w14:paraId="4E4D74F1" w14:textId="77777777" w:rsidR="00B03C98" w:rsidRPr="00B03C98" w:rsidRDefault="00B03C98" w:rsidP="00B03C98">
      <w:pPr>
        <w:spacing w:line="360" w:lineRule="auto"/>
        <w:jc w:val="both"/>
        <w:rPr>
          <w:rFonts w:ascii="Arial" w:hAnsi="Arial" w:cs="Arial"/>
          <w:sz w:val="22"/>
          <w:szCs w:val="22"/>
        </w:rPr>
      </w:pPr>
      <w:r w:rsidRPr="00B03C98">
        <w:rPr>
          <w:rFonts w:ascii="Arial" w:hAnsi="Arial" w:cs="Arial"/>
          <w:sz w:val="22"/>
          <w:szCs w:val="22"/>
        </w:rPr>
        <w:t>Despite its benefits, PW faces challenges such as conflicting organisational priorities, communication barriers, and information</w:t>
      </w:r>
      <w:r w:rsidRPr="00B03C98">
        <w:rPr>
          <w:rFonts w:ascii="Cambria Math" w:hAnsi="Cambria Math" w:cs="Cambria Math"/>
          <w:sz w:val="22"/>
          <w:szCs w:val="22"/>
        </w:rPr>
        <w:t>‑</w:t>
      </w:r>
      <w:r w:rsidRPr="00B03C98">
        <w:rPr>
          <w:rFonts w:ascii="Arial" w:hAnsi="Arial" w:cs="Arial"/>
          <w:sz w:val="22"/>
          <w:szCs w:val="22"/>
        </w:rPr>
        <w:t>sharing difficulties. High caseloads and limited resources can hinder collaboration, while differences in professional cultures may lead to misunderstandings or disagreements (Cameron et al., 2014). These challenges highlight the need for strong leadership and clear communication strategies.</w:t>
      </w:r>
    </w:p>
    <w:p w14:paraId="77CCA86F" w14:textId="5A21B4CB" w:rsidR="00B03C98" w:rsidRPr="00B03C98" w:rsidRDefault="00B03C98" w:rsidP="00B03C98">
      <w:pPr>
        <w:spacing w:line="360" w:lineRule="auto"/>
        <w:jc w:val="both"/>
        <w:rPr>
          <w:rFonts w:ascii="Arial" w:hAnsi="Arial" w:cs="Arial"/>
          <w:b/>
          <w:bCs/>
          <w:sz w:val="22"/>
          <w:szCs w:val="22"/>
        </w:rPr>
      </w:pPr>
      <w:r w:rsidRPr="00B03C98">
        <w:rPr>
          <w:rFonts w:ascii="Arial" w:hAnsi="Arial" w:cs="Arial"/>
          <w:b/>
          <w:bCs/>
          <w:sz w:val="22"/>
          <w:szCs w:val="22"/>
        </w:rPr>
        <w:t xml:space="preserve">Impact of Integrated Care Systems (ICSs) </w:t>
      </w:r>
    </w:p>
    <w:p w14:paraId="7D7F6190" w14:textId="0166A702" w:rsidR="00F50995" w:rsidRPr="00F50995" w:rsidRDefault="00B03C98" w:rsidP="00B03C98">
      <w:pPr>
        <w:spacing w:line="360" w:lineRule="auto"/>
        <w:jc w:val="both"/>
        <w:rPr>
          <w:rFonts w:ascii="Arial" w:hAnsi="Arial" w:cs="Arial"/>
          <w:sz w:val="22"/>
          <w:szCs w:val="22"/>
        </w:rPr>
      </w:pPr>
      <w:r w:rsidRPr="00B03C98">
        <w:rPr>
          <w:rFonts w:ascii="Arial" w:hAnsi="Arial" w:cs="Arial"/>
          <w:sz w:val="22"/>
          <w:szCs w:val="22"/>
        </w:rPr>
        <w:t>The Health and Care Act (2022) introduced ICSs to strengthen collaboration across sectors. ICSs support joint commissioning, shared accountability, and population</w:t>
      </w:r>
      <w:r w:rsidRPr="00B03C98">
        <w:rPr>
          <w:rFonts w:ascii="Cambria Math" w:hAnsi="Cambria Math" w:cs="Cambria Math"/>
          <w:sz w:val="22"/>
          <w:szCs w:val="22"/>
        </w:rPr>
        <w:t>‑</w:t>
      </w:r>
      <w:r w:rsidRPr="00B03C98">
        <w:rPr>
          <w:rFonts w:ascii="Arial" w:hAnsi="Arial" w:cs="Arial"/>
          <w:sz w:val="22"/>
          <w:szCs w:val="22"/>
        </w:rPr>
        <w:t>based planning. In CMHTs, ICSs aim to improve integration between mental health services, primary care, social care, and voluntary organisations.</w:t>
      </w:r>
    </w:p>
    <w:p w14:paraId="1ACECEE5" w14:textId="77777777" w:rsidR="00F50995" w:rsidRPr="00B03C98" w:rsidRDefault="00F50995" w:rsidP="00B03C98">
      <w:pPr>
        <w:pStyle w:val="Heading1"/>
      </w:pPr>
      <w:bookmarkStart w:id="9" w:name="_Toc224334643"/>
      <w:r w:rsidRPr="00B03C98">
        <w:t>6. Application of Partnership Working in Adult Community Mental Health Teams</w:t>
      </w:r>
      <w:bookmarkEnd w:id="9"/>
    </w:p>
    <w:p w14:paraId="37467235" w14:textId="7C2CBD6E" w:rsidR="00B03C98" w:rsidRPr="00B03C98" w:rsidRDefault="00F50995" w:rsidP="00B03C98">
      <w:pPr>
        <w:spacing w:line="360" w:lineRule="auto"/>
        <w:jc w:val="both"/>
        <w:rPr>
          <w:rFonts w:ascii="Arial" w:hAnsi="Arial" w:cs="Arial"/>
          <w:sz w:val="22"/>
          <w:szCs w:val="22"/>
        </w:rPr>
      </w:pPr>
      <w:r w:rsidRPr="00F50995">
        <w:rPr>
          <w:rFonts w:ascii="Arial" w:hAnsi="Arial" w:cs="Arial"/>
          <w:sz w:val="22"/>
          <w:szCs w:val="22"/>
        </w:rPr>
        <w:t>CMHTs</w:t>
      </w:r>
      <w:r w:rsidR="00B03C98">
        <w:rPr>
          <w:rFonts w:ascii="Arial" w:hAnsi="Arial" w:cs="Arial"/>
          <w:sz w:val="22"/>
          <w:szCs w:val="22"/>
        </w:rPr>
        <w:t xml:space="preserve"> </w:t>
      </w:r>
      <w:r w:rsidR="00B03C98" w:rsidRPr="00B03C98">
        <w:rPr>
          <w:rFonts w:ascii="Arial" w:hAnsi="Arial" w:cs="Arial"/>
          <w:sz w:val="22"/>
          <w:szCs w:val="22"/>
        </w:rPr>
        <w:t>provide multidisciplinary support to adults with severe and enduring mental health conditions. PW is central to their operation, enabling practitioners to deliver holistic, coordinated, and recovery</w:t>
      </w:r>
      <w:r w:rsidR="00B03C98" w:rsidRPr="00B03C98">
        <w:rPr>
          <w:rFonts w:ascii="Cambria Math" w:hAnsi="Cambria Math" w:cs="Cambria Math"/>
          <w:sz w:val="22"/>
          <w:szCs w:val="22"/>
        </w:rPr>
        <w:t>‑</w:t>
      </w:r>
      <w:r w:rsidR="00B03C98" w:rsidRPr="00B03C98">
        <w:rPr>
          <w:rFonts w:ascii="Arial" w:hAnsi="Arial" w:cs="Arial"/>
          <w:sz w:val="22"/>
          <w:szCs w:val="22"/>
        </w:rPr>
        <w:t>focused care.</w:t>
      </w:r>
    </w:p>
    <w:p w14:paraId="24982FB3" w14:textId="01710735" w:rsidR="00B03C98" w:rsidRPr="00B03C98" w:rsidRDefault="00B03C98" w:rsidP="00B03C98">
      <w:pPr>
        <w:spacing w:line="360" w:lineRule="auto"/>
        <w:jc w:val="both"/>
        <w:rPr>
          <w:rFonts w:ascii="Arial" w:hAnsi="Arial" w:cs="Arial"/>
          <w:b/>
          <w:bCs/>
          <w:sz w:val="22"/>
          <w:szCs w:val="22"/>
        </w:rPr>
      </w:pPr>
      <w:r w:rsidRPr="00B03C98">
        <w:rPr>
          <w:rFonts w:ascii="Arial" w:hAnsi="Arial" w:cs="Arial"/>
          <w:b/>
          <w:bCs/>
          <w:sz w:val="22"/>
          <w:szCs w:val="22"/>
        </w:rPr>
        <w:t xml:space="preserve">Examples of PW in CMHTs </w:t>
      </w:r>
    </w:p>
    <w:p w14:paraId="01A32C98" w14:textId="6DDE3A57" w:rsidR="00B03C98" w:rsidRPr="00B03C98" w:rsidRDefault="00B03C98" w:rsidP="00B03C98">
      <w:pPr>
        <w:spacing w:line="360" w:lineRule="auto"/>
        <w:jc w:val="both"/>
        <w:rPr>
          <w:rFonts w:ascii="Arial" w:hAnsi="Arial" w:cs="Arial"/>
          <w:sz w:val="22"/>
          <w:szCs w:val="22"/>
        </w:rPr>
      </w:pPr>
      <w:r w:rsidRPr="00B03C98">
        <w:rPr>
          <w:rFonts w:ascii="Arial" w:hAnsi="Arial" w:cs="Arial"/>
          <w:sz w:val="22"/>
          <w:szCs w:val="22"/>
        </w:rPr>
        <w:t>The Care Programme Approach (CPA) ensures coordinated care planning involving service users, carers, and professionals (Department of Health, 2008). Multi</w:t>
      </w:r>
      <w:r w:rsidRPr="00B03C98">
        <w:rPr>
          <w:rFonts w:ascii="Cambria Math" w:hAnsi="Cambria Math" w:cs="Cambria Math"/>
          <w:sz w:val="22"/>
          <w:szCs w:val="22"/>
        </w:rPr>
        <w:t>‑</w:t>
      </w:r>
      <w:r w:rsidRPr="00B03C98">
        <w:rPr>
          <w:rFonts w:ascii="Arial" w:hAnsi="Arial" w:cs="Arial"/>
          <w:sz w:val="22"/>
          <w:szCs w:val="22"/>
        </w:rPr>
        <w:t xml:space="preserve">Disciplinary Team (MDT) </w:t>
      </w:r>
      <w:r w:rsidRPr="00B03C98">
        <w:rPr>
          <w:rFonts w:ascii="Arial" w:hAnsi="Arial" w:cs="Arial"/>
          <w:sz w:val="22"/>
          <w:szCs w:val="22"/>
        </w:rPr>
        <w:lastRenderedPageBreak/>
        <w:t>meetings bring together psychiatrists, nurses, social workers, psychologists, and occupational therapists to discuss care plans and share expertise. Crisis intervention involves collaboration with crisis teams, police, and emergency services to ensure timely and safe responses. Housing and social support require joint working with housing associations and voluntary organisations, while physical health monitoring involves collaboration with GPs and primary care services.</w:t>
      </w:r>
    </w:p>
    <w:p w14:paraId="6BF2768B" w14:textId="59DF7D7E" w:rsidR="00B03C98" w:rsidRPr="00B03C98" w:rsidRDefault="00B03C98" w:rsidP="00B03C98">
      <w:pPr>
        <w:spacing w:line="360" w:lineRule="auto"/>
        <w:jc w:val="both"/>
        <w:rPr>
          <w:rFonts w:ascii="Arial" w:hAnsi="Arial" w:cs="Arial"/>
          <w:b/>
          <w:bCs/>
          <w:sz w:val="22"/>
          <w:szCs w:val="22"/>
        </w:rPr>
      </w:pPr>
      <w:r w:rsidRPr="00B03C98">
        <w:rPr>
          <w:rFonts w:ascii="Arial" w:hAnsi="Arial" w:cs="Arial"/>
          <w:b/>
          <w:bCs/>
          <w:sz w:val="22"/>
          <w:szCs w:val="22"/>
        </w:rPr>
        <w:t xml:space="preserve">Benefits in Practice </w:t>
      </w:r>
    </w:p>
    <w:p w14:paraId="45166064" w14:textId="40034E4C" w:rsidR="00B03C98" w:rsidRPr="00B03C98" w:rsidRDefault="00B03C98" w:rsidP="00B03C98">
      <w:pPr>
        <w:spacing w:line="360" w:lineRule="auto"/>
        <w:jc w:val="both"/>
        <w:rPr>
          <w:rFonts w:ascii="Arial" w:hAnsi="Arial" w:cs="Arial"/>
          <w:sz w:val="22"/>
          <w:szCs w:val="22"/>
        </w:rPr>
      </w:pPr>
      <w:r w:rsidRPr="00B03C98">
        <w:rPr>
          <w:rFonts w:ascii="Arial" w:hAnsi="Arial" w:cs="Arial"/>
          <w:sz w:val="22"/>
          <w:szCs w:val="22"/>
        </w:rPr>
        <w:t>PW improves continuity of care, crisis prevention, and recovery outcomes (Mind, 2021). It also enhances service</w:t>
      </w:r>
      <w:r w:rsidRPr="00B03C98">
        <w:rPr>
          <w:rFonts w:ascii="Cambria Math" w:hAnsi="Cambria Math" w:cs="Cambria Math"/>
          <w:sz w:val="22"/>
          <w:szCs w:val="22"/>
        </w:rPr>
        <w:t>‑</w:t>
      </w:r>
      <w:r w:rsidRPr="00B03C98">
        <w:rPr>
          <w:rFonts w:ascii="Arial" w:hAnsi="Arial" w:cs="Arial"/>
          <w:sz w:val="22"/>
          <w:szCs w:val="22"/>
        </w:rPr>
        <w:t>user engagement by ensuring that care is coordinated and responsive to individual needs.</w:t>
      </w:r>
    </w:p>
    <w:p w14:paraId="067CA8C2" w14:textId="26164935" w:rsidR="00B03C98" w:rsidRPr="00B03C98" w:rsidRDefault="00B03C98" w:rsidP="00B03C98">
      <w:pPr>
        <w:spacing w:line="360" w:lineRule="auto"/>
        <w:jc w:val="both"/>
        <w:rPr>
          <w:rFonts w:ascii="Arial" w:hAnsi="Arial" w:cs="Arial"/>
          <w:b/>
          <w:bCs/>
          <w:sz w:val="22"/>
          <w:szCs w:val="22"/>
        </w:rPr>
      </w:pPr>
      <w:r w:rsidRPr="00B03C98">
        <w:rPr>
          <w:rFonts w:ascii="Arial" w:hAnsi="Arial" w:cs="Arial"/>
          <w:b/>
          <w:bCs/>
          <w:sz w:val="22"/>
          <w:szCs w:val="22"/>
        </w:rPr>
        <w:t xml:space="preserve">Limitations in Practice </w:t>
      </w:r>
    </w:p>
    <w:p w14:paraId="0E18A4AB" w14:textId="7762D870" w:rsidR="00F50995" w:rsidRPr="00F50995" w:rsidRDefault="00B03C98" w:rsidP="00B03C98">
      <w:pPr>
        <w:spacing w:line="360" w:lineRule="auto"/>
        <w:jc w:val="both"/>
        <w:rPr>
          <w:rFonts w:ascii="Arial" w:hAnsi="Arial" w:cs="Arial"/>
          <w:sz w:val="22"/>
          <w:szCs w:val="22"/>
        </w:rPr>
      </w:pPr>
      <w:r w:rsidRPr="00B03C98">
        <w:rPr>
          <w:rFonts w:ascii="Arial" w:hAnsi="Arial" w:cs="Arial"/>
          <w:sz w:val="22"/>
          <w:szCs w:val="22"/>
        </w:rPr>
        <w:t>Limitations include inconsistent communication, differing eligibility thresholds, limited resources, and fragmentation between services. These challenges can lead to gaps in care, delays in intervention, and frustration for service users and practitioners.</w:t>
      </w:r>
    </w:p>
    <w:p w14:paraId="6271E546" w14:textId="77777777" w:rsidR="00F50995" w:rsidRPr="00780DC2" w:rsidRDefault="00F50995" w:rsidP="00780DC2">
      <w:pPr>
        <w:pStyle w:val="Heading1"/>
        <w:jc w:val="both"/>
      </w:pPr>
      <w:bookmarkStart w:id="10" w:name="_Toc224334644"/>
      <w:r w:rsidRPr="00780DC2">
        <w:t>7. Policy and Legislation Relevant to PCC and PW</w:t>
      </w:r>
      <w:bookmarkEnd w:id="10"/>
    </w:p>
    <w:p w14:paraId="32A7D593" w14:textId="639F035E" w:rsidR="00B03C98" w:rsidRPr="00B03C98" w:rsidRDefault="00F50995" w:rsidP="00B03C98">
      <w:pPr>
        <w:spacing w:line="360" w:lineRule="auto"/>
        <w:jc w:val="both"/>
        <w:rPr>
          <w:rFonts w:ascii="Arial" w:hAnsi="Arial" w:cs="Arial"/>
          <w:sz w:val="22"/>
          <w:szCs w:val="22"/>
        </w:rPr>
      </w:pPr>
      <w:r w:rsidRPr="00F50995">
        <w:rPr>
          <w:rFonts w:ascii="Arial" w:hAnsi="Arial" w:cs="Arial"/>
          <w:sz w:val="22"/>
          <w:szCs w:val="22"/>
        </w:rPr>
        <w:t xml:space="preserve">Several </w:t>
      </w:r>
      <w:r w:rsidR="00B03C98" w:rsidRPr="00B03C98">
        <w:rPr>
          <w:rFonts w:ascii="Arial" w:hAnsi="Arial" w:cs="Arial"/>
          <w:sz w:val="22"/>
          <w:szCs w:val="22"/>
        </w:rPr>
        <w:t xml:space="preserve">key policies shape PCC and PW in mental health services. The Health and Care Act (2022) introduced ICSs to promote collaboration across health and social care. The Care Act (2014) places wellbeing, choice, and control at the centre of social care, aligning closely with PCC principles. The Health and Social Care Act (2012) </w:t>
      </w:r>
      <w:proofErr w:type="gramStart"/>
      <w:r w:rsidR="00B03C98" w:rsidRPr="00B03C98">
        <w:rPr>
          <w:rFonts w:ascii="Arial" w:hAnsi="Arial" w:cs="Arial"/>
          <w:sz w:val="22"/>
          <w:szCs w:val="22"/>
        </w:rPr>
        <w:t>promotes</w:t>
      </w:r>
      <w:proofErr w:type="gramEnd"/>
      <w:r w:rsidR="00B03C98" w:rsidRPr="00B03C98">
        <w:rPr>
          <w:rFonts w:ascii="Arial" w:hAnsi="Arial" w:cs="Arial"/>
          <w:sz w:val="22"/>
          <w:szCs w:val="22"/>
        </w:rPr>
        <w:t xml:space="preserve"> patient involvement and transparency.</w:t>
      </w:r>
    </w:p>
    <w:p w14:paraId="3BF0048D" w14:textId="079D34FF" w:rsidR="00B03C98" w:rsidRPr="00B03C98" w:rsidRDefault="00B03C98" w:rsidP="00B03C98">
      <w:pPr>
        <w:spacing w:line="360" w:lineRule="auto"/>
        <w:jc w:val="both"/>
        <w:rPr>
          <w:rFonts w:ascii="Arial" w:hAnsi="Arial" w:cs="Arial"/>
          <w:sz w:val="22"/>
          <w:szCs w:val="22"/>
        </w:rPr>
      </w:pPr>
      <w:r w:rsidRPr="00B03C98">
        <w:rPr>
          <w:rFonts w:ascii="Arial" w:hAnsi="Arial" w:cs="Arial"/>
          <w:sz w:val="22"/>
          <w:szCs w:val="22"/>
        </w:rPr>
        <w:t>The Mental Capacity Act (2005) supports decision</w:t>
      </w:r>
      <w:r w:rsidRPr="00B03C98">
        <w:rPr>
          <w:rFonts w:ascii="Cambria Math" w:hAnsi="Cambria Math" w:cs="Cambria Math"/>
          <w:sz w:val="22"/>
          <w:szCs w:val="22"/>
        </w:rPr>
        <w:t>‑</w:t>
      </w:r>
      <w:r w:rsidRPr="00B03C98">
        <w:rPr>
          <w:rFonts w:ascii="Arial" w:hAnsi="Arial" w:cs="Arial"/>
          <w:sz w:val="22"/>
          <w:szCs w:val="22"/>
        </w:rPr>
        <w:t>making and protects individuals lacking capacity, while the Mental Health Act (1983, amended 2007) provides legal powers for compulsory treatment, balancing autonomy and safety. The Human Rights Act (1998) ensures dignity, respect, and autonomy, and the Equality Act (2010) protects individuals from discrimination.</w:t>
      </w:r>
    </w:p>
    <w:p w14:paraId="01EB6BC5" w14:textId="3506DED3" w:rsidR="00B03C98" w:rsidRPr="00B03C98" w:rsidRDefault="00B03C98" w:rsidP="00B03C98">
      <w:pPr>
        <w:spacing w:line="360" w:lineRule="auto"/>
        <w:jc w:val="both"/>
        <w:rPr>
          <w:rFonts w:ascii="Arial" w:hAnsi="Arial" w:cs="Arial"/>
          <w:b/>
          <w:bCs/>
          <w:sz w:val="22"/>
          <w:szCs w:val="22"/>
        </w:rPr>
      </w:pPr>
      <w:r w:rsidRPr="00B03C98">
        <w:rPr>
          <w:rFonts w:ascii="Arial" w:hAnsi="Arial" w:cs="Arial"/>
          <w:b/>
          <w:bCs/>
          <w:sz w:val="22"/>
          <w:szCs w:val="22"/>
        </w:rPr>
        <w:t xml:space="preserve">Policy Impact </w:t>
      </w:r>
    </w:p>
    <w:p w14:paraId="044F1421" w14:textId="3F92102D" w:rsidR="00F50995" w:rsidRPr="00F50995" w:rsidRDefault="00B03C98" w:rsidP="00B03C98">
      <w:pPr>
        <w:spacing w:line="360" w:lineRule="auto"/>
        <w:jc w:val="both"/>
        <w:rPr>
          <w:rFonts w:ascii="Arial" w:hAnsi="Arial" w:cs="Arial"/>
          <w:sz w:val="22"/>
          <w:szCs w:val="22"/>
        </w:rPr>
      </w:pPr>
      <w:r w:rsidRPr="00B03C98">
        <w:rPr>
          <w:rFonts w:ascii="Arial" w:hAnsi="Arial" w:cs="Arial"/>
          <w:sz w:val="22"/>
          <w:szCs w:val="22"/>
        </w:rPr>
        <w:t>These policies collectively support PCC and PW, but challenges remain due to workforce shortages, funding pressures, and organisational fragmentation (Kings Fund, 2020). Effective implementation requires investment, training, and strong leadership.</w:t>
      </w:r>
    </w:p>
    <w:p w14:paraId="7707B817" w14:textId="77777777" w:rsidR="00F50995" w:rsidRPr="00780DC2" w:rsidRDefault="00F50995" w:rsidP="00780DC2">
      <w:pPr>
        <w:pStyle w:val="Heading1"/>
        <w:jc w:val="both"/>
      </w:pPr>
      <w:bookmarkStart w:id="11" w:name="_Toc224334645"/>
      <w:r w:rsidRPr="00780DC2">
        <w:lastRenderedPageBreak/>
        <w:t>8. Recommendations for Future Development</w:t>
      </w:r>
      <w:bookmarkEnd w:id="11"/>
    </w:p>
    <w:p w14:paraId="55160192" w14:textId="45DDDA59" w:rsidR="00B03C98" w:rsidRPr="00B03C98" w:rsidRDefault="00F50995" w:rsidP="00B03C98">
      <w:pPr>
        <w:spacing w:line="360" w:lineRule="auto"/>
        <w:jc w:val="both"/>
        <w:rPr>
          <w:rFonts w:ascii="Arial" w:hAnsi="Arial" w:cs="Arial"/>
          <w:sz w:val="22"/>
          <w:szCs w:val="22"/>
        </w:rPr>
      </w:pPr>
      <w:r w:rsidRPr="00F50995">
        <w:rPr>
          <w:rFonts w:ascii="Arial" w:hAnsi="Arial" w:cs="Arial"/>
          <w:sz w:val="22"/>
          <w:szCs w:val="22"/>
        </w:rPr>
        <w:t xml:space="preserve">To </w:t>
      </w:r>
      <w:r w:rsidR="00B03C98" w:rsidRPr="00B03C98">
        <w:rPr>
          <w:rFonts w:ascii="Arial" w:hAnsi="Arial" w:cs="Arial"/>
          <w:sz w:val="22"/>
          <w:szCs w:val="22"/>
        </w:rPr>
        <w:t>strengthen PCC and PW in CMHTs, the following recommendations are proposed:</w:t>
      </w:r>
    </w:p>
    <w:p w14:paraId="6BA25671" w14:textId="66D49C34" w:rsidR="00B03C98" w:rsidRPr="00B03C98" w:rsidRDefault="00B03C98" w:rsidP="00B03C98">
      <w:pPr>
        <w:pStyle w:val="ListParagraph"/>
        <w:numPr>
          <w:ilvl w:val="0"/>
          <w:numId w:val="12"/>
        </w:numPr>
        <w:spacing w:line="360" w:lineRule="auto"/>
        <w:jc w:val="both"/>
        <w:rPr>
          <w:rFonts w:ascii="Arial" w:hAnsi="Arial" w:cs="Arial"/>
          <w:sz w:val="22"/>
          <w:szCs w:val="22"/>
        </w:rPr>
      </w:pPr>
      <w:r w:rsidRPr="00B03C98">
        <w:rPr>
          <w:rFonts w:ascii="Arial" w:hAnsi="Arial" w:cs="Arial"/>
          <w:sz w:val="22"/>
          <w:szCs w:val="22"/>
        </w:rPr>
        <w:t>Increase investment in workforce training on PCC, trauma</w:t>
      </w:r>
      <w:r w:rsidRPr="00B03C98">
        <w:rPr>
          <w:rFonts w:ascii="Cambria Math" w:hAnsi="Cambria Math" w:cs="Cambria Math"/>
          <w:sz w:val="22"/>
          <w:szCs w:val="22"/>
        </w:rPr>
        <w:t>‑</w:t>
      </w:r>
      <w:r w:rsidRPr="00B03C98">
        <w:rPr>
          <w:rFonts w:ascii="Arial" w:hAnsi="Arial" w:cs="Arial"/>
          <w:sz w:val="22"/>
          <w:szCs w:val="22"/>
        </w:rPr>
        <w:t>informed care, and collaborative practice.</w:t>
      </w:r>
    </w:p>
    <w:p w14:paraId="68DD50F7" w14:textId="09D90D01" w:rsidR="00B03C98" w:rsidRPr="00B03C98" w:rsidRDefault="00B03C98" w:rsidP="00B03C98">
      <w:pPr>
        <w:pStyle w:val="ListParagraph"/>
        <w:numPr>
          <w:ilvl w:val="0"/>
          <w:numId w:val="12"/>
        </w:numPr>
        <w:spacing w:line="360" w:lineRule="auto"/>
        <w:jc w:val="both"/>
        <w:rPr>
          <w:rFonts w:ascii="Arial" w:hAnsi="Arial" w:cs="Arial"/>
          <w:sz w:val="22"/>
          <w:szCs w:val="22"/>
        </w:rPr>
      </w:pPr>
      <w:r w:rsidRPr="00B03C98">
        <w:rPr>
          <w:rFonts w:ascii="Arial" w:hAnsi="Arial" w:cs="Arial"/>
          <w:sz w:val="22"/>
          <w:szCs w:val="22"/>
        </w:rPr>
        <w:t>Expand digital technologies such as shared electronic records to improve information</w:t>
      </w:r>
      <w:r w:rsidRPr="00B03C98">
        <w:rPr>
          <w:rFonts w:ascii="Cambria Math" w:hAnsi="Cambria Math" w:cs="Cambria Math"/>
          <w:sz w:val="22"/>
          <w:szCs w:val="22"/>
        </w:rPr>
        <w:t>‑</w:t>
      </w:r>
      <w:r w:rsidRPr="00B03C98">
        <w:rPr>
          <w:rFonts w:ascii="Arial" w:hAnsi="Arial" w:cs="Arial"/>
          <w:sz w:val="22"/>
          <w:szCs w:val="22"/>
        </w:rPr>
        <w:t>sharing.</w:t>
      </w:r>
    </w:p>
    <w:p w14:paraId="520EF017" w14:textId="37F695AE" w:rsidR="00B03C98" w:rsidRPr="00B03C98" w:rsidRDefault="00B03C98" w:rsidP="00B03C98">
      <w:pPr>
        <w:pStyle w:val="ListParagraph"/>
        <w:numPr>
          <w:ilvl w:val="0"/>
          <w:numId w:val="12"/>
        </w:numPr>
        <w:spacing w:line="360" w:lineRule="auto"/>
        <w:jc w:val="both"/>
        <w:rPr>
          <w:rFonts w:ascii="Arial" w:hAnsi="Arial" w:cs="Arial"/>
          <w:sz w:val="22"/>
          <w:szCs w:val="22"/>
        </w:rPr>
      </w:pPr>
      <w:r w:rsidRPr="00B03C98">
        <w:rPr>
          <w:rFonts w:ascii="Arial" w:hAnsi="Arial" w:cs="Arial"/>
          <w:sz w:val="22"/>
          <w:szCs w:val="22"/>
        </w:rPr>
        <w:t>Strengthen service</w:t>
      </w:r>
      <w:r w:rsidRPr="00B03C98">
        <w:rPr>
          <w:rFonts w:ascii="Cambria Math" w:hAnsi="Cambria Math" w:cs="Cambria Math"/>
          <w:sz w:val="22"/>
          <w:szCs w:val="22"/>
        </w:rPr>
        <w:t>‑</w:t>
      </w:r>
      <w:r w:rsidRPr="00B03C98">
        <w:rPr>
          <w:rFonts w:ascii="Arial" w:hAnsi="Arial" w:cs="Arial"/>
          <w:sz w:val="22"/>
          <w:szCs w:val="22"/>
        </w:rPr>
        <w:t>user involvement in service design and evaluation.</w:t>
      </w:r>
    </w:p>
    <w:p w14:paraId="62E15CED" w14:textId="6CBF1E43" w:rsidR="00B03C98" w:rsidRPr="00B03C98" w:rsidRDefault="00B03C98" w:rsidP="00B03C98">
      <w:pPr>
        <w:pStyle w:val="ListParagraph"/>
        <w:numPr>
          <w:ilvl w:val="0"/>
          <w:numId w:val="12"/>
        </w:numPr>
        <w:spacing w:line="360" w:lineRule="auto"/>
        <w:jc w:val="both"/>
        <w:rPr>
          <w:rFonts w:ascii="Arial" w:hAnsi="Arial" w:cs="Arial"/>
          <w:sz w:val="22"/>
          <w:szCs w:val="22"/>
        </w:rPr>
      </w:pPr>
      <w:r w:rsidRPr="00B03C98">
        <w:rPr>
          <w:rFonts w:ascii="Arial" w:hAnsi="Arial" w:cs="Arial"/>
          <w:sz w:val="22"/>
          <w:szCs w:val="22"/>
        </w:rPr>
        <w:t>Enhance multi</w:t>
      </w:r>
      <w:r w:rsidRPr="00B03C98">
        <w:rPr>
          <w:rFonts w:ascii="Cambria Math" w:hAnsi="Cambria Math" w:cs="Cambria Math"/>
          <w:sz w:val="22"/>
          <w:szCs w:val="22"/>
        </w:rPr>
        <w:t>‑</w:t>
      </w:r>
      <w:r w:rsidRPr="00B03C98">
        <w:rPr>
          <w:rFonts w:ascii="Arial" w:hAnsi="Arial" w:cs="Arial"/>
          <w:sz w:val="22"/>
          <w:szCs w:val="22"/>
        </w:rPr>
        <w:t>agency collaboration through joint training and shared outcome measures.</w:t>
      </w:r>
    </w:p>
    <w:p w14:paraId="533C9909" w14:textId="79271E37" w:rsidR="00B03C98" w:rsidRPr="00B03C98" w:rsidRDefault="00B03C98" w:rsidP="00B03C98">
      <w:pPr>
        <w:pStyle w:val="ListParagraph"/>
        <w:numPr>
          <w:ilvl w:val="0"/>
          <w:numId w:val="12"/>
        </w:numPr>
        <w:spacing w:line="360" w:lineRule="auto"/>
        <w:jc w:val="both"/>
        <w:rPr>
          <w:rFonts w:ascii="Arial" w:hAnsi="Arial" w:cs="Arial"/>
          <w:sz w:val="22"/>
          <w:szCs w:val="22"/>
        </w:rPr>
      </w:pPr>
      <w:r w:rsidRPr="00B03C98">
        <w:rPr>
          <w:rFonts w:ascii="Arial" w:hAnsi="Arial" w:cs="Arial"/>
          <w:sz w:val="22"/>
          <w:szCs w:val="22"/>
        </w:rPr>
        <w:t>Increase funding for community</w:t>
      </w:r>
      <w:r w:rsidRPr="00B03C98">
        <w:rPr>
          <w:rFonts w:ascii="Cambria Math" w:hAnsi="Cambria Math" w:cs="Cambria Math"/>
          <w:sz w:val="22"/>
          <w:szCs w:val="22"/>
        </w:rPr>
        <w:t>‑</w:t>
      </w:r>
      <w:r w:rsidRPr="00B03C98">
        <w:rPr>
          <w:rFonts w:ascii="Arial" w:hAnsi="Arial" w:cs="Arial"/>
          <w:sz w:val="22"/>
          <w:szCs w:val="22"/>
        </w:rPr>
        <w:t>based mental health services.</w:t>
      </w:r>
    </w:p>
    <w:p w14:paraId="4D53FDCE" w14:textId="7AF8DAF6" w:rsidR="00B03C98" w:rsidRPr="00B03C98" w:rsidRDefault="00B03C98" w:rsidP="00B03C98">
      <w:pPr>
        <w:pStyle w:val="ListParagraph"/>
        <w:numPr>
          <w:ilvl w:val="0"/>
          <w:numId w:val="12"/>
        </w:numPr>
        <w:spacing w:line="360" w:lineRule="auto"/>
        <w:jc w:val="both"/>
        <w:rPr>
          <w:rFonts w:ascii="Arial" w:hAnsi="Arial" w:cs="Arial"/>
          <w:sz w:val="22"/>
          <w:szCs w:val="22"/>
        </w:rPr>
      </w:pPr>
      <w:r w:rsidRPr="00B03C98">
        <w:rPr>
          <w:rFonts w:ascii="Arial" w:hAnsi="Arial" w:cs="Arial"/>
          <w:sz w:val="22"/>
          <w:szCs w:val="22"/>
        </w:rPr>
        <w:t>Promote research into effective PCC and PW models in mental health.</w:t>
      </w:r>
    </w:p>
    <w:p w14:paraId="719D8C54" w14:textId="37F4FB7D" w:rsidR="00B03C98" w:rsidRPr="00B03C98" w:rsidRDefault="00B03C98" w:rsidP="00B03C98">
      <w:pPr>
        <w:pStyle w:val="ListParagraph"/>
        <w:numPr>
          <w:ilvl w:val="0"/>
          <w:numId w:val="12"/>
        </w:numPr>
        <w:spacing w:line="360" w:lineRule="auto"/>
        <w:jc w:val="both"/>
        <w:rPr>
          <w:rFonts w:ascii="Arial" w:hAnsi="Arial" w:cs="Arial"/>
          <w:sz w:val="22"/>
          <w:szCs w:val="22"/>
        </w:rPr>
      </w:pPr>
      <w:r w:rsidRPr="00B03C98">
        <w:rPr>
          <w:rFonts w:ascii="Arial" w:hAnsi="Arial" w:cs="Arial"/>
          <w:sz w:val="22"/>
          <w:szCs w:val="22"/>
        </w:rPr>
        <w:t>Address barriers such as staff shortages, cultural resistance, and inconsistent policy implementation.</w:t>
      </w:r>
    </w:p>
    <w:p w14:paraId="3881D1B2" w14:textId="4C60C872" w:rsidR="00B03C98" w:rsidRPr="00B03C98" w:rsidRDefault="00B03C98" w:rsidP="00B03C98">
      <w:pPr>
        <w:pStyle w:val="ListParagraph"/>
        <w:numPr>
          <w:ilvl w:val="0"/>
          <w:numId w:val="12"/>
        </w:numPr>
        <w:spacing w:line="360" w:lineRule="auto"/>
        <w:jc w:val="both"/>
        <w:rPr>
          <w:rFonts w:ascii="Arial" w:hAnsi="Arial" w:cs="Arial"/>
          <w:sz w:val="22"/>
          <w:szCs w:val="22"/>
        </w:rPr>
      </w:pPr>
      <w:r w:rsidRPr="00B03C98">
        <w:rPr>
          <w:rFonts w:ascii="Arial" w:hAnsi="Arial" w:cs="Arial"/>
          <w:sz w:val="22"/>
          <w:szCs w:val="22"/>
        </w:rPr>
        <w:t>Improve integration between mental health, primary care, and social services through ICSs.</w:t>
      </w:r>
    </w:p>
    <w:p w14:paraId="4CEFCFBC" w14:textId="675669D6" w:rsidR="00B03C98" w:rsidRPr="00B03C98" w:rsidRDefault="00B03C98" w:rsidP="00B03C98">
      <w:pPr>
        <w:pStyle w:val="ListParagraph"/>
        <w:numPr>
          <w:ilvl w:val="0"/>
          <w:numId w:val="12"/>
        </w:numPr>
        <w:spacing w:line="360" w:lineRule="auto"/>
        <w:jc w:val="both"/>
        <w:rPr>
          <w:rFonts w:ascii="Arial" w:hAnsi="Arial" w:cs="Arial"/>
          <w:sz w:val="22"/>
          <w:szCs w:val="22"/>
        </w:rPr>
      </w:pPr>
      <w:r w:rsidRPr="00B03C98">
        <w:rPr>
          <w:rFonts w:ascii="Arial" w:hAnsi="Arial" w:cs="Arial"/>
          <w:sz w:val="22"/>
          <w:szCs w:val="22"/>
        </w:rPr>
        <w:t>Develop clearer protocols for information</w:t>
      </w:r>
      <w:r w:rsidRPr="00B03C98">
        <w:rPr>
          <w:rFonts w:ascii="Cambria Math" w:hAnsi="Cambria Math" w:cs="Cambria Math"/>
          <w:sz w:val="22"/>
          <w:szCs w:val="22"/>
        </w:rPr>
        <w:t>‑</w:t>
      </w:r>
      <w:r w:rsidRPr="00B03C98">
        <w:rPr>
          <w:rFonts w:ascii="Arial" w:hAnsi="Arial" w:cs="Arial"/>
          <w:sz w:val="22"/>
          <w:szCs w:val="22"/>
        </w:rPr>
        <w:t>sharing to support PW.</w:t>
      </w:r>
    </w:p>
    <w:p w14:paraId="787CDE22" w14:textId="77777777" w:rsidR="00F50995" w:rsidRPr="00780DC2" w:rsidRDefault="00F50995" w:rsidP="00780DC2">
      <w:pPr>
        <w:pStyle w:val="Heading1"/>
        <w:jc w:val="both"/>
      </w:pPr>
      <w:bookmarkStart w:id="12" w:name="_Toc224334646"/>
      <w:r w:rsidRPr="00780DC2">
        <w:t>9. Conclusion</w:t>
      </w:r>
      <w:bookmarkEnd w:id="12"/>
    </w:p>
    <w:p w14:paraId="6962C119" w14:textId="4C8B20E8"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PCC</w:t>
      </w:r>
      <w:r w:rsidR="00B03C98">
        <w:rPr>
          <w:rFonts w:ascii="Arial" w:hAnsi="Arial" w:cs="Arial"/>
          <w:sz w:val="22"/>
          <w:szCs w:val="22"/>
        </w:rPr>
        <w:t xml:space="preserve"> </w:t>
      </w:r>
      <w:r w:rsidR="00B03C98" w:rsidRPr="00B03C98">
        <w:rPr>
          <w:rFonts w:ascii="Arial" w:hAnsi="Arial" w:cs="Arial"/>
          <w:sz w:val="22"/>
          <w:szCs w:val="22"/>
        </w:rPr>
        <w:t>and PW are essential to delivering high</w:t>
      </w:r>
      <w:r w:rsidR="00B03C98" w:rsidRPr="00B03C98">
        <w:rPr>
          <w:rFonts w:ascii="Cambria Math" w:hAnsi="Cambria Math" w:cs="Cambria Math"/>
          <w:sz w:val="22"/>
          <w:szCs w:val="22"/>
        </w:rPr>
        <w:t>‑</w:t>
      </w:r>
      <w:r w:rsidR="00B03C98" w:rsidRPr="00B03C98">
        <w:rPr>
          <w:rFonts w:ascii="Arial" w:hAnsi="Arial" w:cs="Arial"/>
          <w:sz w:val="22"/>
          <w:szCs w:val="22"/>
        </w:rPr>
        <w:t>quality, ethical, and effective mental health care. PCC promotes dignity, autonomy, and personalised support, while PW ensures coordinated and holistic service delivery. Theories such as Rogers’ person</w:t>
      </w:r>
      <w:r w:rsidR="00B03C98" w:rsidRPr="00B03C98">
        <w:rPr>
          <w:rFonts w:ascii="Cambria Math" w:hAnsi="Cambria Math" w:cs="Cambria Math"/>
          <w:sz w:val="22"/>
          <w:szCs w:val="22"/>
        </w:rPr>
        <w:t>‑</w:t>
      </w:r>
      <w:r w:rsidR="00B03C98" w:rsidRPr="00B03C98">
        <w:rPr>
          <w:rFonts w:ascii="Arial" w:hAnsi="Arial" w:cs="Arial"/>
          <w:sz w:val="22"/>
          <w:szCs w:val="22"/>
        </w:rPr>
        <w:t>centred approach provide a strong foundation for PCC, and ethical principles guide safe and respectful practice. In CMHTs, PW is vital for addressing complex needs and supporting recovery. Policies such as the Care Act (2014) and Health and Care Act (2022) reinforce the importance of PCC and PW, although practical challenges remain. By implementing targeted recommendations, the UK can strengthen its commitment to person</w:t>
      </w:r>
      <w:r w:rsidR="00B03C98" w:rsidRPr="00B03C98">
        <w:rPr>
          <w:rFonts w:ascii="Cambria Math" w:hAnsi="Cambria Math" w:cs="Cambria Math"/>
          <w:sz w:val="22"/>
          <w:szCs w:val="22"/>
        </w:rPr>
        <w:t>‑</w:t>
      </w:r>
      <w:r w:rsidR="00B03C98" w:rsidRPr="00B03C98">
        <w:rPr>
          <w:rFonts w:ascii="Arial" w:hAnsi="Arial" w:cs="Arial"/>
          <w:sz w:val="22"/>
          <w:szCs w:val="22"/>
        </w:rPr>
        <w:t>centred, collaborative mental health care and improve outcomes for individuals with severe and enduring mental health conditions.</w:t>
      </w:r>
    </w:p>
    <w:p w14:paraId="0DAB1207" w14:textId="77777777" w:rsidR="00F50995" w:rsidRPr="00F50995" w:rsidRDefault="00F50995" w:rsidP="00780DC2">
      <w:pPr>
        <w:spacing w:line="360" w:lineRule="auto"/>
        <w:jc w:val="both"/>
        <w:rPr>
          <w:rFonts w:ascii="Arial" w:hAnsi="Arial" w:cs="Arial"/>
          <w:sz w:val="22"/>
          <w:szCs w:val="22"/>
        </w:rPr>
      </w:pPr>
    </w:p>
    <w:p w14:paraId="6E5E3C8A" w14:textId="77777777" w:rsidR="00F50995" w:rsidRPr="00F50995" w:rsidRDefault="00F50995" w:rsidP="00780DC2">
      <w:pPr>
        <w:spacing w:line="360" w:lineRule="auto"/>
        <w:jc w:val="both"/>
        <w:rPr>
          <w:rFonts w:ascii="Arial" w:hAnsi="Arial" w:cs="Arial"/>
          <w:sz w:val="22"/>
          <w:szCs w:val="22"/>
        </w:rPr>
      </w:pPr>
    </w:p>
    <w:p w14:paraId="44ECE581" w14:textId="0F2A6D0C" w:rsidR="00F50995" w:rsidRPr="00F50995" w:rsidRDefault="00F50995" w:rsidP="00780DC2">
      <w:pPr>
        <w:jc w:val="both"/>
        <w:rPr>
          <w:rFonts w:ascii="Arial" w:hAnsi="Arial" w:cs="Arial"/>
          <w:sz w:val="22"/>
          <w:szCs w:val="22"/>
        </w:rPr>
      </w:pPr>
      <w:r>
        <w:rPr>
          <w:rFonts w:ascii="Arial" w:hAnsi="Arial" w:cs="Arial"/>
          <w:sz w:val="22"/>
          <w:szCs w:val="22"/>
        </w:rPr>
        <w:br w:type="page"/>
      </w:r>
    </w:p>
    <w:p w14:paraId="3205ED61" w14:textId="6E8FBBD1" w:rsidR="00F50995" w:rsidRPr="00F50995" w:rsidRDefault="00F50995" w:rsidP="00780DC2">
      <w:pPr>
        <w:pStyle w:val="Heading1"/>
        <w:jc w:val="both"/>
      </w:pPr>
      <w:bookmarkStart w:id="13" w:name="_Toc224334647"/>
      <w:r w:rsidRPr="00F50995">
        <w:lastRenderedPageBreak/>
        <w:t>Reference List</w:t>
      </w:r>
      <w:bookmarkEnd w:id="13"/>
      <w:r w:rsidRPr="00F50995">
        <w:t xml:space="preserve"> </w:t>
      </w:r>
    </w:p>
    <w:p w14:paraId="287060A8" w14:textId="77777777"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Beauchamp, T. &amp; Childress, J. (2019) Principles of Biomedical Ethics. 8th ed. Oxford: Oxford University Press.</w:t>
      </w:r>
    </w:p>
    <w:p w14:paraId="7A38CC44" w14:textId="77777777"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Brooker, D. &amp; Latham, I. (2016) Person</w:t>
      </w:r>
      <w:r w:rsidRPr="00F50995">
        <w:rPr>
          <w:rFonts w:ascii="Cambria Math" w:hAnsi="Cambria Math" w:cs="Cambria Math"/>
          <w:sz w:val="22"/>
          <w:szCs w:val="22"/>
        </w:rPr>
        <w:t>‑</w:t>
      </w:r>
      <w:r w:rsidRPr="00F50995">
        <w:rPr>
          <w:rFonts w:ascii="Arial" w:hAnsi="Arial" w:cs="Arial"/>
          <w:sz w:val="22"/>
          <w:szCs w:val="22"/>
        </w:rPr>
        <w:t>Centred Dementia Care. London: Jessica Kingsley.</w:t>
      </w:r>
    </w:p>
    <w:p w14:paraId="70015897" w14:textId="77777777"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Cameron, A., Lart, R., Bostock, L. &amp; Coomber, C. (2014) ‘Factors that promote and hinder joint and integrated working’, Health &amp; Social Care in the Community, 22(3), pp. 225–233.</w:t>
      </w:r>
    </w:p>
    <w:p w14:paraId="7EB09DDA" w14:textId="77777777"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Care Quality Commission (2021) What is person</w:t>
      </w:r>
      <w:r w:rsidRPr="00F50995">
        <w:rPr>
          <w:rFonts w:ascii="Cambria Math" w:hAnsi="Cambria Math" w:cs="Cambria Math"/>
          <w:sz w:val="22"/>
          <w:szCs w:val="22"/>
        </w:rPr>
        <w:t>‑</w:t>
      </w:r>
      <w:r w:rsidRPr="00F50995">
        <w:rPr>
          <w:rFonts w:ascii="Arial" w:hAnsi="Arial" w:cs="Arial"/>
          <w:sz w:val="22"/>
          <w:szCs w:val="22"/>
        </w:rPr>
        <w:t>centred care? Available at: https://www.cqc.org.uk</w:t>
      </w:r>
    </w:p>
    <w:p w14:paraId="58A49DEB" w14:textId="77777777"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Coulter, A. &amp; Oldham, J. (2016) ‘Person</w:t>
      </w:r>
      <w:r w:rsidRPr="00F50995">
        <w:rPr>
          <w:rFonts w:ascii="Cambria Math" w:hAnsi="Cambria Math" w:cs="Cambria Math"/>
          <w:sz w:val="22"/>
          <w:szCs w:val="22"/>
        </w:rPr>
        <w:t>‑</w:t>
      </w:r>
      <w:r w:rsidRPr="00F50995">
        <w:rPr>
          <w:rFonts w:ascii="Arial" w:hAnsi="Arial" w:cs="Arial"/>
          <w:sz w:val="22"/>
          <w:szCs w:val="22"/>
        </w:rPr>
        <w:t>centred care: what is it and how do we get there?’, Future Hospital Journal, 3(2), pp. 114–116.</w:t>
      </w:r>
    </w:p>
    <w:p w14:paraId="3E4B259A" w14:textId="77777777"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Department of Health (2008) Care Programme Approach. London: DH.</w:t>
      </w:r>
    </w:p>
    <w:p w14:paraId="63EE47A1" w14:textId="77777777"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Equality Act (2010). London: HMSO.</w:t>
      </w:r>
    </w:p>
    <w:p w14:paraId="473EDEA7" w14:textId="77777777"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Glasby, J. &amp; Dickinson, H. (2014) Partnership Working in Health and Social Care. 2nd ed. Bristol: Policy Press.</w:t>
      </w:r>
    </w:p>
    <w:p w14:paraId="51F08D79" w14:textId="77777777"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Health Foundation (2016) Person</w:t>
      </w:r>
      <w:r w:rsidRPr="00F50995">
        <w:rPr>
          <w:rFonts w:ascii="Cambria Math" w:hAnsi="Cambria Math" w:cs="Cambria Math"/>
          <w:sz w:val="22"/>
          <w:szCs w:val="22"/>
        </w:rPr>
        <w:t>‑</w:t>
      </w:r>
      <w:r w:rsidRPr="00F50995">
        <w:rPr>
          <w:rFonts w:ascii="Arial" w:hAnsi="Arial" w:cs="Arial"/>
          <w:sz w:val="22"/>
          <w:szCs w:val="22"/>
        </w:rPr>
        <w:t>centred care made simple. London: Health Foundation.</w:t>
      </w:r>
    </w:p>
    <w:p w14:paraId="14704EE0" w14:textId="77777777"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Health and Care Act (2022). London: HMSO.</w:t>
      </w:r>
    </w:p>
    <w:p w14:paraId="338E9AC7" w14:textId="77777777"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Joseph, S. &amp; Murphy, D. (2013) Person</w:t>
      </w:r>
      <w:r w:rsidRPr="00F50995">
        <w:rPr>
          <w:rFonts w:ascii="Cambria Math" w:hAnsi="Cambria Math" w:cs="Cambria Math"/>
          <w:sz w:val="22"/>
          <w:szCs w:val="22"/>
        </w:rPr>
        <w:t>‑</w:t>
      </w:r>
      <w:r w:rsidRPr="00F50995">
        <w:rPr>
          <w:rFonts w:ascii="Arial" w:hAnsi="Arial" w:cs="Arial"/>
          <w:sz w:val="22"/>
          <w:szCs w:val="22"/>
        </w:rPr>
        <w:t>Centred Psychopathology. Ross</w:t>
      </w:r>
      <w:r w:rsidRPr="00F50995">
        <w:rPr>
          <w:rFonts w:ascii="Cambria Math" w:hAnsi="Cambria Math" w:cs="Cambria Math"/>
          <w:sz w:val="22"/>
          <w:szCs w:val="22"/>
        </w:rPr>
        <w:t>‑</w:t>
      </w:r>
      <w:r w:rsidRPr="00F50995">
        <w:rPr>
          <w:rFonts w:ascii="Arial" w:hAnsi="Arial" w:cs="Arial"/>
          <w:sz w:val="22"/>
          <w:szCs w:val="22"/>
        </w:rPr>
        <w:t>on</w:t>
      </w:r>
      <w:r w:rsidRPr="00F50995">
        <w:rPr>
          <w:rFonts w:ascii="Cambria Math" w:hAnsi="Cambria Math" w:cs="Cambria Math"/>
          <w:sz w:val="22"/>
          <w:szCs w:val="22"/>
        </w:rPr>
        <w:t>‑</w:t>
      </w:r>
      <w:r w:rsidRPr="00F50995">
        <w:rPr>
          <w:rFonts w:ascii="Arial" w:hAnsi="Arial" w:cs="Arial"/>
          <w:sz w:val="22"/>
          <w:szCs w:val="22"/>
        </w:rPr>
        <w:t>Wye: PCCS Books.</w:t>
      </w:r>
    </w:p>
    <w:p w14:paraId="00D48F00" w14:textId="77777777"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Kings Fund (2020) Delivering better care in a time of austerity. London: Kings Fund.</w:t>
      </w:r>
    </w:p>
    <w:p w14:paraId="757EAA25" w14:textId="77777777"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Mental Capacity Act (2005). London: HMSO.</w:t>
      </w:r>
    </w:p>
    <w:p w14:paraId="175241A9" w14:textId="77777777"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Mental Health Act (1983, amended 2007). London: HMSO.</w:t>
      </w:r>
    </w:p>
    <w:p w14:paraId="49ADA4EB" w14:textId="77777777"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Mind (2021) Community mental health services. Available at: https://www.mind.org.uk</w:t>
      </w:r>
    </w:p>
    <w:p w14:paraId="259CB1E0" w14:textId="77777777"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NHS England (2022) Integrated Care Systems: Guidance. Available at: https://www.england.nhs.uk</w:t>
      </w:r>
    </w:p>
    <w:p w14:paraId="0760A470" w14:textId="77777777"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NHS Scotland (2021) What Matters to You? Available at: https://www.whatmatterstoyou.scot</w:t>
      </w:r>
    </w:p>
    <w:p w14:paraId="219109CC" w14:textId="77777777"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Pilgrim, D. (2019) Key Concepts in Mental Health. 4th ed. London: Sage.</w:t>
      </w:r>
    </w:p>
    <w:p w14:paraId="543197EC" w14:textId="77777777"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Rogers, C. (1951) Client</w:t>
      </w:r>
      <w:r w:rsidRPr="00F50995">
        <w:rPr>
          <w:rFonts w:ascii="Cambria Math" w:hAnsi="Cambria Math" w:cs="Cambria Math"/>
          <w:sz w:val="22"/>
          <w:szCs w:val="22"/>
        </w:rPr>
        <w:t>‑</w:t>
      </w:r>
      <w:r w:rsidRPr="00F50995">
        <w:rPr>
          <w:rFonts w:ascii="Arial" w:hAnsi="Arial" w:cs="Arial"/>
          <w:sz w:val="22"/>
          <w:szCs w:val="22"/>
        </w:rPr>
        <w:t>Centred Therapy. Boston: Houghton Mifflin.</w:t>
      </w:r>
    </w:p>
    <w:p w14:paraId="0D9E1726" w14:textId="77777777" w:rsidR="00F50995" w:rsidRPr="00F50995" w:rsidRDefault="00F50995" w:rsidP="00780DC2">
      <w:pPr>
        <w:spacing w:line="360" w:lineRule="auto"/>
        <w:jc w:val="both"/>
        <w:rPr>
          <w:rFonts w:ascii="Arial" w:hAnsi="Arial" w:cs="Arial"/>
          <w:sz w:val="22"/>
          <w:szCs w:val="22"/>
        </w:rPr>
      </w:pPr>
      <w:r w:rsidRPr="00F50995">
        <w:rPr>
          <w:rFonts w:ascii="Arial" w:hAnsi="Arial" w:cs="Arial"/>
          <w:sz w:val="22"/>
          <w:szCs w:val="22"/>
        </w:rPr>
        <w:t>SCIE (2020) Partnership working. Available at: https://www.scie.org.uk</w:t>
      </w:r>
    </w:p>
    <w:p w14:paraId="48606599" w14:textId="04EABB30" w:rsidR="000F74AA" w:rsidRDefault="00F50995" w:rsidP="00780DC2">
      <w:pPr>
        <w:spacing w:line="360" w:lineRule="auto"/>
        <w:jc w:val="both"/>
      </w:pPr>
      <w:r w:rsidRPr="00F50995">
        <w:rPr>
          <w:rFonts w:ascii="Arial" w:hAnsi="Arial" w:cs="Arial"/>
          <w:sz w:val="22"/>
          <w:szCs w:val="22"/>
        </w:rPr>
        <w:lastRenderedPageBreak/>
        <w:t>Slade, M. (2017) Recovery in Mental Health. Cambridge: Cambridge Univ</w:t>
      </w:r>
      <w:r>
        <w:t>ersity Press.</w:t>
      </w:r>
    </w:p>
    <w:sectPr w:rsidR="000F74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7246C"/>
    <w:multiLevelType w:val="hybridMultilevel"/>
    <w:tmpl w:val="03368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165995"/>
    <w:multiLevelType w:val="hybridMultilevel"/>
    <w:tmpl w:val="8996DCEE"/>
    <w:lvl w:ilvl="0" w:tplc="683AE32C">
      <w:start w:val="1"/>
      <w:numFmt w:val="decimal"/>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235FBA"/>
    <w:multiLevelType w:val="hybridMultilevel"/>
    <w:tmpl w:val="756AC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B937BC"/>
    <w:multiLevelType w:val="hybridMultilevel"/>
    <w:tmpl w:val="ECF61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3D02AD"/>
    <w:multiLevelType w:val="hybridMultilevel"/>
    <w:tmpl w:val="AFDAF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7422FE"/>
    <w:multiLevelType w:val="hybridMultilevel"/>
    <w:tmpl w:val="443C4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6E406E"/>
    <w:multiLevelType w:val="hybridMultilevel"/>
    <w:tmpl w:val="1D0A5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3F186C"/>
    <w:multiLevelType w:val="hybridMultilevel"/>
    <w:tmpl w:val="21344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F06368"/>
    <w:multiLevelType w:val="hybridMultilevel"/>
    <w:tmpl w:val="D5EC7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751B9F"/>
    <w:multiLevelType w:val="hybridMultilevel"/>
    <w:tmpl w:val="919CA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287159"/>
    <w:multiLevelType w:val="hybridMultilevel"/>
    <w:tmpl w:val="6936C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CD177C"/>
    <w:multiLevelType w:val="hybridMultilevel"/>
    <w:tmpl w:val="3774B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1884804">
    <w:abstractNumId w:val="10"/>
  </w:num>
  <w:num w:numId="2" w16cid:durableId="1938176845">
    <w:abstractNumId w:val="3"/>
  </w:num>
  <w:num w:numId="3" w16cid:durableId="889414591">
    <w:abstractNumId w:val="7"/>
  </w:num>
  <w:num w:numId="4" w16cid:durableId="942345601">
    <w:abstractNumId w:val="5"/>
  </w:num>
  <w:num w:numId="5" w16cid:durableId="502430005">
    <w:abstractNumId w:val="6"/>
  </w:num>
  <w:num w:numId="6" w16cid:durableId="1031609009">
    <w:abstractNumId w:val="4"/>
  </w:num>
  <w:num w:numId="7" w16cid:durableId="1864436155">
    <w:abstractNumId w:val="8"/>
  </w:num>
  <w:num w:numId="8" w16cid:durableId="1501699303">
    <w:abstractNumId w:val="0"/>
  </w:num>
  <w:num w:numId="9" w16cid:durableId="1021126218">
    <w:abstractNumId w:val="2"/>
  </w:num>
  <w:num w:numId="10" w16cid:durableId="285432043">
    <w:abstractNumId w:val="11"/>
  </w:num>
  <w:num w:numId="11" w16cid:durableId="2018143977">
    <w:abstractNumId w:val="1"/>
  </w:num>
  <w:num w:numId="12" w16cid:durableId="10999082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995"/>
    <w:rsid w:val="000F74AA"/>
    <w:rsid w:val="00465B22"/>
    <w:rsid w:val="00780DC2"/>
    <w:rsid w:val="00AE28AC"/>
    <w:rsid w:val="00B03C98"/>
    <w:rsid w:val="00F50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249E9"/>
  <w15:chartTrackingRefBased/>
  <w15:docId w15:val="{7F9D7E66-393C-45D6-8A2A-F4876BF22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09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09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509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09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09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09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09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09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09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09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09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509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09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09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09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09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09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0995"/>
    <w:rPr>
      <w:rFonts w:eastAsiaTheme="majorEastAsia" w:cstheme="majorBidi"/>
      <w:color w:val="272727" w:themeColor="text1" w:themeTint="D8"/>
    </w:rPr>
  </w:style>
  <w:style w:type="paragraph" w:styleId="Title">
    <w:name w:val="Title"/>
    <w:basedOn w:val="Normal"/>
    <w:next w:val="Normal"/>
    <w:link w:val="TitleChar"/>
    <w:uiPriority w:val="10"/>
    <w:qFormat/>
    <w:rsid w:val="00F509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09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09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09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0995"/>
    <w:pPr>
      <w:spacing w:before="160"/>
      <w:jc w:val="center"/>
    </w:pPr>
    <w:rPr>
      <w:i/>
      <w:iCs/>
      <w:color w:val="404040" w:themeColor="text1" w:themeTint="BF"/>
    </w:rPr>
  </w:style>
  <w:style w:type="character" w:customStyle="1" w:styleId="QuoteChar">
    <w:name w:val="Quote Char"/>
    <w:basedOn w:val="DefaultParagraphFont"/>
    <w:link w:val="Quote"/>
    <w:uiPriority w:val="29"/>
    <w:rsid w:val="00F50995"/>
    <w:rPr>
      <w:i/>
      <w:iCs/>
      <w:color w:val="404040" w:themeColor="text1" w:themeTint="BF"/>
    </w:rPr>
  </w:style>
  <w:style w:type="paragraph" w:styleId="ListParagraph">
    <w:name w:val="List Paragraph"/>
    <w:basedOn w:val="Normal"/>
    <w:uiPriority w:val="34"/>
    <w:qFormat/>
    <w:rsid w:val="00F50995"/>
    <w:pPr>
      <w:ind w:left="720"/>
      <w:contextualSpacing/>
    </w:pPr>
  </w:style>
  <w:style w:type="character" w:styleId="IntenseEmphasis">
    <w:name w:val="Intense Emphasis"/>
    <w:basedOn w:val="DefaultParagraphFont"/>
    <w:uiPriority w:val="21"/>
    <w:qFormat/>
    <w:rsid w:val="00F50995"/>
    <w:rPr>
      <w:i/>
      <w:iCs/>
      <w:color w:val="0F4761" w:themeColor="accent1" w:themeShade="BF"/>
    </w:rPr>
  </w:style>
  <w:style w:type="paragraph" w:styleId="IntenseQuote">
    <w:name w:val="Intense Quote"/>
    <w:basedOn w:val="Normal"/>
    <w:next w:val="Normal"/>
    <w:link w:val="IntenseQuoteChar"/>
    <w:uiPriority w:val="30"/>
    <w:qFormat/>
    <w:rsid w:val="00F509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0995"/>
    <w:rPr>
      <w:i/>
      <w:iCs/>
      <w:color w:val="0F4761" w:themeColor="accent1" w:themeShade="BF"/>
    </w:rPr>
  </w:style>
  <w:style w:type="character" w:styleId="IntenseReference">
    <w:name w:val="Intense Reference"/>
    <w:basedOn w:val="DefaultParagraphFont"/>
    <w:uiPriority w:val="32"/>
    <w:qFormat/>
    <w:rsid w:val="00F50995"/>
    <w:rPr>
      <w:b/>
      <w:bCs/>
      <w:smallCaps/>
      <w:color w:val="0F4761" w:themeColor="accent1" w:themeShade="BF"/>
      <w:spacing w:val="5"/>
    </w:rPr>
  </w:style>
  <w:style w:type="paragraph" w:styleId="TOCHeading">
    <w:name w:val="TOC Heading"/>
    <w:basedOn w:val="Heading1"/>
    <w:next w:val="Normal"/>
    <w:uiPriority w:val="39"/>
    <w:unhideWhenUsed/>
    <w:qFormat/>
    <w:rsid w:val="00F5099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50995"/>
    <w:pPr>
      <w:spacing w:after="100"/>
    </w:pPr>
  </w:style>
  <w:style w:type="character" w:styleId="Hyperlink">
    <w:name w:val="Hyperlink"/>
    <w:basedOn w:val="DefaultParagraphFont"/>
    <w:uiPriority w:val="99"/>
    <w:unhideWhenUsed/>
    <w:rsid w:val="00F50995"/>
    <w:rPr>
      <w:color w:val="467886" w:themeColor="hyperlink"/>
      <w:u w:val="single"/>
    </w:rPr>
  </w:style>
  <w:style w:type="paragraph" w:styleId="TOC2">
    <w:name w:val="toc 2"/>
    <w:basedOn w:val="Normal"/>
    <w:next w:val="Normal"/>
    <w:autoRedefine/>
    <w:uiPriority w:val="39"/>
    <w:unhideWhenUsed/>
    <w:rsid w:val="00780DC2"/>
    <w:pPr>
      <w:spacing w:after="100"/>
      <w:ind w:left="240"/>
    </w:pPr>
  </w:style>
  <w:style w:type="paragraph" w:styleId="TOC3">
    <w:name w:val="toc 3"/>
    <w:basedOn w:val="Normal"/>
    <w:next w:val="Normal"/>
    <w:autoRedefine/>
    <w:uiPriority w:val="39"/>
    <w:unhideWhenUsed/>
    <w:rsid w:val="00780DC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42FD9F-C324-4B05-B042-763F94C89B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11</Pages>
  <Words>2811</Words>
  <Characters>16026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neayer sultana</dc:creator>
  <cp:keywords/>
  <dc:description/>
  <cp:lastModifiedBy>neayer sultana</cp:lastModifiedBy>
  <cp:revision>2</cp:revision>
  <dcterms:created xsi:type="dcterms:W3CDTF">2026-03-13T22:21:00Z</dcterms:created>
  <dcterms:modified xsi:type="dcterms:W3CDTF">2026-03-13T22:52:00Z</dcterms:modified>
</cp:coreProperties>
</file>