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line="480" w:lineRule="auto"/>
        <w:jc w:val="center"/>
        <w:rPr>
          <w:b w:val="1"/>
          <w:bCs w:val="1"/>
          <w:sz w:val="32"/>
          <w:szCs w:val="32"/>
          <w:lang w:val="en-US"/>
        </w:rPr>
      </w:pPr>
    </w:p>
    <w:p>
      <w:pPr>
        <w:pStyle w:val="Body"/>
        <w:spacing w:line="480" w:lineRule="auto"/>
        <w:jc w:val="center"/>
        <w:rPr>
          <w:b w:val="1"/>
          <w:bCs w:val="1"/>
          <w:sz w:val="32"/>
          <w:szCs w:val="32"/>
          <w:lang w:val="en-US"/>
        </w:rPr>
      </w:pPr>
    </w:p>
    <w:p>
      <w:pPr>
        <w:pStyle w:val="Body"/>
        <w:spacing w:line="480" w:lineRule="auto"/>
        <w:jc w:val="center"/>
        <w:rPr>
          <w:b w:val="1"/>
          <w:bCs w:val="1"/>
          <w:sz w:val="32"/>
          <w:szCs w:val="32"/>
          <w:lang w:val="en-US"/>
        </w:rPr>
      </w:pPr>
    </w:p>
    <w:p>
      <w:pPr>
        <w:pStyle w:val="Body"/>
        <w:spacing w:line="480" w:lineRule="auto"/>
        <w:jc w:val="center"/>
        <w:rPr>
          <w:b w:val="1"/>
          <w:bCs w:val="1"/>
          <w:sz w:val="32"/>
          <w:szCs w:val="32"/>
          <w:lang w:val="en-US"/>
        </w:rPr>
      </w:pPr>
    </w:p>
    <w:p>
      <w:pPr>
        <w:pStyle w:val="Body"/>
        <w:spacing w:line="480" w:lineRule="auto"/>
        <w:jc w:val="center"/>
        <w:rPr>
          <w:b w:val="1"/>
          <w:bCs w:val="1"/>
          <w:sz w:val="32"/>
          <w:szCs w:val="32"/>
          <w:lang w:val="en-US"/>
        </w:rPr>
      </w:pPr>
    </w:p>
    <w:p>
      <w:pPr>
        <w:pStyle w:val="Body"/>
        <w:spacing w:line="480" w:lineRule="auto"/>
        <w:jc w:val="center"/>
        <w:rPr>
          <w:b w:val="1"/>
          <w:bCs w:val="1"/>
          <w:sz w:val="32"/>
          <w:szCs w:val="32"/>
          <w:lang w:val="en-US"/>
        </w:rPr>
      </w:pPr>
    </w:p>
    <w:p>
      <w:pPr>
        <w:pStyle w:val="Body"/>
        <w:spacing w:line="480" w:lineRule="auto"/>
        <w:jc w:val="center"/>
        <w:rPr>
          <w:b w:val="1"/>
          <w:bCs w:val="1"/>
          <w:sz w:val="32"/>
          <w:szCs w:val="32"/>
          <w:lang w:val="en-US"/>
        </w:rPr>
      </w:pPr>
    </w:p>
    <w:p>
      <w:pPr>
        <w:pStyle w:val="Body"/>
        <w:spacing w:line="480" w:lineRule="auto"/>
        <w:jc w:val="center"/>
        <w:rPr>
          <w:b w:val="1"/>
          <w:bCs w:val="1"/>
          <w:sz w:val="32"/>
          <w:szCs w:val="32"/>
          <w:lang w:val="en-US"/>
        </w:rPr>
      </w:pPr>
    </w:p>
    <w:p>
      <w:pPr>
        <w:pStyle w:val="Body"/>
        <w:spacing w:line="480" w:lineRule="auto"/>
        <w:jc w:val="center"/>
        <w:rPr>
          <w:b w:val="1"/>
          <w:bCs w:val="1"/>
          <w:sz w:val="32"/>
          <w:szCs w:val="32"/>
          <w:lang w:val="en-US"/>
        </w:rPr>
      </w:pPr>
    </w:p>
    <w:p>
      <w:pPr>
        <w:pStyle w:val="Body"/>
        <w:spacing w:line="480" w:lineRule="auto"/>
        <w:jc w:val="center"/>
        <w:rPr>
          <w:b w:val="1"/>
          <w:bCs w:val="1"/>
          <w:sz w:val="32"/>
          <w:szCs w:val="32"/>
          <w:lang w:val="en-US"/>
        </w:rPr>
      </w:pPr>
    </w:p>
    <w:p>
      <w:pPr>
        <w:pStyle w:val="Body"/>
        <w:spacing w:line="480" w:lineRule="auto"/>
        <w:jc w:val="center"/>
        <w:rPr>
          <w:b w:val="1"/>
          <w:bCs w:val="1"/>
          <w:sz w:val="32"/>
          <w:szCs w:val="32"/>
          <w:lang w:val="en-US"/>
        </w:rPr>
      </w:pPr>
      <w:r>
        <w:rPr>
          <w:b w:val="1"/>
          <w:bCs w:val="1"/>
          <w:sz w:val="32"/>
          <w:szCs w:val="32"/>
          <w:rtl w:val="0"/>
          <w:lang w:val="en-US"/>
        </w:rPr>
        <w:t>INTERNATIONAL BUSINESS</w:t>
      </w:r>
    </w:p>
    <w:p>
      <w:pPr>
        <w:pStyle w:val="Body"/>
        <w:spacing w:line="480" w:lineRule="auto"/>
        <w:jc w:val="center"/>
        <w:rPr>
          <w:b w:val="1"/>
          <w:bCs w:val="1"/>
          <w:sz w:val="32"/>
          <w:szCs w:val="32"/>
          <w:lang w:val="en-US"/>
        </w:rPr>
      </w:pPr>
      <w:r>
        <w:rPr>
          <w:b w:val="1"/>
          <w:bCs w:val="1"/>
          <w:sz w:val="32"/>
          <w:szCs w:val="32"/>
          <w:rtl w:val="0"/>
          <w:lang w:val="en-US"/>
        </w:rPr>
        <w:t>Student name : ISMAIL HUSSAIN</w:t>
      </w:r>
    </w:p>
    <w:p>
      <w:pPr>
        <w:pStyle w:val="Body"/>
        <w:spacing w:line="480" w:lineRule="auto"/>
        <w:jc w:val="center"/>
        <w:rPr>
          <w:b w:val="1"/>
          <w:bCs w:val="1"/>
          <w:sz w:val="32"/>
          <w:szCs w:val="32"/>
        </w:rPr>
      </w:pPr>
      <w:r>
        <w:rPr>
          <w:b w:val="1"/>
          <w:bCs w:val="1"/>
          <w:sz w:val="32"/>
          <w:szCs w:val="32"/>
          <w:rtl w:val="0"/>
          <w:lang w:val="en-US"/>
        </w:rPr>
        <w:t>I</w:t>
      </w:r>
      <w:r>
        <w:rPr>
          <w:b w:val="1"/>
          <w:bCs w:val="1"/>
          <w:sz w:val="32"/>
          <w:szCs w:val="32"/>
          <w:rtl w:val="0"/>
          <w:lang w:val="en-US"/>
        </w:rPr>
        <w:t>’</w:t>
      </w:r>
      <w:r>
        <w:rPr>
          <w:b w:val="1"/>
          <w:bCs w:val="1"/>
          <w:sz w:val="32"/>
          <w:szCs w:val="32"/>
          <w:rtl w:val="0"/>
          <w:lang w:val="en-US"/>
        </w:rPr>
        <w:t>d : 2132179</w:t>
      </w:r>
    </w:p>
    <w:p>
      <w:pPr>
        <w:pStyle w:val="Body"/>
        <w:spacing w:line="480" w:lineRule="auto"/>
      </w:pPr>
      <w:r>
        <w:rPr>
          <w:rFonts w:ascii="Arial Unicode MS" w:cs="Arial Unicode MS" w:hAnsi="Arial Unicode MS" w:eastAsia="Arial Unicode MS"/>
          <w:b w:val="0"/>
          <w:bCs w:val="0"/>
          <w:i w:val="0"/>
          <w:iCs w:val="0"/>
          <w:lang w:val="en-US"/>
        </w:rPr>
        <w:br w:type="page"/>
      </w:r>
    </w:p>
    <w:p>
      <w:pPr>
        <w:pStyle w:val="Body"/>
        <w:spacing w:after="240" w:line="480" w:lineRule="auto"/>
        <w:jc w:val="both"/>
        <w:rPr>
          <w:shd w:val="clear" w:color="auto" w:fill="ffffff"/>
          <w:lang w:val="en-US"/>
        </w:rPr>
      </w:pPr>
    </w:p>
    <w:p>
      <w:pPr>
        <w:pStyle w:val="TOC Heading"/>
        <w:spacing w:after="240" w:line="480" w:lineRule="auto"/>
        <w:jc w:val="center"/>
        <w:rPr>
          <w:rFonts w:ascii="Arial" w:cs="Arial" w:hAnsi="Arial" w:eastAsia="Arial"/>
          <w:b w:val="1"/>
          <w:bCs w:val="1"/>
          <w:outline w:val="0"/>
          <w:color w:val="000000"/>
          <w:sz w:val="28"/>
          <w:szCs w:val="28"/>
          <w:u w:color="000000"/>
          <w:lang w:val="en-US"/>
          <w14:textFill>
            <w14:solidFill>
              <w14:srgbClr w14:val="000000"/>
            </w14:solidFill>
          </w14:textFill>
        </w:rPr>
      </w:pPr>
      <w:r>
        <w:rPr>
          <w:rFonts w:ascii="Arial" w:hAnsi="Arial"/>
          <w:b w:val="1"/>
          <w:bCs w:val="1"/>
          <w:outline w:val="0"/>
          <w:color w:val="000000"/>
          <w:sz w:val="28"/>
          <w:szCs w:val="28"/>
          <w:u w:color="000000"/>
          <w:rtl w:val="0"/>
          <w:lang w:val="en-US"/>
          <w14:textFill>
            <w14:solidFill>
              <w14:srgbClr w14:val="000000"/>
            </w14:solidFill>
          </w14:textFill>
        </w:rPr>
        <w:t>Table of Contents</w:t>
      </w:r>
    </w:p>
    <w:p>
      <w:pPr>
        <w:pStyle w:val="Body"/>
        <w:spacing w:line="480" w:lineRule="auto"/>
        <w:jc w:val="both"/>
      </w:pPr>
      <w:r>
        <w:rPr>
          <w:b w:val="1"/>
          <w:bCs w:val="1"/>
          <w:outline w:val="0"/>
          <w:color w:val="000000"/>
          <w:sz w:val="28"/>
          <w:szCs w:val="28"/>
          <w:u w:color="000000"/>
          <w:lang w:val="en-US"/>
          <w14:textFill>
            <w14:solidFill>
              <w14:srgbClr w14:val="000000"/>
            </w14:solidFill>
          </w14:textFill>
        </w:rPr>
        <w:fldChar w:fldCharType="begin" w:fldLock="0"/>
      </w:r>
      <w:r>
        <w:rPr>
          <w:b w:val="1"/>
          <w:bCs w:val="1"/>
          <w:outline w:val="0"/>
          <w:color w:val="000000"/>
          <w:sz w:val="28"/>
          <w:szCs w:val="28"/>
          <w:u w:color="000000"/>
          <w:lang w:val="en-US"/>
          <w14:textFill>
            <w14:solidFill>
              <w14:srgbClr w14:val="000000"/>
            </w14:solidFill>
          </w14:textFill>
        </w:rPr>
        <w:instrText xml:space="preserve"> TOC \o 1-2 </w:instrText>
      </w:r>
      <w:r>
        <w:rPr>
          <w:b w:val="1"/>
          <w:bCs w:val="1"/>
          <w:outline w:val="0"/>
          <w:color w:val="000000"/>
          <w:sz w:val="28"/>
          <w:szCs w:val="28"/>
          <w:u w:color="000000"/>
          <w:lang w:val="en-US"/>
          <w14:textFill>
            <w14:solidFill>
              <w14:srgbClr w14:val="000000"/>
            </w14:solidFill>
          </w14:textFill>
        </w:rPr>
        <w:fldChar w:fldCharType="separate" w:fldLock="0"/>
      </w:r>
    </w:p>
    <w:p>
      <w:pPr>
        <w:pStyle w:val="TOC 1"/>
      </w:pPr>
      <w:r>
        <w:rPr>
          <w:rFonts w:cs="Arial Unicode MS" w:eastAsia="Arial Unicode MS"/>
          <w:rtl w:val="0"/>
        </w:rPr>
        <w:t>Introduction</w:t>
        <w:tab/>
      </w:r>
      <w:r>
        <w:rPr/>
        <w:fldChar w:fldCharType="begin" w:fldLock="0"/>
      </w:r>
      <w:r>
        <w:instrText xml:space="preserve"> PAGEREF _Toc \h </w:instrText>
      </w:r>
      <w:r>
        <w:rPr/>
        <w:fldChar w:fldCharType="separate" w:fldLock="0"/>
      </w:r>
      <w:r>
        <w:rPr>
          <w:rFonts w:cs="Arial Unicode MS" w:eastAsia="Arial Unicode MS"/>
          <w:rtl w:val="0"/>
        </w:rPr>
        <w:t>3</w:t>
      </w:r>
      <w:r>
        <w:rPr/>
        <w:fldChar w:fldCharType="end" w:fldLock="0"/>
      </w:r>
    </w:p>
    <w:p>
      <w:pPr>
        <w:pStyle w:val="TOC 1"/>
      </w:pPr>
      <w:r>
        <w:rPr>
          <w:rFonts w:cs="Arial Unicode MS" w:eastAsia="Arial Unicode MS"/>
          <w:rtl w:val="0"/>
        </w:rPr>
        <w:t>Business Overview</w:t>
        <w:tab/>
      </w:r>
      <w:r>
        <w:rPr/>
        <w:fldChar w:fldCharType="begin" w:fldLock="0"/>
      </w:r>
      <w:r>
        <w:instrText xml:space="preserve"> PAGEREF _Toc1 \h </w:instrText>
      </w:r>
      <w:r>
        <w:rPr/>
        <w:fldChar w:fldCharType="separate" w:fldLock="0"/>
      </w:r>
      <w:r>
        <w:rPr>
          <w:rFonts w:cs="Arial Unicode MS" w:eastAsia="Arial Unicode MS"/>
          <w:rtl w:val="0"/>
        </w:rPr>
        <w:t>4</w:t>
      </w:r>
      <w:r>
        <w:rPr/>
        <w:fldChar w:fldCharType="end" w:fldLock="0"/>
      </w:r>
    </w:p>
    <w:p>
      <w:pPr>
        <w:pStyle w:val="TOC 2"/>
      </w:pPr>
      <w:r>
        <w:rPr>
          <w:rFonts w:cs="Arial Unicode MS" w:eastAsia="Arial Unicode MS"/>
          <w:rtl w:val="0"/>
        </w:rPr>
        <w:t>Business strategy of this company</w:t>
        <w:tab/>
      </w:r>
      <w:r>
        <w:rPr/>
        <w:fldChar w:fldCharType="begin" w:fldLock="0"/>
      </w:r>
      <w:r>
        <w:instrText xml:space="preserve"> PAGEREF _Toc2 \h </w:instrText>
      </w:r>
      <w:r>
        <w:rPr/>
        <w:fldChar w:fldCharType="separate" w:fldLock="0"/>
      </w:r>
      <w:r>
        <w:rPr>
          <w:rFonts w:cs="Arial Unicode MS" w:eastAsia="Arial Unicode MS"/>
          <w:rtl w:val="0"/>
        </w:rPr>
        <w:t>5</w:t>
      </w:r>
      <w:r>
        <w:rPr/>
        <w:fldChar w:fldCharType="end" w:fldLock="0"/>
      </w:r>
    </w:p>
    <w:p>
      <w:pPr>
        <w:pStyle w:val="TOC 2"/>
      </w:pPr>
      <w:r>
        <w:rPr>
          <w:rFonts w:cs="Arial Unicode MS" w:eastAsia="Arial Unicode MS"/>
          <w:rtl w:val="0"/>
        </w:rPr>
        <w:t>Quality maintenance strategy</w:t>
        <w:tab/>
      </w:r>
      <w:r>
        <w:rPr/>
        <w:fldChar w:fldCharType="begin" w:fldLock="0"/>
      </w:r>
      <w:r>
        <w:instrText xml:space="preserve"> PAGEREF _Toc3 \h </w:instrText>
      </w:r>
      <w:r>
        <w:rPr/>
        <w:fldChar w:fldCharType="separate" w:fldLock="0"/>
      </w:r>
      <w:r>
        <w:rPr>
          <w:rFonts w:cs="Arial Unicode MS" w:eastAsia="Arial Unicode MS"/>
          <w:rtl w:val="0"/>
        </w:rPr>
        <w:t>5</w:t>
      </w:r>
      <w:r>
        <w:rPr/>
        <w:fldChar w:fldCharType="end" w:fldLock="0"/>
      </w:r>
    </w:p>
    <w:p>
      <w:pPr>
        <w:pStyle w:val="TOC 2"/>
      </w:pPr>
      <w:r>
        <w:rPr>
          <w:rFonts w:cs="Arial Unicode MS" w:eastAsia="Arial Unicode MS"/>
          <w:rtl w:val="0"/>
        </w:rPr>
        <w:t>Social and cultural practices of this organization</w:t>
        <w:tab/>
      </w:r>
      <w:r>
        <w:rPr/>
        <w:fldChar w:fldCharType="begin" w:fldLock="0"/>
      </w:r>
      <w:r>
        <w:instrText xml:space="preserve"> PAGEREF _Toc4 \h </w:instrText>
      </w:r>
      <w:r>
        <w:rPr/>
        <w:fldChar w:fldCharType="separate" w:fldLock="0"/>
      </w:r>
      <w:r>
        <w:rPr>
          <w:rFonts w:cs="Arial Unicode MS" w:eastAsia="Arial Unicode MS"/>
          <w:rtl w:val="0"/>
        </w:rPr>
        <w:t>8</w:t>
      </w:r>
      <w:r>
        <w:rPr/>
        <w:fldChar w:fldCharType="end" w:fldLock="0"/>
      </w:r>
    </w:p>
    <w:p>
      <w:pPr>
        <w:pStyle w:val="TOC 2"/>
      </w:pPr>
      <w:r>
        <w:rPr>
          <w:rFonts w:cs="Arial Unicode MS" w:eastAsia="Arial Unicode MS"/>
          <w:rtl w:val="0"/>
        </w:rPr>
        <w:t>Sales and procurement strategy</w:t>
        <w:tab/>
      </w:r>
      <w:r>
        <w:rPr/>
        <w:fldChar w:fldCharType="begin" w:fldLock="0"/>
      </w:r>
      <w:r>
        <w:instrText xml:space="preserve"> PAGEREF _Toc5 \h </w:instrText>
      </w:r>
      <w:r>
        <w:rPr/>
        <w:fldChar w:fldCharType="separate" w:fldLock="0"/>
      </w:r>
      <w:r>
        <w:rPr>
          <w:rFonts w:cs="Arial Unicode MS" w:eastAsia="Arial Unicode MS"/>
          <w:rtl w:val="0"/>
        </w:rPr>
        <w:t>8</w:t>
      </w:r>
      <w:r>
        <w:rPr/>
        <w:fldChar w:fldCharType="end" w:fldLock="0"/>
      </w:r>
    </w:p>
    <w:p>
      <w:pPr>
        <w:pStyle w:val="TOC 1"/>
      </w:pPr>
      <w:r>
        <w:rPr>
          <w:rFonts w:cs="Arial Unicode MS" w:eastAsia="Arial Unicode MS"/>
          <w:rtl w:val="0"/>
        </w:rPr>
        <w:t>MARKET ANALYSIS</w:t>
        <w:tab/>
      </w:r>
      <w:r>
        <w:rPr/>
        <w:fldChar w:fldCharType="begin" w:fldLock="0"/>
      </w:r>
      <w:r>
        <w:instrText xml:space="preserve"> PAGEREF _Toc6 \h </w:instrText>
      </w:r>
      <w:r>
        <w:rPr/>
        <w:fldChar w:fldCharType="separate" w:fldLock="0"/>
      </w:r>
      <w:r>
        <w:rPr>
          <w:rFonts w:cs="Arial Unicode MS" w:eastAsia="Arial Unicode MS"/>
          <w:rtl w:val="0"/>
        </w:rPr>
        <w:t>9</w:t>
      </w:r>
      <w:r>
        <w:rPr/>
        <w:fldChar w:fldCharType="end" w:fldLock="0"/>
      </w:r>
    </w:p>
    <w:p>
      <w:pPr>
        <w:pStyle w:val="TOC 2"/>
      </w:pPr>
      <w:r>
        <w:rPr>
          <w:rFonts w:cs="Arial Unicode MS" w:eastAsia="Arial Unicode MS"/>
          <w:rtl w:val="0"/>
        </w:rPr>
        <w:t>SWOT analysis</w:t>
        <w:tab/>
      </w:r>
      <w:r>
        <w:rPr/>
        <w:fldChar w:fldCharType="begin" w:fldLock="0"/>
      </w:r>
      <w:r>
        <w:instrText xml:space="preserve"> PAGEREF _Toc7 \h </w:instrText>
      </w:r>
      <w:r>
        <w:rPr/>
        <w:fldChar w:fldCharType="separate" w:fldLock="0"/>
      </w:r>
      <w:r>
        <w:rPr>
          <w:rFonts w:cs="Arial Unicode MS" w:eastAsia="Arial Unicode MS"/>
          <w:rtl w:val="0"/>
        </w:rPr>
        <w:t>13</w:t>
      </w:r>
      <w:r>
        <w:rPr/>
        <w:fldChar w:fldCharType="end" w:fldLock="0"/>
      </w:r>
    </w:p>
    <w:p>
      <w:pPr>
        <w:pStyle w:val="TOC 2"/>
      </w:pPr>
      <w:r>
        <w:rPr>
          <w:rFonts w:cs="Arial Unicode MS" w:eastAsia="Arial Unicode MS"/>
          <w:rtl w:val="0"/>
        </w:rPr>
        <w:t>STP marketing</w:t>
        <w:tab/>
      </w:r>
      <w:r>
        <w:rPr/>
        <w:fldChar w:fldCharType="begin" w:fldLock="0"/>
      </w:r>
      <w:r>
        <w:instrText xml:space="preserve"> PAGEREF _Toc8 \h </w:instrText>
      </w:r>
      <w:r>
        <w:rPr/>
        <w:fldChar w:fldCharType="separate" w:fldLock="0"/>
      </w:r>
      <w:r>
        <w:rPr>
          <w:rFonts w:cs="Arial Unicode MS" w:eastAsia="Arial Unicode MS"/>
          <w:rtl w:val="0"/>
        </w:rPr>
        <w:t>15</w:t>
      </w:r>
      <w:r>
        <w:rPr/>
        <w:fldChar w:fldCharType="end" w:fldLock="0"/>
      </w:r>
    </w:p>
    <w:p>
      <w:pPr>
        <w:pStyle w:val="TOC 2"/>
      </w:pPr>
      <w:r>
        <w:rPr>
          <w:rFonts w:cs="Arial Unicode MS" w:eastAsia="Arial Unicode MS"/>
          <w:rtl w:val="0"/>
        </w:rPr>
        <w:t>Marketing mix</w:t>
        <w:tab/>
      </w:r>
      <w:r>
        <w:rPr/>
        <w:fldChar w:fldCharType="begin" w:fldLock="0"/>
      </w:r>
      <w:r>
        <w:instrText xml:space="preserve"> PAGEREF _Toc9 \h </w:instrText>
      </w:r>
      <w:r>
        <w:rPr/>
        <w:fldChar w:fldCharType="separate" w:fldLock="0"/>
      </w:r>
      <w:r>
        <w:rPr>
          <w:rFonts w:cs="Arial Unicode MS" w:eastAsia="Arial Unicode MS"/>
          <w:rtl w:val="0"/>
        </w:rPr>
        <w:t>16</w:t>
      </w:r>
      <w:r>
        <w:rPr/>
        <w:fldChar w:fldCharType="end" w:fldLock="0"/>
      </w:r>
    </w:p>
    <w:p>
      <w:pPr>
        <w:pStyle w:val="TOC 1"/>
      </w:pPr>
      <w:r>
        <w:rPr>
          <w:rFonts w:cs="Arial Unicode MS" w:eastAsia="Arial Unicode MS"/>
          <w:rtl w:val="0"/>
        </w:rPr>
        <w:t>Customer Need Analysis</w:t>
        <w:tab/>
      </w:r>
      <w:r>
        <w:rPr/>
        <w:fldChar w:fldCharType="begin" w:fldLock="0"/>
      </w:r>
      <w:r>
        <w:instrText xml:space="preserve"> PAGEREF _Toc10 \h </w:instrText>
      </w:r>
      <w:r>
        <w:rPr/>
        <w:fldChar w:fldCharType="separate" w:fldLock="0"/>
      </w:r>
      <w:r>
        <w:rPr>
          <w:rFonts w:cs="Arial Unicode MS" w:eastAsia="Arial Unicode MS"/>
          <w:rtl w:val="0"/>
        </w:rPr>
        <w:t>17</w:t>
      </w:r>
      <w:r>
        <w:rPr/>
        <w:fldChar w:fldCharType="end" w:fldLock="0"/>
      </w:r>
    </w:p>
    <w:p>
      <w:pPr>
        <w:pStyle w:val="TOC 1"/>
      </w:pPr>
      <w:r>
        <w:rPr>
          <w:rFonts w:cs="Arial Unicode MS" w:eastAsia="Arial Unicode MS"/>
          <w:rtl w:val="0"/>
        </w:rPr>
        <w:t>Mode of entry</w:t>
        <w:tab/>
      </w:r>
      <w:r>
        <w:rPr/>
        <w:fldChar w:fldCharType="begin" w:fldLock="0"/>
      </w:r>
      <w:r>
        <w:instrText xml:space="preserve"> PAGEREF _Toc11 \h </w:instrText>
      </w:r>
      <w:r>
        <w:rPr/>
        <w:fldChar w:fldCharType="separate" w:fldLock="0"/>
      </w:r>
      <w:r>
        <w:rPr>
          <w:rFonts w:cs="Arial Unicode MS" w:eastAsia="Arial Unicode MS"/>
          <w:rtl w:val="0"/>
        </w:rPr>
        <w:t>20</w:t>
      </w:r>
      <w:r>
        <w:rPr/>
        <w:fldChar w:fldCharType="end" w:fldLock="0"/>
      </w:r>
    </w:p>
    <w:p>
      <w:pPr>
        <w:pStyle w:val="TOC 1"/>
      </w:pPr>
      <w:r>
        <w:rPr>
          <w:rFonts w:cs="Arial Unicode MS" w:eastAsia="Arial Unicode MS"/>
          <w:rtl w:val="0"/>
        </w:rPr>
        <w:t>Conclusion and Recommendation</w:t>
        <w:tab/>
      </w:r>
      <w:r>
        <w:rPr/>
        <w:fldChar w:fldCharType="begin" w:fldLock="0"/>
      </w:r>
      <w:r>
        <w:instrText xml:space="preserve"> PAGEREF _Toc12 \h </w:instrText>
      </w:r>
      <w:r>
        <w:rPr/>
        <w:fldChar w:fldCharType="separate" w:fldLock="0"/>
      </w:r>
      <w:r>
        <w:rPr>
          <w:rFonts w:cs="Arial Unicode MS" w:eastAsia="Arial Unicode MS"/>
          <w:rtl w:val="0"/>
        </w:rPr>
        <w:t>24</w:t>
      </w:r>
      <w:r>
        <w:rPr/>
        <w:fldChar w:fldCharType="end" w:fldLock="0"/>
      </w:r>
    </w:p>
    <w:p>
      <w:pPr>
        <w:pStyle w:val="TOC 2"/>
      </w:pPr>
      <w:r>
        <w:rPr>
          <w:rFonts w:cs="Arial Unicode MS" w:eastAsia="Arial Unicode MS"/>
          <w:rtl w:val="0"/>
        </w:rPr>
        <w:t>Conclusion</w:t>
        <w:tab/>
      </w:r>
      <w:r>
        <w:rPr/>
        <w:fldChar w:fldCharType="begin" w:fldLock="0"/>
      </w:r>
      <w:r>
        <w:instrText xml:space="preserve"> PAGEREF _Toc13 \h </w:instrText>
      </w:r>
      <w:r>
        <w:rPr/>
        <w:fldChar w:fldCharType="separate" w:fldLock="0"/>
      </w:r>
      <w:r>
        <w:rPr>
          <w:rFonts w:cs="Arial Unicode MS" w:eastAsia="Arial Unicode MS"/>
          <w:rtl w:val="0"/>
        </w:rPr>
        <w:t>24</w:t>
      </w:r>
      <w:r>
        <w:rPr/>
        <w:fldChar w:fldCharType="end" w:fldLock="0"/>
      </w:r>
    </w:p>
    <w:p>
      <w:pPr>
        <w:pStyle w:val="TOC 2"/>
      </w:pPr>
      <w:r>
        <w:rPr>
          <w:rFonts w:cs="Arial Unicode MS" w:eastAsia="Arial Unicode MS"/>
          <w:rtl w:val="0"/>
        </w:rPr>
        <w:t>Recommendation</w:t>
        <w:tab/>
      </w:r>
      <w:r>
        <w:rPr/>
        <w:fldChar w:fldCharType="begin" w:fldLock="0"/>
      </w:r>
      <w:r>
        <w:instrText xml:space="preserve"> PAGEREF _Toc14 \h </w:instrText>
      </w:r>
      <w:r>
        <w:rPr/>
        <w:fldChar w:fldCharType="separate" w:fldLock="0"/>
      </w:r>
      <w:r>
        <w:rPr>
          <w:rFonts w:cs="Arial Unicode MS" w:eastAsia="Arial Unicode MS"/>
          <w:rtl w:val="0"/>
        </w:rPr>
        <w:t>24</w:t>
      </w:r>
      <w:r>
        <w:rPr/>
        <w:fldChar w:fldCharType="end" w:fldLock="0"/>
      </w:r>
    </w:p>
    <w:p>
      <w:pPr>
        <w:pStyle w:val="TOC 1"/>
      </w:pPr>
      <w:r>
        <w:rPr>
          <w:rFonts w:cs="Arial Unicode MS" w:eastAsia="Arial Unicode MS"/>
          <w:rtl w:val="0"/>
        </w:rPr>
        <w:t>References</w:t>
        <w:tab/>
      </w:r>
      <w:r>
        <w:rPr/>
        <w:fldChar w:fldCharType="begin" w:fldLock="0"/>
      </w:r>
      <w:r>
        <w:instrText xml:space="preserve"> PAGEREF _Toc15 \h </w:instrText>
      </w:r>
      <w:r>
        <w:rPr/>
        <w:fldChar w:fldCharType="separate" w:fldLock="0"/>
      </w:r>
      <w:r>
        <w:rPr>
          <w:rFonts w:cs="Arial Unicode MS" w:eastAsia="Arial Unicode MS"/>
          <w:rtl w:val="0"/>
        </w:rPr>
        <w:t>26</w:t>
      </w:r>
      <w:r>
        <w:rPr/>
        <w:fldChar w:fldCharType="end" w:fldLock="0"/>
      </w:r>
    </w:p>
    <w:p>
      <w:pPr>
        <w:spacing w:line="480" w:lineRule="auto"/>
        <w:jc w:val="both"/>
      </w:pPr>
      <w:r>
        <w:rPr>
          <w:b w:val="1"/>
          <w:bCs w:val="1"/>
          <w:outline w:val="0"/>
          <w:color w:val="000000"/>
          <w:sz w:val="28"/>
          <w:szCs w:val="28"/>
          <w:u w:color="000000"/>
          <w:lang w:val="en-US"/>
          <w14:textFill>
            <w14:solidFill>
              <w14:srgbClr w14:val="000000"/>
            </w14:solidFill>
          </w14:textFill>
        </w:rPr>
        <w:fldChar w:fldCharType="end" w:fldLock="0"/>
      </w:r>
    </w:p>
    <w:p>
      <w:pPr>
        <w:pStyle w:val="Body"/>
        <w:spacing w:line="480" w:lineRule="auto"/>
        <w:jc w:val="both"/>
      </w:pPr>
      <w:r>
        <w:rPr>
          <w:rFonts w:ascii="Arial Unicode MS" w:cs="Arial Unicode MS" w:hAnsi="Arial Unicode MS" w:eastAsia="Arial Unicode MS"/>
          <w:b w:val="0"/>
          <w:bCs w:val="0"/>
          <w:i w:val="0"/>
          <w:iCs w:val="0"/>
          <w:shd w:val="clear" w:color="auto" w:fill="ffffff"/>
          <w:lang w:val="en-US"/>
        </w:rPr>
        <w:br w:type="page"/>
      </w:r>
    </w:p>
    <w:p>
      <w:pPr>
        <w:pStyle w:val="Heading"/>
        <w:spacing w:line="480" w:lineRule="auto"/>
      </w:pPr>
      <w:bookmarkStart w:name="_Toc" w:id="0"/>
      <w:r>
        <w:rPr>
          <w:rtl w:val="0"/>
          <w:lang w:val="en-US"/>
        </w:rPr>
        <w:t>Introduction</w:t>
      </w:r>
      <w:r>
        <w:rPr>
          <w:rtl w:val="0"/>
          <w:lang w:val="en-US"/>
        </w:rPr>
        <w:t> </w:t>
      </w:r>
      <w:bookmarkEnd w:id="0"/>
    </w:p>
    <w:p>
      <w:pPr>
        <w:pStyle w:val="Normal (Web)"/>
        <w:spacing w:before="240" w:after="240" w:line="480" w:lineRule="auto"/>
        <w:jc w:val="both"/>
        <w:rPr>
          <w:rFonts w:ascii="Arial" w:cs="Arial" w:hAnsi="Arial" w:eastAsia="Arial"/>
        </w:rPr>
      </w:pPr>
      <w:r>
        <w:rPr>
          <w:rFonts w:ascii="Arial" w:hAnsi="Arial"/>
          <w:outline w:val="0"/>
          <w:color w:val="000000"/>
          <w:sz w:val="22"/>
          <w:szCs w:val="22"/>
          <w:u w:color="000000"/>
          <w:rtl w:val="0"/>
          <w:lang w:val="en-US"/>
          <w14:textFill>
            <w14:solidFill>
              <w14:srgbClr w14:val="000000"/>
            </w14:solidFill>
          </w14:textFill>
        </w:rPr>
        <w:t>A business report is the data collection accompanied by further analysis to ensure that relatable information can be easily availed to an organisation. It implies a professional document that demonstrates arguments, statistical data, research analysis, facts, and so on, which are presented in a systematic way and the information relevant to business interest. The following study describes the business report of Toyota incorporation for gathering and analysing insights into the proceedings of the organisation. The report comprises the business overview of the organisation along with external and internal environment analysis through frameworks such as PESTLE analysis, SWOT analysis, and STP model. It also comprises the analysis of the customer needs as per the current market as well as the market of the nearby future. The report also discusses the mode acquired by the organisation to enter the market. Lastly, the report ends with an overall conclusion of the report accompanied by informative recommendations for the organisation.</w:t>
      </w:r>
      <w:r>
        <w:rPr>
          <w:rFonts w:ascii="Arial" w:hAnsi="Arial" w:hint="default"/>
          <w:outline w:val="0"/>
          <w:color w:val="000000"/>
          <w:sz w:val="22"/>
          <w:szCs w:val="22"/>
          <w:u w:color="000000"/>
          <w:rtl w:val="0"/>
          <w:lang w:val="en-US"/>
          <w14:textFill>
            <w14:solidFill>
              <w14:srgbClr w14:val="000000"/>
            </w14:solidFill>
          </w14:textFill>
        </w:rPr>
        <w:t> </w:t>
      </w:r>
    </w:p>
    <w:p>
      <w:pPr>
        <w:pStyle w:val="Normal (Web)"/>
        <w:spacing w:before="240" w:after="240" w:line="480" w:lineRule="auto"/>
        <w:jc w:val="both"/>
        <w:rPr>
          <w:rFonts w:ascii="Arial" w:cs="Arial" w:hAnsi="Arial" w:eastAsia="Arial"/>
        </w:rPr>
      </w:pPr>
      <w:r>
        <w:rPr>
          <w:rFonts w:ascii="Arial" w:cs="Arial" w:hAnsi="Arial" w:eastAsia="Arial"/>
          <w:outline w:val="0"/>
          <w:color w:val="000000"/>
          <w:sz w:val="22"/>
          <w:szCs w:val="22"/>
          <w:u w:color="000000"/>
          <w14:textFill>
            <w14:solidFill>
              <w14:srgbClr w14:val="000000"/>
            </w14:solidFill>
          </w14:textFill>
        </w:rPr>
        <w:drawing xmlns:a="http://schemas.openxmlformats.org/drawingml/2006/main">
          <wp:inline distT="0" distB="0" distL="0" distR="0">
            <wp:extent cx="5448173" cy="2933632"/>
            <wp:effectExtent l="0" t="0" r="0" b="0"/>
            <wp:docPr id="1073741825" name="officeArt object" descr="https://lh3.googleusercontent.com/abW5OlfEEvkivA3eW3iCnJm3kUl9PJzITECXT5VYSWogSppVPlvlyHyDUcmSY2MuVEbZKEKa4xnpa0RWxdpmsv5L1VQFamrtousrLOC0Q8qN1_jXAqfyRPrMDY37r3oXdLkP6b1J8wpbWkUdFQLF6zf9Pkx03hLWEcf4PEozU3ozEGQ0ZsVQpqHGVvAKjw"/>
            <wp:cNvGraphicFramePr/>
            <a:graphic xmlns:a="http://schemas.openxmlformats.org/drawingml/2006/main">
              <a:graphicData uri="http://schemas.openxmlformats.org/drawingml/2006/picture">
                <pic:pic xmlns:pic="http://schemas.openxmlformats.org/drawingml/2006/picture">
                  <pic:nvPicPr>
                    <pic:cNvPr id="1073741825" name="https://lh3.googleusercontent.com/abW5OlfEEvkivA3eW3iCnJm3kUl9PJzITECXT5VYSWogSppVPlvlyHyDUcmSY2MuVEbZKEKa4xnpa0RWxdpmsv5L1VQFamrtousrLOC0Q8qN1_jXAqfyRPrMDY37r3oXdLkP6b1J8wpbWkUdFQLF6zf9Pkx03hLWEcf4PEozU3ozEGQ0ZsVQpqHGVvAKjw" descr="https://lh3.googleusercontent.com/abW5OlfEEvkivA3eW3iCnJm3kUl9PJzITECXT5VYSWogSppVPlvlyHyDUcmSY2MuVEbZKEKa4xnpa0RWxdpmsv5L1VQFamrtousrLOC0Q8qN1_jXAqfyRPrMDY37r3oXdLkP6b1J8wpbWkUdFQLF6zf9Pkx03hLWEcf4PEozU3ozEGQ0ZsVQpqHGVvAKjw"/>
                    <pic:cNvPicPr>
                      <a:picLocks noChangeAspect="1"/>
                    </pic:cNvPicPr>
                  </pic:nvPicPr>
                  <pic:blipFill>
                    <a:blip r:embed="rId4">
                      <a:extLst/>
                    </a:blip>
                    <a:stretch>
                      <a:fillRect/>
                    </a:stretch>
                  </pic:blipFill>
                  <pic:spPr>
                    <a:xfrm>
                      <a:off x="0" y="0"/>
                      <a:ext cx="5448173" cy="2933632"/>
                    </a:xfrm>
                    <a:prstGeom prst="rect">
                      <a:avLst/>
                    </a:prstGeom>
                    <a:ln w="38100" cap="sq">
                      <a:solidFill>
                        <a:srgbClr val="000000"/>
                      </a:solidFill>
                      <a:prstDash val="solid"/>
                      <a:miter lim="800000"/>
                    </a:ln>
                    <a:effectLst>
                      <a:outerShdw sx="100000" sy="100000" kx="0" ky="0" algn="b" rotWithShape="0" blurRad="50800" dist="38100" dir="2700000">
                        <a:srgbClr val="000000">
                          <a:alpha val="43000"/>
                        </a:srgbClr>
                      </a:outerShdw>
                    </a:effectLst>
                  </pic:spPr>
                </pic:pic>
              </a:graphicData>
            </a:graphic>
          </wp:inline>
        </w:drawing>
      </w:r>
    </w:p>
    <w:p>
      <w:pPr>
        <w:pStyle w:val="Normal (Web)"/>
        <w:spacing w:before="240" w:after="240" w:line="480" w:lineRule="auto"/>
        <w:jc w:val="center"/>
        <w:rPr>
          <w:rFonts w:ascii="Arial" w:cs="Arial" w:hAnsi="Arial" w:eastAsia="Arial"/>
        </w:rPr>
      </w:pPr>
      <w:r>
        <w:rPr>
          <w:rFonts w:ascii="Arial" w:hAnsi="Arial"/>
          <w:b w:val="1"/>
          <w:bCs w:val="1"/>
          <w:outline w:val="0"/>
          <w:color w:val="000000"/>
          <w:sz w:val="22"/>
          <w:szCs w:val="22"/>
          <w:u w:color="000000"/>
          <w:rtl w:val="0"/>
          <w:lang w:val="en-US"/>
          <w14:textFill>
            <w14:solidFill>
              <w14:srgbClr w14:val="000000"/>
            </w14:solidFill>
          </w14:textFill>
        </w:rPr>
        <w:t xml:space="preserve">Figure 1: </w:t>
      </w:r>
      <w:r>
        <w:rPr>
          <w:rFonts w:ascii="Arial" w:hAnsi="Arial" w:hint="default"/>
          <w:b w:val="1"/>
          <w:bCs w:val="1"/>
          <w:outline w:val="0"/>
          <w:color w:val="000000"/>
          <w:sz w:val="22"/>
          <w:szCs w:val="22"/>
          <w:u w:color="000000"/>
          <w:rtl w:val="0"/>
          <w:lang w:val="en-US"/>
          <w14:textFill>
            <w14:solidFill>
              <w14:srgbClr w14:val="000000"/>
            </w14:solidFill>
          </w14:textFill>
        </w:rPr>
        <w:t>“</w:t>
      </w:r>
      <w:r>
        <w:rPr>
          <w:rFonts w:ascii="Arial" w:hAnsi="Arial"/>
          <w:b w:val="1"/>
          <w:bCs w:val="1"/>
          <w:outline w:val="0"/>
          <w:color w:val="000000"/>
          <w:sz w:val="22"/>
          <w:szCs w:val="22"/>
          <w:u w:color="000000"/>
          <w:rtl w:val="0"/>
          <w:lang w:val="en-US"/>
          <w14:textFill>
            <w14:solidFill>
              <w14:srgbClr w14:val="000000"/>
            </w14:solidFill>
          </w14:textFill>
        </w:rPr>
        <w:t>Autonomous driving patent race</w:t>
      </w:r>
      <w:r>
        <w:rPr>
          <w:rFonts w:ascii="Arial" w:hAnsi="Arial" w:hint="default"/>
          <w:b w:val="1"/>
          <w:bCs w:val="1"/>
          <w:outline w:val="0"/>
          <w:color w:val="000000"/>
          <w:sz w:val="22"/>
          <w:szCs w:val="22"/>
          <w:u w:color="000000"/>
          <w:rtl w:val="0"/>
          <w:lang w:val="en-US"/>
          <w14:textFill>
            <w14:solidFill>
              <w14:srgbClr w14:val="000000"/>
            </w14:solidFill>
          </w14:textFill>
        </w:rPr>
        <w:t>”</w:t>
      </w:r>
    </w:p>
    <w:p>
      <w:pPr>
        <w:pStyle w:val="Normal (Web)"/>
        <w:spacing w:before="240" w:after="240" w:line="480" w:lineRule="auto"/>
        <w:jc w:val="center"/>
        <w:rPr>
          <w:rFonts w:ascii="Arial" w:cs="Arial" w:hAnsi="Arial" w:eastAsia="Arial"/>
        </w:rPr>
      </w:pPr>
      <w:r>
        <w:rPr>
          <w:rFonts w:ascii="Arial" w:hAnsi="Arial"/>
          <w:outline w:val="0"/>
          <w:color w:val="000000"/>
          <w:sz w:val="22"/>
          <w:szCs w:val="22"/>
          <w:u w:color="000000"/>
          <w:rtl w:val="0"/>
          <w:lang w:val="en-US"/>
          <w14:textFill>
            <w14:solidFill>
              <w14:srgbClr w14:val="000000"/>
            </w14:solidFill>
          </w14:textFill>
        </w:rPr>
        <w:t>(Source: Thecarconnection.com, 2023)</w:t>
      </w:r>
    </w:p>
    <w:p>
      <w:pPr>
        <w:pStyle w:val="Normal (Web)"/>
        <w:spacing w:before="240" w:after="240" w:line="480" w:lineRule="auto"/>
        <w:jc w:val="both"/>
        <w:rPr>
          <w:rFonts w:ascii="Arial" w:cs="Arial" w:hAnsi="Arial" w:eastAsia="Arial"/>
        </w:rPr>
      </w:pPr>
      <w:r>
        <w:rPr>
          <w:rFonts w:ascii="Arial" w:hAnsi="Arial"/>
          <w:outline w:val="0"/>
          <w:color w:val="000000"/>
          <w:sz w:val="22"/>
          <w:szCs w:val="22"/>
          <w:u w:color="000000"/>
          <w:rtl w:val="0"/>
          <w:lang w:val="en-US"/>
          <w14:textFill>
            <w14:solidFill>
              <w14:srgbClr w14:val="000000"/>
            </w14:solidFill>
          </w14:textFill>
        </w:rPr>
        <w:t>"Toyota Motor Corp." is considered the largest Japanese automobile producer as well as among the largest automobile organisations across the globe. It was founded in the year 1933 as a component of the "Toyoda Automatic Loom Works, Ltd.". However, in the year 1937 it was established as "Toyota Motor Co., Ltd."The organisation is engrossed in the production and sales of automobiles along with its parts (Global.toyota, 2023). It functions by the means of particular segments such as Financial, Automotive Services, and other segments. The Automotive segment formulates, produces, assembles, and sales of minivans, passenger cars, and trucks, along with relevant accessories and vehicle parts. The Financial segment facilitates lease financing or purchase to customers and vehicle dealers of the organisation (Global.toyota, 2023). However, all the other segments deal with other affairs such as manufacturing and designing as well as the sale of housing along with telecommunications and other associated business proceedings.</w:t>
      </w:r>
      <w:r>
        <w:rPr>
          <w:rFonts w:ascii="Arial" w:hAnsi="Arial" w:hint="default"/>
          <w:outline w:val="0"/>
          <w:color w:val="000000"/>
          <w:sz w:val="22"/>
          <w:szCs w:val="22"/>
          <w:u w:color="000000"/>
          <w:rtl w:val="0"/>
          <w:lang w:val="en-US"/>
          <w14:textFill>
            <w14:solidFill>
              <w14:srgbClr w14:val="000000"/>
            </w14:solidFill>
          </w14:textFill>
        </w:rPr>
        <w:t> </w:t>
      </w:r>
    </w:p>
    <w:p>
      <w:pPr>
        <w:pStyle w:val="Heading"/>
        <w:spacing w:line="480" w:lineRule="auto"/>
      </w:pPr>
      <w:bookmarkStart w:name="_Toc1" w:id="1"/>
      <w:r>
        <w:rPr>
          <w:rtl w:val="0"/>
          <w:lang w:val="en-US"/>
        </w:rPr>
        <w:t>Business Overview</w:t>
      </w:r>
      <w:r>
        <w:rPr>
          <w:rtl w:val="0"/>
          <w:lang w:val="en-US"/>
        </w:rPr>
        <w:t> </w:t>
      </w:r>
      <w:bookmarkEnd w:id="1"/>
    </w:p>
    <w:p>
      <w:pPr>
        <w:pStyle w:val="Normal (Web)"/>
        <w:spacing w:line="480" w:lineRule="auto"/>
        <w:jc w:val="both"/>
        <w:rPr>
          <w:rFonts w:ascii="Arial" w:cs="Arial" w:hAnsi="Arial" w:eastAsia="Arial"/>
          <w:outline w:val="0"/>
          <w:color w:val="000000"/>
          <w:sz w:val="22"/>
          <w:szCs w:val="22"/>
          <w:u w:color="000000"/>
          <w14:textFill>
            <w14:solidFill>
              <w14:srgbClr w14:val="000000"/>
            </w14:solidFill>
          </w14:textFill>
        </w:rPr>
      </w:pPr>
      <w:r>
        <w:rPr>
          <w:rFonts w:ascii="Arial" w:hAnsi="Arial"/>
          <w:sz w:val="22"/>
          <w:szCs w:val="22"/>
          <w:rtl w:val="0"/>
          <w:lang w:val="en-US"/>
        </w:rPr>
        <w:t>"International Business" refers to the term by which any business can able to operate over international borders, which helps to create connections among all the countries that, help the business to grow. International business helps to do</w:t>
      </w:r>
      <w:r>
        <w:rPr>
          <w:rFonts w:ascii="Arial" w:hAnsi="Arial" w:hint="default"/>
          <w:sz w:val="22"/>
          <w:szCs w:val="22"/>
          <w:rtl w:val="0"/>
          <w:lang w:val="en-US"/>
        </w:rPr>
        <w:t> </w:t>
      </w:r>
      <w:r>
        <w:rPr>
          <w:rFonts w:ascii="Arial" w:hAnsi="Arial"/>
          <w:sz w:val="22"/>
          <w:szCs w:val="22"/>
          <w:rtl w:val="0"/>
          <w:lang w:val="en-US"/>
        </w:rPr>
        <w:t>commercial activities which are able to</w:t>
      </w:r>
      <w:r>
        <w:rPr>
          <w:rFonts w:ascii="Arial" w:hAnsi="Arial" w:hint="default"/>
          <w:sz w:val="22"/>
          <w:szCs w:val="22"/>
          <w:rtl w:val="0"/>
          <w:lang w:val="en-US"/>
        </w:rPr>
        <w:t> </w:t>
      </w:r>
      <w:r>
        <w:rPr>
          <w:rFonts w:ascii="Arial" w:hAnsi="Arial"/>
          <w:sz w:val="22"/>
          <w:szCs w:val="22"/>
          <w:rtl w:val="0"/>
          <w:lang w:val="en-US"/>
        </w:rPr>
        <w:t>encourage the</w:t>
      </w:r>
      <w:r>
        <w:rPr>
          <w:rFonts w:ascii="Arial" w:hAnsi="Arial" w:hint="default"/>
          <w:sz w:val="22"/>
          <w:szCs w:val="22"/>
          <w:rtl w:val="0"/>
          <w:lang w:val="en-US"/>
        </w:rPr>
        <w:t> </w:t>
      </w:r>
      <w:r>
        <w:rPr>
          <w:rFonts w:ascii="Arial" w:hAnsi="Arial"/>
          <w:sz w:val="22"/>
          <w:szCs w:val="22"/>
          <w:rtl w:val="0"/>
          <w:lang w:val="en-US"/>
        </w:rPr>
        <w:t>services, products, and</w:t>
      </w:r>
      <w:r>
        <w:rPr>
          <w:rFonts w:ascii="Arial" w:hAnsi="Arial" w:hint="default"/>
          <w:sz w:val="22"/>
          <w:szCs w:val="22"/>
          <w:rtl w:val="0"/>
          <w:lang w:val="en-US"/>
        </w:rPr>
        <w:t> </w:t>
      </w:r>
      <w:r>
        <w:rPr>
          <w:rFonts w:ascii="Arial" w:hAnsi="Arial"/>
          <w:sz w:val="22"/>
          <w:szCs w:val="22"/>
          <w:rtl w:val="0"/>
          <w:lang w:val="en-US"/>
        </w:rPr>
        <w:t>technologies in the international</w:t>
      </w:r>
      <w:r>
        <w:rPr>
          <w:rFonts w:ascii="Arial" w:hAnsi="Arial" w:hint="default"/>
          <w:sz w:val="22"/>
          <w:szCs w:val="22"/>
          <w:rtl w:val="0"/>
          <w:lang w:val="en-US"/>
        </w:rPr>
        <w:t> </w:t>
      </w:r>
      <w:r>
        <w:rPr>
          <w:rFonts w:ascii="Arial" w:hAnsi="Arial"/>
          <w:sz w:val="22"/>
          <w:szCs w:val="22"/>
          <w:rtl w:val="0"/>
          <w:lang w:val="en-US"/>
        </w:rPr>
        <w:t>boundaries that are able to help the business (</w:t>
      </w:r>
      <w:r>
        <w:rPr>
          <w:rFonts w:ascii="Arial" w:hAnsi="Arial"/>
          <w:outline w:val="0"/>
          <w:color w:val="000000"/>
          <w:sz w:val="22"/>
          <w:szCs w:val="22"/>
          <w:u w:color="000000"/>
          <w:rtl w:val="0"/>
          <w:lang w:val="en-US"/>
          <w14:textFill>
            <w14:solidFill>
              <w14:srgbClr w14:val="000000"/>
            </w14:solidFill>
          </w14:textFill>
        </w:rPr>
        <w:t xml:space="preserve">Bahoo </w:t>
      </w:r>
      <w:r>
        <w:rPr>
          <w:rFonts w:ascii="Arial" w:hAnsi="Arial"/>
          <w:i w:val="1"/>
          <w:iCs w:val="1"/>
          <w:outline w:val="0"/>
          <w:color w:val="000000"/>
          <w:sz w:val="22"/>
          <w:szCs w:val="22"/>
          <w:u w:color="000000"/>
          <w:rtl w:val="0"/>
          <w:lang w:val="en-US"/>
          <w14:textFill>
            <w14:solidFill>
              <w14:srgbClr w14:val="000000"/>
            </w14:solidFill>
          </w14:textFill>
        </w:rPr>
        <w:t>et al.</w:t>
      </w:r>
      <w:r>
        <w:rPr>
          <w:rFonts w:ascii="Arial" w:hAnsi="Arial"/>
          <w:outline w:val="0"/>
          <w:color w:val="000000"/>
          <w:sz w:val="22"/>
          <w:szCs w:val="22"/>
          <w:u w:color="000000"/>
          <w:rtl w:val="0"/>
          <w:lang w:val="en-US"/>
          <w14:textFill>
            <w14:solidFill>
              <w14:srgbClr w14:val="000000"/>
            </w14:solidFill>
          </w14:textFill>
        </w:rPr>
        <w:t xml:space="preserve"> 2020). This process of business helps to gain knowledge about the international market and this perspective help to become the business successfully.</w:t>
      </w:r>
      <w:r>
        <w:rPr>
          <w:rFonts w:ascii="Arial" w:hAnsi="Arial" w:hint="default"/>
          <w:outline w:val="0"/>
          <w:color w:val="000000"/>
          <w:sz w:val="22"/>
          <w:szCs w:val="22"/>
          <w:u w:color="000000"/>
          <w:rtl w:val="0"/>
          <w:lang w:val="en-US"/>
          <w14:textFill>
            <w14:solidFill>
              <w14:srgbClr w14:val="000000"/>
            </w14:solidFill>
          </w14:textFill>
        </w:rPr>
        <w:t xml:space="preserve">  </w:t>
      </w:r>
      <w:r>
        <w:rPr>
          <w:rFonts w:ascii="Arial" w:hAnsi="Arial"/>
          <w:outline w:val="0"/>
          <w:color w:val="000000"/>
          <w:sz w:val="22"/>
          <w:szCs w:val="22"/>
          <w:u w:color="000000"/>
          <w:rtl w:val="0"/>
          <w:lang w:val="en-US"/>
          <w14:textFill>
            <w14:solidFill>
              <w14:srgbClr w14:val="000000"/>
            </w14:solidFill>
          </w14:textFill>
        </w:rPr>
        <w:t>As per the opinion of</w:t>
      </w:r>
      <w:r>
        <w:rPr>
          <w:rFonts w:ascii="Arial" w:hAnsi="Arial" w:hint="default"/>
          <w:outline w:val="0"/>
          <w:color w:val="000000"/>
          <w:sz w:val="22"/>
          <w:szCs w:val="22"/>
          <w:u w:color="000000"/>
          <w:rtl w:val="0"/>
          <w:lang w:val="en-US"/>
          <w14:textFill>
            <w14:solidFill>
              <w14:srgbClr w14:val="000000"/>
            </w14:solidFill>
          </w14:textFill>
        </w:rPr>
        <w:t> </w:t>
      </w:r>
      <w:r>
        <w:rPr>
          <w:rFonts w:ascii="Arial" w:hAnsi="Arial"/>
          <w:outline w:val="0"/>
          <w:color w:val="000000"/>
          <w:sz w:val="22"/>
          <w:szCs w:val="22"/>
          <w:u w:color="000000"/>
          <w:rtl w:val="0"/>
          <w:lang w:val="en-US"/>
          <w14:textFill>
            <w14:solidFill>
              <w14:srgbClr w14:val="000000"/>
            </w14:solidFill>
          </w14:textFill>
        </w:rPr>
        <w:t xml:space="preserve">Srivastava </w:t>
      </w:r>
      <w:r>
        <w:rPr>
          <w:rFonts w:ascii="Arial" w:hAnsi="Arial"/>
          <w:i w:val="1"/>
          <w:iCs w:val="1"/>
          <w:outline w:val="0"/>
          <w:color w:val="000000"/>
          <w:sz w:val="22"/>
          <w:szCs w:val="22"/>
          <w:u w:color="000000"/>
          <w:rtl w:val="0"/>
          <w:lang w:val="en-US"/>
          <w14:textFill>
            <w14:solidFill>
              <w14:srgbClr w14:val="000000"/>
            </w14:solidFill>
          </w14:textFill>
        </w:rPr>
        <w:t xml:space="preserve">et al. </w:t>
      </w:r>
      <w:r>
        <w:rPr>
          <w:rFonts w:ascii="Arial" w:hAnsi="Arial"/>
          <w:outline w:val="0"/>
          <w:color w:val="000000"/>
          <w:sz w:val="22"/>
          <w:szCs w:val="22"/>
          <w:u w:color="000000"/>
          <w:rtl w:val="0"/>
          <w:lang w:val="en-US"/>
          <w14:textFill>
            <w14:solidFill>
              <w14:srgbClr w14:val="000000"/>
            </w14:solidFill>
          </w14:textFill>
        </w:rPr>
        <w:t>(2020), this business process helps every organization or company to gain more knowledge about other information, which is able to help the business to earn more profit, and helps to gate more opportunities from others.</w:t>
      </w:r>
    </w:p>
    <w:p>
      <w:pPr>
        <w:pStyle w:val="Heading 2"/>
      </w:pPr>
      <w:bookmarkStart w:name="_Toc2" w:id="2"/>
      <w:r>
        <w:rPr>
          <w:rFonts w:cs="Arial Unicode MS" w:eastAsia="Arial Unicode MS"/>
          <w:rtl w:val="0"/>
          <w:lang w:val="en-US"/>
        </w:rPr>
        <w:t>Business strategy of this company</w:t>
        <w:tab/>
      </w:r>
      <w:bookmarkEnd w:id="2"/>
    </w:p>
    <w:p>
      <w:pPr>
        <w:pStyle w:val="Normal (Web)"/>
        <w:spacing w:line="480" w:lineRule="auto"/>
        <w:jc w:val="both"/>
        <w:rPr>
          <w:rFonts w:ascii="Arial" w:cs="Arial" w:hAnsi="Arial" w:eastAsia="Arial"/>
          <w:sz w:val="22"/>
          <w:szCs w:val="22"/>
        </w:rPr>
      </w:pPr>
      <w:r>
        <w:rPr>
          <w:rFonts w:ascii="Arial" w:hAnsi="Arial"/>
          <w:sz w:val="22"/>
          <w:szCs w:val="22"/>
          <w:rtl w:val="0"/>
          <w:lang w:val="en-US"/>
        </w:rPr>
        <w:t>Business strategy is an outline of a particular business by which an organization can able to achieve all the goals and aims of that organization. A good business strategy can able to provide a proper roadmap for the business as well as able to give a good impact on the business (Ritter and Schanz, 2019). The organization "Toyota" strategy is based on the "KAIZEN strategy" which refers to the process of continuous improvement and the impact of good quality products. This "KAIZEN" strategy refers to an</w:t>
      </w:r>
      <w:r>
        <w:rPr>
          <w:rFonts w:ascii="Arial" w:hAnsi="Arial" w:hint="default"/>
          <w:sz w:val="22"/>
          <w:szCs w:val="22"/>
          <w:rtl w:val="0"/>
          <w:lang w:val="en-US"/>
        </w:rPr>
        <w:t> </w:t>
      </w:r>
      <w:r>
        <w:rPr>
          <w:rFonts w:ascii="Arial" w:hAnsi="Arial"/>
          <w:sz w:val="22"/>
          <w:szCs w:val="22"/>
          <w:rtl w:val="0"/>
          <w:lang w:val="en-US"/>
        </w:rPr>
        <w:t>integrative process that focuses a cross-functional</w:t>
      </w:r>
      <w:r>
        <w:rPr>
          <w:rFonts w:ascii="Arial" w:hAnsi="Arial" w:hint="default"/>
          <w:sz w:val="22"/>
          <w:szCs w:val="22"/>
          <w:rtl w:val="0"/>
          <w:lang w:val="en-US"/>
        </w:rPr>
        <w:t> </w:t>
      </w:r>
      <w:r>
        <w:rPr>
          <w:rFonts w:ascii="Arial" w:hAnsi="Arial"/>
          <w:sz w:val="22"/>
          <w:szCs w:val="22"/>
          <w:rtl w:val="0"/>
          <w:lang w:val="en-US"/>
        </w:rPr>
        <w:t>strategy that gives an improvement to the business process (Limpo and Kamase, 2022).</w:t>
      </w:r>
      <w:r>
        <w:rPr>
          <w:rFonts w:ascii="Arial" w:hAnsi="Arial" w:hint="default"/>
          <w:sz w:val="22"/>
          <w:szCs w:val="22"/>
          <w:rtl w:val="0"/>
          <w:lang w:val="en-US"/>
        </w:rPr>
        <w:t> </w:t>
      </w:r>
    </w:p>
    <w:p>
      <w:pPr>
        <w:pStyle w:val="Body"/>
        <w:spacing w:line="480" w:lineRule="auto"/>
        <w:jc w:val="both"/>
      </w:pPr>
      <w:r>
        <w:rPr>
          <w:rtl w:val="0"/>
          <w:lang w:val="en-US"/>
        </w:rPr>
        <w:t>"Toyota" organization's marketing strategy is very effective for the growth of the business as it ensures that every product can able to give satisfaction to the customers. This organization uses</w:t>
      </w:r>
      <w:r>
        <w:rPr>
          <w:rtl w:val="0"/>
          <w:lang w:val="en-US"/>
        </w:rPr>
        <w:t> </w:t>
      </w:r>
      <w:r>
        <w:rPr>
          <w:rtl w:val="0"/>
          <w:lang w:val="en-US"/>
        </w:rPr>
        <w:t>product development as the secondary growth of the business strategy as this able to provide the customers new products in affordable ranges (Global.toyota, 2023). This organization already has a place in the global market as the market development strategy is very high for the business. Through is market development process this organization is very much effective to gain more customers from the other competitors who are present in the market.</w:t>
      </w:r>
      <w:r>
        <w:rPr>
          <w:rtl w:val="0"/>
          <w:lang w:val="en-US"/>
        </w:rPr>
        <w:t> </w:t>
      </w:r>
    </w:p>
    <w:p>
      <w:pPr>
        <w:pStyle w:val="Heading 2"/>
      </w:pPr>
      <w:bookmarkStart w:name="_Toc3" w:id="3"/>
      <w:r>
        <w:rPr>
          <w:rFonts w:cs="Arial Unicode MS" w:eastAsia="Arial Unicode MS"/>
          <w:rtl w:val="0"/>
          <w:lang w:val="en-US"/>
        </w:rPr>
        <w:t>Quality maintenance strategy</w:t>
      </w:r>
      <w:bookmarkEnd w:id="3"/>
    </w:p>
    <w:p>
      <w:pPr>
        <w:pStyle w:val="Body"/>
        <w:spacing w:line="480" w:lineRule="auto"/>
        <w:jc w:val="both"/>
      </w:pPr>
      <w:r>
        <w:rPr>
          <w:rtl w:val="0"/>
          <w:lang w:val="en-US"/>
        </w:rPr>
        <w:t xml:space="preserve">This organization maintains the quality of the products to get more customer engagement and to get more profit in the business. Providing high-quality products is the main aim of this organization so that good product quality can easily attract more people from the other competitors in the market (Hajej </w:t>
      </w:r>
      <w:r>
        <w:rPr>
          <w:i w:val="1"/>
          <w:iCs w:val="1"/>
          <w:rtl w:val="0"/>
          <w:lang w:val="en-US"/>
        </w:rPr>
        <w:t>et al.</w:t>
      </w:r>
      <w:r>
        <w:rPr>
          <w:rtl w:val="0"/>
          <w:lang w:val="en-US"/>
        </w:rPr>
        <w:t xml:space="preserve"> 2021).</w:t>
      </w:r>
      <w:r>
        <w:rPr>
          <w:rtl w:val="0"/>
          <w:lang w:val="en-US"/>
        </w:rPr>
        <w:t> </w:t>
      </w:r>
      <w:r>
        <w:rPr>
          <w:rtl w:val="0"/>
          <w:lang w:val="en-US"/>
        </w:rPr>
        <w:t>Maintaining product quality is very important for the business as a good quality product is able to give good results in the business. The main objective of this organization is to provide a good quality product in the very affordable range and to provide customers satisfaction from the others.</w:t>
      </w:r>
    </w:p>
    <w:p>
      <w:pPr>
        <w:pStyle w:val="Body"/>
        <w:spacing w:line="480" w:lineRule="auto"/>
        <w:jc w:val="both"/>
      </w:pPr>
      <w:r>
        <w:rPr>
          <w:rtl w:val="0"/>
          <w:lang w:val="en-US"/>
        </w:rPr>
        <w:t>Financial status</w:t>
      </w:r>
    </w:p>
    <w:p>
      <w:pPr>
        <w:pStyle w:val="Body"/>
        <w:spacing w:line="480" w:lineRule="auto"/>
        <w:jc w:val="both"/>
      </w:pPr>
      <w:r>
        <w:rPr>
          <w:rtl w:val="0"/>
          <w:lang w:val="en-US"/>
        </w:rPr>
        <w:t>The total revenue of this organization in 2022 was "$260.13 B" which is very profitable for the business however in 2021, the revenue of this organization was "$276.57 B", which was high from the year 2022 (Toyota-industries.com, 2022). This organization</w:t>
      </w:r>
      <w:r>
        <w:rPr>
          <w:rtl w:val="0"/>
          <w:lang w:val="en-US"/>
        </w:rPr>
        <w:t> </w:t>
      </w:r>
      <w:r>
        <w:rPr>
          <w:rtl w:val="0"/>
          <w:lang w:val="en-US"/>
        </w:rPr>
        <w:t>generates approx 90% of the amount of revenue from "automobiles sales exclusively" as it gives a good profit to the performance of the business.</w:t>
      </w:r>
      <w:r>
        <w:rPr>
          <w:rtl w:val="0"/>
          <w:lang w:val="en-US"/>
        </w:rPr>
        <w:t> </w:t>
      </w:r>
    </w:p>
    <w:p>
      <w:pPr>
        <w:pStyle w:val="Body"/>
        <w:spacing w:line="480" w:lineRule="auto"/>
        <w:jc w:val="center"/>
        <w:rPr>
          <w:shd w:val="clear" w:color="auto" w:fill="ffffff"/>
        </w:rPr>
      </w:pPr>
      <w:r>
        <w:drawing xmlns:a="http://schemas.openxmlformats.org/drawingml/2006/main">
          <wp:inline distT="0" distB="0" distL="0" distR="0">
            <wp:extent cx="5448173" cy="3452235"/>
            <wp:effectExtent l="0" t="0" r="0" b="0"/>
            <wp:docPr id="1073741826" name="officeArt object" descr="Picture 1"/>
            <wp:cNvGraphicFramePr/>
            <a:graphic xmlns:a="http://schemas.openxmlformats.org/drawingml/2006/main">
              <a:graphicData uri="http://schemas.openxmlformats.org/drawingml/2006/picture">
                <pic:pic xmlns:pic="http://schemas.openxmlformats.org/drawingml/2006/picture">
                  <pic:nvPicPr>
                    <pic:cNvPr id="1073741826" name="Picture 1" descr="Picture 1"/>
                    <pic:cNvPicPr>
                      <a:picLocks noChangeAspect="1"/>
                    </pic:cNvPicPr>
                  </pic:nvPicPr>
                  <pic:blipFill>
                    <a:blip r:embed="rId5">
                      <a:extLst/>
                    </a:blip>
                    <a:stretch>
                      <a:fillRect/>
                    </a:stretch>
                  </pic:blipFill>
                  <pic:spPr>
                    <a:xfrm>
                      <a:off x="0" y="0"/>
                      <a:ext cx="5448173" cy="3452235"/>
                    </a:xfrm>
                    <a:prstGeom prst="rect">
                      <a:avLst/>
                    </a:prstGeom>
                    <a:ln w="38100" cap="sq">
                      <a:solidFill>
                        <a:srgbClr val="000000"/>
                      </a:solidFill>
                      <a:prstDash val="solid"/>
                      <a:miter lim="800000"/>
                    </a:ln>
                    <a:effectLst>
                      <a:outerShdw sx="100000" sy="100000" kx="0" ky="0" algn="b" rotWithShape="0" blurRad="50800" dist="38100" dir="2700000">
                        <a:srgbClr val="000000">
                          <a:alpha val="43000"/>
                        </a:srgbClr>
                      </a:outerShdw>
                    </a:effectLst>
                  </pic:spPr>
                </pic:pic>
              </a:graphicData>
            </a:graphic>
          </wp:inline>
        </w:drawing>
      </w:r>
    </w:p>
    <w:p>
      <w:pPr>
        <w:pStyle w:val="Body"/>
        <w:spacing w:after="240" w:line="480" w:lineRule="auto"/>
        <w:jc w:val="center"/>
        <w:rPr>
          <w:b w:val="1"/>
          <w:bCs w:val="1"/>
        </w:rPr>
      </w:pPr>
      <w:r>
        <w:rPr>
          <w:b w:val="1"/>
          <w:bCs w:val="1"/>
          <w:rtl w:val="0"/>
          <w:lang w:val="en-US"/>
        </w:rPr>
        <w:t>Figure 2: Revenue of Toyota</w:t>
      </w:r>
    </w:p>
    <w:p>
      <w:pPr>
        <w:pStyle w:val="Body"/>
        <w:spacing w:after="240" w:line="480" w:lineRule="auto"/>
        <w:jc w:val="center"/>
      </w:pPr>
      <w:r>
        <w:rPr>
          <w:rtl w:val="0"/>
          <w:lang w:val="en-US"/>
        </w:rPr>
        <w:t>(Source: Statista.com, 2023)</w:t>
      </w:r>
    </w:p>
    <w:p>
      <w:pPr>
        <w:pStyle w:val="Body"/>
        <w:spacing w:after="240" w:line="480" w:lineRule="auto"/>
        <w:jc w:val="both"/>
      </w:pPr>
      <w:r>
        <w:rPr>
          <w:rtl w:val="0"/>
          <w:lang w:val="en-US"/>
        </w:rPr>
        <w:t>The organization's approx profit margin was "4.71%" in 2022, as it was the best-selling carmaker at the year of 2021 and the approx net profit in that year was "$22 billion". This profit helps to grow the business all over the world as by the increase of the profit level helps to gain more customers from the others competitors in the market.</w:t>
      </w:r>
      <w:r>
        <w:rPr>
          <w:rtl w:val="0"/>
          <w:lang w:val="en-US"/>
        </w:rPr>
        <w:t> </w:t>
      </w:r>
      <w:r>
        <w:rPr>
          <w:rtl w:val="0"/>
          <w:lang w:val="en-US"/>
        </w:rPr>
        <w:t>This profit helps to get more engagement of the customers as well as helps to earn more profit as per the requirement of the business.</w:t>
      </w:r>
    </w:p>
    <w:p>
      <w:pPr>
        <w:pStyle w:val="Body"/>
        <w:spacing w:after="240" w:line="480" w:lineRule="auto"/>
        <w:jc w:val="center"/>
        <w:rPr>
          <w:b w:val="1"/>
          <w:bCs w:val="1"/>
        </w:rPr>
      </w:pPr>
      <w:r>
        <w:rPr>
          <w:b w:val="1"/>
          <w:bCs w:val="1"/>
        </w:rPr>
        <w:drawing xmlns:a="http://schemas.openxmlformats.org/drawingml/2006/main">
          <wp:inline distT="0" distB="0" distL="0" distR="0">
            <wp:extent cx="5486273" cy="3679030"/>
            <wp:effectExtent l="0" t="0" r="0" b="0"/>
            <wp:docPr id="1073741827" name="officeArt object" descr="Picture 4"/>
            <wp:cNvGraphicFramePr/>
            <a:graphic xmlns:a="http://schemas.openxmlformats.org/drawingml/2006/main">
              <a:graphicData uri="http://schemas.openxmlformats.org/drawingml/2006/picture">
                <pic:pic xmlns:pic="http://schemas.openxmlformats.org/drawingml/2006/picture">
                  <pic:nvPicPr>
                    <pic:cNvPr id="1073741827" name="Picture 4" descr="Picture 4"/>
                    <pic:cNvPicPr>
                      <a:picLocks noChangeAspect="1"/>
                    </pic:cNvPicPr>
                  </pic:nvPicPr>
                  <pic:blipFill>
                    <a:blip r:embed="rId6">
                      <a:extLst/>
                    </a:blip>
                    <a:stretch>
                      <a:fillRect/>
                    </a:stretch>
                  </pic:blipFill>
                  <pic:spPr>
                    <a:xfrm>
                      <a:off x="0" y="0"/>
                      <a:ext cx="5486273" cy="3679030"/>
                    </a:xfrm>
                    <a:prstGeom prst="rect">
                      <a:avLst/>
                    </a:prstGeom>
                    <a:ln w="12700" cap="flat">
                      <a:noFill/>
                      <a:miter lim="400000"/>
                    </a:ln>
                    <a:effectLst/>
                  </pic:spPr>
                </pic:pic>
              </a:graphicData>
            </a:graphic>
          </wp:inline>
        </w:drawing>
      </w:r>
      <w:r>
        <w:rPr>
          <w:b w:val="1"/>
          <w:bCs w:val="1"/>
          <w:rtl w:val="0"/>
          <w:lang w:val="en-US"/>
        </w:rPr>
        <w:t xml:space="preserve"> Figure 3: Toyota</w:t>
      </w:r>
      <w:r>
        <w:rPr>
          <w:b w:val="1"/>
          <w:bCs w:val="1"/>
          <w:rtl w:val="0"/>
          <w:lang w:val="en-US"/>
        </w:rPr>
        <w:t>’</w:t>
      </w:r>
      <w:r>
        <w:rPr>
          <w:b w:val="1"/>
          <w:bCs w:val="1"/>
          <w:rtl w:val="0"/>
          <w:lang w:val="en-US"/>
        </w:rPr>
        <w:t xml:space="preserve">s operating income </w:t>
      </w:r>
    </w:p>
    <w:p>
      <w:pPr>
        <w:pStyle w:val="Body"/>
        <w:spacing w:line="480" w:lineRule="auto"/>
        <w:jc w:val="center"/>
      </w:pPr>
      <w:r>
        <w:rPr>
          <w:rtl w:val="0"/>
          <w:lang w:val="en-US"/>
        </w:rPr>
        <w:t xml:space="preserve">(Source: Statista.com, 2023) </w:t>
      </w:r>
    </w:p>
    <w:p>
      <w:pPr>
        <w:pStyle w:val="Body"/>
        <w:spacing w:line="480" w:lineRule="auto"/>
        <w:jc w:val="both"/>
      </w:pPr>
      <w:r>
        <w:rPr>
          <w:rtl w:val="0"/>
          <w:lang w:val="en-US"/>
        </w:rPr>
        <w:t>Cash flow of this organization is increasing day by day as the sales report of this organization was "$25.584.06" in 2022 and in the year 2021 it was "$21,454.35". This process increased from the year 2021 to 2022 as it gave a good result and profit to the business of this organization and was able to give more customers from the others. Cash flow from operating activities was "$33,131.27" in the year 2022 and in 2021 it was "$25,635.32" (Macrotrends.net, 2023). This cash flow process in operating activities is also increased day by day as it also gave a good result to the business.</w:t>
      </w:r>
      <w:r>
        <w:rPr>
          <w:rtl w:val="0"/>
          <w:lang w:val="en-US"/>
        </w:rPr>
        <w:t> </w:t>
      </w:r>
      <w:r>
        <w:rPr>
          <w:rFonts w:ascii="Arial Unicode MS" w:cs="Arial Unicode MS" w:hAnsi="Arial Unicode MS" w:eastAsia="Arial Unicode MS"/>
          <w:b w:val="0"/>
          <w:bCs w:val="0"/>
          <w:i w:val="0"/>
          <w:iCs w:val="0"/>
          <w:lang w:val="en-US"/>
        </w:rPr>
        <w:br w:type="page"/>
      </w:r>
    </w:p>
    <w:p>
      <w:pPr>
        <w:pStyle w:val="Heading 2"/>
      </w:pPr>
      <w:bookmarkStart w:name="_Toc4" w:id="4"/>
      <w:r>
        <w:rPr>
          <w:rFonts w:cs="Arial Unicode MS" w:eastAsia="Arial Unicode MS"/>
          <w:rtl w:val="0"/>
          <w:lang w:val="en-US"/>
        </w:rPr>
        <w:t>Social and cultural practices of this organization</w:t>
      </w:r>
      <w:bookmarkEnd w:id="4"/>
    </w:p>
    <w:p>
      <w:pPr>
        <w:pStyle w:val="Body"/>
        <w:spacing w:before="100" w:after="100" w:line="480" w:lineRule="auto"/>
        <w:jc w:val="both"/>
      </w:pPr>
      <w:r>
        <w:rPr>
          <w:rtl w:val="0"/>
          <w:lang w:val="en-US"/>
        </w:rPr>
        <w:t>The main aim of this "Toyota" is to create mobility for all people and to provide a good quality product in the affordable range so that everyone can able to afford it. This organization has the wish to create</w:t>
      </w:r>
      <w:r>
        <w:rPr>
          <w:rtl w:val="0"/>
          <w:lang w:val="en-US"/>
        </w:rPr>
        <w:t> </w:t>
      </w:r>
      <w:r>
        <w:rPr>
          <w:rtl w:val="0"/>
          <w:lang w:val="en-US"/>
        </w:rPr>
        <w:t>new possibilities for the people and also to give support the</w:t>
      </w:r>
      <w:r>
        <w:rPr>
          <w:rtl w:val="0"/>
          <w:lang w:val="en-US"/>
        </w:rPr>
        <w:t> </w:t>
      </w:r>
      <w:r>
        <w:rPr>
          <w:rtl w:val="0"/>
          <w:lang w:val="en-US"/>
        </w:rPr>
        <w:t>sustainable relationship with other people (</w:t>
      </w:r>
      <w:r>
        <w:rPr>
          <w:outline w:val="0"/>
          <w:color w:val="000000"/>
          <w:u w:color="000000"/>
          <w:rtl w:val="0"/>
          <w:lang w:val="en-US"/>
          <w14:textFill>
            <w14:solidFill>
              <w14:srgbClr w14:val="000000"/>
            </w14:solidFill>
          </w14:textFill>
        </w:rPr>
        <w:t>Global.toyota, 2023)</w:t>
      </w:r>
      <w:r>
        <w:rPr>
          <w:rtl w:val="0"/>
          <w:lang w:val="en-US"/>
        </w:rPr>
        <w:t>. This organization can able to lead a future mobility society and can able to provide quality products with the measurement of creating new products. This organization is focused on the new innovation of the products as well as developing all the new features for the growth of the business.</w:t>
      </w:r>
      <w:r>
        <w:rPr>
          <w:rtl w:val="0"/>
          <w:lang w:val="en-US"/>
        </w:rPr>
        <w:t> </w:t>
      </w:r>
    </w:p>
    <w:p>
      <w:pPr>
        <w:pStyle w:val="Body"/>
        <w:spacing w:before="100" w:after="100" w:line="480" w:lineRule="auto"/>
        <w:jc w:val="both"/>
        <w:rPr>
          <w:b w:val="1"/>
          <w:bCs w:val="1"/>
        </w:rPr>
      </w:pPr>
      <w:r>
        <w:rPr>
          <w:rtl w:val="0"/>
          <w:lang w:val="en-US"/>
        </w:rPr>
        <w:t>The organization uses an innovation process in vehicle electrification and development of the</w:t>
      </w:r>
      <w:r>
        <w:rPr>
          <w:rtl w:val="0"/>
          <w:lang w:val="en-US"/>
        </w:rPr>
        <w:t> </w:t>
      </w:r>
      <w:r>
        <w:rPr>
          <w:rtl w:val="0"/>
          <w:lang w:val="en-US"/>
        </w:rPr>
        <w:t>battery technology for the growth of the business as well as focused on the AI technologies which are able to give benefit the business. This organization aims to launch</w:t>
      </w:r>
      <w:r>
        <w:rPr>
          <w:rtl w:val="0"/>
          <w:lang w:val="en-US"/>
        </w:rPr>
        <w:t> </w:t>
      </w:r>
      <w:r>
        <w:rPr>
          <w:rtl w:val="0"/>
          <w:lang w:val="en-US"/>
        </w:rPr>
        <w:t>vehicles through "zero CO2 emissions" by 2050 that can able to help the environment for the better progress.</w:t>
      </w:r>
      <w:r>
        <w:rPr>
          <w:rtl w:val="0"/>
          <w:lang w:val="en-US"/>
        </w:rPr>
        <w:t> </w:t>
      </w:r>
    </w:p>
    <w:p>
      <w:pPr>
        <w:pStyle w:val="Heading 2"/>
      </w:pPr>
      <w:bookmarkStart w:name="_Toc5" w:id="5"/>
      <w:r>
        <w:rPr>
          <w:rFonts w:cs="Arial Unicode MS" w:eastAsia="Arial Unicode MS"/>
          <w:rtl w:val="0"/>
          <w:lang w:val="en-US"/>
        </w:rPr>
        <w:t>Sales and procurement strategy</w:t>
      </w:r>
      <w:bookmarkEnd w:id="5"/>
    </w:p>
    <w:p>
      <w:pPr>
        <w:pStyle w:val="Body"/>
        <w:spacing w:before="100" w:after="100" w:line="480" w:lineRule="auto"/>
        <w:jc w:val="both"/>
        <w:rPr>
          <w:outline w:val="0"/>
          <w:color w:val="000000"/>
          <w:u w:color="000000"/>
          <w14:textFill>
            <w14:solidFill>
              <w14:srgbClr w14:val="000000"/>
            </w14:solidFill>
          </w14:textFill>
        </w:rPr>
      </w:pPr>
      <w:r>
        <w:rPr>
          <w:rtl w:val="0"/>
          <w:lang w:val="en-US"/>
        </w:rPr>
        <w:t>Sales strategy is very important for the growth of the business as well as very important for earning more benefits for the business. "Fair business transactions" need to be open for adopting new ideas for the development of the business throughout all the process (</w:t>
      </w:r>
      <w:r>
        <w:rPr>
          <w:outline w:val="0"/>
          <w:color w:val="000000"/>
          <w:u w:color="000000"/>
          <w:rtl w:val="0"/>
          <w:lang w:val="en-US"/>
          <w14:textFill>
            <w14:solidFill>
              <w14:srgbClr w14:val="000000"/>
            </w14:solidFill>
          </w14:textFill>
        </w:rPr>
        <w:t xml:space="preserve">Pieroni </w:t>
      </w:r>
      <w:r>
        <w:rPr>
          <w:i w:val="1"/>
          <w:iCs w:val="1"/>
          <w:outline w:val="0"/>
          <w:color w:val="000000"/>
          <w:u w:color="000000"/>
          <w:rtl w:val="0"/>
          <w:lang w:val="en-US"/>
          <w14:textFill>
            <w14:solidFill>
              <w14:srgbClr w14:val="000000"/>
            </w14:solidFill>
          </w14:textFill>
        </w:rPr>
        <w:t>et al.</w:t>
      </w:r>
      <w:r>
        <w:rPr>
          <w:outline w:val="0"/>
          <w:color w:val="000000"/>
          <w:u w:color="000000"/>
          <w:rtl w:val="0"/>
          <w:lang w:val="en-US"/>
          <w14:textFill>
            <w14:solidFill>
              <w14:srgbClr w14:val="000000"/>
            </w14:solidFill>
          </w14:textFill>
        </w:rPr>
        <w:t xml:space="preserve"> 2019). A good strategy for business growth is very important as it gets the chance to enhance the business and the organization needs to take all the effective strategies for the growth of the business. The organization is very much open minded to adopt all new technologies for the growth of the business as well as ready to adopt all the AI technologies which can able to provide benefits to the business.</w:t>
      </w:r>
    </w:p>
    <w:p>
      <w:pPr>
        <w:pStyle w:val="Heading"/>
        <w:spacing w:line="480" w:lineRule="auto"/>
      </w:pPr>
      <w:bookmarkStart w:name="_Toc6" w:id="6"/>
      <w:r>
        <w:rPr>
          <w:rtl w:val="0"/>
          <w:lang w:val="en-US"/>
        </w:rPr>
        <w:t>MARKET ANALYSIS</w:t>
      </w:r>
      <w:bookmarkEnd w:id="6"/>
    </w:p>
    <w:p>
      <w:pPr>
        <w:pStyle w:val="Body"/>
        <w:spacing w:before="100" w:after="100" w:line="480" w:lineRule="auto"/>
        <w:jc w:val="both"/>
        <w:rPr>
          <w:outline w:val="0"/>
          <w:color w:val="000000"/>
          <w:u w:color="000000"/>
          <w14:textFill>
            <w14:solidFill>
              <w14:srgbClr w14:val="000000"/>
            </w14:solidFill>
          </w14:textFill>
        </w:rPr>
      </w:pPr>
      <w:r>
        <w:rPr>
          <w:outline w:val="0"/>
          <w:color w:val="000000"/>
          <w:u w:color="000000"/>
          <w:rtl w:val="0"/>
          <w:lang w:val="en-US"/>
          <w14:textFill>
            <w14:solidFill>
              <w14:srgbClr w14:val="000000"/>
            </w14:solidFill>
          </w14:textFill>
        </w:rPr>
        <w:t xml:space="preserve">Market analysis is a described assessment of Toyota's business target market and market competitiveness within the automobile industry. This analysis supports the project to get success and to introduce the company's brand and products to the customers in its business market.  </w:t>
      </w:r>
    </w:p>
    <w:p>
      <w:pPr>
        <w:pStyle w:val="Body"/>
        <w:spacing w:before="100" w:after="100" w:line="480" w:lineRule="auto"/>
        <w:jc w:val="both"/>
        <w:rPr>
          <w:outline w:val="0"/>
          <w:color w:val="000000"/>
          <w:u w:color="000000"/>
          <w14:textFill>
            <w14:solidFill>
              <w14:srgbClr w14:val="000000"/>
            </w14:solidFill>
          </w14:textFill>
        </w:rPr>
      </w:pPr>
      <w:r>
        <w:rPr>
          <w:outline w:val="0"/>
          <w:color w:val="000000"/>
          <w:u w:color="000000"/>
          <w:rtl w:val="0"/>
          <w:lang w:val="en-US"/>
          <w14:textFill>
            <w14:solidFill>
              <w14:srgbClr w14:val="000000"/>
            </w14:solidFill>
          </w14:textFill>
        </w:rPr>
        <w:t>PESTLE analysis</w:t>
      </w:r>
    </w:p>
    <w:tbl>
      <w:tblPr>
        <w:tblW w:w="867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903"/>
        <w:gridCol w:w="4402"/>
        <w:gridCol w:w="2365"/>
      </w:tblGrid>
      <w:tr>
        <w:tblPrEx>
          <w:shd w:val="clear" w:color="auto" w:fill="ced7e7"/>
        </w:tblPrEx>
        <w:trPr>
          <w:trHeight w:val="248" w:hRule="atLeast"/>
        </w:trPr>
        <w:tc>
          <w:tcPr>
            <w:tcW w:type="dxa" w:w="190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before="100" w:after="100" w:line="480" w:lineRule="auto"/>
              <w:jc w:val="center"/>
            </w:pPr>
            <w:r>
              <w:rPr>
                <w:b w:val="1"/>
                <w:bCs w:val="1"/>
                <w:shd w:val="nil" w:color="auto" w:fill="auto"/>
                <w:rtl w:val="0"/>
                <w:lang w:val="en-US"/>
              </w:rPr>
              <w:t>Factor</w:t>
            </w:r>
          </w:p>
        </w:tc>
        <w:tc>
          <w:tcPr>
            <w:tcW w:type="dxa" w:w="440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before="100" w:after="100" w:line="480" w:lineRule="auto"/>
              <w:jc w:val="center"/>
            </w:pPr>
            <w:r>
              <w:rPr>
                <w:b w:val="1"/>
                <w:bCs w:val="1"/>
                <w:shd w:val="nil" w:color="auto" w:fill="auto"/>
                <w:rtl w:val="0"/>
                <w:lang w:val="en-US"/>
              </w:rPr>
              <w:t>Impact</w:t>
            </w:r>
          </w:p>
        </w:tc>
        <w:tc>
          <w:tcPr>
            <w:tcW w:type="dxa" w:w="236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before="100" w:after="100" w:line="480" w:lineRule="auto"/>
              <w:jc w:val="center"/>
            </w:pPr>
            <w:r>
              <w:rPr>
                <w:b w:val="1"/>
                <w:bCs w:val="1"/>
                <w:shd w:val="nil" w:color="auto" w:fill="auto"/>
                <w:rtl w:val="0"/>
                <w:lang w:val="en-US"/>
              </w:rPr>
              <w:t>Effect</w:t>
            </w:r>
          </w:p>
        </w:tc>
      </w:tr>
      <w:tr>
        <w:tblPrEx>
          <w:shd w:val="clear" w:color="auto" w:fill="ced7e7"/>
        </w:tblPrEx>
        <w:trPr>
          <w:trHeight w:val="5276" w:hRule="atLeast"/>
        </w:trPr>
        <w:tc>
          <w:tcPr>
            <w:tcW w:type="dxa" w:w="190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before="100" w:after="100" w:line="480" w:lineRule="auto"/>
              <w:jc w:val="center"/>
            </w:pPr>
            <w:r>
              <w:rPr>
                <w:shd w:val="nil" w:color="auto" w:fill="auto"/>
                <w:rtl w:val="0"/>
                <w:lang w:val="en-US"/>
              </w:rPr>
              <w:t>Political</w:t>
            </w:r>
          </w:p>
        </w:tc>
        <w:tc>
          <w:tcPr>
            <w:tcW w:type="dxa" w:w="440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numPr>
                <w:ilvl w:val="0"/>
                <w:numId w:val="1"/>
              </w:numPr>
              <w:spacing w:before="100" w:after="100" w:line="480" w:lineRule="auto"/>
              <w:jc w:val="both"/>
              <w:rPr>
                <w:lang w:val="en-US"/>
              </w:rPr>
            </w:pPr>
            <w:r>
              <w:rPr>
                <w:shd w:val="nil" w:color="auto" w:fill="auto"/>
                <w:rtl w:val="0"/>
                <w:lang w:val="en-US"/>
              </w:rPr>
              <w:t>The country has good business relationships with other powerful countries.</w:t>
            </w:r>
          </w:p>
          <w:p>
            <w:pPr>
              <w:pStyle w:val="Body"/>
              <w:numPr>
                <w:ilvl w:val="0"/>
                <w:numId w:val="1"/>
              </w:numPr>
              <w:bidi w:val="0"/>
              <w:spacing w:before="100" w:after="100" w:line="480" w:lineRule="auto"/>
              <w:ind w:right="0"/>
              <w:jc w:val="both"/>
              <w:rPr>
                <w:rtl w:val="0"/>
                <w:lang w:val="en-US"/>
              </w:rPr>
            </w:pPr>
            <w:r>
              <w:rPr>
                <w:shd w:val="nil" w:color="auto" w:fill="auto"/>
                <w:rtl w:val="0"/>
                <w:lang w:val="en-US"/>
              </w:rPr>
              <w:t>China has a huge tax rate of around 20 to 25 per cent (worldwide-tax, 2022).</w:t>
            </w:r>
          </w:p>
          <w:p>
            <w:pPr>
              <w:pStyle w:val="Body"/>
              <w:numPr>
                <w:ilvl w:val="0"/>
                <w:numId w:val="1"/>
              </w:numPr>
              <w:bidi w:val="0"/>
              <w:spacing w:before="100" w:after="100" w:line="480" w:lineRule="auto"/>
              <w:ind w:right="0"/>
              <w:jc w:val="both"/>
              <w:rPr>
                <w:rtl w:val="0"/>
                <w:lang w:val="en-US"/>
              </w:rPr>
            </w:pPr>
            <w:r>
              <w:rPr>
                <w:shd w:val="nil" w:color="auto" w:fill="auto"/>
                <w:rtl w:val="0"/>
                <w:lang w:val="en-US"/>
              </w:rPr>
              <w:t>China has the right strategies to control the raw material cost.</w:t>
            </w:r>
          </w:p>
          <w:p>
            <w:pPr>
              <w:pStyle w:val="Body"/>
              <w:numPr>
                <w:ilvl w:val="0"/>
                <w:numId w:val="1"/>
              </w:numPr>
              <w:bidi w:val="0"/>
              <w:spacing w:before="100" w:after="100" w:line="480" w:lineRule="auto"/>
              <w:ind w:right="0"/>
              <w:jc w:val="both"/>
              <w:rPr>
                <w:rtl w:val="0"/>
                <w:lang w:val="en-US"/>
              </w:rPr>
            </w:pPr>
            <w:r>
              <w:rPr>
                <w:shd w:val="nil" w:color="auto" w:fill="auto"/>
                <w:rtl w:val="0"/>
                <w:lang w:val="en-US"/>
              </w:rPr>
              <w:t>Chinese govt. makes plans to launch businesses and subsidizes organizations.</w:t>
            </w:r>
          </w:p>
        </w:tc>
        <w:tc>
          <w:tcPr>
            <w:tcW w:type="dxa" w:w="236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before="100" w:after="100" w:line="480" w:lineRule="auto"/>
              <w:jc w:val="center"/>
            </w:pPr>
            <w:r>
              <w:rPr>
                <w:shd w:val="nil" w:color="auto" w:fill="auto"/>
                <w:rtl w:val="0"/>
                <w:lang w:val="en-US"/>
              </w:rPr>
              <w:t>Positive</w:t>
            </w:r>
          </w:p>
        </w:tc>
      </w:tr>
      <w:tr>
        <w:tblPrEx>
          <w:shd w:val="clear" w:color="auto" w:fill="ced7e7"/>
        </w:tblPrEx>
        <w:trPr>
          <w:trHeight w:val="4330" w:hRule="atLeast"/>
        </w:trPr>
        <w:tc>
          <w:tcPr>
            <w:tcW w:type="dxa" w:w="190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before="100" w:after="100" w:line="480" w:lineRule="auto"/>
              <w:jc w:val="center"/>
            </w:pPr>
            <w:r>
              <w:rPr>
                <w:shd w:val="nil" w:color="auto" w:fill="auto"/>
                <w:rtl w:val="0"/>
                <w:lang w:val="en-US"/>
              </w:rPr>
              <w:t>Economic</w:t>
            </w:r>
          </w:p>
        </w:tc>
        <w:tc>
          <w:tcPr>
            <w:tcW w:type="dxa" w:w="440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numPr>
                <w:ilvl w:val="0"/>
                <w:numId w:val="2"/>
              </w:numPr>
              <w:spacing w:before="100" w:after="100" w:line="480" w:lineRule="auto"/>
              <w:jc w:val="both"/>
              <w:rPr>
                <w:lang w:val="en-US"/>
              </w:rPr>
            </w:pPr>
            <w:r>
              <w:rPr>
                <w:shd w:val="nil" w:color="auto" w:fill="auto"/>
                <w:rtl w:val="0"/>
                <w:lang w:val="en-US"/>
              </w:rPr>
              <w:t>The country has a GDP rate of 18.32 trillion US dollars in 2022.</w:t>
            </w:r>
          </w:p>
          <w:p>
            <w:pPr>
              <w:pStyle w:val="Body"/>
              <w:numPr>
                <w:ilvl w:val="0"/>
                <w:numId w:val="2"/>
              </w:numPr>
              <w:bidi w:val="0"/>
              <w:spacing w:before="100" w:after="100" w:line="480" w:lineRule="auto"/>
              <w:ind w:right="0"/>
              <w:jc w:val="both"/>
              <w:rPr>
                <w:rtl w:val="0"/>
                <w:lang w:val="en-US"/>
              </w:rPr>
            </w:pPr>
            <w:r>
              <w:rPr>
                <w:shd w:val="nil" w:color="auto" w:fill="auto"/>
                <w:rtl w:val="0"/>
                <w:lang w:val="en-US"/>
              </w:rPr>
              <w:t>The corporation tax rate of this country is 25% (</w:t>
            </w:r>
            <w:r>
              <w:rPr>
                <w:shd w:val="clear" w:color="auto" w:fill="ffffff"/>
                <w:rtl w:val="0"/>
                <w:lang w:val="en-US"/>
              </w:rPr>
              <w:t>Nhglobalpartners, 2022</w:t>
            </w:r>
            <w:r>
              <w:rPr>
                <w:shd w:val="nil" w:color="auto" w:fill="auto"/>
                <w:rtl w:val="0"/>
                <w:lang w:val="en-US"/>
              </w:rPr>
              <w:t>).</w:t>
            </w:r>
          </w:p>
          <w:p>
            <w:pPr>
              <w:pStyle w:val="Body"/>
              <w:numPr>
                <w:ilvl w:val="0"/>
                <w:numId w:val="2"/>
              </w:numPr>
              <w:bidi w:val="0"/>
              <w:spacing w:before="100" w:after="100" w:line="480" w:lineRule="auto"/>
              <w:ind w:right="0"/>
              <w:jc w:val="both"/>
              <w:rPr>
                <w:rtl w:val="0"/>
                <w:lang w:val="en-US"/>
              </w:rPr>
            </w:pPr>
            <w:r>
              <w:rPr>
                <w:shd w:val="nil" w:color="auto" w:fill="auto"/>
                <w:rtl w:val="0"/>
                <w:lang w:val="en-US"/>
              </w:rPr>
              <w:t>The buyer power of this country is high.</w:t>
            </w:r>
          </w:p>
          <w:p>
            <w:pPr>
              <w:pStyle w:val="Body"/>
              <w:numPr>
                <w:ilvl w:val="0"/>
                <w:numId w:val="2"/>
              </w:numPr>
              <w:bidi w:val="0"/>
              <w:spacing w:before="100" w:after="100" w:line="480" w:lineRule="auto"/>
              <w:ind w:right="0"/>
              <w:jc w:val="both"/>
              <w:rPr>
                <w:rtl w:val="0"/>
                <w:lang w:val="en-US"/>
              </w:rPr>
            </w:pPr>
            <w:r>
              <w:rPr>
                <w:shd w:val="nil" w:color="auto" w:fill="auto"/>
                <w:rtl w:val="0"/>
                <w:lang w:val="en-US"/>
              </w:rPr>
              <w:t>The costs of property in this country is also increasing.</w:t>
            </w:r>
          </w:p>
        </w:tc>
        <w:tc>
          <w:tcPr>
            <w:tcW w:type="dxa" w:w="236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before="100" w:after="100" w:line="480" w:lineRule="auto"/>
              <w:jc w:val="center"/>
            </w:pPr>
            <w:r>
              <w:rPr>
                <w:shd w:val="nil" w:color="auto" w:fill="auto"/>
                <w:rtl w:val="0"/>
                <w:lang w:val="en-US"/>
              </w:rPr>
              <w:t>Positive</w:t>
            </w:r>
          </w:p>
        </w:tc>
      </w:tr>
      <w:tr>
        <w:tblPrEx>
          <w:shd w:val="clear" w:color="auto" w:fill="ced7e7"/>
        </w:tblPrEx>
        <w:trPr>
          <w:trHeight w:val="4803" w:hRule="atLeast"/>
        </w:trPr>
        <w:tc>
          <w:tcPr>
            <w:tcW w:type="dxa" w:w="190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before="100" w:after="100" w:line="480" w:lineRule="auto"/>
              <w:jc w:val="center"/>
            </w:pPr>
            <w:r>
              <w:rPr>
                <w:shd w:val="nil" w:color="auto" w:fill="auto"/>
                <w:rtl w:val="0"/>
                <w:lang w:val="en-US"/>
              </w:rPr>
              <w:t>Social</w:t>
            </w:r>
          </w:p>
        </w:tc>
        <w:tc>
          <w:tcPr>
            <w:tcW w:type="dxa" w:w="440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numPr>
                <w:ilvl w:val="0"/>
                <w:numId w:val="3"/>
              </w:numPr>
              <w:spacing w:before="100" w:after="100" w:line="480" w:lineRule="auto"/>
              <w:jc w:val="both"/>
              <w:rPr>
                <w:lang w:val="en-US"/>
              </w:rPr>
            </w:pPr>
            <w:r>
              <w:rPr>
                <w:shd w:val="nil" w:color="auto" w:fill="auto"/>
                <w:rtl w:val="0"/>
                <w:lang w:val="en-US"/>
              </w:rPr>
              <w:t>The current population of this country is 1.426 billion people in 2022.</w:t>
            </w:r>
          </w:p>
          <w:p>
            <w:pPr>
              <w:pStyle w:val="Body"/>
              <w:numPr>
                <w:ilvl w:val="0"/>
                <w:numId w:val="3"/>
              </w:numPr>
              <w:bidi w:val="0"/>
              <w:spacing w:before="100" w:after="100" w:line="480" w:lineRule="auto"/>
              <w:ind w:right="0"/>
              <w:jc w:val="both"/>
              <w:rPr>
                <w:rtl w:val="0"/>
                <w:lang w:val="en-US"/>
              </w:rPr>
            </w:pPr>
            <w:r>
              <w:rPr>
                <w:shd w:val="nil" w:color="auto" w:fill="auto"/>
                <w:rtl w:val="0"/>
                <w:lang w:val="en-US"/>
              </w:rPr>
              <w:t>The educated person rate in this country is 90% (</w:t>
            </w:r>
            <w:r>
              <w:rPr>
                <w:shd w:val="clear" w:color="auto" w:fill="ffffff"/>
                <w:rtl w:val="0"/>
                <w:lang w:val="en-US"/>
              </w:rPr>
              <w:t>Statista, 2022</w:t>
            </w:r>
            <w:r>
              <w:rPr>
                <w:shd w:val="nil" w:color="auto" w:fill="auto"/>
                <w:rtl w:val="0"/>
                <w:lang w:val="en-US"/>
              </w:rPr>
              <w:t>).</w:t>
            </w:r>
          </w:p>
          <w:p>
            <w:pPr>
              <w:pStyle w:val="Body"/>
              <w:numPr>
                <w:ilvl w:val="0"/>
                <w:numId w:val="3"/>
              </w:numPr>
              <w:bidi w:val="0"/>
              <w:spacing w:before="100" w:after="100" w:line="480" w:lineRule="auto"/>
              <w:ind w:right="0"/>
              <w:jc w:val="both"/>
              <w:rPr>
                <w:rtl w:val="0"/>
                <w:lang w:val="en-US"/>
              </w:rPr>
            </w:pPr>
            <w:r>
              <w:rPr>
                <w:shd w:val="nil" w:color="auto" w:fill="auto"/>
                <w:rtl w:val="0"/>
                <w:lang w:val="en-US"/>
              </w:rPr>
              <w:t>A high population is the main reason for low labour costs.</w:t>
            </w:r>
          </w:p>
          <w:p>
            <w:pPr>
              <w:pStyle w:val="Body"/>
              <w:numPr>
                <w:ilvl w:val="0"/>
                <w:numId w:val="3"/>
              </w:numPr>
              <w:bidi w:val="0"/>
              <w:spacing w:before="100" w:after="100" w:line="480" w:lineRule="auto"/>
              <w:ind w:right="0"/>
              <w:jc w:val="both"/>
              <w:rPr>
                <w:rtl w:val="0"/>
                <w:lang w:val="en-US"/>
              </w:rPr>
            </w:pPr>
            <w:r>
              <w:rPr>
                <w:shd w:val="nil" w:color="auto" w:fill="auto"/>
                <w:rtl w:val="0"/>
                <w:lang w:val="en-US"/>
              </w:rPr>
              <w:t>The lifestyle of the country</w:t>
            </w:r>
            <w:r>
              <w:rPr>
                <w:shd w:val="nil" w:color="auto" w:fill="auto"/>
                <w:rtl w:val="0"/>
                <w:lang w:val="en-US"/>
              </w:rPr>
              <w:t>’</w:t>
            </w:r>
            <w:r>
              <w:rPr>
                <w:shd w:val="nil" w:color="auto" w:fill="auto"/>
                <w:rtl w:val="0"/>
                <w:lang w:val="en-US"/>
              </w:rPr>
              <w:t>s people is changing day by day, so choices and tastes are changing.</w:t>
            </w:r>
          </w:p>
        </w:tc>
        <w:tc>
          <w:tcPr>
            <w:tcW w:type="dxa" w:w="236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before="100" w:after="100" w:line="480" w:lineRule="auto"/>
              <w:jc w:val="center"/>
            </w:pPr>
            <w:r>
              <w:rPr>
                <w:shd w:val="nil" w:color="auto" w:fill="auto"/>
                <w:rtl w:val="0"/>
                <w:lang w:val="en-US"/>
              </w:rPr>
              <w:t>Positive</w:t>
            </w:r>
          </w:p>
        </w:tc>
      </w:tr>
      <w:tr>
        <w:tblPrEx>
          <w:shd w:val="clear" w:color="auto" w:fill="ced7e7"/>
        </w:tblPrEx>
        <w:trPr>
          <w:trHeight w:val="4703" w:hRule="atLeast"/>
        </w:trPr>
        <w:tc>
          <w:tcPr>
            <w:tcW w:type="dxa" w:w="190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before="100" w:after="100" w:line="480" w:lineRule="auto"/>
              <w:jc w:val="center"/>
            </w:pPr>
            <w:r>
              <w:rPr>
                <w:shd w:val="nil" w:color="auto" w:fill="auto"/>
                <w:rtl w:val="0"/>
                <w:lang w:val="en-US"/>
              </w:rPr>
              <w:t>Technological</w:t>
            </w:r>
          </w:p>
        </w:tc>
        <w:tc>
          <w:tcPr>
            <w:tcW w:type="dxa" w:w="440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numPr>
                <w:ilvl w:val="0"/>
                <w:numId w:val="4"/>
              </w:numPr>
              <w:spacing w:before="100" w:after="100" w:line="480" w:lineRule="auto"/>
              <w:jc w:val="both"/>
              <w:rPr>
                <w:lang w:val="en-US"/>
              </w:rPr>
            </w:pPr>
            <w:r>
              <w:rPr>
                <w:shd w:val="nil" w:color="auto" w:fill="auto"/>
                <w:rtl w:val="0"/>
                <w:lang w:val="en-US"/>
              </w:rPr>
              <w:t>The country has represented technological creations and advancement.</w:t>
            </w:r>
          </w:p>
          <w:p>
            <w:pPr>
              <w:pStyle w:val="Body"/>
              <w:numPr>
                <w:ilvl w:val="0"/>
                <w:numId w:val="4"/>
              </w:numPr>
              <w:bidi w:val="0"/>
              <w:spacing w:before="100" w:after="100" w:line="480" w:lineRule="auto"/>
              <w:ind w:right="0"/>
              <w:jc w:val="both"/>
              <w:rPr>
                <w:rtl w:val="0"/>
                <w:lang w:val="en-US"/>
              </w:rPr>
            </w:pPr>
            <w:r>
              <w:rPr>
                <w:shd w:val="nil" w:color="auto" w:fill="auto"/>
                <w:rtl w:val="0"/>
                <w:lang w:val="en-US"/>
              </w:rPr>
              <w:t>The biggest tech giants welcome other businesses to enhance their sales.</w:t>
            </w:r>
          </w:p>
          <w:p>
            <w:pPr>
              <w:pStyle w:val="Body"/>
              <w:numPr>
                <w:ilvl w:val="0"/>
                <w:numId w:val="4"/>
              </w:numPr>
              <w:bidi w:val="0"/>
              <w:spacing w:before="100" w:after="100" w:line="480" w:lineRule="auto"/>
              <w:ind w:right="0"/>
              <w:jc w:val="both"/>
              <w:rPr>
                <w:rtl w:val="0"/>
                <w:lang w:val="en-US"/>
              </w:rPr>
            </w:pPr>
            <w:r>
              <w:rPr>
                <w:shd w:val="nil" w:color="auto" w:fill="auto"/>
                <w:rtl w:val="0"/>
                <w:lang w:val="en-US"/>
              </w:rPr>
              <w:t>The Chinese govt. makes strategies and investments to inspire the people on the technological invention.</w:t>
            </w:r>
          </w:p>
        </w:tc>
        <w:tc>
          <w:tcPr>
            <w:tcW w:type="dxa" w:w="236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before="100" w:after="100" w:line="480" w:lineRule="auto"/>
              <w:jc w:val="center"/>
            </w:pPr>
            <w:r>
              <w:rPr>
                <w:shd w:val="nil" w:color="auto" w:fill="auto"/>
                <w:rtl w:val="0"/>
                <w:lang w:val="en-US"/>
              </w:rPr>
              <w:t>Positive</w:t>
            </w:r>
          </w:p>
        </w:tc>
      </w:tr>
      <w:tr>
        <w:tblPrEx>
          <w:shd w:val="clear" w:color="auto" w:fill="ced7e7"/>
        </w:tblPrEx>
        <w:trPr>
          <w:trHeight w:val="5749" w:hRule="atLeast"/>
        </w:trPr>
        <w:tc>
          <w:tcPr>
            <w:tcW w:type="dxa" w:w="190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before="100" w:after="100" w:line="480" w:lineRule="auto"/>
              <w:jc w:val="center"/>
            </w:pPr>
            <w:r>
              <w:rPr>
                <w:shd w:val="nil" w:color="auto" w:fill="auto"/>
                <w:rtl w:val="0"/>
                <w:lang w:val="en-US"/>
              </w:rPr>
              <w:t>Legal Factors</w:t>
            </w:r>
          </w:p>
        </w:tc>
        <w:tc>
          <w:tcPr>
            <w:tcW w:type="dxa" w:w="440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numPr>
                <w:ilvl w:val="0"/>
                <w:numId w:val="5"/>
              </w:numPr>
              <w:spacing w:before="100" w:after="100" w:line="480" w:lineRule="auto"/>
              <w:jc w:val="both"/>
              <w:rPr>
                <w:lang w:val="en-US"/>
              </w:rPr>
            </w:pPr>
            <w:r>
              <w:rPr>
                <w:shd w:val="nil" w:color="auto" w:fill="auto"/>
                <w:rtl w:val="0"/>
                <w:lang w:val="en-US"/>
              </w:rPr>
              <w:t>China banned all social media platforms that affect to the business growth.</w:t>
            </w:r>
          </w:p>
          <w:p>
            <w:pPr>
              <w:pStyle w:val="Body"/>
              <w:numPr>
                <w:ilvl w:val="0"/>
                <w:numId w:val="5"/>
              </w:numPr>
              <w:bidi w:val="0"/>
              <w:spacing w:before="100" w:after="100" w:line="480" w:lineRule="auto"/>
              <w:ind w:right="0"/>
              <w:jc w:val="both"/>
              <w:rPr>
                <w:rtl w:val="0"/>
                <w:lang w:val="en-US"/>
              </w:rPr>
            </w:pPr>
            <w:r>
              <w:rPr>
                <w:shd w:val="nil" w:color="auto" w:fill="auto"/>
                <w:rtl w:val="0"/>
                <w:lang w:val="en-US"/>
              </w:rPr>
              <w:t>The country has some restrictions on huge investments in the business of foreign companies.</w:t>
            </w:r>
          </w:p>
          <w:p>
            <w:pPr>
              <w:pStyle w:val="Body"/>
              <w:numPr>
                <w:ilvl w:val="0"/>
                <w:numId w:val="5"/>
              </w:numPr>
              <w:bidi w:val="0"/>
              <w:spacing w:before="100" w:after="100" w:line="480" w:lineRule="auto"/>
              <w:ind w:right="0"/>
              <w:jc w:val="both"/>
              <w:rPr>
                <w:rtl w:val="0"/>
                <w:lang w:val="en-US"/>
              </w:rPr>
            </w:pPr>
            <w:r>
              <w:rPr>
                <w:shd w:val="nil" w:color="auto" w:fill="auto"/>
                <w:rtl w:val="0"/>
                <w:lang w:val="en-US"/>
              </w:rPr>
              <w:t>This country is generating laws for e-commerce businesses.</w:t>
            </w:r>
          </w:p>
          <w:p>
            <w:pPr>
              <w:pStyle w:val="Body"/>
              <w:numPr>
                <w:ilvl w:val="0"/>
                <w:numId w:val="5"/>
              </w:numPr>
              <w:bidi w:val="0"/>
              <w:spacing w:before="100" w:after="100" w:line="480" w:lineRule="auto"/>
              <w:ind w:right="0"/>
              <w:jc w:val="both"/>
              <w:rPr>
                <w:rtl w:val="0"/>
                <w:lang w:val="en-US"/>
              </w:rPr>
            </w:pPr>
            <w:r>
              <w:rPr>
                <w:shd w:val="nil" w:color="auto" w:fill="auto"/>
                <w:rtl w:val="0"/>
                <w:lang w:val="en-US"/>
              </w:rPr>
              <w:t>The minimum wage amendment act, of 2015 explains labors' fundamental rights (</w:t>
            </w:r>
            <w:r>
              <w:rPr>
                <w:shd w:val="clear" w:color="auto" w:fill="ffffff"/>
                <w:rtl w:val="0"/>
                <w:lang w:val="en-US"/>
              </w:rPr>
              <w:t>Worldwide-tax, 2021</w:t>
            </w:r>
            <w:r>
              <w:rPr>
                <w:shd w:val="nil" w:color="auto" w:fill="auto"/>
                <w:rtl w:val="0"/>
                <w:lang w:val="en-US"/>
              </w:rPr>
              <w:t>).</w:t>
            </w:r>
          </w:p>
        </w:tc>
        <w:tc>
          <w:tcPr>
            <w:tcW w:type="dxa" w:w="236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before="100" w:after="100" w:line="480" w:lineRule="auto"/>
              <w:jc w:val="center"/>
            </w:pPr>
            <w:r>
              <w:rPr>
                <w:shd w:val="nil" w:color="auto" w:fill="auto"/>
                <w:rtl w:val="0"/>
                <w:lang w:val="en-US"/>
              </w:rPr>
              <w:t>Negative</w:t>
            </w:r>
          </w:p>
        </w:tc>
      </w:tr>
      <w:tr>
        <w:tblPrEx>
          <w:shd w:val="clear" w:color="auto" w:fill="ced7e7"/>
        </w:tblPrEx>
        <w:trPr>
          <w:trHeight w:val="4330" w:hRule="atLeast"/>
        </w:trPr>
        <w:tc>
          <w:tcPr>
            <w:tcW w:type="dxa" w:w="190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before="100" w:after="100" w:line="480" w:lineRule="auto"/>
              <w:jc w:val="both"/>
            </w:pPr>
            <w:r>
              <w:rPr>
                <w:shd w:val="nil" w:color="auto" w:fill="auto"/>
                <w:rtl w:val="0"/>
                <w:lang w:val="en-US"/>
              </w:rPr>
              <w:t>Environmental factor</w:t>
            </w:r>
          </w:p>
        </w:tc>
        <w:tc>
          <w:tcPr>
            <w:tcW w:type="dxa" w:w="440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numPr>
                <w:ilvl w:val="0"/>
                <w:numId w:val="6"/>
              </w:numPr>
              <w:spacing w:before="100" w:after="100" w:line="480" w:lineRule="auto"/>
              <w:jc w:val="both"/>
              <w:rPr>
                <w:lang w:val="en-US"/>
              </w:rPr>
            </w:pPr>
            <w:r>
              <w:rPr>
                <w:shd w:val="nil" w:color="auto" w:fill="auto"/>
                <w:rtl w:val="0"/>
                <w:lang w:val="en-US"/>
              </w:rPr>
              <w:t>The country has a 40% pollution rate worldwide (</w:t>
            </w:r>
            <w:r>
              <w:rPr>
                <w:shd w:val="clear" w:color="auto" w:fill="ffffff"/>
                <w:rtl w:val="0"/>
                <w:lang w:val="en-US"/>
              </w:rPr>
              <w:t>Panmore, 2023</w:t>
            </w:r>
            <w:r>
              <w:rPr>
                <w:shd w:val="nil" w:color="auto" w:fill="auto"/>
                <w:rtl w:val="0"/>
                <w:lang w:val="en-US"/>
              </w:rPr>
              <w:t>).</w:t>
            </w:r>
          </w:p>
          <w:p>
            <w:pPr>
              <w:pStyle w:val="Body"/>
              <w:numPr>
                <w:ilvl w:val="0"/>
                <w:numId w:val="6"/>
              </w:numPr>
              <w:bidi w:val="0"/>
              <w:spacing w:before="100" w:after="100" w:line="480" w:lineRule="auto"/>
              <w:ind w:right="0"/>
              <w:jc w:val="both"/>
              <w:rPr>
                <w:rtl w:val="0"/>
                <w:lang w:val="en-US"/>
              </w:rPr>
            </w:pPr>
            <w:r>
              <w:rPr>
                <w:shd w:val="nil" w:color="auto" w:fill="auto"/>
                <w:rtl w:val="0"/>
                <w:lang w:val="en-US"/>
              </w:rPr>
              <w:t>China emits 28 per cent of carbon dioxide globally.</w:t>
            </w:r>
          </w:p>
          <w:p>
            <w:pPr>
              <w:pStyle w:val="Body"/>
              <w:numPr>
                <w:ilvl w:val="0"/>
                <w:numId w:val="6"/>
              </w:numPr>
              <w:bidi w:val="0"/>
              <w:spacing w:before="100" w:after="100" w:line="480" w:lineRule="auto"/>
              <w:ind w:right="0"/>
              <w:jc w:val="both"/>
              <w:rPr>
                <w:rtl w:val="0"/>
                <w:lang w:val="en-US"/>
              </w:rPr>
            </w:pPr>
            <w:r>
              <w:rPr>
                <w:shd w:val="nil" w:color="auto" w:fill="auto"/>
                <w:rtl w:val="0"/>
                <w:lang w:val="en-US"/>
              </w:rPr>
              <w:t>The country also focuses to build electronic vehicles.</w:t>
            </w:r>
          </w:p>
          <w:p>
            <w:pPr>
              <w:pStyle w:val="Body"/>
              <w:numPr>
                <w:ilvl w:val="0"/>
                <w:numId w:val="6"/>
              </w:numPr>
              <w:bidi w:val="0"/>
              <w:spacing w:before="100" w:after="100" w:line="480" w:lineRule="auto"/>
              <w:ind w:right="0"/>
              <w:jc w:val="both"/>
              <w:rPr>
                <w:rtl w:val="0"/>
                <w:lang w:val="en-US"/>
              </w:rPr>
            </w:pPr>
            <w:r>
              <w:rPr>
                <w:shd w:val="nil" w:color="auto" w:fill="auto"/>
                <w:rtl w:val="0"/>
                <w:lang w:val="en-US"/>
              </w:rPr>
              <w:t>The country has pollution considerable scale that reduces the pollution level.</w:t>
            </w:r>
          </w:p>
        </w:tc>
        <w:tc>
          <w:tcPr>
            <w:tcW w:type="dxa" w:w="236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before="100" w:after="100" w:line="480" w:lineRule="auto"/>
              <w:jc w:val="center"/>
            </w:pPr>
            <w:r>
              <w:rPr>
                <w:shd w:val="nil" w:color="auto" w:fill="auto"/>
                <w:rtl w:val="0"/>
                <w:lang w:val="en-US"/>
              </w:rPr>
              <w:t>Negative</w:t>
            </w:r>
          </w:p>
        </w:tc>
      </w:tr>
    </w:tbl>
    <w:p>
      <w:pPr>
        <w:pStyle w:val="Body"/>
        <w:widowControl w:val="0"/>
        <w:spacing w:before="100" w:after="100" w:line="240" w:lineRule="auto"/>
        <w:jc w:val="both"/>
        <w:rPr>
          <w:outline w:val="0"/>
          <w:color w:val="000000"/>
          <w:u w:color="000000"/>
          <w14:textFill>
            <w14:solidFill>
              <w14:srgbClr w14:val="000000"/>
            </w14:solidFill>
          </w14:textFill>
        </w:rPr>
      </w:pPr>
    </w:p>
    <w:p>
      <w:pPr>
        <w:pStyle w:val="Body"/>
        <w:spacing w:before="100" w:after="100" w:line="480" w:lineRule="auto"/>
        <w:jc w:val="both"/>
        <w:rPr>
          <w:outline w:val="0"/>
          <w:color w:val="000000"/>
          <w:u w:color="000000"/>
          <w:lang w:val="en-US"/>
          <w14:textFill>
            <w14:solidFill>
              <w14:srgbClr w14:val="000000"/>
            </w14:solidFill>
          </w14:textFill>
        </w:rPr>
      </w:pPr>
    </w:p>
    <w:p>
      <w:pPr>
        <w:pStyle w:val="Body"/>
        <w:spacing w:before="100" w:after="100" w:line="480" w:lineRule="auto"/>
        <w:jc w:val="both"/>
        <w:rPr>
          <w:outline w:val="0"/>
          <w:color w:val="000000"/>
          <w:u w:color="000000"/>
          <w14:textFill>
            <w14:solidFill>
              <w14:srgbClr w14:val="000000"/>
            </w14:solidFill>
          </w14:textFill>
        </w:rPr>
      </w:pPr>
      <w:r>
        <w:rPr>
          <w:outline w:val="0"/>
          <w:color w:val="000000"/>
          <w:u w:color="000000"/>
          <w:rtl w:val="0"/>
          <w:lang w:val="en-US"/>
          <w14:textFill>
            <w14:solidFill>
              <w14:srgbClr w14:val="000000"/>
            </w14:solidFill>
          </w14:textFill>
        </w:rPr>
        <w:t>After analysing the PESTLE analysis of this country, shows that the Toyota company has obtained a huge benefit to doing a business there in the automobile industry in China. The organization has obtained a huge for the countries political and for the economic condition (Pahlawan and Onsardi, 2021). The PESTLE analysis of the country represents that the several external situations affect its development. The country requires to concentrate on scheming to protect its upcoming economy downwards for its high inflation. This protects them from the rapid economic downwards. The country also requires to build a good environment for the purchaser when launching e-commerce in the business market (Martins and Enes, 2020). They also utilise creative technologies to launch environment-friendly products. The PESTLE analysis of the country shows that the host country get affected by these external factors. The country also has a medium carbon emission rate that may attract buyers. On the other hand, in this country, the legal factor and the environmental factor have a negative impact in the organisation's business market because the country has several rules and regulations for the huge investment to the business for foreign organisations.</w:t>
      </w:r>
    </w:p>
    <w:p>
      <w:pPr>
        <w:pStyle w:val="Heading 2"/>
      </w:pPr>
      <w:bookmarkStart w:name="_Toc7" w:id="7"/>
      <w:r>
        <w:rPr>
          <w:rFonts w:cs="Arial Unicode MS" w:eastAsia="Arial Unicode MS"/>
          <w:rtl w:val="0"/>
          <w:lang w:val="en-US"/>
        </w:rPr>
        <w:t>SWOT analysis</w:t>
      </w:r>
      <w:bookmarkEnd w:id="7"/>
    </w:p>
    <w:p>
      <w:pPr>
        <w:pStyle w:val="Body"/>
        <w:spacing w:before="100" w:after="100" w:line="480" w:lineRule="auto"/>
        <w:jc w:val="both"/>
        <w:rPr>
          <w:outline w:val="0"/>
          <w:color w:val="000000"/>
          <w:u w:color="000000"/>
          <w14:textFill>
            <w14:solidFill>
              <w14:srgbClr w14:val="000000"/>
            </w14:solidFill>
          </w14:textFill>
        </w:rPr>
      </w:pPr>
      <w:r>
        <w:rPr>
          <w:outline w:val="0"/>
          <w:color w:val="000000"/>
          <w:u w:color="000000"/>
          <w:rtl w:val="0"/>
          <w:lang w:val="en-US"/>
          <w14:textFill>
            <w14:solidFill>
              <w14:srgbClr w14:val="000000"/>
            </w14:solidFill>
          </w14:textFill>
        </w:rPr>
        <w:t>In case of updating the business of the organisation and expanding the business in another country, the organisation must has to examine its internal strength. Here in the case of Toyota to offer effective business in the automobile industry, it has to examine its internal factors through SWOT analysis.</w:t>
      </w:r>
    </w:p>
    <w:tbl>
      <w:tblPr>
        <w:tblW w:w="867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270"/>
        <w:gridCol w:w="4400"/>
      </w:tblGrid>
      <w:tr>
        <w:tblPrEx>
          <w:shd w:val="clear" w:color="auto" w:fill="ced7e7"/>
        </w:tblPrEx>
        <w:trPr>
          <w:trHeight w:val="287" w:hRule="atLeast"/>
        </w:trPr>
        <w:tc>
          <w:tcPr>
            <w:tcW w:type="dxa" w:w="4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before="100" w:after="100" w:line="480" w:lineRule="auto"/>
              <w:jc w:val="center"/>
            </w:pPr>
            <w:r>
              <w:rPr>
                <w:b w:val="1"/>
                <w:bCs w:val="1"/>
                <w:sz w:val="24"/>
                <w:szCs w:val="24"/>
                <w:shd w:val="nil" w:color="auto" w:fill="auto"/>
                <w:rtl w:val="0"/>
                <w:lang w:val="en-US"/>
              </w:rPr>
              <w:t>Strengths</w:t>
            </w:r>
          </w:p>
        </w:tc>
        <w:tc>
          <w:tcPr>
            <w:tcW w:type="dxa" w:w="440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before="100" w:after="100" w:line="480" w:lineRule="auto"/>
              <w:jc w:val="center"/>
            </w:pPr>
            <w:r>
              <w:rPr>
                <w:b w:val="1"/>
                <w:bCs w:val="1"/>
                <w:sz w:val="24"/>
                <w:szCs w:val="24"/>
                <w:shd w:val="nil" w:color="auto" w:fill="auto"/>
                <w:rtl w:val="0"/>
                <w:lang w:val="en-US"/>
              </w:rPr>
              <w:t>Weaknesses</w:t>
            </w:r>
          </w:p>
        </w:tc>
      </w:tr>
      <w:tr>
        <w:tblPrEx>
          <w:shd w:val="clear" w:color="auto" w:fill="ced7e7"/>
        </w:tblPrEx>
        <w:trPr>
          <w:trHeight w:val="9169" w:hRule="atLeast"/>
        </w:trPr>
        <w:tc>
          <w:tcPr>
            <w:tcW w:type="dxa" w:w="4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numPr>
                <w:ilvl w:val="0"/>
                <w:numId w:val="7"/>
              </w:numPr>
              <w:spacing w:before="100" w:after="100" w:line="480" w:lineRule="auto"/>
              <w:rPr>
                <w:sz w:val="24"/>
                <w:szCs w:val="24"/>
                <w:lang w:val="en-US"/>
              </w:rPr>
            </w:pPr>
            <w:r>
              <w:rPr>
                <w:sz w:val="24"/>
                <w:szCs w:val="24"/>
                <w:shd w:val="nil" w:color="auto" w:fill="auto"/>
                <w:rtl w:val="0"/>
                <w:lang w:val="en-US"/>
              </w:rPr>
              <w:t>Toyota has leverage over its competitors that dominate the business market and the company sold its products in over 170 countries.</w:t>
            </w:r>
          </w:p>
          <w:p>
            <w:pPr>
              <w:pStyle w:val="Body"/>
              <w:numPr>
                <w:ilvl w:val="0"/>
                <w:numId w:val="7"/>
              </w:numPr>
              <w:bidi w:val="0"/>
              <w:spacing w:before="100" w:after="100" w:line="480" w:lineRule="auto"/>
              <w:ind w:right="0"/>
              <w:jc w:val="left"/>
              <w:rPr>
                <w:sz w:val="24"/>
                <w:szCs w:val="24"/>
                <w:rtl w:val="0"/>
                <w:lang w:val="en-US"/>
              </w:rPr>
            </w:pPr>
            <w:r>
              <w:rPr>
                <w:sz w:val="24"/>
                <w:szCs w:val="24"/>
                <w:shd w:val="nil" w:color="auto" w:fill="auto"/>
                <w:rtl w:val="0"/>
                <w:lang w:val="en-US"/>
              </w:rPr>
              <w:t>The company provides a broad variety of vehicles.</w:t>
            </w:r>
          </w:p>
          <w:p>
            <w:pPr>
              <w:pStyle w:val="Body"/>
              <w:numPr>
                <w:ilvl w:val="0"/>
                <w:numId w:val="7"/>
              </w:numPr>
              <w:bidi w:val="0"/>
              <w:spacing w:before="100" w:after="100" w:line="480" w:lineRule="auto"/>
              <w:ind w:right="0"/>
              <w:jc w:val="left"/>
              <w:rPr>
                <w:sz w:val="24"/>
                <w:szCs w:val="24"/>
                <w:rtl w:val="0"/>
                <w:lang w:val="en-US"/>
              </w:rPr>
            </w:pPr>
            <w:r>
              <w:rPr>
                <w:sz w:val="24"/>
                <w:szCs w:val="24"/>
                <w:shd w:val="nil" w:color="auto" w:fill="auto"/>
                <w:rtl w:val="0"/>
                <w:lang w:val="en-US"/>
              </w:rPr>
              <w:t>Effective leadership and organizational structure (</w:t>
            </w:r>
            <w:r>
              <w:rPr>
                <w:sz w:val="24"/>
                <w:szCs w:val="24"/>
                <w:shd w:val="clear" w:color="auto" w:fill="ffffff"/>
                <w:rtl w:val="0"/>
                <w:lang w:val="en-US"/>
              </w:rPr>
              <w:t>Soviar</w:t>
            </w:r>
            <w:r>
              <w:rPr>
                <w:sz w:val="24"/>
                <w:szCs w:val="24"/>
                <w:shd w:val="clear" w:color="auto" w:fill="ffffff"/>
                <w:rtl w:val="0"/>
                <w:lang w:val="en-US"/>
              </w:rPr>
              <w:t> </w:t>
            </w:r>
            <w:r>
              <w:rPr>
                <w:i w:val="1"/>
                <w:iCs w:val="1"/>
                <w:sz w:val="24"/>
                <w:szCs w:val="24"/>
                <w:shd w:val="clear" w:color="auto" w:fill="ffffff"/>
                <w:rtl w:val="0"/>
                <w:lang w:val="en-US"/>
              </w:rPr>
              <w:t xml:space="preserve">et al. </w:t>
            </w:r>
            <w:r>
              <w:rPr>
                <w:sz w:val="24"/>
                <w:szCs w:val="24"/>
                <w:shd w:val="clear" w:color="auto" w:fill="ffffff"/>
                <w:rtl w:val="0"/>
                <w:lang w:val="en-US"/>
              </w:rPr>
              <w:t>2019</w:t>
            </w:r>
            <w:r>
              <w:rPr>
                <w:sz w:val="24"/>
                <w:szCs w:val="24"/>
                <w:shd w:val="nil" w:color="auto" w:fill="auto"/>
                <w:rtl w:val="0"/>
                <w:lang w:val="en-US"/>
              </w:rPr>
              <w:t>).</w:t>
            </w:r>
          </w:p>
          <w:p>
            <w:pPr>
              <w:pStyle w:val="Body"/>
              <w:numPr>
                <w:ilvl w:val="0"/>
                <w:numId w:val="7"/>
              </w:numPr>
              <w:bidi w:val="0"/>
              <w:spacing w:before="100" w:after="100" w:line="480" w:lineRule="auto"/>
              <w:ind w:right="0"/>
              <w:jc w:val="left"/>
              <w:rPr>
                <w:sz w:val="24"/>
                <w:szCs w:val="24"/>
                <w:rtl w:val="0"/>
                <w:lang w:val="en-US"/>
              </w:rPr>
            </w:pPr>
            <w:r>
              <w:rPr>
                <w:sz w:val="24"/>
                <w:szCs w:val="24"/>
                <w:shd w:val="nil" w:color="auto" w:fill="auto"/>
                <w:rtl w:val="0"/>
                <w:lang w:val="en-US"/>
              </w:rPr>
              <w:t>Toyota carries out the technological leadership in the industry.</w:t>
            </w:r>
          </w:p>
          <w:p>
            <w:pPr>
              <w:pStyle w:val="Body"/>
              <w:numPr>
                <w:ilvl w:val="0"/>
                <w:numId w:val="7"/>
              </w:numPr>
              <w:bidi w:val="0"/>
              <w:spacing w:before="100" w:after="100" w:line="480" w:lineRule="auto"/>
              <w:ind w:right="0"/>
              <w:jc w:val="left"/>
              <w:rPr>
                <w:sz w:val="24"/>
                <w:szCs w:val="24"/>
                <w:rtl w:val="0"/>
                <w:lang w:val="en-US"/>
              </w:rPr>
            </w:pPr>
            <w:r>
              <w:rPr>
                <w:sz w:val="24"/>
                <w:szCs w:val="24"/>
                <w:shd w:val="nil" w:color="auto" w:fill="auto"/>
                <w:rtl w:val="0"/>
                <w:lang w:val="en-US"/>
              </w:rPr>
              <w:t>Extensive supply chain.</w:t>
            </w:r>
          </w:p>
          <w:p>
            <w:pPr>
              <w:pStyle w:val="Body"/>
              <w:numPr>
                <w:ilvl w:val="0"/>
                <w:numId w:val="7"/>
              </w:numPr>
              <w:bidi w:val="0"/>
              <w:spacing w:before="100" w:after="100" w:line="480" w:lineRule="auto"/>
              <w:ind w:right="0"/>
              <w:jc w:val="left"/>
              <w:rPr>
                <w:sz w:val="24"/>
                <w:szCs w:val="24"/>
                <w:rtl w:val="0"/>
                <w:lang w:val="en-US"/>
              </w:rPr>
            </w:pPr>
            <w:r>
              <w:rPr>
                <w:sz w:val="24"/>
                <w:szCs w:val="24"/>
                <w:shd w:val="nil" w:color="auto" w:fill="auto"/>
                <w:rtl w:val="0"/>
                <w:lang w:val="en-US"/>
              </w:rPr>
              <w:t>Higher production ability.</w:t>
            </w:r>
          </w:p>
          <w:p>
            <w:pPr>
              <w:pStyle w:val="Body"/>
              <w:numPr>
                <w:ilvl w:val="0"/>
                <w:numId w:val="7"/>
              </w:numPr>
              <w:bidi w:val="0"/>
              <w:spacing w:before="100" w:after="100" w:line="480" w:lineRule="auto"/>
              <w:ind w:right="0"/>
              <w:jc w:val="left"/>
              <w:rPr>
                <w:sz w:val="24"/>
                <w:szCs w:val="24"/>
                <w:rtl w:val="0"/>
                <w:lang w:val="en-US"/>
              </w:rPr>
            </w:pPr>
            <w:r>
              <w:rPr>
                <w:sz w:val="24"/>
                <w:szCs w:val="24"/>
                <w:shd w:val="nil" w:color="auto" w:fill="auto"/>
                <w:rtl w:val="0"/>
                <w:lang w:val="en-US"/>
              </w:rPr>
              <w:t>Strong financial position.</w:t>
            </w:r>
          </w:p>
        </w:tc>
        <w:tc>
          <w:tcPr>
            <w:tcW w:type="dxa" w:w="440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numPr>
                <w:ilvl w:val="0"/>
                <w:numId w:val="8"/>
              </w:numPr>
              <w:spacing w:before="100" w:after="100" w:line="480" w:lineRule="auto"/>
              <w:rPr>
                <w:sz w:val="24"/>
                <w:szCs w:val="24"/>
                <w:lang w:val="en-US"/>
              </w:rPr>
            </w:pPr>
            <w:r>
              <w:rPr>
                <w:sz w:val="24"/>
                <w:szCs w:val="24"/>
                <w:shd w:val="nil" w:color="auto" w:fill="auto"/>
                <w:rtl w:val="0"/>
                <w:lang w:val="en-US"/>
              </w:rPr>
              <w:t>Overdependence on supplier</w:t>
            </w:r>
          </w:p>
          <w:p>
            <w:pPr>
              <w:pStyle w:val="Body"/>
              <w:numPr>
                <w:ilvl w:val="0"/>
                <w:numId w:val="8"/>
              </w:numPr>
              <w:bidi w:val="0"/>
              <w:spacing w:before="100" w:after="100" w:line="480" w:lineRule="auto"/>
              <w:ind w:right="0"/>
              <w:jc w:val="left"/>
              <w:rPr>
                <w:sz w:val="24"/>
                <w:szCs w:val="24"/>
                <w:rtl w:val="0"/>
                <w:lang w:val="en-US"/>
              </w:rPr>
            </w:pPr>
            <w:r>
              <w:rPr>
                <w:sz w:val="24"/>
                <w:szCs w:val="24"/>
                <w:shd w:val="nil" w:color="auto" w:fill="auto"/>
                <w:rtl w:val="0"/>
                <w:lang w:val="en-US"/>
              </w:rPr>
              <w:t>Poor business marketing for eco-friendly vehicles</w:t>
            </w:r>
          </w:p>
          <w:p>
            <w:pPr>
              <w:pStyle w:val="Body"/>
              <w:numPr>
                <w:ilvl w:val="0"/>
                <w:numId w:val="8"/>
              </w:numPr>
              <w:bidi w:val="0"/>
              <w:spacing w:before="100" w:after="100" w:line="480" w:lineRule="auto"/>
              <w:ind w:right="0"/>
              <w:jc w:val="left"/>
              <w:rPr>
                <w:sz w:val="24"/>
                <w:szCs w:val="24"/>
                <w:rtl w:val="0"/>
                <w:lang w:val="en-US"/>
              </w:rPr>
            </w:pPr>
            <w:r>
              <w:rPr>
                <w:sz w:val="24"/>
                <w:szCs w:val="24"/>
                <w:shd w:val="nil" w:color="auto" w:fill="auto"/>
                <w:rtl w:val="0"/>
                <w:lang w:val="en-US"/>
              </w:rPr>
              <w:t>Manufacturing defects</w:t>
            </w:r>
          </w:p>
          <w:p>
            <w:pPr>
              <w:pStyle w:val="Body"/>
              <w:numPr>
                <w:ilvl w:val="0"/>
                <w:numId w:val="8"/>
              </w:numPr>
              <w:bidi w:val="0"/>
              <w:spacing w:before="100" w:after="100" w:line="480" w:lineRule="auto"/>
              <w:ind w:right="0"/>
              <w:jc w:val="left"/>
              <w:rPr>
                <w:sz w:val="24"/>
                <w:szCs w:val="24"/>
                <w:rtl w:val="0"/>
                <w:lang w:val="en-US"/>
              </w:rPr>
            </w:pPr>
            <w:r>
              <w:rPr>
                <w:sz w:val="24"/>
                <w:szCs w:val="24"/>
                <w:shd w:val="nil" w:color="auto" w:fill="auto"/>
                <w:rtl w:val="0"/>
                <w:lang w:val="en-US"/>
              </w:rPr>
              <w:t>Ineffective marketing</w:t>
            </w:r>
          </w:p>
          <w:p>
            <w:pPr>
              <w:pStyle w:val="Body"/>
              <w:numPr>
                <w:ilvl w:val="0"/>
                <w:numId w:val="8"/>
              </w:numPr>
              <w:bidi w:val="0"/>
              <w:spacing w:before="100" w:after="100" w:line="480" w:lineRule="auto"/>
              <w:ind w:right="0"/>
              <w:jc w:val="left"/>
              <w:rPr>
                <w:sz w:val="24"/>
                <w:szCs w:val="24"/>
                <w:rtl w:val="0"/>
                <w:lang w:val="en-US"/>
              </w:rPr>
            </w:pPr>
            <w:r>
              <w:rPr>
                <w:sz w:val="24"/>
                <w:szCs w:val="24"/>
                <w:shd w:val="nil" w:color="auto" w:fill="auto"/>
                <w:rtl w:val="0"/>
                <w:lang w:val="en-US"/>
              </w:rPr>
              <w:t>Secrecy in the company</w:t>
            </w:r>
            <w:r>
              <w:rPr>
                <w:sz w:val="24"/>
                <w:szCs w:val="24"/>
                <w:shd w:val="nil" w:color="auto" w:fill="auto"/>
                <w:rtl w:val="0"/>
                <w:lang w:val="en-US"/>
              </w:rPr>
              <w:t>’</w:t>
            </w:r>
            <w:r>
              <w:rPr>
                <w:sz w:val="24"/>
                <w:szCs w:val="24"/>
                <w:shd w:val="nil" w:color="auto" w:fill="auto"/>
                <w:rtl w:val="0"/>
                <w:lang w:val="en-US"/>
              </w:rPr>
              <w:t>s culture</w:t>
            </w:r>
          </w:p>
        </w:tc>
      </w:tr>
      <w:tr>
        <w:tblPrEx>
          <w:shd w:val="clear" w:color="auto" w:fill="ced7e7"/>
        </w:tblPrEx>
        <w:trPr>
          <w:trHeight w:val="287" w:hRule="atLeast"/>
        </w:trPr>
        <w:tc>
          <w:tcPr>
            <w:tcW w:type="dxa" w:w="4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before="100" w:after="100" w:line="480" w:lineRule="auto"/>
              <w:jc w:val="center"/>
            </w:pPr>
            <w:r>
              <w:rPr>
                <w:b w:val="1"/>
                <w:bCs w:val="1"/>
                <w:sz w:val="24"/>
                <w:szCs w:val="24"/>
                <w:shd w:val="nil" w:color="auto" w:fill="auto"/>
                <w:rtl w:val="0"/>
                <w:lang w:val="en-US"/>
              </w:rPr>
              <w:t>Opportunities</w:t>
            </w:r>
          </w:p>
        </w:tc>
        <w:tc>
          <w:tcPr>
            <w:tcW w:type="dxa" w:w="440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before="100" w:after="100" w:line="480" w:lineRule="auto"/>
              <w:jc w:val="center"/>
            </w:pPr>
            <w:r>
              <w:rPr>
                <w:b w:val="1"/>
                <w:bCs w:val="1"/>
                <w:sz w:val="24"/>
                <w:szCs w:val="24"/>
                <w:shd w:val="nil" w:color="auto" w:fill="auto"/>
                <w:rtl w:val="0"/>
                <w:lang w:val="en-US"/>
              </w:rPr>
              <w:t>Threats</w:t>
            </w:r>
          </w:p>
        </w:tc>
      </w:tr>
      <w:tr>
        <w:tblPrEx>
          <w:shd w:val="clear" w:color="auto" w:fill="ced7e7"/>
        </w:tblPrEx>
        <w:trPr>
          <w:trHeight w:val="3448" w:hRule="atLeast"/>
        </w:trPr>
        <w:tc>
          <w:tcPr>
            <w:tcW w:type="dxa" w:w="4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numPr>
                <w:ilvl w:val="0"/>
                <w:numId w:val="9"/>
              </w:numPr>
              <w:spacing w:before="100" w:after="100" w:line="480" w:lineRule="auto"/>
              <w:rPr>
                <w:sz w:val="24"/>
                <w:szCs w:val="24"/>
                <w:lang w:val="en-US"/>
              </w:rPr>
            </w:pPr>
            <w:r>
              <w:rPr>
                <w:sz w:val="24"/>
                <w:szCs w:val="24"/>
                <w:shd w:val="nil" w:color="auto" w:fill="auto"/>
                <w:rtl w:val="0"/>
                <w:lang w:val="en-US"/>
              </w:rPr>
              <w:t>Aim at emerging economies</w:t>
            </w:r>
          </w:p>
          <w:p>
            <w:pPr>
              <w:pStyle w:val="Body"/>
              <w:numPr>
                <w:ilvl w:val="0"/>
                <w:numId w:val="9"/>
              </w:numPr>
              <w:bidi w:val="0"/>
              <w:spacing w:before="100" w:after="100" w:line="480" w:lineRule="auto"/>
              <w:ind w:right="0"/>
              <w:jc w:val="left"/>
              <w:rPr>
                <w:sz w:val="24"/>
                <w:szCs w:val="24"/>
                <w:rtl w:val="0"/>
                <w:lang w:val="en-US"/>
              </w:rPr>
            </w:pPr>
            <w:r>
              <w:rPr>
                <w:sz w:val="24"/>
                <w:szCs w:val="24"/>
                <w:shd w:val="nil" w:color="auto" w:fill="auto"/>
                <w:rtl w:val="0"/>
                <w:lang w:val="en-US"/>
              </w:rPr>
              <w:t>Expand into autonomous cars</w:t>
            </w:r>
          </w:p>
          <w:p>
            <w:pPr>
              <w:pStyle w:val="Body"/>
              <w:numPr>
                <w:ilvl w:val="0"/>
                <w:numId w:val="9"/>
              </w:numPr>
              <w:bidi w:val="0"/>
              <w:spacing w:before="100" w:after="100" w:line="480" w:lineRule="auto"/>
              <w:ind w:right="0"/>
              <w:jc w:val="left"/>
              <w:rPr>
                <w:sz w:val="24"/>
                <w:szCs w:val="24"/>
                <w:rtl w:val="0"/>
                <w:lang w:val="en-US"/>
              </w:rPr>
            </w:pPr>
            <w:r>
              <w:rPr>
                <w:sz w:val="24"/>
                <w:szCs w:val="24"/>
                <w:shd w:val="nil" w:color="auto" w:fill="auto"/>
                <w:rtl w:val="0"/>
                <w:lang w:val="en-US"/>
              </w:rPr>
              <w:t>Expand into the health device sector</w:t>
            </w:r>
          </w:p>
          <w:p>
            <w:pPr>
              <w:pStyle w:val="Body"/>
              <w:numPr>
                <w:ilvl w:val="0"/>
                <w:numId w:val="9"/>
              </w:numPr>
              <w:bidi w:val="0"/>
              <w:spacing w:before="100" w:after="100" w:line="480" w:lineRule="auto"/>
              <w:ind w:right="0"/>
              <w:jc w:val="left"/>
              <w:rPr>
                <w:sz w:val="24"/>
                <w:szCs w:val="24"/>
                <w:rtl w:val="0"/>
                <w:lang w:val="en-US"/>
              </w:rPr>
            </w:pPr>
            <w:r>
              <w:rPr>
                <w:sz w:val="24"/>
                <w:szCs w:val="24"/>
                <w:shd w:val="nil" w:color="auto" w:fill="auto"/>
                <w:rtl w:val="0"/>
                <w:lang w:val="en-US"/>
              </w:rPr>
              <w:t>Focus on eco-friendly cars</w:t>
            </w:r>
          </w:p>
          <w:p>
            <w:pPr>
              <w:pStyle w:val="Body"/>
              <w:numPr>
                <w:ilvl w:val="0"/>
                <w:numId w:val="9"/>
              </w:numPr>
              <w:bidi w:val="0"/>
              <w:spacing w:before="100" w:after="100" w:line="480" w:lineRule="auto"/>
              <w:ind w:right="0"/>
              <w:jc w:val="left"/>
              <w:rPr>
                <w:sz w:val="24"/>
                <w:szCs w:val="24"/>
                <w:rtl w:val="0"/>
                <w:lang w:val="en-US"/>
              </w:rPr>
            </w:pPr>
            <w:r>
              <w:rPr>
                <w:sz w:val="24"/>
                <w:szCs w:val="24"/>
                <w:shd w:val="nil" w:color="auto" w:fill="auto"/>
                <w:rtl w:val="0"/>
                <w:lang w:val="en-US"/>
              </w:rPr>
              <w:t>Fund into related areas</w:t>
            </w:r>
          </w:p>
        </w:tc>
        <w:tc>
          <w:tcPr>
            <w:tcW w:type="dxa" w:w="440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numPr>
                <w:ilvl w:val="0"/>
                <w:numId w:val="10"/>
              </w:numPr>
              <w:spacing w:before="100" w:after="100" w:line="480" w:lineRule="auto"/>
              <w:rPr>
                <w:sz w:val="24"/>
                <w:szCs w:val="24"/>
                <w:lang w:val="en-US"/>
              </w:rPr>
            </w:pPr>
            <w:r>
              <w:rPr>
                <w:sz w:val="24"/>
                <w:szCs w:val="24"/>
                <w:shd w:val="nil" w:color="auto" w:fill="auto"/>
                <w:rtl w:val="0"/>
                <w:lang w:val="en-US"/>
              </w:rPr>
              <w:t>Global pandemic</w:t>
            </w:r>
          </w:p>
          <w:p>
            <w:pPr>
              <w:pStyle w:val="Body"/>
              <w:numPr>
                <w:ilvl w:val="0"/>
                <w:numId w:val="10"/>
              </w:numPr>
              <w:bidi w:val="0"/>
              <w:spacing w:before="100" w:after="100" w:line="480" w:lineRule="auto"/>
              <w:ind w:right="0"/>
              <w:jc w:val="left"/>
              <w:rPr>
                <w:sz w:val="24"/>
                <w:szCs w:val="24"/>
                <w:rtl w:val="0"/>
                <w:lang w:val="en-US"/>
              </w:rPr>
            </w:pPr>
            <w:r>
              <w:rPr>
                <w:sz w:val="24"/>
                <w:szCs w:val="24"/>
                <w:shd w:val="nil" w:color="auto" w:fill="auto"/>
                <w:rtl w:val="0"/>
                <w:lang w:val="en-US"/>
              </w:rPr>
              <w:t>Hard competition</w:t>
            </w:r>
          </w:p>
          <w:p>
            <w:pPr>
              <w:pStyle w:val="Body"/>
              <w:numPr>
                <w:ilvl w:val="0"/>
                <w:numId w:val="10"/>
              </w:numPr>
              <w:bidi w:val="0"/>
              <w:spacing w:before="100" w:after="100" w:line="480" w:lineRule="auto"/>
              <w:ind w:right="0"/>
              <w:jc w:val="left"/>
              <w:rPr>
                <w:sz w:val="24"/>
                <w:szCs w:val="24"/>
                <w:rtl w:val="0"/>
                <w:lang w:val="en-US"/>
              </w:rPr>
            </w:pPr>
            <w:r>
              <w:rPr>
                <w:sz w:val="24"/>
                <w:szCs w:val="24"/>
                <w:shd w:val="nil" w:color="auto" w:fill="auto"/>
                <w:rtl w:val="0"/>
                <w:lang w:val="en-US"/>
              </w:rPr>
              <w:t>Negative publicity</w:t>
            </w:r>
          </w:p>
          <w:p>
            <w:pPr>
              <w:pStyle w:val="Body"/>
              <w:numPr>
                <w:ilvl w:val="0"/>
                <w:numId w:val="10"/>
              </w:numPr>
              <w:bidi w:val="0"/>
              <w:spacing w:before="100" w:after="100" w:line="480" w:lineRule="auto"/>
              <w:ind w:right="0"/>
              <w:jc w:val="left"/>
              <w:rPr>
                <w:sz w:val="24"/>
                <w:szCs w:val="24"/>
                <w:rtl w:val="0"/>
                <w:lang w:val="en-US"/>
              </w:rPr>
            </w:pPr>
            <w:r>
              <w:rPr>
                <w:sz w:val="24"/>
                <w:szCs w:val="24"/>
                <w:shd w:val="nil" w:color="auto" w:fill="auto"/>
                <w:rtl w:val="0"/>
                <w:lang w:val="en-US"/>
              </w:rPr>
              <w:t>Technology race</w:t>
            </w:r>
          </w:p>
          <w:p>
            <w:pPr>
              <w:pStyle w:val="Body"/>
              <w:numPr>
                <w:ilvl w:val="0"/>
                <w:numId w:val="10"/>
              </w:numPr>
              <w:bidi w:val="0"/>
              <w:spacing w:before="100" w:after="100" w:line="480" w:lineRule="auto"/>
              <w:ind w:right="0"/>
              <w:jc w:val="left"/>
              <w:rPr>
                <w:sz w:val="24"/>
                <w:szCs w:val="24"/>
                <w:rtl w:val="0"/>
                <w:lang w:val="en-US"/>
              </w:rPr>
            </w:pPr>
            <w:r>
              <w:rPr>
                <w:sz w:val="24"/>
                <w:szCs w:val="24"/>
                <w:shd w:val="nil" w:color="auto" w:fill="auto"/>
                <w:rtl w:val="0"/>
                <w:lang w:val="en-US"/>
              </w:rPr>
              <w:t>Expensive raw materials</w:t>
            </w:r>
          </w:p>
        </w:tc>
      </w:tr>
    </w:tbl>
    <w:p>
      <w:pPr>
        <w:pStyle w:val="Body"/>
        <w:widowControl w:val="0"/>
        <w:spacing w:before="100" w:after="100" w:line="240" w:lineRule="auto"/>
        <w:jc w:val="both"/>
        <w:rPr>
          <w:outline w:val="0"/>
          <w:color w:val="000000"/>
          <w:u w:color="000000"/>
          <w14:textFill>
            <w14:solidFill>
              <w14:srgbClr w14:val="000000"/>
            </w14:solidFill>
          </w14:textFill>
        </w:rPr>
      </w:pPr>
    </w:p>
    <w:p>
      <w:pPr>
        <w:pStyle w:val="Body"/>
        <w:spacing w:before="100" w:after="100" w:line="480" w:lineRule="auto"/>
        <w:jc w:val="both"/>
        <w:rPr>
          <w:outline w:val="0"/>
          <w:color w:val="000000"/>
          <w:u w:color="000000"/>
          <w14:textFill>
            <w14:solidFill>
              <w14:srgbClr w14:val="000000"/>
            </w14:solidFill>
          </w14:textFill>
        </w:rPr>
      </w:pPr>
      <w:r>
        <w:rPr>
          <w:outline w:val="0"/>
          <w:color w:val="000000"/>
          <w:u w:color="000000"/>
          <w:rtl w:val="0"/>
          <w:lang w:val="en-US"/>
          <w14:textFill>
            <w14:solidFill>
              <w14:srgbClr w14:val="000000"/>
            </w14:solidFill>
          </w14:textFill>
        </w:rPr>
        <w:t xml:space="preserve">The SWOT analysis of the Toyota Company shows that it has several strengths that enhance its business market and reputation in the industry. The company has leverage over the business competitors in the market. Toyota sold its products to over 170 countries in the world and it keeps almost 11% of the global vehicle market (Guno </w:t>
      </w:r>
      <w:r>
        <w:rPr>
          <w:i w:val="1"/>
          <w:iCs w:val="1"/>
          <w:outline w:val="0"/>
          <w:color w:val="000000"/>
          <w:u w:color="000000"/>
          <w:rtl w:val="0"/>
          <w:lang w:val="en-US"/>
          <w14:textFill>
            <w14:solidFill>
              <w14:srgbClr w14:val="000000"/>
            </w14:solidFill>
          </w14:textFill>
        </w:rPr>
        <w:t>et al.</w:t>
      </w:r>
      <w:r>
        <w:rPr>
          <w:outline w:val="0"/>
          <w:color w:val="000000"/>
          <w:u w:color="000000"/>
          <w:rtl w:val="0"/>
          <w:lang w:val="en-US"/>
          <w14:textFill>
            <w14:solidFill>
              <w14:srgbClr w14:val="000000"/>
            </w14:solidFill>
          </w14:textFill>
        </w:rPr>
        <w:t xml:space="preserve"> 2021). The organisation provides a broad variety of cars in the market and the cares are different models involving sedans, off-road cars and pickup trucks. Organizational structure and strong leadership of the organisation have activated to escape from friction with other companies and government. This also has increased the stability of the organisation in the business market (Debnath </w:t>
      </w:r>
      <w:r>
        <w:rPr>
          <w:i w:val="1"/>
          <w:iCs w:val="1"/>
          <w:outline w:val="0"/>
          <w:color w:val="000000"/>
          <w:u w:color="000000"/>
          <w:rtl w:val="0"/>
          <w:lang w:val="en-US"/>
          <w14:textFill>
            <w14:solidFill>
              <w14:srgbClr w14:val="000000"/>
            </w14:solidFill>
          </w14:textFill>
        </w:rPr>
        <w:t>et al.</w:t>
      </w:r>
      <w:r>
        <w:rPr>
          <w:outline w:val="0"/>
          <w:color w:val="000000"/>
          <w:u w:color="000000"/>
          <w:rtl w:val="0"/>
          <w:lang w:val="en-US"/>
          <w14:textFill>
            <w14:solidFill>
              <w14:srgbClr w14:val="000000"/>
            </w14:solidFill>
          </w14:textFill>
        </w:rPr>
        <w:t xml:space="preserve"> 2021). Having strong brand awareness and recognition increases brand value and provides the ground line with high sales. </w:t>
      </w:r>
    </w:p>
    <w:p>
      <w:pPr>
        <w:pStyle w:val="Body"/>
        <w:spacing w:before="100" w:after="100" w:line="480" w:lineRule="auto"/>
        <w:jc w:val="both"/>
        <w:rPr>
          <w:outline w:val="0"/>
          <w:color w:val="000000"/>
          <w:u w:color="000000"/>
          <w14:textFill>
            <w14:solidFill>
              <w14:srgbClr w14:val="000000"/>
            </w14:solidFill>
          </w14:textFill>
        </w:rPr>
      </w:pPr>
      <w:r>
        <w:rPr>
          <w:outline w:val="0"/>
          <w:color w:val="000000"/>
          <w:u w:color="000000"/>
          <w:rtl w:val="0"/>
          <w:lang w:val="en-US"/>
          <w14:textFill>
            <w14:solidFill>
              <w14:srgbClr w14:val="000000"/>
            </w14:solidFill>
          </w14:textFill>
        </w:rPr>
        <w:t xml:space="preserve">The organisation provided the most valuable car in the world with 75.5 billion dollars in brand value. The company is also a technological innovator in the automobile industry and carries out the technological leadership. The production capacity of the company is almost "10 million cars per year". The organisation's extra cash-saving strategy saved its competitors in the business market. The company has over-dependency on the suppliers and they have a poor marketing strategy for its eco-friendly cars. Toyota has a high manufacturing defect report in 2020 by 3.9 million vehicles for its duel pump defects (Paurova and Gregova, 2020). </w:t>
      </w:r>
    </w:p>
    <w:p>
      <w:pPr>
        <w:pStyle w:val="Body"/>
        <w:spacing w:before="100" w:after="100" w:line="480" w:lineRule="auto"/>
        <w:jc w:val="both"/>
        <w:rPr>
          <w:outline w:val="0"/>
          <w:color w:val="000000"/>
          <w:u w:color="000000"/>
          <w14:textFill>
            <w14:solidFill>
              <w14:srgbClr w14:val="000000"/>
            </w14:solidFill>
          </w14:textFill>
        </w:rPr>
      </w:pPr>
      <w:r>
        <w:rPr>
          <w:outline w:val="0"/>
          <w:color w:val="000000"/>
          <w:u w:color="000000"/>
          <w:rtl w:val="0"/>
          <w:lang w:val="en-US"/>
          <w14:textFill>
            <w14:solidFill>
              <w14:srgbClr w14:val="000000"/>
            </w14:solidFill>
          </w14:textFill>
        </w:rPr>
        <w:t>The organisation's few brands have no identification in the market for their ineffective marketing. The company wants to expand their business into autonomous vehicles. The global pandemic has forced the organisation to attach the business in the medical device business that belongs to an unrelated sector. They also increase focus on environment-friendly cars and it fixes the goal that the company would sell about 6 million electric vehicles in 2030. Consumers are continuously publishing terror images of the rogue regimes and rebels, riding Toyota's off-road vehicles. Expensive raw materials and technological race enhance the organisation's input price.</w:t>
      </w:r>
    </w:p>
    <w:p>
      <w:pPr>
        <w:pStyle w:val="Heading 2"/>
      </w:pPr>
      <w:bookmarkStart w:name="_Toc8" w:id="8"/>
      <w:r>
        <w:rPr>
          <w:rFonts w:cs="Arial Unicode MS" w:eastAsia="Arial Unicode MS"/>
          <w:rtl w:val="0"/>
          <w:lang w:val="en-US"/>
        </w:rPr>
        <w:t>STP marketing</w:t>
      </w:r>
      <w:bookmarkEnd w:id="8"/>
    </w:p>
    <w:p>
      <w:pPr>
        <w:pStyle w:val="Body"/>
        <w:spacing w:before="100" w:after="100" w:line="480" w:lineRule="auto"/>
        <w:jc w:val="both"/>
        <w:rPr>
          <w:b w:val="1"/>
          <w:bCs w:val="1"/>
          <w:outline w:val="0"/>
          <w:color w:val="000000"/>
          <w:u w:color="000000"/>
          <w14:textFill>
            <w14:solidFill>
              <w14:srgbClr w14:val="000000"/>
            </w14:solidFill>
          </w14:textFill>
        </w:rPr>
      </w:pPr>
      <w:r>
        <w:rPr>
          <w:b w:val="1"/>
          <w:bCs w:val="1"/>
          <w:outline w:val="0"/>
          <w:color w:val="000000"/>
          <w:u w:color="000000"/>
          <w:rtl w:val="0"/>
          <w:lang w:val="en-US"/>
          <w14:textFill>
            <w14:solidFill>
              <w14:srgbClr w14:val="000000"/>
            </w14:solidFill>
          </w14:textFill>
        </w:rPr>
        <w:t>Segmentation</w:t>
      </w:r>
    </w:p>
    <w:p>
      <w:pPr>
        <w:pStyle w:val="Body"/>
        <w:spacing w:before="100" w:after="100" w:line="480" w:lineRule="auto"/>
        <w:jc w:val="both"/>
        <w:rPr>
          <w:outline w:val="0"/>
          <w:color w:val="000000"/>
          <w:u w:color="000000"/>
          <w14:textFill>
            <w14:solidFill>
              <w14:srgbClr w14:val="000000"/>
            </w14:solidFill>
          </w14:textFill>
        </w:rPr>
      </w:pPr>
      <w:r>
        <w:rPr>
          <w:outline w:val="0"/>
          <w:color w:val="000000"/>
          <w:u w:color="000000"/>
          <w:rtl w:val="0"/>
          <w:lang w:val="en-US"/>
          <w14:textFill>
            <w14:solidFill>
              <w14:srgbClr w14:val="000000"/>
            </w14:solidFill>
          </w14:textFill>
        </w:rPr>
        <w:t>The main customers of the organisation demographics are younger to older age customers who are belong in 30 to 50 years aged. It involves both females and males. The company's brand presence in the world is a powerful market. The loyal customers of the organisation hold their cars for a long time for the vehicle reliability and quality of the brand (Itsuki, 2021). Psychographic business market segmentation represents the consumers' value on reliability, quality, and efficiencies for. The customers are affected by the brand attributes when the company marketing is essential. The features of the company's vehicles had a notable effect on the buying options.</w:t>
      </w:r>
    </w:p>
    <w:p>
      <w:pPr>
        <w:pStyle w:val="Body"/>
        <w:spacing w:before="100" w:after="100" w:line="480" w:lineRule="auto"/>
        <w:jc w:val="both"/>
        <w:rPr>
          <w:b w:val="1"/>
          <w:bCs w:val="1"/>
          <w:outline w:val="0"/>
          <w:color w:val="000000"/>
          <w:u w:color="000000"/>
          <w14:textFill>
            <w14:solidFill>
              <w14:srgbClr w14:val="000000"/>
            </w14:solidFill>
          </w14:textFill>
        </w:rPr>
      </w:pPr>
      <w:r>
        <w:rPr>
          <w:b w:val="1"/>
          <w:bCs w:val="1"/>
          <w:outline w:val="0"/>
          <w:color w:val="000000"/>
          <w:u w:color="000000"/>
          <w:rtl w:val="0"/>
          <w:lang w:val="en-US"/>
          <w14:textFill>
            <w14:solidFill>
              <w14:srgbClr w14:val="000000"/>
            </w14:solidFill>
          </w14:textFill>
        </w:rPr>
        <w:t>Targeting</w:t>
      </w:r>
    </w:p>
    <w:p>
      <w:pPr>
        <w:pStyle w:val="Body"/>
        <w:spacing w:before="100" w:after="100" w:line="480" w:lineRule="auto"/>
        <w:jc w:val="both"/>
        <w:rPr>
          <w:outline w:val="0"/>
          <w:color w:val="000000"/>
          <w:u w:color="000000"/>
          <w14:textFill>
            <w14:solidFill>
              <w14:srgbClr w14:val="000000"/>
            </w14:solidFill>
          </w14:textFill>
        </w:rPr>
      </w:pPr>
      <w:r>
        <w:rPr>
          <w:outline w:val="0"/>
          <w:color w:val="000000"/>
          <w:u w:color="000000"/>
          <w:rtl w:val="0"/>
          <w:lang w:val="en-US"/>
          <w14:textFill>
            <w14:solidFill>
              <w14:srgbClr w14:val="000000"/>
            </w14:solidFill>
          </w14:textFill>
        </w:rPr>
        <w:t xml:space="preserve">The target market for the organisation involves drivers' overall age segments from an adult aged to older aged persons. The target market of the company is positioned worldwide and the organisation's brand is very popular in the home country Japan (Prasetyo, 2020). The presence of manufacturing and distribution infrastructure helps to market successfully in the business market. </w:t>
      </w:r>
    </w:p>
    <w:p>
      <w:pPr>
        <w:pStyle w:val="Body"/>
        <w:spacing w:before="100" w:after="100" w:line="480" w:lineRule="auto"/>
        <w:jc w:val="both"/>
        <w:rPr>
          <w:b w:val="1"/>
          <w:bCs w:val="1"/>
          <w:outline w:val="0"/>
          <w:color w:val="000000"/>
          <w:u w:color="000000"/>
          <w14:textFill>
            <w14:solidFill>
              <w14:srgbClr w14:val="000000"/>
            </w14:solidFill>
          </w14:textFill>
        </w:rPr>
      </w:pPr>
      <w:r>
        <w:rPr>
          <w:b w:val="1"/>
          <w:bCs w:val="1"/>
          <w:outline w:val="0"/>
          <w:color w:val="000000"/>
          <w:u w:color="000000"/>
          <w:rtl w:val="0"/>
          <w:lang w:val="en-US"/>
          <w14:textFill>
            <w14:solidFill>
              <w14:srgbClr w14:val="000000"/>
            </w14:solidFill>
          </w14:textFill>
        </w:rPr>
        <w:t>Positioning</w:t>
      </w:r>
    </w:p>
    <w:p>
      <w:pPr>
        <w:pStyle w:val="Body"/>
        <w:spacing w:before="100" w:after="100" w:line="480" w:lineRule="auto"/>
        <w:jc w:val="both"/>
        <w:rPr>
          <w:outline w:val="0"/>
          <w:color w:val="000000"/>
          <w:u w:color="000000"/>
          <w14:textFill>
            <w14:solidFill>
              <w14:srgbClr w14:val="000000"/>
            </w14:solidFill>
          </w14:textFill>
        </w:rPr>
      </w:pPr>
      <w:r>
        <w:rPr>
          <w:outline w:val="0"/>
          <w:color w:val="000000"/>
          <w:u w:color="000000"/>
          <w:rtl w:val="0"/>
          <w:lang w:val="en-US"/>
          <w14:textFill>
            <w14:solidFill>
              <w14:srgbClr w14:val="000000"/>
            </w14:solidFill>
          </w14:textFill>
        </w:rPr>
        <w:t>The positioning includes the path an organisation's marketing functions are recognised by the consumers to marketing strategies utilised by the business competitors. The organisation is staying on top of their technological invention in the industry and the installation in the car. The organisation's brand images are staying in the loyal consumers' minds at the top for its brand quality.</w:t>
      </w:r>
    </w:p>
    <w:p>
      <w:pPr>
        <w:pStyle w:val="Heading 2"/>
      </w:pPr>
      <w:bookmarkStart w:name="_Toc9" w:id="9"/>
      <w:r>
        <w:rPr>
          <w:rFonts w:cs="Arial Unicode MS" w:eastAsia="Arial Unicode MS"/>
          <w:rtl w:val="0"/>
          <w:lang w:val="en-US"/>
        </w:rPr>
        <w:t>Marketing mix</w:t>
      </w:r>
      <w:bookmarkEnd w:id="9"/>
    </w:p>
    <w:p>
      <w:pPr>
        <w:pStyle w:val="Body"/>
        <w:spacing w:before="100" w:after="100" w:line="480" w:lineRule="auto"/>
        <w:jc w:val="both"/>
        <w:rPr>
          <w:b w:val="1"/>
          <w:bCs w:val="1"/>
          <w:outline w:val="0"/>
          <w:color w:val="000000"/>
          <w:u w:color="000000"/>
          <w14:textFill>
            <w14:solidFill>
              <w14:srgbClr w14:val="000000"/>
            </w14:solidFill>
          </w14:textFill>
        </w:rPr>
      </w:pPr>
      <w:r>
        <w:rPr>
          <w:b w:val="1"/>
          <w:bCs w:val="1"/>
          <w:outline w:val="0"/>
          <w:color w:val="000000"/>
          <w:u w:color="000000"/>
          <w:rtl w:val="0"/>
          <w:lang w:val="en-US"/>
          <w14:textFill>
            <w14:solidFill>
              <w14:srgbClr w14:val="000000"/>
            </w14:solidFill>
          </w14:textFill>
        </w:rPr>
        <w:t>Products</w:t>
      </w:r>
    </w:p>
    <w:p>
      <w:pPr>
        <w:pStyle w:val="Body"/>
        <w:spacing w:before="100" w:after="100" w:line="480" w:lineRule="auto"/>
        <w:jc w:val="both"/>
        <w:rPr>
          <w:outline w:val="0"/>
          <w:color w:val="000000"/>
          <w:u w:color="000000"/>
          <w14:textFill>
            <w14:solidFill>
              <w14:srgbClr w14:val="000000"/>
            </w14:solidFill>
          </w14:textFill>
        </w:rPr>
      </w:pPr>
      <w:r>
        <w:rPr>
          <w:outline w:val="0"/>
          <w:color w:val="000000"/>
          <w:u w:color="000000"/>
          <w:rtl w:val="0"/>
          <w:lang w:val="en-US"/>
          <w14:textFill>
            <w14:solidFill>
              <w14:srgbClr w14:val="000000"/>
            </w14:solidFill>
          </w14:textFill>
        </w:rPr>
        <w:t>Toyota organisation is the most well-known in the product mix. Lexus vehicles are the main products of the organisation. The welcab series of the company are customized for elder people with disabilities (Triyono</w:t>
      </w:r>
      <w:r>
        <w:rPr>
          <w:i w:val="1"/>
          <w:iCs w:val="1"/>
          <w:outline w:val="0"/>
          <w:color w:val="000000"/>
          <w:u w:color="000000"/>
          <w:rtl w:val="0"/>
          <w:lang w:val="en-US"/>
          <w14:textFill>
            <w14:solidFill>
              <w14:srgbClr w14:val="000000"/>
            </w14:solidFill>
          </w14:textFill>
        </w:rPr>
        <w:t>et al.</w:t>
      </w:r>
      <w:r>
        <w:rPr>
          <w:outline w:val="0"/>
          <w:color w:val="000000"/>
          <w:u w:color="000000"/>
          <w:rtl w:val="0"/>
          <w:lang w:val="en-US"/>
          <w14:textFill>
            <w14:solidFill>
              <w14:srgbClr w14:val="000000"/>
            </w14:solidFill>
          </w14:textFill>
        </w:rPr>
        <w:t xml:space="preserve"> 2022). The organisation manufactures engines, spare parts and other accessories for marina and automobile products. </w:t>
      </w:r>
    </w:p>
    <w:p>
      <w:pPr>
        <w:pStyle w:val="Body"/>
        <w:spacing w:before="100" w:after="100" w:line="480" w:lineRule="auto"/>
        <w:jc w:val="both"/>
        <w:rPr>
          <w:b w:val="1"/>
          <w:bCs w:val="1"/>
          <w:outline w:val="0"/>
          <w:color w:val="000000"/>
          <w:u w:color="000000"/>
          <w14:textFill>
            <w14:solidFill>
              <w14:srgbClr w14:val="000000"/>
            </w14:solidFill>
          </w14:textFill>
        </w:rPr>
      </w:pPr>
      <w:r>
        <w:rPr>
          <w:b w:val="1"/>
          <w:bCs w:val="1"/>
          <w:outline w:val="0"/>
          <w:color w:val="000000"/>
          <w:u w:color="000000"/>
          <w:rtl w:val="0"/>
          <w:lang w:val="en-US"/>
          <w14:textFill>
            <w14:solidFill>
              <w14:srgbClr w14:val="000000"/>
            </w14:solidFill>
          </w14:textFill>
        </w:rPr>
        <w:t>Place</w:t>
      </w:r>
    </w:p>
    <w:p>
      <w:pPr>
        <w:pStyle w:val="Body"/>
        <w:spacing w:before="100" w:after="100" w:line="480" w:lineRule="auto"/>
        <w:jc w:val="both"/>
        <w:rPr>
          <w:outline w:val="0"/>
          <w:color w:val="000000"/>
          <w:u w:color="000000"/>
          <w14:textFill>
            <w14:solidFill>
              <w14:srgbClr w14:val="000000"/>
            </w14:solidFill>
          </w14:textFill>
        </w:rPr>
      </w:pPr>
      <w:r>
        <w:rPr>
          <w:outline w:val="0"/>
          <w:color w:val="000000"/>
          <w:u w:color="000000"/>
          <w:rtl w:val="0"/>
          <w:lang w:val="en-US"/>
          <w14:textFill>
            <w14:solidFill>
              <w14:srgbClr w14:val="000000"/>
            </w14:solidFill>
          </w14:textFill>
        </w:rPr>
        <w:t>Dealerships are the key places for distributing the products. It represents the venues where consumers access the organisation's products. Toyota dealerships occur most sales transactions in its business. The retailer keeps supply stores and the products and this portion of the marketing mix represents that Toyota depends on its dealerships to vendor its products in the business market.</w:t>
      </w:r>
    </w:p>
    <w:p>
      <w:pPr>
        <w:pStyle w:val="Body"/>
        <w:spacing w:before="100" w:after="100" w:line="480" w:lineRule="auto"/>
        <w:jc w:val="both"/>
        <w:rPr>
          <w:outline w:val="0"/>
          <w:color w:val="000000"/>
          <w:u w:color="000000"/>
          <w14:textFill>
            <w14:solidFill>
              <w14:srgbClr w14:val="000000"/>
            </w14:solidFill>
          </w14:textFill>
        </w:rPr>
      </w:pPr>
      <w:r>
        <w:rPr>
          <w:b w:val="1"/>
          <w:bCs w:val="1"/>
          <w:outline w:val="0"/>
          <w:color w:val="000000"/>
          <w:u w:color="000000"/>
          <w:rtl w:val="0"/>
          <w:lang w:val="en-US"/>
          <w14:textFill>
            <w14:solidFill>
              <w14:srgbClr w14:val="000000"/>
            </w14:solidFill>
          </w14:textFill>
        </w:rPr>
        <w:t>Promotion</w:t>
      </w:r>
    </w:p>
    <w:p>
      <w:pPr>
        <w:pStyle w:val="Body"/>
        <w:spacing w:before="100" w:after="100" w:line="480" w:lineRule="auto"/>
        <w:jc w:val="both"/>
        <w:rPr>
          <w:outline w:val="0"/>
          <w:color w:val="000000"/>
          <w:u w:color="000000"/>
          <w14:textFill>
            <w14:solidFill>
              <w14:srgbClr w14:val="000000"/>
            </w14:solidFill>
          </w14:textFill>
        </w:rPr>
      </w:pPr>
      <w:r>
        <w:rPr>
          <w:outline w:val="0"/>
          <w:color w:val="000000"/>
          <w:u w:color="000000"/>
          <w:rtl w:val="0"/>
          <w:lang w:val="en-US"/>
          <w14:textFill>
            <w14:solidFill>
              <w14:srgbClr w14:val="000000"/>
            </w14:solidFill>
          </w14:textFill>
        </w:rPr>
        <w:t xml:space="preserve">Toyota utilises the personal selling by its dealerships and sales personnel who launch products to its possible buyers. The organisation also utilises advertising on several media channels such as websites (Putra </w:t>
      </w:r>
      <w:r>
        <w:rPr>
          <w:i w:val="1"/>
          <w:iCs w:val="1"/>
          <w:outline w:val="0"/>
          <w:color w:val="000000"/>
          <w:u w:color="000000"/>
          <w:rtl w:val="0"/>
          <w:lang w:val="en-US"/>
          <w14:textFill>
            <w14:solidFill>
              <w14:srgbClr w14:val="000000"/>
            </w14:solidFill>
          </w14:textFill>
        </w:rPr>
        <w:t>et al.</w:t>
      </w:r>
      <w:r>
        <w:rPr>
          <w:outline w:val="0"/>
          <w:color w:val="000000"/>
          <w:u w:color="000000"/>
          <w:rtl w:val="0"/>
          <w:lang w:val="en-US"/>
          <w14:textFill>
            <w14:solidFill>
              <w14:srgbClr w14:val="000000"/>
            </w14:solidFill>
          </w14:textFill>
        </w:rPr>
        <w:t xml:space="preserve"> 2019). The organisation promotes its brand and products by keeping relations with people. Public relation supports to make a positive brand picture for the company in its business market. </w:t>
      </w:r>
    </w:p>
    <w:p>
      <w:pPr>
        <w:pStyle w:val="Body"/>
        <w:spacing w:before="100" w:after="100" w:line="480" w:lineRule="auto"/>
        <w:jc w:val="both"/>
        <w:rPr>
          <w:b w:val="1"/>
          <w:bCs w:val="1"/>
          <w:outline w:val="0"/>
          <w:color w:val="000000"/>
          <w:u w:color="000000"/>
          <w14:textFill>
            <w14:solidFill>
              <w14:srgbClr w14:val="000000"/>
            </w14:solidFill>
          </w14:textFill>
        </w:rPr>
      </w:pPr>
      <w:r>
        <w:rPr>
          <w:b w:val="1"/>
          <w:bCs w:val="1"/>
          <w:outline w:val="0"/>
          <w:color w:val="000000"/>
          <w:u w:color="000000"/>
          <w:rtl w:val="0"/>
          <w:lang w:val="en-US"/>
          <w14:textFill>
            <w14:solidFill>
              <w14:srgbClr w14:val="000000"/>
            </w14:solidFill>
          </w14:textFill>
        </w:rPr>
        <w:t>Price</w:t>
      </w:r>
    </w:p>
    <w:p>
      <w:pPr>
        <w:pStyle w:val="Body"/>
        <w:spacing w:before="100" w:after="100" w:line="480" w:lineRule="auto"/>
        <w:jc w:val="both"/>
        <w:rPr>
          <w:outline w:val="0"/>
          <w:color w:val="000000"/>
          <w:u w:color="000000"/>
          <w14:textFill>
            <w14:solidFill>
              <w14:srgbClr w14:val="000000"/>
            </w14:solidFill>
          </w14:textFill>
        </w:rPr>
      </w:pPr>
      <w:r>
        <w:rPr>
          <w:outline w:val="0"/>
          <w:color w:val="000000"/>
          <w:u w:color="000000"/>
          <w:rtl w:val="0"/>
          <w:lang w:val="en-US"/>
          <w14:textFill>
            <w14:solidFill>
              <w14:srgbClr w14:val="000000"/>
            </w14:solidFill>
          </w14:textFill>
        </w:rPr>
        <w:t xml:space="preserve">Toyota utilises a mix combination of pricing strategies that are value-based pricing and market-oriented pricing. The company utilises the market-oriented pricing method to distinguish the product's prices formed on the prices of competitors and market situations. The pricing method is remarkable for the vast majority of the company's products such as trucks and sedans. The organisation also utilises the value-based pricing method which fixes prices which is formed on the actual and recognized value of its product. This portion of the marketing mix represents the product's price which is formed on by the consumers' perceptions and market situation.             </w:t>
      </w:r>
      <w:r>
        <w:rPr>
          <w:outline w:val="0"/>
          <w:color w:val="000000"/>
          <w:u w:color="000000"/>
          <w:rtl w:val="0"/>
          <w:lang w:val="en-US"/>
          <w14:textFill>
            <w14:solidFill>
              <w14:srgbClr w14:val="000000"/>
            </w14:solidFill>
          </w14:textFill>
        </w:rPr>
        <w:t> </w:t>
      </w:r>
    </w:p>
    <w:p>
      <w:pPr>
        <w:pStyle w:val="Heading"/>
        <w:spacing w:line="480" w:lineRule="auto"/>
        <w:rPr>
          <w:sz w:val="24"/>
          <w:szCs w:val="24"/>
        </w:rPr>
      </w:pPr>
      <w:bookmarkStart w:name="_Toc10" w:id="10"/>
      <w:r>
        <w:rPr>
          <w:rtl w:val="0"/>
          <w:lang w:val="en-US"/>
        </w:rPr>
        <w:t>Customer Need Analysis</w:t>
      </w:r>
      <w:bookmarkEnd w:id="10"/>
    </w:p>
    <w:p>
      <w:pPr>
        <w:pStyle w:val="Body"/>
        <w:spacing w:before="240" w:after="240" w:line="480" w:lineRule="auto"/>
        <w:jc w:val="both"/>
        <w:rPr>
          <w:sz w:val="24"/>
          <w:szCs w:val="24"/>
        </w:rPr>
      </w:pPr>
      <w:r>
        <w:rPr>
          <w:outline w:val="0"/>
          <w:color w:val="000000"/>
          <w:u w:color="000000"/>
          <w:rtl w:val="0"/>
          <w:lang w:val="en-US"/>
          <w14:textFill>
            <w14:solidFill>
              <w14:srgbClr w14:val="000000"/>
            </w14:solidFill>
          </w14:textFill>
        </w:rPr>
        <w:t xml:space="preserve">The organisation's quality concern is among its issues regarding material it practices "monozukuri (manufacturing)" that abruptly responds to the ever-changing and diversified needs of the consumers. The members of the "Toyota Industries Group" ensure that the quality of the product is maintained at their place of work. Furthermore, it also concerns the supply position that compels products of the organisation that surpasses the customer's expectations across the globe with reliable and safe quality (Toyota-industries.com, 2023). The organisation undertakes action regarding the development of its products that mitigates the expectations of the customers by analysing the needs of the market. Furthermore, it also intends to comprehend the way by which the customers use the products of the organisation (Haque, 2020). In the organisation, while undertaking the development of a new product it necessitates defining particular goals for implementing quality from stage to stage that start from planning and formulating the product to manufacturing preparation, production, and sales along with the after-sales service, which in turn ensures that needs of the customers are mitigated (Chang </w:t>
      </w:r>
      <w:r>
        <w:rPr>
          <w:i w:val="1"/>
          <w:iCs w:val="1"/>
          <w:outline w:val="0"/>
          <w:color w:val="000000"/>
          <w:u w:color="000000"/>
          <w:rtl w:val="0"/>
          <w:lang w:val="en-US"/>
          <w14:textFill>
            <w14:solidFill>
              <w14:srgbClr w14:val="000000"/>
            </w14:solidFill>
          </w14:textFill>
        </w:rPr>
        <w:t>et al.</w:t>
      </w:r>
      <w:r>
        <w:rPr>
          <w:outline w:val="0"/>
          <w:color w:val="000000"/>
          <w:u w:color="000000"/>
          <w:rtl w:val="0"/>
          <w:lang w:val="en-US"/>
          <w14:textFill>
            <w14:solidFill>
              <w14:srgbClr w14:val="000000"/>
            </w14:solidFill>
          </w14:textFill>
        </w:rPr>
        <w:t xml:space="preserve"> 2022).</w:t>
      </w:r>
      <w:r>
        <w:rPr>
          <w:outline w:val="0"/>
          <w:color w:val="000000"/>
          <w:u w:color="000000"/>
          <w:rtl w:val="0"/>
          <w:lang w:val="en-US"/>
          <w14:textFill>
            <w14:solidFill>
              <w14:srgbClr w14:val="000000"/>
            </w14:solidFill>
          </w14:textFill>
        </w:rPr>
        <w:t> </w:t>
      </w:r>
    </w:p>
    <w:p>
      <w:pPr>
        <w:pStyle w:val="Body"/>
        <w:spacing w:before="240" w:after="240" w:line="480" w:lineRule="auto"/>
        <w:jc w:val="both"/>
        <w:rPr>
          <w:sz w:val="24"/>
          <w:szCs w:val="24"/>
        </w:rPr>
      </w:pPr>
      <w:r>
        <w:rPr>
          <w:outline w:val="0"/>
          <w:color w:val="000000"/>
          <w:u w:color="000000"/>
          <w:rtl w:val="0"/>
          <w:lang w:val="en-US"/>
          <w14:textFill>
            <w14:solidFill>
              <w14:srgbClr w14:val="000000"/>
            </w14:solidFill>
          </w14:textFill>
        </w:rPr>
        <w:t xml:space="preserve">"Engel Kollat Blackwell Model" has been devised for customer need analysis of the organisation. The organisation prioritises customer safety due to which it provides products to the customers that are safe for them. In order to incorporate safety, the business division of the organisation devises risk assessment along with a design review for identifying the associated risks. In case a product is found with a defect post-launch, the "Quality Assurance Department" of the designated business division looks forward to responsive to the needs of the customers for eliminating their issues (Liu </w:t>
      </w:r>
      <w:r>
        <w:rPr>
          <w:i w:val="1"/>
          <w:iCs w:val="1"/>
          <w:outline w:val="0"/>
          <w:color w:val="000000"/>
          <w:u w:color="000000"/>
          <w:rtl w:val="0"/>
          <w:lang w:val="en-US"/>
          <w14:textFill>
            <w14:solidFill>
              <w14:srgbClr w14:val="000000"/>
            </w14:solidFill>
          </w14:textFill>
        </w:rPr>
        <w:t>et al.</w:t>
      </w:r>
      <w:r>
        <w:rPr>
          <w:outline w:val="0"/>
          <w:color w:val="000000"/>
          <w:u w:color="000000"/>
          <w:rtl w:val="0"/>
          <w:lang w:val="en-US"/>
          <w14:textFill>
            <w14:solidFill>
              <w14:srgbClr w14:val="000000"/>
            </w14:solidFill>
          </w14:textFill>
        </w:rPr>
        <w:t xml:space="preserve"> 2019). It also incorporates effective measures for ensuring the non-recurrence of that particular defect. Particularly, in case a defect causes potential inconvenience to the customer, which is recorded under the critical category along with an immediate report is sent to the President. Simultaneously, the organisation has a concerned system in place for ensuring follow-through on the response provided to the customer along with the implementation of effective measures that prevent such conflicts to reoccur.</w:t>
      </w:r>
      <w:r>
        <w:rPr>
          <w:outline w:val="0"/>
          <w:color w:val="000000"/>
          <w:u w:color="000000"/>
          <w:rtl w:val="0"/>
          <w:lang w:val="en-US"/>
          <w14:textFill>
            <w14:solidFill>
              <w14:srgbClr w14:val="000000"/>
            </w14:solidFill>
          </w14:textFill>
        </w:rPr>
        <w:t> </w:t>
      </w:r>
    </w:p>
    <w:p>
      <w:pPr>
        <w:pStyle w:val="Body"/>
        <w:spacing w:before="240" w:after="240" w:line="480" w:lineRule="auto"/>
        <w:jc w:val="center"/>
        <w:rPr>
          <w:sz w:val="24"/>
          <w:szCs w:val="24"/>
        </w:rPr>
      </w:pPr>
      <w:r>
        <w:rPr>
          <w:outline w:val="0"/>
          <w:color w:val="000000"/>
          <w:u w:color="000000"/>
          <w14:textFill>
            <w14:solidFill>
              <w14:srgbClr w14:val="000000"/>
            </w14:solidFill>
          </w14:textFill>
        </w:rPr>
        <w:drawing xmlns:a="http://schemas.openxmlformats.org/drawingml/2006/main">
          <wp:inline distT="0" distB="0" distL="0" distR="0">
            <wp:extent cx="5448173" cy="3099522"/>
            <wp:effectExtent l="0" t="0" r="0" b="0"/>
            <wp:docPr id="1073741828" name="officeArt object" descr="https://lh5.googleusercontent.com/k47ZSsBelTrLsgQPmUBqbJvrTEFazJqAHdmMnRdv2-uV8fTqQfVySU2vEACZDmZb9sjUDp1BhzYcKEd_OT_sVwUqx_O7HngDXdcPwnD2g8pSjw3BqKr9pxbDSN3yQ8pkB_IpPe-2QPF-3gF-hLtqhr64GYZ6uaVaQ9nxnYS7hIFCNkBidb4kK52y3XGcRg"/>
            <wp:cNvGraphicFramePr/>
            <a:graphic xmlns:a="http://schemas.openxmlformats.org/drawingml/2006/main">
              <a:graphicData uri="http://schemas.openxmlformats.org/drawingml/2006/picture">
                <pic:pic xmlns:pic="http://schemas.openxmlformats.org/drawingml/2006/picture">
                  <pic:nvPicPr>
                    <pic:cNvPr id="1073741828" name="https://lh5.googleusercontent.com/k47ZSsBelTrLsgQPmUBqbJvrTEFazJqAHdmMnRdv2-uV8fTqQfVySU2vEACZDmZb9sjUDp1BhzYcKEd_OT_sVwUqx_O7HngDXdcPwnD2g8pSjw3BqKr9pxbDSN3yQ8pkB_IpPe-2QPF-3gF-hLtqhr64GYZ6uaVaQ9nxnYS7hIFCNkBidb4kK52y3XGcRg" descr="https://lh5.googleusercontent.com/k47ZSsBelTrLsgQPmUBqbJvrTEFazJqAHdmMnRdv2-uV8fTqQfVySU2vEACZDmZb9sjUDp1BhzYcKEd_OT_sVwUqx_O7HngDXdcPwnD2g8pSjw3BqKr9pxbDSN3yQ8pkB_IpPe-2QPF-3gF-hLtqhr64GYZ6uaVaQ9nxnYS7hIFCNkBidb4kK52y3XGcRg"/>
                    <pic:cNvPicPr>
                      <a:picLocks noChangeAspect="1"/>
                    </pic:cNvPicPr>
                  </pic:nvPicPr>
                  <pic:blipFill>
                    <a:blip r:embed="rId7">
                      <a:extLst/>
                    </a:blip>
                    <a:stretch>
                      <a:fillRect/>
                    </a:stretch>
                  </pic:blipFill>
                  <pic:spPr>
                    <a:xfrm>
                      <a:off x="0" y="0"/>
                      <a:ext cx="5448173" cy="3099522"/>
                    </a:xfrm>
                    <a:prstGeom prst="rect">
                      <a:avLst/>
                    </a:prstGeom>
                    <a:ln w="38100" cap="sq">
                      <a:solidFill>
                        <a:srgbClr val="000000"/>
                      </a:solidFill>
                      <a:prstDash val="solid"/>
                      <a:miter lim="800000"/>
                    </a:ln>
                    <a:effectLst>
                      <a:outerShdw sx="100000" sy="100000" kx="0" ky="0" algn="b" rotWithShape="0" blurRad="50800" dist="38100" dir="2700000">
                        <a:srgbClr val="000000">
                          <a:alpha val="43000"/>
                        </a:srgbClr>
                      </a:outerShdw>
                    </a:effectLst>
                  </pic:spPr>
                </pic:pic>
              </a:graphicData>
            </a:graphic>
          </wp:inline>
        </w:drawing>
      </w:r>
    </w:p>
    <w:p>
      <w:pPr>
        <w:pStyle w:val="Body"/>
        <w:spacing w:before="240" w:after="240" w:line="480" w:lineRule="auto"/>
        <w:jc w:val="center"/>
        <w:rPr>
          <w:sz w:val="24"/>
          <w:szCs w:val="24"/>
        </w:rPr>
      </w:pPr>
      <w:r>
        <w:rPr>
          <w:b w:val="1"/>
          <w:bCs w:val="1"/>
          <w:outline w:val="0"/>
          <w:color w:val="000000"/>
          <w:u w:color="000000"/>
          <w:rtl w:val="0"/>
          <w:lang w:val="en-US"/>
          <w14:textFill>
            <w14:solidFill>
              <w14:srgbClr w14:val="000000"/>
            </w14:solidFill>
          </w14:textFill>
        </w:rPr>
        <w:t>Figure 4: Sustainability for quality</w:t>
      </w:r>
    </w:p>
    <w:p>
      <w:pPr>
        <w:pStyle w:val="Body"/>
        <w:spacing w:before="240" w:after="240" w:line="480" w:lineRule="auto"/>
        <w:jc w:val="center"/>
        <w:rPr>
          <w:sz w:val="24"/>
          <w:szCs w:val="24"/>
        </w:rPr>
      </w:pPr>
      <w:r>
        <w:rPr>
          <w:outline w:val="0"/>
          <w:color w:val="000000"/>
          <w:u w:color="000000"/>
          <w:rtl w:val="0"/>
          <w:lang w:val="en-US"/>
          <w14:textFill>
            <w14:solidFill>
              <w14:srgbClr w14:val="000000"/>
            </w14:solidFill>
          </w14:textFill>
        </w:rPr>
        <w:t>(Source: Toyota-industries.com, 2023)</w:t>
      </w:r>
    </w:p>
    <w:p>
      <w:pPr>
        <w:pStyle w:val="Body"/>
        <w:spacing w:before="240" w:after="240" w:line="480" w:lineRule="auto"/>
        <w:jc w:val="both"/>
        <w:rPr>
          <w:sz w:val="24"/>
          <w:szCs w:val="24"/>
        </w:rPr>
      </w:pPr>
      <w:r>
        <w:rPr>
          <w:outline w:val="0"/>
          <w:color w:val="000000"/>
          <w:u w:color="000000"/>
          <w:rtl w:val="0"/>
          <w:lang w:val="en-US"/>
          <w14:textFill>
            <w14:solidFill>
              <w14:srgbClr w14:val="000000"/>
            </w14:solidFill>
          </w14:textFill>
        </w:rPr>
        <w:t>In this era, where the inflation rate is quite high, consumers that are aware of the information related to dealer costs from the internet and consumer publications have resulted in more penetrating in times of negotiations regarding the vehicle price. Such processes help in leveraging the insights into customer awareness regarding the organisation as well the accessibility to the information helps in determining the current needs of the customers (Timoshenko and Hauser, 2019). Furthermore, the fuel rate also puts a major influence on the customer's needs for buying a vehicle. For example, in case the fuel rate is high, more efficient vehicles are preferred by the customers. The market sales of the organisation are significantly emerging, it made an annual revenue in the year 2020 of approximately 275,356 million US dollars, and it sold approximately 10.5 million vehicles in the year 2021 (Ngangi and Santoso, 2019).</w:t>
      </w:r>
      <w:r>
        <w:rPr>
          <w:outline w:val="0"/>
          <w:color w:val="000000"/>
          <w:u w:color="000000"/>
          <w:rtl w:val="0"/>
          <w:lang w:val="en-US"/>
          <w14:textFill>
            <w14:solidFill>
              <w14:srgbClr w14:val="000000"/>
            </w14:solidFill>
          </w14:textFill>
        </w:rPr>
        <w:t> </w:t>
      </w:r>
    </w:p>
    <w:p>
      <w:pPr>
        <w:pStyle w:val="Body"/>
        <w:spacing w:before="240" w:after="240" w:line="480" w:lineRule="auto"/>
        <w:jc w:val="both"/>
        <w:rPr>
          <w:sz w:val="24"/>
          <w:szCs w:val="24"/>
        </w:rPr>
      </w:pPr>
      <w:r>
        <w:rPr>
          <w:outline w:val="0"/>
          <w:color w:val="000000"/>
          <w:u w:color="000000"/>
          <w:rtl w:val="0"/>
          <w:lang w:val="en-US"/>
          <w14:textFill>
            <w14:solidFill>
              <w14:srgbClr w14:val="000000"/>
            </w14:solidFill>
          </w14:textFill>
        </w:rPr>
        <w:t xml:space="preserve">The organisation has been successful in observing and responding to the needs of the customers along oweth middle-class societies in the developing market. Localisation initiatives are the means through which the organisation formulates and manufactures automobiles in such markets to such unique needs of the customers (Tarun, 2020). The perceptions of the customers are mainly categorised on the basis of safety, quality, brand, and manufacturer. Safety and security issues are very essential to a consumer while purchasing vehicles. In this level, individuals are often more complicated and concerned because they want to prevent any harm such as injury and accident due to some mishappenings. According to a survey, it was found that customers are most concerned about the safety features facilitated by a car instead of the rate at which it consumes fuel (Soviar </w:t>
      </w:r>
      <w:r>
        <w:rPr>
          <w:i w:val="1"/>
          <w:iCs w:val="1"/>
          <w:outline w:val="0"/>
          <w:color w:val="000000"/>
          <w:u w:color="000000"/>
          <w:rtl w:val="0"/>
          <w:lang w:val="en-US"/>
          <w14:textFill>
            <w14:solidFill>
              <w14:srgbClr w14:val="000000"/>
            </w14:solidFill>
          </w14:textFill>
        </w:rPr>
        <w:t>et al.</w:t>
      </w:r>
      <w:r>
        <w:rPr>
          <w:outline w:val="0"/>
          <w:color w:val="000000"/>
          <w:u w:color="000000"/>
          <w:rtl w:val="0"/>
          <w:lang w:val="en-US"/>
          <w14:textFill>
            <w14:solidFill>
              <w14:srgbClr w14:val="000000"/>
            </w14:solidFill>
          </w14:textFill>
        </w:rPr>
        <w:t xml:space="preserve"> 2019). The products of the organisation are popular across the globe and their products have been certified with one of the best safety features a car can possess.</w:t>
      </w:r>
      <w:r>
        <w:rPr>
          <w:outline w:val="0"/>
          <w:color w:val="000000"/>
          <w:u w:color="000000"/>
          <w:rtl w:val="0"/>
          <w:lang w:val="en-US"/>
          <w14:textFill>
            <w14:solidFill>
              <w14:srgbClr w14:val="000000"/>
            </w14:solidFill>
          </w14:textFill>
        </w:rPr>
        <w:t> </w:t>
      </w:r>
    </w:p>
    <w:p>
      <w:pPr>
        <w:pStyle w:val="Body"/>
        <w:spacing w:before="100" w:after="100" w:line="480" w:lineRule="auto"/>
        <w:jc w:val="both"/>
      </w:pPr>
      <w:r>
        <w:rPr>
          <w:outline w:val="0"/>
          <w:color w:val="000000"/>
          <w:u w:color="000000"/>
          <w:rtl w:val="0"/>
          <w:lang w:val="en-US"/>
          <w14:textFill>
            <w14:solidFill>
              <w14:srgbClr w14:val="000000"/>
            </w14:solidFill>
          </w14:textFill>
        </w:rPr>
        <w:t xml:space="preserve">From this perception, customers are very confident about the safety features of the car. The quality of the organisation's product is determined through certain principles that involve the "Jidoka principle", which focuses on the operational areas of production and manufacturing, which the organisation considers the most when it comes to its product quality. The second principle is "Kaizen", through which the organisation ensure continuous improvements referred to as the consistent process of development for the worker and the organisation's sake as a whole. The last principle is "Just-in-Time (JIT)", which is fundamentally used for assured considerations of consumer demand and care (Simbolon </w:t>
      </w:r>
      <w:r>
        <w:rPr>
          <w:i w:val="1"/>
          <w:iCs w:val="1"/>
          <w:outline w:val="0"/>
          <w:color w:val="000000"/>
          <w:u w:color="000000"/>
          <w:rtl w:val="0"/>
          <w:lang w:val="en-US"/>
          <w14:textFill>
            <w14:solidFill>
              <w14:srgbClr w14:val="000000"/>
            </w14:solidFill>
          </w14:textFill>
        </w:rPr>
        <w:t>et al.</w:t>
      </w:r>
      <w:r>
        <w:rPr>
          <w:outline w:val="0"/>
          <w:color w:val="000000"/>
          <w:u w:color="000000"/>
          <w:rtl w:val="0"/>
          <w:lang w:val="en-US"/>
          <w14:textFill>
            <w14:solidFill>
              <w14:srgbClr w14:val="000000"/>
            </w14:solidFill>
          </w14:textFill>
        </w:rPr>
        <w:t xml:space="preserve"> 2020). The principle of the organisation after application helps its product quality to be dependable and great, which eventually leads to developing positive perceptions among the customers. The significant models of the organisation's product have been in fulfilling the needs of the customers.</w:t>
      </w:r>
    </w:p>
    <w:p>
      <w:pPr>
        <w:pStyle w:val="Heading"/>
        <w:spacing w:line="480" w:lineRule="auto"/>
        <w:rPr>
          <w:shd w:val="clear" w:color="auto" w:fill="ffffff"/>
        </w:rPr>
      </w:pPr>
      <w:bookmarkStart w:name="_Toc11" w:id="11"/>
      <w:r>
        <w:rPr>
          <w:shd w:val="clear" w:color="auto" w:fill="ffffff"/>
          <w:rtl w:val="0"/>
          <w:lang w:val="en-US"/>
        </w:rPr>
        <w:t>Mode of entry</w:t>
      </w:r>
      <w:bookmarkEnd w:id="11"/>
    </w:p>
    <w:p>
      <w:pPr>
        <w:pStyle w:val="Body"/>
        <w:spacing w:before="240" w:after="240" w:line="480" w:lineRule="auto"/>
        <w:jc w:val="both"/>
        <w:rPr>
          <w:shd w:val="clear" w:color="auto" w:fill="ffffff"/>
        </w:rPr>
      </w:pPr>
      <w:r>
        <w:rPr>
          <w:shd w:val="clear" w:color="auto" w:fill="ffffff"/>
          <w:rtl w:val="0"/>
          <w:lang w:val="en-US"/>
        </w:rPr>
        <w:t xml:space="preserve">Toyota is known as the most popular brand of car services and they are getting accepted as the most popular car among the world's different brands of car manufacturing companies. Nowadays there is no one in this world who are not knowing about the company and has seen their products in many commercials and many other things. Rising from Japan as the manufacturing car company in terms of making their foot in the world's business of marketing about the cars and in the firstly grossing need of people throughout the business market is having the lots of places with possibilities of making the growth of the business (Allera, 2022). Now while the company trying to make growth in the different marketplaces of different countries and it definitely means that the company is going to be hugely possible to meet some issues. The competitors in those countries are obviously gathering the chances of not making it easy to let Toyota enter the market. Therefore, the company is needed to take many actions for solving the issues which are coming in the process of entering into the new market. </w:t>
      </w:r>
    </w:p>
    <w:p>
      <w:pPr>
        <w:pStyle w:val="Body"/>
        <w:tabs>
          <w:tab w:val="left" w:pos="2925"/>
        </w:tabs>
        <w:spacing w:before="240" w:after="240" w:line="480" w:lineRule="auto"/>
        <w:jc w:val="both"/>
        <w:rPr>
          <w:b w:val="1"/>
          <w:bCs w:val="1"/>
          <w:shd w:val="clear" w:color="auto" w:fill="ffffff"/>
        </w:rPr>
      </w:pPr>
      <w:r>
        <w:rPr>
          <w:b w:val="1"/>
          <w:bCs w:val="1"/>
          <w:shd w:val="clear" w:color="auto" w:fill="ffffff"/>
          <w:rtl w:val="0"/>
          <w:lang w:val="en-US"/>
        </w:rPr>
        <w:t>Joint venture</w:t>
        <w:tab/>
      </w:r>
    </w:p>
    <w:p>
      <w:pPr>
        <w:pStyle w:val="Body"/>
        <w:spacing w:before="240" w:after="240" w:line="480" w:lineRule="auto"/>
        <w:jc w:val="both"/>
        <w:rPr>
          <w:shd w:val="clear" w:color="auto" w:fill="ffffff"/>
        </w:rPr>
      </w:pPr>
      <w:r>
        <w:rPr>
          <w:shd w:val="clear" w:color="auto" w:fill="ffffff"/>
          <w:rtl w:val="0"/>
          <w:lang w:val="en-US"/>
        </w:rPr>
        <w:t>The first mode of trying to enter china's huge market in order to help the company is going to be helpful for entering into the new market as a Japanese company. The joint venture is considered a great plan for the company in order to try to enter into the new market while trying to maintain the growth of the company as something really appreciated (</w:t>
      </w:r>
      <w:r>
        <w:rPr>
          <w:rtl w:val="0"/>
          <w:lang w:val="en-US"/>
        </w:rPr>
        <w:t>Kawai, 2022)</w:t>
      </w:r>
      <w:r>
        <w:rPr>
          <w:shd w:val="clear" w:color="auto" w:fill="ffffff"/>
          <w:rtl w:val="0"/>
          <w:lang w:val="en-US"/>
        </w:rPr>
        <w:t>. This can be defined as the cooperation of different companies of china and "Toyota", this is involved in helping the Japanese company first of all entering into the market of china and trying to make their place in the people of china (</w:t>
      </w:r>
      <w:r>
        <w:rPr>
          <w:rtl w:val="0"/>
          <w:lang w:val="en-US"/>
        </w:rPr>
        <w:t xml:space="preserve">Zhuo </w:t>
      </w:r>
      <w:r>
        <w:rPr>
          <w:i w:val="1"/>
          <w:iCs w:val="1"/>
          <w:rtl w:val="0"/>
          <w:lang w:val="en-US"/>
        </w:rPr>
        <w:t xml:space="preserve">et al. </w:t>
      </w:r>
      <w:r>
        <w:rPr>
          <w:rtl w:val="0"/>
          <w:lang w:val="en-US"/>
        </w:rPr>
        <w:t>2020)</w:t>
      </w:r>
      <w:r>
        <w:rPr>
          <w:shd w:val="clear" w:color="auto" w:fill="ffffff"/>
          <w:rtl w:val="0"/>
          <w:lang w:val="en-US"/>
        </w:rPr>
        <w:t xml:space="preserve">. The joint venture is taken into consideration as part of a different strategic alliance of many. Not related parties who are coming into connection with the company while trying to enter into the agreement of jointly entering a partnership with the Toyota car manufacturing company. </w:t>
      </w:r>
    </w:p>
    <w:p>
      <w:pPr>
        <w:pStyle w:val="Body"/>
        <w:spacing w:before="240" w:after="240" w:line="480" w:lineRule="auto"/>
      </w:pPr>
      <w:r>
        <w:rPr>
          <w:shd w:val="clear" w:color="auto" w:fill="ffffff"/>
          <w:rtl w:val="0"/>
          <w:lang w:val="en-US"/>
        </w:rPr>
        <w:t>Here both parties are able to make it possible in terms of depending on each other and also taking advantage of each other's positive points. Applying the strategy of the joint venture in the Chinese market cars can help Toyota for making their places among the targeted country while trying to enter into the creating future modes of business in the international market is going to be expanding of business in the gathering of the company (</w:t>
      </w:r>
      <w:r>
        <w:rPr>
          <w:rtl w:val="0"/>
          <w:lang w:val="en-US"/>
        </w:rPr>
        <w:t xml:space="preserve">Mikami </w:t>
      </w:r>
      <w:r>
        <w:rPr>
          <w:i w:val="1"/>
          <w:iCs w:val="1"/>
          <w:rtl w:val="0"/>
          <w:lang w:val="en-US"/>
        </w:rPr>
        <w:t xml:space="preserve">et al. </w:t>
      </w:r>
      <w:r>
        <w:rPr>
          <w:rtl w:val="0"/>
          <w:lang w:val="en-US"/>
        </w:rPr>
        <w:t>2020)</w:t>
      </w:r>
      <w:r>
        <w:rPr>
          <w:shd w:val="clear" w:color="auto" w:fill="ffffff"/>
          <w:rtl w:val="0"/>
          <w:lang w:val="en-US"/>
        </w:rPr>
        <w:t>. The theory of incorporated joint venture is seen as the liability partnership of the company and with whom they are incorporated with. At the same time, a corporate joint venture means that partnership with the agreements in terms of a strategic alliance with the local companies of the targeted market (</w:t>
      </w:r>
      <w:r>
        <w:rPr>
          <w:rtl w:val="0"/>
          <w:lang w:val="en-US"/>
        </w:rPr>
        <w:t xml:space="preserve">Tang </w:t>
      </w:r>
      <w:r>
        <w:rPr>
          <w:i w:val="1"/>
          <w:iCs w:val="1"/>
          <w:rtl w:val="0"/>
          <w:lang w:val="en-US"/>
        </w:rPr>
        <w:t xml:space="preserve">et al. </w:t>
      </w:r>
      <w:r>
        <w:rPr>
          <w:rtl w:val="0"/>
          <w:lang w:val="en-US"/>
        </w:rPr>
        <w:t>2020)</w:t>
      </w:r>
      <w:r>
        <w:rPr>
          <w:shd w:val="clear" w:color="auto" w:fill="ffffff"/>
          <w:rtl w:val="0"/>
          <w:lang w:val="en-US"/>
        </w:rPr>
        <w:t xml:space="preserve">. The advantage of this is leading to the limitation of increasing access to the said market of china. The partners are involved in the facilitation of each other for selling cars and also developing them as per the need of customers of the country (Priilaid and Hendry, 2019). A joint venture is going to give Toyota the ideas of requirements of the people living in the country and also give them a structure of pricing of the cars which helps a lot in making the car desirable. </w:t>
      </w:r>
      <w:r>
        <w:rPr>
          <w:rtl w:val="0"/>
          <w:lang w:val="en-US"/>
        </w:rPr>
        <w:t>A joint venture announced by Panasonic Toyota would lead to developing cost-effective and highly competitive batteries that possess excellent features and are safe along with would provide performance and high quality. The performance would be evaluated in terms of output, durability, capacity, and so on of the batteries.</w:t>
      </w:r>
      <w:r>
        <w:rPr>
          <w:rtl w:val="0"/>
          <w:lang w:val="en-US"/>
        </w:rPr>
        <w:t> </w:t>
      </w:r>
    </w:p>
    <w:p>
      <w:pPr>
        <w:pStyle w:val="Body"/>
        <w:spacing w:before="240" w:after="240" w:line="480" w:lineRule="auto"/>
        <w:jc w:val="both"/>
        <w:rPr>
          <w:shd w:val="clear" w:color="auto" w:fill="ffffff"/>
          <w:lang w:val="en-US"/>
        </w:rPr>
      </w:pPr>
    </w:p>
    <w:p>
      <w:pPr>
        <w:pStyle w:val="Body"/>
        <w:spacing w:before="240" w:after="240" w:line="480" w:lineRule="auto"/>
        <w:jc w:val="both"/>
        <w:rPr>
          <w:b w:val="1"/>
          <w:bCs w:val="1"/>
          <w:shd w:val="clear" w:color="auto" w:fill="ffffff"/>
        </w:rPr>
      </w:pPr>
      <w:r>
        <w:rPr>
          <w:b w:val="1"/>
          <w:bCs w:val="1"/>
          <w:shd w:val="clear" w:color="auto" w:fill="ffffff"/>
          <w:rtl w:val="0"/>
          <w:lang w:val="en-US"/>
        </w:rPr>
        <w:t xml:space="preserve">Wholly foreign-owned enterprise </w:t>
      </w:r>
    </w:p>
    <w:p>
      <w:pPr>
        <w:pStyle w:val="Body"/>
        <w:spacing w:before="240" w:after="240" w:line="480" w:lineRule="auto"/>
        <w:jc w:val="both"/>
        <w:rPr>
          <w:shd w:val="clear" w:color="auto" w:fill="ffffff"/>
        </w:rPr>
      </w:pPr>
      <w:r>
        <w:rPr>
          <w:shd w:val="clear" w:color="auto" w:fill="ffffff"/>
          <w:rtl w:val="0"/>
          <w:lang w:val="en-US"/>
        </w:rPr>
        <w:t xml:space="preserve">The most common entry mode in the china market is fully foreign lead companies. These types of hugely popular modes of entry make any company becoming solely responsible for whether to become popular or not be able to gain market in china. As china is the most populated country, therefore, the requirements of the people are going to be higher, which means that foreign investors could be involved during this mode of entry (Takabatake </w:t>
      </w:r>
      <w:r>
        <w:rPr>
          <w:i w:val="1"/>
          <w:iCs w:val="1"/>
          <w:shd w:val="clear" w:color="auto" w:fill="ffffff"/>
          <w:rtl w:val="0"/>
          <w:lang w:val="en-US"/>
        </w:rPr>
        <w:t xml:space="preserve">et al. </w:t>
      </w:r>
      <w:r>
        <w:rPr>
          <w:shd w:val="clear" w:color="auto" w:fill="ffffff"/>
          <w:rtl w:val="0"/>
          <w:lang w:val="en-US"/>
        </w:rPr>
        <w:t>2020). The limited liability company is getting established exclusively the foreign capital investors as the definition of WFOE. The standard WFOE is having the license for operating as the consultation of the business in the car manufacturing industry of china (</w:t>
      </w:r>
      <w:r>
        <w:rPr>
          <w:rtl w:val="0"/>
          <w:lang w:val="en-US"/>
        </w:rPr>
        <w:t xml:space="preserve">Mikami </w:t>
      </w:r>
      <w:r>
        <w:rPr>
          <w:i w:val="1"/>
          <w:iCs w:val="1"/>
          <w:rtl w:val="0"/>
          <w:lang w:val="en-US"/>
        </w:rPr>
        <w:t xml:space="preserve">et al. </w:t>
      </w:r>
      <w:r>
        <w:rPr>
          <w:rtl w:val="0"/>
          <w:lang w:val="en-US"/>
        </w:rPr>
        <w:t>2020)</w:t>
      </w:r>
      <w:r>
        <w:rPr>
          <w:shd w:val="clear" w:color="auto" w:fill="ffffff"/>
          <w:rtl w:val="0"/>
          <w:lang w:val="en-US"/>
        </w:rPr>
        <w:t xml:space="preserve">. In order to make growth in the car industry of china triage Japanese company should contain a license of selling automobiles in the country. Depending on the requirements of people the company is trying to get a license for manufacturing the company which is going to help them have broader ideas (Sugimura </w:t>
      </w:r>
      <w:r>
        <w:rPr>
          <w:i w:val="1"/>
          <w:iCs w:val="1"/>
          <w:shd w:val="clear" w:color="auto" w:fill="ffffff"/>
          <w:rtl w:val="0"/>
          <w:lang w:val="en-US"/>
        </w:rPr>
        <w:t xml:space="preserve">et al. </w:t>
      </w:r>
      <w:r>
        <w:rPr>
          <w:shd w:val="clear" w:color="auto" w:fill="ffffff"/>
          <w:rtl w:val="0"/>
          <w:lang w:val="en-US"/>
        </w:rPr>
        <w:t xml:space="preserve">2022). This idea about the needs of the customers in terms of additional requirement helps in making the assessments of creating impacts in the market. </w:t>
      </w:r>
      <w:r>
        <w:rPr>
          <w:rtl w:val="0"/>
          <w:lang w:val="en-US"/>
        </w:rPr>
        <w:t>In order to expand internationally the organisation signed its first ever international contract in the year 1963 in Denmark, furthermore other aviation across the Australian market as well. The organisation owns Toyota and Lexus along with stakes in Suzuki and Subaru.</w:t>
      </w:r>
    </w:p>
    <w:p>
      <w:pPr>
        <w:pStyle w:val="Body"/>
        <w:spacing w:before="240" w:after="240" w:line="480" w:lineRule="auto"/>
        <w:jc w:val="both"/>
        <w:rPr>
          <w:b w:val="1"/>
          <w:bCs w:val="1"/>
          <w:shd w:val="clear" w:color="auto" w:fill="ffffff"/>
        </w:rPr>
      </w:pPr>
      <w:r>
        <w:rPr>
          <w:b w:val="1"/>
          <w:bCs w:val="1"/>
          <w:shd w:val="clear" w:color="auto" w:fill="ffffff"/>
          <w:rtl w:val="0"/>
          <w:lang w:val="en-US"/>
        </w:rPr>
        <w:t>Representative office</w:t>
      </w:r>
    </w:p>
    <w:p>
      <w:pPr>
        <w:pStyle w:val="Body"/>
        <w:spacing w:before="240" w:after="240" w:line="480" w:lineRule="auto"/>
        <w:jc w:val="both"/>
        <w:rPr>
          <w:shd w:val="clear" w:color="auto" w:fill="ffffff"/>
        </w:rPr>
      </w:pPr>
      <w:r>
        <w:rPr>
          <w:shd w:val="clear" w:color="auto" w:fill="ffffff"/>
          <w:rtl w:val="0"/>
          <w:lang w:val="en-US"/>
        </w:rPr>
        <w:t xml:space="preserve">Another mode of entry into the business market of china is as part of the car manufacturing industry as the </w:t>
      </w:r>
      <w:r>
        <w:rPr>
          <w:shd w:val="clear" w:color="auto" w:fill="ffffff"/>
          <w:rtl w:val="0"/>
          <w:lang w:val="en-US"/>
        </w:rPr>
        <w:t>“</w:t>
      </w:r>
      <w:r>
        <w:rPr>
          <w:shd w:val="clear" w:color="auto" w:fill="ffffff"/>
          <w:rtl w:val="0"/>
          <w:lang w:val="en-US"/>
        </w:rPr>
        <w:t>representative office</w:t>
      </w:r>
      <w:r>
        <w:rPr>
          <w:shd w:val="clear" w:color="auto" w:fill="ffffff"/>
          <w:rtl w:val="0"/>
          <w:lang w:val="en-US"/>
        </w:rPr>
        <w:t xml:space="preserve">” </w:t>
      </w:r>
      <w:r>
        <w:rPr>
          <w:shd w:val="clear" w:color="auto" w:fill="ffffff"/>
          <w:rtl w:val="0"/>
          <w:lang w:val="en-US"/>
        </w:rPr>
        <w:t xml:space="preserve">is not different from the legal component rather than a kind of branch of the head office. This has been seen that the office is not having any kind of requirements for registration in the definition of characters of the business limited scoping of the country in the automobile industry (Munjal, 2019). The only common thing is not the conduction of market research about the market and arranging of scopes in the industry while conducting the activities in the headquarters of the company. Therefore, the Japanese company is needed to make the payments of tax following the exact legal structure of china. This process is leading the company to have help in the matter of getting ideas about the creation of a strong bond with the people of china (Hennart, and Verbeke, 2022). This allows helps Toyota in terms of managing the proper ranges, for making that suitable for specific pricing ranges which helps the customers for making their minds about buying such kinds of automobiles. The business scope goes way more than the targeted range because they are going to have the facility of proper information while having the proper connection with the foreign head office (Takabatake </w:t>
      </w:r>
      <w:r>
        <w:rPr>
          <w:i w:val="1"/>
          <w:iCs w:val="1"/>
          <w:shd w:val="clear" w:color="auto" w:fill="ffffff"/>
          <w:rtl w:val="0"/>
          <w:lang w:val="en-US"/>
        </w:rPr>
        <w:t xml:space="preserve">et al. </w:t>
      </w:r>
      <w:r>
        <w:rPr>
          <w:shd w:val="clear" w:color="auto" w:fill="ffffff"/>
          <w:rtl w:val="0"/>
          <w:lang w:val="en-US"/>
        </w:rPr>
        <w:t xml:space="preserve">2020). Therefore the business scope following this mode is considered a huge chance.                    </w:t>
      </w:r>
    </w:p>
    <w:p>
      <w:pPr>
        <w:pStyle w:val="Body"/>
        <w:spacing w:before="240" w:after="240" w:line="480" w:lineRule="auto"/>
        <w:jc w:val="both"/>
        <w:rPr>
          <w:shd w:val="clear" w:color="auto" w:fill="ffffff"/>
        </w:rPr>
      </w:pPr>
      <w:r>
        <w:drawing xmlns:a="http://schemas.openxmlformats.org/drawingml/2006/main">
          <wp:inline distT="0" distB="0" distL="0" distR="0">
            <wp:extent cx="5448173" cy="2889977"/>
            <wp:effectExtent l="0" t="0" r="0" b="0"/>
            <wp:docPr id="1073741829" name="officeArt object" descr="Picture 1"/>
            <wp:cNvGraphicFramePr/>
            <a:graphic xmlns:a="http://schemas.openxmlformats.org/drawingml/2006/main">
              <a:graphicData uri="http://schemas.openxmlformats.org/drawingml/2006/picture">
                <pic:pic xmlns:pic="http://schemas.openxmlformats.org/drawingml/2006/picture">
                  <pic:nvPicPr>
                    <pic:cNvPr id="1073741829" name="Picture 1" descr="Picture 1"/>
                    <pic:cNvPicPr>
                      <a:picLocks noChangeAspect="1"/>
                    </pic:cNvPicPr>
                  </pic:nvPicPr>
                  <pic:blipFill>
                    <a:blip r:embed="rId8">
                      <a:extLst/>
                    </a:blip>
                    <a:stretch>
                      <a:fillRect/>
                    </a:stretch>
                  </pic:blipFill>
                  <pic:spPr>
                    <a:xfrm>
                      <a:off x="0" y="0"/>
                      <a:ext cx="5448173" cy="2889977"/>
                    </a:xfrm>
                    <a:prstGeom prst="rect">
                      <a:avLst/>
                    </a:prstGeom>
                    <a:ln w="38100" cap="sq">
                      <a:solidFill>
                        <a:srgbClr val="000000"/>
                      </a:solidFill>
                      <a:prstDash val="solid"/>
                      <a:miter lim="800000"/>
                    </a:ln>
                    <a:effectLst>
                      <a:outerShdw sx="100000" sy="100000" kx="0" ky="0" algn="b" rotWithShape="0" blurRad="50800" dist="38100" dir="2700000">
                        <a:srgbClr val="000000">
                          <a:alpha val="43000"/>
                        </a:srgbClr>
                      </a:outerShdw>
                    </a:effectLst>
                  </pic:spPr>
                </pic:pic>
              </a:graphicData>
            </a:graphic>
          </wp:inline>
        </w:drawing>
      </w:r>
    </w:p>
    <w:p>
      <w:pPr>
        <w:pStyle w:val="Body"/>
        <w:spacing w:before="240" w:after="240" w:line="480" w:lineRule="auto"/>
        <w:jc w:val="center"/>
        <w:rPr>
          <w:b w:val="1"/>
          <w:bCs w:val="1"/>
          <w:shd w:val="clear" w:color="auto" w:fill="ffffff"/>
        </w:rPr>
      </w:pPr>
      <w:r>
        <w:rPr>
          <w:b w:val="1"/>
          <w:bCs w:val="1"/>
          <w:shd w:val="clear" w:color="auto" w:fill="ffffff"/>
          <w:rtl w:val="0"/>
          <w:lang w:val="en-US"/>
        </w:rPr>
        <w:t>Figure 5: Entry modes of Chinese market</w:t>
      </w:r>
    </w:p>
    <w:p>
      <w:pPr>
        <w:pStyle w:val="Body"/>
        <w:spacing w:before="240" w:after="240" w:line="480" w:lineRule="auto"/>
        <w:jc w:val="center"/>
        <w:rPr>
          <w:shd w:val="clear" w:color="auto" w:fill="ffffff"/>
        </w:rPr>
      </w:pPr>
      <w:r>
        <w:rPr>
          <w:shd w:val="clear" w:color="auto" w:fill="ffffff"/>
          <w:rtl w:val="0"/>
          <w:lang w:val="en-US"/>
        </w:rPr>
        <w:t>(Source: self-developed)</w:t>
      </w:r>
    </w:p>
    <w:p>
      <w:pPr>
        <w:pStyle w:val="Heading"/>
        <w:spacing w:line="480" w:lineRule="auto"/>
        <w:rPr>
          <w:sz w:val="24"/>
          <w:szCs w:val="24"/>
        </w:rPr>
      </w:pPr>
      <w:bookmarkStart w:name="_Toc12" w:id="12"/>
      <w:r>
        <w:rPr>
          <w:rtl w:val="0"/>
          <w:lang w:val="en-US"/>
        </w:rPr>
        <w:t>Conclusion and Recommendation</w:t>
      </w:r>
      <w:bookmarkEnd w:id="12"/>
    </w:p>
    <w:p>
      <w:pPr>
        <w:pStyle w:val="Heading 2"/>
      </w:pPr>
      <w:bookmarkStart w:name="_Toc13" w:id="13"/>
      <w:r>
        <w:rPr>
          <w:rFonts w:cs="Arial Unicode MS" w:eastAsia="Arial Unicode MS"/>
          <w:rtl w:val="0"/>
          <w:lang w:val="en-US"/>
        </w:rPr>
        <w:t>Conclusion</w:t>
      </w:r>
      <w:r>
        <w:rPr>
          <w:rFonts w:cs="Arial Unicode MS" w:eastAsia="Arial Unicode MS" w:hint="default"/>
          <w:rtl w:val="0"/>
          <w:lang w:val="en-US"/>
        </w:rPr>
        <w:t> </w:t>
      </w:r>
      <w:bookmarkEnd w:id="13"/>
    </w:p>
    <w:p>
      <w:pPr>
        <w:pStyle w:val="Body"/>
        <w:spacing w:line="480" w:lineRule="auto"/>
        <w:jc w:val="both"/>
        <w:rPr>
          <w:sz w:val="24"/>
          <w:szCs w:val="24"/>
        </w:rPr>
      </w:pPr>
      <w:r>
        <w:rPr>
          <w:outline w:val="0"/>
          <w:color w:val="000000"/>
          <w:u w:color="000000"/>
          <w:rtl w:val="0"/>
          <w:lang w:val="en-US"/>
          <w14:textFill>
            <w14:solidFill>
              <w14:srgbClr w14:val="000000"/>
            </w14:solidFill>
          </w14:textFill>
        </w:rPr>
        <w:t>From the business report, it can be concluded that the organisation is a reliable business for purchasing vehicles and parts. It has made significant use of the potential market of the automobile industry and has sustained a competitive advantage among its competitors in the market. It has developed vehicles by considering the needs of the customers and made its product accessible to middle-aged drivers and middle-class societies the organisation's attempt towards EDR technologies and Hybrid synergy has enabled it to outsource its technologies to other automobile organisations. Functioning under autocratic competition, it is comprehended that the organisation would be consistent to differentiate its facilities from its competitors.</w:t>
      </w:r>
      <w:r>
        <w:rPr>
          <w:outline w:val="0"/>
          <w:color w:val="000000"/>
          <w:u w:color="000000"/>
          <w:rtl w:val="0"/>
          <w:lang w:val="en-US"/>
          <w14:textFill>
            <w14:solidFill>
              <w14:srgbClr w14:val="000000"/>
            </w14:solidFill>
          </w14:textFill>
        </w:rPr>
        <w:t> </w:t>
      </w:r>
    </w:p>
    <w:p>
      <w:pPr>
        <w:pStyle w:val="Heading 2"/>
      </w:pPr>
      <w:bookmarkStart w:name="_Toc14" w:id="14"/>
      <w:r>
        <w:rPr>
          <w:rFonts w:cs="Arial Unicode MS" w:eastAsia="Arial Unicode MS"/>
          <w:rtl w:val="0"/>
          <w:lang w:val="en-US"/>
        </w:rPr>
        <w:t>Recommendation</w:t>
      </w:r>
      <w:bookmarkEnd w:id="14"/>
    </w:p>
    <w:p>
      <w:pPr>
        <w:pStyle w:val="Body"/>
        <w:spacing w:line="480" w:lineRule="auto"/>
        <w:jc w:val="both"/>
        <w:rPr>
          <w:sz w:val="24"/>
          <w:szCs w:val="24"/>
        </w:rPr>
      </w:pPr>
      <w:r>
        <w:rPr>
          <w:outline w:val="0"/>
          <w:color w:val="000000"/>
          <w:u w:color="000000"/>
          <w:rtl w:val="0"/>
          <w:lang w:val="en-US"/>
          <w14:textFill>
            <w14:solidFill>
              <w14:srgbClr w14:val="000000"/>
            </w14:solidFill>
          </w14:textFill>
        </w:rPr>
        <w:t xml:space="preserve">The organisation should be consistent in undertaking considerable efforts with respect to making its management platform significant along with raising corporate value (Nishioka </w:t>
      </w:r>
      <w:r>
        <w:rPr>
          <w:i w:val="1"/>
          <w:iCs w:val="1"/>
          <w:outline w:val="0"/>
          <w:color w:val="000000"/>
          <w:u w:color="000000"/>
          <w:rtl w:val="0"/>
          <w:lang w:val="en-US"/>
          <w14:textFill>
            <w14:solidFill>
              <w14:srgbClr w14:val="000000"/>
            </w14:solidFill>
          </w14:textFill>
        </w:rPr>
        <w:t>et al.</w:t>
      </w:r>
      <w:r>
        <w:rPr>
          <w:outline w:val="0"/>
          <w:color w:val="000000"/>
          <w:u w:color="000000"/>
          <w:rtl w:val="0"/>
          <w:lang w:val="en-US"/>
          <w14:textFill>
            <w14:solidFill>
              <w14:srgbClr w14:val="000000"/>
            </w14:solidFill>
          </w14:textFill>
        </w:rPr>
        <w:t xml:space="preserve"> 2021). The organisation should immediately consider its promotional activities and expense structure regulations for developing a comprehensive management platform in order to be abruptly responsive to the variations in the circumstances of the market (</w:t>
      </w:r>
      <w:r>
        <w:rPr>
          <w:outline w:val="0"/>
          <w:color w:val="000000"/>
          <w:u w:color="000000"/>
          <w:rtl w:val="0"/>
          <w:lang w:val="en-US"/>
          <w14:textFill>
            <w14:solidFill>
              <w14:srgbClr w14:val="000000"/>
            </w14:solidFill>
          </w14:textFill>
        </w:rPr>
        <w:t>Ö</w:t>
      </w:r>
      <w:r>
        <w:rPr>
          <w:outline w:val="0"/>
          <w:color w:val="000000"/>
          <w:u w:color="000000"/>
          <w:rtl w:val="0"/>
          <w:lang w:val="en-US"/>
          <w14:textFill>
            <w14:solidFill>
              <w14:srgbClr w14:val="000000"/>
            </w14:solidFill>
          </w14:textFill>
        </w:rPr>
        <w:t xml:space="preserve">stlund, 2020). Furthermore, the organisation should sustain a streamlined design by the means of fixed cost reductions along with improving markets in the business in the countries that are developed (Soviar </w:t>
      </w:r>
      <w:r>
        <w:rPr>
          <w:i w:val="1"/>
          <w:iCs w:val="1"/>
          <w:outline w:val="0"/>
          <w:color w:val="000000"/>
          <w:u w:color="000000"/>
          <w:rtl w:val="0"/>
          <w:lang w:val="en-US"/>
          <w14:textFill>
            <w14:solidFill>
              <w14:srgbClr w14:val="000000"/>
            </w14:solidFill>
          </w14:textFill>
        </w:rPr>
        <w:t>et al.</w:t>
      </w:r>
      <w:r>
        <w:rPr>
          <w:outline w:val="0"/>
          <w:color w:val="000000"/>
          <w:u w:color="000000"/>
          <w:rtl w:val="0"/>
          <w:lang w:val="en-US"/>
          <w14:textFill>
            <w14:solidFill>
              <w14:srgbClr w14:val="000000"/>
            </w14:solidFill>
          </w14:textFill>
        </w:rPr>
        <w:t xml:space="preserve"> 2019). The organisation should aim to develop supply structures and production for realising optimum pricing of the products and delivery. Furthermore, it should also work towards developing its value chain for providing a broader customer service range in every region and country (Sbiti </w:t>
      </w:r>
      <w:r>
        <w:rPr>
          <w:i w:val="1"/>
          <w:iCs w:val="1"/>
          <w:outline w:val="0"/>
          <w:color w:val="000000"/>
          <w:u w:color="000000"/>
          <w:rtl w:val="0"/>
          <w:lang w:val="en-US"/>
          <w14:textFill>
            <w14:solidFill>
              <w14:srgbClr w14:val="000000"/>
            </w14:solidFill>
          </w14:textFill>
        </w:rPr>
        <w:t>et al.</w:t>
      </w:r>
      <w:r>
        <w:rPr>
          <w:outline w:val="0"/>
          <w:color w:val="000000"/>
          <w:u w:color="000000"/>
          <w:rtl w:val="0"/>
          <w:lang w:val="en-US"/>
          <w14:textFill>
            <w14:solidFill>
              <w14:srgbClr w14:val="000000"/>
            </w14:solidFill>
          </w14:textFill>
        </w:rPr>
        <w:t xml:space="preserve"> 2021). It is also suggested that the organisation should put great emphasis on Lexus and prioritise it in the market of China. These approach would enable the organisation to enable improve competency within the market. Asian production facilities of the organisation should be improved for enabling delivery channels that are cheaper and have a closer approach towards the customer of the emerging market.</w:t>
      </w:r>
      <w:r>
        <w:rPr>
          <w:outline w:val="0"/>
          <w:color w:val="000000"/>
          <w:u w:color="000000"/>
          <w:rtl w:val="0"/>
          <w:lang w:val="en-US"/>
          <w14:textFill>
            <w14:solidFill>
              <w14:srgbClr w14:val="000000"/>
            </w14:solidFill>
          </w14:textFill>
        </w:rPr>
        <w:t> </w:t>
      </w:r>
    </w:p>
    <w:p>
      <w:pPr>
        <w:pStyle w:val="Body"/>
        <w:spacing w:before="240" w:after="240" w:line="480" w:lineRule="auto"/>
        <w:rPr>
          <w:shd w:val="clear" w:color="auto" w:fill="ffffff"/>
          <w:lang w:val="en-US"/>
        </w:rPr>
      </w:pPr>
    </w:p>
    <w:p>
      <w:pPr>
        <w:pStyle w:val="Body"/>
        <w:spacing w:line="480" w:lineRule="auto"/>
        <w:jc w:val="both"/>
        <w:rPr>
          <w:shd w:val="clear" w:color="auto" w:fill="ffffff"/>
          <w:lang w:val="en-US"/>
        </w:rPr>
      </w:pPr>
    </w:p>
    <w:p>
      <w:pPr>
        <w:pStyle w:val="Body"/>
        <w:spacing w:line="480" w:lineRule="auto"/>
      </w:pPr>
      <w:r>
        <w:rPr>
          <w:rFonts w:ascii="Arial Unicode MS" w:cs="Arial Unicode MS" w:hAnsi="Arial Unicode MS" w:eastAsia="Arial Unicode MS"/>
          <w:b w:val="0"/>
          <w:bCs w:val="0"/>
          <w:i w:val="0"/>
          <w:iCs w:val="0"/>
          <w:lang w:val="en-US"/>
        </w:rPr>
        <w:br w:type="page"/>
      </w:r>
    </w:p>
    <w:p>
      <w:pPr>
        <w:pStyle w:val="Heading"/>
        <w:spacing w:line="480" w:lineRule="auto"/>
        <w:rPr>
          <w:sz w:val="22"/>
          <w:szCs w:val="22"/>
        </w:rPr>
      </w:pPr>
      <w:bookmarkStart w:name="_Toc15" w:id="15"/>
      <w:r>
        <w:rPr>
          <w:rtl w:val="0"/>
          <w:lang w:val="en-US"/>
        </w:rPr>
        <w:t>References</w:t>
      </w:r>
      <w:r>
        <w:rPr>
          <w:rtl w:val="0"/>
          <w:lang w:val="en-US"/>
        </w:rPr>
        <w:t> </w:t>
      </w:r>
      <w:bookmarkEnd w:id="15"/>
    </w:p>
    <w:p>
      <w:pPr>
        <w:pStyle w:val="Normal (Web)"/>
        <w:spacing w:before="240" w:after="0" w:line="480" w:lineRule="auto"/>
        <w:jc w:val="both"/>
        <w:rPr>
          <w:rFonts w:ascii="Arial" w:cs="Arial" w:hAnsi="Arial" w:eastAsia="Arial"/>
          <w:sz w:val="22"/>
          <w:szCs w:val="22"/>
        </w:rPr>
      </w:pPr>
      <w:r>
        <w:rPr>
          <w:rFonts w:ascii="Arial" w:hAnsi="Arial"/>
          <w:sz w:val="22"/>
          <w:szCs w:val="22"/>
          <w:rtl w:val="0"/>
          <w:lang w:val="en-US"/>
        </w:rPr>
        <w:t>Allera, G., 2022. Similarities and differences of entry strategies of international automotive companies in host developed and developing countries: the case of Toyota in USA, the UK, Indonesia, and China.</w:t>
      </w:r>
    </w:p>
    <w:p>
      <w:pPr>
        <w:pStyle w:val="Normal (Web)"/>
        <w:spacing w:before="240" w:after="240" w:line="480" w:lineRule="auto"/>
        <w:jc w:val="both"/>
        <w:rPr>
          <w:rFonts w:ascii="Arial" w:cs="Arial" w:hAnsi="Arial" w:eastAsia="Arial"/>
          <w:sz w:val="22"/>
          <w:szCs w:val="22"/>
        </w:rPr>
      </w:pPr>
      <w:r>
        <w:rPr>
          <w:rFonts w:ascii="Arial" w:hAnsi="Arial"/>
          <w:sz w:val="22"/>
          <w:szCs w:val="22"/>
          <w:rtl w:val="0"/>
          <w:lang w:val="en-US"/>
        </w:rPr>
        <w:t>Bahoo, S., Alon, I. and Paltrinieri, A., 2020. Corruption in international business: A review and research agenda. International Business Review, 29(4), p.101660.</w:t>
      </w:r>
    </w:p>
    <w:p>
      <w:pPr>
        <w:pStyle w:val="Body"/>
        <w:spacing w:after="240" w:line="480" w:lineRule="auto"/>
        <w:jc w:val="both"/>
      </w:pPr>
      <w:r>
        <w:rPr>
          <w:rtl w:val="0"/>
          <w:lang w:val="en-US"/>
        </w:rPr>
        <w:t>Chang, T.H., Hsu, K.Y., Fu, H.P., Teng, Y.H. and Li, Y.J., 2022. Integrating FSE and AHP to Identify Valuable Customer Needs by Service Quality Analysis. Sustainability, 14(3), p.1833.</w:t>
      </w:r>
    </w:p>
    <w:p>
      <w:pPr>
        <w:pStyle w:val="Normal (Web)"/>
        <w:spacing w:before="240" w:line="480" w:lineRule="auto"/>
        <w:jc w:val="both"/>
        <w:rPr>
          <w:rFonts w:ascii="Arial" w:cs="Arial" w:hAnsi="Arial" w:eastAsia="Arial"/>
          <w:sz w:val="22"/>
          <w:szCs w:val="22"/>
        </w:rPr>
      </w:pPr>
      <w:r>
        <w:rPr>
          <w:rFonts w:ascii="Arial" w:hAnsi="Arial"/>
          <w:sz w:val="22"/>
          <w:szCs w:val="22"/>
          <w:rtl w:val="0"/>
          <w:lang w:val="en-US"/>
        </w:rPr>
        <w:t>Debnath, R., Bardhan, R., Reiner, D.M. and Miller, J.R., 2021. Political, economic, social, technological, legal and environmental dimensions of electric vehicle adoption in the United States: A social-media interaction analysis. Renewable and Sustainable Energy Reviews, 152, p.111707.</w:t>
      </w:r>
    </w:p>
    <w:p>
      <w:pPr>
        <w:pStyle w:val="Body"/>
        <w:spacing w:after="240" w:line="480" w:lineRule="auto"/>
        <w:jc w:val="both"/>
      </w:pPr>
      <w:r>
        <w:rPr>
          <w:rtl w:val="0"/>
          <w:lang w:val="en-US"/>
        </w:rPr>
        <w:t>Global.toyota (2023), Overview, available at: https://global.toyota/en/company/?padid=ag478_from_header [Accessed on 09/01/2023]</w:t>
      </w:r>
    </w:p>
    <w:p>
      <w:pPr>
        <w:pStyle w:val="Body"/>
        <w:spacing w:after="240" w:line="480" w:lineRule="auto"/>
        <w:jc w:val="both"/>
      </w:pPr>
      <w:r>
        <w:rPr>
          <w:rtl w:val="0"/>
          <w:lang w:val="en-US"/>
        </w:rPr>
        <w:t xml:space="preserve">Global.toyota, 2023. </w:t>
      </w:r>
      <w:r>
        <w:rPr>
          <w:i w:val="1"/>
          <w:iCs w:val="1"/>
          <w:rtl w:val="0"/>
          <w:lang w:val="en-US"/>
        </w:rPr>
        <w:t xml:space="preserve">Toyota Global Vision, </w:t>
      </w:r>
      <w:r>
        <w:rPr>
          <w:rtl w:val="0"/>
          <w:lang w:val="en-US"/>
        </w:rPr>
        <w:t xml:space="preserve">Available at: </w:t>
      </w:r>
      <w:r>
        <w:rPr>
          <w:rStyle w:val="Hyperlink.0"/>
        </w:rPr>
        <w:fldChar w:fldCharType="begin" w:fldLock="0"/>
      </w:r>
      <w:r>
        <w:rPr>
          <w:rStyle w:val="Hyperlink.0"/>
        </w:rPr>
        <w:instrText xml:space="preserve"> HYPERLINK "https://global.toyota/en/company/vision-and-philosophy/global-vision/#:~:text=Toyota%2520will%2520lead%2520the%2520future,be%2520rewarded%2520with%2520a%2520smile"</w:instrText>
      </w:r>
      <w:r>
        <w:rPr>
          <w:rStyle w:val="Hyperlink.0"/>
        </w:rPr>
        <w:fldChar w:fldCharType="separate" w:fldLock="0"/>
      </w:r>
      <w:r>
        <w:rPr>
          <w:rStyle w:val="Hyperlink.0"/>
          <w:rtl w:val="0"/>
          <w:lang w:val="en-US"/>
        </w:rPr>
        <w:t>https://global.toyota/en/company/vision-and-philosophy/global-vision/#:~:text=Toyota%20will%20lead%20the%20future,be%20rewarded%20with%20a%20smile</w:t>
      </w:r>
      <w:r>
        <w:rPr/>
        <w:fldChar w:fldCharType="end" w:fldLock="0"/>
      </w:r>
      <w:r>
        <w:rPr>
          <w:rtl w:val="0"/>
          <w:lang w:val="en-US"/>
        </w:rPr>
        <w:t>. [Accessed on: 10/01/2023]</w:t>
      </w:r>
    </w:p>
    <w:p>
      <w:pPr>
        <w:pStyle w:val="Body"/>
        <w:spacing w:after="240" w:line="480" w:lineRule="auto"/>
        <w:jc w:val="both"/>
      </w:pPr>
      <w:r>
        <w:rPr>
          <w:rtl w:val="0"/>
          <w:lang w:val="en-US"/>
        </w:rPr>
        <w:t xml:space="preserve">Global.toyota, 2023. </w:t>
      </w:r>
      <w:r>
        <w:rPr>
          <w:i w:val="1"/>
          <w:iCs w:val="1"/>
          <w:rtl w:val="0"/>
          <w:lang w:val="en-US"/>
        </w:rPr>
        <w:t xml:space="preserve">Toyota Launches All-New Prius HEV in Japan, </w:t>
      </w:r>
      <w:r>
        <w:rPr>
          <w:rtl w:val="0"/>
          <w:lang w:val="en-US"/>
        </w:rPr>
        <w:t>Available at: https://global.toyota/en/ [Accessed on: 10/01/2023]</w:t>
      </w:r>
    </w:p>
    <w:p>
      <w:pPr>
        <w:pStyle w:val="Normal (Web)"/>
        <w:spacing w:before="240" w:line="480" w:lineRule="auto"/>
        <w:jc w:val="both"/>
        <w:rPr>
          <w:rFonts w:ascii="Arial" w:cs="Arial" w:hAnsi="Arial" w:eastAsia="Arial"/>
          <w:sz w:val="22"/>
          <w:szCs w:val="22"/>
        </w:rPr>
      </w:pPr>
      <w:r>
        <w:rPr>
          <w:rFonts w:ascii="Arial" w:hAnsi="Arial"/>
          <w:sz w:val="22"/>
          <w:szCs w:val="22"/>
          <w:rtl w:val="0"/>
          <w:lang w:val="en-US"/>
        </w:rPr>
        <w:t>Guno, C.S., Collera, A.A. and Agaton, C.B., 2021. Barriers and drivers of transition to sustainable public transport in the Philippines. World Electric Vehicle Journal, 12(1), p.46.</w:t>
      </w:r>
    </w:p>
    <w:p>
      <w:pPr>
        <w:pStyle w:val="Body"/>
        <w:spacing w:after="240" w:line="480" w:lineRule="auto"/>
        <w:jc w:val="both"/>
      </w:pPr>
      <w:r>
        <w:rPr>
          <w:rtl w:val="0"/>
          <w:lang w:val="en-US"/>
        </w:rPr>
        <w:t>Hajej, Z., Nyoungue, A.C., Abubakar, A.S. and Mohamed Ali, K., 2021. An Integrated Model of Production, Maintenance, and Quality Control with Statistical Process Control Chart of a Supply Chain. Applied Sciences, 11(9), p.4192.</w:t>
      </w:r>
    </w:p>
    <w:p>
      <w:pPr>
        <w:pStyle w:val="Body"/>
        <w:spacing w:after="240" w:line="480" w:lineRule="auto"/>
        <w:jc w:val="both"/>
      </w:pPr>
      <w:r>
        <w:rPr>
          <w:rtl w:val="0"/>
          <w:lang w:val="en-US"/>
        </w:rPr>
        <w:t>Haque, M.A., 2020. Market and Brand Development Strategy of ACI Consumer Brand Limited: A hands-on Practice through Customer Need Analysis technique.</w:t>
      </w:r>
    </w:p>
    <w:p>
      <w:pPr>
        <w:pStyle w:val="Normal (Web)"/>
        <w:spacing w:before="240" w:after="0" w:line="480" w:lineRule="auto"/>
        <w:jc w:val="both"/>
        <w:rPr>
          <w:rFonts w:ascii="Arial" w:cs="Arial" w:hAnsi="Arial" w:eastAsia="Arial"/>
          <w:sz w:val="22"/>
          <w:szCs w:val="22"/>
        </w:rPr>
      </w:pPr>
      <w:r>
        <w:rPr>
          <w:rFonts w:ascii="Arial" w:hAnsi="Arial"/>
          <w:sz w:val="22"/>
          <w:szCs w:val="22"/>
          <w:shd w:val="clear" w:color="auto" w:fill="ffffff"/>
          <w:rtl w:val="0"/>
          <w:lang w:val="en-US"/>
        </w:rPr>
        <w:t>Hennart, J.F. and Verbeke, A., 2022. Actionable and enduring implications of Oliver Williamson</w:t>
      </w:r>
      <w:r>
        <w:rPr>
          <w:rFonts w:ascii="Arial" w:hAnsi="Arial" w:hint="default"/>
          <w:sz w:val="22"/>
          <w:szCs w:val="22"/>
          <w:shd w:val="clear" w:color="auto" w:fill="ffffff"/>
          <w:rtl w:val="0"/>
          <w:lang w:val="en-US"/>
        </w:rPr>
        <w:t>’</w:t>
      </w:r>
      <w:r>
        <w:rPr>
          <w:rFonts w:ascii="Arial" w:hAnsi="Arial"/>
          <w:sz w:val="22"/>
          <w:szCs w:val="22"/>
          <w:shd w:val="clear" w:color="auto" w:fill="ffffff"/>
          <w:rtl w:val="0"/>
          <w:lang w:val="en-US"/>
        </w:rPr>
        <w:t xml:space="preserve">s transaction cost theory. </w:t>
      </w:r>
      <w:r>
        <w:rPr>
          <w:rFonts w:ascii="Arial" w:hAnsi="Arial"/>
          <w:i w:val="1"/>
          <w:iCs w:val="1"/>
          <w:sz w:val="22"/>
          <w:szCs w:val="22"/>
          <w:shd w:val="clear" w:color="auto" w:fill="ffffff"/>
          <w:rtl w:val="0"/>
          <w:lang w:val="en-US"/>
        </w:rPr>
        <w:t>Journal of International Business Studies</w:t>
      </w:r>
      <w:r>
        <w:rPr>
          <w:rFonts w:ascii="Arial" w:hAnsi="Arial"/>
          <w:sz w:val="22"/>
          <w:szCs w:val="22"/>
          <w:shd w:val="clear" w:color="auto" w:fill="ffffff"/>
          <w:rtl w:val="0"/>
          <w:lang w:val="en-US"/>
        </w:rPr>
        <w:t xml:space="preserve">, </w:t>
      </w:r>
      <w:r>
        <w:rPr>
          <w:rFonts w:ascii="Arial" w:hAnsi="Arial"/>
          <w:i w:val="1"/>
          <w:iCs w:val="1"/>
          <w:sz w:val="22"/>
          <w:szCs w:val="22"/>
          <w:shd w:val="clear" w:color="auto" w:fill="ffffff"/>
          <w:rtl w:val="0"/>
          <w:lang w:val="en-US"/>
        </w:rPr>
        <w:t>53</w:t>
      </w:r>
      <w:r>
        <w:rPr>
          <w:rFonts w:ascii="Arial" w:hAnsi="Arial"/>
          <w:sz w:val="22"/>
          <w:szCs w:val="22"/>
          <w:shd w:val="clear" w:color="auto" w:fill="ffffff"/>
          <w:rtl w:val="0"/>
          <w:lang w:val="en-US"/>
        </w:rPr>
        <w:t>(8), pp.1557-1575.</w:t>
      </w:r>
    </w:p>
    <w:p>
      <w:pPr>
        <w:pStyle w:val="Normal (Web)"/>
        <w:spacing w:before="240" w:line="480" w:lineRule="auto"/>
        <w:jc w:val="both"/>
        <w:rPr>
          <w:rFonts w:ascii="Arial" w:cs="Arial" w:hAnsi="Arial" w:eastAsia="Arial"/>
          <w:sz w:val="22"/>
          <w:szCs w:val="22"/>
        </w:rPr>
      </w:pPr>
      <w:r>
        <w:rPr>
          <w:rFonts w:ascii="Arial" w:hAnsi="Arial"/>
          <w:sz w:val="22"/>
          <w:szCs w:val="22"/>
          <w:rtl w:val="0"/>
          <w:lang w:val="en-US"/>
        </w:rPr>
        <w:t>Itsuki, H., 2021. Evaluation on Changes of Strategy and Strategic Direction in Toyota Motor Company, Japan. Journal of Strategic Management, 5(1).</w:t>
      </w:r>
    </w:p>
    <w:p>
      <w:pPr>
        <w:pStyle w:val="Normal (Web)"/>
        <w:spacing w:before="240" w:after="0" w:line="480" w:lineRule="auto"/>
        <w:jc w:val="both"/>
        <w:rPr>
          <w:rFonts w:ascii="Arial" w:cs="Arial" w:hAnsi="Arial" w:eastAsia="Arial"/>
          <w:sz w:val="22"/>
          <w:szCs w:val="22"/>
        </w:rPr>
      </w:pPr>
      <w:r>
        <w:rPr>
          <w:rFonts w:ascii="Arial" w:hAnsi="Arial"/>
          <w:sz w:val="22"/>
          <w:szCs w:val="22"/>
          <w:rtl w:val="0"/>
          <w:lang w:val="en-US"/>
        </w:rPr>
        <w:t>Kawai, T., 2022. Evaluation of Toyota</w:t>
      </w:r>
      <w:r>
        <w:rPr>
          <w:rFonts w:ascii="Arial" w:hAnsi="Arial" w:hint="default"/>
          <w:sz w:val="22"/>
          <w:szCs w:val="22"/>
          <w:rtl w:val="0"/>
          <w:lang w:val="en-US"/>
        </w:rPr>
        <w:t>’</w:t>
      </w:r>
      <w:r>
        <w:rPr>
          <w:rFonts w:ascii="Arial" w:hAnsi="Arial"/>
          <w:sz w:val="22"/>
          <w:szCs w:val="22"/>
          <w:rtl w:val="0"/>
          <w:lang w:val="en-US"/>
        </w:rPr>
        <w:t>s Strategy for Electric Vehicles in Counteracting Platformers</w:t>
      </w:r>
      <w:r>
        <w:rPr>
          <w:rFonts w:ascii="Arial" w:hAnsi="Arial" w:hint="default"/>
          <w:sz w:val="22"/>
          <w:szCs w:val="22"/>
          <w:rtl w:val="0"/>
          <w:lang w:val="en-US"/>
        </w:rPr>
        <w:t>—</w:t>
      </w:r>
      <w:r>
        <w:rPr>
          <w:rFonts w:ascii="Arial" w:hAnsi="Arial"/>
          <w:sz w:val="22"/>
          <w:szCs w:val="22"/>
          <w:rtl w:val="0"/>
          <w:lang w:val="en-US"/>
        </w:rPr>
        <w:t>Based on the Theories of Dynamic Managerial Capabilities and Dynamic Platform Strategy</w:t>
      </w:r>
      <w:r>
        <w:rPr>
          <w:rFonts w:ascii="Arial" w:hAnsi="Arial" w:hint="default"/>
          <w:sz w:val="22"/>
          <w:szCs w:val="22"/>
          <w:rtl w:val="0"/>
          <w:lang w:val="en-US"/>
        </w:rPr>
        <w:t>—</w:t>
      </w:r>
      <w:r>
        <w:rPr>
          <w:rFonts w:ascii="Arial" w:hAnsi="Arial"/>
          <w:sz w:val="22"/>
          <w:szCs w:val="22"/>
          <w:rtl w:val="0"/>
          <w:lang w:val="en-US"/>
        </w:rPr>
        <w:t>. Journal of Strategic Management Studies, 14(1), pp.67-87.</w:t>
      </w:r>
    </w:p>
    <w:p>
      <w:pPr>
        <w:pStyle w:val="Body"/>
        <w:spacing w:after="240" w:line="480" w:lineRule="auto"/>
        <w:jc w:val="both"/>
      </w:pPr>
      <w:r>
        <w:rPr>
          <w:rtl w:val="0"/>
          <w:lang w:val="en-US"/>
        </w:rPr>
        <w:t xml:space="preserve">Limpo, L. and Kamase, R., 2022. The Effect Of Kaizen Culture On The Work Performance Of The Kalla Toyota Alauddin Makassar Service Division. JManagER, 1(2), pp.34-48. </w:t>
      </w:r>
    </w:p>
    <w:p>
      <w:pPr>
        <w:pStyle w:val="Body"/>
        <w:spacing w:after="240" w:line="480" w:lineRule="auto"/>
        <w:jc w:val="both"/>
      </w:pPr>
      <w:r>
        <w:rPr>
          <w:rtl w:val="0"/>
          <w:lang w:val="en-US"/>
        </w:rPr>
        <w:t>Liu, A., Xiao, Y., Lu, H., Tsai, S.B. and Song, W., 2019. A fuzzy three-stage multi-attribute decision-making approach based on customer needs for sustainable supplier selection. Journal of Cleaner Production, 239, p.118043.</w:t>
      </w:r>
    </w:p>
    <w:p>
      <w:pPr>
        <w:pStyle w:val="Body"/>
        <w:spacing w:after="240" w:line="480" w:lineRule="auto"/>
        <w:jc w:val="both"/>
      </w:pPr>
      <w:r>
        <w:rPr>
          <w:rtl w:val="0"/>
          <w:lang w:val="en-US"/>
        </w:rPr>
        <w:t xml:space="preserve">Macrotrends.net, 2023. </w:t>
      </w:r>
      <w:r>
        <w:rPr>
          <w:i w:val="1"/>
          <w:iCs w:val="1"/>
          <w:rtl w:val="0"/>
          <w:lang w:val="en-US"/>
        </w:rPr>
        <w:t xml:space="preserve">Toyota Cash Flow Statement 2009-2022 | TM, </w:t>
      </w:r>
      <w:r>
        <w:rPr>
          <w:rtl w:val="0"/>
          <w:lang w:val="en-US"/>
        </w:rPr>
        <w:t xml:space="preserve">Available at: </w:t>
      </w:r>
      <w:r>
        <w:rPr>
          <w:rStyle w:val="Hyperlink.0"/>
        </w:rPr>
        <w:fldChar w:fldCharType="begin" w:fldLock="0"/>
      </w:r>
      <w:r>
        <w:rPr>
          <w:rStyle w:val="Hyperlink.0"/>
        </w:rPr>
        <w:instrText xml:space="preserve"> HYPERLINK "https://www.macrotrends.net/stocks/charts/TM/toyota/cash-flow-statement"</w:instrText>
      </w:r>
      <w:r>
        <w:rPr>
          <w:rStyle w:val="Hyperlink.0"/>
        </w:rPr>
        <w:fldChar w:fldCharType="separate" w:fldLock="0"/>
      </w:r>
      <w:r>
        <w:rPr>
          <w:rStyle w:val="Hyperlink.0"/>
          <w:rtl w:val="0"/>
          <w:lang w:val="en-US"/>
        </w:rPr>
        <w:t>https://www.macrotrends.net/stocks/charts/TM/toyota/cash-flow-statement</w:t>
      </w:r>
      <w:r>
        <w:rPr/>
        <w:fldChar w:fldCharType="end" w:fldLock="0"/>
      </w:r>
      <w:r>
        <w:rPr>
          <w:rtl w:val="0"/>
          <w:lang w:val="en-US"/>
        </w:rPr>
        <w:t xml:space="preserve"> [Accessed on: 10/01/2023]</w:t>
      </w:r>
    </w:p>
    <w:p>
      <w:pPr>
        <w:pStyle w:val="Normal (Web)"/>
        <w:spacing w:before="240" w:line="480" w:lineRule="auto"/>
        <w:jc w:val="both"/>
        <w:rPr>
          <w:rFonts w:ascii="Arial" w:cs="Arial" w:hAnsi="Arial" w:eastAsia="Arial"/>
          <w:sz w:val="22"/>
          <w:szCs w:val="22"/>
        </w:rPr>
      </w:pPr>
      <w:r>
        <w:rPr>
          <w:rFonts w:ascii="Arial" w:hAnsi="Arial"/>
          <w:sz w:val="22"/>
          <w:szCs w:val="22"/>
          <w:rtl w:val="0"/>
          <w:lang w:val="en-US"/>
        </w:rPr>
        <w:t>Martins, N. and Enes, J., 2020. Spot toyota: design and development of a mobile application for toyota</w:t>
      </w:r>
      <w:r>
        <w:rPr>
          <w:rFonts w:ascii="Arial" w:hAnsi="Arial" w:hint="default"/>
          <w:sz w:val="22"/>
          <w:szCs w:val="22"/>
          <w:rtl w:val="0"/>
          <w:lang w:val="en-US"/>
        </w:rPr>
        <w:t>’</w:t>
      </w:r>
      <w:r>
        <w:rPr>
          <w:rFonts w:ascii="Arial" w:hAnsi="Arial"/>
          <w:sz w:val="22"/>
          <w:szCs w:val="22"/>
          <w:rtl w:val="0"/>
          <w:lang w:val="en-US"/>
        </w:rPr>
        <w:t>s promotion actions to the young audience.</w:t>
      </w:r>
    </w:p>
    <w:p>
      <w:pPr>
        <w:pStyle w:val="Normal (Web)"/>
        <w:spacing w:before="240" w:after="0" w:line="480" w:lineRule="auto"/>
        <w:jc w:val="both"/>
        <w:rPr>
          <w:rFonts w:ascii="Arial" w:cs="Arial" w:hAnsi="Arial" w:eastAsia="Arial"/>
          <w:sz w:val="22"/>
          <w:szCs w:val="22"/>
        </w:rPr>
      </w:pPr>
      <w:r>
        <w:rPr>
          <w:rFonts w:ascii="Arial" w:hAnsi="Arial"/>
          <w:sz w:val="22"/>
          <w:szCs w:val="22"/>
          <w:rtl w:val="0"/>
          <w:lang w:val="en-US"/>
        </w:rPr>
        <w:t xml:space="preserve">Mikami, S., Okada, S., Kishimoto, R., Takabatake, T. and Toyota, M., 2020. Pd (OAc) 2-catalyzed one-pot preparation of anthranilates from acyclic unsaturated </w:t>
      </w:r>
      <w:r>
        <w:rPr>
          <w:rFonts w:ascii="Arial" w:hAnsi="Arial" w:hint="default"/>
          <w:sz w:val="22"/>
          <w:szCs w:val="22"/>
          <w:rtl w:val="0"/>
          <w:lang w:val="en-US"/>
        </w:rPr>
        <w:t>β</w:t>
      </w:r>
      <w:r>
        <w:rPr>
          <w:rFonts w:ascii="Arial" w:hAnsi="Arial"/>
          <w:sz w:val="22"/>
          <w:szCs w:val="22"/>
          <w:rtl w:val="0"/>
          <w:lang w:val="en-US"/>
        </w:rPr>
        <w:t>-enamino esters. Tetrahedron Letters, 61(13), p.151659.</w:t>
      </w:r>
    </w:p>
    <w:p>
      <w:pPr>
        <w:pStyle w:val="Normal (Web)"/>
        <w:spacing w:before="240" w:after="0" w:line="480" w:lineRule="auto"/>
        <w:jc w:val="both"/>
        <w:rPr>
          <w:rFonts w:ascii="Arial" w:cs="Arial" w:hAnsi="Arial" w:eastAsia="Arial"/>
          <w:sz w:val="22"/>
          <w:szCs w:val="22"/>
        </w:rPr>
      </w:pPr>
      <w:r>
        <w:rPr>
          <w:rFonts w:ascii="Arial" w:hAnsi="Arial"/>
          <w:sz w:val="22"/>
          <w:szCs w:val="22"/>
          <w:shd w:val="clear" w:color="auto" w:fill="ffffff"/>
          <w:rtl w:val="0"/>
          <w:lang w:val="en-US"/>
        </w:rPr>
        <w:t xml:space="preserve">Munjal, S., 2019. Entry modes and dynamics. In </w:t>
      </w:r>
      <w:r>
        <w:rPr>
          <w:rFonts w:ascii="Arial" w:hAnsi="Arial"/>
          <w:i w:val="1"/>
          <w:iCs w:val="1"/>
          <w:sz w:val="22"/>
          <w:szCs w:val="22"/>
          <w:shd w:val="clear" w:color="auto" w:fill="ffffff"/>
          <w:rtl w:val="0"/>
          <w:lang w:val="en-US"/>
        </w:rPr>
        <w:t>Indian Business</w:t>
      </w:r>
      <w:r>
        <w:rPr>
          <w:rFonts w:ascii="Arial" w:hAnsi="Arial"/>
          <w:sz w:val="22"/>
          <w:szCs w:val="22"/>
          <w:shd w:val="clear" w:color="auto" w:fill="ffffff"/>
          <w:rtl w:val="0"/>
          <w:lang w:val="en-US"/>
        </w:rPr>
        <w:t xml:space="preserve"> (pp. 117-129). Routledge.</w:t>
      </w:r>
    </w:p>
    <w:p>
      <w:pPr>
        <w:pStyle w:val="Normal (Web)"/>
        <w:spacing w:before="240" w:line="480" w:lineRule="auto"/>
        <w:jc w:val="both"/>
        <w:rPr>
          <w:rFonts w:ascii="Arial" w:cs="Arial" w:hAnsi="Arial" w:eastAsia="Arial"/>
          <w:sz w:val="22"/>
          <w:szCs w:val="22"/>
        </w:rPr>
      </w:pPr>
      <w:r>
        <w:rPr>
          <w:rFonts w:ascii="Arial" w:hAnsi="Arial"/>
          <w:sz w:val="22"/>
          <w:szCs w:val="22"/>
          <w:rtl w:val="0"/>
          <w:lang w:val="en-US"/>
        </w:rPr>
        <w:t>NASER, S.A.A.M., 2020, ONLINE BRANDING STRATEGIES OF TOYOTA.</w:t>
      </w:r>
    </w:p>
    <w:p>
      <w:pPr>
        <w:pStyle w:val="Body"/>
        <w:spacing w:after="240" w:line="480" w:lineRule="auto"/>
        <w:jc w:val="both"/>
      </w:pPr>
      <w:r>
        <w:rPr>
          <w:rtl w:val="0"/>
          <w:lang w:val="en-US"/>
        </w:rPr>
        <w:t>Ngangi, S.V. and Santoso, A.J., 2019. Customer acceptance analysis of Customer Relationship Management (crm) systems in automotive company using Technology Acceptance Model (tam) 2. Indonesian Journal of Information Systems (IJIS), 1(2), pp.132-146.</w:t>
      </w:r>
    </w:p>
    <w:p>
      <w:pPr>
        <w:pStyle w:val="Normal (Web)"/>
        <w:spacing w:before="240" w:line="480" w:lineRule="auto"/>
        <w:jc w:val="both"/>
        <w:rPr>
          <w:rFonts w:ascii="Arial" w:cs="Arial" w:hAnsi="Arial" w:eastAsia="Arial"/>
          <w:sz w:val="22"/>
          <w:szCs w:val="22"/>
        </w:rPr>
      </w:pPr>
      <w:r>
        <w:rPr>
          <w:rFonts w:ascii="Arial" w:hAnsi="Arial"/>
          <w:sz w:val="22"/>
          <w:szCs w:val="22"/>
          <w:rtl w:val="0"/>
          <w:lang w:val="en-US"/>
        </w:rPr>
        <w:t>Nhglobalpartners (2022), china-minimum-wage, Available at: https://nhglobalpartners.com/china-minimum-wage/ [Accessed on: 02/01/2023]</w:t>
      </w:r>
    </w:p>
    <w:p>
      <w:pPr>
        <w:pStyle w:val="Body"/>
        <w:spacing w:after="240" w:line="480" w:lineRule="auto"/>
        <w:jc w:val="both"/>
      </w:pPr>
      <w:r>
        <w:rPr>
          <w:rtl w:val="0"/>
          <w:lang w:val="en-US"/>
        </w:rPr>
        <w:t>Nishioka, S., Aragane, H., Suzuki, N., Yoshimura, Y., Fujiwara, D., Mori, T., Kanehisa, Y., Iida, Y., Higashi, K., Yoshimura-Yokoi, Y. and Sato, C., 2021. Clinical practice guidelines for rehabilitation nutrition in cerebrovascular disease, hip fracture, cancer, and acute illness: 2020 update. Clinical Nutrition ESPEN, 43, pp.90-103.</w:t>
      </w:r>
    </w:p>
    <w:p>
      <w:pPr>
        <w:pStyle w:val="Body"/>
        <w:spacing w:after="240" w:line="480" w:lineRule="auto"/>
        <w:jc w:val="both"/>
      </w:pPr>
      <w:r>
        <w:rPr>
          <w:rtl w:val="0"/>
          <w:lang w:val="en-US"/>
        </w:rPr>
        <w:t>Ö</w:t>
      </w:r>
      <w:r>
        <w:rPr>
          <w:rtl w:val="0"/>
          <w:lang w:val="en-US"/>
        </w:rPr>
        <w:t>stlund, P., 2020. Improving Materials Supply Processes to Assembly Lines through Toyota Production System and Lean Manufacturing.</w:t>
      </w:r>
    </w:p>
    <w:p>
      <w:pPr>
        <w:pStyle w:val="Normal (Web)"/>
        <w:spacing w:before="240" w:line="480" w:lineRule="auto"/>
        <w:jc w:val="both"/>
        <w:rPr>
          <w:rFonts w:ascii="Arial" w:cs="Arial" w:hAnsi="Arial" w:eastAsia="Arial"/>
          <w:sz w:val="22"/>
          <w:szCs w:val="22"/>
        </w:rPr>
      </w:pPr>
      <w:r>
        <w:rPr>
          <w:rFonts w:ascii="Arial" w:hAnsi="Arial"/>
          <w:sz w:val="22"/>
          <w:szCs w:val="22"/>
          <w:rtl w:val="0"/>
          <w:lang w:val="en-US"/>
        </w:rPr>
        <w:t>Pahlawan, A. and Onsardi, O., 2021. PengaruhMotivasiKerja, IklimOrganisasi Dan KepemimpinanTerhadapKepuasanKerjaKaryawan Marketing Pada Pt. Agung Toyota Bengkulu. JurnalManajemen Modal Insani Dan Bisnis (JMMIB), 1(2), pp.153-163.</w:t>
      </w:r>
    </w:p>
    <w:p>
      <w:pPr>
        <w:pStyle w:val="Normal (Web)"/>
        <w:spacing w:before="240" w:line="480" w:lineRule="auto"/>
        <w:jc w:val="both"/>
        <w:rPr>
          <w:rFonts w:ascii="Arial" w:cs="Arial" w:hAnsi="Arial" w:eastAsia="Arial"/>
          <w:sz w:val="22"/>
          <w:szCs w:val="22"/>
        </w:rPr>
      </w:pPr>
      <w:r>
        <w:rPr>
          <w:rFonts w:ascii="Arial" w:hAnsi="Arial"/>
          <w:sz w:val="22"/>
          <w:szCs w:val="22"/>
          <w:rtl w:val="0"/>
          <w:lang w:val="en-US"/>
        </w:rPr>
        <w:t>Panmore (2023), toyota-marketing-mix-4ps-analysis, Available at: https://panmore.com/toyota-marketing-mix-4ps-analysis [Accessed on: 02/01/2023]</w:t>
      </w:r>
    </w:p>
    <w:p>
      <w:pPr>
        <w:pStyle w:val="Normal (Web)"/>
        <w:spacing w:before="240" w:line="480" w:lineRule="auto"/>
        <w:jc w:val="both"/>
        <w:rPr>
          <w:rFonts w:ascii="Arial" w:cs="Arial" w:hAnsi="Arial" w:eastAsia="Arial"/>
          <w:sz w:val="22"/>
          <w:szCs w:val="22"/>
        </w:rPr>
      </w:pPr>
      <w:r>
        <w:rPr>
          <w:rFonts w:ascii="Arial" w:hAnsi="Arial"/>
          <w:sz w:val="22"/>
          <w:szCs w:val="22"/>
          <w:rtl w:val="0"/>
          <w:lang w:val="en-US"/>
        </w:rPr>
        <w:t>Paurova, V. and Gregova, E., 2020, December. Importance and Process of Marketing Environment Analysis as Strategic Analysis Tool of Business. In Fifth International Conference on Economic and Business Management (FEBM 2020) (pp. 720-723). Atlantis Press.</w:t>
      </w:r>
    </w:p>
    <w:p>
      <w:pPr>
        <w:pStyle w:val="Body"/>
        <w:spacing w:after="240" w:line="480" w:lineRule="auto"/>
        <w:jc w:val="both"/>
      </w:pPr>
      <w:r>
        <w:rPr>
          <w:rtl w:val="0"/>
          <w:lang w:val="en-US"/>
        </w:rPr>
        <w:t>Pieroni, M.P., McAloone, T.C. and Pigosso, D.C., 2019. Business model innovation for circular economy and sustainability: A review of approaches. Journal of cleaner production, 215, pp.198-216.</w:t>
      </w:r>
    </w:p>
    <w:p>
      <w:pPr>
        <w:pStyle w:val="Normal (Web)"/>
        <w:spacing w:before="240" w:after="0" w:line="480" w:lineRule="auto"/>
        <w:jc w:val="both"/>
        <w:rPr>
          <w:rFonts w:ascii="Arial" w:cs="Arial" w:hAnsi="Arial" w:eastAsia="Arial"/>
          <w:sz w:val="22"/>
          <w:szCs w:val="22"/>
        </w:rPr>
      </w:pPr>
      <w:r>
        <w:rPr>
          <w:rFonts w:ascii="Arial" w:hAnsi="Arial"/>
          <w:sz w:val="22"/>
          <w:szCs w:val="22"/>
          <w:rtl w:val="0"/>
          <w:lang w:val="en-US"/>
        </w:rPr>
        <w:t>Prasetyo, R.D. and Wariati, A., 2020. Analisis Marketing Mix TerhadapKeputusanPembelian Mobil Toyota Avanza di KabupatenKaranganyar (StudiKasus di Dealer Nasmoco Ring Road Solo). KELOLA, 7(2), pp.188-189.</w:t>
      </w:r>
    </w:p>
    <w:p>
      <w:pPr>
        <w:pStyle w:val="Normal (Web)"/>
        <w:spacing w:before="240" w:after="0" w:line="480" w:lineRule="auto"/>
        <w:jc w:val="both"/>
        <w:rPr>
          <w:rFonts w:ascii="Arial" w:cs="Arial" w:hAnsi="Arial" w:eastAsia="Arial"/>
          <w:sz w:val="22"/>
          <w:szCs w:val="22"/>
        </w:rPr>
      </w:pPr>
      <w:r>
        <w:rPr>
          <w:rFonts w:ascii="Arial" w:hAnsi="Arial"/>
          <w:sz w:val="22"/>
          <w:szCs w:val="22"/>
          <w:shd w:val="clear" w:color="auto" w:fill="ffffff"/>
          <w:rtl w:val="0"/>
          <w:lang w:val="en-US"/>
        </w:rPr>
        <w:t xml:space="preserve">Priilaid, D. and Hendry, S., 2019, September. AN HEDONIC PRICING ANALYSIS OF ENTRY-LEVEL, SECOND-HAND CARS IN SOUTH AFRICA. In </w:t>
      </w:r>
      <w:r>
        <w:rPr>
          <w:rFonts w:ascii="Arial" w:hAnsi="Arial"/>
          <w:i w:val="1"/>
          <w:iCs w:val="1"/>
          <w:sz w:val="22"/>
          <w:szCs w:val="22"/>
          <w:shd w:val="clear" w:color="auto" w:fill="ffffff"/>
          <w:rtl w:val="0"/>
          <w:lang w:val="en-US"/>
        </w:rPr>
        <w:t>31st ANNUAL CONFERENCE OF THE SOUTHERN AFRICAN INSTITUTE FOR MANAGEMENT SCIENTISTS (SAIMS)</w:t>
      </w:r>
      <w:r>
        <w:rPr>
          <w:rFonts w:ascii="Arial" w:hAnsi="Arial"/>
          <w:sz w:val="22"/>
          <w:szCs w:val="22"/>
          <w:shd w:val="clear" w:color="auto" w:fill="ffffff"/>
          <w:rtl w:val="0"/>
          <w:lang w:val="en-US"/>
        </w:rPr>
        <w:t xml:space="preserve"> (p. 576).</w:t>
      </w:r>
    </w:p>
    <w:p>
      <w:pPr>
        <w:pStyle w:val="Normal (Web)"/>
        <w:spacing w:before="240" w:line="480" w:lineRule="auto"/>
        <w:jc w:val="both"/>
        <w:rPr>
          <w:rFonts w:ascii="Arial" w:cs="Arial" w:hAnsi="Arial" w:eastAsia="Arial"/>
          <w:sz w:val="22"/>
          <w:szCs w:val="22"/>
        </w:rPr>
      </w:pPr>
      <w:r>
        <w:rPr>
          <w:rFonts w:ascii="Arial" w:hAnsi="Arial"/>
          <w:sz w:val="22"/>
          <w:szCs w:val="22"/>
          <w:rtl w:val="0"/>
          <w:lang w:val="en-US"/>
        </w:rPr>
        <w:t>Putra, A.H.P.K., 2019. Quantitative Series: Linking Marketing Mix and Increasing Product Sales of Toyota Type Avanza.</w:t>
      </w:r>
    </w:p>
    <w:p>
      <w:pPr>
        <w:pStyle w:val="Body"/>
        <w:spacing w:after="240" w:line="480" w:lineRule="auto"/>
        <w:jc w:val="both"/>
      </w:pPr>
      <w:r>
        <w:rPr>
          <w:rtl w:val="0"/>
          <w:lang w:val="en-US"/>
        </w:rPr>
        <w:t xml:space="preserve">Ritter, M. and Schanz, H., 2019. The sharing economy: A comprehensive business model framework. Journal of cleaner production, 213, pp.320-331. </w:t>
      </w:r>
    </w:p>
    <w:p>
      <w:pPr>
        <w:pStyle w:val="Body"/>
        <w:spacing w:after="240" w:line="480" w:lineRule="auto"/>
        <w:jc w:val="both"/>
      </w:pPr>
      <w:r>
        <w:rPr>
          <w:rtl w:val="0"/>
          <w:lang w:val="en-US"/>
        </w:rPr>
        <w:t>Sbiti, M., Beddiar, K., Beladjine, D., Perrault, R. and Mazari, B., 2021. Toward BIM and LPS Data Integration for Lean Site Project Management: A State-of-the-Art Review and Recommendations. Buildings, 11(5), p.196.</w:t>
      </w:r>
    </w:p>
    <w:p>
      <w:pPr>
        <w:pStyle w:val="Body"/>
        <w:spacing w:after="240" w:line="480" w:lineRule="auto"/>
        <w:jc w:val="both"/>
      </w:pPr>
      <w:r>
        <w:rPr>
          <w:rtl w:val="0"/>
          <w:lang w:val="en-US"/>
        </w:rPr>
        <w:t>Simbolon, F.P., Handayani, E.R. and Nugraedy, M., 2020. The influence of product quality, price fairness, brand image, and customer value on purchase decision of toyotaagya consumers: a study of low cost green car. Binus Business Review, 11(3), pp.187-196.</w:t>
      </w:r>
    </w:p>
    <w:p>
      <w:pPr>
        <w:pStyle w:val="Body"/>
        <w:spacing w:after="240" w:line="480" w:lineRule="auto"/>
        <w:jc w:val="both"/>
      </w:pPr>
      <w:r>
        <w:rPr>
          <w:rtl w:val="0"/>
          <w:lang w:val="en-US"/>
        </w:rPr>
        <w:t>Soviar, J., Holub</w:t>
      </w:r>
      <w:r>
        <w:rPr>
          <w:rtl w:val="0"/>
          <w:lang w:val="en-US"/>
        </w:rPr>
        <w:t>čí</w:t>
      </w:r>
      <w:r>
        <w:rPr>
          <w:rtl w:val="0"/>
          <w:lang w:val="en-US"/>
        </w:rPr>
        <w:t>k, M., Vod</w:t>
      </w:r>
      <w:r>
        <w:rPr>
          <w:rtl w:val="0"/>
          <w:lang w:val="en-US"/>
        </w:rPr>
        <w:t>á</w:t>
      </w:r>
      <w:r>
        <w:rPr>
          <w:rtl w:val="0"/>
          <w:lang w:val="en-US"/>
        </w:rPr>
        <w:t>k, J., Rechtor</w:t>
      </w:r>
      <w:r>
        <w:rPr>
          <w:rtl w:val="0"/>
          <w:lang w:val="en-US"/>
        </w:rPr>
        <w:t>í</w:t>
      </w:r>
      <w:r>
        <w:rPr>
          <w:rtl w:val="0"/>
          <w:lang w:val="en-US"/>
        </w:rPr>
        <w:t>k, M. and Poll</w:t>
      </w:r>
      <w:r>
        <w:rPr>
          <w:rtl w:val="0"/>
          <w:lang w:val="en-US"/>
        </w:rPr>
        <w:t>á</w:t>
      </w:r>
      <w:r>
        <w:rPr>
          <w:rtl w:val="0"/>
          <w:lang w:val="en-US"/>
        </w:rPr>
        <w:t>k, F., 2019. The Presentation of Automotive Brands in the On-Line Environment</w:t>
      </w:r>
      <w:r>
        <w:rPr>
          <w:rtl w:val="0"/>
          <w:lang w:val="en-US"/>
        </w:rPr>
        <w:t>—</w:t>
      </w:r>
      <w:r>
        <w:rPr>
          <w:rtl w:val="0"/>
          <w:lang w:val="en-US"/>
        </w:rPr>
        <w:t>The Perspective of KIA, Peugeot, Toyota and VW in the Slovak Republic. Sustainability, 11(7), p.2132.</w:t>
      </w:r>
    </w:p>
    <w:p>
      <w:pPr>
        <w:pStyle w:val="Body"/>
        <w:spacing w:after="240" w:line="480" w:lineRule="auto"/>
        <w:jc w:val="both"/>
      </w:pPr>
      <w:r>
        <w:rPr>
          <w:rtl w:val="0"/>
          <w:lang w:val="en-US"/>
        </w:rPr>
        <w:t>Soviar, J., Holub</w:t>
      </w:r>
      <w:r>
        <w:rPr>
          <w:rtl w:val="0"/>
          <w:lang w:val="en-US"/>
        </w:rPr>
        <w:t>čí</w:t>
      </w:r>
      <w:r>
        <w:rPr>
          <w:rtl w:val="0"/>
          <w:lang w:val="en-US"/>
        </w:rPr>
        <w:t>k, M., Vod</w:t>
      </w:r>
      <w:r>
        <w:rPr>
          <w:rtl w:val="0"/>
          <w:lang w:val="en-US"/>
        </w:rPr>
        <w:t>á</w:t>
      </w:r>
      <w:r>
        <w:rPr>
          <w:rtl w:val="0"/>
          <w:lang w:val="en-US"/>
        </w:rPr>
        <w:t>k, J., Rechtor</w:t>
      </w:r>
      <w:r>
        <w:rPr>
          <w:rtl w:val="0"/>
          <w:lang w:val="en-US"/>
        </w:rPr>
        <w:t>í</w:t>
      </w:r>
      <w:r>
        <w:rPr>
          <w:rtl w:val="0"/>
          <w:lang w:val="en-US"/>
        </w:rPr>
        <w:t>k, M. and Poll</w:t>
      </w:r>
      <w:r>
        <w:rPr>
          <w:rtl w:val="0"/>
          <w:lang w:val="en-US"/>
        </w:rPr>
        <w:t>á</w:t>
      </w:r>
      <w:r>
        <w:rPr>
          <w:rtl w:val="0"/>
          <w:lang w:val="en-US"/>
        </w:rPr>
        <w:t>k, F., 2019. The Presentation of Automotive Brands in the On-Line Environment</w:t>
      </w:r>
      <w:r>
        <w:rPr>
          <w:rtl w:val="0"/>
          <w:lang w:val="en-US"/>
        </w:rPr>
        <w:t>—</w:t>
      </w:r>
      <w:r>
        <w:rPr>
          <w:rtl w:val="0"/>
          <w:lang w:val="en-US"/>
        </w:rPr>
        <w:t>The Perspective of KIA, Peugeot, Toyota and VW in the Slovak Republic. Sustainability, 11(7), p.2132.</w:t>
      </w:r>
    </w:p>
    <w:p>
      <w:pPr>
        <w:pStyle w:val="Normal (Web)"/>
        <w:spacing w:before="240" w:line="480" w:lineRule="auto"/>
        <w:jc w:val="both"/>
        <w:rPr>
          <w:rFonts w:ascii="Arial" w:cs="Arial" w:hAnsi="Arial" w:eastAsia="Arial"/>
          <w:sz w:val="22"/>
          <w:szCs w:val="22"/>
        </w:rPr>
      </w:pPr>
      <w:r>
        <w:rPr>
          <w:rFonts w:ascii="Arial" w:hAnsi="Arial"/>
          <w:sz w:val="22"/>
          <w:szCs w:val="22"/>
          <w:rtl w:val="0"/>
          <w:lang w:val="en-US"/>
        </w:rPr>
        <w:t>Soviar, J., Holub</w:t>
      </w:r>
      <w:r>
        <w:rPr>
          <w:rFonts w:ascii="Arial" w:hAnsi="Arial" w:hint="default"/>
          <w:sz w:val="22"/>
          <w:szCs w:val="22"/>
          <w:rtl w:val="0"/>
          <w:lang w:val="en-US"/>
        </w:rPr>
        <w:t>čí</w:t>
      </w:r>
      <w:r>
        <w:rPr>
          <w:rFonts w:ascii="Arial" w:hAnsi="Arial"/>
          <w:sz w:val="22"/>
          <w:szCs w:val="22"/>
          <w:rtl w:val="0"/>
          <w:lang w:val="en-US"/>
        </w:rPr>
        <w:t>k, M., Vod</w:t>
      </w:r>
      <w:r>
        <w:rPr>
          <w:rFonts w:ascii="Arial" w:hAnsi="Arial" w:hint="default"/>
          <w:sz w:val="22"/>
          <w:szCs w:val="22"/>
          <w:rtl w:val="0"/>
          <w:lang w:val="en-US"/>
        </w:rPr>
        <w:t>á</w:t>
      </w:r>
      <w:r>
        <w:rPr>
          <w:rFonts w:ascii="Arial" w:hAnsi="Arial"/>
          <w:sz w:val="22"/>
          <w:szCs w:val="22"/>
          <w:rtl w:val="0"/>
          <w:lang w:val="en-US"/>
        </w:rPr>
        <w:t>k, J., Rechtor</w:t>
      </w:r>
      <w:r>
        <w:rPr>
          <w:rFonts w:ascii="Arial" w:hAnsi="Arial" w:hint="default"/>
          <w:sz w:val="22"/>
          <w:szCs w:val="22"/>
          <w:rtl w:val="0"/>
          <w:lang w:val="en-US"/>
        </w:rPr>
        <w:t>í</w:t>
      </w:r>
      <w:r>
        <w:rPr>
          <w:rFonts w:ascii="Arial" w:hAnsi="Arial"/>
          <w:sz w:val="22"/>
          <w:szCs w:val="22"/>
          <w:rtl w:val="0"/>
          <w:lang w:val="en-US"/>
        </w:rPr>
        <w:t>k, M. and Poll</w:t>
      </w:r>
      <w:r>
        <w:rPr>
          <w:rFonts w:ascii="Arial" w:hAnsi="Arial" w:hint="default"/>
          <w:sz w:val="22"/>
          <w:szCs w:val="22"/>
          <w:rtl w:val="0"/>
          <w:lang w:val="en-US"/>
        </w:rPr>
        <w:t>á</w:t>
      </w:r>
      <w:r>
        <w:rPr>
          <w:rFonts w:ascii="Arial" w:hAnsi="Arial"/>
          <w:sz w:val="22"/>
          <w:szCs w:val="22"/>
          <w:rtl w:val="0"/>
          <w:lang w:val="en-US"/>
        </w:rPr>
        <w:t>k, F., 2019. The Presentation of Automotive Brands in the On-Line Environment</w:t>
      </w:r>
      <w:r>
        <w:rPr>
          <w:rFonts w:ascii="Arial" w:hAnsi="Arial" w:hint="default"/>
          <w:sz w:val="22"/>
          <w:szCs w:val="22"/>
          <w:rtl w:val="0"/>
          <w:lang w:val="en-US"/>
        </w:rPr>
        <w:t>—</w:t>
      </w:r>
      <w:r>
        <w:rPr>
          <w:rFonts w:ascii="Arial" w:hAnsi="Arial"/>
          <w:sz w:val="22"/>
          <w:szCs w:val="22"/>
          <w:rtl w:val="0"/>
          <w:lang w:val="en-US"/>
        </w:rPr>
        <w:t>The Perspective of KIA, Peugeot, Toyota and VW in the Slovak Republic. Sustainability, 11(7), p.2132.</w:t>
      </w:r>
    </w:p>
    <w:p>
      <w:pPr>
        <w:pStyle w:val="Body"/>
        <w:spacing w:after="240" w:line="480" w:lineRule="auto"/>
        <w:jc w:val="both"/>
      </w:pPr>
      <w:r>
        <w:rPr>
          <w:rtl w:val="0"/>
          <w:lang w:val="en-US"/>
        </w:rPr>
        <w:t xml:space="preserve">Srivastava, S., Singh, S. and Dhir, S., 2020. Culture and International business research: A review and research agenda. International Business Review, 29(4), p.101709. </w:t>
      </w:r>
    </w:p>
    <w:p>
      <w:pPr>
        <w:pStyle w:val="Normal (Web)"/>
        <w:spacing w:before="240" w:line="480" w:lineRule="auto"/>
        <w:jc w:val="both"/>
        <w:rPr>
          <w:rFonts w:ascii="Arial" w:cs="Arial" w:hAnsi="Arial" w:eastAsia="Arial"/>
          <w:sz w:val="22"/>
          <w:szCs w:val="22"/>
        </w:rPr>
      </w:pPr>
      <w:r>
        <w:rPr>
          <w:rFonts w:ascii="Arial" w:hAnsi="Arial"/>
          <w:sz w:val="22"/>
          <w:szCs w:val="22"/>
          <w:rtl w:val="0"/>
          <w:lang w:val="en-US"/>
        </w:rPr>
        <w:t>Statista (2021), gross-domestic-product-gdp-of-china, Available at: https://www.statista.com/statistics/263770/gross-domestic-product-gdp-of-china/ [Accessed on: 02/01/2023]</w:t>
      </w:r>
    </w:p>
    <w:p>
      <w:pPr>
        <w:pStyle w:val="Body"/>
        <w:spacing w:after="240" w:line="480" w:lineRule="auto"/>
        <w:jc w:val="both"/>
      </w:pPr>
      <w:r>
        <w:rPr>
          <w:rtl w:val="0"/>
          <w:lang w:val="en-US"/>
        </w:rPr>
        <w:t xml:space="preserve">Statista.com, 2023. </w:t>
      </w:r>
      <w:r>
        <w:rPr>
          <w:i w:val="1"/>
          <w:iCs w:val="1"/>
          <w:rtl w:val="0"/>
          <w:lang w:val="en-US"/>
        </w:rPr>
        <w:t xml:space="preserve">Toyota's net revenue from FY 2012 to FY 2022, </w:t>
      </w:r>
      <w:r>
        <w:rPr>
          <w:rtl w:val="0"/>
          <w:lang w:val="en-US"/>
        </w:rPr>
        <w:t xml:space="preserve">Available at: </w:t>
      </w:r>
      <w:r>
        <w:rPr>
          <w:rStyle w:val="Hyperlink.0"/>
        </w:rPr>
        <w:fldChar w:fldCharType="begin" w:fldLock="0"/>
      </w:r>
      <w:r>
        <w:rPr>
          <w:rStyle w:val="Hyperlink.0"/>
        </w:rPr>
        <w:instrText xml:space="preserve"> HYPERLINK "https://www.statista.com/statistics/262752/total-net-revenues-of-toyota/"</w:instrText>
      </w:r>
      <w:r>
        <w:rPr>
          <w:rStyle w:val="Hyperlink.0"/>
        </w:rPr>
        <w:fldChar w:fldCharType="separate" w:fldLock="0"/>
      </w:r>
      <w:r>
        <w:rPr>
          <w:rStyle w:val="Hyperlink.0"/>
          <w:rtl w:val="0"/>
          <w:lang w:val="en-US"/>
        </w:rPr>
        <w:t>https://www.statista.com/statistics/262752/total-net-revenues-of-toyota/</w:t>
      </w:r>
      <w:r>
        <w:rPr/>
        <w:fldChar w:fldCharType="end" w:fldLock="0"/>
      </w:r>
      <w:r>
        <w:rPr>
          <w:rtl w:val="0"/>
          <w:lang w:val="en-US"/>
        </w:rPr>
        <w:t xml:space="preserve"> [Accessed on: 10/01/2023]</w:t>
      </w:r>
    </w:p>
    <w:p>
      <w:pPr>
        <w:pStyle w:val="Body"/>
        <w:spacing w:after="240" w:line="480" w:lineRule="auto"/>
        <w:jc w:val="both"/>
      </w:pPr>
      <w:r>
        <w:rPr>
          <w:rtl w:val="0"/>
          <w:lang w:val="en-US"/>
        </w:rPr>
        <w:t xml:space="preserve">Statista.com, 2023. </w:t>
      </w:r>
      <w:r>
        <w:rPr>
          <w:i w:val="1"/>
          <w:iCs w:val="1"/>
          <w:rtl w:val="0"/>
          <w:lang w:val="en-US"/>
        </w:rPr>
        <w:t xml:space="preserve">Toyota's operating income from FY 2009 to FY 2022, </w:t>
      </w:r>
      <w:r>
        <w:rPr>
          <w:rtl w:val="0"/>
          <w:lang w:val="en-US"/>
        </w:rPr>
        <w:t xml:space="preserve">Available at: </w:t>
      </w:r>
      <w:r>
        <w:rPr>
          <w:rStyle w:val="Hyperlink.0"/>
        </w:rPr>
        <w:fldChar w:fldCharType="begin" w:fldLock="0"/>
      </w:r>
      <w:r>
        <w:rPr>
          <w:rStyle w:val="Hyperlink.0"/>
        </w:rPr>
        <w:instrText xml:space="preserve"> HYPERLINK "https://www.statista.com/graphic/1/279642/operating-income-of-toyota.jpg"</w:instrText>
      </w:r>
      <w:r>
        <w:rPr>
          <w:rStyle w:val="Hyperlink.0"/>
        </w:rPr>
        <w:fldChar w:fldCharType="separate" w:fldLock="0"/>
      </w:r>
      <w:r>
        <w:rPr>
          <w:rStyle w:val="Hyperlink.0"/>
          <w:rtl w:val="0"/>
          <w:lang w:val="en-US"/>
        </w:rPr>
        <w:t>https://www.statista.com/graphic/1/279642/operating-income-of-toyota.jpg</w:t>
      </w:r>
      <w:r>
        <w:rPr/>
        <w:fldChar w:fldCharType="end" w:fldLock="0"/>
      </w:r>
      <w:r>
        <w:rPr>
          <w:rtl w:val="0"/>
          <w:lang w:val="en-US"/>
        </w:rPr>
        <w:t xml:space="preserve"> [Accessed on: 10/01/2023]</w:t>
      </w:r>
    </w:p>
    <w:p>
      <w:pPr>
        <w:pStyle w:val="Normal (Web)"/>
        <w:spacing w:before="240" w:after="0" w:line="480" w:lineRule="auto"/>
        <w:jc w:val="both"/>
        <w:rPr>
          <w:rFonts w:ascii="Arial" w:cs="Arial" w:hAnsi="Arial" w:eastAsia="Arial"/>
          <w:sz w:val="22"/>
          <w:szCs w:val="22"/>
        </w:rPr>
      </w:pPr>
      <w:r>
        <w:rPr>
          <w:rFonts w:ascii="Arial" w:hAnsi="Arial"/>
          <w:sz w:val="22"/>
          <w:szCs w:val="22"/>
          <w:shd w:val="clear" w:color="auto" w:fill="ffffff"/>
          <w:rtl w:val="0"/>
          <w:lang w:val="en-US"/>
        </w:rPr>
        <w:t xml:space="preserve">Sugimura, Y., Ishiguro, K. and Kato, A., 2022. Possibility of Sustainable Entry into Overseas Port Operation Markets by Japanese Companies. </w:t>
      </w:r>
      <w:r>
        <w:rPr>
          <w:rFonts w:ascii="Arial" w:hAnsi="Arial"/>
          <w:i w:val="1"/>
          <w:iCs w:val="1"/>
          <w:sz w:val="22"/>
          <w:szCs w:val="22"/>
          <w:shd w:val="clear" w:color="auto" w:fill="ffffff"/>
          <w:rtl w:val="0"/>
          <w:lang w:val="en-US"/>
        </w:rPr>
        <w:t>Sustainability</w:t>
      </w:r>
      <w:r>
        <w:rPr>
          <w:rFonts w:ascii="Arial" w:hAnsi="Arial"/>
          <w:sz w:val="22"/>
          <w:szCs w:val="22"/>
          <w:shd w:val="clear" w:color="auto" w:fill="ffffff"/>
          <w:rtl w:val="0"/>
          <w:lang w:val="en-US"/>
        </w:rPr>
        <w:t xml:space="preserve">, </w:t>
      </w:r>
      <w:r>
        <w:rPr>
          <w:rFonts w:ascii="Arial" w:hAnsi="Arial"/>
          <w:i w:val="1"/>
          <w:iCs w:val="1"/>
          <w:sz w:val="22"/>
          <w:szCs w:val="22"/>
          <w:shd w:val="clear" w:color="auto" w:fill="ffffff"/>
          <w:rtl w:val="0"/>
          <w:lang w:val="en-US"/>
        </w:rPr>
        <w:t>14</w:t>
      </w:r>
      <w:r>
        <w:rPr>
          <w:rFonts w:ascii="Arial" w:hAnsi="Arial"/>
          <w:sz w:val="22"/>
          <w:szCs w:val="22"/>
          <w:shd w:val="clear" w:color="auto" w:fill="ffffff"/>
          <w:rtl w:val="0"/>
          <w:lang w:val="en-US"/>
        </w:rPr>
        <w:t>(19), p.12167.</w:t>
      </w:r>
    </w:p>
    <w:p>
      <w:pPr>
        <w:pStyle w:val="Normal (Web)"/>
        <w:spacing w:before="240" w:after="0" w:line="480" w:lineRule="auto"/>
        <w:jc w:val="both"/>
        <w:rPr>
          <w:rFonts w:ascii="Arial" w:cs="Arial" w:hAnsi="Arial" w:eastAsia="Arial"/>
          <w:sz w:val="22"/>
          <w:szCs w:val="22"/>
        </w:rPr>
      </w:pPr>
      <w:r>
        <w:rPr>
          <w:rFonts w:ascii="Arial" w:hAnsi="Arial"/>
          <w:sz w:val="22"/>
          <w:szCs w:val="22"/>
          <w:shd w:val="clear" w:color="auto" w:fill="ffffff"/>
          <w:rtl w:val="0"/>
          <w:lang w:val="en-US"/>
        </w:rPr>
        <w:t xml:space="preserve">Takabatake, T., Fujiwara, K., Okamoto, S., Kishimoto, R., Kagawa, N. and Toyota, M., 2020. Discovery of orthogonal synthesis using artificial intelligence: Pd (OAc) 2-catalyzed one-pot synthesis of benzofuran and bicyclo [3.3. 1] nonane scaffolds. </w:t>
      </w:r>
      <w:r>
        <w:rPr>
          <w:rFonts w:ascii="Arial" w:hAnsi="Arial"/>
          <w:i w:val="1"/>
          <w:iCs w:val="1"/>
          <w:sz w:val="22"/>
          <w:szCs w:val="22"/>
          <w:shd w:val="clear" w:color="auto" w:fill="ffffff"/>
          <w:rtl w:val="0"/>
          <w:lang w:val="en-US"/>
        </w:rPr>
        <w:t>Tetrahedron Letters</w:t>
      </w:r>
      <w:r>
        <w:rPr>
          <w:rFonts w:ascii="Arial" w:hAnsi="Arial"/>
          <w:sz w:val="22"/>
          <w:szCs w:val="22"/>
          <w:shd w:val="clear" w:color="auto" w:fill="ffffff"/>
          <w:rtl w:val="0"/>
          <w:lang w:val="en-US"/>
        </w:rPr>
        <w:t xml:space="preserve">, </w:t>
      </w:r>
      <w:r>
        <w:rPr>
          <w:rFonts w:ascii="Arial" w:hAnsi="Arial"/>
          <w:i w:val="1"/>
          <w:iCs w:val="1"/>
          <w:sz w:val="22"/>
          <w:szCs w:val="22"/>
          <w:shd w:val="clear" w:color="auto" w:fill="ffffff"/>
          <w:rtl w:val="0"/>
          <w:lang w:val="en-US"/>
        </w:rPr>
        <w:t>61</w:t>
      </w:r>
      <w:r>
        <w:rPr>
          <w:rFonts w:ascii="Arial" w:hAnsi="Arial"/>
          <w:sz w:val="22"/>
          <w:szCs w:val="22"/>
          <w:shd w:val="clear" w:color="auto" w:fill="ffffff"/>
          <w:rtl w:val="0"/>
          <w:lang w:val="en-US"/>
        </w:rPr>
        <w:t>(36), p.152275.</w:t>
      </w:r>
    </w:p>
    <w:p>
      <w:pPr>
        <w:pStyle w:val="Normal (Web)"/>
        <w:spacing w:before="240" w:after="0" w:line="480" w:lineRule="auto"/>
        <w:jc w:val="both"/>
        <w:rPr>
          <w:rFonts w:ascii="Arial" w:cs="Arial" w:hAnsi="Arial" w:eastAsia="Arial"/>
          <w:sz w:val="22"/>
          <w:szCs w:val="22"/>
        </w:rPr>
      </w:pPr>
      <w:r>
        <w:rPr>
          <w:rFonts w:ascii="Arial" w:hAnsi="Arial"/>
          <w:sz w:val="22"/>
          <w:szCs w:val="22"/>
          <w:shd w:val="clear" w:color="auto" w:fill="ffffff"/>
          <w:rtl w:val="0"/>
          <w:lang w:val="en-US"/>
        </w:rPr>
        <w:t xml:space="preserve">Tang, J., Wang, Y. and Zhao, C., 2022, December. The Impact of COVID-19 on Toyota Group Automotive Division and Countermeasures. In </w:t>
      </w:r>
      <w:r>
        <w:rPr>
          <w:rFonts w:ascii="Arial" w:hAnsi="Arial"/>
          <w:i w:val="1"/>
          <w:iCs w:val="1"/>
          <w:sz w:val="22"/>
          <w:szCs w:val="22"/>
          <w:shd w:val="clear" w:color="auto" w:fill="ffffff"/>
          <w:rtl w:val="0"/>
          <w:lang w:val="en-US"/>
        </w:rPr>
        <w:t>2022 International Conference on Economics, Smart Finance and Contemporary Trade (ESFCT 2022)</w:t>
      </w:r>
      <w:r>
        <w:rPr>
          <w:rFonts w:ascii="Arial" w:hAnsi="Arial"/>
          <w:sz w:val="22"/>
          <w:szCs w:val="22"/>
          <w:shd w:val="clear" w:color="auto" w:fill="ffffff"/>
          <w:rtl w:val="0"/>
          <w:lang w:val="en-US"/>
        </w:rPr>
        <w:t xml:space="preserve"> (pp. 1260-1267). Atlantis Press.</w:t>
      </w:r>
    </w:p>
    <w:p>
      <w:pPr>
        <w:pStyle w:val="Body"/>
        <w:spacing w:after="240" w:line="480" w:lineRule="auto"/>
        <w:jc w:val="both"/>
      </w:pPr>
      <w:r>
        <w:rPr>
          <w:rtl w:val="0"/>
          <w:lang w:val="en-US"/>
        </w:rPr>
        <w:t>Tarun, B.A., 2020. A Study on Customer Satisfction with Reference to Ravindu Toyota.</w:t>
      </w:r>
    </w:p>
    <w:p>
      <w:pPr>
        <w:pStyle w:val="Body"/>
        <w:spacing w:after="240" w:line="480" w:lineRule="auto"/>
        <w:jc w:val="both"/>
      </w:pPr>
      <w:r>
        <w:rPr>
          <w:rtl w:val="0"/>
          <w:lang w:val="en-US"/>
        </w:rPr>
        <w:t xml:space="preserve">Thecarconnection.com (2023), </w:t>
      </w:r>
      <w:r>
        <w:rPr>
          <w:rtl w:val="0"/>
          <w:lang w:val="en-US"/>
        </w:rPr>
        <w:t>“</w:t>
      </w:r>
      <w:r>
        <w:rPr>
          <w:rtl w:val="0"/>
          <w:lang w:val="en-US"/>
        </w:rPr>
        <w:t>autonomous driving patent race</w:t>
      </w:r>
      <w:r>
        <w:rPr>
          <w:rtl w:val="0"/>
          <w:lang w:val="en-US"/>
        </w:rPr>
        <w:t>”</w:t>
      </w:r>
      <w:r>
        <w:rPr>
          <w:rtl w:val="0"/>
          <w:lang w:val="en-US"/>
        </w:rPr>
        <w:t>, available at: https://www.thecarconnection.com/news/bosch [Accessed on 09/01/2023]</w:t>
      </w:r>
    </w:p>
    <w:p>
      <w:pPr>
        <w:pStyle w:val="Body"/>
        <w:spacing w:after="240" w:line="480" w:lineRule="auto"/>
        <w:jc w:val="both"/>
      </w:pPr>
      <w:r>
        <w:rPr>
          <w:rtl w:val="0"/>
          <w:lang w:val="en-US"/>
        </w:rPr>
        <w:t>Timoshenko, A. and Hauser, J.R., 2019. Identifying customer needs from user-generated content. Marketing Science, 38(1), pp.1-20.</w:t>
      </w:r>
    </w:p>
    <w:p>
      <w:pPr>
        <w:pStyle w:val="Body"/>
        <w:spacing w:after="240" w:line="480" w:lineRule="auto"/>
        <w:jc w:val="both"/>
      </w:pPr>
      <w:r>
        <w:rPr>
          <w:rtl w:val="0"/>
          <w:lang w:val="en-US"/>
        </w:rPr>
        <w:t>Toyota-industries.com (2023), available at: https://www.toyota-industries.com/sustainability/stakeholders/customers/ [Accessed on 09/01/2023]</w:t>
      </w:r>
    </w:p>
    <w:p>
      <w:pPr>
        <w:pStyle w:val="Body"/>
        <w:spacing w:after="240" w:line="480" w:lineRule="auto"/>
        <w:jc w:val="both"/>
      </w:pPr>
      <w:r>
        <w:rPr>
          <w:rtl w:val="0"/>
          <w:lang w:val="en-US"/>
        </w:rPr>
        <w:t xml:space="preserve">Toyota-industries.com, 2022. </w:t>
      </w:r>
      <w:r>
        <w:rPr>
          <w:i w:val="1"/>
          <w:iCs w:val="1"/>
          <w:rtl w:val="0"/>
          <w:lang w:val="en-US"/>
        </w:rPr>
        <w:t xml:space="preserve">Annual Financial Report, </w:t>
      </w:r>
      <w:r>
        <w:rPr>
          <w:rtl w:val="0"/>
          <w:lang w:val="en-US"/>
        </w:rPr>
        <w:t xml:space="preserve">Available at:  </w:t>
      </w:r>
      <w:r>
        <w:rPr>
          <w:rStyle w:val="Hyperlink.0"/>
        </w:rPr>
        <w:fldChar w:fldCharType="begin" w:fldLock="0"/>
      </w:r>
      <w:r>
        <w:rPr>
          <w:rStyle w:val="Hyperlink.0"/>
        </w:rPr>
        <w:instrText xml:space="preserve"> HYPERLINK "https://www.toyota-industries.com/investors/library/reports/"</w:instrText>
      </w:r>
      <w:r>
        <w:rPr>
          <w:rStyle w:val="Hyperlink.0"/>
        </w:rPr>
        <w:fldChar w:fldCharType="separate" w:fldLock="0"/>
      </w:r>
      <w:r>
        <w:rPr>
          <w:rStyle w:val="Hyperlink.0"/>
          <w:rtl w:val="0"/>
          <w:lang w:val="en-US"/>
        </w:rPr>
        <w:t>https://www.toyota-industries.com/investors/library/reports/</w:t>
      </w:r>
      <w:r>
        <w:rPr/>
        <w:fldChar w:fldCharType="end" w:fldLock="0"/>
      </w:r>
      <w:r>
        <w:rPr>
          <w:rtl w:val="0"/>
          <w:lang w:val="en-US"/>
        </w:rPr>
        <w:t xml:space="preserve"> [Accessed on: 10/01/2023]</w:t>
      </w:r>
    </w:p>
    <w:p>
      <w:pPr>
        <w:pStyle w:val="Normal (Web)"/>
        <w:spacing w:before="240" w:line="480" w:lineRule="auto"/>
        <w:jc w:val="both"/>
        <w:rPr>
          <w:rFonts w:ascii="Arial" w:cs="Arial" w:hAnsi="Arial" w:eastAsia="Arial"/>
          <w:sz w:val="22"/>
          <w:szCs w:val="22"/>
        </w:rPr>
      </w:pPr>
      <w:r>
        <w:rPr>
          <w:rFonts w:ascii="Arial" w:hAnsi="Arial"/>
          <w:sz w:val="22"/>
          <w:szCs w:val="22"/>
          <w:rtl w:val="0"/>
          <w:lang w:val="en-US"/>
        </w:rPr>
        <w:t>Triyono, R., Mutia, Y.A., Purwansya, Y.G. and Hidayati, N., 2022. Strategi Social-Interactive Marketing DalamRangkaMenciptakan Brand Awareness dan Brand Image Produk Mobil BEV (Battery Vehicle) Indonesia. INOBIS: JurnalInovasiBisnisdanManajemen Indonesia, 5(4), pp.505-520.</w:t>
      </w:r>
    </w:p>
    <w:p>
      <w:pPr>
        <w:pStyle w:val="Normal (Web)"/>
        <w:spacing w:before="240" w:line="480" w:lineRule="auto"/>
        <w:jc w:val="both"/>
        <w:rPr>
          <w:rFonts w:ascii="Arial" w:cs="Arial" w:hAnsi="Arial" w:eastAsia="Arial"/>
          <w:sz w:val="22"/>
          <w:szCs w:val="22"/>
        </w:rPr>
      </w:pPr>
      <w:r>
        <w:rPr>
          <w:rFonts w:ascii="Arial" w:hAnsi="Arial"/>
          <w:sz w:val="22"/>
          <w:szCs w:val="22"/>
          <w:rtl w:val="0"/>
          <w:lang w:val="en-US"/>
        </w:rPr>
        <w:t xml:space="preserve">Worldwide-tax (2021), china-taxes, Available at: https://www.worldwide-tax.com/china/china-taxes.asp#:~:text=China%20Taxes,-Home%2FChina%20Taxes&amp;text=The%202022%20corporate%20tax%20rate,corporate%20tax%20in%20certain%20regions. [Accessed on: 02/01/2023] </w:t>
      </w:r>
    </w:p>
    <w:p>
      <w:pPr>
        <w:pStyle w:val="Normal (Web)"/>
        <w:spacing w:before="240" w:after="0" w:line="480" w:lineRule="auto"/>
        <w:jc w:val="both"/>
        <w:rPr>
          <w:rFonts w:ascii="Arial" w:cs="Arial" w:hAnsi="Arial" w:eastAsia="Arial"/>
          <w:sz w:val="22"/>
          <w:szCs w:val="22"/>
        </w:rPr>
      </w:pPr>
      <w:r>
        <w:rPr>
          <w:rFonts w:ascii="Arial" w:hAnsi="Arial"/>
          <w:sz w:val="22"/>
          <w:szCs w:val="22"/>
          <w:rtl w:val="0"/>
          <w:lang w:val="en-US"/>
        </w:rPr>
        <w:t>Zhuo, W., Wang, J. and Peng, J., 2022. The interaction of retailer</w:t>
      </w:r>
      <w:r>
        <w:rPr>
          <w:rFonts w:ascii="Arial" w:hAnsi="Arial" w:hint="default"/>
          <w:sz w:val="22"/>
          <w:szCs w:val="22"/>
          <w:rtl w:val="0"/>
          <w:lang w:val="en-US"/>
        </w:rPr>
        <w:t>’</w:t>
      </w:r>
      <w:r>
        <w:rPr>
          <w:rFonts w:ascii="Arial" w:hAnsi="Arial"/>
          <w:sz w:val="22"/>
          <w:szCs w:val="22"/>
          <w:rtl w:val="0"/>
          <w:lang w:val="en-US"/>
        </w:rPr>
        <w:t>s investment strategy and supplier</w:t>
      </w:r>
      <w:r>
        <w:rPr>
          <w:rFonts w:ascii="Arial" w:hAnsi="Arial" w:hint="default"/>
          <w:sz w:val="22"/>
          <w:szCs w:val="22"/>
          <w:rtl w:val="0"/>
          <w:lang w:val="en-US"/>
        </w:rPr>
        <w:t>’</w:t>
      </w:r>
      <w:r>
        <w:rPr>
          <w:rFonts w:ascii="Arial" w:hAnsi="Arial"/>
          <w:sz w:val="22"/>
          <w:szCs w:val="22"/>
          <w:rtl w:val="0"/>
          <w:lang w:val="en-US"/>
        </w:rPr>
        <w:t>s entry modes into the retail market. Applied Economics, 54(16), pp.1787-1813.</w:t>
      </w:r>
    </w:p>
    <w:p>
      <w:pPr>
        <w:pStyle w:val="Body"/>
        <w:spacing w:after="240" w:line="480" w:lineRule="auto"/>
        <w:jc w:val="both"/>
      </w:pPr>
      <w:r>
        <w:rPr>
          <w:lang w:val="en-US"/>
        </w:rPr>
      </w:r>
    </w:p>
    <w:sectPr>
      <w:headerReference w:type="default" r:id="rId9"/>
      <w:footerReference w:type="default" r:id="rId10"/>
      <w:pgSz w:w="12240" w:h="15840" w:orient="portrait"/>
      <w:pgMar w:top="1440" w:right="1800" w:bottom="1440" w:left="1800" w:header="720" w:footer="720"/>
      <w:pgNumType w:start="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Cambri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8620"/>
        <w:tab w:val="clear" w:pos="9360"/>
      </w:tabs>
      <w:jc w:val="right"/>
    </w:pPr>
    <w:r>
      <w:rPr>
        <w:sz w:val="20"/>
        <w:szCs w:val="20"/>
        <w:rtl w:val="0"/>
      </w:rPr>
      <w:fldChar w:fldCharType="begin" w:fldLock="0"/>
    </w:r>
    <w:r>
      <w:rPr>
        <w:sz w:val="20"/>
        <w:szCs w:val="20"/>
        <w:rtl w:val="0"/>
      </w:rPr>
      <w:instrText xml:space="preserve"> PAGE </w:instrText>
    </w:r>
    <w:r>
      <w:rPr>
        <w:sz w:val="20"/>
        <w:szCs w:val="20"/>
        <w:rtl w:val="0"/>
      </w:rPr>
      <w:fldChar w:fldCharType="separate" w:fldLock="0"/>
    </w:r>
    <w:r>
      <w:rPr>
        <w:sz w:val="20"/>
        <w:szCs w:val="20"/>
        <w:rtl w:val="0"/>
      </w:rPr>
    </w:r>
    <w:r>
      <w:rPr>
        <w:sz w:val="20"/>
        <w:szCs w:val="20"/>
        <w:rtl w:val="0"/>
      </w:rPr>
      <w:fldChar w:fldCharType="end" w:fldLock="0"/>
    </w:r>
    <w:r>
      <w:rPr>
        <w:sz w:val="20"/>
        <w:szCs w:val="20"/>
      </w:r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start w:val="1"/>
      <w:numFmt w:val="bullet"/>
      <w:suff w:val="tab"/>
      <w:lvlText w:val="o"/>
      <w:lvlJc w:val="left"/>
      <w:pPr>
        <w:tabs>
          <w:tab w:val="left" w:pos="720"/>
        </w:tabs>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start w:val="1"/>
      <w:numFmt w:val="bullet"/>
      <w:suff w:val="tab"/>
      <w:lvlText w:val="▪"/>
      <w:lvlJc w:val="left"/>
      <w:pPr>
        <w:tabs>
          <w:tab w:val="left" w:pos="720"/>
        </w:tabs>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start w:val="1"/>
      <w:numFmt w:val="bullet"/>
      <w:suff w:val="tab"/>
      <w:lvlText w:val="▪"/>
      <w:lvlJc w:val="left"/>
      <w:pPr>
        <w:tabs>
          <w:tab w:val="left" w:pos="720"/>
        </w:tabs>
        <w:ind w:left="28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start w:val="1"/>
      <w:numFmt w:val="bullet"/>
      <w:suff w:val="tab"/>
      <w:lvlText w:val="▪"/>
      <w:lvlJc w:val="left"/>
      <w:pPr>
        <w:tabs>
          <w:tab w:val="left" w:pos="720"/>
        </w:tabs>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start w:val="1"/>
      <w:numFmt w:val="bullet"/>
      <w:suff w:val="tab"/>
      <w:lvlText w:val="▪"/>
      <w:lvlJc w:val="left"/>
      <w:pPr>
        <w:tabs>
          <w:tab w:val="left" w:pos="720"/>
        </w:tabs>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start w:val="1"/>
      <w:numFmt w:val="bullet"/>
      <w:suff w:val="tab"/>
      <w:lvlText w:val="▪"/>
      <w:lvlJc w:val="left"/>
      <w:pPr>
        <w:tabs>
          <w:tab w:val="left" w:pos="720"/>
        </w:tabs>
        <w:ind w:left="50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start w:val="1"/>
      <w:numFmt w:val="bullet"/>
      <w:suff w:val="tab"/>
      <w:lvlText w:val="▪"/>
      <w:lvlJc w:val="left"/>
      <w:pPr>
        <w:tabs>
          <w:tab w:val="left" w:pos="720"/>
        </w:tabs>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start w:val="1"/>
      <w:numFmt w:val="bullet"/>
      <w:suff w:val="tab"/>
      <w:lvlText w:val="▪"/>
      <w:lvlJc w:val="left"/>
      <w:pPr>
        <w:tabs>
          <w:tab w:val="left" w:pos="720"/>
        </w:tabs>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1">
    <w:multiLevelType w:val="hybridMultilevel"/>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start w:val="1"/>
      <w:numFmt w:val="bullet"/>
      <w:suff w:val="tab"/>
      <w:lvlText w:val="o"/>
      <w:lvlJc w:val="left"/>
      <w:pPr>
        <w:tabs>
          <w:tab w:val="left" w:pos="720"/>
        </w:tabs>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start w:val="1"/>
      <w:numFmt w:val="bullet"/>
      <w:suff w:val="tab"/>
      <w:lvlText w:val="▪"/>
      <w:lvlJc w:val="left"/>
      <w:pPr>
        <w:tabs>
          <w:tab w:val="left" w:pos="720"/>
        </w:tabs>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start w:val="1"/>
      <w:numFmt w:val="bullet"/>
      <w:suff w:val="tab"/>
      <w:lvlText w:val="▪"/>
      <w:lvlJc w:val="left"/>
      <w:pPr>
        <w:tabs>
          <w:tab w:val="left" w:pos="720"/>
        </w:tabs>
        <w:ind w:left="28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start w:val="1"/>
      <w:numFmt w:val="bullet"/>
      <w:suff w:val="tab"/>
      <w:lvlText w:val="▪"/>
      <w:lvlJc w:val="left"/>
      <w:pPr>
        <w:tabs>
          <w:tab w:val="left" w:pos="720"/>
        </w:tabs>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start w:val="1"/>
      <w:numFmt w:val="bullet"/>
      <w:suff w:val="tab"/>
      <w:lvlText w:val="▪"/>
      <w:lvlJc w:val="left"/>
      <w:pPr>
        <w:tabs>
          <w:tab w:val="left" w:pos="720"/>
        </w:tabs>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start w:val="1"/>
      <w:numFmt w:val="bullet"/>
      <w:suff w:val="tab"/>
      <w:lvlText w:val="▪"/>
      <w:lvlJc w:val="left"/>
      <w:pPr>
        <w:tabs>
          <w:tab w:val="left" w:pos="720"/>
        </w:tabs>
        <w:ind w:left="50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start w:val="1"/>
      <w:numFmt w:val="bullet"/>
      <w:suff w:val="tab"/>
      <w:lvlText w:val="▪"/>
      <w:lvlJc w:val="left"/>
      <w:pPr>
        <w:tabs>
          <w:tab w:val="left" w:pos="720"/>
        </w:tabs>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start w:val="1"/>
      <w:numFmt w:val="bullet"/>
      <w:suff w:val="tab"/>
      <w:lvlText w:val="▪"/>
      <w:lvlJc w:val="left"/>
      <w:pPr>
        <w:tabs>
          <w:tab w:val="left" w:pos="720"/>
        </w:tabs>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2">
    <w:multiLevelType w:val="hybridMultilevel"/>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start w:val="1"/>
      <w:numFmt w:val="bullet"/>
      <w:suff w:val="tab"/>
      <w:lvlText w:val="o"/>
      <w:lvlJc w:val="left"/>
      <w:pPr>
        <w:tabs>
          <w:tab w:val="left" w:pos="720"/>
        </w:tabs>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start w:val="1"/>
      <w:numFmt w:val="bullet"/>
      <w:suff w:val="tab"/>
      <w:lvlText w:val="▪"/>
      <w:lvlJc w:val="left"/>
      <w:pPr>
        <w:tabs>
          <w:tab w:val="left" w:pos="720"/>
        </w:tabs>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start w:val="1"/>
      <w:numFmt w:val="bullet"/>
      <w:suff w:val="tab"/>
      <w:lvlText w:val="▪"/>
      <w:lvlJc w:val="left"/>
      <w:pPr>
        <w:tabs>
          <w:tab w:val="left" w:pos="720"/>
        </w:tabs>
        <w:ind w:left="28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start w:val="1"/>
      <w:numFmt w:val="bullet"/>
      <w:suff w:val="tab"/>
      <w:lvlText w:val="▪"/>
      <w:lvlJc w:val="left"/>
      <w:pPr>
        <w:tabs>
          <w:tab w:val="left" w:pos="720"/>
        </w:tabs>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start w:val="1"/>
      <w:numFmt w:val="bullet"/>
      <w:suff w:val="tab"/>
      <w:lvlText w:val="▪"/>
      <w:lvlJc w:val="left"/>
      <w:pPr>
        <w:tabs>
          <w:tab w:val="left" w:pos="720"/>
        </w:tabs>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start w:val="1"/>
      <w:numFmt w:val="bullet"/>
      <w:suff w:val="tab"/>
      <w:lvlText w:val="▪"/>
      <w:lvlJc w:val="left"/>
      <w:pPr>
        <w:tabs>
          <w:tab w:val="left" w:pos="720"/>
        </w:tabs>
        <w:ind w:left="50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start w:val="1"/>
      <w:numFmt w:val="bullet"/>
      <w:suff w:val="tab"/>
      <w:lvlText w:val="▪"/>
      <w:lvlJc w:val="left"/>
      <w:pPr>
        <w:tabs>
          <w:tab w:val="left" w:pos="720"/>
        </w:tabs>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start w:val="1"/>
      <w:numFmt w:val="bullet"/>
      <w:suff w:val="tab"/>
      <w:lvlText w:val="▪"/>
      <w:lvlJc w:val="left"/>
      <w:pPr>
        <w:tabs>
          <w:tab w:val="left" w:pos="720"/>
        </w:tabs>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3">
    <w:multiLevelType w:val="hybridMultilevel"/>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start w:val="1"/>
      <w:numFmt w:val="bullet"/>
      <w:suff w:val="tab"/>
      <w:lvlText w:val="o"/>
      <w:lvlJc w:val="left"/>
      <w:pPr>
        <w:tabs>
          <w:tab w:val="left" w:pos="720"/>
        </w:tabs>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start w:val="1"/>
      <w:numFmt w:val="bullet"/>
      <w:suff w:val="tab"/>
      <w:lvlText w:val="▪"/>
      <w:lvlJc w:val="left"/>
      <w:pPr>
        <w:tabs>
          <w:tab w:val="left" w:pos="720"/>
        </w:tabs>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start w:val="1"/>
      <w:numFmt w:val="bullet"/>
      <w:suff w:val="tab"/>
      <w:lvlText w:val="▪"/>
      <w:lvlJc w:val="left"/>
      <w:pPr>
        <w:tabs>
          <w:tab w:val="left" w:pos="720"/>
        </w:tabs>
        <w:ind w:left="28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start w:val="1"/>
      <w:numFmt w:val="bullet"/>
      <w:suff w:val="tab"/>
      <w:lvlText w:val="▪"/>
      <w:lvlJc w:val="left"/>
      <w:pPr>
        <w:tabs>
          <w:tab w:val="left" w:pos="720"/>
        </w:tabs>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start w:val="1"/>
      <w:numFmt w:val="bullet"/>
      <w:suff w:val="tab"/>
      <w:lvlText w:val="▪"/>
      <w:lvlJc w:val="left"/>
      <w:pPr>
        <w:tabs>
          <w:tab w:val="left" w:pos="720"/>
        </w:tabs>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start w:val="1"/>
      <w:numFmt w:val="bullet"/>
      <w:suff w:val="tab"/>
      <w:lvlText w:val="▪"/>
      <w:lvlJc w:val="left"/>
      <w:pPr>
        <w:tabs>
          <w:tab w:val="left" w:pos="720"/>
        </w:tabs>
        <w:ind w:left="50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start w:val="1"/>
      <w:numFmt w:val="bullet"/>
      <w:suff w:val="tab"/>
      <w:lvlText w:val="▪"/>
      <w:lvlJc w:val="left"/>
      <w:pPr>
        <w:tabs>
          <w:tab w:val="left" w:pos="720"/>
        </w:tabs>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start w:val="1"/>
      <w:numFmt w:val="bullet"/>
      <w:suff w:val="tab"/>
      <w:lvlText w:val="▪"/>
      <w:lvlJc w:val="left"/>
      <w:pPr>
        <w:tabs>
          <w:tab w:val="left" w:pos="720"/>
        </w:tabs>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4">
    <w:multiLevelType w:val="hybridMultilevel"/>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start w:val="1"/>
      <w:numFmt w:val="bullet"/>
      <w:suff w:val="tab"/>
      <w:lvlText w:val="o"/>
      <w:lvlJc w:val="left"/>
      <w:pPr>
        <w:tabs>
          <w:tab w:val="left" w:pos="720"/>
        </w:tabs>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start w:val="1"/>
      <w:numFmt w:val="bullet"/>
      <w:suff w:val="tab"/>
      <w:lvlText w:val="▪"/>
      <w:lvlJc w:val="left"/>
      <w:pPr>
        <w:tabs>
          <w:tab w:val="left" w:pos="720"/>
        </w:tabs>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start w:val="1"/>
      <w:numFmt w:val="bullet"/>
      <w:suff w:val="tab"/>
      <w:lvlText w:val="▪"/>
      <w:lvlJc w:val="left"/>
      <w:pPr>
        <w:tabs>
          <w:tab w:val="left" w:pos="720"/>
        </w:tabs>
        <w:ind w:left="28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start w:val="1"/>
      <w:numFmt w:val="bullet"/>
      <w:suff w:val="tab"/>
      <w:lvlText w:val="▪"/>
      <w:lvlJc w:val="left"/>
      <w:pPr>
        <w:tabs>
          <w:tab w:val="left" w:pos="720"/>
        </w:tabs>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start w:val="1"/>
      <w:numFmt w:val="bullet"/>
      <w:suff w:val="tab"/>
      <w:lvlText w:val="▪"/>
      <w:lvlJc w:val="left"/>
      <w:pPr>
        <w:tabs>
          <w:tab w:val="left" w:pos="720"/>
        </w:tabs>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start w:val="1"/>
      <w:numFmt w:val="bullet"/>
      <w:suff w:val="tab"/>
      <w:lvlText w:val="▪"/>
      <w:lvlJc w:val="left"/>
      <w:pPr>
        <w:tabs>
          <w:tab w:val="left" w:pos="720"/>
        </w:tabs>
        <w:ind w:left="50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start w:val="1"/>
      <w:numFmt w:val="bullet"/>
      <w:suff w:val="tab"/>
      <w:lvlText w:val="▪"/>
      <w:lvlJc w:val="left"/>
      <w:pPr>
        <w:tabs>
          <w:tab w:val="left" w:pos="720"/>
        </w:tabs>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start w:val="1"/>
      <w:numFmt w:val="bullet"/>
      <w:suff w:val="tab"/>
      <w:lvlText w:val="▪"/>
      <w:lvlJc w:val="left"/>
      <w:pPr>
        <w:tabs>
          <w:tab w:val="left" w:pos="720"/>
        </w:tabs>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5">
    <w:multiLevelType w:val="hybridMultilevel"/>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start w:val="1"/>
      <w:numFmt w:val="bullet"/>
      <w:suff w:val="tab"/>
      <w:lvlText w:val="o"/>
      <w:lvlJc w:val="left"/>
      <w:pPr>
        <w:tabs>
          <w:tab w:val="left" w:pos="720"/>
        </w:tabs>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start w:val="1"/>
      <w:numFmt w:val="bullet"/>
      <w:suff w:val="tab"/>
      <w:lvlText w:val="▪"/>
      <w:lvlJc w:val="left"/>
      <w:pPr>
        <w:tabs>
          <w:tab w:val="left" w:pos="720"/>
        </w:tabs>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start w:val="1"/>
      <w:numFmt w:val="bullet"/>
      <w:suff w:val="tab"/>
      <w:lvlText w:val="▪"/>
      <w:lvlJc w:val="left"/>
      <w:pPr>
        <w:tabs>
          <w:tab w:val="left" w:pos="720"/>
        </w:tabs>
        <w:ind w:left="28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start w:val="1"/>
      <w:numFmt w:val="bullet"/>
      <w:suff w:val="tab"/>
      <w:lvlText w:val="▪"/>
      <w:lvlJc w:val="left"/>
      <w:pPr>
        <w:tabs>
          <w:tab w:val="left" w:pos="720"/>
        </w:tabs>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start w:val="1"/>
      <w:numFmt w:val="bullet"/>
      <w:suff w:val="tab"/>
      <w:lvlText w:val="▪"/>
      <w:lvlJc w:val="left"/>
      <w:pPr>
        <w:tabs>
          <w:tab w:val="left" w:pos="720"/>
        </w:tabs>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start w:val="1"/>
      <w:numFmt w:val="bullet"/>
      <w:suff w:val="tab"/>
      <w:lvlText w:val="▪"/>
      <w:lvlJc w:val="left"/>
      <w:pPr>
        <w:tabs>
          <w:tab w:val="left" w:pos="720"/>
        </w:tabs>
        <w:ind w:left="50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start w:val="1"/>
      <w:numFmt w:val="bullet"/>
      <w:suff w:val="tab"/>
      <w:lvlText w:val="▪"/>
      <w:lvlJc w:val="left"/>
      <w:pPr>
        <w:tabs>
          <w:tab w:val="left" w:pos="720"/>
        </w:tabs>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start w:val="1"/>
      <w:numFmt w:val="bullet"/>
      <w:suff w:val="tab"/>
      <w:lvlText w:val="▪"/>
      <w:lvlJc w:val="left"/>
      <w:pPr>
        <w:tabs>
          <w:tab w:val="left" w:pos="720"/>
        </w:tabs>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6">
    <w:multiLevelType w:val="hybridMultilevel"/>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start w:val="1"/>
      <w:numFmt w:val="bullet"/>
      <w:suff w:val="tab"/>
      <w:lvlText w:val="o"/>
      <w:lvlJc w:val="left"/>
      <w:pPr>
        <w:tabs>
          <w:tab w:val="left" w:pos="720"/>
        </w:tabs>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start w:val="1"/>
      <w:numFmt w:val="bullet"/>
      <w:suff w:val="tab"/>
      <w:lvlText w:val="▪"/>
      <w:lvlJc w:val="left"/>
      <w:pPr>
        <w:tabs>
          <w:tab w:val="left" w:pos="720"/>
        </w:tabs>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start w:val="1"/>
      <w:numFmt w:val="bullet"/>
      <w:suff w:val="tab"/>
      <w:lvlText w:val="▪"/>
      <w:lvlJc w:val="left"/>
      <w:pPr>
        <w:tabs>
          <w:tab w:val="left" w:pos="720"/>
        </w:tabs>
        <w:ind w:left="28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start w:val="1"/>
      <w:numFmt w:val="bullet"/>
      <w:suff w:val="tab"/>
      <w:lvlText w:val="▪"/>
      <w:lvlJc w:val="left"/>
      <w:pPr>
        <w:tabs>
          <w:tab w:val="left" w:pos="720"/>
        </w:tabs>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start w:val="1"/>
      <w:numFmt w:val="bullet"/>
      <w:suff w:val="tab"/>
      <w:lvlText w:val="▪"/>
      <w:lvlJc w:val="left"/>
      <w:pPr>
        <w:tabs>
          <w:tab w:val="left" w:pos="720"/>
        </w:tabs>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start w:val="1"/>
      <w:numFmt w:val="bullet"/>
      <w:suff w:val="tab"/>
      <w:lvlText w:val="▪"/>
      <w:lvlJc w:val="left"/>
      <w:pPr>
        <w:tabs>
          <w:tab w:val="left" w:pos="720"/>
        </w:tabs>
        <w:ind w:left="50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start w:val="1"/>
      <w:numFmt w:val="bullet"/>
      <w:suff w:val="tab"/>
      <w:lvlText w:val="▪"/>
      <w:lvlJc w:val="left"/>
      <w:pPr>
        <w:tabs>
          <w:tab w:val="left" w:pos="720"/>
        </w:tabs>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start w:val="1"/>
      <w:numFmt w:val="bullet"/>
      <w:suff w:val="tab"/>
      <w:lvlText w:val="▪"/>
      <w:lvlJc w:val="left"/>
      <w:pPr>
        <w:tabs>
          <w:tab w:val="left" w:pos="720"/>
        </w:tabs>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7">
    <w:multiLevelType w:val="hybridMultilevel"/>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start w:val="1"/>
      <w:numFmt w:val="bullet"/>
      <w:suff w:val="tab"/>
      <w:lvlText w:val="o"/>
      <w:lvlJc w:val="left"/>
      <w:pPr>
        <w:tabs>
          <w:tab w:val="left" w:pos="720"/>
        </w:tabs>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start w:val="1"/>
      <w:numFmt w:val="bullet"/>
      <w:suff w:val="tab"/>
      <w:lvlText w:val="▪"/>
      <w:lvlJc w:val="left"/>
      <w:pPr>
        <w:tabs>
          <w:tab w:val="left" w:pos="720"/>
        </w:tabs>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start w:val="1"/>
      <w:numFmt w:val="bullet"/>
      <w:suff w:val="tab"/>
      <w:lvlText w:val="▪"/>
      <w:lvlJc w:val="left"/>
      <w:pPr>
        <w:tabs>
          <w:tab w:val="left" w:pos="720"/>
        </w:tabs>
        <w:ind w:left="28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start w:val="1"/>
      <w:numFmt w:val="bullet"/>
      <w:suff w:val="tab"/>
      <w:lvlText w:val="▪"/>
      <w:lvlJc w:val="left"/>
      <w:pPr>
        <w:tabs>
          <w:tab w:val="left" w:pos="720"/>
        </w:tabs>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start w:val="1"/>
      <w:numFmt w:val="bullet"/>
      <w:suff w:val="tab"/>
      <w:lvlText w:val="▪"/>
      <w:lvlJc w:val="left"/>
      <w:pPr>
        <w:tabs>
          <w:tab w:val="left" w:pos="720"/>
        </w:tabs>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start w:val="1"/>
      <w:numFmt w:val="bullet"/>
      <w:suff w:val="tab"/>
      <w:lvlText w:val="▪"/>
      <w:lvlJc w:val="left"/>
      <w:pPr>
        <w:tabs>
          <w:tab w:val="left" w:pos="720"/>
        </w:tabs>
        <w:ind w:left="50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start w:val="1"/>
      <w:numFmt w:val="bullet"/>
      <w:suff w:val="tab"/>
      <w:lvlText w:val="▪"/>
      <w:lvlJc w:val="left"/>
      <w:pPr>
        <w:tabs>
          <w:tab w:val="left" w:pos="720"/>
        </w:tabs>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start w:val="1"/>
      <w:numFmt w:val="bullet"/>
      <w:suff w:val="tab"/>
      <w:lvlText w:val="▪"/>
      <w:lvlJc w:val="left"/>
      <w:pPr>
        <w:tabs>
          <w:tab w:val="left" w:pos="720"/>
        </w:tabs>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8">
    <w:multiLevelType w:val="hybridMultilevel"/>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start w:val="1"/>
      <w:numFmt w:val="bullet"/>
      <w:suff w:val="tab"/>
      <w:lvlText w:val="o"/>
      <w:lvlJc w:val="left"/>
      <w:pPr>
        <w:tabs>
          <w:tab w:val="left" w:pos="720"/>
        </w:tabs>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start w:val="1"/>
      <w:numFmt w:val="bullet"/>
      <w:suff w:val="tab"/>
      <w:lvlText w:val="▪"/>
      <w:lvlJc w:val="left"/>
      <w:pPr>
        <w:tabs>
          <w:tab w:val="left" w:pos="720"/>
        </w:tabs>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start w:val="1"/>
      <w:numFmt w:val="bullet"/>
      <w:suff w:val="tab"/>
      <w:lvlText w:val="▪"/>
      <w:lvlJc w:val="left"/>
      <w:pPr>
        <w:tabs>
          <w:tab w:val="left" w:pos="720"/>
        </w:tabs>
        <w:ind w:left="28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start w:val="1"/>
      <w:numFmt w:val="bullet"/>
      <w:suff w:val="tab"/>
      <w:lvlText w:val="▪"/>
      <w:lvlJc w:val="left"/>
      <w:pPr>
        <w:tabs>
          <w:tab w:val="left" w:pos="720"/>
        </w:tabs>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start w:val="1"/>
      <w:numFmt w:val="bullet"/>
      <w:suff w:val="tab"/>
      <w:lvlText w:val="▪"/>
      <w:lvlJc w:val="left"/>
      <w:pPr>
        <w:tabs>
          <w:tab w:val="left" w:pos="720"/>
        </w:tabs>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start w:val="1"/>
      <w:numFmt w:val="bullet"/>
      <w:suff w:val="tab"/>
      <w:lvlText w:val="▪"/>
      <w:lvlJc w:val="left"/>
      <w:pPr>
        <w:tabs>
          <w:tab w:val="left" w:pos="720"/>
        </w:tabs>
        <w:ind w:left="50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start w:val="1"/>
      <w:numFmt w:val="bullet"/>
      <w:suff w:val="tab"/>
      <w:lvlText w:val="▪"/>
      <w:lvlJc w:val="left"/>
      <w:pPr>
        <w:tabs>
          <w:tab w:val="left" w:pos="720"/>
        </w:tabs>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start w:val="1"/>
      <w:numFmt w:val="bullet"/>
      <w:suff w:val="tab"/>
      <w:lvlText w:val="▪"/>
      <w:lvlJc w:val="left"/>
      <w:pPr>
        <w:tabs>
          <w:tab w:val="left" w:pos="720"/>
        </w:tabs>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9">
    <w:multiLevelType w:val="hybridMultilevel"/>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start w:val="1"/>
      <w:numFmt w:val="bullet"/>
      <w:suff w:val="tab"/>
      <w:lvlText w:val="o"/>
      <w:lvlJc w:val="left"/>
      <w:pPr>
        <w:tabs>
          <w:tab w:val="left" w:pos="720"/>
        </w:tabs>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start w:val="1"/>
      <w:numFmt w:val="bullet"/>
      <w:suff w:val="tab"/>
      <w:lvlText w:val="▪"/>
      <w:lvlJc w:val="left"/>
      <w:pPr>
        <w:tabs>
          <w:tab w:val="left" w:pos="720"/>
        </w:tabs>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start w:val="1"/>
      <w:numFmt w:val="bullet"/>
      <w:suff w:val="tab"/>
      <w:lvlText w:val="▪"/>
      <w:lvlJc w:val="left"/>
      <w:pPr>
        <w:tabs>
          <w:tab w:val="left" w:pos="720"/>
        </w:tabs>
        <w:ind w:left="28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start w:val="1"/>
      <w:numFmt w:val="bullet"/>
      <w:suff w:val="tab"/>
      <w:lvlText w:val="▪"/>
      <w:lvlJc w:val="left"/>
      <w:pPr>
        <w:tabs>
          <w:tab w:val="left" w:pos="720"/>
        </w:tabs>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start w:val="1"/>
      <w:numFmt w:val="bullet"/>
      <w:suff w:val="tab"/>
      <w:lvlText w:val="▪"/>
      <w:lvlJc w:val="left"/>
      <w:pPr>
        <w:tabs>
          <w:tab w:val="left" w:pos="720"/>
        </w:tabs>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start w:val="1"/>
      <w:numFmt w:val="bullet"/>
      <w:suff w:val="tab"/>
      <w:lvlText w:val="▪"/>
      <w:lvlJc w:val="left"/>
      <w:pPr>
        <w:tabs>
          <w:tab w:val="left" w:pos="720"/>
        </w:tabs>
        <w:ind w:left="50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start w:val="1"/>
      <w:numFmt w:val="bullet"/>
      <w:suff w:val="tab"/>
      <w:lvlText w:val="▪"/>
      <w:lvlJc w:val="left"/>
      <w:pPr>
        <w:tabs>
          <w:tab w:val="left" w:pos="720"/>
        </w:tabs>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start w:val="1"/>
      <w:numFmt w:val="bullet"/>
      <w:suff w:val="tab"/>
      <w:lvlText w:val="▪"/>
      <w:lvlJc w:val="left"/>
      <w:pPr>
        <w:tabs>
          <w:tab w:val="left" w:pos="720"/>
        </w:tabs>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 w:numId="10">
    <w:abstractNumId w:val="9"/>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680"/>
        <w:tab w:val="right" w:pos="9360"/>
      </w:tabs>
      <w:suppressAutoHyphens w:val="0"/>
      <w:bidi w:val="0"/>
      <w:spacing w:before="0" w:after="0" w:line="240"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76"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style>
  <w:style w:type="paragraph" w:styleId="TOC Heading">
    <w:name w:val="TOC Heading"/>
    <w:next w:val="Body"/>
    <w:pPr>
      <w:keepNext w:val="1"/>
      <w:keepLines w:val="1"/>
      <w:pageBreakBefore w:val="0"/>
      <w:widowControl w:val="1"/>
      <w:shd w:val="clear" w:color="auto" w:fill="auto"/>
      <w:suppressAutoHyphens w:val="0"/>
      <w:bidi w:val="0"/>
      <w:spacing w:before="240" w:after="0" w:line="259"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365f91"/>
      <w:spacing w:val="0"/>
      <w:kern w:val="0"/>
      <w:position w:val="0"/>
      <w:sz w:val="32"/>
      <w:szCs w:val="32"/>
      <w:u w:val="none" w:color="365f91"/>
      <w:shd w:val="nil" w:color="auto" w:fill="auto"/>
      <w:vertAlign w:val="baseline"/>
      <w:lang w:val="en-US"/>
      <w14:textFill>
        <w14:solidFill>
          <w14:srgbClr w14:val="365F91"/>
        </w14:solidFill>
      </w14:textFill>
    </w:rPr>
  </w:style>
  <w:style w:type="paragraph" w:styleId="TOC 1">
    <w:name w:val="TOC 1"/>
    <w:next w:val="TOC 1"/>
    <w:pPr>
      <w:keepNext w:val="0"/>
      <w:keepLines w:val="0"/>
      <w:pageBreakBefore w:val="0"/>
      <w:widowControl w:val="1"/>
      <w:shd w:val="clear" w:color="auto" w:fill="auto"/>
      <w:tabs>
        <w:tab w:val="right" w:pos="8620" w:leader="dot"/>
      </w:tabs>
      <w:suppressAutoHyphens w:val="0"/>
      <w:bidi w:val="0"/>
      <w:spacing w:before="0" w:after="100" w:line="480" w:lineRule="auto"/>
      <w:ind w:left="0" w:right="0" w:firstLine="0"/>
      <w:jc w:val="both"/>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w:name w:val="Heading"/>
    <w:next w:val="Body"/>
    <w:pPr>
      <w:keepNext w:val="1"/>
      <w:keepLines w:val="1"/>
      <w:pageBreakBefore w:val="0"/>
      <w:widowControl w:val="1"/>
      <w:shd w:val="clear" w:color="auto" w:fill="auto"/>
      <w:suppressAutoHyphens w:val="0"/>
      <w:bidi w:val="0"/>
      <w:spacing w:before="400" w:after="120" w:line="276" w:lineRule="auto"/>
      <w:ind w:left="0" w:right="0" w:firstLine="0"/>
      <w:jc w:val="both"/>
      <w:outlineLvl w:val="0"/>
    </w:pPr>
    <w:rPr>
      <w:rFonts w:ascii="Arial" w:cs="Arial" w:hAnsi="Arial" w:eastAsia="Arial"/>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14:textOutline>
        <w14:noFill/>
      </w14:textOutline>
      <w14:textFill>
        <w14:solidFill>
          <w14:srgbClr w14:val="000000"/>
        </w14:solidFill>
      </w14:textFill>
    </w:rPr>
  </w:style>
  <w:style w:type="paragraph" w:styleId="TOC 2">
    <w:name w:val="TOC 2"/>
    <w:next w:val="TOC 2"/>
    <w:pPr>
      <w:keepNext w:val="0"/>
      <w:keepLines w:val="0"/>
      <w:pageBreakBefore w:val="0"/>
      <w:widowControl w:val="1"/>
      <w:shd w:val="clear" w:color="auto" w:fill="auto"/>
      <w:tabs>
        <w:tab w:val="right" w:pos="8620" w:leader="dot"/>
      </w:tabs>
      <w:suppressAutoHyphens w:val="0"/>
      <w:bidi w:val="0"/>
      <w:spacing w:before="0" w:after="100" w:line="480" w:lineRule="auto"/>
      <w:ind w:left="220" w:right="0" w:firstLine="0"/>
      <w:jc w:val="both"/>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2">
    <w:name w:val="Heading 2"/>
    <w:next w:val="Body"/>
    <w:pPr>
      <w:keepNext w:val="1"/>
      <w:keepLines w:val="1"/>
      <w:pageBreakBefore w:val="0"/>
      <w:widowControl w:val="1"/>
      <w:shd w:val="clear" w:color="auto" w:fill="auto"/>
      <w:suppressAutoHyphens w:val="0"/>
      <w:bidi w:val="0"/>
      <w:spacing w:before="360" w:after="120" w:line="480" w:lineRule="auto"/>
      <w:ind w:left="0" w:right="0" w:firstLine="0"/>
      <w:jc w:val="both"/>
      <w:outlineLvl w:val="1"/>
    </w:pPr>
    <w:rPr>
      <w:rFonts w:ascii="Arial" w:cs="Arial" w:hAnsi="Arial" w:eastAsia="Arial"/>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character" w:styleId="Link">
    <w:name w:val="Link"/>
    <w:rPr>
      <w:outline w:val="0"/>
      <w:color w:val="0000ff"/>
      <w:u w:val="single" w:color="0000ff"/>
      <w14:textFill>
        <w14:solidFill>
          <w14:srgbClr w14:val="0000FF"/>
        </w14:solidFill>
      </w14:textFill>
    </w:rPr>
  </w:style>
  <w:style w:type="character" w:styleId="Hyperlink.0">
    <w:name w:val="Hyperlink.0"/>
    <w:basedOn w:val="Link"/>
    <w:next w:val="Hyperlink.0"/>
    <w:rPr>
      <w:outline w:val="0"/>
      <w:color w:val="000000"/>
      <w:u w:val="none" w:color="000000"/>
      <w:lang w:val="en-US"/>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image" Target="media/image4.png"/><Relationship Id="rId8" Type="http://schemas.openxmlformats.org/officeDocument/2006/relationships/image" Target="media/image5.png"/><Relationship Id="rId9" Type="http://schemas.openxmlformats.org/officeDocument/2006/relationships/header" Target="header1.xml"/><Relationship Id="rId10" Type="http://schemas.openxmlformats.org/officeDocument/2006/relationships/footer" Target="footer1.xml"/><Relationship Id="rId11" Type="http://schemas.openxmlformats.org/officeDocument/2006/relationships/numbering" Target="numbering.xml"/><Relationship Id="rId12"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