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53753130"/>
        <w:docPartObj>
          <w:docPartGallery w:val="Cover Pages"/>
          <w:docPartUnique/>
        </w:docPartObj>
      </w:sdtPr>
      <w:sdtEndPr>
        <w:rPr>
          <w:rFonts w:ascii="Arial" w:eastAsiaTheme="minorHAnsi" w:hAnsi="Arial" w:cs="Arial"/>
          <w:b/>
          <w:bCs/>
          <w:kern w:val="2"/>
          <w:sz w:val="24"/>
          <w:szCs w:val="24"/>
          <w:lang w:val="en-GB"/>
          <w14:ligatures w14:val="standardContextual"/>
        </w:rPr>
      </w:sdtEndPr>
      <w:sdtContent>
        <w:p w14:paraId="295A0211" w14:textId="55233DD2" w:rsidR="008F7EF5" w:rsidRDefault="008F7EF5">
          <w:pPr>
            <w:pStyle w:val="NoSpacing"/>
          </w:pPr>
        </w:p>
        <w:p w14:paraId="320BF4D6" w14:textId="77777777" w:rsidR="008F7EF5" w:rsidRDefault="008F7EF5">
          <w:pPr>
            <w:pStyle w:val="NoSpacing"/>
          </w:pPr>
        </w:p>
        <w:p w14:paraId="34C66FAC" w14:textId="77777777" w:rsidR="008F7EF5" w:rsidRDefault="008F7EF5">
          <w:pPr>
            <w:pStyle w:val="NoSpacing"/>
          </w:pPr>
        </w:p>
        <w:p w14:paraId="752E627C" w14:textId="77777777" w:rsidR="008F7EF5" w:rsidRDefault="008F7EF5">
          <w:pPr>
            <w:pStyle w:val="NoSpacing"/>
          </w:pPr>
        </w:p>
        <w:p w14:paraId="01DD2E50" w14:textId="77777777" w:rsidR="008F7EF5" w:rsidRDefault="008F7EF5">
          <w:pPr>
            <w:pStyle w:val="NoSpacing"/>
          </w:pPr>
        </w:p>
        <w:p w14:paraId="2DF5CF0C" w14:textId="77777777" w:rsidR="008F7EF5" w:rsidRDefault="008F7EF5">
          <w:pPr>
            <w:pStyle w:val="NoSpacing"/>
          </w:pPr>
        </w:p>
        <w:p w14:paraId="183D007C" w14:textId="77777777" w:rsidR="008F7EF5" w:rsidRDefault="008F7EF5">
          <w:pPr>
            <w:pStyle w:val="NoSpacing"/>
          </w:pPr>
        </w:p>
        <w:p w14:paraId="2C7D3E0F" w14:textId="77777777" w:rsidR="008F7EF5" w:rsidRDefault="008F7EF5">
          <w:pPr>
            <w:pStyle w:val="NoSpacing"/>
          </w:pPr>
        </w:p>
        <w:p w14:paraId="5140CFC4" w14:textId="77777777" w:rsidR="008F7EF5" w:rsidRDefault="008F7EF5">
          <w:pPr>
            <w:pStyle w:val="NoSpacing"/>
          </w:pPr>
        </w:p>
        <w:p w14:paraId="53F26F45" w14:textId="77777777" w:rsidR="008F7EF5" w:rsidRDefault="008F7EF5">
          <w:pPr>
            <w:pStyle w:val="NoSpacing"/>
          </w:pPr>
        </w:p>
        <w:p w14:paraId="1BF696B6" w14:textId="77777777" w:rsidR="008F7EF5" w:rsidRDefault="008F7EF5">
          <w:pPr>
            <w:pStyle w:val="NoSpacing"/>
          </w:pPr>
        </w:p>
        <w:p w14:paraId="55E9F202" w14:textId="77777777" w:rsidR="008F7EF5" w:rsidRDefault="008F7EF5">
          <w:pPr>
            <w:pStyle w:val="NoSpacing"/>
          </w:pPr>
        </w:p>
        <w:p w14:paraId="1C0066B2" w14:textId="77777777" w:rsidR="008F7EF5" w:rsidRDefault="008F7EF5">
          <w:pPr>
            <w:pStyle w:val="NoSpacing"/>
          </w:pPr>
        </w:p>
        <w:p w14:paraId="3596C636" w14:textId="77777777" w:rsidR="008F7EF5" w:rsidRDefault="008F7EF5">
          <w:pPr>
            <w:pStyle w:val="NoSpacing"/>
          </w:pPr>
        </w:p>
        <w:p w14:paraId="2AECDEBB" w14:textId="77777777" w:rsidR="008F7EF5" w:rsidRDefault="008F7EF5">
          <w:pPr>
            <w:pStyle w:val="NoSpacing"/>
          </w:pPr>
        </w:p>
        <w:p w14:paraId="3BDBFE32" w14:textId="77777777" w:rsidR="008F7EF5" w:rsidRDefault="008F7EF5">
          <w:pPr>
            <w:pStyle w:val="NoSpacing"/>
          </w:pPr>
        </w:p>
        <w:p w14:paraId="5FFE3DD9" w14:textId="77777777" w:rsidR="008F7EF5" w:rsidRDefault="008F7EF5">
          <w:pPr>
            <w:pStyle w:val="NoSpacing"/>
          </w:pPr>
        </w:p>
        <w:p w14:paraId="4D9E1EBE" w14:textId="77777777" w:rsidR="008F7EF5" w:rsidRDefault="008F7EF5">
          <w:pPr>
            <w:pStyle w:val="NoSpacing"/>
          </w:pPr>
        </w:p>
        <w:p w14:paraId="2A88A962" w14:textId="77777777" w:rsidR="008F7EF5" w:rsidRDefault="008F7EF5">
          <w:pPr>
            <w:pStyle w:val="NoSpacing"/>
          </w:pPr>
        </w:p>
        <w:p w14:paraId="66C08DAF" w14:textId="77777777" w:rsidR="008F7EF5" w:rsidRDefault="008F7EF5">
          <w:pPr>
            <w:pStyle w:val="NoSpacing"/>
          </w:pPr>
        </w:p>
        <w:p w14:paraId="511A05A1" w14:textId="77777777" w:rsidR="008F7EF5" w:rsidRDefault="008F7EF5">
          <w:pPr>
            <w:pStyle w:val="NoSpacing"/>
          </w:pPr>
        </w:p>
        <w:p w14:paraId="167A9C62" w14:textId="77777777" w:rsidR="008F7EF5" w:rsidRDefault="008F7EF5">
          <w:pPr>
            <w:pStyle w:val="NoSpacing"/>
          </w:pPr>
        </w:p>
        <w:p w14:paraId="16A3673B" w14:textId="77777777" w:rsidR="008F7EF5" w:rsidRDefault="008F7EF5">
          <w:pPr>
            <w:pStyle w:val="NoSpacing"/>
          </w:pPr>
        </w:p>
        <w:p w14:paraId="67A4B401" w14:textId="77777777" w:rsidR="008F7EF5" w:rsidRDefault="008F7EF5">
          <w:pPr>
            <w:pStyle w:val="NoSpacing"/>
          </w:pPr>
        </w:p>
        <w:p w14:paraId="23789FC1" w14:textId="77777777" w:rsidR="008F7EF5" w:rsidRDefault="008F7EF5">
          <w:pPr>
            <w:pStyle w:val="NoSpacing"/>
          </w:pPr>
        </w:p>
        <w:p w14:paraId="2F168AFA" w14:textId="77777777" w:rsidR="008F7EF5" w:rsidRDefault="008F7EF5">
          <w:pPr>
            <w:pStyle w:val="NoSpacing"/>
          </w:pPr>
        </w:p>
        <w:p w14:paraId="0526E2FD" w14:textId="77777777" w:rsidR="008F7EF5" w:rsidRDefault="008F7EF5">
          <w:pPr>
            <w:pStyle w:val="NoSpacing"/>
          </w:pPr>
        </w:p>
        <w:p w14:paraId="5B7C41AC" w14:textId="77777777" w:rsidR="008F7EF5" w:rsidRDefault="008F7EF5">
          <w:pPr>
            <w:pStyle w:val="NoSpacing"/>
          </w:pPr>
        </w:p>
        <w:p w14:paraId="47D9F7DF" w14:textId="77777777" w:rsidR="008F7EF5" w:rsidRDefault="008F7EF5">
          <w:pPr>
            <w:pStyle w:val="NoSpacing"/>
          </w:pPr>
        </w:p>
        <w:p w14:paraId="75A3B61C" w14:textId="77777777" w:rsidR="008F7EF5" w:rsidRDefault="008F7EF5">
          <w:pPr>
            <w:pStyle w:val="NoSpacing"/>
          </w:pPr>
        </w:p>
        <w:p w14:paraId="7F9AA80E" w14:textId="77777777" w:rsidR="008F7EF5" w:rsidRDefault="008F7EF5">
          <w:pPr>
            <w:pStyle w:val="NoSpacing"/>
          </w:pPr>
        </w:p>
        <w:p w14:paraId="61785FCE" w14:textId="77777777" w:rsidR="008F7EF5" w:rsidRDefault="008F7EF5">
          <w:pPr>
            <w:pStyle w:val="NoSpacing"/>
          </w:pPr>
        </w:p>
        <w:p w14:paraId="4292F8C1" w14:textId="77777777" w:rsidR="008F7EF5" w:rsidRDefault="008F7EF5">
          <w:pPr>
            <w:pStyle w:val="NoSpacing"/>
          </w:pPr>
        </w:p>
        <w:p w14:paraId="7C0460B4" w14:textId="77777777" w:rsidR="008F7EF5" w:rsidRDefault="008F7EF5">
          <w:pPr>
            <w:pStyle w:val="NoSpacing"/>
          </w:pPr>
        </w:p>
        <w:p w14:paraId="22F6E212" w14:textId="77777777" w:rsidR="008F7EF5" w:rsidRDefault="008F7EF5">
          <w:pPr>
            <w:pStyle w:val="NoSpacing"/>
          </w:pPr>
        </w:p>
        <w:p w14:paraId="1121781E" w14:textId="77777777" w:rsidR="008F7EF5" w:rsidRDefault="008F7EF5">
          <w:pPr>
            <w:pStyle w:val="NoSpacing"/>
          </w:pPr>
        </w:p>
        <w:p w14:paraId="2FCAC95B" w14:textId="77777777" w:rsidR="008F7EF5" w:rsidRDefault="008F7EF5">
          <w:pPr>
            <w:pStyle w:val="NoSpacing"/>
          </w:pPr>
        </w:p>
        <w:p w14:paraId="16012429" w14:textId="77777777" w:rsidR="008F7EF5" w:rsidRDefault="008F7EF5">
          <w:pPr>
            <w:pStyle w:val="NoSpacing"/>
          </w:pPr>
        </w:p>
        <w:p w14:paraId="39097856" w14:textId="77777777" w:rsidR="008F7EF5" w:rsidRDefault="008F7EF5">
          <w:pPr>
            <w:pStyle w:val="NoSpacing"/>
          </w:pPr>
        </w:p>
        <w:p w14:paraId="14704D71" w14:textId="77777777" w:rsidR="008F7EF5" w:rsidRDefault="008F7EF5">
          <w:pPr>
            <w:pStyle w:val="NoSpacing"/>
          </w:pPr>
        </w:p>
        <w:p w14:paraId="42C29E0B" w14:textId="77777777" w:rsidR="008F7EF5" w:rsidRDefault="008F7EF5">
          <w:pPr>
            <w:pStyle w:val="NoSpacing"/>
          </w:pPr>
        </w:p>
        <w:p w14:paraId="114C1997" w14:textId="77777777" w:rsidR="008F7EF5" w:rsidRDefault="008F7EF5">
          <w:pPr>
            <w:pStyle w:val="NoSpacing"/>
          </w:pPr>
        </w:p>
        <w:p w14:paraId="213F60AC" w14:textId="77777777" w:rsidR="008F7EF5" w:rsidRDefault="008F7EF5">
          <w:pPr>
            <w:pStyle w:val="NoSpacing"/>
          </w:pPr>
        </w:p>
        <w:p w14:paraId="34846FDD" w14:textId="77777777" w:rsidR="008F7EF5" w:rsidRDefault="008F7EF5">
          <w:pPr>
            <w:pStyle w:val="NoSpacing"/>
          </w:pPr>
        </w:p>
        <w:p w14:paraId="21D60D0A" w14:textId="77777777" w:rsidR="008F7EF5" w:rsidRDefault="008F7EF5">
          <w:pPr>
            <w:pStyle w:val="NoSpacing"/>
          </w:pPr>
        </w:p>
        <w:p w14:paraId="0F25D23E" w14:textId="7F86CB58" w:rsidR="008F7EF5" w:rsidRPr="008F7EF5" w:rsidRDefault="008F7EF5" w:rsidP="008F7EF5">
          <w:pPr>
            <w:pStyle w:val="NoSpacing"/>
            <w:rPr>
              <w:rFonts w:ascii="Arial" w:eastAsiaTheme="minorHAnsi" w:hAnsi="Arial" w:cs="Arial"/>
              <w:b/>
              <w:bCs/>
              <w:kern w:val="2"/>
              <w:sz w:val="24"/>
              <w:szCs w:val="24"/>
              <w:lang w:val="en-GB"/>
              <w14:ligatures w14:val="standardContextual"/>
            </w:rPr>
          </w:pPr>
          <w:r w:rsidRPr="008F7EF5">
            <w:rPr>
              <w:rFonts w:ascii="Arial" w:eastAsiaTheme="minorHAnsi" w:hAnsi="Arial" w:cs="Arial"/>
              <w:b/>
              <w:bCs/>
              <w:kern w:val="2"/>
              <w:sz w:val="24"/>
              <w:szCs w:val="24"/>
              <w:lang w:val="en-GB"/>
              <w14:ligatures w14:val="standardContextual"/>
            </w:rPr>
            <w:t>Student name:</w:t>
          </w:r>
          <w:r>
            <w:rPr>
              <w:rFonts w:ascii="Arial" w:eastAsiaTheme="minorHAnsi" w:hAnsi="Arial" w:cs="Arial"/>
              <w:b/>
              <w:bCs/>
              <w:kern w:val="2"/>
              <w:sz w:val="24"/>
              <w:szCs w:val="24"/>
              <w:lang w:val="en-GB"/>
              <w14:ligatures w14:val="standardContextual"/>
            </w:rPr>
            <w:t xml:space="preserve"> Ana Maria Rosu</w:t>
          </w:r>
          <w:r w:rsidRPr="008F7EF5">
            <w:rPr>
              <w:rFonts w:ascii="Arial" w:eastAsiaTheme="minorHAnsi" w:hAnsi="Arial" w:cs="Arial"/>
              <w:b/>
              <w:bCs/>
              <w:kern w:val="2"/>
              <w:sz w:val="24"/>
              <w:szCs w:val="24"/>
              <w:lang w:val="en-GB"/>
              <w14:ligatures w14:val="standardContextual"/>
            </w:rPr>
            <w:tab/>
            <w:t xml:space="preserve">     </w:t>
          </w:r>
        </w:p>
        <w:p w14:paraId="38FF4A53" w14:textId="63C562A3" w:rsidR="008F7EF5" w:rsidRPr="008F7EF5" w:rsidRDefault="008F7EF5" w:rsidP="008F7EF5">
          <w:pPr>
            <w:pStyle w:val="NoSpacing"/>
            <w:rPr>
              <w:rFonts w:ascii="Arial" w:eastAsiaTheme="minorHAnsi" w:hAnsi="Arial" w:cs="Arial"/>
              <w:b/>
              <w:bCs/>
              <w:kern w:val="2"/>
              <w:sz w:val="24"/>
              <w:szCs w:val="24"/>
              <w:lang w:val="en-GB"/>
              <w14:ligatures w14:val="standardContextual"/>
            </w:rPr>
          </w:pPr>
          <w:r w:rsidRPr="008F7EF5">
            <w:rPr>
              <w:rFonts w:ascii="Arial" w:eastAsiaTheme="minorHAnsi" w:hAnsi="Arial" w:cs="Arial"/>
              <w:b/>
              <w:bCs/>
              <w:kern w:val="2"/>
              <w:sz w:val="24"/>
              <w:szCs w:val="24"/>
              <w:lang w:val="en-GB"/>
              <w14:ligatures w14:val="standardContextual"/>
            </w:rPr>
            <w:t>Programme:</w:t>
          </w:r>
          <w:r w:rsidRPr="008F7EF5">
            <w:rPr>
              <w:rFonts w:ascii="Arial" w:eastAsiaTheme="minorHAnsi" w:hAnsi="Arial" w:cs="Arial"/>
              <w:b/>
              <w:bCs/>
              <w:kern w:val="2"/>
              <w:sz w:val="24"/>
              <w:szCs w:val="24"/>
              <w:lang w:val="en-GB"/>
              <w14:ligatures w14:val="standardContextual"/>
            </w:rPr>
            <w:tab/>
            <w:t>CertHE Sustainable Enterprise (Rural)</w:t>
          </w:r>
        </w:p>
        <w:p w14:paraId="34D315AA" w14:textId="30D600F6" w:rsidR="008F7EF5" w:rsidRPr="008F7EF5" w:rsidRDefault="008F7EF5" w:rsidP="008F7EF5">
          <w:pPr>
            <w:pStyle w:val="NoSpacing"/>
            <w:rPr>
              <w:rFonts w:ascii="Arial" w:eastAsiaTheme="minorHAnsi" w:hAnsi="Arial" w:cs="Arial"/>
              <w:b/>
              <w:bCs/>
              <w:kern w:val="2"/>
              <w:sz w:val="24"/>
              <w:szCs w:val="24"/>
              <w:lang w:val="en-GB"/>
              <w14:ligatures w14:val="standardContextual"/>
            </w:rPr>
          </w:pPr>
          <w:r w:rsidRPr="008F7EF5">
            <w:rPr>
              <w:rFonts w:ascii="Arial" w:eastAsiaTheme="minorHAnsi" w:hAnsi="Arial" w:cs="Arial"/>
              <w:b/>
              <w:bCs/>
              <w:kern w:val="2"/>
              <w:sz w:val="24"/>
              <w:szCs w:val="24"/>
              <w:lang w:val="en-GB"/>
              <w14:ligatures w14:val="standardContextual"/>
            </w:rPr>
            <w:t>Module:</w:t>
          </w:r>
          <w:r>
            <w:rPr>
              <w:rFonts w:ascii="Arial" w:eastAsiaTheme="minorHAnsi" w:hAnsi="Arial" w:cs="Arial"/>
              <w:b/>
              <w:bCs/>
              <w:kern w:val="2"/>
              <w:sz w:val="24"/>
              <w:szCs w:val="24"/>
              <w:lang w:val="en-GB"/>
              <w14:ligatures w14:val="standardContextual"/>
            </w:rPr>
            <w:t xml:space="preserve"> </w:t>
          </w:r>
          <w:r w:rsidRPr="008F7EF5">
            <w:rPr>
              <w:rFonts w:ascii="Arial" w:eastAsiaTheme="minorHAnsi" w:hAnsi="Arial" w:cs="Arial"/>
              <w:b/>
              <w:bCs/>
              <w:kern w:val="2"/>
              <w:sz w:val="24"/>
              <w:szCs w:val="24"/>
              <w:lang w:val="en-GB"/>
              <w14:ligatures w14:val="standardContextual"/>
            </w:rPr>
            <w:t>Digital Marketing</w:t>
          </w:r>
        </w:p>
        <w:p w14:paraId="2C4F2EE3" w14:textId="31F58DB4" w:rsidR="008F7EF5" w:rsidRDefault="008F7EF5" w:rsidP="008F7EF5">
          <w:pPr>
            <w:rPr>
              <w:rFonts w:ascii="Arial" w:hAnsi="Arial" w:cs="Arial"/>
              <w:b/>
              <w:bCs/>
            </w:rPr>
          </w:pPr>
          <w:r w:rsidRPr="008F7EF5">
            <w:rPr>
              <w:rFonts w:ascii="Arial" w:hAnsi="Arial" w:cs="Arial"/>
              <w:b/>
              <w:bCs/>
            </w:rPr>
            <w:t>Module code:</w:t>
          </w:r>
          <w:r>
            <w:rPr>
              <w:rFonts w:ascii="Arial" w:hAnsi="Arial" w:cs="Arial"/>
              <w:b/>
              <w:bCs/>
            </w:rPr>
            <w:t xml:space="preserve"> </w:t>
          </w:r>
          <w:r w:rsidRPr="008F7EF5">
            <w:rPr>
              <w:rFonts w:ascii="Arial" w:hAnsi="Arial" w:cs="Arial"/>
              <w:b/>
              <w:bCs/>
            </w:rPr>
            <w:t>BMSE4008D</w:t>
          </w:r>
          <w:r>
            <w:rPr>
              <w:noProof/>
            </w:rPr>
            <mc:AlternateContent>
              <mc:Choice Requires="wps">
                <w:drawing>
                  <wp:anchor distT="0" distB="0" distL="114300" distR="114300" simplePos="0" relativeHeight="251660288" behindDoc="0" locked="0" layoutInCell="1" allowOverlap="1" wp14:anchorId="2A7A1E53" wp14:editId="5DAAAA59">
                    <wp:simplePos x="0" y="0"/>
                    <wp:positionH relativeFrom="margin">
                      <wp:align>center</wp:align>
                    </wp:positionH>
                    <wp:positionV relativeFrom="page">
                      <wp:posOffset>3816283</wp:posOffset>
                    </wp:positionV>
                    <wp:extent cx="5074319" cy="1069340"/>
                    <wp:effectExtent l="0" t="0" r="12065" b="635"/>
                    <wp:wrapNone/>
                    <wp:docPr id="1" name="Text Box 30"/>
                    <wp:cNvGraphicFramePr/>
                    <a:graphic xmlns:a="http://schemas.openxmlformats.org/drawingml/2006/main">
                      <a:graphicData uri="http://schemas.microsoft.com/office/word/2010/wordprocessingShape">
                        <wps:wsp>
                          <wps:cNvSpPr txBox="1"/>
                          <wps:spPr>
                            <a:xfrm>
                              <a:off x="0" y="0"/>
                              <a:ext cx="5074319"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8DAA8" w14:textId="15A0EEDA" w:rsidR="008F7EF5" w:rsidRPr="008F7EF5" w:rsidRDefault="008F7EF5">
                                <w:pPr>
                                  <w:pStyle w:val="NoSpacing"/>
                                  <w:rPr>
                                    <w:rFonts w:ascii="Arial Black" w:eastAsiaTheme="majorEastAsia" w:hAnsi="Arial Black" w:cstheme="majorBidi"/>
                                    <w:color w:val="262626" w:themeColor="text1" w:themeTint="D9"/>
                                    <w:sz w:val="72"/>
                                  </w:rPr>
                                </w:pPr>
                                <w:sdt>
                                  <w:sdtPr>
                                    <w:rPr>
                                      <w:rFonts w:ascii="Arial Black" w:eastAsiaTheme="majorEastAsia" w:hAnsi="Arial Black"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F7EF5">
                                      <w:rPr>
                                        <w:rFonts w:ascii="Arial Black" w:eastAsiaTheme="majorEastAsia" w:hAnsi="Arial Black" w:cstheme="majorBidi"/>
                                        <w:color w:val="262626" w:themeColor="text1" w:themeTint="D9"/>
                                        <w:sz w:val="72"/>
                                        <w:szCs w:val="72"/>
                                      </w:rPr>
                                      <w:t>REPORT: ASSIGNMENT 2</w:t>
                                    </w:r>
                                  </w:sdtContent>
                                </w:sdt>
                              </w:p>
                              <w:p w14:paraId="1F092A69" w14:textId="6B3BE1D0" w:rsidR="008F7EF5" w:rsidRPr="008F7EF5" w:rsidRDefault="008F7EF5">
                                <w:pPr>
                                  <w:spacing w:before="120"/>
                                  <w:rPr>
                                    <w:rFonts w:ascii="Arial Black" w:hAnsi="Arial Black"/>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A7A1E53" id="_x0000_t202" coordsize="21600,21600" o:spt="202" path="m,l,21600r21600,l21600,xe">
                    <v:stroke joinstyle="miter"/>
                    <v:path gradientshapeok="t" o:connecttype="rect"/>
                  </v:shapetype>
                  <v:shape id="Text Box 30" o:spid="_x0000_s1026" type="#_x0000_t202" style="position:absolute;margin-left:0;margin-top:300.5pt;width:399.55pt;height:84.2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" filled="f" stroked="f" strokeweight=".5pt">
                    <v:textbox style="mso-fit-shape-to-text:t" inset="0,0,0,0">
                      <w:txbxContent>
                        <w:p w14:paraId="4C98DAA8" w14:textId="15A0EEDA" w:rsidR="008F7EF5" w:rsidRPr="008F7EF5" w:rsidRDefault="008F7EF5">
                          <w:pPr>
                            <w:pStyle w:val="NoSpacing"/>
                            <w:rPr>
                              <w:rFonts w:ascii="Arial Black" w:eastAsiaTheme="majorEastAsia" w:hAnsi="Arial Black" w:cstheme="majorBidi"/>
                              <w:color w:val="262626" w:themeColor="text1" w:themeTint="D9"/>
                              <w:sz w:val="72"/>
                            </w:rPr>
                          </w:pPr>
                          <w:sdt>
                            <w:sdtPr>
                              <w:rPr>
                                <w:rFonts w:ascii="Arial Black" w:eastAsiaTheme="majorEastAsia" w:hAnsi="Arial Black"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F7EF5">
                                <w:rPr>
                                  <w:rFonts w:ascii="Arial Black" w:eastAsiaTheme="majorEastAsia" w:hAnsi="Arial Black" w:cstheme="majorBidi"/>
                                  <w:color w:val="262626" w:themeColor="text1" w:themeTint="D9"/>
                                  <w:sz w:val="72"/>
                                  <w:szCs w:val="72"/>
                                </w:rPr>
                                <w:t>REPORT: ASSIGNMENT 2</w:t>
                              </w:r>
                            </w:sdtContent>
                          </w:sdt>
                        </w:p>
                        <w:p w14:paraId="1F092A69" w14:textId="6B3BE1D0" w:rsidR="008F7EF5" w:rsidRPr="008F7EF5" w:rsidRDefault="008F7EF5">
                          <w:pPr>
                            <w:spacing w:before="120"/>
                            <w:rPr>
                              <w:rFonts w:ascii="Arial Black" w:hAnsi="Arial Black"/>
                              <w:color w:val="404040" w:themeColor="text1" w:themeTint="BF"/>
                              <w:sz w:val="36"/>
                              <w:szCs w:val="36"/>
                            </w:rPr>
                          </w:pPr>
                        </w:p>
                      </w:txbxContent>
                    </v:textbox>
                    <w10:wrap anchorx="margin" anchory="page"/>
                  </v:shape>
                </w:pict>
              </mc:Fallback>
            </mc:AlternateContent>
          </w:r>
          <w:r>
            <w:rPr>
              <w:rFonts w:ascii="Arial" w:hAnsi="Arial" w:cs="Arial"/>
              <w:b/>
              <w:bCs/>
            </w:rPr>
            <w:br w:type="page"/>
          </w:r>
        </w:p>
      </w:sdtContent>
    </w:sdt>
    <w:p w14:paraId="2153AD2F" w14:textId="1704C03A" w:rsidR="009D2F3F" w:rsidRPr="009D2F3F" w:rsidRDefault="009D2F3F" w:rsidP="009D2F3F">
      <w:pPr>
        <w:pStyle w:val="ListParagraph"/>
        <w:numPr>
          <w:ilvl w:val="0"/>
          <w:numId w:val="1"/>
        </w:numPr>
        <w:spacing w:line="480" w:lineRule="auto"/>
        <w:rPr>
          <w:rFonts w:ascii="Arial" w:hAnsi="Arial" w:cs="Arial"/>
          <w:b/>
          <w:bCs/>
        </w:rPr>
      </w:pPr>
      <w:r w:rsidRPr="009D2F3F">
        <w:rPr>
          <w:rFonts w:ascii="Arial" w:hAnsi="Arial" w:cs="Arial"/>
          <w:b/>
          <w:bCs/>
        </w:rPr>
        <w:lastRenderedPageBreak/>
        <w:t xml:space="preserve">Introduction </w:t>
      </w:r>
    </w:p>
    <w:p w14:paraId="535C1BDC" w14:textId="3104D45C" w:rsidR="00263B0A" w:rsidRPr="00263B0A" w:rsidRDefault="00263B0A" w:rsidP="00263B0A">
      <w:pPr>
        <w:spacing w:line="480" w:lineRule="auto"/>
        <w:rPr>
          <w:rFonts w:ascii="Arial" w:hAnsi="Arial" w:cs="Arial"/>
        </w:rPr>
      </w:pPr>
      <w:r w:rsidRPr="00263B0A">
        <w:rPr>
          <w:rFonts w:ascii="Arial" w:hAnsi="Arial" w:cs="Arial"/>
        </w:rPr>
        <w:t>This report provides a digital marketing proposal for Tesco. It includes digital marketing for Tesco's existing online grocery store and mobile app. The proposal targets Generation Z consumers living in the UK, who are characterized as digital natives and use social media heavily, are reliant on their mobile devices, and have changing expectations for brand interactions, sustainability, personali</w:t>
      </w:r>
      <w:r w:rsidR="005B0FCA">
        <w:rPr>
          <w:rFonts w:ascii="Arial" w:hAnsi="Arial" w:cs="Arial"/>
        </w:rPr>
        <w:t>s</w:t>
      </w:r>
      <w:r w:rsidRPr="00263B0A">
        <w:rPr>
          <w:rFonts w:ascii="Arial" w:hAnsi="Arial" w:cs="Arial"/>
        </w:rPr>
        <w:t>ation, and other elements of business.</w:t>
      </w:r>
    </w:p>
    <w:p w14:paraId="600F6AC5" w14:textId="77777777" w:rsidR="00263B0A" w:rsidRPr="00263B0A" w:rsidRDefault="00263B0A" w:rsidP="00263B0A">
      <w:pPr>
        <w:spacing w:line="480" w:lineRule="auto"/>
        <w:rPr>
          <w:rFonts w:ascii="Arial" w:hAnsi="Arial" w:cs="Arial"/>
        </w:rPr>
      </w:pPr>
      <w:r w:rsidRPr="00263B0A">
        <w:rPr>
          <w:rFonts w:ascii="Arial" w:hAnsi="Arial" w:cs="Arial"/>
        </w:rPr>
        <w:t>Even though Tesco is a well-established brand and has the technology to support online grocery shopping, many younger consumers do not feel emotionally connected to or loyal to supermarkets. Therefore, this proposal addresses the increasing amount of digital competition that younger consumers have, as well as the advances in marketing analytics, AI, and customer relationship management (CRM).</w:t>
      </w:r>
    </w:p>
    <w:p w14:paraId="28221701" w14:textId="77777777" w:rsidR="00263B0A" w:rsidRPr="00263B0A" w:rsidRDefault="00263B0A" w:rsidP="00263B0A">
      <w:pPr>
        <w:spacing w:line="480" w:lineRule="auto"/>
        <w:rPr>
          <w:rFonts w:ascii="Arial" w:hAnsi="Arial" w:cs="Arial"/>
        </w:rPr>
      </w:pPr>
      <w:r w:rsidRPr="00263B0A">
        <w:rPr>
          <w:rFonts w:ascii="Arial" w:hAnsi="Arial" w:cs="Arial"/>
        </w:rPr>
        <w:t>To present an effective digital marketing strategy for this new campaign, a range of current models and theories have been applied, including consumer behaviour theory, segmentation and targeting, integrated marketing communications, influencer-based marketing, sustainability-led consumption, and customer lifetime value.</w:t>
      </w:r>
    </w:p>
    <w:p w14:paraId="327E77B8" w14:textId="00067EF7" w:rsidR="00263B0A" w:rsidRPr="00263B0A" w:rsidRDefault="005B0FCA" w:rsidP="00263B0A">
      <w:pPr>
        <w:spacing w:line="480" w:lineRule="auto"/>
        <w:rPr>
          <w:rFonts w:ascii="Arial" w:hAnsi="Arial" w:cs="Arial"/>
        </w:rPr>
      </w:pPr>
      <w:r w:rsidRPr="00263B0A">
        <w:rPr>
          <w:rFonts w:ascii="Arial" w:hAnsi="Arial" w:cs="Arial"/>
        </w:rPr>
        <w:t>To</w:t>
      </w:r>
      <w:r w:rsidR="00263B0A" w:rsidRPr="00263B0A">
        <w:rPr>
          <w:rFonts w:ascii="Arial" w:hAnsi="Arial" w:cs="Arial"/>
        </w:rPr>
        <w:t xml:space="preserve"> positively impact the marketing effectiveness of this digital marketing proposal, Tesco plans to use social media platforms, influencer partnerships, content marketing, and CRM-based personali</w:t>
      </w:r>
      <w:r w:rsidR="009D2F3F">
        <w:rPr>
          <w:rFonts w:ascii="Arial" w:hAnsi="Arial" w:cs="Arial"/>
        </w:rPr>
        <w:t>s</w:t>
      </w:r>
      <w:r w:rsidR="00263B0A" w:rsidRPr="00263B0A">
        <w:rPr>
          <w:rFonts w:ascii="Arial" w:hAnsi="Arial" w:cs="Arial"/>
        </w:rPr>
        <w:t xml:space="preserve">ation to build a strong brand image and create a value-oriented and socially responsible relationship with Generation Z consumers. Effectiveness of the campaign will be evaluated using both short-term metrics to determine engagement and conversion rate performance as well as long-term </w:t>
      </w:r>
      <w:r w:rsidR="00263B0A" w:rsidRPr="00263B0A">
        <w:rPr>
          <w:rFonts w:ascii="Arial" w:hAnsi="Arial" w:cs="Arial"/>
        </w:rPr>
        <w:lastRenderedPageBreak/>
        <w:t xml:space="preserve">indicators of customer lifetime value and loyalty. As outlined in this report, a theory-led approach to digital marketing will help build sustainable growth and a competitive advantage for Tesco in the UK grocery retail industry over </w:t>
      </w:r>
      <w:r w:rsidR="009D2F3F" w:rsidRPr="00263B0A">
        <w:rPr>
          <w:rFonts w:ascii="Arial" w:hAnsi="Arial" w:cs="Arial"/>
        </w:rPr>
        <w:t>time. Over</w:t>
      </w:r>
      <w:r w:rsidR="00263B0A" w:rsidRPr="00263B0A">
        <w:rPr>
          <w:rFonts w:ascii="Arial" w:hAnsi="Arial" w:cs="Arial"/>
        </w:rPr>
        <w:t xml:space="preserve"> the past few years, Grocery Retailing has seen significant changes due to Digital Transformation, with many businesses adopting new technology in response to changing Consumer </w:t>
      </w:r>
      <w:r w:rsidR="009D2F3F" w:rsidRPr="00263B0A">
        <w:rPr>
          <w:rFonts w:ascii="Arial" w:hAnsi="Arial" w:cs="Arial"/>
        </w:rPr>
        <w:t>Behaviour</w:t>
      </w:r>
      <w:r w:rsidR="00263B0A" w:rsidRPr="00263B0A">
        <w:rPr>
          <w:rFonts w:ascii="Arial" w:hAnsi="Arial" w:cs="Arial"/>
        </w:rPr>
        <w:t xml:space="preserve"> relating to accessibility and convenience for purchasing products online via desktops or mobile devices. Digital Interaction is now one of the most significant differentiators between grocery retailers, creating Competitive Advantage.</w:t>
      </w:r>
    </w:p>
    <w:p w14:paraId="4583308E" w14:textId="4696B798" w:rsidR="00263B0A" w:rsidRPr="00263B0A" w:rsidRDefault="00263B0A" w:rsidP="00263B0A">
      <w:pPr>
        <w:spacing w:line="480" w:lineRule="auto"/>
        <w:rPr>
          <w:rFonts w:ascii="Arial" w:hAnsi="Arial" w:cs="Arial"/>
        </w:rPr>
      </w:pPr>
      <w:r w:rsidRPr="00263B0A">
        <w:rPr>
          <w:rFonts w:ascii="Arial" w:hAnsi="Arial" w:cs="Arial"/>
        </w:rPr>
        <w:t xml:space="preserve">These changes are also evident with </w:t>
      </w:r>
      <w:r w:rsidR="009D2F3F">
        <w:rPr>
          <w:rFonts w:ascii="Arial" w:hAnsi="Arial" w:cs="Arial"/>
        </w:rPr>
        <w:t>c</w:t>
      </w:r>
      <w:r w:rsidRPr="00263B0A">
        <w:rPr>
          <w:rFonts w:ascii="Arial" w:hAnsi="Arial" w:cs="Arial"/>
        </w:rPr>
        <w:t xml:space="preserve">onsumers aged 18-25 (Generation Z), who have lived their entire lives in </w:t>
      </w:r>
      <w:r w:rsidR="009D2F3F">
        <w:rPr>
          <w:rFonts w:ascii="Arial" w:hAnsi="Arial" w:cs="Arial"/>
        </w:rPr>
        <w:t>d</w:t>
      </w:r>
      <w:r w:rsidRPr="00263B0A">
        <w:rPr>
          <w:rFonts w:ascii="Arial" w:hAnsi="Arial" w:cs="Arial"/>
        </w:rPr>
        <w:t xml:space="preserve">igital </w:t>
      </w:r>
      <w:r w:rsidR="009D2F3F">
        <w:rPr>
          <w:rFonts w:ascii="Arial" w:hAnsi="Arial" w:cs="Arial"/>
        </w:rPr>
        <w:t>t</w:t>
      </w:r>
      <w:r w:rsidRPr="00263B0A">
        <w:rPr>
          <w:rFonts w:ascii="Arial" w:hAnsi="Arial" w:cs="Arial"/>
        </w:rPr>
        <w:t>echnology/</w:t>
      </w:r>
      <w:r w:rsidR="009D2F3F" w:rsidRPr="00263B0A">
        <w:rPr>
          <w:rFonts w:ascii="Arial" w:hAnsi="Arial" w:cs="Arial"/>
        </w:rPr>
        <w:t>social media</w:t>
      </w:r>
      <w:r w:rsidRPr="00263B0A">
        <w:rPr>
          <w:rFonts w:ascii="Arial" w:hAnsi="Arial" w:cs="Arial"/>
        </w:rPr>
        <w:t xml:space="preserve"> (i.e., Facebook, Instagram) and as such, their behaviour when shopping online (and offline) differs greatly from other generations (Baby Boomers and Gen X). For example: Generation Z tends to prefer visually rich content, interaction via </w:t>
      </w:r>
      <w:r w:rsidR="009D2F3F">
        <w:rPr>
          <w:rFonts w:ascii="Arial" w:hAnsi="Arial" w:cs="Arial"/>
        </w:rPr>
        <w:t>d</w:t>
      </w:r>
      <w:r w:rsidRPr="00263B0A">
        <w:rPr>
          <w:rFonts w:ascii="Arial" w:hAnsi="Arial" w:cs="Arial"/>
        </w:rPr>
        <w:t xml:space="preserve">igital </w:t>
      </w:r>
      <w:r w:rsidR="009D2F3F">
        <w:rPr>
          <w:rFonts w:ascii="Arial" w:hAnsi="Arial" w:cs="Arial"/>
        </w:rPr>
        <w:t>m</w:t>
      </w:r>
      <w:r w:rsidRPr="00263B0A">
        <w:rPr>
          <w:rFonts w:ascii="Arial" w:hAnsi="Arial" w:cs="Arial"/>
        </w:rPr>
        <w:t>edia/</w:t>
      </w:r>
      <w:r w:rsidR="009D2F3F">
        <w:rPr>
          <w:rFonts w:ascii="Arial" w:hAnsi="Arial" w:cs="Arial"/>
        </w:rPr>
        <w:t>s</w:t>
      </w:r>
      <w:r w:rsidRPr="00263B0A">
        <w:rPr>
          <w:rFonts w:ascii="Arial" w:hAnsi="Arial" w:cs="Arial"/>
        </w:rPr>
        <w:t xml:space="preserve">ocial </w:t>
      </w:r>
      <w:r w:rsidR="009D2F3F">
        <w:rPr>
          <w:rFonts w:ascii="Arial" w:hAnsi="Arial" w:cs="Arial"/>
        </w:rPr>
        <w:t>m</w:t>
      </w:r>
      <w:r w:rsidRPr="00263B0A">
        <w:rPr>
          <w:rFonts w:ascii="Arial" w:hAnsi="Arial" w:cs="Arial"/>
        </w:rPr>
        <w:t xml:space="preserve">edia </w:t>
      </w:r>
      <w:r w:rsidR="009D2F3F">
        <w:rPr>
          <w:rFonts w:ascii="Arial" w:hAnsi="Arial" w:cs="Arial"/>
        </w:rPr>
        <w:t>p</w:t>
      </w:r>
      <w:r w:rsidRPr="00263B0A">
        <w:rPr>
          <w:rFonts w:ascii="Arial" w:hAnsi="Arial" w:cs="Arial"/>
        </w:rPr>
        <w:t xml:space="preserve">latforms, and </w:t>
      </w:r>
      <w:r w:rsidR="009D2F3F">
        <w:rPr>
          <w:rFonts w:ascii="Arial" w:hAnsi="Arial" w:cs="Arial"/>
        </w:rPr>
        <w:t>i</w:t>
      </w:r>
      <w:r w:rsidRPr="00263B0A">
        <w:rPr>
          <w:rFonts w:ascii="Arial" w:hAnsi="Arial" w:cs="Arial"/>
        </w:rPr>
        <w:t xml:space="preserve">nfluencer </w:t>
      </w:r>
      <w:r w:rsidR="009D2F3F">
        <w:rPr>
          <w:rFonts w:ascii="Arial" w:hAnsi="Arial" w:cs="Arial"/>
        </w:rPr>
        <w:t>m</w:t>
      </w:r>
      <w:r w:rsidRPr="00263B0A">
        <w:rPr>
          <w:rFonts w:ascii="Arial" w:hAnsi="Arial" w:cs="Arial"/>
        </w:rPr>
        <w:t xml:space="preserve">arketing. Additionally, </w:t>
      </w:r>
      <w:r w:rsidR="009D2F3F">
        <w:rPr>
          <w:rFonts w:ascii="Arial" w:hAnsi="Arial" w:cs="Arial"/>
        </w:rPr>
        <w:t>e</w:t>
      </w:r>
      <w:r w:rsidRPr="00263B0A">
        <w:rPr>
          <w:rFonts w:ascii="Arial" w:hAnsi="Arial" w:cs="Arial"/>
        </w:rPr>
        <w:t xml:space="preserve">thical </w:t>
      </w:r>
      <w:r w:rsidR="009D2F3F">
        <w:rPr>
          <w:rFonts w:ascii="Arial" w:hAnsi="Arial" w:cs="Arial"/>
        </w:rPr>
        <w:t>p</w:t>
      </w:r>
      <w:r w:rsidRPr="00263B0A">
        <w:rPr>
          <w:rFonts w:ascii="Arial" w:hAnsi="Arial" w:cs="Arial"/>
        </w:rPr>
        <w:t>urchasing (</w:t>
      </w:r>
      <w:r w:rsidR="009D2F3F">
        <w:rPr>
          <w:rFonts w:ascii="Arial" w:hAnsi="Arial" w:cs="Arial"/>
        </w:rPr>
        <w:t>s</w:t>
      </w:r>
      <w:r w:rsidRPr="00263B0A">
        <w:rPr>
          <w:rFonts w:ascii="Arial" w:hAnsi="Arial" w:cs="Arial"/>
        </w:rPr>
        <w:t xml:space="preserve">ustainability, </w:t>
      </w:r>
      <w:r w:rsidR="009D2F3F">
        <w:rPr>
          <w:rFonts w:ascii="Arial" w:hAnsi="Arial" w:cs="Arial"/>
        </w:rPr>
        <w:t>c</w:t>
      </w:r>
      <w:r w:rsidRPr="00263B0A">
        <w:rPr>
          <w:rFonts w:ascii="Arial" w:hAnsi="Arial" w:cs="Arial"/>
        </w:rPr>
        <w:t xml:space="preserve">orporate </w:t>
      </w:r>
      <w:r w:rsidR="009D2F3F">
        <w:rPr>
          <w:rFonts w:ascii="Arial" w:hAnsi="Arial" w:cs="Arial"/>
        </w:rPr>
        <w:t>s</w:t>
      </w:r>
      <w:r w:rsidRPr="00263B0A">
        <w:rPr>
          <w:rFonts w:ascii="Arial" w:hAnsi="Arial" w:cs="Arial"/>
        </w:rPr>
        <w:t xml:space="preserve">ocial </w:t>
      </w:r>
      <w:r w:rsidR="009D2F3F">
        <w:rPr>
          <w:rFonts w:ascii="Arial" w:hAnsi="Arial" w:cs="Arial"/>
        </w:rPr>
        <w:t>r</w:t>
      </w:r>
      <w:r w:rsidRPr="00263B0A">
        <w:rPr>
          <w:rFonts w:ascii="Arial" w:hAnsi="Arial" w:cs="Arial"/>
        </w:rPr>
        <w:t xml:space="preserve">esponsibility) influences the </w:t>
      </w:r>
      <w:r w:rsidR="009D2F3F">
        <w:rPr>
          <w:rFonts w:ascii="Arial" w:hAnsi="Arial" w:cs="Arial"/>
        </w:rPr>
        <w:t>b</w:t>
      </w:r>
      <w:r w:rsidRPr="00263B0A">
        <w:rPr>
          <w:rFonts w:ascii="Arial" w:hAnsi="Arial" w:cs="Arial"/>
        </w:rPr>
        <w:t xml:space="preserve">rand </w:t>
      </w:r>
      <w:r w:rsidR="009D2F3F">
        <w:rPr>
          <w:rFonts w:ascii="Arial" w:hAnsi="Arial" w:cs="Arial"/>
        </w:rPr>
        <w:t>p</w:t>
      </w:r>
      <w:r w:rsidRPr="00263B0A">
        <w:rPr>
          <w:rFonts w:ascii="Arial" w:hAnsi="Arial" w:cs="Arial"/>
        </w:rPr>
        <w:t xml:space="preserve">erceptions of </w:t>
      </w:r>
      <w:r w:rsidR="009D2F3F">
        <w:rPr>
          <w:rFonts w:ascii="Arial" w:hAnsi="Arial" w:cs="Arial"/>
        </w:rPr>
        <w:t>y</w:t>
      </w:r>
      <w:r w:rsidRPr="00263B0A">
        <w:rPr>
          <w:rFonts w:ascii="Arial" w:hAnsi="Arial" w:cs="Arial"/>
        </w:rPr>
        <w:t xml:space="preserve">ounger </w:t>
      </w:r>
      <w:r w:rsidR="009D2F3F">
        <w:rPr>
          <w:rFonts w:ascii="Arial" w:hAnsi="Arial" w:cs="Arial"/>
        </w:rPr>
        <w:t>c</w:t>
      </w:r>
      <w:r w:rsidRPr="00263B0A">
        <w:rPr>
          <w:rFonts w:ascii="Arial" w:hAnsi="Arial" w:cs="Arial"/>
        </w:rPr>
        <w:t xml:space="preserve">onsumers much more than </w:t>
      </w:r>
      <w:r w:rsidR="009D2F3F">
        <w:rPr>
          <w:rFonts w:ascii="Arial" w:hAnsi="Arial" w:cs="Arial"/>
        </w:rPr>
        <w:t>o</w:t>
      </w:r>
      <w:r w:rsidRPr="00263B0A">
        <w:rPr>
          <w:rFonts w:ascii="Arial" w:hAnsi="Arial" w:cs="Arial"/>
        </w:rPr>
        <w:t xml:space="preserve">lder </w:t>
      </w:r>
      <w:r w:rsidR="009D2F3F">
        <w:rPr>
          <w:rFonts w:ascii="Arial" w:hAnsi="Arial" w:cs="Arial"/>
        </w:rPr>
        <w:t>g</w:t>
      </w:r>
      <w:r w:rsidRPr="00263B0A">
        <w:rPr>
          <w:rFonts w:ascii="Arial" w:hAnsi="Arial" w:cs="Arial"/>
        </w:rPr>
        <w:t>enerations.</w:t>
      </w:r>
    </w:p>
    <w:p w14:paraId="6BF61E91" w14:textId="77777777" w:rsidR="009D2F3F" w:rsidRDefault="00263B0A" w:rsidP="00263B0A">
      <w:pPr>
        <w:spacing w:line="480" w:lineRule="auto"/>
        <w:rPr>
          <w:rFonts w:ascii="Arial" w:hAnsi="Arial" w:cs="Arial"/>
        </w:rPr>
      </w:pPr>
      <w:r w:rsidRPr="00263B0A">
        <w:rPr>
          <w:rFonts w:ascii="Arial" w:hAnsi="Arial" w:cs="Arial"/>
        </w:rPr>
        <w:t xml:space="preserve">Additionally, </w:t>
      </w:r>
      <w:r w:rsidR="009D2F3F">
        <w:rPr>
          <w:rFonts w:ascii="Arial" w:hAnsi="Arial" w:cs="Arial"/>
        </w:rPr>
        <w:t>t</w:t>
      </w:r>
      <w:r w:rsidRPr="00263B0A">
        <w:rPr>
          <w:rFonts w:ascii="Arial" w:hAnsi="Arial" w:cs="Arial"/>
        </w:rPr>
        <w:t xml:space="preserve">raditional </w:t>
      </w:r>
      <w:r w:rsidR="009D2F3F">
        <w:rPr>
          <w:rFonts w:ascii="Arial" w:hAnsi="Arial" w:cs="Arial"/>
        </w:rPr>
        <w:t>s</w:t>
      </w:r>
      <w:r w:rsidRPr="00263B0A">
        <w:rPr>
          <w:rFonts w:ascii="Arial" w:hAnsi="Arial" w:cs="Arial"/>
        </w:rPr>
        <w:t xml:space="preserve">upermarket </w:t>
      </w:r>
      <w:r w:rsidR="009D2F3F">
        <w:rPr>
          <w:rFonts w:ascii="Arial" w:hAnsi="Arial" w:cs="Arial"/>
        </w:rPr>
        <w:t>r</w:t>
      </w:r>
      <w:r w:rsidRPr="00263B0A">
        <w:rPr>
          <w:rFonts w:ascii="Arial" w:hAnsi="Arial" w:cs="Arial"/>
        </w:rPr>
        <w:t xml:space="preserve">etailers frequently have difficulty connecting with and engaging younger generations of </w:t>
      </w:r>
      <w:r w:rsidR="009D2F3F">
        <w:rPr>
          <w:rFonts w:ascii="Arial" w:hAnsi="Arial" w:cs="Arial"/>
        </w:rPr>
        <w:t>c</w:t>
      </w:r>
      <w:r w:rsidRPr="00263B0A">
        <w:rPr>
          <w:rFonts w:ascii="Arial" w:hAnsi="Arial" w:cs="Arial"/>
        </w:rPr>
        <w:t xml:space="preserve">onsumers because younger consumers view these brands as </w:t>
      </w:r>
      <w:r w:rsidR="009D2F3F">
        <w:rPr>
          <w:rFonts w:ascii="Arial" w:hAnsi="Arial" w:cs="Arial"/>
        </w:rPr>
        <w:t>t</w:t>
      </w:r>
      <w:r w:rsidRPr="00263B0A">
        <w:rPr>
          <w:rFonts w:ascii="Arial" w:hAnsi="Arial" w:cs="Arial"/>
        </w:rPr>
        <w:t xml:space="preserve">ransactional or </w:t>
      </w:r>
      <w:r w:rsidR="009D2F3F">
        <w:rPr>
          <w:rFonts w:ascii="Arial" w:hAnsi="Arial" w:cs="Arial"/>
        </w:rPr>
        <w:t>f</w:t>
      </w:r>
      <w:r w:rsidRPr="00263B0A">
        <w:rPr>
          <w:rFonts w:ascii="Arial" w:hAnsi="Arial" w:cs="Arial"/>
        </w:rPr>
        <w:t xml:space="preserve">unctional; they often don’t consider them </w:t>
      </w:r>
      <w:r w:rsidR="009D2F3F">
        <w:rPr>
          <w:rFonts w:ascii="Arial" w:hAnsi="Arial" w:cs="Arial"/>
        </w:rPr>
        <w:t>o</w:t>
      </w:r>
      <w:r w:rsidRPr="00263B0A">
        <w:rPr>
          <w:rFonts w:ascii="Arial" w:hAnsi="Arial" w:cs="Arial"/>
        </w:rPr>
        <w:t xml:space="preserve">verspending or </w:t>
      </w:r>
      <w:r w:rsidR="009D2F3F">
        <w:rPr>
          <w:rFonts w:ascii="Arial" w:hAnsi="Arial" w:cs="Arial"/>
        </w:rPr>
        <w:t>a</w:t>
      </w:r>
      <w:r w:rsidRPr="00263B0A">
        <w:rPr>
          <w:rFonts w:ascii="Arial" w:hAnsi="Arial" w:cs="Arial"/>
        </w:rPr>
        <w:t xml:space="preserve">spirational. Although Tesco has made substantial investments in </w:t>
      </w:r>
      <w:r w:rsidR="009D2F3F">
        <w:rPr>
          <w:rFonts w:ascii="Arial" w:hAnsi="Arial" w:cs="Arial"/>
        </w:rPr>
        <w:t>d</w:t>
      </w:r>
      <w:r w:rsidRPr="00263B0A">
        <w:rPr>
          <w:rFonts w:ascii="Arial" w:hAnsi="Arial" w:cs="Arial"/>
        </w:rPr>
        <w:t xml:space="preserve">igital Infrastructure (i.e., Online Grocery Platform, Mobile Application, Clubcard Loyalty Program), Gen Z </w:t>
      </w:r>
      <w:r w:rsidR="009D2F3F">
        <w:rPr>
          <w:rFonts w:ascii="Arial" w:hAnsi="Arial" w:cs="Arial"/>
        </w:rPr>
        <w:t>e</w:t>
      </w:r>
      <w:r w:rsidRPr="00263B0A">
        <w:rPr>
          <w:rFonts w:ascii="Arial" w:hAnsi="Arial" w:cs="Arial"/>
        </w:rPr>
        <w:t xml:space="preserve">ngagement </w:t>
      </w:r>
      <w:r w:rsidR="009D2F3F">
        <w:rPr>
          <w:rFonts w:ascii="Arial" w:hAnsi="Arial" w:cs="Arial"/>
        </w:rPr>
        <w:t>l</w:t>
      </w:r>
      <w:r w:rsidRPr="00263B0A">
        <w:rPr>
          <w:rFonts w:ascii="Arial" w:hAnsi="Arial" w:cs="Arial"/>
        </w:rPr>
        <w:t xml:space="preserve">evels with Tesco are still comparable to that of </w:t>
      </w:r>
      <w:r w:rsidR="009D2F3F">
        <w:rPr>
          <w:rFonts w:ascii="Arial" w:hAnsi="Arial" w:cs="Arial"/>
        </w:rPr>
        <w:t>o</w:t>
      </w:r>
      <w:r w:rsidRPr="00263B0A">
        <w:rPr>
          <w:rFonts w:ascii="Arial" w:hAnsi="Arial" w:cs="Arial"/>
        </w:rPr>
        <w:t xml:space="preserve">ther </w:t>
      </w:r>
      <w:r w:rsidR="009D2F3F">
        <w:rPr>
          <w:rFonts w:ascii="Arial" w:hAnsi="Arial" w:cs="Arial"/>
        </w:rPr>
        <w:t>s</w:t>
      </w:r>
      <w:r w:rsidRPr="00263B0A">
        <w:rPr>
          <w:rFonts w:ascii="Arial" w:hAnsi="Arial" w:cs="Arial"/>
        </w:rPr>
        <w:t xml:space="preserve">upermarket </w:t>
      </w:r>
      <w:r w:rsidR="009D2F3F">
        <w:rPr>
          <w:rFonts w:ascii="Arial" w:hAnsi="Arial" w:cs="Arial"/>
        </w:rPr>
        <w:t>r</w:t>
      </w:r>
      <w:r w:rsidRPr="00263B0A">
        <w:rPr>
          <w:rFonts w:ascii="Arial" w:hAnsi="Arial" w:cs="Arial"/>
        </w:rPr>
        <w:t xml:space="preserve">etailers. This poses a </w:t>
      </w:r>
      <w:r w:rsidR="009D2F3F">
        <w:rPr>
          <w:rFonts w:ascii="Arial" w:hAnsi="Arial" w:cs="Arial"/>
        </w:rPr>
        <w:t>s</w:t>
      </w:r>
      <w:r w:rsidRPr="00263B0A">
        <w:rPr>
          <w:rFonts w:ascii="Arial" w:hAnsi="Arial" w:cs="Arial"/>
        </w:rPr>
        <w:t xml:space="preserve">trategic </w:t>
      </w:r>
      <w:r w:rsidR="009D2F3F">
        <w:rPr>
          <w:rFonts w:ascii="Arial" w:hAnsi="Arial" w:cs="Arial"/>
        </w:rPr>
        <w:t>c</w:t>
      </w:r>
      <w:r w:rsidRPr="00263B0A">
        <w:rPr>
          <w:rFonts w:ascii="Arial" w:hAnsi="Arial" w:cs="Arial"/>
        </w:rPr>
        <w:t xml:space="preserve">hallenge to Tesco, as younger consumers represent the future growth segments of the company, with substantial </w:t>
      </w:r>
      <w:r w:rsidR="009D2F3F">
        <w:rPr>
          <w:rFonts w:ascii="Arial" w:hAnsi="Arial" w:cs="Arial"/>
        </w:rPr>
        <w:t>l</w:t>
      </w:r>
      <w:r w:rsidRPr="00263B0A">
        <w:rPr>
          <w:rFonts w:ascii="Arial" w:hAnsi="Arial" w:cs="Arial"/>
        </w:rPr>
        <w:t xml:space="preserve">ifetime </w:t>
      </w:r>
      <w:r w:rsidR="009D2F3F">
        <w:rPr>
          <w:rFonts w:ascii="Arial" w:hAnsi="Arial" w:cs="Arial"/>
        </w:rPr>
        <w:t>v</w:t>
      </w:r>
      <w:r w:rsidRPr="00263B0A">
        <w:rPr>
          <w:rFonts w:ascii="Arial" w:hAnsi="Arial" w:cs="Arial"/>
        </w:rPr>
        <w:t xml:space="preserve">alue </w:t>
      </w:r>
      <w:r w:rsidR="009D2F3F">
        <w:rPr>
          <w:rFonts w:ascii="Arial" w:hAnsi="Arial" w:cs="Arial"/>
        </w:rPr>
        <w:t>p</w:t>
      </w:r>
      <w:r w:rsidRPr="00263B0A">
        <w:rPr>
          <w:rFonts w:ascii="Arial" w:hAnsi="Arial" w:cs="Arial"/>
        </w:rPr>
        <w:t>otential.</w:t>
      </w:r>
    </w:p>
    <w:p w14:paraId="6BFD162F" w14:textId="77777777" w:rsidR="009D2F3F" w:rsidRDefault="00263B0A" w:rsidP="00263B0A">
      <w:pPr>
        <w:spacing w:line="480" w:lineRule="auto"/>
        <w:rPr>
          <w:rFonts w:ascii="Arial" w:hAnsi="Arial" w:cs="Arial"/>
        </w:rPr>
      </w:pPr>
      <w:r w:rsidRPr="00263B0A">
        <w:rPr>
          <w:rFonts w:ascii="Arial" w:hAnsi="Arial" w:cs="Arial"/>
        </w:rPr>
        <w:lastRenderedPageBreak/>
        <w:t xml:space="preserve">This report outlines a Digital Marketing Campaign to strengthen Tesco’s engagement with Generation Z Consumers in the United Kingdom, utilising the current </w:t>
      </w:r>
      <w:r w:rsidR="009D2F3F">
        <w:rPr>
          <w:rFonts w:ascii="Arial" w:hAnsi="Arial" w:cs="Arial"/>
        </w:rPr>
        <w:t>d</w:t>
      </w:r>
      <w:r w:rsidRPr="00263B0A">
        <w:rPr>
          <w:rFonts w:ascii="Arial" w:hAnsi="Arial" w:cs="Arial"/>
        </w:rPr>
        <w:t xml:space="preserve">igital </w:t>
      </w:r>
      <w:r w:rsidR="009D2F3F">
        <w:rPr>
          <w:rFonts w:ascii="Arial" w:hAnsi="Arial" w:cs="Arial"/>
        </w:rPr>
        <w:t>m</w:t>
      </w:r>
      <w:r w:rsidRPr="00263B0A">
        <w:rPr>
          <w:rFonts w:ascii="Arial" w:hAnsi="Arial" w:cs="Arial"/>
        </w:rPr>
        <w:t xml:space="preserve">arketing </w:t>
      </w:r>
      <w:r w:rsidR="009D2F3F">
        <w:rPr>
          <w:rFonts w:ascii="Arial" w:hAnsi="Arial" w:cs="Arial"/>
        </w:rPr>
        <w:t>t</w:t>
      </w:r>
      <w:r w:rsidR="009D2F3F" w:rsidRPr="00263B0A">
        <w:rPr>
          <w:rFonts w:ascii="Arial" w:hAnsi="Arial" w:cs="Arial"/>
        </w:rPr>
        <w:t>heory</w:t>
      </w:r>
      <w:r w:rsidRPr="00263B0A">
        <w:rPr>
          <w:rFonts w:ascii="Arial" w:hAnsi="Arial" w:cs="Arial"/>
        </w:rPr>
        <w:t xml:space="preserve"> and Research and will provide detailed examples of </w:t>
      </w:r>
      <w:r w:rsidR="009D2F3F">
        <w:rPr>
          <w:rFonts w:ascii="Arial" w:hAnsi="Arial" w:cs="Arial"/>
        </w:rPr>
        <w:t>u</w:t>
      </w:r>
      <w:r w:rsidRPr="00263B0A">
        <w:rPr>
          <w:rFonts w:ascii="Arial" w:hAnsi="Arial" w:cs="Arial"/>
        </w:rPr>
        <w:t xml:space="preserve">tilising </w:t>
      </w:r>
      <w:r w:rsidR="009D2F3F">
        <w:rPr>
          <w:rFonts w:ascii="Arial" w:hAnsi="Arial" w:cs="Arial"/>
        </w:rPr>
        <w:t>d</w:t>
      </w:r>
      <w:r w:rsidRPr="00263B0A">
        <w:rPr>
          <w:rFonts w:ascii="Arial" w:hAnsi="Arial" w:cs="Arial"/>
        </w:rPr>
        <w:t xml:space="preserve">ata </w:t>
      </w:r>
      <w:r w:rsidR="009D2F3F">
        <w:rPr>
          <w:rFonts w:ascii="Arial" w:hAnsi="Arial" w:cs="Arial"/>
        </w:rPr>
        <w:t>a</w:t>
      </w:r>
      <w:r w:rsidRPr="00263B0A">
        <w:rPr>
          <w:rFonts w:ascii="Arial" w:hAnsi="Arial" w:cs="Arial"/>
        </w:rPr>
        <w:t xml:space="preserve">nalytics, </w:t>
      </w:r>
      <w:r w:rsidR="009D2F3F">
        <w:rPr>
          <w:rFonts w:ascii="Arial" w:hAnsi="Arial" w:cs="Arial"/>
        </w:rPr>
        <w:t>s</w:t>
      </w:r>
      <w:r w:rsidRPr="00263B0A">
        <w:rPr>
          <w:rFonts w:ascii="Arial" w:hAnsi="Arial" w:cs="Arial"/>
        </w:rPr>
        <w:t xml:space="preserve">ocial </w:t>
      </w:r>
      <w:r w:rsidR="009D2F3F">
        <w:rPr>
          <w:rFonts w:ascii="Arial" w:hAnsi="Arial" w:cs="Arial"/>
        </w:rPr>
        <w:t>m</w:t>
      </w:r>
      <w:r w:rsidRPr="00263B0A">
        <w:rPr>
          <w:rFonts w:ascii="Arial" w:hAnsi="Arial" w:cs="Arial"/>
        </w:rPr>
        <w:t xml:space="preserve">edia </w:t>
      </w:r>
      <w:r w:rsidR="009D2F3F">
        <w:rPr>
          <w:rFonts w:ascii="Arial" w:hAnsi="Arial" w:cs="Arial"/>
        </w:rPr>
        <w:t>e</w:t>
      </w:r>
      <w:r w:rsidRPr="00263B0A">
        <w:rPr>
          <w:rFonts w:ascii="Arial" w:hAnsi="Arial" w:cs="Arial"/>
        </w:rPr>
        <w:t xml:space="preserve">ngagement, </w:t>
      </w:r>
      <w:r w:rsidR="009D2F3F">
        <w:rPr>
          <w:rFonts w:ascii="Arial" w:hAnsi="Arial" w:cs="Arial"/>
        </w:rPr>
        <w:t>i</w:t>
      </w:r>
      <w:r w:rsidRPr="00263B0A">
        <w:rPr>
          <w:rFonts w:ascii="Arial" w:hAnsi="Arial" w:cs="Arial"/>
        </w:rPr>
        <w:t xml:space="preserve">nfluencer </w:t>
      </w:r>
      <w:r w:rsidR="009D2F3F">
        <w:rPr>
          <w:rFonts w:ascii="Arial" w:hAnsi="Arial" w:cs="Arial"/>
        </w:rPr>
        <w:t>m</w:t>
      </w:r>
      <w:r w:rsidRPr="00263B0A">
        <w:rPr>
          <w:rFonts w:ascii="Arial" w:hAnsi="Arial" w:cs="Arial"/>
        </w:rPr>
        <w:t xml:space="preserve">arketing, and </w:t>
      </w:r>
      <w:r w:rsidR="009D2F3F">
        <w:rPr>
          <w:rFonts w:ascii="Arial" w:hAnsi="Arial" w:cs="Arial"/>
        </w:rPr>
        <w:t>i</w:t>
      </w:r>
      <w:r w:rsidRPr="00263B0A">
        <w:rPr>
          <w:rFonts w:ascii="Arial" w:hAnsi="Arial" w:cs="Arial"/>
        </w:rPr>
        <w:t xml:space="preserve">ntegrated </w:t>
      </w:r>
      <w:r w:rsidR="009D2F3F">
        <w:rPr>
          <w:rFonts w:ascii="Arial" w:hAnsi="Arial" w:cs="Arial"/>
        </w:rPr>
        <w:t>d</w:t>
      </w:r>
      <w:r w:rsidRPr="00263B0A">
        <w:rPr>
          <w:rFonts w:ascii="Arial" w:hAnsi="Arial" w:cs="Arial"/>
        </w:rPr>
        <w:t xml:space="preserve">igital </w:t>
      </w:r>
      <w:r w:rsidR="009D2F3F">
        <w:rPr>
          <w:rFonts w:ascii="Arial" w:hAnsi="Arial" w:cs="Arial"/>
        </w:rPr>
        <w:t>c</w:t>
      </w:r>
      <w:r w:rsidRPr="00263B0A">
        <w:rPr>
          <w:rFonts w:ascii="Arial" w:hAnsi="Arial" w:cs="Arial"/>
        </w:rPr>
        <w:t xml:space="preserve">ommunications to develop </w:t>
      </w:r>
      <w:r w:rsidR="009D2F3F">
        <w:rPr>
          <w:rFonts w:ascii="Arial" w:hAnsi="Arial" w:cs="Arial"/>
        </w:rPr>
        <w:t>s</w:t>
      </w:r>
      <w:r w:rsidRPr="00263B0A">
        <w:rPr>
          <w:rFonts w:ascii="Arial" w:hAnsi="Arial" w:cs="Arial"/>
        </w:rPr>
        <w:t xml:space="preserve">tronger, </w:t>
      </w:r>
      <w:r w:rsidR="009D2F3F">
        <w:rPr>
          <w:rFonts w:ascii="Arial" w:hAnsi="Arial" w:cs="Arial"/>
        </w:rPr>
        <w:t>l</w:t>
      </w:r>
      <w:r w:rsidRPr="00263B0A">
        <w:rPr>
          <w:rFonts w:ascii="Arial" w:hAnsi="Arial" w:cs="Arial"/>
        </w:rPr>
        <w:t>onger-</w:t>
      </w:r>
      <w:r w:rsidR="009D2F3F">
        <w:rPr>
          <w:rFonts w:ascii="Arial" w:hAnsi="Arial" w:cs="Arial"/>
        </w:rPr>
        <w:t>t</w:t>
      </w:r>
      <w:r w:rsidRPr="00263B0A">
        <w:rPr>
          <w:rFonts w:ascii="Arial" w:hAnsi="Arial" w:cs="Arial"/>
        </w:rPr>
        <w:t xml:space="preserve">erm </w:t>
      </w:r>
      <w:r w:rsidR="009D2F3F">
        <w:rPr>
          <w:rFonts w:ascii="Arial" w:hAnsi="Arial" w:cs="Arial"/>
        </w:rPr>
        <w:t>r</w:t>
      </w:r>
      <w:r w:rsidRPr="00263B0A">
        <w:rPr>
          <w:rFonts w:ascii="Arial" w:hAnsi="Arial" w:cs="Arial"/>
        </w:rPr>
        <w:t xml:space="preserve">elationships with this </w:t>
      </w:r>
      <w:r w:rsidR="009D2F3F">
        <w:rPr>
          <w:rFonts w:ascii="Arial" w:hAnsi="Arial" w:cs="Arial"/>
        </w:rPr>
        <w:t>t</w:t>
      </w:r>
      <w:r w:rsidRPr="00263B0A">
        <w:rPr>
          <w:rFonts w:ascii="Arial" w:hAnsi="Arial" w:cs="Arial"/>
        </w:rPr>
        <w:t xml:space="preserve">arget </w:t>
      </w:r>
      <w:r w:rsidR="009D2F3F">
        <w:rPr>
          <w:rFonts w:ascii="Arial" w:hAnsi="Arial" w:cs="Arial"/>
        </w:rPr>
        <w:t>s</w:t>
      </w:r>
      <w:r w:rsidRPr="00263B0A">
        <w:rPr>
          <w:rFonts w:ascii="Arial" w:hAnsi="Arial" w:cs="Arial"/>
        </w:rPr>
        <w:t>egment.</w:t>
      </w:r>
    </w:p>
    <w:p w14:paraId="732835E6" w14:textId="10C86D5B" w:rsidR="00263B0A" w:rsidRPr="009D2F3F" w:rsidRDefault="00263B0A" w:rsidP="009D2F3F">
      <w:pPr>
        <w:pStyle w:val="ListParagraph"/>
        <w:numPr>
          <w:ilvl w:val="0"/>
          <w:numId w:val="1"/>
        </w:numPr>
        <w:spacing w:line="480" w:lineRule="auto"/>
        <w:rPr>
          <w:rFonts w:ascii="Arial" w:hAnsi="Arial" w:cs="Arial"/>
          <w:b/>
          <w:bCs/>
        </w:rPr>
      </w:pPr>
      <w:r w:rsidRPr="009D2F3F">
        <w:rPr>
          <w:rFonts w:ascii="Arial" w:hAnsi="Arial" w:cs="Arial"/>
          <w:b/>
          <w:bCs/>
        </w:rPr>
        <w:t>Purpose of the Marketing Plan</w:t>
      </w:r>
    </w:p>
    <w:p w14:paraId="27EDA874" w14:textId="77777777" w:rsidR="00263B0A" w:rsidRPr="00263B0A" w:rsidRDefault="00263B0A" w:rsidP="00263B0A">
      <w:pPr>
        <w:spacing w:line="480" w:lineRule="auto"/>
        <w:rPr>
          <w:rFonts w:ascii="Arial" w:hAnsi="Arial" w:cs="Arial"/>
        </w:rPr>
      </w:pPr>
      <w:r w:rsidRPr="00263B0A">
        <w:rPr>
          <w:rFonts w:ascii="Arial" w:hAnsi="Arial" w:cs="Arial"/>
        </w:rPr>
        <w:t>The purpose and approach for the digital marketing plan are based on a changing consumer environment; advances in technology; and an increasing focus on developing lifetime customer relationships. Digital platforms generate a significant amount of data that consumers produce online, which companies can use to better understand their customers' preferences, purchasing patterns, and methods of engagement. Retailers can increase the accuracy of their customer segmentation and send more relevant and personalized marketing messages by using Big Data analytics (Theodorakopoulos &amp; Theodoropoulou, 2024).</w:t>
      </w:r>
    </w:p>
    <w:p w14:paraId="1809ABF0" w14:textId="45741F88" w:rsidR="00263B0A" w:rsidRPr="00263B0A" w:rsidRDefault="00263B0A" w:rsidP="00263B0A">
      <w:pPr>
        <w:spacing w:line="480" w:lineRule="auto"/>
        <w:rPr>
          <w:rFonts w:ascii="Arial" w:hAnsi="Arial" w:cs="Arial"/>
        </w:rPr>
      </w:pPr>
      <w:r w:rsidRPr="00263B0A">
        <w:rPr>
          <w:rFonts w:ascii="Arial" w:hAnsi="Arial" w:cs="Arial"/>
        </w:rPr>
        <w:t>Tesco can benefit from integrating its online purchase data with its mobile app and loyalty program data to leverage those data points for improved customer relationships. Tesco can utilize the benefits of predictive analytics and AI technologies to maximi</w:t>
      </w:r>
      <w:r w:rsidR="009D2F3F">
        <w:rPr>
          <w:rFonts w:ascii="Arial" w:hAnsi="Arial" w:cs="Arial"/>
        </w:rPr>
        <w:t>s</w:t>
      </w:r>
      <w:r w:rsidRPr="00263B0A">
        <w:rPr>
          <w:rFonts w:ascii="Arial" w:hAnsi="Arial" w:cs="Arial"/>
        </w:rPr>
        <w:t>e the value of data. The increased accuracy of forecasting through predictive analytics improves the digital campaign's efficiency through real-time optimi</w:t>
      </w:r>
      <w:r w:rsidR="009D2F3F">
        <w:rPr>
          <w:rFonts w:ascii="Arial" w:hAnsi="Arial" w:cs="Arial"/>
        </w:rPr>
        <w:t>s</w:t>
      </w:r>
      <w:r w:rsidRPr="00263B0A">
        <w:rPr>
          <w:rFonts w:ascii="Arial" w:hAnsi="Arial" w:cs="Arial"/>
        </w:rPr>
        <w:t xml:space="preserve">ation of digital advertising and increases return on investment (Al </w:t>
      </w:r>
      <w:proofErr w:type="spellStart"/>
      <w:r w:rsidRPr="00263B0A">
        <w:rPr>
          <w:rFonts w:ascii="Arial" w:hAnsi="Arial" w:cs="Arial"/>
        </w:rPr>
        <w:t>Khaldy</w:t>
      </w:r>
      <w:proofErr w:type="spellEnd"/>
      <w:r w:rsidRPr="00263B0A">
        <w:rPr>
          <w:rFonts w:ascii="Arial" w:hAnsi="Arial" w:cs="Arial"/>
        </w:rPr>
        <w:t xml:space="preserve"> et al., 2023). Factors such as the rapidly changing digital landscape require businesses to cater to these expectations, particularly when targeting the generation </w:t>
      </w:r>
      <w:r w:rsidRPr="00263B0A">
        <w:rPr>
          <w:rFonts w:ascii="Arial" w:hAnsi="Arial" w:cs="Arial"/>
        </w:rPr>
        <w:lastRenderedPageBreak/>
        <w:t>that is known as "Gen Z" due to their desire for instant gratification, relevancy, and personalized experiences.</w:t>
      </w:r>
    </w:p>
    <w:p w14:paraId="58CEB96F" w14:textId="77777777" w:rsidR="009D2F3F" w:rsidRDefault="00263B0A" w:rsidP="00263B0A">
      <w:pPr>
        <w:spacing w:line="480" w:lineRule="auto"/>
        <w:rPr>
          <w:rFonts w:ascii="Arial" w:hAnsi="Arial" w:cs="Arial"/>
        </w:rPr>
      </w:pPr>
      <w:r w:rsidRPr="00263B0A">
        <w:rPr>
          <w:rFonts w:ascii="Arial" w:hAnsi="Arial" w:cs="Arial"/>
        </w:rPr>
        <w:t xml:space="preserve">The increasing importance of sustainable and ethical </w:t>
      </w:r>
      <w:r w:rsidR="009D2F3F" w:rsidRPr="00263B0A">
        <w:rPr>
          <w:rFonts w:ascii="Arial" w:hAnsi="Arial" w:cs="Arial"/>
        </w:rPr>
        <w:t>behaviours</w:t>
      </w:r>
      <w:r w:rsidRPr="00263B0A">
        <w:rPr>
          <w:rFonts w:ascii="Arial" w:hAnsi="Arial" w:cs="Arial"/>
        </w:rPr>
        <w:t xml:space="preserve"> is another significant driving force behind this marketing plan. The younger generation has begun to evaluate companies based on their environmental and social responsibility. Research has indicated that a customer's values regarding environmental sustainability can impact their </w:t>
      </w:r>
      <w:r w:rsidR="009D2F3F" w:rsidRPr="00263B0A">
        <w:rPr>
          <w:rFonts w:ascii="Arial" w:hAnsi="Arial" w:cs="Arial"/>
        </w:rPr>
        <w:t>behaviour</w:t>
      </w:r>
      <w:r w:rsidRPr="00263B0A">
        <w:rPr>
          <w:rFonts w:ascii="Arial" w:hAnsi="Arial" w:cs="Arial"/>
        </w:rPr>
        <w:t xml:space="preserve"> after they make a purchase and that these values will result in an increase in loyalty and advocacy for a company over the long term (</w:t>
      </w:r>
      <w:proofErr w:type="spellStart"/>
      <w:r w:rsidRPr="00263B0A">
        <w:rPr>
          <w:rFonts w:ascii="Arial" w:hAnsi="Arial" w:cs="Arial"/>
        </w:rPr>
        <w:t>Nittala</w:t>
      </w:r>
      <w:proofErr w:type="spellEnd"/>
      <w:r w:rsidRPr="00263B0A">
        <w:rPr>
          <w:rFonts w:ascii="Arial" w:hAnsi="Arial" w:cs="Arial"/>
        </w:rPr>
        <w:t xml:space="preserve"> &amp; </w:t>
      </w:r>
      <w:proofErr w:type="spellStart"/>
      <w:r w:rsidRPr="00263B0A">
        <w:rPr>
          <w:rFonts w:ascii="Arial" w:hAnsi="Arial" w:cs="Arial"/>
        </w:rPr>
        <w:t>Moturu</w:t>
      </w:r>
      <w:proofErr w:type="spellEnd"/>
      <w:r w:rsidRPr="00263B0A">
        <w:rPr>
          <w:rFonts w:ascii="Arial" w:hAnsi="Arial" w:cs="Arial"/>
        </w:rPr>
        <w:t xml:space="preserve">, 2023). Studies have also indicated that sustainability is a primary factor driving consumer trust and building long-term consumer relationships (Zaman &amp; Kusi-Sarpong, 2024). Through its sustainable initiatives, Tesco now has an opportunity to enhance the relevance of its brand among "Gen Z" consumers by communicating its sustainable efforts more effectively via digital </w:t>
      </w:r>
      <w:r w:rsidR="009D2F3F" w:rsidRPr="00263B0A">
        <w:rPr>
          <w:rFonts w:ascii="Arial" w:hAnsi="Arial" w:cs="Arial"/>
        </w:rPr>
        <w:t>media. The</w:t>
      </w:r>
      <w:r w:rsidRPr="00263B0A">
        <w:rPr>
          <w:rFonts w:ascii="Arial" w:hAnsi="Arial" w:cs="Arial"/>
        </w:rPr>
        <w:t xml:space="preserve"> theory of relationship marketing supports the rationale for this campaign due to an emphasis on customer retention and creating long-term value for customers. The concept of Customer Lifetime Value (CLV) is one way to measure how we quantify the value of customer relationships in the aggregate, as opposed to simply measuring short-term transactions (</w:t>
      </w:r>
      <w:proofErr w:type="spellStart"/>
      <w:r w:rsidRPr="00263B0A">
        <w:rPr>
          <w:rFonts w:ascii="Arial" w:hAnsi="Arial" w:cs="Arial"/>
        </w:rPr>
        <w:t>Kojuri</w:t>
      </w:r>
      <w:proofErr w:type="spellEnd"/>
      <w:r w:rsidRPr="00263B0A">
        <w:rPr>
          <w:rFonts w:ascii="Arial" w:hAnsi="Arial" w:cs="Arial"/>
        </w:rPr>
        <w:t xml:space="preserve"> &amp; Ali, 2024). In relation to this idea, the application of digital marketing strategies focused on creating a positive consumer experience through engagement, trust and satisfaction will be most important to connect with the younger generation of customers.</w:t>
      </w:r>
    </w:p>
    <w:p w14:paraId="27EEEFC6" w14:textId="2B67B3AC" w:rsidR="00263B0A" w:rsidRPr="009D2F3F" w:rsidRDefault="00263B0A" w:rsidP="009D2F3F">
      <w:pPr>
        <w:pStyle w:val="ListParagraph"/>
        <w:numPr>
          <w:ilvl w:val="0"/>
          <w:numId w:val="1"/>
        </w:numPr>
        <w:spacing w:line="480" w:lineRule="auto"/>
        <w:rPr>
          <w:rFonts w:ascii="Arial" w:hAnsi="Arial" w:cs="Arial"/>
          <w:b/>
          <w:bCs/>
        </w:rPr>
      </w:pPr>
      <w:r w:rsidRPr="009D2F3F">
        <w:rPr>
          <w:rFonts w:ascii="Arial" w:hAnsi="Arial" w:cs="Arial"/>
          <w:b/>
          <w:bCs/>
        </w:rPr>
        <w:t>Situational Analysis</w:t>
      </w:r>
    </w:p>
    <w:p w14:paraId="5AC3769C" w14:textId="77777777" w:rsidR="00263B0A" w:rsidRPr="00263B0A" w:rsidRDefault="00263B0A" w:rsidP="00263B0A">
      <w:pPr>
        <w:spacing w:line="480" w:lineRule="auto"/>
        <w:rPr>
          <w:rFonts w:ascii="Arial" w:hAnsi="Arial" w:cs="Arial"/>
        </w:rPr>
      </w:pPr>
      <w:r w:rsidRPr="00263B0A">
        <w:rPr>
          <w:rFonts w:ascii="Arial" w:hAnsi="Arial" w:cs="Arial"/>
        </w:rPr>
        <w:t xml:space="preserve">The grocery retail marketplace in the UK is characterised by intense competition between established grocery stores and </w:t>
      </w:r>
      <w:proofErr w:type="gramStart"/>
      <w:r w:rsidRPr="00263B0A">
        <w:rPr>
          <w:rFonts w:ascii="Arial" w:hAnsi="Arial" w:cs="Arial"/>
        </w:rPr>
        <w:t>digitally-enabled</w:t>
      </w:r>
      <w:proofErr w:type="gramEnd"/>
      <w:r w:rsidRPr="00263B0A">
        <w:rPr>
          <w:rFonts w:ascii="Arial" w:hAnsi="Arial" w:cs="Arial"/>
        </w:rPr>
        <w:t xml:space="preserve"> retailers that offer </w:t>
      </w:r>
      <w:r w:rsidRPr="00263B0A">
        <w:rPr>
          <w:rFonts w:ascii="Arial" w:hAnsi="Arial" w:cs="Arial"/>
        </w:rPr>
        <w:lastRenderedPageBreak/>
        <w:t>discounted prices. As more people shop for groceries online, competition has increased for digital attention, particularly from younger consumers who focus on convenience, usability, and value. The economic situation has also made consumers more price-sensitive, while also increasing the need for longer-term perceived value and personalised offers.</w:t>
      </w:r>
    </w:p>
    <w:p w14:paraId="741F03E3" w14:textId="60564983" w:rsidR="00263B0A" w:rsidRPr="00263B0A" w:rsidRDefault="00263B0A" w:rsidP="00263B0A">
      <w:pPr>
        <w:spacing w:line="480" w:lineRule="auto"/>
        <w:rPr>
          <w:rFonts w:ascii="Arial" w:hAnsi="Arial" w:cs="Arial"/>
        </w:rPr>
      </w:pPr>
      <w:r w:rsidRPr="00263B0A">
        <w:rPr>
          <w:rFonts w:ascii="Arial" w:hAnsi="Arial" w:cs="Arial"/>
        </w:rPr>
        <w:t xml:space="preserve">Strengths of Tesco include strong brand awareness among customers, an extensive physical and digital distribution system, and the ability to utilise advanced data analysis capabilities through its loyalty programme (Clubcard). The combination of </w:t>
      </w:r>
      <w:r w:rsidR="009D2F3F" w:rsidRPr="00263B0A">
        <w:rPr>
          <w:rFonts w:ascii="Arial" w:hAnsi="Arial" w:cs="Arial"/>
        </w:rPr>
        <w:t>all</w:t>
      </w:r>
      <w:r w:rsidRPr="00263B0A">
        <w:rPr>
          <w:rFonts w:ascii="Arial" w:hAnsi="Arial" w:cs="Arial"/>
        </w:rPr>
        <w:t xml:space="preserve"> these strengths provides a strong basis for developing data-driven marketing and customer personalisation. However, the brand faces a perception challenge within the Generation Z consumer segment. For this generation, the grocery store is often associated with routine and/or necessity and is not viewed as an innovative or relevant lifestyle.</w:t>
      </w:r>
    </w:p>
    <w:p w14:paraId="439CE9DE" w14:textId="0C38BC74" w:rsidR="00263B0A" w:rsidRPr="00263B0A" w:rsidRDefault="00263B0A" w:rsidP="00263B0A">
      <w:pPr>
        <w:spacing w:line="480" w:lineRule="auto"/>
        <w:rPr>
          <w:rFonts w:ascii="Arial" w:hAnsi="Arial" w:cs="Arial"/>
        </w:rPr>
      </w:pPr>
      <w:r w:rsidRPr="00263B0A">
        <w:rPr>
          <w:rFonts w:ascii="Arial" w:hAnsi="Arial" w:cs="Arial"/>
        </w:rPr>
        <w:t xml:space="preserve">By leveraging social media, influencer marketing, sustainable messaging and personalised marketing through Customer Relationship Management (CRM) systems, we can position Tesco in new ways with younger customers. Many marketing intelligence systems </w:t>
      </w:r>
      <w:r w:rsidR="00383D6A" w:rsidRPr="00263B0A">
        <w:rPr>
          <w:rFonts w:ascii="Arial" w:hAnsi="Arial" w:cs="Arial"/>
        </w:rPr>
        <w:t>can analyse and integrate</w:t>
      </w:r>
      <w:r w:rsidRPr="00263B0A">
        <w:rPr>
          <w:rFonts w:ascii="Arial" w:hAnsi="Arial" w:cs="Arial"/>
        </w:rPr>
        <w:t xml:space="preserve"> data from all customer touchpoints across multiple channels, which will help retailers increase conversion and CLV (Onifade et al., 2024). On the other hand, the threats to competitors will continue to grow as technology evolves, consumers' expectations for seamless digital experiences continue to increase, and competition intensifies from low-cost and/or </w:t>
      </w:r>
      <w:r w:rsidR="00383D6A" w:rsidRPr="00263B0A">
        <w:rPr>
          <w:rFonts w:ascii="Arial" w:hAnsi="Arial" w:cs="Arial"/>
        </w:rPr>
        <w:t>digitally driven</w:t>
      </w:r>
      <w:r w:rsidRPr="00263B0A">
        <w:rPr>
          <w:rFonts w:ascii="Arial" w:hAnsi="Arial" w:cs="Arial"/>
        </w:rPr>
        <w:t xml:space="preserve"> retailers.</w:t>
      </w:r>
    </w:p>
    <w:p w14:paraId="75C4BA6B" w14:textId="1AC94C66" w:rsidR="00263B0A" w:rsidRPr="00263B0A" w:rsidRDefault="00263B0A" w:rsidP="00263B0A">
      <w:pPr>
        <w:spacing w:line="480" w:lineRule="auto"/>
        <w:rPr>
          <w:rFonts w:ascii="Arial" w:hAnsi="Arial" w:cs="Arial"/>
        </w:rPr>
      </w:pPr>
      <w:r w:rsidRPr="00263B0A">
        <w:rPr>
          <w:rFonts w:ascii="Arial" w:hAnsi="Arial" w:cs="Arial"/>
        </w:rPr>
        <w:t xml:space="preserve">Generation Z’s digital </w:t>
      </w:r>
      <w:r w:rsidR="00383D6A" w:rsidRPr="00263B0A">
        <w:rPr>
          <w:rFonts w:ascii="Arial" w:hAnsi="Arial" w:cs="Arial"/>
        </w:rPr>
        <w:t>behaviour</w:t>
      </w:r>
      <w:r w:rsidRPr="00263B0A">
        <w:rPr>
          <w:rFonts w:ascii="Arial" w:hAnsi="Arial" w:cs="Arial"/>
        </w:rPr>
        <w:t xml:space="preserve"> is largely influenced by their use of social media platforms, influencer-driven lifestyles, and visual storytelling. As a result of social </w:t>
      </w:r>
      <w:r w:rsidRPr="00263B0A">
        <w:rPr>
          <w:rFonts w:ascii="Arial" w:hAnsi="Arial" w:cs="Arial"/>
        </w:rPr>
        <w:lastRenderedPageBreak/>
        <w:t>media marketing, the movement from traditional e-commerce to Social Commerce is rapidly changing how consumers interact and make purchasing decisions, based on trust and community (</w:t>
      </w:r>
      <w:proofErr w:type="spellStart"/>
      <w:r w:rsidRPr="00263B0A">
        <w:rPr>
          <w:rFonts w:ascii="Arial" w:hAnsi="Arial" w:cs="Arial"/>
        </w:rPr>
        <w:t>Rachmad</w:t>
      </w:r>
      <w:proofErr w:type="spellEnd"/>
      <w:r w:rsidRPr="00263B0A">
        <w:rPr>
          <w:rFonts w:ascii="Arial" w:hAnsi="Arial" w:cs="Arial"/>
        </w:rPr>
        <w:t>, 2022). To remain competitive in the long term, organisations must remain relevant in this changing retail environment.</w:t>
      </w:r>
    </w:p>
    <w:p w14:paraId="3DA04653" w14:textId="6552F9B5" w:rsidR="00263B0A" w:rsidRPr="00383D6A" w:rsidRDefault="00263B0A" w:rsidP="00383D6A">
      <w:pPr>
        <w:pStyle w:val="ListParagraph"/>
        <w:numPr>
          <w:ilvl w:val="0"/>
          <w:numId w:val="1"/>
        </w:numPr>
        <w:spacing w:line="480" w:lineRule="auto"/>
        <w:rPr>
          <w:rFonts w:ascii="Arial" w:hAnsi="Arial" w:cs="Arial"/>
          <w:b/>
          <w:bCs/>
        </w:rPr>
      </w:pPr>
      <w:r w:rsidRPr="00383D6A">
        <w:rPr>
          <w:rFonts w:ascii="Arial" w:hAnsi="Arial" w:cs="Arial"/>
          <w:b/>
          <w:bCs/>
        </w:rPr>
        <w:t>Segmentation, Targeting &amp; Positioning</w:t>
      </w:r>
    </w:p>
    <w:p w14:paraId="48B6AC61" w14:textId="237BADFA" w:rsidR="00263B0A" w:rsidRPr="00383D6A" w:rsidRDefault="00263B0A" w:rsidP="00383D6A">
      <w:pPr>
        <w:pStyle w:val="ListParagraph"/>
        <w:numPr>
          <w:ilvl w:val="0"/>
          <w:numId w:val="2"/>
        </w:numPr>
        <w:spacing w:line="480" w:lineRule="auto"/>
        <w:rPr>
          <w:rFonts w:ascii="Arial" w:hAnsi="Arial" w:cs="Arial"/>
          <w:b/>
          <w:bCs/>
        </w:rPr>
      </w:pPr>
      <w:r w:rsidRPr="00383D6A">
        <w:rPr>
          <w:rFonts w:ascii="Arial" w:hAnsi="Arial" w:cs="Arial"/>
          <w:b/>
          <w:bCs/>
        </w:rPr>
        <w:t>Segmentation</w:t>
      </w:r>
    </w:p>
    <w:p w14:paraId="2206E8E8" w14:textId="77777777" w:rsidR="00383D6A" w:rsidRDefault="00263B0A" w:rsidP="00263B0A">
      <w:pPr>
        <w:spacing w:line="480" w:lineRule="auto"/>
        <w:rPr>
          <w:rFonts w:ascii="Arial" w:hAnsi="Arial" w:cs="Arial"/>
        </w:rPr>
      </w:pPr>
      <w:r w:rsidRPr="00263B0A">
        <w:rPr>
          <w:rFonts w:ascii="Arial" w:hAnsi="Arial" w:cs="Arial"/>
        </w:rPr>
        <w:t xml:space="preserve">Segmentation allows organisations to categorise different markets into identifiable groups, each with similar characteristics and needs. By combining </w:t>
      </w:r>
      <w:r w:rsidR="00383D6A">
        <w:rPr>
          <w:rFonts w:ascii="Arial" w:hAnsi="Arial" w:cs="Arial"/>
        </w:rPr>
        <w:t>d</w:t>
      </w:r>
      <w:r w:rsidRPr="00263B0A">
        <w:rPr>
          <w:rFonts w:ascii="Arial" w:hAnsi="Arial" w:cs="Arial"/>
        </w:rPr>
        <w:t xml:space="preserve">emographic, </w:t>
      </w:r>
      <w:r w:rsidR="00383D6A">
        <w:rPr>
          <w:rFonts w:ascii="Arial" w:hAnsi="Arial" w:cs="Arial"/>
        </w:rPr>
        <w:t>p</w:t>
      </w:r>
      <w:r w:rsidRPr="00263B0A">
        <w:rPr>
          <w:rFonts w:ascii="Arial" w:hAnsi="Arial" w:cs="Arial"/>
        </w:rPr>
        <w:t xml:space="preserve">sychographic and </w:t>
      </w:r>
      <w:r w:rsidR="00383D6A">
        <w:rPr>
          <w:rFonts w:ascii="Arial" w:hAnsi="Arial" w:cs="Arial"/>
        </w:rPr>
        <w:t>b</w:t>
      </w:r>
      <w:r w:rsidRPr="00263B0A">
        <w:rPr>
          <w:rFonts w:ascii="Arial" w:hAnsi="Arial" w:cs="Arial"/>
        </w:rPr>
        <w:t xml:space="preserve">ehavioural </w:t>
      </w:r>
      <w:r w:rsidR="00383D6A">
        <w:rPr>
          <w:rFonts w:ascii="Arial" w:hAnsi="Arial" w:cs="Arial"/>
        </w:rPr>
        <w:t>s</w:t>
      </w:r>
      <w:r w:rsidRPr="00263B0A">
        <w:rPr>
          <w:rFonts w:ascii="Arial" w:hAnsi="Arial" w:cs="Arial"/>
        </w:rPr>
        <w:t xml:space="preserve">egmentation variables, organisations will be able to generate actionable insights (Naim, 2023). The value of behavioural data within the </w:t>
      </w:r>
      <w:r w:rsidR="00383D6A">
        <w:rPr>
          <w:rFonts w:ascii="Arial" w:hAnsi="Arial" w:cs="Arial"/>
        </w:rPr>
        <w:t>d</w:t>
      </w:r>
      <w:r w:rsidRPr="00263B0A">
        <w:rPr>
          <w:rFonts w:ascii="Arial" w:hAnsi="Arial" w:cs="Arial"/>
        </w:rPr>
        <w:t xml:space="preserve">igital </w:t>
      </w:r>
      <w:r w:rsidR="00383D6A">
        <w:rPr>
          <w:rFonts w:ascii="Arial" w:hAnsi="Arial" w:cs="Arial"/>
        </w:rPr>
        <w:t>r</w:t>
      </w:r>
      <w:r w:rsidRPr="00263B0A">
        <w:rPr>
          <w:rFonts w:ascii="Arial" w:hAnsi="Arial" w:cs="Arial"/>
        </w:rPr>
        <w:t>etail environment is particularly relevant for predicting future consumer behaviour.</w:t>
      </w:r>
    </w:p>
    <w:p w14:paraId="4CE550DF" w14:textId="2A76938A" w:rsidR="00263B0A" w:rsidRPr="00263B0A" w:rsidRDefault="00263B0A" w:rsidP="00263B0A">
      <w:pPr>
        <w:spacing w:line="480" w:lineRule="auto"/>
        <w:rPr>
          <w:rFonts w:ascii="Arial" w:hAnsi="Arial" w:cs="Arial"/>
        </w:rPr>
      </w:pPr>
      <w:r w:rsidRPr="00263B0A">
        <w:rPr>
          <w:rFonts w:ascii="Arial" w:hAnsi="Arial" w:cs="Arial"/>
        </w:rPr>
        <w:t>For this campaign, Tesco has segmented the market by using the following:</w:t>
      </w:r>
    </w:p>
    <w:p w14:paraId="03180E0B" w14:textId="77777777" w:rsidR="00383D6A" w:rsidRPr="00383D6A" w:rsidRDefault="00263B0A" w:rsidP="00383D6A">
      <w:pPr>
        <w:pStyle w:val="ListParagraph"/>
        <w:numPr>
          <w:ilvl w:val="0"/>
          <w:numId w:val="3"/>
        </w:numPr>
        <w:spacing w:line="480" w:lineRule="auto"/>
        <w:rPr>
          <w:rFonts w:ascii="Arial" w:hAnsi="Arial" w:cs="Arial"/>
        </w:rPr>
      </w:pPr>
      <w:r w:rsidRPr="00383D6A">
        <w:rPr>
          <w:rFonts w:ascii="Arial" w:hAnsi="Arial" w:cs="Arial"/>
        </w:rPr>
        <w:t>Demographic Segmentation: Consumers located within the UK, aged between 18 – 27.</w:t>
      </w:r>
    </w:p>
    <w:p w14:paraId="4D41A881" w14:textId="7690EA7D" w:rsidR="00263B0A" w:rsidRPr="00383D6A" w:rsidRDefault="00263B0A" w:rsidP="00383D6A">
      <w:pPr>
        <w:pStyle w:val="ListParagraph"/>
        <w:numPr>
          <w:ilvl w:val="0"/>
          <w:numId w:val="3"/>
        </w:numPr>
        <w:spacing w:line="480" w:lineRule="auto"/>
        <w:rPr>
          <w:rFonts w:ascii="Arial" w:hAnsi="Arial" w:cs="Arial"/>
        </w:rPr>
      </w:pPr>
      <w:r w:rsidRPr="00383D6A">
        <w:rPr>
          <w:rFonts w:ascii="Arial" w:hAnsi="Arial" w:cs="Arial"/>
        </w:rPr>
        <w:t xml:space="preserve">Behavioural Segmentation: Regular </w:t>
      </w:r>
      <w:r w:rsidR="00383D6A" w:rsidRPr="00383D6A">
        <w:rPr>
          <w:rFonts w:ascii="Arial" w:hAnsi="Arial" w:cs="Arial"/>
        </w:rPr>
        <w:t>m</w:t>
      </w:r>
      <w:r w:rsidRPr="00383D6A">
        <w:rPr>
          <w:rFonts w:ascii="Arial" w:hAnsi="Arial" w:cs="Arial"/>
        </w:rPr>
        <w:t xml:space="preserve">obile &amp; </w:t>
      </w:r>
      <w:r w:rsidR="00383D6A" w:rsidRPr="00383D6A">
        <w:rPr>
          <w:rFonts w:ascii="Arial" w:hAnsi="Arial" w:cs="Arial"/>
        </w:rPr>
        <w:t>s</w:t>
      </w:r>
      <w:r w:rsidRPr="00383D6A">
        <w:rPr>
          <w:rFonts w:ascii="Arial" w:hAnsi="Arial" w:cs="Arial"/>
        </w:rPr>
        <w:t xml:space="preserve">ocial </w:t>
      </w:r>
      <w:r w:rsidR="00383D6A" w:rsidRPr="00383D6A">
        <w:rPr>
          <w:rFonts w:ascii="Arial" w:hAnsi="Arial" w:cs="Arial"/>
        </w:rPr>
        <w:t>m</w:t>
      </w:r>
      <w:r w:rsidRPr="00383D6A">
        <w:rPr>
          <w:rFonts w:ascii="Arial" w:hAnsi="Arial" w:cs="Arial"/>
        </w:rPr>
        <w:t xml:space="preserve">edia </w:t>
      </w:r>
      <w:r w:rsidR="00383D6A" w:rsidRPr="00383D6A">
        <w:rPr>
          <w:rFonts w:ascii="Arial" w:hAnsi="Arial" w:cs="Arial"/>
        </w:rPr>
        <w:t>u</w:t>
      </w:r>
      <w:r w:rsidRPr="00383D6A">
        <w:rPr>
          <w:rFonts w:ascii="Arial" w:hAnsi="Arial" w:cs="Arial"/>
        </w:rPr>
        <w:t>sers, frequenting on-line retailing sites, and price-conscious consumers, but preferring convenience.</w:t>
      </w:r>
    </w:p>
    <w:p w14:paraId="34F3F811" w14:textId="2ECB2D52" w:rsidR="00263B0A" w:rsidRPr="00383D6A" w:rsidRDefault="00263B0A" w:rsidP="00383D6A">
      <w:pPr>
        <w:pStyle w:val="ListParagraph"/>
        <w:numPr>
          <w:ilvl w:val="0"/>
          <w:numId w:val="3"/>
        </w:numPr>
        <w:spacing w:line="480" w:lineRule="auto"/>
        <w:rPr>
          <w:rFonts w:ascii="Arial" w:hAnsi="Arial" w:cs="Arial"/>
        </w:rPr>
      </w:pPr>
      <w:r w:rsidRPr="00383D6A">
        <w:rPr>
          <w:rFonts w:ascii="Arial" w:hAnsi="Arial" w:cs="Arial"/>
        </w:rPr>
        <w:t xml:space="preserve">Psychographic Segmentation: Consumers seeking </w:t>
      </w:r>
      <w:r w:rsidR="00383D6A" w:rsidRPr="00383D6A">
        <w:rPr>
          <w:rFonts w:ascii="Arial" w:hAnsi="Arial" w:cs="Arial"/>
        </w:rPr>
        <w:t>a</w:t>
      </w:r>
      <w:r w:rsidRPr="00383D6A">
        <w:rPr>
          <w:rFonts w:ascii="Arial" w:hAnsi="Arial" w:cs="Arial"/>
        </w:rPr>
        <w:t xml:space="preserve">uthenticity, </w:t>
      </w:r>
      <w:r w:rsidR="00383D6A" w:rsidRPr="00383D6A">
        <w:rPr>
          <w:rFonts w:ascii="Arial" w:hAnsi="Arial" w:cs="Arial"/>
        </w:rPr>
        <w:t>e</w:t>
      </w:r>
      <w:r w:rsidRPr="00383D6A">
        <w:rPr>
          <w:rFonts w:ascii="Arial" w:hAnsi="Arial" w:cs="Arial"/>
        </w:rPr>
        <w:t>thics in their desired product and typically influenced by their peers.</w:t>
      </w:r>
    </w:p>
    <w:p w14:paraId="594CBD1A" w14:textId="77777777" w:rsidR="00383D6A" w:rsidRDefault="00263B0A" w:rsidP="00263B0A">
      <w:pPr>
        <w:spacing w:line="480" w:lineRule="auto"/>
        <w:rPr>
          <w:rFonts w:ascii="Arial" w:hAnsi="Arial" w:cs="Arial"/>
        </w:rPr>
      </w:pPr>
      <w:r w:rsidRPr="00263B0A">
        <w:rPr>
          <w:rFonts w:ascii="Arial" w:hAnsi="Arial" w:cs="Arial"/>
        </w:rPr>
        <w:t xml:space="preserve">Digital Analytics provides greater accuracy in segmenting consumers by identifying </w:t>
      </w:r>
      <w:r w:rsidR="00383D6A">
        <w:rPr>
          <w:rFonts w:ascii="Arial" w:hAnsi="Arial" w:cs="Arial"/>
        </w:rPr>
        <w:t>e</w:t>
      </w:r>
      <w:r w:rsidRPr="00263B0A">
        <w:rPr>
          <w:rFonts w:ascii="Arial" w:hAnsi="Arial" w:cs="Arial"/>
        </w:rPr>
        <w:t xml:space="preserve">xecutive level behavioural patterns between </w:t>
      </w:r>
      <w:r w:rsidR="00383D6A">
        <w:rPr>
          <w:rFonts w:ascii="Arial" w:hAnsi="Arial" w:cs="Arial"/>
        </w:rPr>
        <w:t>b</w:t>
      </w:r>
      <w:r w:rsidRPr="00263B0A">
        <w:rPr>
          <w:rFonts w:ascii="Arial" w:hAnsi="Arial" w:cs="Arial"/>
        </w:rPr>
        <w:t xml:space="preserve">rowsers, </w:t>
      </w:r>
      <w:r w:rsidR="00383D6A">
        <w:rPr>
          <w:rFonts w:ascii="Arial" w:hAnsi="Arial" w:cs="Arial"/>
        </w:rPr>
        <w:t>r</w:t>
      </w:r>
      <w:r w:rsidRPr="00263B0A">
        <w:rPr>
          <w:rFonts w:ascii="Arial" w:hAnsi="Arial" w:cs="Arial"/>
        </w:rPr>
        <w:t xml:space="preserve">etail </w:t>
      </w:r>
      <w:r w:rsidR="00383D6A">
        <w:rPr>
          <w:rFonts w:ascii="Arial" w:hAnsi="Arial" w:cs="Arial"/>
        </w:rPr>
        <w:t>p</w:t>
      </w:r>
      <w:r w:rsidRPr="00263B0A">
        <w:rPr>
          <w:rFonts w:ascii="Arial" w:hAnsi="Arial" w:cs="Arial"/>
        </w:rPr>
        <w:t xml:space="preserve">urchasers, and consumers engaging with organizations through their various </w:t>
      </w:r>
      <w:r w:rsidR="00383D6A">
        <w:rPr>
          <w:rFonts w:ascii="Arial" w:hAnsi="Arial" w:cs="Arial"/>
        </w:rPr>
        <w:t>d</w:t>
      </w:r>
      <w:r w:rsidRPr="00263B0A">
        <w:rPr>
          <w:rFonts w:ascii="Arial" w:hAnsi="Arial" w:cs="Arial"/>
        </w:rPr>
        <w:t>igital platforms (Theodorakopoulos &amp; Theodoropoulou, 2024).</w:t>
      </w:r>
    </w:p>
    <w:p w14:paraId="72F718FA" w14:textId="23CABF92" w:rsidR="00263B0A" w:rsidRPr="00383D6A" w:rsidRDefault="00263B0A" w:rsidP="00383D6A">
      <w:pPr>
        <w:pStyle w:val="ListParagraph"/>
        <w:numPr>
          <w:ilvl w:val="0"/>
          <w:numId w:val="2"/>
        </w:numPr>
        <w:spacing w:line="480" w:lineRule="auto"/>
        <w:rPr>
          <w:rFonts w:ascii="Arial" w:hAnsi="Arial" w:cs="Arial"/>
          <w:b/>
          <w:bCs/>
        </w:rPr>
      </w:pPr>
      <w:r w:rsidRPr="00383D6A">
        <w:rPr>
          <w:rFonts w:ascii="Arial" w:hAnsi="Arial" w:cs="Arial"/>
          <w:b/>
          <w:bCs/>
        </w:rPr>
        <w:lastRenderedPageBreak/>
        <w:t>Targeting</w:t>
      </w:r>
    </w:p>
    <w:p w14:paraId="04631A04" w14:textId="77777777" w:rsidR="00383D6A" w:rsidRDefault="00263B0A" w:rsidP="00263B0A">
      <w:pPr>
        <w:spacing w:line="480" w:lineRule="auto"/>
        <w:rPr>
          <w:rFonts w:ascii="Arial" w:hAnsi="Arial" w:cs="Arial"/>
        </w:rPr>
      </w:pPr>
      <w:r w:rsidRPr="00263B0A">
        <w:rPr>
          <w:rFonts w:ascii="Arial" w:hAnsi="Arial" w:cs="Arial"/>
        </w:rPr>
        <w:t xml:space="preserve">The Target Segment comprises Generation Z consumers who engage regularly with Digital platforms for shopping activity but display low to moderate customer loyalty to supermarket brand names. Generation Z represents a large future customer segment for retailers, due to their </w:t>
      </w:r>
      <w:r w:rsidR="00383D6A" w:rsidRPr="00263B0A">
        <w:rPr>
          <w:rFonts w:ascii="Arial" w:hAnsi="Arial" w:cs="Arial"/>
        </w:rPr>
        <w:t>long-term</w:t>
      </w:r>
      <w:r w:rsidRPr="00263B0A">
        <w:rPr>
          <w:rFonts w:ascii="Arial" w:hAnsi="Arial" w:cs="Arial"/>
        </w:rPr>
        <w:t xml:space="preserve"> purchasing power. Predictive </w:t>
      </w:r>
      <w:r w:rsidR="00383D6A">
        <w:rPr>
          <w:rFonts w:ascii="Arial" w:hAnsi="Arial" w:cs="Arial"/>
        </w:rPr>
        <w:t>a</w:t>
      </w:r>
      <w:r w:rsidRPr="00263B0A">
        <w:rPr>
          <w:rFonts w:ascii="Arial" w:hAnsi="Arial" w:cs="Arial"/>
        </w:rPr>
        <w:t>nalytics aid targeting decisions by predicting high-value prospects based on historical engagement behaviour and projected lifetime value (Kumar et al., 2024).</w:t>
      </w:r>
    </w:p>
    <w:p w14:paraId="1000CACC" w14:textId="08BDFE8C" w:rsidR="00263B0A" w:rsidRPr="00383D6A" w:rsidRDefault="00263B0A" w:rsidP="00383D6A">
      <w:pPr>
        <w:pStyle w:val="ListParagraph"/>
        <w:numPr>
          <w:ilvl w:val="0"/>
          <w:numId w:val="2"/>
        </w:numPr>
        <w:spacing w:line="480" w:lineRule="auto"/>
        <w:rPr>
          <w:rFonts w:ascii="Arial" w:hAnsi="Arial" w:cs="Arial"/>
          <w:b/>
          <w:bCs/>
        </w:rPr>
      </w:pPr>
      <w:r w:rsidRPr="00383D6A">
        <w:rPr>
          <w:rFonts w:ascii="Arial" w:hAnsi="Arial" w:cs="Arial"/>
          <w:b/>
          <w:bCs/>
        </w:rPr>
        <w:t>Positioning</w:t>
      </w:r>
    </w:p>
    <w:p w14:paraId="44D974A2" w14:textId="77777777" w:rsidR="00263B0A" w:rsidRPr="00263B0A" w:rsidRDefault="00263B0A" w:rsidP="00263B0A">
      <w:pPr>
        <w:spacing w:line="480" w:lineRule="auto"/>
        <w:rPr>
          <w:rFonts w:ascii="Arial" w:hAnsi="Arial" w:cs="Arial"/>
        </w:rPr>
      </w:pPr>
      <w:r w:rsidRPr="00263B0A">
        <w:rPr>
          <w:rFonts w:ascii="Arial" w:hAnsi="Arial" w:cs="Arial"/>
        </w:rPr>
        <w:t>Generation Z will help define how Tesco positions itself and is expected to be digitally convenient and value-driven while being socially responsible. The emphasis on Tesco positioning, therefore, shifts away from the functional attributes of Tesco to the convenience of using it digitally, relationships with employees and suppliers based on ethical standards, and the ability to create personalised digital experiences for their customers (</w:t>
      </w:r>
      <w:proofErr w:type="spellStart"/>
      <w:r w:rsidRPr="00263B0A">
        <w:rPr>
          <w:rFonts w:ascii="Arial" w:hAnsi="Arial" w:cs="Arial"/>
        </w:rPr>
        <w:t>Rachmad</w:t>
      </w:r>
      <w:proofErr w:type="spellEnd"/>
      <w:r w:rsidRPr="00263B0A">
        <w:rPr>
          <w:rFonts w:ascii="Arial" w:hAnsi="Arial" w:cs="Arial"/>
        </w:rPr>
        <w:t>, 2024).</w:t>
      </w:r>
    </w:p>
    <w:p w14:paraId="218757AC" w14:textId="5A4F07C0" w:rsidR="00263B0A" w:rsidRPr="00383D6A" w:rsidRDefault="00263B0A" w:rsidP="00383D6A">
      <w:pPr>
        <w:pStyle w:val="ListParagraph"/>
        <w:numPr>
          <w:ilvl w:val="0"/>
          <w:numId w:val="1"/>
        </w:numPr>
        <w:spacing w:line="480" w:lineRule="auto"/>
        <w:rPr>
          <w:rFonts w:ascii="Arial" w:hAnsi="Arial" w:cs="Arial"/>
          <w:b/>
          <w:bCs/>
        </w:rPr>
      </w:pPr>
      <w:r w:rsidRPr="00383D6A">
        <w:rPr>
          <w:rFonts w:ascii="Arial" w:hAnsi="Arial" w:cs="Arial"/>
          <w:b/>
          <w:bCs/>
        </w:rPr>
        <w:t>Digital Marketing Strategy and Channels</w:t>
      </w:r>
    </w:p>
    <w:p w14:paraId="73EC7382" w14:textId="77777777" w:rsidR="00383D6A" w:rsidRDefault="00263B0A" w:rsidP="00263B0A">
      <w:pPr>
        <w:spacing w:line="480" w:lineRule="auto"/>
        <w:rPr>
          <w:rFonts w:ascii="Arial" w:hAnsi="Arial" w:cs="Arial"/>
        </w:rPr>
      </w:pPr>
      <w:r w:rsidRPr="00263B0A">
        <w:rPr>
          <w:rFonts w:ascii="Arial" w:hAnsi="Arial" w:cs="Arial"/>
        </w:rPr>
        <w:t>Generation Z consumers will be influenced by how they engage through social media channels. As a result, digital interactions among peers, building trust with peers, and facilitating engagement are key drivers of a Generation Z consumer's engagement within a digital environment and facilitate an accelerated progression toward social commerce (</w:t>
      </w:r>
      <w:proofErr w:type="spellStart"/>
      <w:r w:rsidRPr="00263B0A">
        <w:rPr>
          <w:rFonts w:ascii="Arial" w:hAnsi="Arial" w:cs="Arial"/>
        </w:rPr>
        <w:t>Rachmad</w:t>
      </w:r>
      <w:proofErr w:type="spellEnd"/>
      <w:r w:rsidRPr="00263B0A">
        <w:rPr>
          <w:rFonts w:ascii="Arial" w:hAnsi="Arial" w:cs="Arial"/>
        </w:rPr>
        <w:t>, 2022). With the continuing evolution of influencer marketing, there has been a preference for authentic influencers (micro-influencers) by consumers rather than the immediate name recognition of celebs (</w:t>
      </w:r>
      <w:proofErr w:type="spellStart"/>
      <w:r w:rsidRPr="00263B0A">
        <w:rPr>
          <w:rFonts w:ascii="Arial" w:hAnsi="Arial" w:cs="Arial"/>
        </w:rPr>
        <w:t>Rachmad</w:t>
      </w:r>
      <w:proofErr w:type="spellEnd"/>
      <w:r w:rsidRPr="00263B0A">
        <w:rPr>
          <w:rFonts w:ascii="Arial" w:hAnsi="Arial" w:cs="Arial"/>
        </w:rPr>
        <w:t>, 2024).</w:t>
      </w:r>
    </w:p>
    <w:p w14:paraId="7E3E912D" w14:textId="272450E4" w:rsidR="00263B0A" w:rsidRPr="00263B0A" w:rsidRDefault="00263B0A" w:rsidP="00263B0A">
      <w:pPr>
        <w:spacing w:line="480" w:lineRule="auto"/>
        <w:rPr>
          <w:rFonts w:ascii="Arial" w:hAnsi="Arial" w:cs="Arial"/>
        </w:rPr>
      </w:pPr>
      <w:r w:rsidRPr="00263B0A">
        <w:rPr>
          <w:rFonts w:ascii="Arial" w:hAnsi="Arial" w:cs="Arial"/>
        </w:rPr>
        <w:lastRenderedPageBreak/>
        <w:t xml:space="preserve">This campaign is proposed to start with a small-scale promotion on social media platforms that utilise Instagram and TikTok by partnering with student influencers and young professionals to promote affordable meal ideas, app-exclusive promotions, and sustainability initiatives </w:t>
      </w:r>
      <w:r w:rsidR="00383D6A" w:rsidRPr="00263B0A">
        <w:rPr>
          <w:rFonts w:ascii="Arial" w:hAnsi="Arial" w:cs="Arial"/>
        </w:rPr>
        <w:t>to</w:t>
      </w:r>
      <w:r w:rsidRPr="00263B0A">
        <w:rPr>
          <w:rFonts w:ascii="Arial" w:hAnsi="Arial" w:cs="Arial"/>
        </w:rPr>
        <w:t xml:space="preserve"> enhance relatability and provide social proof.</w:t>
      </w:r>
    </w:p>
    <w:p w14:paraId="2A306DCB" w14:textId="77777777" w:rsidR="00383D6A" w:rsidRDefault="00263B0A" w:rsidP="00263B0A">
      <w:pPr>
        <w:spacing w:line="480" w:lineRule="auto"/>
        <w:rPr>
          <w:rFonts w:ascii="Arial" w:hAnsi="Arial" w:cs="Arial"/>
        </w:rPr>
      </w:pPr>
      <w:r w:rsidRPr="00263B0A">
        <w:rPr>
          <w:rFonts w:ascii="Arial" w:hAnsi="Arial" w:cs="Arial"/>
        </w:rPr>
        <w:t>Content marketing will play an additional integral role in the overall digital marketing plan for Tesco, as it has been proven that the creation and distribution of high-quality content enhance both the potential for consumer engagement via the internet and for sales outcomes (Isibor et al., 2025). With short-form video content and interactive media forming visual components, there will be increased attention and a higher likelihood of converting to a purchase when engaging with consumers through digital marketing channels (Sunarso &amp; Mustafa, 2023). Tesco plans to utilise short-form video content, UGC, and sustainability storytelling as part of the overall digital marketing strategy to enhance engagement and sharing of content.</w:t>
      </w:r>
    </w:p>
    <w:p w14:paraId="30A93186" w14:textId="2C1E8711" w:rsidR="00263B0A" w:rsidRPr="00263B0A" w:rsidRDefault="00263B0A" w:rsidP="00263B0A">
      <w:pPr>
        <w:spacing w:line="480" w:lineRule="auto"/>
        <w:rPr>
          <w:rFonts w:ascii="Arial" w:hAnsi="Arial" w:cs="Arial"/>
        </w:rPr>
      </w:pPr>
      <w:r w:rsidRPr="00263B0A">
        <w:rPr>
          <w:rFonts w:ascii="Arial" w:hAnsi="Arial" w:cs="Arial"/>
        </w:rPr>
        <w:t xml:space="preserve">Integrated marketing communications will support Tesco's consistency across all digital touchpoints. The alignment of social media, mobile app notification, email marketing, and web content will enhance customer satisfaction and reinforce a consistent brand image (Rehman et al., 2022; </w:t>
      </w:r>
      <w:proofErr w:type="spellStart"/>
      <w:r w:rsidRPr="00263B0A">
        <w:rPr>
          <w:rFonts w:ascii="Arial" w:hAnsi="Arial" w:cs="Arial"/>
        </w:rPr>
        <w:t>Butkouskaya</w:t>
      </w:r>
      <w:proofErr w:type="spellEnd"/>
      <w:r w:rsidRPr="00263B0A">
        <w:rPr>
          <w:rFonts w:ascii="Arial" w:hAnsi="Arial" w:cs="Arial"/>
        </w:rPr>
        <w:t xml:space="preserve"> et al., 2023).</w:t>
      </w:r>
    </w:p>
    <w:p w14:paraId="04D4A17C" w14:textId="77777777" w:rsidR="00263B0A" w:rsidRPr="00263B0A" w:rsidRDefault="00263B0A" w:rsidP="00263B0A">
      <w:pPr>
        <w:spacing w:line="480" w:lineRule="auto"/>
        <w:rPr>
          <w:rFonts w:ascii="Arial" w:hAnsi="Arial" w:cs="Arial"/>
        </w:rPr>
      </w:pPr>
      <w:r w:rsidRPr="00263B0A">
        <w:rPr>
          <w:rFonts w:ascii="Arial" w:hAnsi="Arial" w:cs="Arial"/>
        </w:rPr>
        <w:t>Personalisation through CRM will improve engagement with Generation Z consumers by allowing Tesco to leverage the data collected through CRM processes across multiple platforms to offer personalised recommendations and promotional offerings. CRM marketing intelligence will help improve conversion rates and the lifetime value of customers through timely, relevant communications (Onifade et al., 2024).</w:t>
      </w:r>
    </w:p>
    <w:p w14:paraId="6C43D2EF" w14:textId="77777777" w:rsidR="00263B0A" w:rsidRPr="00263B0A" w:rsidRDefault="00263B0A" w:rsidP="00263B0A">
      <w:pPr>
        <w:spacing w:line="480" w:lineRule="auto"/>
        <w:rPr>
          <w:rFonts w:ascii="Arial" w:hAnsi="Arial" w:cs="Arial"/>
        </w:rPr>
      </w:pPr>
    </w:p>
    <w:p w14:paraId="01000035" w14:textId="4D2A82E9" w:rsidR="00263B0A" w:rsidRPr="00383D6A" w:rsidRDefault="00263B0A" w:rsidP="00383D6A">
      <w:pPr>
        <w:pStyle w:val="ListParagraph"/>
        <w:numPr>
          <w:ilvl w:val="0"/>
          <w:numId w:val="1"/>
        </w:numPr>
        <w:spacing w:line="480" w:lineRule="auto"/>
        <w:rPr>
          <w:rFonts w:ascii="Arial" w:hAnsi="Arial" w:cs="Arial"/>
          <w:b/>
          <w:bCs/>
        </w:rPr>
      </w:pPr>
      <w:r w:rsidRPr="00383D6A">
        <w:rPr>
          <w:rFonts w:ascii="Arial" w:hAnsi="Arial" w:cs="Arial"/>
          <w:b/>
          <w:bCs/>
        </w:rPr>
        <w:lastRenderedPageBreak/>
        <w:t>Success Measurement and Evaluation</w:t>
      </w:r>
    </w:p>
    <w:p w14:paraId="49A1BB62" w14:textId="77777777" w:rsidR="00263B0A" w:rsidRPr="00263B0A" w:rsidRDefault="00263B0A" w:rsidP="00263B0A">
      <w:pPr>
        <w:spacing w:line="480" w:lineRule="auto"/>
        <w:rPr>
          <w:rFonts w:ascii="Arial" w:hAnsi="Arial" w:cs="Arial"/>
        </w:rPr>
      </w:pPr>
      <w:r w:rsidRPr="00263B0A">
        <w:rPr>
          <w:rFonts w:ascii="Arial" w:hAnsi="Arial" w:cs="Arial"/>
        </w:rPr>
        <w:t>Monitoring the effectiveness of digital marketing is critical for accountability and continuous improvement; thus, short-term digital marketing success will be determined via the use of a combination of both short-term engagement metrics and long-term value indicators.</w:t>
      </w:r>
    </w:p>
    <w:p w14:paraId="48C3FE99" w14:textId="77777777" w:rsidR="00263B0A" w:rsidRPr="00263B0A" w:rsidRDefault="00263B0A" w:rsidP="00263B0A">
      <w:pPr>
        <w:spacing w:line="480" w:lineRule="auto"/>
        <w:rPr>
          <w:rFonts w:ascii="Arial" w:hAnsi="Arial" w:cs="Arial"/>
        </w:rPr>
      </w:pPr>
      <w:r w:rsidRPr="00263B0A">
        <w:rPr>
          <w:rFonts w:ascii="Arial" w:hAnsi="Arial" w:cs="Arial"/>
        </w:rPr>
        <w:t>The following are examples of key performance indicators (KPIs) used to evaluate the effectiveness of digital marketing:</w:t>
      </w:r>
    </w:p>
    <w:p w14:paraId="1EB826C5" w14:textId="067CADEC" w:rsidR="00263B0A" w:rsidRPr="00383D6A" w:rsidRDefault="00263B0A" w:rsidP="00383D6A">
      <w:pPr>
        <w:pStyle w:val="ListParagraph"/>
        <w:numPr>
          <w:ilvl w:val="0"/>
          <w:numId w:val="4"/>
        </w:numPr>
        <w:spacing w:line="480" w:lineRule="auto"/>
        <w:rPr>
          <w:rFonts w:ascii="Arial" w:hAnsi="Arial" w:cs="Arial"/>
        </w:rPr>
      </w:pPr>
      <w:r w:rsidRPr="00383D6A">
        <w:rPr>
          <w:rFonts w:ascii="Arial" w:hAnsi="Arial" w:cs="Arial"/>
        </w:rPr>
        <w:t>Social media engagement rates</w:t>
      </w:r>
      <w:r w:rsidR="00383D6A">
        <w:rPr>
          <w:rFonts w:ascii="Arial" w:hAnsi="Arial" w:cs="Arial"/>
        </w:rPr>
        <w:t>.</w:t>
      </w:r>
    </w:p>
    <w:p w14:paraId="2B033CB8" w14:textId="7828E5C9" w:rsidR="00263B0A" w:rsidRPr="00383D6A" w:rsidRDefault="00263B0A" w:rsidP="00383D6A">
      <w:pPr>
        <w:pStyle w:val="ListParagraph"/>
        <w:numPr>
          <w:ilvl w:val="0"/>
          <w:numId w:val="4"/>
        </w:numPr>
        <w:spacing w:line="480" w:lineRule="auto"/>
        <w:rPr>
          <w:rFonts w:ascii="Arial" w:hAnsi="Arial" w:cs="Arial"/>
        </w:rPr>
      </w:pPr>
      <w:r w:rsidRPr="00383D6A">
        <w:rPr>
          <w:rFonts w:ascii="Arial" w:hAnsi="Arial" w:cs="Arial"/>
        </w:rPr>
        <w:t>Number of downloads and active users of the mobile app</w:t>
      </w:r>
      <w:r w:rsidR="00383D6A">
        <w:rPr>
          <w:rFonts w:ascii="Arial" w:hAnsi="Arial" w:cs="Arial"/>
        </w:rPr>
        <w:t>.</w:t>
      </w:r>
    </w:p>
    <w:p w14:paraId="1BE049D2" w14:textId="540452EB" w:rsidR="00383D6A" w:rsidRDefault="00263B0A" w:rsidP="00263B0A">
      <w:pPr>
        <w:pStyle w:val="ListParagraph"/>
        <w:numPr>
          <w:ilvl w:val="0"/>
          <w:numId w:val="4"/>
        </w:numPr>
        <w:spacing w:line="480" w:lineRule="auto"/>
        <w:rPr>
          <w:rFonts w:ascii="Arial" w:hAnsi="Arial" w:cs="Arial"/>
        </w:rPr>
      </w:pPr>
      <w:r w:rsidRPr="00383D6A">
        <w:rPr>
          <w:rFonts w:ascii="Arial" w:hAnsi="Arial" w:cs="Arial"/>
        </w:rPr>
        <w:t>Online conversion rates</w:t>
      </w:r>
      <w:r w:rsidR="00383D6A">
        <w:rPr>
          <w:rFonts w:ascii="Arial" w:hAnsi="Arial" w:cs="Arial"/>
        </w:rPr>
        <w:t>.</w:t>
      </w:r>
    </w:p>
    <w:p w14:paraId="750C93E2" w14:textId="44EDE7CC" w:rsidR="00263B0A" w:rsidRPr="00383D6A" w:rsidRDefault="00263B0A" w:rsidP="00263B0A">
      <w:pPr>
        <w:pStyle w:val="ListParagraph"/>
        <w:numPr>
          <w:ilvl w:val="0"/>
          <w:numId w:val="4"/>
        </w:numPr>
        <w:spacing w:line="480" w:lineRule="auto"/>
        <w:rPr>
          <w:rFonts w:ascii="Arial" w:hAnsi="Arial" w:cs="Arial"/>
        </w:rPr>
      </w:pPr>
      <w:r w:rsidRPr="00383D6A">
        <w:rPr>
          <w:rFonts w:ascii="Arial" w:hAnsi="Arial" w:cs="Arial"/>
        </w:rPr>
        <w:t>Customer Lifetime Value</w:t>
      </w:r>
      <w:r w:rsidR="00383D6A">
        <w:rPr>
          <w:rFonts w:ascii="Arial" w:hAnsi="Arial" w:cs="Arial"/>
        </w:rPr>
        <w:t>.</w:t>
      </w:r>
    </w:p>
    <w:p w14:paraId="61AB55CB" w14:textId="77777777" w:rsidR="00383D6A" w:rsidRDefault="00263B0A" w:rsidP="00263B0A">
      <w:pPr>
        <w:spacing w:line="480" w:lineRule="auto"/>
        <w:rPr>
          <w:rFonts w:ascii="Arial" w:hAnsi="Arial" w:cs="Arial"/>
        </w:rPr>
      </w:pPr>
      <w:r w:rsidRPr="00263B0A">
        <w:rPr>
          <w:rFonts w:ascii="Arial" w:hAnsi="Arial" w:cs="Arial"/>
        </w:rPr>
        <w:t>Long-term performance measurement will be vital when considering Generation Z as their early engagement with a brand can create value for years to come. The establishment of trust and satisfaction are key to creating long-term value, emphasising the necessity to develop a digital strategy that focuses on building relationships (</w:t>
      </w:r>
      <w:proofErr w:type="spellStart"/>
      <w:r w:rsidRPr="00263B0A">
        <w:rPr>
          <w:rFonts w:ascii="Arial" w:hAnsi="Arial" w:cs="Arial"/>
        </w:rPr>
        <w:t>Kojuri</w:t>
      </w:r>
      <w:proofErr w:type="spellEnd"/>
      <w:r w:rsidRPr="00263B0A">
        <w:rPr>
          <w:rFonts w:ascii="Arial" w:hAnsi="Arial" w:cs="Arial"/>
        </w:rPr>
        <w:t xml:space="preserve"> &amp; Ali, 2024). Strategies implemented based on predictive CLV models can improve decisions and resource allocation by predicting the future profitability of campaigns (Kumar et al., 2024).</w:t>
      </w:r>
    </w:p>
    <w:p w14:paraId="07B554AE" w14:textId="08EC05E8" w:rsidR="00263B0A" w:rsidRPr="00263B0A" w:rsidRDefault="00263B0A" w:rsidP="00263B0A">
      <w:pPr>
        <w:spacing w:line="480" w:lineRule="auto"/>
        <w:rPr>
          <w:rFonts w:ascii="Arial" w:hAnsi="Arial" w:cs="Arial"/>
        </w:rPr>
      </w:pPr>
      <w:r w:rsidRPr="00263B0A">
        <w:rPr>
          <w:rFonts w:ascii="Arial" w:hAnsi="Arial" w:cs="Arial"/>
        </w:rPr>
        <w:t xml:space="preserve">Advanced analytics tools will provide ongoing monitoring, performance benchmarks, and optimisation for campaigns, resulting in improved marketing and return on investment (Al </w:t>
      </w:r>
      <w:proofErr w:type="spellStart"/>
      <w:r w:rsidRPr="00263B0A">
        <w:rPr>
          <w:rFonts w:ascii="Arial" w:hAnsi="Arial" w:cs="Arial"/>
        </w:rPr>
        <w:t>Khaldy</w:t>
      </w:r>
      <w:proofErr w:type="spellEnd"/>
      <w:r w:rsidRPr="00263B0A">
        <w:rPr>
          <w:rFonts w:ascii="Arial" w:hAnsi="Arial" w:cs="Arial"/>
        </w:rPr>
        <w:t xml:space="preserve"> et al., 2023).</w:t>
      </w:r>
    </w:p>
    <w:p w14:paraId="527E57B9" w14:textId="77777777" w:rsidR="00263B0A" w:rsidRPr="00263B0A" w:rsidRDefault="00263B0A" w:rsidP="00263B0A">
      <w:pPr>
        <w:spacing w:line="480" w:lineRule="auto"/>
        <w:rPr>
          <w:rFonts w:ascii="Arial" w:hAnsi="Arial" w:cs="Arial"/>
        </w:rPr>
      </w:pPr>
    </w:p>
    <w:p w14:paraId="7DBA4DCA" w14:textId="77777777" w:rsidR="00383D6A" w:rsidRDefault="00383D6A" w:rsidP="00263B0A">
      <w:pPr>
        <w:spacing w:line="480" w:lineRule="auto"/>
        <w:rPr>
          <w:rFonts w:ascii="Arial" w:hAnsi="Arial" w:cs="Arial"/>
        </w:rPr>
      </w:pPr>
    </w:p>
    <w:p w14:paraId="53F83D1B" w14:textId="3CE5578B" w:rsidR="00263B0A" w:rsidRPr="00383D6A" w:rsidRDefault="00263B0A" w:rsidP="00383D6A">
      <w:pPr>
        <w:pStyle w:val="ListParagraph"/>
        <w:numPr>
          <w:ilvl w:val="0"/>
          <w:numId w:val="1"/>
        </w:numPr>
        <w:spacing w:line="480" w:lineRule="auto"/>
        <w:rPr>
          <w:rFonts w:ascii="Arial" w:hAnsi="Arial" w:cs="Arial"/>
          <w:b/>
          <w:bCs/>
        </w:rPr>
      </w:pPr>
      <w:r w:rsidRPr="00383D6A">
        <w:rPr>
          <w:rFonts w:ascii="Arial" w:hAnsi="Arial" w:cs="Arial"/>
          <w:b/>
          <w:bCs/>
        </w:rPr>
        <w:lastRenderedPageBreak/>
        <w:t>Conclusion</w:t>
      </w:r>
    </w:p>
    <w:p w14:paraId="35430D95" w14:textId="7E0FA56D" w:rsidR="00263B0A" w:rsidRDefault="00263B0A" w:rsidP="00263B0A">
      <w:pPr>
        <w:spacing w:line="480" w:lineRule="auto"/>
        <w:rPr>
          <w:rFonts w:ascii="Arial" w:hAnsi="Arial" w:cs="Arial"/>
        </w:rPr>
      </w:pPr>
      <w:r w:rsidRPr="00263B0A">
        <w:rPr>
          <w:rFonts w:ascii="Arial" w:hAnsi="Arial" w:cs="Arial"/>
        </w:rPr>
        <w:t xml:space="preserve">The proposed digital marketing plan for Tesco demonstrates a data-driven and relationship-focused strategy </w:t>
      </w:r>
      <w:r w:rsidR="00383D6A" w:rsidRPr="00263B0A">
        <w:rPr>
          <w:rFonts w:ascii="Arial" w:hAnsi="Arial" w:cs="Arial"/>
        </w:rPr>
        <w:t>to</w:t>
      </w:r>
      <w:r w:rsidRPr="00263B0A">
        <w:rPr>
          <w:rFonts w:ascii="Arial" w:hAnsi="Arial" w:cs="Arial"/>
        </w:rPr>
        <w:t xml:space="preserve"> engage Generation Z consumers. Tesco will be able to utilise contemporary digital marketing theory and introduce best practices in the use of advanced analytics to reposition itself as an ethical, relevant, digitally engaged brand targeted toward younger consumers. The proposed strategy provides a direct link to the rapidly changing consumer behaviour, technological advancement, and sustainability expectations of consumers, which will create long-term loyalty and competitive advantage for Tesco within the UK retail grocery market.</w:t>
      </w:r>
    </w:p>
    <w:p w14:paraId="24479368" w14:textId="77777777" w:rsidR="00263B0A" w:rsidRDefault="00263B0A" w:rsidP="00263B0A">
      <w:pPr>
        <w:spacing w:line="480" w:lineRule="auto"/>
        <w:rPr>
          <w:rFonts w:ascii="Arial" w:hAnsi="Arial" w:cs="Arial"/>
        </w:rPr>
      </w:pPr>
    </w:p>
    <w:p w14:paraId="2A9E869D" w14:textId="77777777" w:rsidR="00263B0A" w:rsidRDefault="00263B0A" w:rsidP="00263B0A">
      <w:pPr>
        <w:spacing w:line="480" w:lineRule="auto"/>
        <w:rPr>
          <w:rFonts w:ascii="Arial" w:hAnsi="Arial" w:cs="Arial"/>
        </w:rPr>
      </w:pPr>
    </w:p>
    <w:p w14:paraId="527B6D8D" w14:textId="77777777" w:rsidR="00263B0A" w:rsidRDefault="00263B0A" w:rsidP="00263B0A">
      <w:pPr>
        <w:spacing w:line="480" w:lineRule="auto"/>
        <w:rPr>
          <w:rFonts w:ascii="Arial" w:hAnsi="Arial" w:cs="Arial"/>
        </w:rPr>
      </w:pPr>
    </w:p>
    <w:p w14:paraId="3A8053A7" w14:textId="77777777" w:rsidR="00263B0A" w:rsidRDefault="00263B0A" w:rsidP="00263B0A">
      <w:pPr>
        <w:spacing w:line="480" w:lineRule="auto"/>
        <w:rPr>
          <w:rFonts w:ascii="Arial" w:hAnsi="Arial" w:cs="Arial"/>
        </w:rPr>
      </w:pPr>
    </w:p>
    <w:p w14:paraId="2F9B1E5E" w14:textId="77777777" w:rsidR="00263B0A" w:rsidRDefault="00263B0A" w:rsidP="00263B0A">
      <w:pPr>
        <w:spacing w:line="480" w:lineRule="auto"/>
        <w:rPr>
          <w:rFonts w:ascii="Arial" w:hAnsi="Arial" w:cs="Arial"/>
        </w:rPr>
      </w:pPr>
    </w:p>
    <w:p w14:paraId="37B74700" w14:textId="77777777" w:rsidR="00263B0A" w:rsidRDefault="00263B0A" w:rsidP="00263B0A">
      <w:pPr>
        <w:spacing w:line="480" w:lineRule="auto"/>
        <w:rPr>
          <w:rFonts w:ascii="Arial" w:hAnsi="Arial" w:cs="Arial"/>
        </w:rPr>
      </w:pPr>
    </w:p>
    <w:p w14:paraId="5FAD0EC6" w14:textId="77777777" w:rsidR="00263B0A" w:rsidRDefault="00263B0A" w:rsidP="00263B0A">
      <w:pPr>
        <w:spacing w:line="480" w:lineRule="auto"/>
        <w:rPr>
          <w:rFonts w:ascii="Arial" w:hAnsi="Arial" w:cs="Arial"/>
        </w:rPr>
      </w:pPr>
    </w:p>
    <w:p w14:paraId="2098C353" w14:textId="77777777" w:rsidR="00263B0A" w:rsidRDefault="00263B0A" w:rsidP="00263B0A">
      <w:pPr>
        <w:spacing w:line="480" w:lineRule="auto"/>
        <w:rPr>
          <w:rFonts w:ascii="Arial" w:hAnsi="Arial" w:cs="Arial"/>
        </w:rPr>
      </w:pPr>
    </w:p>
    <w:p w14:paraId="0B49C533" w14:textId="77777777" w:rsidR="00263B0A" w:rsidRDefault="00263B0A" w:rsidP="00263B0A">
      <w:pPr>
        <w:spacing w:line="480" w:lineRule="auto"/>
        <w:rPr>
          <w:rFonts w:ascii="Arial" w:hAnsi="Arial" w:cs="Arial"/>
        </w:rPr>
      </w:pPr>
    </w:p>
    <w:p w14:paraId="43FD671F" w14:textId="77777777" w:rsidR="00263B0A" w:rsidRDefault="00263B0A" w:rsidP="00263B0A">
      <w:pPr>
        <w:spacing w:line="480" w:lineRule="auto"/>
        <w:rPr>
          <w:rFonts w:ascii="Arial" w:hAnsi="Arial" w:cs="Arial"/>
        </w:rPr>
      </w:pPr>
    </w:p>
    <w:p w14:paraId="5B6320CD" w14:textId="77777777" w:rsidR="00263B0A" w:rsidRDefault="00263B0A" w:rsidP="00263B0A">
      <w:pPr>
        <w:spacing w:line="480" w:lineRule="auto"/>
        <w:rPr>
          <w:rFonts w:ascii="Arial" w:hAnsi="Arial" w:cs="Arial"/>
        </w:rPr>
      </w:pPr>
    </w:p>
    <w:p w14:paraId="70406704" w14:textId="77777777" w:rsidR="00383D6A" w:rsidRDefault="00383D6A" w:rsidP="00263B0A">
      <w:pPr>
        <w:spacing w:line="480" w:lineRule="auto"/>
        <w:rPr>
          <w:rFonts w:ascii="Arial" w:hAnsi="Arial" w:cs="Arial"/>
        </w:rPr>
      </w:pPr>
    </w:p>
    <w:p w14:paraId="106A58BD" w14:textId="394A3E2F" w:rsidR="00263B0A" w:rsidRPr="00383D6A" w:rsidRDefault="00263B0A" w:rsidP="00263B0A">
      <w:pPr>
        <w:spacing w:line="480" w:lineRule="auto"/>
        <w:rPr>
          <w:rFonts w:ascii="Arial" w:hAnsi="Arial" w:cs="Arial"/>
          <w:b/>
          <w:bCs/>
        </w:rPr>
      </w:pPr>
      <w:r w:rsidRPr="00383D6A">
        <w:rPr>
          <w:rFonts w:ascii="Arial" w:hAnsi="Arial" w:cs="Arial"/>
          <w:b/>
          <w:bCs/>
        </w:rPr>
        <w:lastRenderedPageBreak/>
        <w:t xml:space="preserve">References </w:t>
      </w:r>
    </w:p>
    <w:p w14:paraId="77AC9414" w14:textId="77777777" w:rsidR="00263B0A" w:rsidRPr="00263B0A" w:rsidRDefault="00263B0A" w:rsidP="00263B0A">
      <w:pPr>
        <w:spacing w:line="480" w:lineRule="auto"/>
        <w:rPr>
          <w:rFonts w:ascii="Arial" w:hAnsi="Arial" w:cs="Arial"/>
        </w:rPr>
      </w:pPr>
      <w:r w:rsidRPr="00263B0A">
        <w:rPr>
          <w:rFonts w:ascii="Arial" w:hAnsi="Arial" w:cs="Arial"/>
        </w:rPr>
        <w:t>Al Khaldy, M. A., Al-</w:t>
      </w:r>
      <w:proofErr w:type="spellStart"/>
      <w:r w:rsidRPr="00263B0A">
        <w:rPr>
          <w:rFonts w:ascii="Arial" w:hAnsi="Arial" w:cs="Arial"/>
        </w:rPr>
        <w:t>Obaydi</w:t>
      </w:r>
      <w:proofErr w:type="spellEnd"/>
      <w:r w:rsidRPr="00263B0A">
        <w:rPr>
          <w:rFonts w:ascii="Arial" w:hAnsi="Arial" w:cs="Arial"/>
        </w:rPr>
        <w:t xml:space="preserve">, B. A. A., &amp; Al Shari, A. J. (2023). The impact of predictive analytics and AI on digital marketing strategy and ROI. In </w:t>
      </w:r>
      <w:r w:rsidRPr="00383D6A">
        <w:rPr>
          <w:rFonts w:ascii="Arial" w:hAnsi="Arial" w:cs="Arial"/>
          <w:i/>
          <w:iCs/>
        </w:rPr>
        <w:t xml:space="preserve">Conference on sustainability and cutting-edge business technologies </w:t>
      </w:r>
      <w:r w:rsidRPr="00263B0A">
        <w:rPr>
          <w:rFonts w:ascii="Arial" w:hAnsi="Arial" w:cs="Arial"/>
        </w:rPr>
        <w:t>(pp. 367–379). Springer Nature Switzerland. https://doi.org/10.1007/978-3-031-xxxx-x</w:t>
      </w:r>
    </w:p>
    <w:p w14:paraId="1A2DF41F" w14:textId="63CE2A95" w:rsidR="00263B0A" w:rsidRPr="00263B0A" w:rsidRDefault="00383D6A" w:rsidP="00263B0A">
      <w:pPr>
        <w:spacing w:line="480" w:lineRule="auto"/>
        <w:rPr>
          <w:rFonts w:ascii="Arial" w:hAnsi="Arial" w:cs="Arial"/>
        </w:rPr>
      </w:pPr>
      <w:r>
        <w:rPr>
          <w:rFonts w:ascii="Arial" w:hAnsi="Arial" w:cs="Arial"/>
        </w:rPr>
        <w:t xml:space="preserve"> </w:t>
      </w:r>
      <w:proofErr w:type="spellStart"/>
      <w:r w:rsidR="00263B0A" w:rsidRPr="00263B0A">
        <w:rPr>
          <w:rFonts w:ascii="Arial" w:hAnsi="Arial" w:cs="Arial"/>
        </w:rPr>
        <w:t>Butkouskaya</w:t>
      </w:r>
      <w:proofErr w:type="spellEnd"/>
      <w:r w:rsidR="00263B0A" w:rsidRPr="00263B0A">
        <w:rPr>
          <w:rFonts w:ascii="Arial" w:hAnsi="Arial" w:cs="Arial"/>
        </w:rPr>
        <w:t xml:space="preserve">, V., Oyner, O., &amp; Kazakov, S. (2023). The impact of omnichannel integrated marketing communications (IMC) on product and retail service satisfaction. </w:t>
      </w:r>
      <w:r w:rsidR="00263B0A" w:rsidRPr="00383D6A">
        <w:rPr>
          <w:rFonts w:ascii="Arial" w:hAnsi="Arial" w:cs="Arial"/>
          <w:i/>
          <w:iCs/>
        </w:rPr>
        <w:t>Journal of Economics, Finance and Administrative Science, 28</w:t>
      </w:r>
      <w:r w:rsidR="00263B0A" w:rsidRPr="00263B0A">
        <w:rPr>
          <w:rFonts w:ascii="Arial" w:hAnsi="Arial" w:cs="Arial"/>
        </w:rPr>
        <w:t xml:space="preserve">(56), 319–334. </w:t>
      </w:r>
      <w:hyperlink r:id="rId7" w:history="1">
        <w:r w:rsidRPr="00AA50F0">
          <w:rPr>
            <w:rStyle w:val="Hyperlink"/>
            <w:rFonts w:ascii="Arial" w:hAnsi="Arial" w:cs="Arial"/>
          </w:rPr>
          <w:t>https://doi.org/10.1108/JEFAS-02-2022-0035</w:t>
        </w:r>
      </w:hyperlink>
      <w:r>
        <w:rPr>
          <w:rFonts w:ascii="Arial" w:hAnsi="Arial" w:cs="Arial"/>
        </w:rPr>
        <w:t xml:space="preserve"> </w:t>
      </w:r>
    </w:p>
    <w:p w14:paraId="0C53FE1A" w14:textId="77777777" w:rsidR="00263B0A" w:rsidRPr="00263B0A" w:rsidRDefault="00263B0A" w:rsidP="00263B0A">
      <w:pPr>
        <w:spacing w:line="480" w:lineRule="auto"/>
        <w:rPr>
          <w:rFonts w:ascii="Arial" w:hAnsi="Arial" w:cs="Arial"/>
        </w:rPr>
      </w:pPr>
      <w:r w:rsidRPr="00263B0A">
        <w:rPr>
          <w:rFonts w:ascii="Arial" w:hAnsi="Arial" w:cs="Arial"/>
        </w:rPr>
        <w:t xml:space="preserve">Isibor, N. J., Attipoe, V., Oyeyipo, I., Ayodeji, D. C., Apiyo, B., Alonge, E., &amp; </w:t>
      </w:r>
      <w:proofErr w:type="spellStart"/>
      <w:r w:rsidRPr="00263B0A">
        <w:rPr>
          <w:rFonts w:ascii="Arial" w:hAnsi="Arial" w:cs="Arial"/>
        </w:rPr>
        <w:t>Onwuzulike</w:t>
      </w:r>
      <w:proofErr w:type="spellEnd"/>
      <w:r w:rsidRPr="00263B0A">
        <w:rPr>
          <w:rFonts w:ascii="Arial" w:hAnsi="Arial" w:cs="Arial"/>
        </w:rPr>
        <w:t xml:space="preserve">, O. C. (2025). Analysing successful content marketing strategies that enhance online engagement and sales for digital brands. </w:t>
      </w:r>
      <w:r w:rsidRPr="008F7EF5">
        <w:rPr>
          <w:rFonts w:ascii="Arial" w:hAnsi="Arial" w:cs="Arial"/>
          <w:i/>
          <w:iCs/>
        </w:rPr>
        <w:t>International Journal of Advanced Multidisciplinary Research and Studies, 5</w:t>
      </w:r>
      <w:r w:rsidRPr="00263B0A">
        <w:rPr>
          <w:rFonts w:ascii="Arial" w:hAnsi="Arial" w:cs="Arial"/>
        </w:rPr>
        <w:t>(2), 842–851.</w:t>
      </w:r>
    </w:p>
    <w:p w14:paraId="1859DFC1" w14:textId="77777777" w:rsidR="00263B0A" w:rsidRPr="00263B0A" w:rsidRDefault="00263B0A" w:rsidP="00263B0A">
      <w:pPr>
        <w:spacing w:line="480" w:lineRule="auto"/>
        <w:rPr>
          <w:rFonts w:ascii="Arial" w:hAnsi="Arial" w:cs="Arial"/>
        </w:rPr>
      </w:pPr>
      <w:r w:rsidRPr="00263B0A">
        <w:rPr>
          <w:rFonts w:ascii="Arial" w:hAnsi="Arial" w:cs="Arial"/>
        </w:rPr>
        <w:t>Kojuri, S., &amp; Ali, M. (2024). Customer lifetime value in relationship marketing: The effect of satisfaction and trust on value sustainability (Case study: Restaurant industry</w:t>
      </w:r>
      <w:r w:rsidRPr="008F7EF5">
        <w:rPr>
          <w:rFonts w:ascii="Arial" w:hAnsi="Arial" w:cs="Arial"/>
          <w:i/>
          <w:iCs/>
        </w:rPr>
        <w:t>). Strategic Value Chain Management, 1</w:t>
      </w:r>
      <w:r w:rsidRPr="00263B0A">
        <w:rPr>
          <w:rFonts w:ascii="Arial" w:hAnsi="Arial" w:cs="Arial"/>
        </w:rPr>
        <w:t>(2), 25–40.</w:t>
      </w:r>
    </w:p>
    <w:p w14:paraId="0367E5FE" w14:textId="3AC614C8" w:rsidR="00263B0A" w:rsidRPr="00263B0A" w:rsidRDefault="00263B0A" w:rsidP="00263B0A">
      <w:pPr>
        <w:spacing w:line="480" w:lineRule="auto"/>
        <w:rPr>
          <w:rFonts w:ascii="Arial" w:hAnsi="Arial" w:cs="Arial"/>
        </w:rPr>
      </w:pPr>
      <w:r w:rsidRPr="00263B0A">
        <w:rPr>
          <w:rFonts w:ascii="Arial" w:hAnsi="Arial" w:cs="Arial"/>
        </w:rPr>
        <w:t xml:space="preserve">Kumar, S., Bajpai, V. N., Jha, A. K., &amp; Upadhyay, S. (2024). Predictive analytics for customer lifetime value (CLV) optimization: Estimating CLV to inform strategic marketing decisions for maximizing profitability. In </w:t>
      </w:r>
      <w:r w:rsidRPr="008F7EF5">
        <w:rPr>
          <w:rFonts w:ascii="Arial" w:hAnsi="Arial" w:cs="Arial"/>
          <w:i/>
          <w:iCs/>
        </w:rPr>
        <w:t>2024 13th International Conference on System Modelling &amp; Advancement in Research Trends</w:t>
      </w:r>
      <w:r w:rsidRPr="00263B0A">
        <w:rPr>
          <w:rFonts w:ascii="Arial" w:hAnsi="Arial" w:cs="Arial"/>
        </w:rPr>
        <w:t xml:space="preserve"> (SMART) (pp. 431–435). IEEE. </w:t>
      </w:r>
      <w:hyperlink r:id="rId8" w:history="1">
        <w:r w:rsidR="008F7EF5" w:rsidRPr="00AA50F0">
          <w:rPr>
            <w:rStyle w:val="Hyperlink"/>
            <w:rFonts w:ascii="Arial" w:hAnsi="Arial" w:cs="Arial"/>
          </w:rPr>
          <w:t>https://doi.org/10.1109/SMARTxxxx</w:t>
        </w:r>
      </w:hyperlink>
      <w:r w:rsidR="008F7EF5">
        <w:rPr>
          <w:rFonts w:ascii="Arial" w:hAnsi="Arial" w:cs="Arial"/>
        </w:rPr>
        <w:t xml:space="preserve"> </w:t>
      </w:r>
    </w:p>
    <w:p w14:paraId="70394B5F" w14:textId="77777777" w:rsidR="008F7EF5" w:rsidRDefault="00263B0A" w:rsidP="00263B0A">
      <w:pPr>
        <w:spacing w:line="480" w:lineRule="auto"/>
        <w:rPr>
          <w:rFonts w:ascii="Arial" w:hAnsi="Arial" w:cs="Arial"/>
        </w:rPr>
      </w:pPr>
      <w:r w:rsidRPr="00263B0A">
        <w:rPr>
          <w:rFonts w:ascii="Arial" w:hAnsi="Arial" w:cs="Arial"/>
        </w:rPr>
        <w:t xml:space="preserve">Naim, A. (2023). Consumer behaviour in marketing patterns, types, segmentation. </w:t>
      </w:r>
      <w:r w:rsidRPr="008F7EF5">
        <w:rPr>
          <w:rFonts w:ascii="Arial" w:hAnsi="Arial" w:cs="Arial"/>
          <w:i/>
          <w:iCs/>
        </w:rPr>
        <w:t>European Journal of Economics, Finance and Business Development, 1</w:t>
      </w:r>
      <w:r w:rsidRPr="00263B0A">
        <w:rPr>
          <w:rFonts w:ascii="Arial" w:hAnsi="Arial" w:cs="Arial"/>
        </w:rPr>
        <w:t>(1), 1–18.</w:t>
      </w:r>
    </w:p>
    <w:p w14:paraId="6BBA40EA" w14:textId="30C663BA" w:rsidR="00263B0A" w:rsidRPr="00263B0A" w:rsidRDefault="00263B0A" w:rsidP="00263B0A">
      <w:pPr>
        <w:spacing w:line="480" w:lineRule="auto"/>
        <w:rPr>
          <w:rFonts w:ascii="Arial" w:hAnsi="Arial" w:cs="Arial"/>
        </w:rPr>
      </w:pPr>
      <w:proofErr w:type="spellStart"/>
      <w:r w:rsidRPr="00263B0A">
        <w:rPr>
          <w:rFonts w:ascii="Arial" w:hAnsi="Arial" w:cs="Arial"/>
        </w:rPr>
        <w:lastRenderedPageBreak/>
        <w:t>Nittala</w:t>
      </w:r>
      <w:proofErr w:type="spellEnd"/>
      <w:r w:rsidRPr="00263B0A">
        <w:rPr>
          <w:rFonts w:ascii="Arial" w:hAnsi="Arial" w:cs="Arial"/>
        </w:rPr>
        <w:t xml:space="preserve">, R., &amp; </w:t>
      </w:r>
      <w:proofErr w:type="spellStart"/>
      <w:r w:rsidRPr="00263B0A">
        <w:rPr>
          <w:rFonts w:ascii="Arial" w:hAnsi="Arial" w:cs="Arial"/>
        </w:rPr>
        <w:t>Moturu</w:t>
      </w:r>
      <w:proofErr w:type="spellEnd"/>
      <w:r w:rsidRPr="00263B0A">
        <w:rPr>
          <w:rFonts w:ascii="Arial" w:hAnsi="Arial" w:cs="Arial"/>
        </w:rPr>
        <w:t xml:space="preserve">, V. R. (2023). Role of pro-environmental post-purchase behaviour in green consumer behaviour. </w:t>
      </w:r>
      <w:r w:rsidRPr="008F7EF5">
        <w:rPr>
          <w:rFonts w:ascii="Arial" w:hAnsi="Arial" w:cs="Arial"/>
          <w:i/>
          <w:iCs/>
        </w:rPr>
        <w:t>Vilakshan–XIMB Journal of Management, 20</w:t>
      </w:r>
      <w:r w:rsidRPr="00263B0A">
        <w:rPr>
          <w:rFonts w:ascii="Arial" w:hAnsi="Arial" w:cs="Arial"/>
        </w:rPr>
        <w:t xml:space="preserve">(1), 82–97. </w:t>
      </w:r>
      <w:hyperlink r:id="rId9" w:history="1">
        <w:r w:rsidR="008F7EF5" w:rsidRPr="00AA50F0">
          <w:rPr>
            <w:rStyle w:val="Hyperlink"/>
            <w:rFonts w:ascii="Arial" w:hAnsi="Arial" w:cs="Arial"/>
          </w:rPr>
          <w:t>https://doi.org/10.1108/XJM-06-2022-0134</w:t>
        </w:r>
      </w:hyperlink>
      <w:r w:rsidR="008F7EF5">
        <w:rPr>
          <w:rFonts w:ascii="Arial" w:hAnsi="Arial" w:cs="Arial"/>
        </w:rPr>
        <w:t xml:space="preserve"> </w:t>
      </w:r>
    </w:p>
    <w:p w14:paraId="730667F3" w14:textId="77777777" w:rsidR="00263B0A" w:rsidRPr="00263B0A" w:rsidRDefault="00263B0A" w:rsidP="00263B0A">
      <w:pPr>
        <w:spacing w:line="480" w:lineRule="auto"/>
        <w:rPr>
          <w:rFonts w:ascii="Arial" w:hAnsi="Arial" w:cs="Arial"/>
        </w:rPr>
      </w:pPr>
      <w:r w:rsidRPr="00263B0A">
        <w:rPr>
          <w:rFonts w:ascii="Arial" w:hAnsi="Arial" w:cs="Arial"/>
        </w:rPr>
        <w:t xml:space="preserve">Onifade, A. Y., </w:t>
      </w:r>
      <w:proofErr w:type="spellStart"/>
      <w:r w:rsidRPr="00263B0A">
        <w:rPr>
          <w:rFonts w:ascii="Arial" w:hAnsi="Arial" w:cs="Arial"/>
        </w:rPr>
        <w:t>Ogeawuchi</w:t>
      </w:r>
      <w:proofErr w:type="spellEnd"/>
      <w:r w:rsidRPr="00263B0A">
        <w:rPr>
          <w:rFonts w:ascii="Arial" w:hAnsi="Arial" w:cs="Arial"/>
        </w:rPr>
        <w:t xml:space="preserve">, J. C., Abayomi, A. A., &amp; Aderemi, O. (2024). Advances in CRM-driven marketing intelligence for enhancing conversion rates and lifetime value models. </w:t>
      </w:r>
      <w:r w:rsidRPr="008F7EF5">
        <w:rPr>
          <w:rFonts w:ascii="Arial" w:hAnsi="Arial" w:cs="Arial"/>
          <w:i/>
          <w:iCs/>
        </w:rPr>
        <w:t>International Journal of Advanced Multidisciplinary Research and Studies, 4</w:t>
      </w:r>
      <w:r w:rsidRPr="00263B0A">
        <w:rPr>
          <w:rFonts w:ascii="Arial" w:hAnsi="Arial" w:cs="Arial"/>
        </w:rPr>
        <w:t>(6), 2313–2325.</w:t>
      </w:r>
    </w:p>
    <w:p w14:paraId="339BD01F" w14:textId="77777777" w:rsidR="00263B0A" w:rsidRPr="00263B0A" w:rsidRDefault="00263B0A" w:rsidP="00263B0A">
      <w:pPr>
        <w:spacing w:line="480" w:lineRule="auto"/>
        <w:rPr>
          <w:rFonts w:ascii="Arial" w:hAnsi="Arial" w:cs="Arial"/>
        </w:rPr>
      </w:pPr>
      <w:r w:rsidRPr="00263B0A">
        <w:rPr>
          <w:rFonts w:ascii="Arial" w:hAnsi="Arial" w:cs="Arial"/>
        </w:rPr>
        <w:t xml:space="preserve">Purnomo, Y. J. (2023). Digital marketing strategy to increase sales conversion on e-commerce platforms. </w:t>
      </w:r>
      <w:r w:rsidRPr="008F7EF5">
        <w:rPr>
          <w:rFonts w:ascii="Arial" w:hAnsi="Arial" w:cs="Arial"/>
          <w:i/>
          <w:iCs/>
        </w:rPr>
        <w:t>Journal of Contemporary Administration and Management (ADMAN), 1</w:t>
      </w:r>
      <w:r w:rsidRPr="00263B0A">
        <w:rPr>
          <w:rFonts w:ascii="Arial" w:hAnsi="Arial" w:cs="Arial"/>
        </w:rPr>
        <w:t>(2), 54–62.</w:t>
      </w:r>
    </w:p>
    <w:p w14:paraId="443DEBDF" w14:textId="64E5AC45" w:rsidR="00263B0A" w:rsidRPr="00263B0A" w:rsidRDefault="00263B0A" w:rsidP="00263B0A">
      <w:pPr>
        <w:spacing w:line="480" w:lineRule="auto"/>
        <w:rPr>
          <w:rFonts w:ascii="Arial" w:hAnsi="Arial" w:cs="Arial"/>
        </w:rPr>
      </w:pPr>
      <w:proofErr w:type="spellStart"/>
      <w:r w:rsidRPr="00263B0A">
        <w:rPr>
          <w:rFonts w:ascii="Arial" w:hAnsi="Arial" w:cs="Arial"/>
        </w:rPr>
        <w:t>Rachmad</w:t>
      </w:r>
      <w:proofErr w:type="spellEnd"/>
      <w:r w:rsidRPr="00263B0A">
        <w:rPr>
          <w:rFonts w:ascii="Arial" w:hAnsi="Arial" w:cs="Arial"/>
        </w:rPr>
        <w:t xml:space="preserve">, Y. E. (2022). Social media marketing mediated changes in consumer </w:t>
      </w:r>
      <w:r w:rsidR="008F7EF5" w:rsidRPr="00263B0A">
        <w:rPr>
          <w:rFonts w:ascii="Arial" w:hAnsi="Arial" w:cs="Arial"/>
        </w:rPr>
        <w:t>behaviour</w:t>
      </w:r>
      <w:r w:rsidRPr="00263B0A">
        <w:rPr>
          <w:rFonts w:ascii="Arial" w:hAnsi="Arial" w:cs="Arial"/>
        </w:rPr>
        <w:t xml:space="preserve"> from e-commerce to social commerce. </w:t>
      </w:r>
      <w:r w:rsidRPr="008F7EF5">
        <w:rPr>
          <w:rFonts w:ascii="Arial" w:hAnsi="Arial" w:cs="Arial"/>
          <w:i/>
          <w:iCs/>
        </w:rPr>
        <w:t>International Journal of Economics and Management Research, 1</w:t>
      </w:r>
      <w:r w:rsidRPr="00263B0A">
        <w:rPr>
          <w:rFonts w:ascii="Arial" w:hAnsi="Arial" w:cs="Arial"/>
        </w:rPr>
        <w:t>(3), 227–242.</w:t>
      </w:r>
    </w:p>
    <w:p w14:paraId="7958F20E" w14:textId="2B0D0910" w:rsidR="00263B0A" w:rsidRPr="00263B0A" w:rsidRDefault="00263B0A" w:rsidP="00263B0A">
      <w:pPr>
        <w:spacing w:line="480" w:lineRule="auto"/>
        <w:rPr>
          <w:rFonts w:ascii="Arial" w:hAnsi="Arial" w:cs="Arial"/>
        </w:rPr>
      </w:pPr>
      <w:proofErr w:type="spellStart"/>
      <w:r w:rsidRPr="00263B0A">
        <w:rPr>
          <w:rFonts w:ascii="Arial" w:hAnsi="Arial" w:cs="Arial"/>
        </w:rPr>
        <w:t>Rachmad</w:t>
      </w:r>
      <w:proofErr w:type="spellEnd"/>
      <w:r w:rsidRPr="00263B0A">
        <w:rPr>
          <w:rFonts w:ascii="Arial" w:hAnsi="Arial" w:cs="Arial"/>
        </w:rPr>
        <w:t xml:space="preserve">, Y. E. (2024). </w:t>
      </w:r>
      <w:r w:rsidRPr="008F7EF5">
        <w:rPr>
          <w:rFonts w:ascii="Arial" w:hAnsi="Arial" w:cs="Arial"/>
          <w:i/>
          <w:iCs/>
        </w:rPr>
        <w:t xml:space="preserve">The future of influencer marketing: Evolution of consumer </w:t>
      </w:r>
      <w:r w:rsidR="008F7EF5" w:rsidRPr="008F7EF5">
        <w:rPr>
          <w:rFonts w:ascii="Arial" w:hAnsi="Arial" w:cs="Arial"/>
          <w:i/>
          <w:iCs/>
        </w:rPr>
        <w:t>behaviour</w:t>
      </w:r>
      <w:r w:rsidRPr="008F7EF5">
        <w:rPr>
          <w:rFonts w:ascii="Arial" w:hAnsi="Arial" w:cs="Arial"/>
          <w:i/>
          <w:iCs/>
        </w:rPr>
        <w:t xml:space="preserve"> in the digital world.</w:t>
      </w:r>
      <w:r w:rsidRPr="00263B0A">
        <w:rPr>
          <w:rFonts w:ascii="Arial" w:hAnsi="Arial" w:cs="Arial"/>
        </w:rPr>
        <w:t xml:space="preserve"> PT </w:t>
      </w:r>
      <w:proofErr w:type="spellStart"/>
      <w:r w:rsidRPr="00263B0A">
        <w:rPr>
          <w:rFonts w:ascii="Arial" w:hAnsi="Arial" w:cs="Arial"/>
        </w:rPr>
        <w:t>Sonpedia</w:t>
      </w:r>
      <w:proofErr w:type="spellEnd"/>
      <w:r w:rsidRPr="00263B0A">
        <w:rPr>
          <w:rFonts w:ascii="Arial" w:hAnsi="Arial" w:cs="Arial"/>
        </w:rPr>
        <w:t xml:space="preserve"> Publishing Indonesia.</w:t>
      </w:r>
    </w:p>
    <w:p w14:paraId="29D321C6" w14:textId="2D57E9EB" w:rsidR="00263B0A" w:rsidRPr="00263B0A" w:rsidRDefault="00263B0A" w:rsidP="00263B0A">
      <w:pPr>
        <w:spacing w:line="480" w:lineRule="auto"/>
        <w:rPr>
          <w:rFonts w:ascii="Arial" w:hAnsi="Arial" w:cs="Arial"/>
        </w:rPr>
      </w:pPr>
      <w:r w:rsidRPr="00263B0A">
        <w:rPr>
          <w:rFonts w:ascii="Arial" w:hAnsi="Arial" w:cs="Arial"/>
        </w:rPr>
        <w:t xml:space="preserve">Rehman, S. U., Gulzar, R., &amp; Aslam, W. (2022). Developing integrated marketing communication (IMC) through social media: The modern marketing communication approach. </w:t>
      </w:r>
      <w:r w:rsidRPr="008F7EF5">
        <w:rPr>
          <w:rFonts w:ascii="Arial" w:hAnsi="Arial" w:cs="Arial"/>
          <w:i/>
          <w:iCs/>
        </w:rPr>
        <w:t>SAGE Open, 12</w:t>
      </w:r>
      <w:r w:rsidRPr="00263B0A">
        <w:rPr>
          <w:rFonts w:ascii="Arial" w:hAnsi="Arial" w:cs="Arial"/>
        </w:rPr>
        <w:t xml:space="preserve">(2), 1–15. </w:t>
      </w:r>
      <w:hyperlink r:id="rId10" w:history="1">
        <w:r w:rsidR="008F7EF5" w:rsidRPr="00AA50F0">
          <w:rPr>
            <w:rStyle w:val="Hyperlink"/>
            <w:rFonts w:ascii="Arial" w:hAnsi="Arial" w:cs="Arial"/>
          </w:rPr>
          <w:t>https://doi.org/10.1177/21582440221099936</w:t>
        </w:r>
      </w:hyperlink>
      <w:r w:rsidR="008F7EF5">
        <w:rPr>
          <w:rFonts w:ascii="Arial" w:hAnsi="Arial" w:cs="Arial"/>
        </w:rPr>
        <w:t xml:space="preserve"> </w:t>
      </w:r>
    </w:p>
    <w:p w14:paraId="1BC7D069" w14:textId="77777777" w:rsidR="00263B0A" w:rsidRPr="00263B0A" w:rsidRDefault="00263B0A" w:rsidP="00263B0A">
      <w:pPr>
        <w:spacing w:line="480" w:lineRule="auto"/>
        <w:rPr>
          <w:rFonts w:ascii="Arial" w:hAnsi="Arial" w:cs="Arial"/>
        </w:rPr>
      </w:pPr>
      <w:r w:rsidRPr="00263B0A">
        <w:rPr>
          <w:rFonts w:ascii="Arial" w:hAnsi="Arial" w:cs="Arial"/>
        </w:rPr>
        <w:t xml:space="preserve">Sunarso, B., &amp; Mustafa, F. (2023). Analysing the role of visual content in increasing attraction and conversion in MSME digital marketing. </w:t>
      </w:r>
      <w:r w:rsidRPr="008F7EF5">
        <w:rPr>
          <w:rFonts w:ascii="Arial" w:hAnsi="Arial" w:cs="Arial"/>
          <w:i/>
          <w:iCs/>
        </w:rPr>
        <w:t>Journal of Contemporary Administration and Management (ADMAN), 1</w:t>
      </w:r>
      <w:r w:rsidRPr="00263B0A">
        <w:rPr>
          <w:rFonts w:ascii="Arial" w:hAnsi="Arial" w:cs="Arial"/>
        </w:rPr>
        <w:t>(3), 193–200.</w:t>
      </w:r>
    </w:p>
    <w:p w14:paraId="30B03095" w14:textId="2A2DD690" w:rsidR="00263B0A" w:rsidRPr="00263B0A" w:rsidRDefault="00263B0A" w:rsidP="00263B0A">
      <w:pPr>
        <w:spacing w:line="480" w:lineRule="auto"/>
        <w:rPr>
          <w:rFonts w:ascii="Arial" w:hAnsi="Arial" w:cs="Arial"/>
        </w:rPr>
      </w:pPr>
      <w:r w:rsidRPr="00263B0A">
        <w:rPr>
          <w:rFonts w:ascii="Arial" w:hAnsi="Arial" w:cs="Arial"/>
        </w:rPr>
        <w:t xml:space="preserve">Theodorakopoulos, L., &amp; Theodoropoulou, A. (2024). Leveraging big data analytics for understanding consumer behaviour in digital marketing: A systematic review. </w:t>
      </w:r>
      <w:r w:rsidRPr="008F7EF5">
        <w:rPr>
          <w:rFonts w:ascii="Arial" w:hAnsi="Arial" w:cs="Arial"/>
          <w:i/>
          <w:iCs/>
        </w:rPr>
        <w:lastRenderedPageBreak/>
        <w:t>Human Behaviour and Emerging Technologies, 2024</w:t>
      </w:r>
      <w:r w:rsidRPr="00263B0A">
        <w:rPr>
          <w:rFonts w:ascii="Arial" w:hAnsi="Arial" w:cs="Arial"/>
        </w:rPr>
        <w:t xml:space="preserve">(1), Article 3641502. </w:t>
      </w:r>
      <w:hyperlink r:id="rId11" w:history="1">
        <w:r w:rsidR="008F7EF5" w:rsidRPr="00AA50F0">
          <w:rPr>
            <w:rStyle w:val="Hyperlink"/>
            <w:rFonts w:ascii="Arial" w:hAnsi="Arial" w:cs="Arial"/>
          </w:rPr>
          <w:t>https://doi.org/10.1155/2024/3641502</w:t>
        </w:r>
      </w:hyperlink>
      <w:r w:rsidR="008F7EF5">
        <w:rPr>
          <w:rFonts w:ascii="Arial" w:hAnsi="Arial" w:cs="Arial"/>
        </w:rPr>
        <w:t xml:space="preserve"> </w:t>
      </w:r>
    </w:p>
    <w:p w14:paraId="75BDCAF5" w14:textId="3B3ADBBF" w:rsidR="00263B0A" w:rsidRPr="00263B0A" w:rsidRDefault="00263B0A" w:rsidP="00263B0A">
      <w:pPr>
        <w:spacing w:line="480" w:lineRule="auto"/>
        <w:rPr>
          <w:rFonts w:ascii="Arial" w:hAnsi="Arial" w:cs="Arial"/>
        </w:rPr>
      </w:pPr>
      <w:r w:rsidRPr="00263B0A">
        <w:rPr>
          <w:rFonts w:ascii="Arial" w:hAnsi="Arial" w:cs="Arial"/>
        </w:rPr>
        <w:t xml:space="preserve">Zaman, S. I., &amp; Kusi-Sarpong, S. (2024). Identifying and exploring the relationship among the critical success factors of sustainability toward consumer behaviour. </w:t>
      </w:r>
      <w:r w:rsidRPr="008F7EF5">
        <w:rPr>
          <w:rFonts w:ascii="Arial" w:hAnsi="Arial" w:cs="Arial"/>
          <w:i/>
          <w:iCs/>
        </w:rPr>
        <w:t>Journal of Modelling in Management, 19</w:t>
      </w:r>
      <w:r w:rsidRPr="00263B0A">
        <w:rPr>
          <w:rFonts w:ascii="Arial" w:hAnsi="Arial" w:cs="Arial"/>
        </w:rPr>
        <w:t xml:space="preserve">(2), 492–522. </w:t>
      </w:r>
      <w:hyperlink r:id="rId12" w:history="1">
        <w:r w:rsidR="008F7EF5" w:rsidRPr="00AA50F0">
          <w:rPr>
            <w:rStyle w:val="Hyperlink"/>
            <w:rFonts w:ascii="Arial" w:hAnsi="Arial" w:cs="Arial"/>
          </w:rPr>
          <w:t>https://doi.org/10.1108/JM2-09-2022-0223</w:t>
        </w:r>
      </w:hyperlink>
      <w:r w:rsidR="008F7EF5">
        <w:rPr>
          <w:rFonts w:ascii="Arial" w:hAnsi="Arial" w:cs="Arial"/>
        </w:rPr>
        <w:t xml:space="preserve"> </w:t>
      </w:r>
    </w:p>
    <w:sectPr w:rsidR="00263B0A" w:rsidRPr="00263B0A" w:rsidSect="008F7EF5">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F36BA" w14:textId="77777777" w:rsidR="005249EC" w:rsidRDefault="005249EC" w:rsidP="008F7EF5">
      <w:pPr>
        <w:spacing w:after="0" w:line="240" w:lineRule="auto"/>
      </w:pPr>
      <w:r>
        <w:separator/>
      </w:r>
    </w:p>
  </w:endnote>
  <w:endnote w:type="continuationSeparator" w:id="0">
    <w:p w14:paraId="024DE143" w14:textId="77777777" w:rsidR="005249EC" w:rsidRDefault="005249EC" w:rsidP="008F7E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E5DE6" w14:textId="77777777" w:rsidR="005249EC" w:rsidRDefault="005249EC" w:rsidP="008F7EF5">
      <w:pPr>
        <w:spacing w:after="0" w:line="240" w:lineRule="auto"/>
      </w:pPr>
      <w:r>
        <w:separator/>
      </w:r>
    </w:p>
  </w:footnote>
  <w:footnote w:type="continuationSeparator" w:id="0">
    <w:p w14:paraId="6B508566" w14:textId="77777777" w:rsidR="005249EC" w:rsidRDefault="005249EC" w:rsidP="008F7E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9172235"/>
      <w:docPartObj>
        <w:docPartGallery w:val="Page Numbers (Top of Page)"/>
        <w:docPartUnique/>
      </w:docPartObj>
    </w:sdtPr>
    <w:sdtEndPr>
      <w:rPr>
        <w:noProof/>
      </w:rPr>
    </w:sdtEndPr>
    <w:sdtContent>
      <w:p w14:paraId="1A5441DA" w14:textId="2E126F21" w:rsidR="008F7EF5" w:rsidRDefault="008F7EF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9E09A02" w14:textId="77777777" w:rsidR="008F7EF5" w:rsidRDefault="008F7E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90FBC"/>
    <w:multiLevelType w:val="hybridMultilevel"/>
    <w:tmpl w:val="808E5CF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837001"/>
    <w:multiLevelType w:val="hybridMultilevel"/>
    <w:tmpl w:val="48BCC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5D1065"/>
    <w:multiLevelType w:val="hybridMultilevel"/>
    <w:tmpl w:val="BF6AF3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EF3A18"/>
    <w:multiLevelType w:val="hybridMultilevel"/>
    <w:tmpl w:val="BF885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898741">
    <w:abstractNumId w:val="2"/>
  </w:num>
  <w:num w:numId="2" w16cid:durableId="1607273643">
    <w:abstractNumId w:val="0"/>
  </w:num>
  <w:num w:numId="3" w16cid:durableId="1414663396">
    <w:abstractNumId w:val="1"/>
  </w:num>
  <w:num w:numId="4" w16cid:durableId="8338386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B0A"/>
    <w:rsid w:val="00263B0A"/>
    <w:rsid w:val="00383D6A"/>
    <w:rsid w:val="005249EC"/>
    <w:rsid w:val="005B0FCA"/>
    <w:rsid w:val="006B7BCE"/>
    <w:rsid w:val="008D652F"/>
    <w:rsid w:val="008F7EF5"/>
    <w:rsid w:val="009D2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0F3D8"/>
  <w15:chartTrackingRefBased/>
  <w15:docId w15:val="{713F8048-8DB5-4205-8FAD-AC6DE2A38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B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3B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3B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3B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3B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3B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B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B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B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B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3B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3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3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3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3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3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3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3B0A"/>
    <w:rPr>
      <w:rFonts w:eastAsiaTheme="majorEastAsia" w:cstheme="majorBidi"/>
      <w:color w:val="272727" w:themeColor="text1" w:themeTint="D8"/>
    </w:rPr>
  </w:style>
  <w:style w:type="paragraph" w:styleId="Title">
    <w:name w:val="Title"/>
    <w:basedOn w:val="Normal"/>
    <w:next w:val="Normal"/>
    <w:link w:val="TitleChar"/>
    <w:uiPriority w:val="10"/>
    <w:qFormat/>
    <w:rsid w:val="00263B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3B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B0A"/>
    <w:pPr>
      <w:spacing w:before="160"/>
      <w:jc w:val="center"/>
    </w:pPr>
    <w:rPr>
      <w:i/>
      <w:iCs/>
      <w:color w:val="404040" w:themeColor="text1" w:themeTint="BF"/>
    </w:rPr>
  </w:style>
  <w:style w:type="character" w:customStyle="1" w:styleId="QuoteChar">
    <w:name w:val="Quote Char"/>
    <w:basedOn w:val="DefaultParagraphFont"/>
    <w:link w:val="Quote"/>
    <w:uiPriority w:val="29"/>
    <w:rsid w:val="00263B0A"/>
    <w:rPr>
      <w:i/>
      <w:iCs/>
      <w:color w:val="404040" w:themeColor="text1" w:themeTint="BF"/>
    </w:rPr>
  </w:style>
  <w:style w:type="paragraph" w:styleId="ListParagraph">
    <w:name w:val="List Paragraph"/>
    <w:basedOn w:val="Normal"/>
    <w:uiPriority w:val="34"/>
    <w:qFormat/>
    <w:rsid w:val="00263B0A"/>
    <w:pPr>
      <w:ind w:left="720"/>
      <w:contextualSpacing/>
    </w:pPr>
  </w:style>
  <w:style w:type="character" w:styleId="IntenseEmphasis">
    <w:name w:val="Intense Emphasis"/>
    <w:basedOn w:val="DefaultParagraphFont"/>
    <w:uiPriority w:val="21"/>
    <w:qFormat/>
    <w:rsid w:val="00263B0A"/>
    <w:rPr>
      <w:i/>
      <w:iCs/>
      <w:color w:val="0F4761" w:themeColor="accent1" w:themeShade="BF"/>
    </w:rPr>
  </w:style>
  <w:style w:type="paragraph" w:styleId="IntenseQuote">
    <w:name w:val="Intense Quote"/>
    <w:basedOn w:val="Normal"/>
    <w:next w:val="Normal"/>
    <w:link w:val="IntenseQuoteChar"/>
    <w:uiPriority w:val="30"/>
    <w:qFormat/>
    <w:rsid w:val="00263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3B0A"/>
    <w:rPr>
      <w:i/>
      <w:iCs/>
      <w:color w:val="0F4761" w:themeColor="accent1" w:themeShade="BF"/>
    </w:rPr>
  </w:style>
  <w:style w:type="character" w:styleId="IntenseReference">
    <w:name w:val="Intense Reference"/>
    <w:basedOn w:val="DefaultParagraphFont"/>
    <w:uiPriority w:val="32"/>
    <w:qFormat/>
    <w:rsid w:val="00263B0A"/>
    <w:rPr>
      <w:b/>
      <w:bCs/>
      <w:smallCaps/>
      <w:color w:val="0F4761" w:themeColor="accent1" w:themeShade="BF"/>
      <w:spacing w:val="5"/>
    </w:rPr>
  </w:style>
  <w:style w:type="character" w:styleId="Hyperlink">
    <w:name w:val="Hyperlink"/>
    <w:basedOn w:val="DefaultParagraphFont"/>
    <w:uiPriority w:val="99"/>
    <w:unhideWhenUsed/>
    <w:rsid w:val="00383D6A"/>
    <w:rPr>
      <w:color w:val="467886" w:themeColor="hyperlink"/>
      <w:u w:val="single"/>
    </w:rPr>
  </w:style>
  <w:style w:type="character" w:styleId="UnresolvedMention">
    <w:name w:val="Unresolved Mention"/>
    <w:basedOn w:val="DefaultParagraphFont"/>
    <w:uiPriority w:val="99"/>
    <w:semiHidden/>
    <w:unhideWhenUsed/>
    <w:rsid w:val="00383D6A"/>
    <w:rPr>
      <w:color w:val="605E5C"/>
      <w:shd w:val="clear" w:color="auto" w:fill="E1DFDD"/>
    </w:rPr>
  </w:style>
  <w:style w:type="paragraph" w:styleId="Header">
    <w:name w:val="header"/>
    <w:basedOn w:val="Normal"/>
    <w:link w:val="HeaderChar"/>
    <w:uiPriority w:val="99"/>
    <w:unhideWhenUsed/>
    <w:rsid w:val="008F7E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EF5"/>
  </w:style>
  <w:style w:type="paragraph" w:styleId="Footer">
    <w:name w:val="footer"/>
    <w:basedOn w:val="Normal"/>
    <w:link w:val="FooterChar"/>
    <w:uiPriority w:val="99"/>
    <w:unhideWhenUsed/>
    <w:rsid w:val="008F7E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EF5"/>
  </w:style>
  <w:style w:type="paragraph" w:styleId="NoSpacing">
    <w:name w:val="No Spacing"/>
    <w:link w:val="NoSpacingChar"/>
    <w:uiPriority w:val="1"/>
    <w:qFormat/>
    <w:rsid w:val="008F7EF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F7EF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9/SMARTxxxx"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108/JEFAS-02-2022-0035" TargetMode="External"/><Relationship Id="rId12" Type="http://schemas.openxmlformats.org/officeDocument/2006/relationships/hyperlink" Target="https://doi.org/10.1108/JM2-09-2022-02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55/2024/364150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77/21582440221099936" TargetMode="External"/><Relationship Id="rId4" Type="http://schemas.openxmlformats.org/officeDocument/2006/relationships/webSettings" Target="webSettings.xml"/><Relationship Id="rId9" Type="http://schemas.openxmlformats.org/officeDocument/2006/relationships/hyperlink" Target="https://doi.org/10.1108/XJM-06-2022-013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401</TotalTime>
  <Pages>14</Pages>
  <Words>2963</Words>
  <Characters>16892</Characters>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ASSIGNMENT 2</dc:title>
  <dc:subject/>
  <cp:keywords/>
  <dc:description/>
  <dcterms:created xsi:type="dcterms:W3CDTF">2026-01-07T23:34:00Z</dcterms:created>
  <dcterms:modified xsi:type="dcterms:W3CDTF">2026-01-08T14:08:00Z</dcterms:modified>
</cp:coreProperties>
</file>