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A3E4B" w14:textId="77777777" w:rsidR="00316699" w:rsidRDefault="00316699" w:rsidP="00316699">
      <w:pPr>
        <w:jc w:val="center"/>
      </w:pPr>
      <w:r>
        <w:rPr>
          <w:noProof/>
        </w:rPr>
        <w:drawing>
          <wp:anchor distT="0" distB="0" distL="114300" distR="114300" simplePos="0" relativeHeight="251658240" behindDoc="1" locked="0" layoutInCell="1" allowOverlap="1" wp14:anchorId="6491F3AD" wp14:editId="21BE6E38">
            <wp:simplePos x="0" y="0"/>
            <wp:positionH relativeFrom="column">
              <wp:posOffset>-388620</wp:posOffset>
            </wp:positionH>
            <wp:positionV relativeFrom="paragraph">
              <wp:posOffset>0</wp:posOffset>
            </wp:positionV>
            <wp:extent cx="2745740" cy="1219200"/>
            <wp:effectExtent l="0" t="0" r="0" b="0"/>
            <wp:wrapTight wrapText="bothSides">
              <wp:wrapPolygon edited="0">
                <wp:start x="0" y="0"/>
                <wp:lineTo x="0" y="21263"/>
                <wp:lineTo x="21430" y="21263"/>
                <wp:lineTo x="21430"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5740" cy="1219200"/>
                    </a:xfrm>
                    <a:prstGeom prst="rect">
                      <a:avLst/>
                    </a:prstGeom>
                    <a:noFill/>
                    <a:ln>
                      <a:noFill/>
                    </a:ln>
                  </pic:spPr>
                </pic:pic>
              </a:graphicData>
            </a:graphic>
          </wp:anchor>
        </w:drawing>
      </w:r>
    </w:p>
    <w:p w14:paraId="3AB7E5F0" w14:textId="77777777" w:rsidR="00316699" w:rsidRDefault="00316699" w:rsidP="00316699">
      <w:pPr>
        <w:jc w:val="center"/>
      </w:pPr>
    </w:p>
    <w:p w14:paraId="71275C09" w14:textId="77777777" w:rsidR="00316699" w:rsidRDefault="00316699" w:rsidP="00316699">
      <w:pPr>
        <w:jc w:val="center"/>
      </w:pPr>
    </w:p>
    <w:p w14:paraId="19E5F593" w14:textId="77777777" w:rsidR="00316699" w:rsidRDefault="00316699" w:rsidP="00316699">
      <w:pPr>
        <w:jc w:val="center"/>
      </w:pPr>
    </w:p>
    <w:p w14:paraId="052F9468" w14:textId="77777777" w:rsidR="00316699" w:rsidRDefault="00316699" w:rsidP="00316699">
      <w:pPr>
        <w:jc w:val="center"/>
      </w:pPr>
    </w:p>
    <w:p w14:paraId="43DB6548" w14:textId="77777777" w:rsidR="00316699" w:rsidRDefault="00316699" w:rsidP="00316699">
      <w:pPr>
        <w:jc w:val="center"/>
      </w:pPr>
    </w:p>
    <w:p w14:paraId="475D28FC" w14:textId="0D5D0026" w:rsidR="00316699" w:rsidRPr="00316699" w:rsidRDefault="00316699" w:rsidP="00316699">
      <w:pPr>
        <w:jc w:val="center"/>
        <w:rPr>
          <w:sz w:val="40"/>
          <w:szCs w:val="40"/>
        </w:rPr>
      </w:pPr>
      <w:r w:rsidRPr="00316699">
        <w:rPr>
          <w:sz w:val="40"/>
          <w:szCs w:val="40"/>
        </w:rPr>
        <w:t>Assignment 2</w:t>
      </w:r>
    </w:p>
    <w:p w14:paraId="25B8814E" w14:textId="77777777" w:rsidR="00316699" w:rsidRPr="00316699" w:rsidRDefault="00316699" w:rsidP="00316699">
      <w:pPr>
        <w:jc w:val="center"/>
        <w:rPr>
          <w:sz w:val="40"/>
          <w:szCs w:val="40"/>
        </w:rPr>
      </w:pPr>
    </w:p>
    <w:p w14:paraId="08CD6647" w14:textId="06D4DF08" w:rsidR="00316699" w:rsidRDefault="00316699" w:rsidP="00316699">
      <w:pPr>
        <w:rPr>
          <w:sz w:val="40"/>
          <w:szCs w:val="40"/>
        </w:rPr>
      </w:pPr>
      <w:r w:rsidRPr="00316699">
        <w:rPr>
          <w:sz w:val="40"/>
          <w:szCs w:val="40"/>
        </w:rPr>
        <w:t xml:space="preserve">                                         Group Report</w:t>
      </w:r>
    </w:p>
    <w:p w14:paraId="68738ADB" w14:textId="77777777" w:rsidR="00316699" w:rsidRDefault="00316699" w:rsidP="00316699">
      <w:pPr>
        <w:rPr>
          <w:sz w:val="40"/>
          <w:szCs w:val="40"/>
        </w:rPr>
      </w:pPr>
    </w:p>
    <w:p w14:paraId="08EAC581" w14:textId="77777777" w:rsidR="00316699" w:rsidRPr="00316699" w:rsidRDefault="00316699" w:rsidP="00316699">
      <w:pPr>
        <w:rPr>
          <w:sz w:val="40"/>
          <w:szCs w:val="40"/>
        </w:rPr>
      </w:pPr>
    </w:p>
    <w:p w14:paraId="6EC65842" w14:textId="77777777" w:rsidR="00744511" w:rsidRDefault="00316699" w:rsidP="00316699">
      <w:pPr>
        <w:rPr>
          <w:sz w:val="36"/>
          <w:szCs w:val="36"/>
        </w:rPr>
      </w:pPr>
      <w:r w:rsidRPr="00316699">
        <w:rPr>
          <w:sz w:val="36"/>
          <w:szCs w:val="36"/>
        </w:rPr>
        <w:t>Name and Student ID: Sanya Suneja</w:t>
      </w:r>
      <w:r>
        <w:rPr>
          <w:sz w:val="36"/>
          <w:szCs w:val="36"/>
        </w:rPr>
        <w:t xml:space="preserve"> (2234449)</w:t>
      </w:r>
    </w:p>
    <w:p w14:paraId="668B5E14" w14:textId="53F5CF6F" w:rsidR="00744511" w:rsidRDefault="00744511" w:rsidP="00316699">
      <w:pPr>
        <w:rPr>
          <w:sz w:val="36"/>
          <w:szCs w:val="36"/>
        </w:rPr>
      </w:pPr>
      <w:r>
        <w:rPr>
          <w:sz w:val="36"/>
          <w:szCs w:val="36"/>
        </w:rPr>
        <w:t xml:space="preserve">                                       </w:t>
      </w:r>
      <w:r w:rsidR="00316699" w:rsidRPr="00316699">
        <w:rPr>
          <w:sz w:val="36"/>
          <w:szCs w:val="36"/>
        </w:rPr>
        <w:t xml:space="preserve"> Jasmine Kaur</w:t>
      </w:r>
      <w:r w:rsidR="00D60FFF">
        <w:rPr>
          <w:sz w:val="36"/>
          <w:szCs w:val="36"/>
        </w:rPr>
        <w:t xml:space="preserve"> (2222522)</w:t>
      </w:r>
    </w:p>
    <w:p w14:paraId="60923C2D" w14:textId="1823A86C" w:rsidR="00744511" w:rsidRDefault="00744511" w:rsidP="00316699">
      <w:pPr>
        <w:rPr>
          <w:sz w:val="36"/>
          <w:szCs w:val="36"/>
        </w:rPr>
      </w:pPr>
      <w:r>
        <w:rPr>
          <w:sz w:val="36"/>
          <w:szCs w:val="36"/>
        </w:rPr>
        <w:t xml:space="preserve">                                       </w:t>
      </w:r>
      <w:r w:rsidR="00316699" w:rsidRPr="00316699">
        <w:rPr>
          <w:sz w:val="36"/>
          <w:szCs w:val="36"/>
        </w:rPr>
        <w:t xml:space="preserve"> Ioana</w:t>
      </w:r>
      <w:r w:rsidR="0019307E">
        <w:rPr>
          <w:sz w:val="36"/>
          <w:szCs w:val="36"/>
        </w:rPr>
        <w:t xml:space="preserve"> Cojocareanu (</w:t>
      </w:r>
      <w:r w:rsidR="00A477A5">
        <w:rPr>
          <w:sz w:val="36"/>
          <w:szCs w:val="36"/>
        </w:rPr>
        <w:t>2246853)</w:t>
      </w:r>
    </w:p>
    <w:p w14:paraId="5EA2F42B" w14:textId="51AC2434" w:rsidR="00316699" w:rsidRPr="00316699" w:rsidRDefault="00744511" w:rsidP="00316699">
      <w:pPr>
        <w:rPr>
          <w:sz w:val="36"/>
          <w:szCs w:val="36"/>
        </w:rPr>
      </w:pPr>
      <w:r>
        <w:rPr>
          <w:sz w:val="36"/>
          <w:szCs w:val="36"/>
        </w:rPr>
        <w:t xml:space="preserve">                                      </w:t>
      </w:r>
      <w:r w:rsidR="00316699" w:rsidRPr="00316699">
        <w:rPr>
          <w:sz w:val="36"/>
          <w:szCs w:val="36"/>
        </w:rPr>
        <w:t xml:space="preserve"> C</w:t>
      </w:r>
      <w:r w:rsidR="00A477A5">
        <w:rPr>
          <w:sz w:val="36"/>
          <w:szCs w:val="36"/>
        </w:rPr>
        <w:t xml:space="preserve">ristina </w:t>
      </w:r>
      <w:r>
        <w:rPr>
          <w:sz w:val="36"/>
          <w:szCs w:val="36"/>
        </w:rPr>
        <w:t>Raya Plesa (22472229)</w:t>
      </w:r>
    </w:p>
    <w:p w14:paraId="786CF3F9" w14:textId="77823B86" w:rsidR="00316699" w:rsidRPr="00316699" w:rsidRDefault="00316699" w:rsidP="00316699">
      <w:pPr>
        <w:rPr>
          <w:sz w:val="36"/>
          <w:szCs w:val="36"/>
        </w:rPr>
      </w:pPr>
      <w:r w:rsidRPr="00316699">
        <w:rPr>
          <w:sz w:val="36"/>
          <w:szCs w:val="36"/>
        </w:rPr>
        <w:t>Module name: Academic Skills</w:t>
      </w:r>
    </w:p>
    <w:p w14:paraId="2F0A7CD9" w14:textId="3342E77D" w:rsidR="00316699" w:rsidRPr="00316699" w:rsidRDefault="00316699" w:rsidP="00316699">
      <w:pPr>
        <w:rPr>
          <w:sz w:val="36"/>
          <w:szCs w:val="36"/>
        </w:rPr>
      </w:pPr>
      <w:r w:rsidRPr="00316699">
        <w:rPr>
          <w:sz w:val="36"/>
          <w:szCs w:val="36"/>
        </w:rPr>
        <w:t>Module Code: LCBB4006</w:t>
      </w:r>
    </w:p>
    <w:p w14:paraId="37DD0970" w14:textId="769DB004" w:rsidR="00316699" w:rsidRPr="00316699" w:rsidRDefault="00316699" w:rsidP="00316699">
      <w:pPr>
        <w:rPr>
          <w:sz w:val="36"/>
          <w:szCs w:val="36"/>
        </w:rPr>
      </w:pPr>
      <w:r w:rsidRPr="00316699">
        <w:rPr>
          <w:sz w:val="36"/>
          <w:szCs w:val="36"/>
        </w:rPr>
        <w:t xml:space="preserve">Lecturer Name: Lizeta Demetriou </w:t>
      </w:r>
    </w:p>
    <w:p w14:paraId="74F5A3A8" w14:textId="4E990007" w:rsidR="00AA1EF9" w:rsidRPr="00316699" w:rsidRDefault="00AA1EF9" w:rsidP="00316699">
      <w:pPr>
        <w:rPr>
          <w:sz w:val="36"/>
          <w:szCs w:val="36"/>
        </w:rPr>
      </w:pPr>
      <w:r w:rsidRPr="00316699">
        <w:rPr>
          <w:sz w:val="36"/>
          <w:szCs w:val="36"/>
        </w:rPr>
        <w:br w:type="page"/>
      </w:r>
    </w:p>
    <w:p w14:paraId="694145E8" w14:textId="27066648" w:rsidR="00370022" w:rsidRPr="00F70226" w:rsidRDefault="00370022" w:rsidP="000C166E">
      <w:pPr>
        <w:rPr>
          <w:b/>
          <w:bCs/>
          <w:sz w:val="32"/>
          <w:szCs w:val="32"/>
          <w:u w:val="single"/>
        </w:rPr>
      </w:pPr>
      <w:r w:rsidRPr="00F70226">
        <w:rPr>
          <w:b/>
          <w:bCs/>
          <w:sz w:val="32"/>
          <w:szCs w:val="32"/>
          <w:u w:val="single"/>
        </w:rPr>
        <w:lastRenderedPageBreak/>
        <w:t>TABLE OF CONTENTS:</w:t>
      </w:r>
      <w:r w:rsidR="00F70226">
        <w:rPr>
          <w:b/>
          <w:bCs/>
          <w:sz w:val="32"/>
          <w:szCs w:val="32"/>
          <w:u w:val="single"/>
        </w:rPr>
        <w:t xml:space="preserve">                                                                             Pg. no.</w:t>
      </w:r>
    </w:p>
    <w:p w14:paraId="4D90F44A" w14:textId="77777777" w:rsidR="00370022" w:rsidRPr="00370022" w:rsidRDefault="00370022" w:rsidP="000C166E">
      <w:pPr>
        <w:rPr>
          <w:b/>
          <w:bCs/>
          <w:sz w:val="24"/>
          <w:szCs w:val="24"/>
          <w:u w:val="single"/>
        </w:rPr>
      </w:pPr>
    </w:p>
    <w:p w14:paraId="24BE6E28" w14:textId="1CC5C78E" w:rsidR="00370022" w:rsidRDefault="00370022" w:rsidP="00370022">
      <w:pPr>
        <w:rPr>
          <w:rFonts w:ascii="Arial" w:hAnsi="Arial" w:cs="Arial"/>
          <w:sz w:val="24"/>
          <w:szCs w:val="24"/>
        </w:rPr>
      </w:pPr>
      <w:r w:rsidRPr="00F70226">
        <w:rPr>
          <w:rFonts w:ascii="Arial" w:hAnsi="Arial" w:cs="Arial"/>
          <w:b/>
          <w:bCs/>
          <w:sz w:val="24"/>
          <w:szCs w:val="24"/>
        </w:rPr>
        <w:t>1.</w:t>
      </w:r>
      <w:r w:rsidRPr="00370022">
        <w:rPr>
          <w:rFonts w:ascii="Arial" w:hAnsi="Arial" w:cs="Arial"/>
          <w:sz w:val="24"/>
          <w:szCs w:val="24"/>
        </w:rPr>
        <w:t xml:space="preserve"> Introduction</w:t>
      </w:r>
      <w:r>
        <w:rPr>
          <w:rFonts w:ascii="Arial" w:hAnsi="Arial" w:cs="Arial"/>
          <w:sz w:val="24"/>
          <w:szCs w:val="24"/>
        </w:rPr>
        <w:t>……………………………………………………………………………</w:t>
      </w:r>
      <w:r w:rsidR="00F70226">
        <w:rPr>
          <w:rFonts w:ascii="Arial" w:hAnsi="Arial" w:cs="Arial"/>
          <w:sz w:val="24"/>
          <w:szCs w:val="24"/>
        </w:rPr>
        <w:t xml:space="preserve"> 3</w:t>
      </w:r>
    </w:p>
    <w:p w14:paraId="037AE519" w14:textId="77777777" w:rsidR="00F70226" w:rsidRPr="00370022" w:rsidRDefault="00F70226" w:rsidP="00370022">
      <w:pPr>
        <w:rPr>
          <w:rFonts w:ascii="Arial" w:hAnsi="Arial" w:cs="Arial"/>
          <w:sz w:val="24"/>
          <w:szCs w:val="24"/>
        </w:rPr>
      </w:pPr>
    </w:p>
    <w:p w14:paraId="0E2C9354" w14:textId="439BF492" w:rsidR="00370022" w:rsidRDefault="00370022" w:rsidP="00370022">
      <w:pPr>
        <w:rPr>
          <w:rFonts w:ascii="Arial" w:hAnsi="Arial" w:cs="Arial"/>
          <w:sz w:val="24"/>
          <w:szCs w:val="24"/>
        </w:rPr>
      </w:pPr>
      <w:r w:rsidRPr="00F70226">
        <w:rPr>
          <w:rFonts w:ascii="Arial" w:hAnsi="Arial" w:cs="Arial"/>
          <w:b/>
          <w:bCs/>
          <w:sz w:val="24"/>
          <w:szCs w:val="24"/>
        </w:rPr>
        <w:t>2.</w:t>
      </w:r>
      <w:r w:rsidRPr="00370022">
        <w:rPr>
          <w:rFonts w:ascii="Arial" w:hAnsi="Arial" w:cs="Arial"/>
          <w:sz w:val="24"/>
          <w:szCs w:val="24"/>
        </w:rPr>
        <w:t xml:space="preserve"> Time Management: Definition</w:t>
      </w:r>
      <w:r>
        <w:rPr>
          <w:rFonts w:ascii="Arial" w:hAnsi="Arial" w:cs="Arial"/>
          <w:sz w:val="24"/>
          <w:szCs w:val="24"/>
        </w:rPr>
        <w:t>………………………………………………………</w:t>
      </w:r>
      <w:r w:rsidR="00F70226">
        <w:rPr>
          <w:rFonts w:ascii="Arial" w:hAnsi="Arial" w:cs="Arial"/>
          <w:sz w:val="24"/>
          <w:szCs w:val="24"/>
        </w:rPr>
        <w:t>…3</w:t>
      </w:r>
    </w:p>
    <w:p w14:paraId="330C6850" w14:textId="77777777" w:rsidR="00F70226" w:rsidRPr="00370022" w:rsidRDefault="00F70226" w:rsidP="00370022">
      <w:pPr>
        <w:rPr>
          <w:rFonts w:ascii="Arial" w:hAnsi="Arial" w:cs="Arial"/>
          <w:sz w:val="24"/>
          <w:szCs w:val="24"/>
        </w:rPr>
      </w:pPr>
    </w:p>
    <w:p w14:paraId="7DFDCAF8" w14:textId="4F14D92B" w:rsidR="00370022" w:rsidRDefault="00370022" w:rsidP="00370022">
      <w:pPr>
        <w:rPr>
          <w:rFonts w:ascii="Arial" w:hAnsi="Arial" w:cs="Arial"/>
          <w:sz w:val="24"/>
          <w:szCs w:val="24"/>
        </w:rPr>
      </w:pPr>
      <w:r w:rsidRPr="00F70226">
        <w:rPr>
          <w:rFonts w:ascii="Arial" w:hAnsi="Arial" w:cs="Arial"/>
          <w:b/>
          <w:bCs/>
          <w:sz w:val="24"/>
          <w:szCs w:val="24"/>
        </w:rPr>
        <w:t>2.1.</w:t>
      </w:r>
      <w:r w:rsidRPr="00370022">
        <w:rPr>
          <w:rFonts w:ascii="Arial" w:hAnsi="Arial" w:cs="Arial"/>
          <w:sz w:val="24"/>
          <w:szCs w:val="24"/>
        </w:rPr>
        <w:t xml:space="preserve"> Importance of Time management for professional success</w:t>
      </w:r>
      <w:r>
        <w:rPr>
          <w:rFonts w:ascii="Arial" w:hAnsi="Arial" w:cs="Arial"/>
          <w:sz w:val="24"/>
          <w:szCs w:val="24"/>
        </w:rPr>
        <w:t>……………………</w:t>
      </w:r>
      <w:r w:rsidR="00F70226">
        <w:rPr>
          <w:rFonts w:ascii="Arial" w:hAnsi="Arial" w:cs="Arial"/>
          <w:sz w:val="24"/>
          <w:szCs w:val="24"/>
        </w:rPr>
        <w:t>…4</w:t>
      </w:r>
    </w:p>
    <w:p w14:paraId="783588E2" w14:textId="77777777" w:rsidR="00F70226" w:rsidRPr="00370022" w:rsidRDefault="00F70226" w:rsidP="00370022">
      <w:pPr>
        <w:rPr>
          <w:rFonts w:ascii="Arial" w:hAnsi="Arial" w:cs="Arial"/>
          <w:sz w:val="24"/>
          <w:szCs w:val="24"/>
        </w:rPr>
      </w:pPr>
    </w:p>
    <w:p w14:paraId="229A2DD9" w14:textId="7F2198ED" w:rsidR="00370022" w:rsidRDefault="00370022" w:rsidP="00370022">
      <w:pPr>
        <w:rPr>
          <w:rFonts w:ascii="Arial" w:hAnsi="Arial" w:cs="Arial"/>
          <w:sz w:val="24"/>
          <w:szCs w:val="24"/>
        </w:rPr>
      </w:pPr>
      <w:r w:rsidRPr="00F70226">
        <w:rPr>
          <w:rFonts w:ascii="Arial" w:hAnsi="Arial" w:cs="Arial"/>
          <w:b/>
          <w:bCs/>
          <w:sz w:val="24"/>
          <w:szCs w:val="24"/>
        </w:rPr>
        <w:t>2.2.</w:t>
      </w:r>
      <w:r w:rsidRPr="00370022">
        <w:rPr>
          <w:rFonts w:ascii="Arial" w:hAnsi="Arial" w:cs="Arial"/>
          <w:sz w:val="24"/>
          <w:szCs w:val="24"/>
        </w:rPr>
        <w:t xml:space="preserve"> Time management: Essential for academic success</w:t>
      </w:r>
      <w:r>
        <w:rPr>
          <w:rFonts w:ascii="Arial" w:hAnsi="Arial" w:cs="Arial"/>
          <w:sz w:val="24"/>
          <w:szCs w:val="24"/>
        </w:rPr>
        <w:t>……………………………</w:t>
      </w:r>
      <w:r w:rsidR="00F70226">
        <w:rPr>
          <w:rFonts w:ascii="Arial" w:hAnsi="Arial" w:cs="Arial"/>
          <w:sz w:val="24"/>
          <w:szCs w:val="24"/>
        </w:rPr>
        <w:t>….4</w:t>
      </w:r>
    </w:p>
    <w:p w14:paraId="50D620D2" w14:textId="77777777" w:rsidR="00F70226" w:rsidRPr="00370022" w:rsidRDefault="00F70226" w:rsidP="00370022">
      <w:pPr>
        <w:rPr>
          <w:rFonts w:ascii="Arial" w:hAnsi="Arial" w:cs="Arial"/>
          <w:sz w:val="24"/>
          <w:szCs w:val="24"/>
        </w:rPr>
      </w:pPr>
    </w:p>
    <w:p w14:paraId="7FFA8D25" w14:textId="6F88E9E1" w:rsidR="00370022" w:rsidRDefault="00370022" w:rsidP="00370022">
      <w:pPr>
        <w:rPr>
          <w:rFonts w:ascii="Arial" w:hAnsi="Arial" w:cs="Arial"/>
          <w:sz w:val="24"/>
          <w:szCs w:val="24"/>
        </w:rPr>
      </w:pPr>
      <w:r w:rsidRPr="00F70226">
        <w:rPr>
          <w:rFonts w:ascii="Arial" w:hAnsi="Arial" w:cs="Arial"/>
          <w:b/>
          <w:bCs/>
          <w:sz w:val="24"/>
          <w:szCs w:val="24"/>
        </w:rPr>
        <w:t>3.</w:t>
      </w:r>
      <w:r w:rsidRPr="00370022">
        <w:rPr>
          <w:rFonts w:ascii="Arial" w:hAnsi="Arial" w:cs="Arial"/>
          <w:sz w:val="24"/>
          <w:szCs w:val="24"/>
        </w:rPr>
        <w:t xml:space="preserve"> Paraphrasing and Summarizing: Their Relative Importance for Future Academic and Professional success</w:t>
      </w:r>
      <w:r>
        <w:rPr>
          <w:rFonts w:ascii="Arial" w:hAnsi="Arial" w:cs="Arial"/>
          <w:sz w:val="24"/>
          <w:szCs w:val="24"/>
        </w:rPr>
        <w:t>……………………………………………………………………</w:t>
      </w:r>
      <w:r w:rsidR="00F70226">
        <w:rPr>
          <w:rFonts w:ascii="Arial" w:hAnsi="Arial" w:cs="Arial"/>
          <w:sz w:val="24"/>
          <w:szCs w:val="24"/>
        </w:rPr>
        <w:t>……...5</w:t>
      </w:r>
    </w:p>
    <w:p w14:paraId="7EEDECF0" w14:textId="77777777" w:rsidR="00F70226" w:rsidRPr="00370022" w:rsidRDefault="00F70226" w:rsidP="00370022">
      <w:pPr>
        <w:rPr>
          <w:rFonts w:ascii="Arial" w:hAnsi="Arial" w:cs="Arial"/>
          <w:sz w:val="24"/>
          <w:szCs w:val="24"/>
        </w:rPr>
      </w:pPr>
    </w:p>
    <w:p w14:paraId="3B8554C2" w14:textId="4003295C" w:rsidR="00370022" w:rsidRDefault="00370022" w:rsidP="00370022">
      <w:pPr>
        <w:rPr>
          <w:rFonts w:ascii="Arial" w:eastAsia="Times New Roman" w:hAnsi="Arial" w:cs="Arial"/>
          <w:sz w:val="24"/>
          <w:szCs w:val="24"/>
        </w:rPr>
      </w:pPr>
      <w:r w:rsidRPr="00F70226">
        <w:rPr>
          <w:rFonts w:ascii="Arial" w:eastAsia="Times New Roman" w:hAnsi="Arial" w:cs="Arial"/>
          <w:b/>
          <w:bCs/>
          <w:sz w:val="24"/>
          <w:szCs w:val="24"/>
        </w:rPr>
        <w:t>4.</w:t>
      </w:r>
      <w:r w:rsidRPr="00370022">
        <w:rPr>
          <w:rFonts w:ascii="Arial" w:eastAsia="Times New Roman" w:hAnsi="Arial" w:cs="Arial"/>
          <w:sz w:val="24"/>
          <w:szCs w:val="24"/>
        </w:rPr>
        <w:t xml:space="preserve"> Referencing: Definition</w:t>
      </w:r>
      <w:r>
        <w:rPr>
          <w:rFonts w:ascii="Arial" w:eastAsia="Times New Roman" w:hAnsi="Arial" w:cs="Arial"/>
          <w:sz w:val="24"/>
          <w:szCs w:val="24"/>
        </w:rPr>
        <w:t>………………………………………………………………</w:t>
      </w:r>
      <w:r w:rsidR="00F70226">
        <w:rPr>
          <w:rFonts w:ascii="Arial" w:eastAsia="Times New Roman" w:hAnsi="Arial" w:cs="Arial"/>
          <w:sz w:val="24"/>
          <w:szCs w:val="24"/>
        </w:rPr>
        <w:t>…….7</w:t>
      </w:r>
    </w:p>
    <w:p w14:paraId="238301B2" w14:textId="77777777" w:rsidR="00F70226" w:rsidRPr="00370022" w:rsidRDefault="00F70226" w:rsidP="00370022">
      <w:pPr>
        <w:rPr>
          <w:rFonts w:ascii="Arial" w:eastAsia="Times New Roman" w:hAnsi="Arial" w:cs="Arial"/>
          <w:sz w:val="24"/>
          <w:szCs w:val="24"/>
        </w:rPr>
      </w:pPr>
    </w:p>
    <w:p w14:paraId="5198532C" w14:textId="525E64DE" w:rsidR="00370022" w:rsidRDefault="00370022" w:rsidP="00370022">
      <w:pPr>
        <w:rPr>
          <w:rFonts w:ascii="Arial" w:eastAsia="Times New Roman" w:hAnsi="Arial" w:cs="Arial"/>
          <w:sz w:val="24"/>
          <w:szCs w:val="24"/>
        </w:rPr>
      </w:pPr>
      <w:r w:rsidRPr="00F70226">
        <w:rPr>
          <w:rFonts w:ascii="Arial" w:eastAsia="Times New Roman" w:hAnsi="Arial" w:cs="Arial"/>
          <w:b/>
          <w:bCs/>
          <w:sz w:val="24"/>
          <w:szCs w:val="24"/>
        </w:rPr>
        <w:t>4.1.</w:t>
      </w:r>
      <w:r w:rsidRPr="00370022">
        <w:rPr>
          <w:rFonts w:ascii="Arial" w:eastAsia="Times New Roman" w:hAnsi="Arial" w:cs="Arial"/>
          <w:sz w:val="24"/>
          <w:szCs w:val="24"/>
        </w:rPr>
        <w:t xml:space="preserve"> Importance of referencing for professional success</w:t>
      </w:r>
      <w:r w:rsidR="00F70226">
        <w:rPr>
          <w:rFonts w:ascii="Arial" w:eastAsia="Times New Roman" w:hAnsi="Arial" w:cs="Arial"/>
          <w:sz w:val="24"/>
          <w:szCs w:val="24"/>
        </w:rPr>
        <w:t>……………………………………8</w:t>
      </w:r>
    </w:p>
    <w:p w14:paraId="2DA84CAB" w14:textId="77777777" w:rsidR="00F70226" w:rsidRPr="00370022" w:rsidRDefault="00F70226" w:rsidP="00370022">
      <w:pPr>
        <w:rPr>
          <w:rFonts w:ascii="Arial" w:eastAsia="Times New Roman" w:hAnsi="Arial" w:cs="Arial"/>
          <w:sz w:val="24"/>
          <w:szCs w:val="24"/>
        </w:rPr>
      </w:pPr>
    </w:p>
    <w:p w14:paraId="68759AD0" w14:textId="743793FE" w:rsidR="00370022" w:rsidRDefault="00370022" w:rsidP="00370022">
      <w:pPr>
        <w:rPr>
          <w:rFonts w:ascii="Arial" w:eastAsia="Times New Roman" w:hAnsi="Arial" w:cs="Arial"/>
          <w:sz w:val="23"/>
          <w:szCs w:val="23"/>
        </w:rPr>
      </w:pPr>
      <w:r w:rsidRPr="00F70226">
        <w:rPr>
          <w:rFonts w:ascii="Arial" w:eastAsia="Times New Roman" w:hAnsi="Arial" w:cs="Arial"/>
          <w:b/>
          <w:bCs/>
          <w:sz w:val="24"/>
          <w:szCs w:val="24"/>
        </w:rPr>
        <w:t>4.2.</w:t>
      </w:r>
      <w:r w:rsidRPr="00370022">
        <w:rPr>
          <w:rFonts w:ascii="Arial" w:eastAsia="Times New Roman" w:hAnsi="Arial" w:cs="Arial"/>
          <w:sz w:val="24"/>
          <w:szCs w:val="24"/>
        </w:rPr>
        <w:t xml:space="preserve"> </w:t>
      </w:r>
      <w:r w:rsidRPr="00370022">
        <w:rPr>
          <w:rFonts w:ascii="Arial" w:eastAsia="Times New Roman" w:hAnsi="Arial" w:cs="Arial"/>
          <w:sz w:val="23"/>
          <w:szCs w:val="23"/>
        </w:rPr>
        <w:t>Importance of referencing for academic success</w:t>
      </w:r>
      <w:r w:rsidR="00F70226">
        <w:rPr>
          <w:rFonts w:ascii="Arial" w:eastAsia="Times New Roman" w:hAnsi="Arial" w:cs="Arial"/>
          <w:sz w:val="23"/>
          <w:szCs w:val="23"/>
        </w:rPr>
        <w:t>………………………………………….8</w:t>
      </w:r>
    </w:p>
    <w:p w14:paraId="78D7AD43" w14:textId="77777777" w:rsidR="00F70226" w:rsidRPr="00370022" w:rsidRDefault="00F70226" w:rsidP="00370022">
      <w:pPr>
        <w:rPr>
          <w:rFonts w:ascii="Arial" w:eastAsia="Times New Roman" w:hAnsi="Arial" w:cs="Arial"/>
          <w:sz w:val="23"/>
          <w:szCs w:val="23"/>
        </w:rPr>
      </w:pPr>
    </w:p>
    <w:p w14:paraId="017FBA9B" w14:textId="062FE047" w:rsidR="00370022" w:rsidRDefault="00370022" w:rsidP="00370022">
      <w:pPr>
        <w:rPr>
          <w:rFonts w:ascii="Arial" w:hAnsi="Arial" w:cs="Arial"/>
          <w:sz w:val="24"/>
          <w:szCs w:val="24"/>
        </w:rPr>
      </w:pPr>
      <w:r w:rsidRPr="00F70226">
        <w:rPr>
          <w:rFonts w:ascii="Arial" w:hAnsi="Arial" w:cs="Arial"/>
          <w:b/>
          <w:bCs/>
          <w:sz w:val="24"/>
          <w:szCs w:val="24"/>
        </w:rPr>
        <w:t>5.</w:t>
      </w:r>
      <w:r w:rsidRPr="00370022">
        <w:rPr>
          <w:rFonts w:ascii="Arial" w:hAnsi="Arial" w:cs="Arial"/>
          <w:sz w:val="24"/>
          <w:szCs w:val="24"/>
        </w:rPr>
        <w:t xml:space="preserve"> Critical Thinking: Meaning </w:t>
      </w:r>
      <w:r w:rsidR="00F70226">
        <w:rPr>
          <w:rFonts w:ascii="Arial" w:hAnsi="Arial" w:cs="Arial"/>
          <w:sz w:val="24"/>
          <w:szCs w:val="24"/>
        </w:rPr>
        <w:t>………………………………………………………………….9</w:t>
      </w:r>
    </w:p>
    <w:p w14:paraId="4FEE4AC8" w14:textId="77777777" w:rsidR="00F70226" w:rsidRPr="00370022" w:rsidRDefault="00F70226" w:rsidP="00370022">
      <w:pPr>
        <w:rPr>
          <w:rFonts w:ascii="Arial" w:hAnsi="Arial" w:cs="Arial"/>
          <w:sz w:val="24"/>
          <w:szCs w:val="24"/>
        </w:rPr>
      </w:pPr>
    </w:p>
    <w:p w14:paraId="7DD53B68" w14:textId="28C9F9E7" w:rsidR="00370022" w:rsidRDefault="00370022" w:rsidP="00370022">
      <w:pPr>
        <w:rPr>
          <w:rFonts w:ascii="Arial" w:hAnsi="Arial" w:cs="Arial"/>
          <w:sz w:val="24"/>
          <w:szCs w:val="24"/>
        </w:rPr>
      </w:pPr>
      <w:r w:rsidRPr="00F70226">
        <w:rPr>
          <w:rFonts w:ascii="Arial" w:hAnsi="Arial" w:cs="Arial"/>
          <w:b/>
          <w:bCs/>
          <w:sz w:val="24"/>
          <w:szCs w:val="24"/>
        </w:rPr>
        <w:t>5.1.</w:t>
      </w:r>
      <w:r w:rsidRPr="00370022">
        <w:rPr>
          <w:rFonts w:ascii="Arial" w:hAnsi="Arial" w:cs="Arial"/>
          <w:sz w:val="24"/>
          <w:szCs w:val="24"/>
        </w:rPr>
        <w:t xml:space="preserve"> Importance of critical and analytical thinking in shaping academic excellence</w:t>
      </w:r>
      <w:r w:rsidR="00F70226">
        <w:rPr>
          <w:rFonts w:ascii="Arial" w:hAnsi="Arial" w:cs="Arial"/>
          <w:sz w:val="24"/>
          <w:szCs w:val="24"/>
        </w:rPr>
        <w:t>…….9</w:t>
      </w:r>
    </w:p>
    <w:p w14:paraId="0E930BA8" w14:textId="77777777" w:rsidR="00F70226" w:rsidRPr="00370022" w:rsidRDefault="00F70226" w:rsidP="00370022">
      <w:pPr>
        <w:rPr>
          <w:rFonts w:ascii="Arial" w:hAnsi="Arial" w:cs="Arial"/>
          <w:sz w:val="24"/>
          <w:szCs w:val="24"/>
        </w:rPr>
      </w:pPr>
    </w:p>
    <w:p w14:paraId="65ADB73A" w14:textId="306EDF32" w:rsidR="00370022" w:rsidRDefault="00370022" w:rsidP="00370022">
      <w:pPr>
        <w:rPr>
          <w:rFonts w:ascii="Arial" w:hAnsi="Arial" w:cs="Arial"/>
          <w:sz w:val="24"/>
          <w:szCs w:val="24"/>
        </w:rPr>
      </w:pPr>
      <w:r w:rsidRPr="00F70226">
        <w:rPr>
          <w:rFonts w:ascii="Arial" w:hAnsi="Arial" w:cs="Arial"/>
          <w:b/>
          <w:bCs/>
          <w:sz w:val="24"/>
          <w:szCs w:val="24"/>
        </w:rPr>
        <w:t>5.2.</w:t>
      </w:r>
      <w:r w:rsidRPr="00370022">
        <w:rPr>
          <w:rFonts w:ascii="Arial" w:hAnsi="Arial" w:cs="Arial"/>
          <w:sz w:val="24"/>
          <w:szCs w:val="24"/>
        </w:rPr>
        <w:t xml:space="preserve"> Indispensable value of analytical and critical thinking for professional success</w:t>
      </w:r>
      <w:r w:rsidR="00F70226">
        <w:rPr>
          <w:rFonts w:ascii="Arial" w:hAnsi="Arial" w:cs="Arial"/>
          <w:sz w:val="24"/>
          <w:szCs w:val="24"/>
        </w:rPr>
        <w:t>…10</w:t>
      </w:r>
    </w:p>
    <w:p w14:paraId="3A7D1355" w14:textId="77777777" w:rsidR="00F70226" w:rsidRPr="00370022" w:rsidRDefault="00F70226" w:rsidP="00370022">
      <w:pPr>
        <w:rPr>
          <w:rFonts w:ascii="Arial" w:hAnsi="Arial" w:cs="Arial"/>
          <w:sz w:val="24"/>
          <w:szCs w:val="24"/>
        </w:rPr>
      </w:pPr>
    </w:p>
    <w:p w14:paraId="45CB6108" w14:textId="363A07CA" w:rsidR="00370022" w:rsidRDefault="00370022" w:rsidP="00370022">
      <w:pPr>
        <w:rPr>
          <w:rFonts w:ascii="Arial" w:hAnsi="Arial" w:cs="Arial"/>
          <w:sz w:val="24"/>
          <w:szCs w:val="24"/>
        </w:rPr>
      </w:pPr>
      <w:r w:rsidRPr="00F70226">
        <w:rPr>
          <w:rFonts w:ascii="Arial" w:hAnsi="Arial" w:cs="Arial"/>
          <w:b/>
          <w:bCs/>
          <w:sz w:val="24"/>
          <w:szCs w:val="24"/>
        </w:rPr>
        <w:t>6.</w:t>
      </w:r>
      <w:r w:rsidRPr="00370022">
        <w:rPr>
          <w:rFonts w:ascii="Arial" w:hAnsi="Arial" w:cs="Arial"/>
          <w:sz w:val="24"/>
          <w:szCs w:val="24"/>
        </w:rPr>
        <w:t xml:space="preserve"> Conclusion</w:t>
      </w:r>
      <w:r w:rsidR="00F70226">
        <w:rPr>
          <w:rFonts w:ascii="Arial" w:hAnsi="Arial" w:cs="Arial"/>
          <w:sz w:val="24"/>
          <w:szCs w:val="24"/>
        </w:rPr>
        <w:t>…………………………………………………………………………………11</w:t>
      </w:r>
    </w:p>
    <w:p w14:paraId="31995A82" w14:textId="77777777" w:rsidR="00F70226" w:rsidRPr="00370022" w:rsidRDefault="00F70226" w:rsidP="00370022">
      <w:pPr>
        <w:rPr>
          <w:rFonts w:ascii="Arial" w:hAnsi="Arial" w:cs="Arial"/>
          <w:sz w:val="24"/>
          <w:szCs w:val="24"/>
        </w:rPr>
      </w:pPr>
    </w:p>
    <w:p w14:paraId="779E0E53" w14:textId="15987E70" w:rsidR="00F70226" w:rsidRDefault="00370022" w:rsidP="000C166E">
      <w:pPr>
        <w:rPr>
          <w:rFonts w:ascii="Arial" w:hAnsi="Arial" w:cs="Arial"/>
          <w:sz w:val="24"/>
          <w:szCs w:val="24"/>
        </w:rPr>
      </w:pPr>
      <w:r w:rsidRPr="00F70226">
        <w:rPr>
          <w:rFonts w:ascii="Arial" w:hAnsi="Arial" w:cs="Arial"/>
          <w:b/>
          <w:bCs/>
          <w:sz w:val="24"/>
          <w:szCs w:val="24"/>
        </w:rPr>
        <w:t>7.</w:t>
      </w:r>
      <w:r w:rsidRPr="00370022">
        <w:rPr>
          <w:rFonts w:ascii="Arial" w:hAnsi="Arial" w:cs="Arial"/>
          <w:sz w:val="24"/>
          <w:szCs w:val="24"/>
        </w:rPr>
        <w:t xml:space="preserve"> References</w:t>
      </w:r>
      <w:r w:rsidR="00F70226">
        <w:rPr>
          <w:rFonts w:ascii="Arial" w:hAnsi="Arial" w:cs="Arial"/>
          <w:sz w:val="24"/>
          <w:szCs w:val="24"/>
        </w:rPr>
        <w:t>……………………………………………………………………………….12</w:t>
      </w:r>
    </w:p>
    <w:p w14:paraId="617D16A9" w14:textId="1A0CC995" w:rsidR="000C166E" w:rsidRPr="00F70226" w:rsidRDefault="000C166E" w:rsidP="000C166E">
      <w:pPr>
        <w:rPr>
          <w:rFonts w:ascii="Arial" w:hAnsi="Arial" w:cs="Arial"/>
          <w:sz w:val="24"/>
          <w:szCs w:val="24"/>
        </w:rPr>
      </w:pPr>
      <w:r w:rsidRPr="00CC37B6">
        <w:rPr>
          <w:rFonts w:ascii="Arial" w:hAnsi="Arial" w:cs="Arial"/>
          <w:b/>
          <w:bCs/>
          <w:sz w:val="24"/>
          <w:szCs w:val="24"/>
        </w:rPr>
        <w:t>1.</w:t>
      </w:r>
      <w:r w:rsidR="00CC37B6" w:rsidRPr="00CC37B6">
        <w:rPr>
          <w:rFonts w:ascii="Arial" w:hAnsi="Arial" w:cs="Arial"/>
          <w:b/>
          <w:bCs/>
          <w:sz w:val="24"/>
          <w:szCs w:val="24"/>
        </w:rPr>
        <w:t xml:space="preserve"> </w:t>
      </w:r>
      <w:r w:rsidRPr="00CC37B6">
        <w:rPr>
          <w:rFonts w:ascii="Arial" w:hAnsi="Arial" w:cs="Arial"/>
          <w:b/>
          <w:bCs/>
          <w:sz w:val="24"/>
          <w:szCs w:val="24"/>
        </w:rPr>
        <w:t>Introduction</w:t>
      </w:r>
      <w:r w:rsidR="00CC37B6">
        <w:rPr>
          <w:rFonts w:ascii="Arial" w:hAnsi="Arial" w:cs="Arial"/>
          <w:b/>
          <w:bCs/>
          <w:sz w:val="24"/>
          <w:szCs w:val="24"/>
        </w:rPr>
        <w:t>:</w:t>
      </w:r>
    </w:p>
    <w:p w14:paraId="0E941BF8" w14:textId="77777777" w:rsidR="00CC37B6" w:rsidRPr="00F70226" w:rsidRDefault="000C166E" w:rsidP="000F3435">
      <w:pPr>
        <w:spacing w:line="360" w:lineRule="auto"/>
        <w:rPr>
          <w:rFonts w:ascii="Arial" w:hAnsi="Arial" w:cs="Arial"/>
        </w:rPr>
      </w:pPr>
      <w:r w:rsidRPr="00F70226">
        <w:rPr>
          <w:rFonts w:ascii="Arial" w:hAnsi="Arial" w:cs="Arial"/>
        </w:rPr>
        <w:t xml:space="preserve">Academic talents encompass a range of competencies that empower individuals to effectively generate and distribute knowledge within academic and professional settings. In the context of this report, the main focus will be placed on four essential academic proficiencies: time management, critical and analytical thinking, paraphrasing, and summarizing, and referencing. Cottrell (2020) asserts that time management is an essential competency that aids individuals in effectively prioritizing work and giving sufficient time to academic efforts. Additionally, the authors Burns and Sinfield (2012) stress the importance of critical and analytical thinking, believing that these abilities enable individuals to critically review, deconstruct, and assess many types of information. Paraphrasing and summarizing are essential techniques for effectively conveying and comprehending intricate information in a concise manner, while preserving the original intended message (Lillis and Curry, 2010). Lastly, the act of referencing, as explained by Neville (2016), plays a crucial role in sustaining academic integrity through making sure that sources of information are adequately recognized. The utilization of skills such as referencing and paraphrasing is crucial in academic contexts as they adhere to the rigor and integrity of academic papers. On the other hand, in professional settings, the emphasis is often placed on the significance of time management and critical thinking. These skills play a vital role in facilitating effective decision-making and the effective completion of tasks. </w:t>
      </w:r>
    </w:p>
    <w:p w14:paraId="197B185E" w14:textId="50782EA6" w:rsidR="000C166E" w:rsidRPr="000F3435" w:rsidRDefault="00316699" w:rsidP="000F3435">
      <w:pPr>
        <w:spacing w:line="360" w:lineRule="auto"/>
        <w:rPr>
          <w:rFonts w:ascii="Arial" w:hAnsi="Arial" w:cs="Arial"/>
        </w:rPr>
      </w:pPr>
      <w:r w:rsidRPr="00316699">
        <w:rPr>
          <w:rFonts w:ascii="Arial" w:hAnsi="Arial" w:cs="Arial"/>
        </w:rPr>
        <w:t>This report highlights the integral role of key academic proficiencies, namely time management, critical and analytical thinking, paraphrasing, and summarizing, and referencing, in equipping individuals with the competencies necessary for success in academic and professional spheres</w:t>
      </w:r>
      <w:r w:rsidR="000C166E" w:rsidRPr="00F70226">
        <w:rPr>
          <w:rFonts w:ascii="Arial" w:hAnsi="Arial" w:cs="Arial"/>
        </w:rPr>
        <w:t>.</w:t>
      </w:r>
    </w:p>
    <w:p w14:paraId="400A5D78" w14:textId="149F88AF" w:rsidR="000C166E" w:rsidRPr="00CC37B6" w:rsidRDefault="00370022" w:rsidP="00AA1EF9">
      <w:pPr>
        <w:pStyle w:val="commentcontentpara"/>
        <w:spacing w:before="0" w:beforeAutospacing="0" w:after="0" w:afterAutospacing="0" w:line="360" w:lineRule="auto"/>
        <w:rPr>
          <w:rFonts w:ascii="Arial" w:hAnsi="Arial" w:cs="Arial"/>
          <w:b/>
          <w:bCs/>
        </w:rPr>
      </w:pPr>
      <w:r>
        <w:rPr>
          <w:rFonts w:ascii="Arial" w:hAnsi="Arial" w:cs="Arial"/>
          <w:b/>
          <w:bCs/>
        </w:rPr>
        <w:t>2</w:t>
      </w:r>
      <w:r w:rsidR="00CC37B6">
        <w:rPr>
          <w:rFonts w:ascii="Arial" w:hAnsi="Arial" w:cs="Arial"/>
          <w:b/>
          <w:bCs/>
        </w:rPr>
        <w:t xml:space="preserve">. </w:t>
      </w:r>
      <w:r w:rsidR="000C166E" w:rsidRPr="00CC37B6">
        <w:rPr>
          <w:rFonts w:ascii="Arial" w:hAnsi="Arial" w:cs="Arial"/>
          <w:b/>
          <w:bCs/>
        </w:rPr>
        <w:t>Time Management: Definition</w:t>
      </w:r>
    </w:p>
    <w:p w14:paraId="37B7ACF0" w14:textId="77777777" w:rsidR="000C166E" w:rsidRPr="00F70226" w:rsidRDefault="000C166E" w:rsidP="00AA1EF9">
      <w:pPr>
        <w:pStyle w:val="commentcontentpara"/>
        <w:spacing w:before="0" w:beforeAutospacing="0" w:after="0" w:afterAutospacing="0" w:line="360" w:lineRule="auto"/>
        <w:rPr>
          <w:rFonts w:ascii="Arial" w:hAnsi="Arial" w:cs="Arial"/>
          <w:sz w:val="22"/>
          <w:szCs w:val="22"/>
        </w:rPr>
      </w:pPr>
    </w:p>
    <w:p w14:paraId="19BBA72A" w14:textId="77777777" w:rsidR="00F70226" w:rsidRPr="00F70226" w:rsidRDefault="00AA1EF9" w:rsidP="000F3435">
      <w:pPr>
        <w:pStyle w:val="commentcontentpara"/>
        <w:spacing w:before="0" w:beforeAutospacing="0" w:after="0" w:afterAutospacing="0" w:line="360" w:lineRule="auto"/>
        <w:rPr>
          <w:rFonts w:ascii="Arial" w:hAnsi="Arial" w:cs="Arial"/>
          <w:sz w:val="22"/>
          <w:szCs w:val="22"/>
        </w:rPr>
      </w:pPr>
      <w:r w:rsidRPr="00F70226">
        <w:rPr>
          <w:rFonts w:ascii="Arial" w:hAnsi="Arial" w:cs="Arial"/>
          <w:sz w:val="22"/>
          <w:szCs w:val="22"/>
        </w:rPr>
        <w:t>Time management is an essential skill that is relevant for an individual to achieve their goals and objectives. Adu Oppong et. Al. (2014) defines time management as utilising time effectively and efficiently to achieve any task. This involves identifying the task, setting a deadline, using time management tools, and being organized while completing the activities. He states that every student should have access to time management resources as well as skills. According to Choudhary (2022), students frequently waste their leisure time on pointless activities in daily life. Thus, it is quite challenging for them to focus on the foremost duties without proper time management. Therefore, it is essential to practice those tools that can effortlessly help prevent those distractions and allows for the prioritization of important topics. This part of the report will explore the</w:t>
      </w:r>
    </w:p>
    <w:p w14:paraId="4DD7964B" w14:textId="1217A4D0" w:rsidR="000C166E" w:rsidRPr="00F70226" w:rsidRDefault="00AA1EF9" w:rsidP="000F3435">
      <w:pPr>
        <w:pStyle w:val="commentcontentpara"/>
        <w:spacing w:before="0" w:beforeAutospacing="0" w:after="0" w:afterAutospacing="0" w:line="360" w:lineRule="auto"/>
        <w:rPr>
          <w:rFonts w:ascii="Arial" w:hAnsi="Arial" w:cs="Arial"/>
          <w:sz w:val="22"/>
          <w:szCs w:val="22"/>
        </w:rPr>
      </w:pPr>
      <w:r w:rsidRPr="00F70226">
        <w:rPr>
          <w:rFonts w:ascii="Arial" w:hAnsi="Arial" w:cs="Arial"/>
          <w:sz w:val="22"/>
          <w:szCs w:val="22"/>
        </w:rPr>
        <w:t xml:space="preserve">significance of time management for professional success as well as academic success. </w:t>
      </w:r>
    </w:p>
    <w:p w14:paraId="043FFB57" w14:textId="77777777" w:rsidR="00F70226" w:rsidRPr="00F70226" w:rsidRDefault="00F70226" w:rsidP="000F3435">
      <w:pPr>
        <w:pStyle w:val="commentcontentpara"/>
        <w:spacing w:before="0" w:beforeAutospacing="0" w:after="0" w:afterAutospacing="0" w:line="360" w:lineRule="auto"/>
        <w:rPr>
          <w:rFonts w:ascii="Arial" w:hAnsi="Arial" w:cs="Arial"/>
        </w:rPr>
      </w:pPr>
    </w:p>
    <w:p w14:paraId="6ADBDC3C" w14:textId="7FA7698A" w:rsidR="000C166E" w:rsidRDefault="00370022" w:rsidP="00AA1EF9">
      <w:pPr>
        <w:spacing w:line="360" w:lineRule="auto"/>
        <w:rPr>
          <w:rFonts w:ascii="Arial" w:hAnsi="Arial" w:cs="Arial"/>
          <w:b/>
          <w:bCs/>
          <w:sz w:val="24"/>
          <w:szCs w:val="24"/>
        </w:rPr>
      </w:pPr>
      <w:r>
        <w:rPr>
          <w:rFonts w:ascii="Arial" w:hAnsi="Arial" w:cs="Arial"/>
          <w:b/>
          <w:bCs/>
          <w:sz w:val="24"/>
          <w:szCs w:val="24"/>
        </w:rPr>
        <w:t xml:space="preserve">2.1. </w:t>
      </w:r>
      <w:r w:rsidR="000C166E">
        <w:rPr>
          <w:rFonts w:ascii="Arial" w:hAnsi="Arial" w:cs="Arial"/>
          <w:b/>
          <w:bCs/>
          <w:sz w:val="24"/>
          <w:szCs w:val="24"/>
        </w:rPr>
        <w:t xml:space="preserve">Importance of Time management for professional success: </w:t>
      </w:r>
    </w:p>
    <w:p w14:paraId="26544000" w14:textId="01927695" w:rsidR="00AA1EF9" w:rsidRPr="00F70226" w:rsidRDefault="00AA1EF9" w:rsidP="000F3435">
      <w:pPr>
        <w:spacing w:line="360" w:lineRule="auto"/>
        <w:rPr>
          <w:rFonts w:ascii="Arial" w:hAnsi="Arial" w:cs="Arial"/>
        </w:rPr>
      </w:pPr>
      <w:r w:rsidRPr="00F70226">
        <w:rPr>
          <w:rFonts w:ascii="Arial" w:hAnsi="Arial" w:cs="Arial"/>
        </w:rPr>
        <w:t>Cottrell (2019) states that effective time management can lower stress levels. People frequently experience stress issues due to poor time management, whether it is at work or at home. Therefore, learning time management techniques can help to ensure that chores and objectives are done on time. Thus, resulting in overall stress reduction. Besides, Time management increases productivity by efficiently allocating resources and focusing on tasks using time management tools. This prevents wastage of time, leading to more outstanding organization, productivity, and efficiency (Choudhari, 2022). To support a statement, using time management tools such as a to-do list and allocating time for each specific task can ultimately help an individual focus on their work and stay organized. This will allow them to efficiently accomplish their tasks and maximize their productivity.</w:t>
      </w:r>
    </w:p>
    <w:p w14:paraId="092810DA" w14:textId="7A0D23AC" w:rsidR="00AA1EF9" w:rsidRPr="00F70226" w:rsidRDefault="00AA1EF9" w:rsidP="000F3435">
      <w:pPr>
        <w:spacing w:line="360" w:lineRule="auto"/>
        <w:rPr>
          <w:rFonts w:ascii="Arial" w:hAnsi="Arial" w:cs="Arial"/>
        </w:rPr>
      </w:pPr>
      <w:r w:rsidRPr="00F70226">
        <w:rPr>
          <w:rFonts w:ascii="Arial" w:hAnsi="Arial" w:cs="Arial"/>
        </w:rPr>
        <w:t>By prioritizing work and presenting a formal framework to analyze possibilities, time management can often assist in decision-making which is further essential for a successful outcome in a professional career. According to Choudhary (2022), efficient time management enables people to accomplish aims on schedule and further leaves enough time for them to concentrate on other responsibilities. With proper time management methods, time might be used for deliberation and thought. Hence, it can produce superior results. In addition, Time management will allow individuals to learn new things. This could be the outcome of prioritizing or the delegation of authority. Besides, they often feel inspired to take on new challenges in life by the goals which set for time management. Therefore, they can acquire new skills and resources for them if they effectively manage their time.</w:t>
      </w:r>
    </w:p>
    <w:p w14:paraId="204BF296" w14:textId="03199A7C" w:rsidR="000C166E" w:rsidRDefault="00370022" w:rsidP="000F3435">
      <w:pPr>
        <w:spacing w:line="360" w:lineRule="auto"/>
        <w:rPr>
          <w:rFonts w:ascii="Arial" w:hAnsi="Arial" w:cs="Arial"/>
          <w:b/>
          <w:bCs/>
          <w:sz w:val="24"/>
          <w:szCs w:val="24"/>
        </w:rPr>
      </w:pPr>
      <w:r>
        <w:rPr>
          <w:rFonts w:ascii="Arial" w:hAnsi="Arial" w:cs="Arial"/>
          <w:b/>
          <w:bCs/>
          <w:sz w:val="24"/>
          <w:szCs w:val="24"/>
        </w:rPr>
        <w:t xml:space="preserve">2.2. </w:t>
      </w:r>
      <w:r w:rsidR="000C166E">
        <w:rPr>
          <w:rFonts w:ascii="Arial" w:hAnsi="Arial" w:cs="Arial"/>
          <w:b/>
          <w:bCs/>
          <w:sz w:val="24"/>
          <w:szCs w:val="24"/>
        </w:rPr>
        <w:t>Time management: Essential for academic success:</w:t>
      </w:r>
    </w:p>
    <w:p w14:paraId="6C852AF3" w14:textId="3FDD1A6F" w:rsidR="00AA1EF9" w:rsidRPr="00F70226" w:rsidRDefault="00AA1EF9" w:rsidP="000F3435">
      <w:pPr>
        <w:spacing w:line="360" w:lineRule="auto"/>
        <w:rPr>
          <w:rFonts w:ascii="Arial" w:hAnsi="Arial" w:cs="Arial"/>
        </w:rPr>
      </w:pPr>
      <w:r w:rsidRPr="00F70226">
        <w:rPr>
          <w:rFonts w:ascii="Arial" w:hAnsi="Arial" w:cs="Arial"/>
        </w:rPr>
        <w:t>Time management can improve academic performance. Cottrell (2019) highlights that students who are prioritizing their time via time management resources and focus on studies are more likely to excel in their academics. Furthermore, students should concentrate on the time they spend on their studies and how wisely they allocate their time to perform well in their exams. For instance, students dedicating more time to reading and studying subjects as well as topics will help with organization and increase the likelihood of performing well on exams. Moreover, time management effectively helps in timesaving. Cottrell (2019) claims that time management tools are crucial for efficient time management, reducing procrastination, and realizing time savings. Students may use the time they save to do more in-depth study on their subjects, improve their test preparation, or spend some quality time with their close ones. further, to maximize production and prevent time wastage, it is essential to employ time management strategies. Despite that, building discipline also requires effective time management. Choudhary (2022) argues that to develop discipline, time management plays a quite significant role as it allows them to allot sufficient time for each assignment and to remain consistent while putting the greatest effort into a few chosen topics or projects. Furthermore, discipline is only possible when one is fully focused on one’s task in a consistent manner and avoids all other distractions.</w:t>
      </w:r>
    </w:p>
    <w:p w14:paraId="4BCD9AB9" w14:textId="778BF152" w:rsidR="00AA1EF9" w:rsidRPr="00F70226" w:rsidRDefault="00AA1EF9" w:rsidP="000F3435">
      <w:pPr>
        <w:spacing w:line="360" w:lineRule="auto"/>
        <w:rPr>
          <w:rFonts w:ascii="Arial" w:hAnsi="Arial" w:cs="Arial"/>
        </w:rPr>
      </w:pPr>
      <w:r w:rsidRPr="00F70226">
        <w:rPr>
          <w:rFonts w:ascii="Arial" w:hAnsi="Arial" w:cs="Arial"/>
        </w:rPr>
        <w:t>Moreover, Time management will assist students to use their resources to their full aspect. As stated by Choudhary (2022), effectively using time management tools avoid negative results which will allow students to use their resource to the fullest. Besides, Mohamed (2018) stated that the road to success can be only achieved through effectively and efficiently using time management skills and resources. Managing time in an effective way requires efficient planning. Thus, through effective use of time, will allow students to have spare time to utilize resources to the fullest.</w:t>
      </w:r>
    </w:p>
    <w:p w14:paraId="0552F38C" w14:textId="7112485B" w:rsidR="00AA1EF9" w:rsidRPr="00F70226" w:rsidRDefault="00370022" w:rsidP="00AA1EF9">
      <w:pPr>
        <w:spacing w:line="360" w:lineRule="auto"/>
        <w:rPr>
          <w:rFonts w:ascii="Arial" w:hAnsi="Arial" w:cs="Arial"/>
          <w:b/>
          <w:bCs/>
        </w:rPr>
      </w:pPr>
      <w:r>
        <w:rPr>
          <w:rFonts w:ascii="Arial" w:hAnsi="Arial" w:cs="Arial"/>
          <w:b/>
          <w:bCs/>
          <w:sz w:val="24"/>
          <w:szCs w:val="24"/>
        </w:rPr>
        <w:t xml:space="preserve">3. </w:t>
      </w:r>
      <w:r w:rsidR="00AA1EF9" w:rsidRPr="00CC37B6">
        <w:rPr>
          <w:rFonts w:ascii="Arial" w:hAnsi="Arial" w:cs="Arial"/>
          <w:b/>
          <w:bCs/>
          <w:sz w:val="24"/>
          <w:szCs w:val="24"/>
        </w:rPr>
        <w:t xml:space="preserve">Paraphrasing and Summarizing: Their Relative Importance for Future Academic </w:t>
      </w:r>
      <w:r w:rsidR="00AA1EF9" w:rsidRPr="00F70226">
        <w:rPr>
          <w:rFonts w:ascii="Arial" w:hAnsi="Arial" w:cs="Arial"/>
          <w:b/>
          <w:bCs/>
        </w:rPr>
        <w:t>and Professional success</w:t>
      </w:r>
    </w:p>
    <w:p w14:paraId="5A560059" w14:textId="77777777" w:rsidR="00AA1EF9" w:rsidRPr="00F70226" w:rsidRDefault="00AA1EF9" w:rsidP="000F3435">
      <w:pPr>
        <w:spacing w:line="360" w:lineRule="auto"/>
        <w:jc w:val="both"/>
        <w:rPr>
          <w:rFonts w:ascii="Arial" w:hAnsi="Arial" w:cs="Arial"/>
        </w:rPr>
      </w:pPr>
      <w:r w:rsidRPr="00F70226">
        <w:rPr>
          <w:rFonts w:ascii="Arial" w:hAnsi="Arial" w:cs="Arial"/>
        </w:rPr>
        <w:t>The ability to imbibe copious volumes of knowledge and convey it with crystal clarity is an exceedingly coveted attribute in the swift and frenetic realms of academia and the professional world. Proficiency in this realm presupposes a profound familiarity with two foundational aptitudes: rephrasing and condensing. The magnitude of cultivating effective time management skills cannot be overstated when it comes to future triumphs in the domains of education and occupation (McMillan &amp; Weyers, 2012).</w:t>
      </w:r>
    </w:p>
    <w:p w14:paraId="305842E8" w14:textId="77777777" w:rsidR="00AA1EF9" w:rsidRPr="00F70226" w:rsidRDefault="00AA1EF9" w:rsidP="000F3435">
      <w:pPr>
        <w:spacing w:line="360" w:lineRule="auto"/>
        <w:jc w:val="both"/>
        <w:rPr>
          <w:rFonts w:ascii="Arial" w:hAnsi="Arial" w:cs="Arial"/>
        </w:rPr>
      </w:pPr>
      <w:r w:rsidRPr="00F70226">
        <w:rPr>
          <w:rFonts w:ascii="Arial" w:hAnsi="Arial" w:cs="Arial"/>
        </w:rPr>
        <w:t>Comprehending and assimilating a vast array of erudite sources assumes paramount importance in academic endeavors. As per Oliver (2012), rephrasing is an indispensable ability for conducting literature reviews, an integral component of any scholarly document. When conducting research, grasping the source material in its entirety is crucial, and rephrasing is a strategic technique that entails presenting someone else's ideas using one's own linguistic repertoire. This approach mitigates the risk of inadvertent plagiarism, an ever-present quandary in academic writing. Successful rephrasing hinges upon the author's profound familiarity with the source material, a feat that can only be accomplished through a comprehensive grasp of the subject matter.</w:t>
      </w:r>
    </w:p>
    <w:p w14:paraId="450B7953" w14:textId="77777777" w:rsidR="00AA1EF9" w:rsidRPr="00F70226" w:rsidRDefault="00AA1EF9" w:rsidP="000F3435">
      <w:pPr>
        <w:spacing w:line="360" w:lineRule="auto"/>
        <w:jc w:val="both"/>
        <w:rPr>
          <w:rFonts w:ascii="Arial" w:hAnsi="Arial" w:cs="Arial"/>
        </w:rPr>
      </w:pPr>
      <w:r w:rsidRPr="00F70226">
        <w:rPr>
          <w:rFonts w:ascii="Arial" w:hAnsi="Arial" w:cs="Arial"/>
        </w:rPr>
        <w:t>However, comprehension is not the sole virtue of rephrasing; it also aids in seamlessly incorporating information from multiple sources into one's work without disrupting the flow of the argument. Employing this strategy ensures that scholarly articles are meticulously researched and well-informed, thereby laying the groundwork for future investigations (Oliver, 2012).</w:t>
      </w:r>
    </w:p>
    <w:p w14:paraId="643A4416" w14:textId="77777777" w:rsidR="00AA1EF9" w:rsidRPr="00F70226" w:rsidRDefault="00AA1EF9" w:rsidP="000F3435">
      <w:pPr>
        <w:spacing w:line="360" w:lineRule="auto"/>
        <w:jc w:val="both"/>
        <w:rPr>
          <w:rFonts w:ascii="Arial" w:hAnsi="Arial" w:cs="Arial"/>
        </w:rPr>
      </w:pPr>
      <w:r w:rsidRPr="00F70226">
        <w:rPr>
          <w:rFonts w:ascii="Arial" w:hAnsi="Arial" w:cs="Arial"/>
        </w:rPr>
        <w:t>On the other hand, summarizing plays an indispensable role in the professional realm. Cottrell (2019) asserts that professionals often grapple with an inundation of information in the form of reports and protracted emails. The practice of summarization significantly aids in time management. Distilling lengthy texts down to their salient contents facilitates prompt decision-making and prevents pivotal information from getting lost amidst a sea of extraneous details.</w:t>
      </w:r>
    </w:p>
    <w:p w14:paraId="2A52DF27" w14:textId="77777777" w:rsidR="00AA1EF9" w:rsidRPr="00F70226" w:rsidRDefault="00AA1EF9" w:rsidP="000F3435">
      <w:pPr>
        <w:spacing w:line="360" w:lineRule="auto"/>
        <w:jc w:val="both"/>
        <w:rPr>
          <w:rFonts w:ascii="Arial" w:hAnsi="Arial" w:cs="Arial"/>
        </w:rPr>
      </w:pPr>
      <w:r w:rsidRPr="00F70226">
        <w:rPr>
          <w:rFonts w:ascii="Arial" w:hAnsi="Arial" w:cs="Arial"/>
        </w:rPr>
        <w:t>Furthermore, the ability to recognize and prioritize essential elements is pivotal to the art of summarizing. Expertly prioritizing tasks based on their significance demonstrates a profound understanding of one's field and ensures that time and energy are expended judiciously (Cottrell, 2019).</w:t>
      </w:r>
    </w:p>
    <w:p w14:paraId="4847A8DE" w14:textId="77777777" w:rsidR="00AA1EF9" w:rsidRPr="00F70226" w:rsidRDefault="00AA1EF9" w:rsidP="000F3435">
      <w:pPr>
        <w:spacing w:line="360" w:lineRule="auto"/>
        <w:jc w:val="both"/>
        <w:rPr>
          <w:rFonts w:ascii="Arial" w:hAnsi="Arial" w:cs="Arial"/>
        </w:rPr>
      </w:pPr>
      <w:r w:rsidRPr="00F70226">
        <w:rPr>
          <w:rFonts w:ascii="Arial" w:hAnsi="Arial" w:cs="Arial"/>
        </w:rPr>
        <w:t>In tasks such as report writing, it is imperative to amalgamate these proficiencies. Rephrasing and summarizing are two strategies employed by students and professionals alike to convey copious amounts of information in a lucid and concise manner, whether it be in a literature review for a thesis or a quarterly report for a corporation.</w:t>
      </w:r>
    </w:p>
    <w:p w14:paraId="0026345A" w14:textId="77777777" w:rsidR="00AA1EF9" w:rsidRPr="00F70226" w:rsidRDefault="00AA1EF9" w:rsidP="000F3435">
      <w:pPr>
        <w:spacing w:line="360" w:lineRule="auto"/>
        <w:jc w:val="both"/>
        <w:rPr>
          <w:rFonts w:ascii="Arial" w:hAnsi="Arial" w:cs="Arial"/>
        </w:rPr>
      </w:pPr>
      <w:r w:rsidRPr="00F70226">
        <w:rPr>
          <w:rFonts w:ascii="Arial" w:hAnsi="Arial" w:cs="Arial"/>
        </w:rPr>
        <w:t>When it comes to time management, those who have mastered the art reap a plethora of benefits. McMillan and Weyers (2012) contend that individuals who possess the skill to effectively rephrase and summarize can drastically curtail the time spent on their duties. Timely completion of work and efficient time management are achieved through swift resource navigation rather than stumbling over source integration or the presentation of findings.</w:t>
      </w:r>
    </w:p>
    <w:p w14:paraId="54B32328" w14:textId="77777777" w:rsidR="00AA1EF9" w:rsidRPr="00F70226" w:rsidRDefault="00AA1EF9" w:rsidP="000F3435">
      <w:pPr>
        <w:spacing w:line="360" w:lineRule="auto"/>
        <w:jc w:val="both"/>
        <w:rPr>
          <w:rFonts w:ascii="Arial" w:hAnsi="Arial" w:cs="Arial"/>
        </w:rPr>
      </w:pPr>
      <w:r w:rsidRPr="00F70226">
        <w:rPr>
          <w:rFonts w:ascii="Arial" w:hAnsi="Arial" w:cs="Arial"/>
        </w:rPr>
        <w:t>The proficiencies of rephrasing and summarizing also enhance one's listening and note-taking abilities. The capacity to retain and comprehend information presented in lectures or meetings is significantly augmented by the ability to apprehend and grasp the central message (McMillan &amp; Weyers, 2012).</w:t>
      </w:r>
    </w:p>
    <w:p w14:paraId="775893CA" w14:textId="77777777" w:rsidR="00AA1EF9" w:rsidRPr="00F70226" w:rsidRDefault="00AA1EF9" w:rsidP="000F3435">
      <w:pPr>
        <w:spacing w:line="360" w:lineRule="auto"/>
        <w:jc w:val="both"/>
        <w:rPr>
          <w:rFonts w:ascii="Arial" w:hAnsi="Arial" w:cs="Arial"/>
        </w:rPr>
      </w:pPr>
      <w:r w:rsidRPr="00F70226">
        <w:rPr>
          <w:rFonts w:ascii="Arial" w:hAnsi="Arial" w:cs="Arial"/>
        </w:rPr>
        <w:t>In conclusion, it is evident that rephrasing and summarizing each play a pivotal role in academic and professional settings, but their true potential is only unlocked when employed in conjunction. These technological advancements not only offer efficiency but also effectiveness in time management for both students and professionals. In today's global landscape, individuals need to apply not only diligence but also strategy and acumen. Hence, the significance placed on the value of skills like rephrasing and summarizing by authors such as McMillan and Weyers (2012), Oliver (2012), and Cottrell (2019) carries substantial weight. These attributes are not mere special abilities; they are prerequisites for anyone seeking to attain their utmost academic and professional potential.</w:t>
      </w:r>
    </w:p>
    <w:p w14:paraId="20144EF4" w14:textId="620C0E0A" w:rsidR="00AA1EF9" w:rsidRPr="00CC37B6" w:rsidRDefault="00370022" w:rsidP="00AA1EF9">
      <w:pPr>
        <w:rPr>
          <w:rFonts w:ascii="Arial" w:eastAsia="Times New Roman" w:hAnsi="Arial" w:cs="Arial"/>
          <w:b/>
          <w:bCs/>
          <w:sz w:val="24"/>
          <w:szCs w:val="24"/>
        </w:rPr>
      </w:pPr>
      <w:r>
        <w:rPr>
          <w:rFonts w:ascii="Arial" w:eastAsia="Times New Roman" w:hAnsi="Arial" w:cs="Arial"/>
          <w:b/>
          <w:bCs/>
          <w:sz w:val="24"/>
          <w:szCs w:val="24"/>
        </w:rPr>
        <w:t>4</w:t>
      </w:r>
      <w:r w:rsidR="00AA1EF9" w:rsidRPr="00CC37B6">
        <w:rPr>
          <w:rFonts w:ascii="Arial" w:eastAsia="Times New Roman" w:hAnsi="Arial" w:cs="Arial"/>
          <w:b/>
          <w:bCs/>
          <w:sz w:val="24"/>
          <w:szCs w:val="24"/>
        </w:rPr>
        <w:t>. Referencing: Definition</w:t>
      </w:r>
    </w:p>
    <w:p w14:paraId="2BCA3A34" w14:textId="618454DC" w:rsidR="00AA1EF9" w:rsidRPr="00CC37B6" w:rsidRDefault="00AA1EF9" w:rsidP="000F3435">
      <w:pPr>
        <w:spacing w:line="360" w:lineRule="auto"/>
        <w:rPr>
          <w:rFonts w:ascii="Arial" w:eastAsia="Times New Roman" w:hAnsi="Arial" w:cs="Arial"/>
          <w:sz w:val="23"/>
          <w:szCs w:val="23"/>
        </w:rPr>
      </w:pPr>
      <w:r>
        <w:rPr>
          <w:rFonts w:eastAsia="Times New Roman"/>
        </w:rPr>
        <w:br/>
      </w:r>
      <w:r w:rsidRPr="000F3435">
        <w:rPr>
          <w:rFonts w:ascii="Arial" w:eastAsia="Times New Roman" w:hAnsi="Arial" w:cs="Arial"/>
        </w:rPr>
        <w:t xml:space="preserve">Bayley (2003) claims that referencing is “an acknowledgement that you are making use of another writer’s ideas or data in your writing”. Therefore, referencing is the scholarly practice of appropriately attributing and recognizing the primary sources of ideas, language, and data that are not the author's own. The utilization of an established method to acknowledge authors, publications, and other sources considered throughout the development of a scholarly work permits readers to effectively track the original resources. </w:t>
      </w:r>
      <w:r w:rsidRPr="000F3435">
        <w:rPr>
          <w:rFonts w:ascii="Arial" w:eastAsia="Times New Roman" w:hAnsi="Arial" w:cs="Arial"/>
        </w:rPr>
        <w:br/>
      </w:r>
    </w:p>
    <w:p w14:paraId="1659B377" w14:textId="65FB3443" w:rsidR="000C166E" w:rsidRPr="00CC37B6" w:rsidRDefault="00370022" w:rsidP="00AA1EF9">
      <w:pPr>
        <w:rPr>
          <w:rFonts w:ascii="Arial" w:eastAsia="Times New Roman" w:hAnsi="Arial" w:cs="Arial"/>
          <w:b/>
          <w:bCs/>
          <w:sz w:val="23"/>
          <w:szCs w:val="23"/>
        </w:rPr>
      </w:pPr>
      <w:r>
        <w:rPr>
          <w:rFonts w:ascii="Arial" w:eastAsia="Times New Roman" w:hAnsi="Arial" w:cs="Arial"/>
          <w:b/>
          <w:bCs/>
          <w:sz w:val="24"/>
          <w:szCs w:val="24"/>
        </w:rPr>
        <w:t>4.1</w:t>
      </w:r>
      <w:r w:rsidR="00AA1EF9" w:rsidRPr="00CC37B6">
        <w:rPr>
          <w:rFonts w:ascii="Arial" w:eastAsia="Times New Roman" w:hAnsi="Arial" w:cs="Arial"/>
          <w:b/>
          <w:bCs/>
          <w:sz w:val="24"/>
          <w:szCs w:val="24"/>
        </w:rPr>
        <w:t xml:space="preserve">. Importance of referencing for professional success </w:t>
      </w:r>
    </w:p>
    <w:p w14:paraId="03968C57" w14:textId="610BE97A" w:rsidR="00370022" w:rsidRPr="000F3435" w:rsidRDefault="00AA1EF9" w:rsidP="000F3435">
      <w:pPr>
        <w:spacing w:line="360" w:lineRule="auto"/>
        <w:rPr>
          <w:rFonts w:ascii="Arial" w:eastAsia="Times New Roman" w:hAnsi="Arial" w:cs="Arial"/>
        </w:rPr>
      </w:pPr>
      <w:r>
        <w:rPr>
          <w:rFonts w:eastAsia="Times New Roman"/>
        </w:rPr>
        <w:br/>
      </w:r>
      <w:r w:rsidRPr="000F3435">
        <w:rPr>
          <w:rFonts w:ascii="Arial" w:eastAsia="Times New Roman" w:hAnsi="Arial" w:cs="Arial"/>
        </w:rPr>
        <w:t xml:space="preserve">Referencing, the practice of acknowledging the original sources of knowledge and </w:t>
      </w:r>
      <w:r w:rsidR="00CC37B6" w:rsidRPr="000F3435">
        <w:rPr>
          <w:rFonts w:ascii="Arial" w:eastAsia="Times New Roman" w:hAnsi="Arial" w:cs="Arial"/>
        </w:rPr>
        <w:t>ideas</w:t>
      </w:r>
      <w:r w:rsidRPr="000F3435">
        <w:rPr>
          <w:rFonts w:ascii="Arial" w:eastAsia="Times New Roman" w:hAnsi="Arial" w:cs="Arial"/>
        </w:rPr>
        <w:t xml:space="preserve"> is crucial for professional success. It exceeds educational standards and plays a vital part in a variety of professional fields. </w:t>
      </w:r>
      <w:r w:rsidR="000F3435" w:rsidRPr="000F3435">
        <w:rPr>
          <w:rFonts w:ascii="Arial" w:eastAsia="Times New Roman" w:hAnsi="Arial" w:cs="Arial"/>
        </w:rPr>
        <w:t>Primarily,</w:t>
      </w:r>
      <w:r w:rsidRPr="000F3435">
        <w:rPr>
          <w:rFonts w:ascii="Arial" w:eastAsia="Times New Roman" w:hAnsi="Arial" w:cs="Arial"/>
        </w:rPr>
        <w:t xml:space="preserve"> referencing demonstrates ethical integrity and trustworthiness. It shows how the author has conducted a thorough investigation and acknowledged the contributions of others. By crediting the original authors, professionals demonstrate their commitment to ethical practices as well as avoiding the severe repercussions of plagiarism (Tarafdar and Davison, 2020).  In disciplines such as journalism or scientific research, for example, credibility is crucial to a professional's reputation, and appropriate referencing fosters public and peer confidence (Liang, Zhong, and Rousseau, 2014). In addition, referencing supports effortless communication and cooperation. In fields such as engineering and information technology, initiatives frequently incorporate previous accomplishments or adhere to industry standards. Clearly referencing these standards, prior research, or copyrights allows members of a team to comprehend the design choices' background and logic. It improves teamwork and guarantees that everyone who participates in a project has a solid understanding of the implemented techniques and principles (Nowell et al., 2017). </w:t>
      </w:r>
      <w:r w:rsidR="000F3435" w:rsidRPr="000F3435">
        <w:rPr>
          <w:rFonts w:ascii="Arial" w:eastAsia="Times New Roman" w:hAnsi="Arial" w:cs="Arial"/>
        </w:rPr>
        <w:t>Moreover</w:t>
      </w:r>
      <w:r w:rsidRPr="000F3435">
        <w:rPr>
          <w:rFonts w:ascii="Arial" w:eastAsia="Times New Roman" w:hAnsi="Arial" w:cs="Arial"/>
        </w:rPr>
        <w:t xml:space="preserve">, referencing is essential for business analysis and decision-making. In the business world, market research, economic data, and industry reports are vital to make educated choices. For instance, a business planning expansion into an unknown sector will look at demographic data, consumer behavior studies, and competitor analysis meticulously (Vercellis, 2011). This detailed referencing helps the organization to properly evaluate the market's possibilities, identify threats and opportunities, and develop fact-based strategies. In this setting, correctly cited material guarantees that business decisions are clear, identifiable, and centered on credible sources, which results in decreasing risks and growing the probability of success (Davenport, Harris, and Morison, 2010). Lastly, proper referencing aids in preventing legal issues. To prevent misinterpretations and possible legal problems, accurate citation of laws, examples, and prior agreements is a necessity in legal and business settings (Epstein and Epstein, 2009).  It shows a meticulous attention to detail and can safeguard individuals and organizations against legal action. </w:t>
      </w:r>
    </w:p>
    <w:p w14:paraId="4EC1F2E9" w14:textId="38F3FF51" w:rsidR="000C166E" w:rsidRPr="00CC37B6" w:rsidRDefault="00AA1EF9" w:rsidP="00370022">
      <w:pPr>
        <w:rPr>
          <w:rFonts w:ascii="Arial" w:eastAsia="Times New Roman" w:hAnsi="Arial" w:cs="Arial"/>
          <w:b/>
          <w:bCs/>
          <w:sz w:val="23"/>
          <w:szCs w:val="23"/>
        </w:rPr>
      </w:pPr>
      <w:r w:rsidRPr="00CC37B6">
        <w:rPr>
          <w:rFonts w:ascii="Arial" w:eastAsia="Times New Roman" w:hAnsi="Arial" w:cs="Arial"/>
          <w:sz w:val="24"/>
          <w:szCs w:val="24"/>
        </w:rPr>
        <w:br/>
      </w:r>
      <w:r w:rsidR="00370022" w:rsidRPr="00370022">
        <w:rPr>
          <w:rFonts w:ascii="Arial" w:eastAsia="Times New Roman" w:hAnsi="Arial" w:cs="Arial"/>
          <w:b/>
          <w:bCs/>
          <w:sz w:val="24"/>
          <w:szCs w:val="24"/>
        </w:rPr>
        <w:t>4.2.</w:t>
      </w:r>
      <w:r w:rsidRPr="00370022">
        <w:rPr>
          <w:rFonts w:ascii="Arial" w:eastAsia="Times New Roman" w:hAnsi="Arial" w:cs="Arial"/>
          <w:b/>
          <w:bCs/>
          <w:sz w:val="24"/>
          <w:szCs w:val="24"/>
        </w:rPr>
        <w:t xml:space="preserve"> </w:t>
      </w:r>
      <w:r w:rsidRPr="00CC37B6">
        <w:rPr>
          <w:rFonts w:ascii="Arial" w:eastAsia="Times New Roman" w:hAnsi="Arial" w:cs="Arial"/>
          <w:b/>
          <w:bCs/>
          <w:sz w:val="23"/>
          <w:szCs w:val="23"/>
        </w:rPr>
        <w:t xml:space="preserve">Importance of referencing for academic success </w:t>
      </w:r>
    </w:p>
    <w:p w14:paraId="75CDDEC9" w14:textId="0A468751" w:rsidR="00AA1EF9" w:rsidRPr="000F3435" w:rsidRDefault="00AA1EF9" w:rsidP="000F3435">
      <w:pPr>
        <w:spacing w:line="360" w:lineRule="auto"/>
        <w:rPr>
          <w:rFonts w:ascii="Arial" w:eastAsia="Times New Roman" w:hAnsi="Arial" w:cs="Arial"/>
        </w:rPr>
      </w:pPr>
      <w:r>
        <w:rPr>
          <w:rFonts w:eastAsia="Times New Roman"/>
        </w:rPr>
        <w:br/>
      </w:r>
      <w:r w:rsidRPr="000F3435">
        <w:rPr>
          <w:rFonts w:ascii="Arial" w:eastAsia="Times New Roman" w:hAnsi="Arial" w:cs="Arial"/>
        </w:rPr>
        <w:t>Referencing is an essential component of academic achievement, supporting multiple essential purposes in educational work. It ensures that innovative concepts and studies are correctly attributed, which prevents plagiarism, a serious violation that can result in academic punishment or legal complications (Neville, 2016). In a learner's assessment, for instance, precise referencing displays respect for existing information and adherence to academic integrity. Referencing also enhances trustworthiness by situating arguments in widely recognized research, as seen in an article on psychology that cites important studies to boost its reliability (Bailey, 2003). In addition, referencing supports future studies by allowing others to locate the origins of concepts and theories, such as in environmental research, where prior theories and results must be correctly referenced to enable evaluation and further development of the work (Bottomley and Pryjmachuk, 2017).  As demonstrated by review articles that combine multiple studies, it additionally improves academic communication by promoting an organized and systematic discussion within the academic environment. Furthermore, not only does referencing guarantee that the combined knowledge is accessible and easily identifiable, but it also permits students to participate actively and critically with the work of others (Cottrell, 2013). Lastly, correct referencing demonstrates academic discipline by showing that the writer has engaged significantly with the literature, assimilated the existing body of information, and customized their work appropriately. Students and experienced academics equally must learn the skill of referencing to maintain the standards, trustworthiness, and collaborative aspect of academic work (Little and Green, 2021).</w:t>
      </w:r>
    </w:p>
    <w:p w14:paraId="68BC3726" w14:textId="77777777" w:rsidR="00CC37B6" w:rsidRDefault="00CC37B6" w:rsidP="00AA1EF9">
      <w:pPr>
        <w:rPr>
          <w:rFonts w:eastAsia="Times New Roman"/>
          <w:sz w:val="23"/>
          <w:szCs w:val="23"/>
        </w:rPr>
      </w:pPr>
    </w:p>
    <w:p w14:paraId="4599BD65" w14:textId="466D697E" w:rsidR="00AA1EF9" w:rsidRPr="00370022" w:rsidRDefault="00370022" w:rsidP="00AA1EF9">
      <w:pPr>
        <w:spacing w:line="360" w:lineRule="auto"/>
        <w:jc w:val="both"/>
        <w:rPr>
          <w:rFonts w:ascii="Arial" w:hAnsi="Arial" w:cs="Arial"/>
          <w:b/>
          <w:bCs/>
          <w:sz w:val="24"/>
          <w:szCs w:val="24"/>
        </w:rPr>
      </w:pPr>
      <w:r w:rsidRPr="00370022">
        <w:rPr>
          <w:rFonts w:ascii="Arial" w:hAnsi="Arial" w:cs="Arial"/>
          <w:b/>
          <w:bCs/>
          <w:sz w:val="24"/>
          <w:szCs w:val="24"/>
        </w:rPr>
        <w:t>5. Critical Thinking:</w:t>
      </w:r>
      <w:r w:rsidR="00CC37B6" w:rsidRPr="00370022">
        <w:rPr>
          <w:rFonts w:ascii="Arial" w:hAnsi="Arial" w:cs="Arial"/>
          <w:b/>
          <w:bCs/>
          <w:sz w:val="24"/>
          <w:szCs w:val="24"/>
        </w:rPr>
        <w:t xml:space="preserve"> Meaning </w:t>
      </w:r>
    </w:p>
    <w:p w14:paraId="3603A575" w14:textId="77777777" w:rsidR="00AA1EF9" w:rsidRDefault="00AA1EF9" w:rsidP="000F3435">
      <w:pPr>
        <w:spacing w:line="360" w:lineRule="auto"/>
        <w:jc w:val="both"/>
        <w:rPr>
          <w:rFonts w:ascii="Arial" w:hAnsi="Arial" w:cs="Arial"/>
        </w:rPr>
      </w:pPr>
      <w:r>
        <w:rPr>
          <w:rFonts w:ascii="Arial" w:hAnsi="Arial" w:cs="Arial"/>
        </w:rPr>
        <w:t>According to Nardi, there is an assumption that people who find fault in everything and judge it in an unfair manner with imposition of false narratives as their personal opinions is called “critics” (Nardi, 2017). However, it is discussed by Nelson that critical thinking is “development of deep professional competence and sophistical ethical judgement” (Nelson, 1999). Therefore, this suggests that Nardi’s view stems from observing instances where critical thinking is misapplied or used as means to dismiss opinions without fair evaluation and suggests considering a balance to prevent negative outlook. On the other hand, Nelson’s views aligns with traditional understanding of critical thinking as a holistic skill that encompasses not only analytical prowess but also ethical considerations and empathy for achieving fair conclusions. Justifying both the perspectives requires understanding the contexts in which critical thinking and analytical thinking is applied to align with pursuit of knowledge and future goals.</w:t>
      </w:r>
    </w:p>
    <w:p w14:paraId="3A910ADE" w14:textId="09CCF41C" w:rsidR="000C166E" w:rsidRPr="00370022" w:rsidRDefault="00370022" w:rsidP="00AA1EF9">
      <w:pPr>
        <w:spacing w:line="360" w:lineRule="auto"/>
        <w:jc w:val="both"/>
        <w:rPr>
          <w:rFonts w:ascii="Arial" w:hAnsi="Arial" w:cs="Arial"/>
          <w:b/>
          <w:bCs/>
          <w:sz w:val="24"/>
          <w:szCs w:val="24"/>
        </w:rPr>
      </w:pPr>
      <w:r>
        <w:rPr>
          <w:rFonts w:ascii="Arial" w:hAnsi="Arial" w:cs="Arial"/>
          <w:b/>
          <w:bCs/>
          <w:sz w:val="24"/>
          <w:szCs w:val="24"/>
        </w:rPr>
        <w:t>5</w:t>
      </w:r>
      <w:r w:rsidR="00AA1EF9" w:rsidRPr="00370022">
        <w:rPr>
          <w:rFonts w:ascii="Arial" w:hAnsi="Arial" w:cs="Arial"/>
          <w:b/>
          <w:bCs/>
          <w:sz w:val="24"/>
          <w:szCs w:val="24"/>
        </w:rPr>
        <w:t>.1</w:t>
      </w:r>
      <w:r>
        <w:rPr>
          <w:rFonts w:ascii="Arial" w:hAnsi="Arial" w:cs="Arial"/>
          <w:b/>
          <w:bCs/>
          <w:sz w:val="24"/>
          <w:szCs w:val="24"/>
        </w:rPr>
        <w:t>.</w:t>
      </w:r>
      <w:r w:rsidR="00AA1EF9" w:rsidRPr="00370022">
        <w:rPr>
          <w:rFonts w:ascii="Arial" w:hAnsi="Arial" w:cs="Arial"/>
          <w:b/>
          <w:bCs/>
          <w:sz w:val="24"/>
          <w:szCs w:val="24"/>
        </w:rPr>
        <w:t xml:space="preserve"> Importance of critical and analytical thinking </w:t>
      </w:r>
      <w:r w:rsidR="000C166E" w:rsidRPr="00370022">
        <w:rPr>
          <w:rFonts w:ascii="Arial" w:hAnsi="Arial" w:cs="Arial"/>
          <w:b/>
          <w:bCs/>
          <w:sz w:val="24"/>
          <w:szCs w:val="24"/>
        </w:rPr>
        <w:t>in shaping academic excellence:</w:t>
      </w:r>
    </w:p>
    <w:p w14:paraId="2A1882C4" w14:textId="77777777" w:rsidR="00AA1EF9" w:rsidRDefault="00AA1EF9" w:rsidP="000F3435">
      <w:pPr>
        <w:spacing w:line="360" w:lineRule="auto"/>
        <w:jc w:val="both"/>
        <w:rPr>
          <w:rFonts w:ascii="Arial" w:hAnsi="Arial" w:cs="Arial"/>
        </w:rPr>
      </w:pPr>
      <w:r>
        <w:rPr>
          <w:rFonts w:ascii="Arial" w:hAnsi="Arial" w:cs="Arial"/>
        </w:rPr>
        <w:t xml:space="preserve">Analytical and critical thinking are crucial for academic success as it involves the ability to assess, analyze, and evaluate complex ideas and arguments. The foremost solution which is useful for a student is inheritance of problem-solving skills because it enables the student to identify and solve complex problems effectively. In Academia, the required thoughtful analysis helps to achieve good scores in challenging assignments and projects. Thus, enhancing critical and analytical thinking enables a constructive rationale for the assignments and projects which empowers to incorporate, and reference supporting evidence to substantiate concepts and amalgamate personal insights parallel to the theories (The Open University, 2017). </w:t>
      </w:r>
    </w:p>
    <w:p w14:paraId="095D670F" w14:textId="77777777" w:rsidR="00AA1EF9" w:rsidRDefault="00AA1EF9" w:rsidP="000F3435">
      <w:pPr>
        <w:spacing w:line="360" w:lineRule="auto"/>
        <w:jc w:val="both"/>
        <w:rPr>
          <w:rFonts w:ascii="Arial" w:hAnsi="Arial" w:cs="Arial"/>
        </w:rPr>
      </w:pPr>
      <w:r>
        <w:rPr>
          <w:rFonts w:ascii="Arial" w:hAnsi="Arial" w:cs="Arial"/>
        </w:rPr>
        <w:t>Additionally, it fosters the ability to construct cogent arguments. Toulmin’s system and refined over time comprises of four fundamental elements which should be adapted based on argument, these components are: claim, evidence, warrant, qualifications. This encourages students to analyze all the preconceptions that might be skewing the way of thinking about an argument which maintains the aim of critical thinking which “objective positioning”.  Thus, this proficiency not only enhances the quality of assignments, projects, and presentations but also enables students to articulate viewpoints persuasively (The Open University, 2017).</w:t>
      </w:r>
    </w:p>
    <w:p w14:paraId="5F47535C" w14:textId="77777777" w:rsidR="00AA1EF9" w:rsidRPr="00CC37B6" w:rsidRDefault="00AA1EF9" w:rsidP="000F3435">
      <w:pPr>
        <w:spacing w:line="360" w:lineRule="auto"/>
        <w:jc w:val="both"/>
        <w:rPr>
          <w:rFonts w:ascii="Arial" w:hAnsi="Arial" w:cs="Arial"/>
        </w:rPr>
      </w:pPr>
      <w:r>
        <w:rPr>
          <w:rFonts w:ascii="Arial" w:hAnsi="Arial" w:cs="Arial"/>
        </w:rPr>
        <w:t xml:space="preserve">Higher Education institutions promote the development of “independent learners” and at the heart of this endeavor lies the concept of critical thinking as it demonstrates the outcomes which are results of scrutinizing, assessing, and amalgamation of information from diverse sources justifying well-founded interpretation and referred as “high order thinking skills”. This high order thinking skills help to synthesis the interpretation of students work in academia. For example, universities are encouraging academic skills module for first year students which provides essential support in shaping the students into independent learners as it emphasizes all the related topics which helps the students score well in academia. In conclusion, nurturing critical and analytical thinking skills transcends academic endeavors and empowers students to excel academically for enriching understanding, enhancement of comprehension and effective ways to tackle the intricate </w:t>
      </w:r>
      <w:r w:rsidRPr="00CC37B6">
        <w:rPr>
          <w:rFonts w:ascii="Arial" w:hAnsi="Arial" w:cs="Arial"/>
        </w:rPr>
        <w:t>challenges in future (The Open university, 2017).</w:t>
      </w:r>
    </w:p>
    <w:p w14:paraId="4E55D101" w14:textId="18565001" w:rsidR="00AA1EF9" w:rsidRPr="00CC37B6" w:rsidRDefault="00370022" w:rsidP="00AA1EF9">
      <w:pPr>
        <w:spacing w:line="360" w:lineRule="auto"/>
        <w:jc w:val="both"/>
        <w:rPr>
          <w:rFonts w:ascii="Arial" w:hAnsi="Arial" w:cs="Arial"/>
          <w:b/>
          <w:bCs/>
          <w:sz w:val="24"/>
          <w:szCs w:val="24"/>
        </w:rPr>
      </w:pPr>
      <w:r>
        <w:rPr>
          <w:rFonts w:ascii="Arial" w:hAnsi="Arial" w:cs="Arial"/>
          <w:b/>
          <w:bCs/>
          <w:sz w:val="24"/>
          <w:szCs w:val="24"/>
        </w:rPr>
        <w:t>5</w:t>
      </w:r>
      <w:r w:rsidR="00AA1EF9" w:rsidRPr="00CC37B6">
        <w:rPr>
          <w:rFonts w:ascii="Arial" w:hAnsi="Arial" w:cs="Arial"/>
          <w:b/>
          <w:bCs/>
          <w:sz w:val="24"/>
          <w:szCs w:val="24"/>
        </w:rPr>
        <w:t>.2</w:t>
      </w:r>
      <w:r>
        <w:rPr>
          <w:rFonts w:ascii="Arial" w:hAnsi="Arial" w:cs="Arial"/>
          <w:b/>
          <w:bCs/>
          <w:sz w:val="24"/>
          <w:szCs w:val="24"/>
        </w:rPr>
        <w:t>.</w:t>
      </w:r>
      <w:r w:rsidR="000C166E" w:rsidRPr="00CC37B6">
        <w:rPr>
          <w:rFonts w:ascii="Arial" w:hAnsi="Arial" w:cs="Arial"/>
          <w:b/>
          <w:bCs/>
          <w:sz w:val="24"/>
          <w:szCs w:val="24"/>
        </w:rPr>
        <w:t xml:space="preserve"> Indispensable value</w:t>
      </w:r>
      <w:r w:rsidR="00AA1EF9" w:rsidRPr="00CC37B6">
        <w:rPr>
          <w:rFonts w:ascii="Arial" w:hAnsi="Arial" w:cs="Arial"/>
          <w:b/>
          <w:bCs/>
          <w:sz w:val="24"/>
          <w:szCs w:val="24"/>
        </w:rPr>
        <w:t xml:space="preserve"> of analytical and critical thinking for professional success: </w:t>
      </w:r>
    </w:p>
    <w:p w14:paraId="4D3FF25F" w14:textId="77777777" w:rsidR="00AA1EF9" w:rsidRDefault="00AA1EF9" w:rsidP="000F3435">
      <w:pPr>
        <w:spacing w:line="360" w:lineRule="auto"/>
        <w:jc w:val="both"/>
        <w:rPr>
          <w:rFonts w:ascii="Arial" w:hAnsi="Arial" w:cs="Arial"/>
        </w:rPr>
      </w:pPr>
      <w:r>
        <w:rPr>
          <w:rFonts w:ascii="Arial" w:hAnsi="Arial" w:cs="Arial"/>
        </w:rPr>
        <w:t xml:space="preserve">Analytical thinking and critical thinking are indispensable components of achieving professional success. These abilities provide diverse advantages that actively contribute to achieving excellence with professional domain. </w:t>
      </w:r>
    </w:p>
    <w:p w14:paraId="29420CA4" w14:textId="77777777" w:rsidR="00AA1EF9" w:rsidRDefault="00AA1EF9" w:rsidP="000F3435">
      <w:pPr>
        <w:spacing w:line="360" w:lineRule="auto"/>
        <w:jc w:val="both"/>
        <w:rPr>
          <w:rFonts w:ascii="Arial" w:hAnsi="Arial" w:cs="Arial"/>
        </w:rPr>
      </w:pPr>
      <w:r>
        <w:rPr>
          <w:rFonts w:ascii="Arial" w:hAnsi="Arial" w:cs="Arial"/>
        </w:rPr>
        <w:t>In corporate environment employers highly value individuals with strong analytical and critical thinking skills as businesses seek well informed solutions which result in advantages like good decision making by assessing the criticalness of arguments and potential consequences, fostering person point of views while leads to shape the moral compass and boost self-assurance and lastly it engages more profound intellectual interactions which cultivates more robust professional connections. For instance, a worker in a company is at a post of human resource manager takes all the decision for that company for hiring process, when he receives a curriculum vitae of a candidate the process where he evaluates the candidate’s skills and personal objective demonstrates critical and analytical thinking which is resulting in hiring the best person for the job. Hence, the strong emphasis on analytical and critical thinking in the corporate world is a well justified strategy because it empowers the employees to navigate complexities and contribute positively to the organization’s growth. Ultimately, individuals proficient in these skills foster a culture of continuous improvement (Birt, 2023).</w:t>
      </w:r>
    </w:p>
    <w:p w14:paraId="37B48A8D" w14:textId="2070FD9F" w:rsidR="000C166E" w:rsidRPr="00CC37B6" w:rsidRDefault="00370022" w:rsidP="000C166E">
      <w:pPr>
        <w:spacing w:line="360" w:lineRule="auto"/>
        <w:jc w:val="both"/>
        <w:rPr>
          <w:rFonts w:ascii="Arial" w:hAnsi="Arial" w:cs="Arial"/>
          <w:b/>
          <w:bCs/>
          <w:sz w:val="24"/>
          <w:szCs w:val="24"/>
        </w:rPr>
      </w:pPr>
      <w:r>
        <w:rPr>
          <w:rFonts w:ascii="Arial" w:hAnsi="Arial" w:cs="Arial"/>
          <w:b/>
          <w:bCs/>
          <w:sz w:val="24"/>
          <w:szCs w:val="24"/>
        </w:rPr>
        <w:t xml:space="preserve">6. </w:t>
      </w:r>
      <w:r w:rsidR="00CC37B6" w:rsidRPr="00CC37B6">
        <w:rPr>
          <w:rFonts w:ascii="Arial" w:hAnsi="Arial" w:cs="Arial"/>
          <w:b/>
          <w:bCs/>
          <w:sz w:val="24"/>
          <w:szCs w:val="24"/>
        </w:rPr>
        <w:t>Conclusion:</w:t>
      </w:r>
    </w:p>
    <w:p w14:paraId="24341DBD" w14:textId="77777777" w:rsidR="000C166E" w:rsidRPr="00F70226" w:rsidRDefault="000C166E" w:rsidP="000F3435">
      <w:pPr>
        <w:spacing w:line="360" w:lineRule="auto"/>
        <w:jc w:val="both"/>
        <w:rPr>
          <w:rFonts w:ascii="Arial" w:hAnsi="Arial" w:cs="Arial"/>
        </w:rPr>
      </w:pPr>
      <w:r w:rsidRPr="00F70226">
        <w:rPr>
          <w:rFonts w:ascii="Arial" w:hAnsi="Arial" w:cs="Arial"/>
        </w:rPr>
        <w:t>Academic and professional triumph may be ascribed to a multitude of abilities, encompassing critical and analytical ruminations, citation, chronology administration, rephrasing, and summarization. These aptitudes showcase interconnections and collectively form a labyrinth. The capability for critical thinking bestows upon individuals the imperative skills to thoroughly scrutinize intricate circumstances, thereby fostering the creation of pioneering solutions and compelling arguments. The utilization of meticulous referencing practices contributes to the upholding of ethical standards, augmentation of credibility and integrity, and establishment of a solid groundwork for future advancements and discoveries. Efficient chronology management is pivotal in all contexts, enveloping both professional and educational milieus, to expedite the achievement of productivity and success objectives. The skills of chronology management, rephrasing, summarization, and other akin aptitudes are intricately intertwined and wield a momentous influence on amplifying productivity and educational outcomes. The acquisition of these fundamental abilities is bolstered by the strides accomplished in contemporary technology. When amalgamated, these competencies not only cement a sturdy foundation for triumph in an individual's chosen academic discipline, but they also materialize as enduring victory in their selected professional trajectory. Academic institutions facilitate the cultivation of a growth-oriented mindset, engender the development of manifold perspectives, and provide a bedrock for ethical conduct. The mastery of adaptability, creativity, and moral integrity is requisite for individuals to fully actualize their potential in a contemporary milieu that demands proficiency in these three realms.</w:t>
      </w:r>
    </w:p>
    <w:p w14:paraId="7E7389AB" w14:textId="31755092" w:rsidR="00CC37B6" w:rsidRPr="00F70226" w:rsidRDefault="00CC37B6">
      <w:pPr>
        <w:rPr>
          <w:rFonts w:ascii="Arial" w:hAnsi="Arial" w:cs="Arial"/>
        </w:rPr>
      </w:pPr>
      <w:r w:rsidRPr="00F70226">
        <w:rPr>
          <w:rFonts w:ascii="Arial" w:hAnsi="Arial" w:cs="Arial"/>
        </w:rPr>
        <w:br w:type="page"/>
      </w:r>
    </w:p>
    <w:p w14:paraId="6A479873" w14:textId="6269EC6A" w:rsidR="00CC37B6" w:rsidRPr="00CC37B6" w:rsidRDefault="00370022" w:rsidP="00AA1EF9">
      <w:pPr>
        <w:spacing w:line="360" w:lineRule="auto"/>
        <w:jc w:val="both"/>
        <w:rPr>
          <w:rFonts w:ascii="Arial" w:hAnsi="Arial" w:cs="Arial"/>
          <w:b/>
          <w:bCs/>
          <w:sz w:val="24"/>
          <w:szCs w:val="24"/>
        </w:rPr>
      </w:pPr>
      <w:r>
        <w:rPr>
          <w:rFonts w:ascii="Arial" w:hAnsi="Arial" w:cs="Arial"/>
          <w:b/>
          <w:bCs/>
          <w:sz w:val="24"/>
          <w:szCs w:val="24"/>
        </w:rPr>
        <w:t xml:space="preserve">7. </w:t>
      </w:r>
      <w:r w:rsidR="00CC37B6" w:rsidRPr="00CC37B6">
        <w:rPr>
          <w:rFonts w:ascii="Arial" w:hAnsi="Arial" w:cs="Arial"/>
          <w:b/>
          <w:bCs/>
          <w:sz w:val="24"/>
          <w:szCs w:val="24"/>
        </w:rPr>
        <w:t>References:</w:t>
      </w:r>
    </w:p>
    <w:p w14:paraId="57B06777"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Adu Oppong, A.A., Birikorang, E.A., M Darko, G. and D. Aikins, E. (2014). Time Management and Administration Effectiveness: Lessons for Educational Administration. </w:t>
      </w:r>
      <w:r w:rsidRPr="00370022">
        <w:rPr>
          <w:rFonts w:ascii="Arial" w:hAnsi="Arial" w:cs="Arial"/>
          <w:i/>
          <w:iCs/>
          <w:kern w:val="0"/>
          <w:sz w:val="24"/>
          <w:szCs w:val="24"/>
        </w:rPr>
        <w:t>Global Journal of Interdisciplinary Social Sciences</w:t>
      </w:r>
      <w:r w:rsidRPr="00370022">
        <w:rPr>
          <w:rFonts w:ascii="Arial" w:hAnsi="Arial" w:cs="Arial"/>
          <w:kern w:val="0"/>
          <w:sz w:val="24"/>
          <w:szCs w:val="24"/>
        </w:rPr>
        <w:t xml:space="preserve">, [online] 3(4)(76-82). Available at: </w:t>
      </w:r>
      <w:hyperlink r:id="rId6" w:history="1">
        <w:r w:rsidRPr="00370022">
          <w:rPr>
            <w:rStyle w:val="Hyperlink"/>
            <w:rFonts w:ascii="Arial" w:hAnsi="Arial" w:cs="Arial"/>
            <w:kern w:val="0"/>
            <w:sz w:val="24"/>
            <w:szCs w:val="24"/>
          </w:rPr>
          <w:t>https://www.researchgate.net/publication/304782571_Time_Management_and_Administrative_Effectiveness_Lessons_for_Educational_Administrators</w:t>
        </w:r>
      </w:hyperlink>
      <w:r w:rsidRPr="00370022">
        <w:rPr>
          <w:rFonts w:ascii="Arial" w:hAnsi="Arial" w:cs="Arial"/>
          <w:kern w:val="0"/>
          <w:sz w:val="24"/>
          <w:szCs w:val="24"/>
        </w:rPr>
        <w:t xml:space="preserve"> [Accessed 9 Aug. 2023].</w:t>
      </w:r>
    </w:p>
    <w:p w14:paraId="257E36EB"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Bailey, S. (2003). </w:t>
      </w:r>
      <w:r w:rsidRPr="00370022">
        <w:rPr>
          <w:rFonts w:ascii="Arial" w:hAnsi="Arial" w:cs="Arial"/>
          <w:i/>
          <w:iCs/>
          <w:kern w:val="0"/>
          <w:sz w:val="24"/>
          <w:szCs w:val="24"/>
        </w:rPr>
        <w:t>Academic writing : a handbook for international students</w:t>
      </w:r>
      <w:r w:rsidRPr="00370022">
        <w:rPr>
          <w:rFonts w:ascii="Arial" w:hAnsi="Arial" w:cs="Arial"/>
          <w:kern w:val="0"/>
          <w:sz w:val="24"/>
          <w:szCs w:val="24"/>
        </w:rPr>
        <w:t xml:space="preserve">. 2nd ed. [online] New York, Ny: Routledge. Available at: </w:t>
      </w:r>
      <w:hyperlink r:id="rId7" w:history="1">
        <w:r w:rsidRPr="00370022">
          <w:rPr>
            <w:rStyle w:val="Hyperlink"/>
            <w:rFonts w:ascii="Arial" w:hAnsi="Arial" w:cs="Arial"/>
            <w:kern w:val="0"/>
            <w:sz w:val="24"/>
            <w:szCs w:val="24"/>
          </w:rPr>
          <w:t>https://www.rsu.lv/sites/default/files/imce/Dokumenti/prezentacijas/Bailey_Academic_Writing.pdf</w:t>
        </w:r>
      </w:hyperlink>
      <w:r w:rsidRPr="00370022">
        <w:rPr>
          <w:rFonts w:ascii="Arial" w:hAnsi="Arial" w:cs="Arial"/>
          <w:kern w:val="0"/>
          <w:sz w:val="24"/>
          <w:szCs w:val="24"/>
        </w:rPr>
        <w:t>.</w:t>
      </w:r>
    </w:p>
    <w:p w14:paraId="760DA46B"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Birt, J. (2023). </w:t>
      </w:r>
      <w:r w:rsidRPr="00370022">
        <w:rPr>
          <w:rFonts w:ascii="Arial" w:hAnsi="Arial" w:cs="Arial"/>
          <w:i/>
          <w:iCs/>
          <w:kern w:val="0"/>
          <w:sz w:val="24"/>
          <w:szCs w:val="24"/>
        </w:rPr>
        <w:t>How to Improve Critical Thinking at Skills at Work in 6 Steps</w:t>
      </w:r>
      <w:r w:rsidRPr="00370022">
        <w:rPr>
          <w:rFonts w:ascii="Arial" w:hAnsi="Arial" w:cs="Arial"/>
          <w:kern w:val="0"/>
          <w:sz w:val="24"/>
          <w:szCs w:val="24"/>
        </w:rPr>
        <w:t xml:space="preserve">. [online] Indeed Career Guide. Available at: </w:t>
      </w:r>
      <w:hyperlink r:id="rId8" w:history="1">
        <w:r w:rsidRPr="00370022">
          <w:rPr>
            <w:rStyle w:val="Hyperlink"/>
            <w:rFonts w:ascii="Arial" w:hAnsi="Arial" w:cs="Arial"/>
            <w:kern w:val="0"/>
            <w:sz w:val="24"/>
            <w:szCs w:val="24"/>
          </w:rPr>
          <w:t>https://www.indeed.com/career-advice/career-development/how-to-improve-critical-thinking</w:t>
        </w:r>
      </w:hyperlink>
      <w:r w:rsidRPr="00370022">
        <w:rPr>
          <w:rFonts w:ascii="Arial" w:hAnsi="Arial" w:cs="Arial"/>
          <w:kern w:val="0"/>
          <w:sz w:val="24"/>
          <w:szCs w:val="24"/>
        </w:rPr>
        <w:t>.</w:t>
      </w:r>
    </w:p>
    <w:p w14:paraId="04698EEA"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Bottomley, J. and Pryjmachuk, S. (2017). </w:t>
      </w:r>
      <w:r w:rsidRPr="00370022">
        <w:rPr>
          <w:rFonts w:ascii="Arial" w:hAnsi="Arial" w:cs="Arial"/>
          <w:i/>
          <w:iCs/>
          <w:kern w:val="0"/>
          <w:sz w:val="24"/>
          <w:szCs w:val="24"/>
        </w:rPr>
        <w:t>Academic writing and referencing for your nursing degree</w:t>
      </w:r>
      <w:r w:rsidRPr="00370022">
        <w:rPr>
          <w:rFonts w:ascii="Arial" w:hAnsi="Arial" w:cs="Arial"/>
          <w:kern w:val="0"/>
          <w:sz w:val="24"/>
          <w:szCs w:val="24"/>
        </w:rPr>
        <w:t>. St. Albans: Critical Publishing.</w:t>
      </w:r>
    </w:p>
    <w:p w14:paraId="609C6C2A"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Burns, T. and Sinfield, S. (2012). </w:t>
      </w:r>
      <w:r w:rsidRPr="00370022">
        <w:rPr>
          <w:rFonts w:ascii="Arial" w:hAnsi="Arial" w:cs="Arial"/>
          <w:i/>
          <w:iCs/>
          <w:kern w:val="0"/>
          <w:sz w:val="24"/>
          <w:szCs w:val="24"/>
        </w:rPr>
        <w:t>Essential Study Skills: The Complete Guide to Success at University</w:t>
      </w:r>
      <w:r w:rsidRPr="00370022">
        <w:rPr>
          <w:rFonts w:ascii="Arial" w:hAnsi="Arial" w:cs="Arial"/>
          <w:kern w:val="0"/>
          <w:sz w:val="24"/>
          <w:szCs w:val="24"/>
        </w:rPr>
        <w:t xml:space="preserve">. [online] </w:t>
      </w:r>
      <w:r w:rsidRPr="00370022">
        <w:rPr>
          <w:rFonts w:ascii="Arial" w:hAnsi="Arial" w:cs="Arial"/>
          <w:i/>
          <w:iCs/>
          <w:kern w:val="0"/>
          <w:sz w:val="24"/>
          <w:szCs w:val="24"/>
        </w:rPr>
        <w:t>Google Books</w:t>
      </w:r>
      <w:r w:rsidRPr="00370022">
        <w:rPr>
          <w:rFonts w:ascii="Arial" w:hAnsi="Arial" w:cs="Arial"/>
          <w:kern w:val="0"/>
          <w:sz w:val="24"/>
          <w:szCs w:val="24"/>
        </w:rPr>
        <w:t xml:space="preserve">. SAGE. Available at: </w:t>
      </w:r>
      <w:hyperlink r:id="rId9" w:history="1">
        <w:r w:rsidRPr="00370022">
          <w:rPr>
            <w:rStyle w:val="Hyperlink"/>
            <w:rFonts w:ascii="Arial" w:hAnsi="Arial" w:cs="Arial"/>
            <w:kern w:val="0"/>
            <w:sz w:val="24"/>
            <w:szCs w:val="24"/>
          </w:rPr>
          <w:t>https://www.google.co.uk/books/edition/Essential_Study_Skills/bFFdBAAAQBAJ?hl=en&amp;gbpv=1&amp;pg=PP1&amp;printsec=frontcover</w:t>
        </w:r>
      </w:hyperlink>
      <w:r w:rsidRPr="00370022">
        <w:rPr>
          <w:rFonts w:ascii="Arial" w:hAnsi="Arial" w:cs="Arial"/>
          <w:kern w:val="0"/>
          <w:sz w:val="24"/>
          <w:szCs w:val="24"/>
        </w:rPr>
        <w:t xml:space="preserve"> [Accessed 10 Apr. 2023].</w:t>
      </w:r>
    </w:p>
    <w:p w14:paraId="6BEE7A32"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Choudhari, T. (2022). Time Management Essentials and Importance. </w:t>
      </w:r>
      <w:r w:rsidRPr="00370022">
        <w:rPr>
          <w:rFonts w:ascii="Arial" w:hAnsi="Arial" w:cs="Arial"/>
          <w:i/>
          <w:iCs/>
          <w:kern w:val="0"/>
          <w:sz w:val="24"/>
          <w:szCs w:val="24"/>
        </w:rPr>
        <w:t>International Journal of Commerce and Management Research</w:t>
      </w:r>
      <w:r w:rsidRPr="00370022">
        <w:rPr>
          <w:rFonts w:ascii="Arial" w:hAnsi="Arial" w:cs="Arial"/>
          <w:kern w:val="0"/>
          <w:sz w:val="24"/>
          <w:szCs w:val="24"/>
        </w:rPr>
        <w:t xml:space="preserve">, [online] 8(5). Available at: </w:t>
      </w:r>
      <w:hyperlink r:id="rId10" w:history="1">
        <w:r w:rsidRPr="00370022">
          <w:rPr>
            <w:rStyle w:val="Hyperlink"/>
            <w:rFonts w:ascii="Arial" w:hAnsi="Arial" w:cs="Arial"/>
            <w:kern w:val="0"/>
            <w:sz w:val="24"/>
            <w:szCs w:val="24"/>
          </w:rPr>
          <w:t>https://www.researchgate.net/publication/363672285_Time_management_Essentials_and_Importance</w:t>
        </w:r>
      </w:hyperlink>
      <w:r w:rsidRPr="00370022">
        <w:rPr>
          <w:rFonts w:ascii="Arial" w:hAnsi="Arial" w:cs="Arial"/>
          <w:kern w:val="0"/>
          <w:sz w:val="24"/>
          <w:szCs w:val="24"/>
        </w:rPr>
        <w:t xml:space="preserve"> [Accessed 6 Aug. 2023].</w:t>
      </w:r>
    </w:p>
    <w:p w14:paraId="36D2C26E"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Cottrell, S. (2013). </w:t>
      </w:r>
      <w:r w:rsidRPr="00370022">
        <w:rPr>
          <w:rFonts w:ascii="Arial" w:hAnsi="Arial" w:cs="Arial"/>
          <w:i/>
          <w:iCs/>
          <w:kern w:val="0"/>
          <w:sz w:val="24"/>
          <w:szCs w:val="24"/>
        </w:rPr>
        <w:t>The study skills handbook</w:t>
      </w:r>
      <w:r w:rsidRPr="00370022">
        <w:rPr>
          <w:rFonts w:ascii="Arial" w:hAnsi="Arial" w:cs="Arial"/>
          <w:kern w:val="0"/>
          <w:sz w:val="24"/>
          <w:szCs w:val="24"/>
        </w:rPr>
        <w:t>. Basingstoke England: Macmillan International Higher Education.</w:t>
      </w:r>
    </w:p>
    <w:p w14:paraId="4E79CFF3"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Cottrell, S. (2019). </w:t>
      </w:r>
      <w:r w:rsidRPr="00370022">
        <w:rPr>
          <w:rFonts w:ascii="Arial" w:hAnsi="Arial" w:cs="Arial"/>
          <w:i/>
          <w:iCs/>
          <w:kern w:val="0"/>
          <w:sz w:val="24"/>
          <w:szCs w:val="24"/>
        </w:rPr>
        <w:t>The Study Skills Handbook</w:t>
      </w:r>
      <w:r w:rsidRPr="00370022">
        <w:rPr>
          <w:rFonts w:ascii="Arial" w:hAnsi="Arial" w:cs="Arial"/>
          <w:kern w:val="0"/>
          <w:sz w:val="24"/>
          <w:szCs w:val="24"/>
        </w:rPr>
        <w:t>. 5th ed. Red Globe Press.</w:t>
      </w:r>
    </w:p>
    <w:p w14:paraId="322B7CE3"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Cottrell, S. (2020). </w:t>
      </w:r>
      <w:r w:rsidRPr="00370022">
        <w:rPr>
          <w:rFonts w:ascii="Arial" w:hAnsi="Arial" w:cs="Arial"/>
          <w:i/>
          <w:iCs/>
          <w:kern w:val="0"/>
          <w:sz w:val="24"/>
          <w:szCs w:val="24"/>
        </w:rPr>
        <w:t>Teaching Study Skills and Supporting Learning</w:t>
      </w:r>
      <w:r w:rsidRPr="00370022">
        <w:rPr>
          <w:rFonts w:ascii="Arial" w:hAnsi="Arial" w:cs="Arial"/>
          <w:kern w:val="0"/>
          <w:sz w:val="24"/>
          <w:szCs w:val="24"/>
        </w:rPr>
        <w:t xml:space="preserve">. [online] </w:t>
      </w:r>
      <w:r w:rsidRPr="00370022">
        <w:rPr>
          <w:rFonts w:ascii="Arial" w:hAnsi="Arial" w:cs="Arial"/>
          <w:i/>
          <w:iCs/>
          <w:kern w:val="0"/>
          <w:sz w:val="24"/>
          <w:szCs w:val="24"/>
        </w:rPr>
        <w:t>Google Books</w:t>
      </w:r>
      <w:r w:rsidRPr="00370022">
        <w:rPr>
          <w:rFonts w:ascii="Arial" w:hAnsi="Arial" w:cs="Arial"/>
          <w:kern w:val="0"/>
          <w:sz w:val="24"/>
          <w:szCs w:val="24"/>
        </w:rPr>
        <w:t xml:space="preserve">. Bloomsbury Publishing. Available at: </w:t>
      </w:r>
      <w:hyperlink r:id="rId11" w:history="1">
        <w:r w:rsidRPr="00370022">
          <w:rPr>
            <w:rStyle w:val="Hyperlink"/>
            <w:rFonts w:ascii="Arial" w:hAnsi="Arial" w:cs="Arial"/>
            <w:kern w:val="0"/>
            <w:sz w:val="24"/>
            <w:szCs w:val="24"/>
          </w:rPr>
          <w:t>https://www.google.co.uk/books/edition/Teaching_Study_Skills_and_Supporting_Lea/nCFHEAAAQBAJ?hl=en&amp;gbpv=1&amp;pg=PR10&amp;printsec=frontcover</w:t>
        </w:r>
      </w:hyperlink>
      <w:r w:rsidRPr="00370022">
        <w:rPr>
          <w:rFonts w:ascii="Arial" w:hAnsi="Arial" w:cs="Arial"/>
          <w:kern w:val="0"/>
          <w:sz w:val="24"/>
          <w:szCs w:val="24"/>
        </w:rPr>
        <w:t>.</w:t>
      </w:r>
    </w:p>
    <w:p w14:paraId="4962E19D"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Davenport, T.H., Harris, J.G. and Morison, R. (2010). </w:t>
      </w:r>
      <w:r w:rsidRPr="00370022">
        <w:rPr>
          <w:rFonts w:ascii="Arial" w:hAnsi="Arial" w:cs="Arial"/>
          <w:i/>
          <w:iCs/>
          <w:kern w:val="0"/>
          <w:sz w:val="24"/>
          <w:szCs w:val="24"/>
        </w:rPr>
        <w:t>Analytics at Work: Smarter Decisions, Better Results</w:t>
      </w:r>
      <w:r w:rsidRPr="00370022">
        <w:rPr>
          <w:rFonts w:ascii="Arial" w:hAnsi="Arial" w:cs="Arial"/>
          <w:kern w:val="0"/>
          <w:sz w:val="24"/>
          <w:szCs w:val="24"/>
        </w:rPr>
        <w:t xml:space="preserve">. [online] </w:t>
      </w:r>
      <w:r w:rsidRPr="00370022">
        <w:rPr>
          <w:rFonts w:ascii="Arial" w:hAnsi="Arial" w:cs="Arial"/>
          <w:i/>
          <w:iCs/>
          <w:kern w:val="0"/>
          <w:sz w:val="24"/>
          <w:szCs w:val="24"/>
        </w:rPr>
        <w:t>Google Books</w:t>
      </w:r>
      <w:r w:rsidRPr="00370022">
        <w:rPr>
          <w:rFonts w:ascii="Arial" w:hAnsi="Arial" w:cs="Arial"/>
          <w:kern w:val="0"/>
          <w:sz w:val="24"/>
          <w:szCs w:val="24"/>
        </w:rPr>
        <w:t xml:space="preserve">. Harvard Business Press. Available at: </w:t>
      </w:r>
      <w:hyperlink r:id="rId12" w:history="1">
        <w:r w:rsidRPr="00370022">
          <w:rPr>
            <w:rStyle w:val="Hyperlink"/>
            <w:rFonts w:ascii="Arial" w:hAnsi="Arial" w:cs="Arial"/>
            <w:kern w:val="0"/>
            <w:sz w:val="24"/>
            <w:szCs w:val="24"/>
          </w:rPr>
          <w:t>https://www.google.co.uk/books/edition/Analytics_at_Work/2otJuvfvflgC?hl=en&amp;gbpv=1&amp;dq=This+detailed+referencing+helps+the+organisation+to+properly+evaluate+the+market%27s+possibilities</w:t>
        </w:r>
      </w:hyperlink>
      <w:r w:rsidRPr="00370022">
        <w:rPr>
          <w:rFonts w:ascii="Arial" w:hAnsi="Arial" w:cs="Arial"/>
          <w:kern w:val="0"/>
          <w:sz w:val="24"/>
          <w:szCs w:val="24"/>
        </w:rPr>
        <w:t>.</w:t>
      </w:r>
    </w:p>
    <w:p w14:paraId="71761302"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EPSTEIN, R.A. and Epstein, R.A. (2009). </w:t>
      </w:r>
      <w:r w:rsidRPr="00370022">
        <w:rPr>
          <w:rFonts w:ascii="Arial" w:hAnsi="Arial" w:cs="Arial"/>
          <w:i/>
          <w:iCs/>
          <w:kern w:val="0"/>
          <w:sz w:val="24"/>
          <w:szCs w:val="24"/>
        </w:rPr>
        <w:t>Simple Rules for a Complex World</w:t>
      </w:r>
      <w:r w:rsidRPr="00370022">
        <w:rPr>
          <w:rFonts w:ascii="Arial" w:hAnsi="Arial" w:cs="Arial"/>
          <w:kern w:val="0"/>
          <w:sz w:val="24"/>
          <w:szCs w:val="24"/>
        </w:rPr>
        <w:t xml:space="preserve">. [online] </w:t>
      </w:r>
      <w:r w:rsidRPr="00370022">
        <w:rPr>
          <w:rFonts w:ascii="Arial" w:hAnsi="Arial" w:cs="Arial"/>
          <w:i/>
          <w:iCs/>
          <w:kern w:val="0"/>
          <w:sz w:val="24"/>
          <w:szCs w:val="24"/>
        </w:rPr>
        <w:t>Google Books</w:t>
      </w:r>
      <w:r w:rsidRPr="00370022">
        <w:rPr>
          <w:rFonts w:ascii="Arial" w:hAnsi="Arial" w:cs="Arial"/>
          <w:kern w:val="0"/>
          <w:sz w:val="24"/>
          <w:szCs w:val="24"/>
        </w:rPr>
        <w:t xml:space="preserve">. Harvard University Press. Available at: </w:t>
      </w:r>
      <w:hyperlink r:id="rId13" w:history="1">
        <w:r w:rsidRPr="00370022">
          <w:rPr>
            <w:rStyle w:val="Hyperlink"/>
            <w:rFonts w:ascii="Arial" w:hAnsi="Arial" w:cs="Arial"/>
            <w:kern w:val="0"/>
            <w:sz w:val="24"/>
            <w:szCs w:val="24"/>
          </w:rPr>
          <w:t>https://www.google.co.uk/books/edition/Simple_Rules_for_a_Complex_World/pIm91BESk44C?hl=en&amp;gbpv=1&amp;dq=In+order+to+prevent+misinterpretations+and+possible+legal+problems</w:t>
        </w:r>
      </w:hyperlink>
      <w:r w:rsidRPr="00370022">
        <w:rPr>
          <w:rFonts w:ascii="Arial" w:hAnsi="Arial" w:cs="Arial"/>
          <w:kern w:val="0"/>
          <w:sz w:val="24"/>
          <w:szCs w:val="24"/>
        </w:rPr>
        <w:t>.</w:t>
      </w:r>
    </w:p>
    <w:p w14:paraId="59C41ECC"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Liang, L., Zhong, Z. and Rousseau, R. (2014). Scientists’ referencing (mis)behavior revealed by the dissemination network of referencing errors. </w:t>
      </w:r>
      <w:r w:rsidRPr="00370022">
        <w:rPr>
          <w:rFonts w:ascii="Arial" w:hAnsi="Arial" w:cs="Arial"/>
          <w:i/>
          <w:iCs/>
          <w:kern w:val="0"/>
          <w:sz w:val="24"/>
          <w:szCs w:val="24"/>
        </w:rPr>
        <w:t>Scientometrics</w:t>
      </w:r>
      <w:r w:rsidRPr="00370022">
        <w:rPr>
          <w:rFonts w:ascii="Arial" w:hAnsi="Arial" w:cs="Arial"/>
          <w:kern w:val="0"/>
          <w:sz w:val="24"/>
          <w:szCs w:val="24"/>
        </w:rPr>
        <w:t xml:space="preserve">, 101(3), pp.1973–1986. Doi: </w:t>
      </w:r>
      <w:hyperlink r:id="rId14" w:history="1">
        <w:r w:rsidRPr="00370022">
          <w:rPr>
            <w:rStyle w:val="Hyperlink"/>
            <w:rFonts w:ascii="Arial" w:hAnsi="Arial" w:cs="Arial"/>
            <w:kern w:val="0"/>
            <w:sz w:val="24"/>
            <w:szCs w:val="24"/>
          </w:rPr>
          <w:t>https://doi.org/10.1007/s11192-014-1275-x</w:t>
        </w:r>
      </w:hyperlink>
      <w:r w:rsidRPr="00370022">
        <w:rPr>
          <w:rFonts w:ascii="Arial" w:hAnsi="Arial" w:cs="Arial"/>
          <w:kern w:val="0"/>
          <w:sz w:val="24"/>
          <w:szCs w:val="24"/>
        </w:rPr>
        <w:t>.</w:t>
      </w:r>
    </w:p>
    <w:p w14:paraId="53DE67AD"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Lillis, T. and Curry, M.J. (2010). </w:t>
      </w:r>
      <w:r w:rsidRPr="00370022">
        <w:rPr>
          <w:rFonts w:ascii="Arial" w:hAnsi="Arial" w:cs="Arial"/>
          <w:i/>
          <w:iCs/>
          <w:kern w:val="0"/>
          <w:sz w:val="24"/>
          <w:szCs w:val="24"/>
        </w:rPr>
        <w:t>Professional Academic writing in Global Context</w:t>
      </w:r>
      <w:r w:rsidRPr="00370022">
        <w:rPr>
          <w:rFonts w:ascii="Arial" w:hAnsi="Arial" w:cs="Arial"/>
          <w:kern w:val="0"/>
          <w:sz w:val="24"/>
          <w:szCs w:val="24"/>
        </w:rPr>
        <w:t xml:space="preserve">. [online] </w:t>
      </w:r>
      <w:r w:rsidRPr="00370022">
        <w:rPr>
          <w:rFonts w:ascii="Arial" w:hAnsi="Arial" w:cs="Arial"/>
          <w:i/>
          <w:iCs/>
          <w:kern w:val="0"/>
          <w:sz w:val="24"/>
          <w:szCs w:val="24"/>
        </w:rPr>
        <w:t>Google Books</w:t>
      </w:r>
      <w:r w:rsidRPr="00370022">
        <w:rPr>
          <w:rFonts w:ascii="Arial" w:hAnsi="Arial" w:cs="Arial"/>
          <w:kern w:val="0"/>
          <w:sz w:val="24"/>
          <w:szCs w:val="24"/>
        </w:rPr>
        <w:t xml:space="preserve">. Routledge. Available at: </w:t>
      </w:r>
      <w:hyperlink r:id="rId15" w:history="1">
        <w:r w:rsidRPr="00370022">
          <w:rPr>
            <w:rStyle w:val="Hyperlink"/>
            <w:rFonts w:ascii="Arial" w:hAnsi="Arial" w:cs="Arial"/>
            <w:kern w:val="0"/>
            <w:sz w:val="24"/>
            <w:szCs w:val="24"/>
          </w:rPr>
          <w:t>https://www.google.co.uk/books/edition/Professional_Academic_writing_in_Global/8E0HSNC9yrkC?hl=en&amp;gbpv=1&amp;dq=Lillis</w:t>
        </w:r>
      </w:hyperlink>
      <w:r w:rsidRPr="00370022">
        <w:rPr>
          <w:rFonts w:ascii="Arial" w:hAnsi="Arial" w:cs="Arial"/>
          <w:kern w:val="0"/>
          <w:sz w:val="24"/>
          <w:szCs w:val="24"/>
        </w:rPr>
        <w:t>.</w:t>
      </w:r>
    </w:p>
    <w:p w14:paraId="163C4373"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Little, D. and Green, D.A. (2021). Credibility in educational development: trustworthiness, expertise, and identification. </w:t>
      </w:r>
      <w:r w:rsidRPr="00370022">
        <w:rPr>
          <w:rFonts w:ascii="Arial" w:hAnsi="Arial" w:cs="Arial"/>
          <w:i/>
          <w:iCs/>
          <w:kern w:val="0"/>
          <w:sz w:val="24"/>
          <w:szCs w:val="24"/>
        </w:rPr>
        <w:t>Higher Education Research &amp; Development</w:t>
      </w:r>
      <w:r w:rsidRPr="00370022">
        <w:rPr>
          <w:rFonts w:ascii="Arial" w:hAnsi="Arial" w:cs="Arial"/>
          <w:kern w:val="0"/>
          <w:sz w:val="24"/>
          <w:szCs w:val="24"/>
        </w:rPr>
        <w:t xml:space="preserve">, pp.1–16. Doi: </w:t>
      </w:r>
      <w:hyperlink r:id="rId16" w:history="1">
        <w:r w:rsidRPr="00370022">
          <w:rPr>
            <w:rStyle w:val="Hyperlink"/>
            <w:rFonts w:ascii="Arial" w:hAnsi="Arial" w:cs="Arial"/>
            <w:kern w:val="0"/>
            <w:sz w:val="24"/>
            <w:szCs w:val="24"/>
          </w:rPr>
          <w:t>https://doi.org/10.1080/07294360.2020.1871325</w:t>
        </w:r>
      </w:hyperlink>
      <w:r w:rsidRPr="00370022">
        <w:rPr>
          <w:rFonts w:ascii="Arial" w:hAnsi="Arial" w:cs="Arial"/>
          <w:kern w:val="0"/>
          <w:sz w:val="24"/>
          <w:szCs w:val="24"/>
        </w:rPr>
        <w:t>.</w:t>
      </w:r>
    </w:p>
    <w:p w14:paraId="20F43FF6" w14:textId="663F000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McMillan, K., and Weyers, J.D.B. (2012). </w:t>
      </w:r>
      <w:r w:rsidRPr="00370022">
        <w:rPr>
          <w:rFonts w:ascii="Arial" w:hAnsi="Arial" w:cs="Arial"/>
          <w:i/>
          <w:iCs/>
          <w:kern w:val="0"/>
          <w:sz w:val="24"/>
          <w:szCs w:val="24"/>
        </w:rPr>
        <w:t>The study skills book</w:t>
      </w:r>
      <w:r w:rsidRPr="00370022">
        <w:rPr>
          <w:rFonts w:ascii="Arial" w:hAnsi="Arial" w:cs="Arial"/>
          <w:kern w:val="0"/>
          <w:sz w:val="24"/>
          <w:szCs w:val="24"/>
        </w:rPr>
        <w:t>. 3rd ed. Harlow, England; New York: Pearson.</w:t>
      </w:r>
    </w:p>
    <w:p w14:paraId="55468826"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Mohamed, O., Hamal, R.B. and Mohamed, K. (2018). A STUDY ON TIME MANAGEMENT: CASE OF NORTHEAST NORMAL UNIVERSITY INTERNATIONAL STUDENTS. </w:t>
      </w:r>
      <w:r w:rsidRPr="00370022">
        <w:rPr>
          <w:rFonts w:ascii="Arial" w:hAnsi="Arial" w:cs="Arial"/>
          <w:i/>
          <w:iCs/>
          <w:kern w:val="0"/>
          <w:sz w:val="24"/>
          <w:szCs w:val="24"/>
        </w:rPr>
        <w:t>European Journal of Alternative Education Studies</w:t>
      </w:r>
      <w:r w:rsidRPr="00370022">
        <w:rPr>
          <w:rFonts w:ascii="Arial" w:hAnsi="Arial" w:cs="Arial"/>
          <w:kern w:val="0"/>
          <w:sz w:val="24"/>
          <w:szCs w:val="24"/>
        </w:rPr>
        <w:t xml:space="preserve">, [online] 3(1). Doi: </w:t>
      </w:r>
      <w:hyperlink r:id="rId17" w:history="1">
        <w:r w:rsidRPr="00370022">
          <w:rPr>
            <w:rStyle w:val="Hyperlink"/>
            <w:rFonts w:ascii="Arial" w:hAnsi="Arial" w:cs="Arial"/>
            <w:kern w:val="0"/>
            <w:sz w:val="24"/>
            <w:szCs w:val="24"/>
          </w:rPr>
          <w:t>https://doi.org/10.5281/zenodo.1161527</w:t>
        </w:r>
      </w:hyperlink>
      <w:r w:rsidRPr="00370022">
        <w:rPr>
          <w:rFonts w:ascii="Arial" w:hAnsi="Arial" w:cs="Arial"/>
          <w:kern w:val="0"/>
          <w:sz w:val="24"/>
          <w:szCs w:val="24"/>
        </w:rPr>
        <w:t>.</w:t>
      </w:r>
    </w:p>
    <w:p w14:paraId="0DE1F419" w14:textId="661A0F18"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Nardi, P. (2017). </w:t>
      </w:r>
      <w:r w:rsidRPr="00370022">
        <w:rPr>
          <w:rFonts w:ascii="Arial" w:hAnsi="Arial" w:cs="Arial"/>
          <w:i/>
          <w:iCs/>
          <w:kern w:val="0"/>
          <w:sz w:val="24"/>
          <w:szCs w:val="24"/>
        </w:rPr>
        <w:t>Critical thinking: tools for evaluating research</w:t>
      </w:r>
      <w:r w:rsidRPr="00370022">
        <w:rPr>
          <w:rFonts w:ascii="Arial" w:hAnsi="Arial" w:cs="Arial"/>
          <w:kern w:val="0"/>
          <w:sz w:val="24"/>
          <w:szCs w:val="24"/>
        </w:rPr>
        <w:t>. 1st ed. Oakland, California: University of California Press.</w:t>
      </w:r>
    </w:p>
    <w:p w14:paraId="305E11D7" w14:textId="77777777" w:rsidR="00CC37B6" w:rsidRPr="00370022" w:rsidRDefault="00CC37B6" w:rsidP="00CC37B6">
      <w:pPr>
        <w:rPr>
          <w:rFonts w:ascii="Arial" w:hAnsi="Arial" w:cs="Arial"/>
          <w:color w:val="333333"/>
          <w:shd w:val="clear" w:color="auto" w:fill="FBFBFB"/>
        </w:rPr>
      </w:pPr>
      <w:r w:rsidRPr="00370022">
        <w:rPr>
          <w:rFonts w:ascii="Arial" w:hAnsi="Arial" w:cs="Arial"/>
          <w:color w:val="333333"/>
          <w:shd w:val="clear" w:color="auto" w:fill="FBFBFB"/>
        </w:rPr>
        <w:t>Nelson, E. (1999) '</w:t>
      </w:r>
      <w:r w:rsidRPr="00370022">
        <w:rPr>
          <w:rFonts w:ascii="Arial" w:hAnsi="Arial" w:cs="Arial"/>
          <w:color w:val="343332"/>
          <w:spacing w:val="-5"/>
          <w:shd w:val="clear" w:color="auto" w:fill="FBFBFB"/>
        </w:rPr>
        <w:t>On the Persistence of Unicorns: The Trade-Off between Content and Critical Thinking Revisited.</w:t>
      </w:r>
      <w:r w:rsidRPr="00370022">
        <w:rPr>
          <w:rFonts w:ascii="Arial" w:hAnsi="Arial" w:cs="Arial"/>
          <w:color w:val="333333"/>
          <w:shd w:val="clear" w:color="auto" w:fill="FBFBFB"/>
        </w:rPr>
        <w:t>', </w:t>
      </w:r>
      <w:r w:rsidRPr="00370022">
        <w:rPr>
          <w:rFonts w:ascii="Arial" w:hAnsi="Arial" w:cs="Arial"/>
          <w:i/>
          <w:iCs/>
          <w:color w:val="343332"/>
          <w:spacing w:val="-5"/>
          <w:shd w:val="clear" w:color="auto" w:fill="FBFBFB"/>
        </w:rPr>
        <w:t>The Social Worlds of Higher Education: Hand- book for Teaching in a New Century, edited by Bernice A Pescosolido and Ronald Aminzade,</w:t>
      </w:r>
      <w:r w:rsidRPr="00370022">
        <w:rPr>
          <w:rFonts w:ascii="Arial" w:hAnsi="Arial" w:cs="Arial"/>
          <w:color w:val="333333"/>
          <w:shd w:val="clear" w:color="auto" w:fill="FBFBFB"/>
        </w:rPr>
        <w:t xml:space="preserve"> p.175</w:t>
      </w:r>
    </w:p>
    <w:p w14:paraId="23DF25C5"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Neville, C. (2016). </w:t>
      </w:r>
      <w:r w:rsidRPr="00370022">
        <w:rPr>
          <w:rFonts w:ascii="Arial" w:hAnsi="Arial" w:cs="Arial"/>
          <w:i/>
          <w:iCs/>
          <w:kern w:val="0"/>
          <w:sz w:val="24"/>
          <w:szCs w:val="24"/>
        </w:rPr>
        <w:t>The Complete Guide to Referencing and Avoiding Plagiarism</w:t>
      </w:r>
      <w:r w:rsidRPr="00370022">
        <w:rPr>
          <w:rFonts w:ascii="Arial" w:hAnsi="Arial" w:cs="Arial"/>
          <w:kern w:val="0"/>
          <w:sz w:val="24"/>
          <w:szCs w:val="24"/>
        </w:rPr>
        <w:t xml:space="preserve">. [online] </w:t>
      </w:r>
      <w:r w:rsidRPr="00370022">
        <w:rPr>
          <w:rFonts w:ascii="Arial" w:hAnsi="Arial" w:cs="Arial"/>
          <w:i/>
          <w:iCs/>
          <w:kern w:val="0"/>
          <w:sz w:val="24"/>
          <w:szCs w:val="24"/>
        </w:rPr>
        <w:t>Google Books</w:t>
      </w:r>
      <w:r w:rsidRPr="00370022">
        <w:rPr>
          <w:rFonts w:ascii="Arial" w:hAnsi="Arial" w:cs="Arial"/>
          <w:kern w:val="0"/>
          <w:sz w:val="24"/>
          <w:szCs w:val="24"/>
        </w:rPr>
        <w:t xml:space="preserve">. McGraw-Hill Education (UK). Available at: </w:t>
      </w:r>
      <w:hyperlink r:id="rId18" w:history="1">
        <w:r w:rsidRPr="00370022">
          <w:rPr>
            <w:rStyle w:val="Hyperlink"/>
            <w:rFonts w:ascii="Arial" w:hAnsi="Arial" w:cs="Arial"/>
            <w:kern w:val="0"/>
            <w:sz w:val="24"/>
            <w:szCs w:val="24"/>
          </w:rPr>
          <w:t>https://www.google.co.uk/books/edition/The_Complete_Guide_to_Referencing_and_Av/MskvEAAAQBAJ?hl=en&amp;gbpv=1&amp;dq=Neville.</w:t>
        </w:r>
      </w:hyperlink>
      <w:r w:rsidRPr="00370022">
        <w:rPr>
          <w:rFonts w:ascii="Arial" w:hAnsi="Arial" w:cs="Arial"/>
          <w:kern w:val="0"/>
          <w:sz w:val="24"/>
          <w:szCs w:val="24"/>
        </w:rPr>
        <w:t xml:space="preserve"> [Accessed 7 Aug. 2023].</w:t>
      </w:r>
    </w:p>
    <w:p w14:paraId="42B8C70A"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Nowell, L.S., Norris, J.M., White, D.E. and Moules, N.J. (2017). Thematic analysis: Striving to Meet the Trustworthiness Criteria. </w:t>
      </w:r>
      <w:r w:rsidRPr="00370022">
        <w:rPr>
          <w:rFonts w:ascii="Arial" w:hAnsi="Arial" w:cs="Arial"/>
          <w:i/>
          <w:iCs/>
          <w:kern w:val="0"/>
          <w:sz w:val="24"/>
          <w:szCs w:val="24"/>
        </w:rPr>
        <w:t>International Journal of Qualitative Methods</w:t>
      </w:r>
      <w:r w:rsidRPr="00370022">
        <w:rPr>
          <w:rFonts w:ascii="Arial" w:hAnsi="Arial" w:cs="Arial"/>
          <w:kern w:val="0"/>
          <w:sz w:val="24"/>
          <w:szCs w:val="24"/>
        </w:rPr>
        <w:t xml:space="preserve">, 16(1), pp.1–13. Doi: </w:t>
      </w:r>
      <w:hyperlink r:id="rId19" w:history="1">
        <w:r w:rsidRPr="00370022">
          <w:rPr>
            <w:rStyle w:val="Hyperlink"/>
            <w:rFonts w:ascii="Arial" w:hAnsi="Arial" w:cs="Arial"/>
            <w:kern w:val="0"/>
            <w:sz w:val="24"/>
            <w:szCs w:val="24"/>
          </w:rPr>
          <w:t>https://doi.org/10.1177/1609406917733847</w:t>
        </w:r>
      </w:hyperlink>
      <w:r w:rsidRPr="00370022">
        <w:rPr>
          <w:rFonts w:ascii="Arial" w:hAnsi="Arial" w:cs="Arial"/>
          <w:kern w:val="0"/>
          <w:sz w:val="24"/>
          <w:szCs w:val="24"/>
        </w:rPr>
        <w:t>.</w:t>
      </w:r>
    </w:p>
    <w:p w14:paraId="45B8A79E"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Oliver, P. (2012). </w:t>
      </w:r>
      <w:r w:rsidRPr="00370022">
        <w:rPr>
          <w:rFonts w:ascii="Arial" w:hAnsi="Arial" w:cs="Arial"/>
          <w:i/>
          <w:iCs/>
          <w:kern w:val="0"/>
          <w:sz w:val="24"/>
          <w:szCs w:val="24"/>
        </w:rPr>
        <w:t>Succeeding with your literature review : a handbook for students</w:t>
      </w:r>
      <w:r w:rsidRPr="00370022">
        <w:rPr>
          <w:rFonts w:ascii="Arial" w:hAnsi="Arial" w:cs="Arial"/>
          <w:kern w:val="0"/>
          <w:sz w:val="24"/>
          <w:szCs w:val="24"/>
        </w:rPr>
        <w:t>. Maidenhead: Open University Press.</w:t>
      </w:r>
    </w:p>
    <w:p w14:paraId="58034232"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Tarafdar, M. and Davison, R.M. (2020). The art of referencing. </w:t>
      </w:r>
      <w:r w:rsidRPr="00370022">
        <w:rPr>
          <w:rFonts w:ascii="Arial" w:hAnsi="Arial" w:cs="Arial"/>
          <w:i/>
          <w:iCs/>
          <w:kern w:val="0"/>
          <w:sz w:val="24"/>
          <w:szCs w:val="24"/>
        </w:rPr>
        <w:t>Information Systems Journal</w:t>
      </w:r>
      <w:r w:rsidRPr="00370022">
        <w:rPr>
          <w:rFonts w:ascii="Arial" w:hAnsi="Arial" w:cs="Arial"/>
          <w:kern w:val="0"/>
          <w:sz w:val="24"/>
          <w:szCs w:val="24"/>
        </w:rPr>
        <w:t xml:space="preserve">, 30(5). Doi: </w:t>
      </w:r>
      <w:hyperlink r:id="rId20" w:history="1">
        <w:r w:rsidRPr="00370022">
          <w:rPr>
            <w:rStyle w:val="Hyperlink"/>
            <w:rFonts w:ascii="Arial" w:hAnsi="Arial" w:cs="Arial"/>
            <w:kern w:val="0"/>
            <w:sz w:val="24"/>
            <w:szCs w:val="24"/>
          </w:rPr>
          <w:t>https://doi.org/10.1111/isj.12291</w:t>
        </w:r>
      </w:hyperlink>
      <w:r w:rsidRPr="00370022">
        <w:rPr>
          <w:rFonts w:ascii="Arial" w:hAnsi="Arial" w:cs="Arial"/>
          <w:kern w:val="0"/>
          <w:sz w:val="24"/>
          <w:szCs w:val="24"/>
        </w:rPr>
        <w:t>.</w:t>
      </w:r>
    </w:p>
    <w:p w14:paraId="100F644A" w14:textId="77777777" w:rsidR="00CC37B6" w:rsidRPr="00F70226" w:rsidRDefault="00CC37B6" w:rsidP="00F70226">
      <w:pPr>
        <w:rPr>
          <w:rFonts w:ascii="Arial" w:hAnsi="Arial" w:cs="Arial"/>
          <w:sz w:val="24"/>
          <w:szCs w:val="24"/>
          <w:shd w:val="clear" w:color="auto" w:fill="FBFBFB"/>
        </w:rPr>
      </w:pPr>
      <w:r w:rsidRPr="00F70226">
        <w:rPr>
          <w:rFonts w:ascii="Arial" w:hAnsi="Arial" w:cs="Arial"/>
          <w:sz w:val="24"/>
          <w:szCs w:val="24"/>
          <w:shd w:val="clear" w:color="auto" w:fill="FBFBFB"/>
        </w:rPr>
        <w:t xml:space="preserve">The Open University. (2008) </w:t>
      </w:r>
      <w:r w:rsidRPr="00F70226">
        <w:rPr>
          <w:rFonts w:ascii="Arial" w:hAnsi="Arial" w:cs="Arial"/>
          <w:i/>
          <w:iCs/>
          <w:sz w:val="24"/>
          <w:szCs w:val="24"/>
          <w:shd w:val="clear" w:color="auto" w:fill="FBFBFB"/>
        </w:rPr>
        <w:t>Thinking Critically</w:t>
      </w:r>
      <w:r w:rsidRPr="00F70226">
        <w:rPr>
          <w:rFonts w:ascii="Arial" w:hAnsi="Arial" w:cs="Arial"/>
          <w:sz w:val="24"/>
          <w:szCs w:val="24"/>
          <w:shd w:val="clear" w:color="auto" w:fill="FBFBFB"/>
        </w:rPr>
        <w:t>. United Kingdom: The Open University. </w:t>
      </w:r>
    </w:p>
    <w:p w14:paraId="3987227B" w14:textId="77777777" w:rsidR="00CC37B6" w:rsidRPr="00370022" w:rsidRDefault="00CC37B6" w:rsidP="00CC37B6">
      <w:pPr>
        <w:widowControl w:val="0"/>
        <w:autoSpaceDE w:val="0"/>
        <w:autoSpaceDN w:val="0"/>
        <w:adjustRightInd w:val="0"/>
        <w:spacing w:after="240" w:line="360" w:lineRule="auto"/>
        <w:rPr>
          <w:rFonts w:ascii="Arial" w:hAnsi="Arial" w:cs="Arial"/>
          <w:kern w:val="0"/>
          <w:sz w:val="24"/>
          <w:szCs w:val="24"/>
        </w:rPr>
      </w:pPr>
      <w:r w:rsidRPr="00370022">
        <w:rPr>
          <w:rFonts w:ascii="Arial" w:hAnsi="Arial" w:cs="Arial"/>
          <w:kern w:val="0"/>
          <w:sz w:val="24"/>
          <w:szCs w:val="24"/>
        </w:rPr>
        <w:t xml:space="preserve">Vercellis, C. (2011). </w:t>
      </w:r>
      <w:r w:rsidRPr="00370022">
        <w:rPr>
          <w:rFonts w:ascii="Arial" w:hAnsi="Arial" w:cs="Arial"/>
          <w:i/>
          <w:iCs/>
          <w:kern w:val="0"/>
          <w:sz w:val="24"/>
          <w:szCs w:val="24"/>
        </w:rPr>
        <w:t>Business Intelligence: Data Mining and Optimization for Decision Making</w:t>
      </w:r>
      <w:r w:rsidRPr="00370022">
        <w:rPr>
          <w:rFonts w:ascii="Arial" w:hAnsi="Arial" w:cs="Arial"/>
          <w:kern w:val="0"/>
          <w:sz w:val="24"/>
          <w:szCs w:val="24"/>
        </w:rPr>
        <w:t xml:space="preserve">. [online] </w:t>
      </w:r>
      <w:r w:rsidRPr="00370022">
        <w:rPr>
          <w:rFonts w:ascii="Arial" w:hAnsi="Arial" w:cs="Arial"/>
          <w:i/>
          <w:iCs/>
          <w:kern w:val="0"/>
          <w:sz w:val="24"/>
          <w:szCs w:val="24"/>
        </w:rPr>
        <w:t>Google Books</w:t>
      </w:r>
      <w:r w:rsidRPr="00370022">
        <w:rPr>
          <w:rFonts w:ascii="Arial" w:hAnsi="Arial" w:cs="Arial"/>
          <w:kern w:val="0"/>
          <w:sz w:val="24"/>
          <w:szCs w:val="24"/>
        </w:rPr>
        <w:t xml:space="preserve">. John Wiley &amp; Sons. Available at: </w:t>
      </w:r>
      <w:hyperlink r:id="rId21" w:history="1">
        <w:r w:rsidRPr="00370022">
          <w:rPr>
            <w:rStyle w:val="Hyperlink"/>
            <w:rFonts w:ascii="Arial" w:hAnsi="Arial" w:cs="Arial"/>
            <w:kern w:val="0"/>
            <w:sz w:val="24"/>
            <w:szCs w:val="24"/>
          </w:rPr>
          <w:t>https://www.google.co.uk/books/edition/Business_Intelligence/Yl_yAn2bhZ0C?hl=en&amp;gbpv=1&amp;dq=referencing+is+essential+for+business+analysis+and+decision-making.+In+the+business+world</w:t>
        </w:r>
      </w:hyperlink>
      <w:r w:rsidRPr="00370022">
        <w:rPr>
          <w:rFonts w:ascii="Arial" w:hAnsi="Arial" w:cs="Arial"/>
          <w:kern w:val="0"/>
          <w:sz w:val="24"/>
          <w:szCs w:val="24"/>
        </w:rPr>
        <w:t>.</w:t>
      </w:r>
    </w:p>
    <w:p w14:paraId="1C2AA7F1" w14:textId="77777777" w:rsidR="00AA1EF9" w:rsidRPr="00370022" w:rsidRDefault="00AA1EF9" w:rsidP="00AA1EF9">
      <w:pPr>
        <w:spacing w:line="360" w:lineRule="auto"/>
        <w:jc w:val="both"/>
        <w:rPr>
          <w:rFonts w:ascii="Arial" w:hAnsi="Arial" w:cs="Arial"/>
          <w:sz w:val="24"/>
          <w:szCs w:val="24"/>
        </w:rPr>
      </w:pPr>
    </w:p>
    <w:p w14:paraId="2B799042" w14:textId="77777777" w:rsidR="00AA1EF9" w:rsidRPr="00370022" w:rsidRDefault="00AA1EF9" w:rsidP="00AA1EF9">
      <w:pPr>
        <w:spacing w:line="360" w:lineRule="auto"/>
        <w:jc w:val="both"/>
        <w:rPr>
          <w:rFonts w:ascii="Arial" w:hAnsi="Arial" w:cs="Arial"/>
          <w:sz w:val="24"/>
          <w:szCs w:val="24"/>
        </w:rPr>
      </w:pPr>
    </w:p>
    <w:sectPr w:rsidR="00AA1EF9" w:rsidRPr="00370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EF9"/>
    <w:rsid w:val="000C166E"/>
    <w:rsid w:val="000F3435"/>
    <w:rsid w:val="0019307E"/>
    <w:rsid w:val="00316699"/>
    <w:rsid w:val="00370022"/>
    <w:rsid w:val="00521ED3"/>
    <w:rsid w:val="005D2FE2"/>
    <w:rsid w:val="00744511"/>
    <w:rsid w:val="007E00B1"/>
    <w:rsid w:val="009C5EF4"/>
    <w:rsid w:val="00A477A5"/>
    <w:rsid w:val="00AA1EF9"/>
    <w:rsid w:val="00CC37B6"/>
    <w:rsid w:val="00D050C7"/>
    <w:rsid w:val="00D60FFF"/>
    <w:rsid w:val="00F70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30DAF"/>
  <w15:chartTrackingRefBased/>
  <w15:docId w15:val="{6B92D1E8-D690-402C-8E5D-62C718DB9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mentcontentpara">
    <w:name w:val="commentcontentpara"/>
    <w:basedOn w:val="Normal"/>
    <w:rsid w:val="00AA1EF9"/>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Hyperlink">
    <w:name w:val="Hyperlink"/>
    <w:basedOn w:val="DefaultParagraphFont"/>
    <w:uiPriority w:val="99"/>
    <w:unhideWhenUsed/>
    <w:rsid w:val="00CC37B6"/>
    <w:rPr>
      <w:color w:val="0563C1" w:themeColor="hyperlink"/>
      <w:u w:val="single"/>
    </w:rPr>
  </w:style>
  <w:style w:type="character" w:styleId="UnresolvedMention">
    <w:name w:val="Unresolved Mention"/>
    <w:basedOn w:val="DefaultParagraphFont"/>
    <w:uiPriority w:val="99"/>
    <w:semiHidden/>
    <w:unhideWhenUsed/>
    <w:rsid w:val="00CC37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3011">
      <w:bodyDiv w:val="1"/>
      <w:marLeft w:val="0"/>
      <w:marRight w:val="0"/>
      <w:marTop w:val="0"/>
      <w:marBottom w:val="0"/>
      <w:divBdr>
        <w:top w:val="none" w:sz="0" w:space="0" w:color="auto"/>
        <w:left w:val="none" w:sz="0" w:space="0" w:color="auto"/>
        <w:bottom w:val="none" w:sz="0" w:space="0" w:color="auto"/>
        <w:right w:val="none" w:sz="0" w:space="0" w:color="auto"/>
      </w:divBdr>
    </w:div>
    <w:div w:id="895312219">
      <w:bodyDiv w:val="1"/>
      <w:marLeft w:val="0"/>
      <w:marRight w:val="0"/>
      <w:marTop w:val="0"/>
      <w:marBottom w:val="0"/>
      <w:divBdr>
        <w:top w:val="none" w:sz="0" w:space="0" w:color="auto"/>
        <w:left w:val="none" w:sz="0" w:space="0" w:color="auto"/>
        <w:bottom w:val="none" w:sz="0" w:space="0" w:color="auto"/>
        <w:right w:val="none" w:sz="0" w:space="0" w:color="auto"/>
      </w:divBdr>
    </w:div>
    <w:div w:id="1041629852">
      <w:bodyDiv w:val="1"/>
      <w:marLeft w:val="0"/>
      <w:marRight w:val="0"/>
      <w:marTop w:val="0"/>
      <w:marBottom w:val="0"/>
      <w:divBdr>
        <w:top w:val="none" w:sz="0" w:space="0" w:color="auto"/>
        <w:left w:val="none" w:sz="0" w:space="0" w:color="auto"/>
        <w:bottom w:val="none" w:sz="0" w:space="0" w:color="auto"/>
        <w:right w:val="none" w:sz="0" w:space="0" w:color="auto"/>
      </w:divBdr>
    </w:div>
    <w:div w:id="1304895151">
      <w:bodyDiv w:val="1"/>
      <w:marLeft w:val="0"/>
      <w:marRight w:val="0"/>
      <w:marTop w:val="0"/>
      <w:marBottom w:val="0"/>
      <w:divBdr>
        <w:top w:val="none" w:sz="0" w:space="0" w:color="auto"/>
        <w:left w:val="none" w:sz="0" w:space="0" w:color="auto"/>
        <w:bottom w:val="none" w:sz="0" w:space="0" w:color="auto"/>
        <w:right w:val="none" w:sz="0" w:space="0" w:color="auto"/>
      </w:divBdr>
    </w:div>
    <w:div w:id="1511870991">
      <w:bodyDiv w:val="1"/>
      <w:marLeft w:val="0"/>
      <w:marRight w:val="0"/>
      <w:marTop w:val="0"/>
      <w:marBottom w:val="0"/>
      <w:divBdr>
        <w:top w:val="none" w:sz="0" w:space="0" w:color="auto"/>
        <w:left w:val="none" w:sz="0" w:space="0" w:color="auto"/>
        <w:bottom w:val="none" w:sz="0" w:space="0" w:color="auto"/>
        <w:right w:val="none" w:sz="0" w:space="0" w:color="auto"/>
      </w:divBdr>
    </w:div>
    <w:div w:id="2092846972">
      <w:bodyDiv w:val="1"/>
      <w:marLeft w:val="0"/>
      <w:marRight w:val="0"/>
      <w:marTop w:val="0"/>
      <w:marBottom w:val="0"/>
      <w:divBdr>
        <w:top w:val="none" w:sz="0" w:space="0" w:color="auto"/>
        <w:left w:val="none" w:sz="0" w:space="0" w:color="auto"/>
        <w:bottom w:val="none" w:sz="0" w:space="0" w:color="auto"/>
        <w:right w:val="none" w:sz="0" w:space="0" w:color="auto"/>
      </w:divBdr>
    </w:div>
    <w:div w:id="210857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how-to-improve-critical-thinking" TargetMode="External"/><Relationship Id="rId13" Type="http://schemas.openxmlformats.org/officeDocument/2006/relationships/hyperlink" Target="https://www.google.co.uk/books/edition/Simple_Rules_for_a_Complex_World/pIm91BESk44C?hl=en&amp;gbpv=1&amp;dq=In+order+to+prevent+misinterpretations+and+possible+legal+problems" TargetMode="External"/><Relationship Id="rId18" Type="http://schemas.openxmlformats.org/officeDocument/2006/relationships/hyperlink" Target="https://www.google.co.uk/books/edition/The_Complete_Guide_to_Referencing_and_Av/MskvEAAAQBAJ?hl=en&amp;gbpv=1&amp;dq=Neville." TargetMode="External"/><Relationship Id="rId3" Type="http://schemas.openxmlformats.org/officeDocument/2006/relationships/settings" Target="settings.xml"/><Relationship Id="rId21" Type="http://schemas.openxmlformats.org/officeDocument/2006/relationships/hyperlink" Target="https://www.google.co.uk/books/edition/Business_Intelligence/Yl_yAn2bhZ0C?hl=en&amp;gbpv=1&amp;dq=referencing+is+essential+for+business+analysis+and+decision-making.+In+the+business+world" TargetMode="External"/><Relationship Id="rId7" Type="http://schemas.openxmlformats.org/officeDocument/2006/relationships/hyperlink" Target="https://www.rsu.lv/sites/default/files/imce/Dokumenti/prezentacijas/Bailey_Academic_Writing.pdf" TargetMode="External"/><Relationship Id="rId12" Type="http://schemas.openxmlformats.org/officeDocument/2006/relationships/hyperlink" Target="https://www.google.co.uk/books/edition/Analytics_at_Work/2otJuvfvflgC?hl=en&amp;gbpv=1&amp;dq=This+detailed+referencing+helps+the+organisation+to+properly+evaluate+the+market%27s+possibilities" TargetMode="External"/><Relationship Id="rId17" Type="http://schemas.openxmlformats.org/officeDocument/2006/relationships/hyperlink" Target="https://doi.org/10.5281/zenodo.1161527" TargetMode="External"/><Relationship Id="rId2" Type="http://schemas.openxmlformats.org/officeDocument/2006/relationships/styles" Target="styles.xml"/><Relationship Id="rId16" Type="http://schemas.openxmlformats.org/officeDocument/2006/relationships/hyperlink" Target="https://doi.org/10.1080/07294360.2020.1871325" TargetMode="External"/><Relationship Id="rId20" Type="http://schemas.openxmlformats.org/officeDocument/2006/relationships/hyperlink" Target="https://doi.org/10.1111/isj.12291" TargetMode="External"/><Relationship Id="rId1" Type="http://schemas.openxmlformats.org/officeDocument/2006/relationships/customXml" Target="../customXml/item1.xml"/><Relationship Id="rId6" Type="http://schemas.openxmlformats.org/officeDocument/2006/relationships/hyperlink" Target="https://www.researchgate.net/publication/304782571_Time_Management_and_Administrative_Effectiveness_Lessons_for_Educational_Administrators" TargetMode="External"/><Relationship Id="rId11" Type="http://schemas.openxmlformats.org/officeDocument/2006/relationships/hyperlink" Target="https://www.google.co.uk/books/edition/Teaching_Study_Skills_and_Supporting_Lea/nCFHEAAAQBAJ?hl=en&amp;gbpv=1&amp;pg=PR10&amp;printsec=frontcover" TargetMode="External"/><Relationship Id="rId5" Type="http://schemas.openxmlformats.org/officeDocument/2006/relationships/image" Target="media/image1.png"/><Relationship Id="rId15" Type="http://schemas.openxmlformats.org/officeDocument/2006/relationships/hyperlink" Target="https://www.google.co.uk/books/edition/Professional_Academic_writing_in_Global/8E0HSNC9yrkC?hl=en&amp;gbpv=1&amp;dq=Lillis" TargetMode="External"/><Relationship Id="rId23" Type="http://schemas.openxmlformats.org/officeDocument/2006/relationships/theme" Target="theme/theme1.xml"/><Relationship Id="rId10" Type="http://schemas.openxmlformats.org/officeDocument/2006/relationships/hyperlink" Target="https://www.researchgate.net/publication/363672285_Time_management_Essentials_and_Importance" TargetMode="External"/><Relationship Id="rId19" Type="http://schemas.openxmlformats.org/officeDocument/2006/relationships/hyperlink" Target="https://doi.org/10.1177/1609406917733847" TargetMode="External"/><Relationship Id="rId4" Type="http://schemas.openxmlformats.org/officeDocument/2006/relationships/webSettings" Target="webSettings.xml"/><Relationship Id="rId9" Type="http://schemas.openxmlformats.org/officeDocument/2006/relationships/hyperlink" Target="https://www.google.co.uk/books/edition/Essential_Study_Skills/bFFdBAAAQBAJ?hl=en&amp;gbpv=1&amp;pg=PP1&amp;printsec=frontcover" TargetMode="External"/><Relationship Id="rId14" Type="http://schemas.openxmlformats.org/officeDocument/2006/relationships/hyperlink" Target="https://doi.org/10.1007/s11192-014-1275-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47D1FF-9DE9-4F17-BDB3-84BC4E149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14</Pages>
  <Words>4734</Words>
  <Characters>26989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suneja</dc:creator>
  <cp:keywords/>
  <dc:description/>
  <cp:lastModifiedBy>deepak suneja</cp:lastModifiedBy>
  <cp:revision>5</cp:revision>
  <dcterms:created xsi:type="dcterms:W3CDTF">2023-08-21T09:26:00Z</dcterms:created>
  <dcterms:modified xsi:type="dcterms:W3CDTF">2023-08-23T08:55:00Z</dcterms:modified>
</cp:coreProperties>
</file>