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210B7" w:rsidRDefault="002210B7" w14:paraId="40320A3C" w14:textId="77777777">
      <w:pPr>
        <w:rPr>
          <w:rFonts w:cs="Arial"/>
          <w:szCs w:val="24"/>
        </w:rPr>
      </w:pPr>
    </w:p>
    <w:p w:rsidR="002210B7" w:rsidRDefault="002210B7" w14:paraId="5ABF7E81" w14:textId="77777777">
      <w:pPr>
        <w:rPr>
          <w:rFonts w:cs="Arial"/>
          <w:b/>
          <w:bCs/>
          <w:szCs w:val="24"/>
        </w:rPr>
      </w:pPr>
    </w:p>
    <w:p w:rsidR="002210B7" w:rsidRDefault="002210B7" w14:paraId="7F650B7A" w14:textId="77777777">
      <w:pPr>
        <w:rPr>
          <w:rFonts w:cs="Arial"/>
          <w:b/>
          <w:bCs/>
          <w:szCs w:val="24"/>
        </w:rPr>
      </w:pPr>
    </w:p>
    <w:p w:rsidR="002210B7" w:rsidRDefault="002210B7" w14:paraId="627647BF" w14:textId="77777777">
      <w:pPr>
        <w:rPr>
          <w:rFonts w:cs="Arial"/>
          <w:b/>
          <w:bCs/>
          <w:szCs w:val="24"/>
        </w:rPr>
      </w:pPr>
    </w:p>
    <w:p w:rsidR="002210B7" w:rsidRDefault="002210B7" w14:paraId="6EAB511C" w14:textId="77777777">
      <w:pPr>
        <w:rPr>
          <w:rFonts w:cs="Arial"/>
          <w:b/>
          <w:bCs/>
          <w:szCs w:val="24"/>
        </w:rPr>
      </w:pPr>
    </w:p>
    <w:p w:rsidR="002210B7" w:rsidRDefault="002210B7" w14:paraId="3D53A080" w14:textId="77777777">
      <w:pPr>
        <w:rPr>
          <w:rFonts w:cs="Arial"/>
          <w:b/>
          <w:bCs/>
          <w:szCs w:val="24"/>
        </w:rPr>
      </w:pPr>
    </w:p>
    <w:p w:rsidR="002210B7" w:rsidRDefault="002210B7" w14:paraId="4C4115C2" w14:textId="77777777">
      <w:pPr>
        <w:rPr>
          <w:rFonts w:cs="Arial"/>
          <w:b/>
          <w:bCs/>
          <w:szCs w:val="24"/>
        </w:rPr>
      </w:pPr>
    </w:p>
    <w:p w:rsidR="002210B7" w:rsidRDefault="002210B7" w14:paraId="77EC8359" w14:textId="77777777">
      <w:pPr>
        <w:rPr>
          <w:rFonts w:cs="Arial"/>
          <w:b/>
          <w:bCs/>
          <w:szCs w:val="24"/>
        </w:rPr>
      </w:pPr>
    </w:p>
    <w:p w:rsidR="002210B7" w:rsidRDefault="002210B7" w14:paraId="4777DF4C" w14:textId="77777777">
      <w:pPr>
        <w:rPr>
          <w:rFonts w:cs="Arial"/>
          <w:b/>
          <w:bCs/>
          <w:szCs w:val="24"/>
        </w:rPr>
      </w:pPr>
    </w:p>
    <w:p w:rsidR="002210B7" w:rsidRDefault="00AC21F5" w14:paraId="5CBE4B16" w14:textId="77777777">
      <w:pPr>
        <w:ind w:firstLine="0"/>
        <w:jc w:val="center"/>
        <w:rPr>
          <w:rFonts w:cs="Arial"/>
          <w:b/>
        </w:rPr>
      </w:pPr>
      <w:r>
        <w:rPr>
          <w:rFonts w:cs="Arial"/>
          <w:b/>
        </w:rPr>
        <w:t xml:space="preserve">BA International Hotel Management  </w:t>
      </w:r>
    </w:p>
    <w:p w:rsidR="002210B7" w:rsidRDefault="002210B7" w14:paraId="0B537B17" w14:textId="77777777">
      <w:pPr>
        <w:ind w:firstLine="0"/>
        <w:jc w:val="center"/>
        <w:rPr>
          <w:rFonts w:cs="Arial"/>
          <w:b/>
        </w:rPr>
      </w:pPr>
    </w:p>
    <w:p w:rsidR="002210B7" w:rsidP="00A655A4" w:rsidRDefault="00AC21F5" w14:paraId="1F5BD2A4" w14:textId="05DB14A6">
      <w:pPr>
        <w:ind w:firstLine="0"/>
        <w:jc w:val="center"/>
        <w:rPr>
          <w:rFonts w:cs="Arial"/>
          <w:b/>
        </w:rPr>
      </w:pPr>
      <w:r>
        <w:rPr>
          <w:rFonts w:cs="Arial"/>
          <w:b/>
        </w:rPr>
        <w:t>Food &amp; Beverage Operations</w:t>
      </w:r>
    </w:p>
    <w:p w:rsidR="002210B7" w:rsidRDefault="00AC21F5" w14:paraId="20ACA7FC" w14:textId="77777777">
      <w:pPr>
        <w:ind w:firstLine="0"/>
        <w:jc w:val="center"/>
        <w:rPr>
          <w:rFonts w:cs="Arial"/>
          <w:b/>
        </w:rPr>
      </w:pPr>
      <w:r>
        <w:rPr>
          <w:rFonts w:cs="Arial"/>
          <w:b/>
        </w:rPr>
        <w:t>BMIH4002</w:t>
      </w:r>
    </w:p>
    <w:p w:rsidR="002210B7" w:rsidRDefault="002210B7" w14:paraId="1AB53030" w14:textId="77777777">
      <w:pPr>
        <w:ind w:firstLine="0"/>
        <w:jc w:val="center"/>
        <w:rPr>
          <w:rFonts w:cs="Arial"/>
          <w:b/>
          <w:bCs/>
          <w:szCs w:val="24"/>
        </w:rPr>
      </w:pPr>
    </w:p>
    <w:p w:rsidR="002210B7" w:rsidRDefault="00AC21F5" w14:paraId="34065969" w14:textId="77777777">
      <w:pPr>
        <w:ind w:firstLine="0"/>
        <w:jc w:val="center"/>
        <w:rPr>
          <w:rFonts w:cs="Arial"/>
          <w:b/>
          <w:bCs/>
          <w:szCs w:val="24"/>
        </w:rPr>
      </w:pPr>
      <w:r>
        <w:rPr>
          <w:rFonts w:cs="Arial"/>
          <w:b/>
          <w:bCs/>
          <w:szCs w:val="24"/>
        </w:rPr>
        <w:t xml:space="preserve">Assignment 1 Student Journal </w:t>
      </w:r>
    </w:p>
    <w:p w:rsidR="00A655A4" w:rsidRDefault="00A655A4" w14:paraId="4C72DBF6" w14:textId="76CAED0A">
      <w:pPr>
        <w:ind w:firstLine="0"/>
        <w:jc w:val="center"/>
        <w:rPr>
          <w:rFonts w:cs="Arial"/>
          <w:b/>
          <w:bCs/>
          <w:szCs w:val="24"/>
        </w:rPr>
      </w:pPr>
      <w:r w:rsidRPr="117BD19B" w:rsidR="00A655A4">
        <w:rPr>
          <w:rFonts w:cs="Arial"/>
          <w:b w:val="1"/>
          <w:bCs w:val="1"/>
        </w:rPr>
        <w:t>Skill Requirements for Service Improvement in Restaurants</w:t>
      </w:r>
    </w:p>
    <w:p w:rsidR="002210B7" w:rsidRDefault="002210B7" w14:paraId="72A0DEEB" w14:textId="77777777">
      <w:pPr>
        <w:ind w:firstLine="0"/>
        <w:jc w:val="center"/>
        <w:rPr>
          <w:rFonts w:cs="Arial"/>
          <w:b/>
          <w:bCs/>
          <w:szCs w:val="24"/>
        </w:rPr>
      </w:pPr>
    </w:p>
    <w:p w:rsidR="002210B7" w:rsidP="117BD19B" w:rsidRDefault="00AC21F5" w14:paraId="2094CC0B" w14:textId="4202851D">
      <w:pPr>
        <w:ind w:firstLine="0"/>
        <w:jc w:val="center"/>
        <w:rPr>
          <w:rFonts w:cs="Arial"/>
        </w:rPr>
      </w:pPr>
      <w:r w:rsidRPr="117BD19B" w:rsidR="00AC21F5">
        <w:rPr>
          <w:rFonts w:cs="Arial"/>
        </w:rPr>
        <w:t xml:space="preserve"> [Name of the Student]</w:t>
      </w:r>
      <w:r w:rsidRPr="117BD19B" w:rsidR="3DEC709C">
        <w:rPr>
          <w:rFonts w:cs="Arial"/>
        </w:rPr>
        <w:t>: Florentina Raluca Iamandi</w:t>
      </w:r>
    </w:p>
    <w:p w:rsidR="002210B7" w:rsidP="117BD19B" w:rsidRDefault="00AC21F5" w14:paraId="0764806A" w14:textId="66E7B5A6">
      <w:pPr>
        <w:ind w:firstLine="0"/>
        <w:jc w:val="center"/>
        <w:rPr>
          <w:rFonts w:cs="Arial"/>
        </w:rPr>
      </w:pPr>
      <w:r w:rsidRPr="117BD19B" w:rsidR="00AC21F5">
        <w:rPr>
          <w:rFonts w:cs="Arial"/>
        </w:rPr>
        <w:t>[Student ID]</w:t>
      </w:r>
      <w:r w:rsidRPr="117BD19B" w:rsidR="3002C97A">
        <w:rPr>
          <w:rFonts w:cs="Arial"/>
        </w:rPr>
        <w:t>: 2246151</w:t>
      </w:r>
    </w:p>
    <w:p w:rsidR="002210B7" w:rsidP="117BD19B" w:rsidRDefault="00AC21F5" w14:paraId="359F21C0" w14:textId="45F5C01B">
      <w:pPr>
        <w:ind w:firstLine="0"/>
        <w:jc w:val="center"/>
        <w:rPr>
          <w:rFonts w:cs="Arial"/>
        </w:rPr>
      </w:pPr>
      <w:r w:rsidRPr="117BD19B" w:rsidR="00AC21F5">
        <w:rPr>
          <w:rFonts w:cs="Arial"/>
        </w:rPr>
        <w:t>[Name of the Tutor]</w:t>
      </w:r>
      <w:r w:rsidRPr="117BD19B" w:rsidR="22060523">
        <w:rPr>
          <w:rFonts w:cs="Arial"/>
        </w:rPr>
        <w:t>: Antoinette</w:t>
      </w:r>
      <w:r w:rsidRPr="117BD19B" w:rsidR="34B5962D">
        <w:rPr>
          <w:rFonts w:cs="Arial"/>
        </w:rPr>
        <w:t xml:space="preserve"> Milne</w:t>
      </w:r>
    </w:p>
    <w:p w:rsidR="002210B7" w:rsidRDefault="002210B7" w14:paraId="34DE81EA" w14:textId="77777777">
      <w:pPr>
        <w:ind w:firstLine="0"/>
        <w:jc w:val="center"/>
        <w:rPr>
          <w:rFonts w:cs="Arial"/>
          <w:b/>
          <w:bCs/>
          <w:szCs w:val="24"/>
        </w:rPr>
      </w:pPr>
    </w:p>
    <w:p w:rsidR="002210B7" w:rsidRDefault="00AC21F5" w14:paraId="572ACC91" w14:textId="77777777">
      <w:pPr>
        <w:ind w:firstLine="0"/>
        <w:jc w:val="left"/>
        <w:rPr>
          <w:rFonts w:cs="Arial"/>
          <w:b/>
          <w:bCs/>
          <w:szCs w:val="24"/>
        </w:rPr>
      </w:pPr>
      <w:r>
        <w:rPr>
          <w:rFonts w:cs="Arial"/>
          <w:b/>
          <w:bCs/>
          <w:szCs w:val="24"/>
        </w:rPr>
        <w:br w:type="page"/>
      </w:r>
    </w:p>
    <w:bookmarkStart w:name="_Toc129124346" w:displacedByCustomXml="next" w:id="0"/>
    <w:sdt>
      <w:sdtPr>
        <w:rPr>
          <w:rFonts w:ascii="Arial" w:hAnsi="Arial" w:cs="Arial" w:eastAsiaTheme="minorHAnsi"/>
          <w:color w:val="auto"/>
          <w:sz w:val="24"/>
          <w:szCs w:val="22"/>
          <w:lang w:val="en-GB"/>
        </w:rPr>
        <w:id w:val="1587109547"/>
        <w:docPartObj>
          <w:docPartGallery w:val="Table of Contents"/>
          <w:docPartUnique/>
        </w:docPartObj>
      </w:sdtPr>
      <w:sdtEndPr>
        <w:rPr>
          <w:b/>
          <w:bCs/>
        </w:rPr>
      </w:sdtEndPr>
      <w:sdtContent>
        <w:p w:rsidR="002210B7" w:rsidRDefault="00AC21F5" w14:paraId="1FF6B95C" w14:textId="77777777">
          <w:pPr>
            <w:pStyle w:val="TOCHeading2"/>
            <w:spacing w:before="0" w:line="360" w:lineRule="auto"/>
            <w:jc w:val="center"/>
            <w:rPr>
              <w:rFonts w:ascii="Arial" w:hAnsi="Arial" w:cs="Arial"/>
              <w:b/>
              <w:color w:val="auto"/>
              <w:sz w:val="24"/>
            </w:rPr>
          </w:pPr>
          <w:r>
            <w:rPr>
              <w:rFonts w:ascii="Arial" w:hAnsi="Arial" w:cs="Arial"/>
              <w:b/>
              <w:color w:val="auto"/>
              <w:sz w:val="24"/>
            </w:rPr>
            <w:t xml:space="preserve">Table of </w:t>
          </w:r>
          <w:r>
            <w:rPr>
              <w:rFonts w:ascii="Arial" w:hAnsi="Arial" w:cs="Arial"/>
              <w:b/>
              <w:color w:val="auto"/>
              <w:sz w:val="24"/>
            </w:rPr>
            <w:t>Contents</w:t>
          </w:r>
        </w:p>
        <w:p w:rsidR="002210B7" w:rsidRDefault="00AC21F5" w14:paraId="5731BA5D" w14:textId="77777777">
          <w:pPr>
            <w:pStyle w:val="TOC1"/>
            <w:tabs>
              <w:tab w:val="right" w:leader="dot" w:pos="9350"/>
            </w:tabs>
            <w:spacing w:after="0"/>
            <w:ind w:firstLine="0"/>
            <w:rPr>
              <w:rFonts w:asciiTheme="minorHAnsi" w:hAnsiTheme="minorHAnsi" w:eastAsiaTheme="minorEastAsia"/>
              <w:sz w:val="22"/>
              <w:lang w:eastAsia="en-GB"/>
            </w:rPr>
          </w:pPr>
          <w:r>
            <w:rPr>
              <w:rFonts w:cs="Arial"/>
            </w:rPr>
            <w:fldChar w:fldCharType="begin"/>
          </w:r>
          <w:r>
            <w:rPr>
              <w:rFonts w:cs="Arial"/>
            </w:rPr>
            <w:instrText xml:space="preserve"> TOC \o "1-3" \h \z \u </w:instrText>
          </w:r>
          <w:r>
            <w:rPr>
              <w:rFonts w:cs="Arial"/>
            </w:rPr>
            <w:fldChar w:fldCharType="separate"/>
          </w:r>
          <w:hyperlink w:history="1" w:anchor="_Toc147855384">
            <w:r>
              <w:rPr>
                <w:rStyle w:val="Hyperlink"/>
                <w:rFonts w:cs="Arial"/>
              </w:rPr>
              <w:t>Introduction</w:t>
            </w:r>
            <w:r>
              <w:tab/>
            </w:r>
            <w:r>
              <w:fldChar w:fldCharType="begin"/>
            </w:r>
            <w:r>
              <w:instrText xml:space="preserve"> PAGEREF _Toc147855384 \h </w:instrText>
            </w:r>
            <w:r>
              <w:fldChar w:fldCharType="separate"/>
            </w:r>
            <w:r>
              <w:t>3</w:t>
            </w:r>
            <w:r>
              <w:fldChar w:fldCharType="end"/>
            </w:r>
          </w:hyperlink>
        </w:p>
        <w:p w:rsidR="002210B7" w:rsidRDefault="00AC21F5" w14:paraId="29C7679D" w14:textId="77777777">
          <w:pPr>
            <w:pStyle w:val="TOC1"/>
            <w:tabs>
              <w:tab w:val="right" w:leader="dot" w:pos="9350"/>
            </w:tabs>
            <w:spacing w:after="0"/>
            <w:ind w:firstLine="0"/>
            <w:rPr>
              <w:rFonts w:asciiTheme="minorHAnsi" w:hAnsiTheme="minorHAnsi" w:eastAsiaTheme="minorEastAsia"/>
              <w:sz w:val="22"/>
              <w:lang w:eastAsia="en-GB"/>
            </w:rPr>
          </w:pPr>
          <w:hyperlink w:history="1" w:anchor="_Toc147855385">
            <w:r>
              <w:rPr>
                <w:rStyle w:val="Hyperlink"/>
                <w:rFonts w:cs="Arial"/>
              </w:rPr>
              <w:t>Identification of Key Skills</w:t>
            </w:r>
            <w:r>
              <w:tab/>
            </w:r>
            <w:r>
              <w:fldChar w:fldCharType="begin"/>
            </w:r>
            <w:r>
              <w:instrText xml:space="preserve"> PAGEREF _Toc147855385 \h </w:instrText>
            </w:r>
            <w:r>
              <w:fldChar w:fldCharType="separate"/>
            </w:r>
            <w:r>
              <w:t>3</w:t>
            </w:r>
            <w:r>
              <w:fldChar w:fldCharType="end"/>
            </w:r>
          </w:hyperlink>
        </w:p>
        <w:p w:rsidR="002210B7" w:rsidRDefault="00AC21F5" w14:paraId="61DEC61A"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86">
            <w:r>
              <w:rPr>
                <w:rStyle w:val="Hyperlink"/>
                <w:rFonts w:cs="Arial"/>
              </w:rPr>
              <w:t>Adaptive Communication</w:t>
            </w:r>
            <w:r>
              <w:tab/>
            </w:r>
            <w:r>
              <w:fldChar w:fldCharType="begin"/>
            </w:r>
            <w:r>
              <w:instrText xml:space="preserve"> PAGEREF _Toc147855386 \h </w:instrText>
            </w:r>
            <w:r>
              <w:fldChar w:fldCharType="separate"/>
            </w:r>
            <w:r>
              <w:t>3</w:t>
            </w:r>
            <w:r>
              <w:fldChar w:fldCharType="end"/>
            </w:r>
          </w:hyperlink>
        </w:p>
        <w:p w:rsidR="002210B7" w:rsidRDefault="00AC21F5" w14:paraId="3A62CC01"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87">
            <w:r>
              <w:rPr>
                <w:rStyle w:val="Hyperlink"/>
                <w:rFonts w:cs="Arial"/>
              </w:rPr>
              <w:t>Anticipatory Service</w:t>
            </w:r>
            <w:r>
              <w:tab/>
            </w:r>
            <w:r>
              <w:fldChar w:fldCharType="begin"/>
            </w:r>
            <w:r>
              <w:instrText xml:space="preserve"> PAGEREF _Toc147855387 \h </w:instrText>
            </w:r>
            <w:r>
              <w:fldChar w:fldCharType="separate"/>
            </w:r>
            <w:r>
              <w:t>3</w:t>
            </w:r>
            <w:r>
              <w:fldChar w:fldCharType="end"/>
            </w:r>
          </w:hyperlink>
        </w:p>
        <w:p w:rsidR="002210B7" w:rsidRDefault="00AC21F5" w14:paraId="7B39262A"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88">
            <w:r>
              <w:rPr>
                <w:rStyle w:val="Hyperlink"/>
                <w:rFonts w:cs="Arial"/>
              </w:rPr>
              <w:t>Conflict Resolu</w:t>
            </w:r>
            <w:r>
              <w:rPr>
                <w:rStyle w:val="Hyperlink"/>
                <w:rFonts w:cs="Arial"/>
              </w:rPr>
              <w:t>tion</w:t>
            </w:r>
            <w:r>
              <w:tab/>
            </w:r>
            <w:r>
              <w:fldChar w:fldCharType="begin"/>
            </w:r>
            <w:r>
              <w:instrText xml:space="preserve"> PAGEREF _Toc147855388 \h </w:instrText>
            </w:r>
            <w:r>
              <w:fldChar w:fldCharType="separate"/>
            </w:r>
            <w:r>
              <w:t>3</w:t>
            </w:r>
            <w:r>
              <w:fldChar w:fldCharType="end"/>
            </w:r>
          </w:hyperlink>
        </w:p>
        <w:p w:rsidR="002210B7" w:rsidRDefault="00AC21F5" w14:paraId="5A7A175C"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89">
            <w:r>
              <w:rPr>
                <w:rStyle w:val="Hyperlink"/>
                <w:rFonts w:cs="Arial"/>
              </w:rPr>
              <w:t>Team Collaboration</w:t>
            </w:r>
            <w:r>
              <w:tab/>
            </w:r>
            <w:r>
              <w:fldChar w:fldCharType="begin"/>
            </w:r>
            <w:r>
              <w:instrText xml:space="preserve"> PAGEREF _Toc147855389 \h </w:instrText>
            </w:r>
            <w:r>
              <w:fldChar w:fldCharType="separate"/>
            </w:r>
            <w:r>
              <w:t>4</w:t>
            </w:r>
            <w:r>
              <w:fldChar w:fldCharType="end"/>
            </w:r>
          </w:hyperlink>
        </w:p>
        <w:p w:rsidR="002210B7" w:rsidRDefault="00AC21F5" w14:paraId="18DF193D" w14:textId="77777777">
          <w:pPr>
            <w:pStyle w:val="TOC1"/>
            <w:tabs>
              <w:tab w:val="right" w:leader="dot" w:pos="9350"/>
            </w:tabs>
            <w:spacing w:after="0"/>
            <w:ind w:firstLine="0"/>
            <w:rPr>
              <w:rFonts w:asciiTheme="minorHAnsi" w:hAnsiTheme="minorHAnsi" w:eastAsiaTheme="minorEastAsia"/>
              <w:sz w:val="22"/>
              <w:lang w:eastAsia="en-GB"/>
            </w:rPr>
          </w:pPr>
          <w:hyperlink w:history="1" w:anchor="_Toc147855390">
            <w:r>
              <w:rPr>
                <w:rStyle w:val="Hyperlink"/>
                <w:rFonts w:cs="Arial"/>
              </w:rPr>
              <w:t>Skill Development Strategies</w:t>
            </w:r>
            <w:r>
              <w:tab/>
            </w:r>
            <w:r>
              <w:fldChar w:fldCharType="begin"/>
            </w:r>
            <w:r>
              <w:instrText xml:space="preserve"> PAGEREF _Toc147855390 \h </w:instrText>
            </w:r>
            <w:r>
              <w:fldChar w:fldCharType="separate"/>
            </w:r>
            <w:r>
              <w:t>4</w:t>
            </w:r>
            <w:r>
              <w:fldChar w:fldCharType="end"/>
            </w:r>
          </w:hyperlink>
        </w:p>
        <w:p w:rsidR="002210B7" w:rsidRDefault="00AC21F5" w14:paraId="41D7F374"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91">
            <w:r>
              <w:rPr>
                <w:rStyle w:val="Hyperlink"/>
              </w:rPr>
              <w:t>Structured Training Programs</w:t>
            </w:r>
            <w:r>
              <w:tab/>
            </w:r>
            <w:r>
              <w:fldChar w:fldCharType="begin"/>
            </w:r>
            <w:r>
              <w:instrText xml:space="preserve"> PAGEREF _Toc147855391 \h </w:instrText>
            </w:r>
            <w:r>
              <w:fldChar w:fldCharType="separate"/>
            </w:r>
            <w:r>
              <w:t>4</w:t>
            </w:r>
            <w:r>
              <w:fldChar w:fldCharType="end"/>
            </w:r>
          </w:hyperlink>
        </w:p>
        <w:p w:rsidR="002210B7" w:rsidRDefault="00AC21F5" w14:paraId="14A38F1F"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92">
            <w:r>
              <w:rPr>
                <w:rStyle w:val="Hyperlink"/>
              </w:rPr>
              <w:t>Role-Specific Workshops</w:t>
            </w:r>
            <w:r>
              <w:tab/>
            </w:r>
            <w:r>
              <w:fldChar w:fldCharType="begin"/>
            </w:r>
            <w:r>
              <w:instrText xml:space="preserve"> PAGEREF _Toc</w:instrText>
            </w:r>
            <w:r>
              <w:instrText xml:space="preserve">147855392 \h </w:instrText>
            </w:r>
            <w:r>
              <w:fldChar w:fldCharType="separate"/>
            </w:r>
            <w:r>
              <w:t>4</w:t>
            </w:r>
            <w:r>
              <w:fldChar w:fldCharType="end"/>
            </w:r>
          </w:hyperlink>
        </w:p>
        <w:p w:rsidR="002210B7" w:rsidRDefault="00AC21F5" w14:paraId="61B653E7"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93">
            <w:r>
              <w:rPr>
                <w:rStyle w:val="Hyperlink"/>
              </w:rPr>
              <w:t>Mentorship Programs</w:t>
            </w:r>
            <w:r>
              <w:tab/>
            </w:r>
            <w:r>
              <w:fldChar w:fldCharType="begin"/>
            </w:r>
            <w:r>
              <w:instrText xml:space="preserve"> PAGEREF _Toc147855393 \h </w:instrText>
            </w:r>
            <w:r>
              <w:fldChar w:fldCharType="separate"/>
            </w:r>
            <w:r>
              <w:t>4</w:t>
            </w:r>
            <w:r>
              <w:fldChar w:fldCharType="end"/>
            </w:r>
          </w:hyperlink>
        </w:p>
        <w:p w:rsidR="002210B7" w:rsidRDefault="00AC21F5" w14:paraId="2ABDB53D"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94">
            <w:r>
              <w:rPr>
                <w:rStyle w:val="Hyperlink"/>
              </w:rPr>
              <w:t>Cross-Training</w:t>
            </w:r>
            <w:r>
              <w:tab/>
            </w:r>
            <w:r>
              <w:fldChar w:fldCharType="begin"/>
            </w:r>
            <w:r>
              <w:instrText xml:space="preserve"> PAGEREF _Toc147855394 \h </w:instrText>
            </w:r>
            <w:r>
              <w:fldChar w:fldCharType="separate"/>
            </w:r>
            <w:r>
              <w:t>4</w:t>
            </w:r>
            <w:r>
              <w:fldChar w:fldCharType="end"/>
            </w:r>
          </w:hyperlink>
        </w:p>
        <w:p w:rsidR="002210B7" w:rsidRDefault="00AC21F5" w14:paraId="4ADEA35A" w14:textId="77777777">
          <w:pPr>
            <w:pStyle w:val="TOC2"/>
            <w:tabs>
              <w:tab w:val="right" w:leader="dot" w:pos="9350"/>
            </w:tabs>
            <w:spacing w:after="0"/>
            <w:ind w:firstLine="0"/>
            <w:rPr>
              <w:rFonts w:asciiTheme="minorHAnsi" w:hAnsiTheme="minorHAnsi" w:eastAsiaTheme="minorEastAsia"/>
              <w:sz w:val="22"/>
              <w:lang w:eastAsia="en-GB"/>
            </w:rPr>
          </w:pPr>
          <w:hyperlink w:history="1" w:anchor="_Toc147855395">
            <w:r>
              <w:rPr>
                <w:rStyle w:val="Hyperlink"/>
              </w:rPr>
              <w:t>Conti</w:t>
            </w:r>
            <w:r>
              <w:rPr>
                <w:rStyle w:val="Hyperlink"/>
              </w:rPr>
              <w:t>nuous Feedback and Evaluation</w:t>
            </w:r>
            <w:r>
              <w:tab/>
            </w:r>
            <w:r>
              <w:fldChar w:fldCharType="begin"/>
            </w:r>
            <w:r>
              <w:instrText xml:space="preserve"> PAGEREF _Toc147855395 \h </w:instrText>
            </w:r>
            <w:r>
              <w:fldChar w:fldCharType="separate"/>
            </w:r>
            <w:r>
              <w:t>5</w:t>
            </w:r>
            <w:r>
              <w:fldChar w:fldCharType="end"/>
            </w:r>
          </w:hyperlink>
        </w:p>
        <w:p w:rsidR="002210B7" w:rsidRDefault="00AC21F5" w14:paraId="5A2D8464" w14:textId="77777777">
          <w:pPr>
            <w:pStyle w:val="TOC1"/>
            <w:tabs>
              <w:tab w:val="right" w:leader="dot" w:pos="9350"/>
            </w:tabs>
            <w:spacing w:after="0"/>
            <w:ind w:firstLine="0"/>
            <w:rPr>
              <w:rFonts w:asciiTheme="minorHAnsi" w:hAnsiTheme="minorHAnsi" w:eastAsiaTheme="minorEastAsia"/>
              <w:sz w:val="22"/>
              <w:lang w:eastAsia="en-GB"/>
            </w:rPr>
          </w:pPr>
          <w:hyperlink w:history="1" w:anchor="_Toc147855396">
            <w:r>
              <w:rPr>
                <w:rStyle w:val="Hyperlink"/>
                <w:rFonts w:cs="Arial"/>
              </w:rPr>
              <w:t>Real-Life Examples</w:t>
            </w:r>
            <w:r>
              <w:tab/>
            </w:r>
            <w:r>
              <w:fldChar w:fldCharType="begin"/>
            </w:r>
            <w:r>
              <w:instrText xml:space="preserve"> PAGEREF _Toc147855396 \h </w:instrText>
            </w:r>
            <w:r>
              <w:fldChar w:fldCharType="separate"/>
            </w:r>
            <w:r>
              <w:t>5</w:t>
            </w:r>
            <w:r>
              <w:fldChar w:fldCharType="end"/>
            </w:r>
          </w:hyperlink>
        </w:p>
        <w:p w:rsidR="002210B7" w:rsidRDefault="00AC21F5" w14:paraId="1F3CE239" w14:textId="77777777">
          <w:pPr>
            <w:pStyle w:val="TOC1"/>
            <w:tabs>
              <w:tab w:val="right" w:leader="dot" w:pos="9350"/>
            </w:tabs>
            <w:spacing w:after="0"/>
            <w:ind w:firstLine="0"/>
            <w:rPr>
              <w:rFonts w:asciiTheme="minorHAnsi" w:hAnsiTheme="minorHAnsi" w:eastAsiaTheme="minorEastAsia"/>
              <w:sz w:val="22"/>
              <w:lang w:eastAsia="en-GB"/>
            </w:rPr>
          </w:pPr>
          <w:hyperlink w:history="1" w:anchor="_Toc147855397">
            <w:r>
              <w:rPr>
                <w:rStyle w:val="Hyperlink"/>
                <w:rFonts w:cs="Arial"/>
              </w:rPr>
              <w:t>Challenges and Solutions</w:t>
            </w:r>
            <w:r>
              <w:tab/>
            </w:r>
            <w:r>
              <w:fldChar w:fldCharType="begin"/>
            </w:r>
            <w:r>
              <w:instrText xml:space="preserve"> PAGEREF _Toc147855397 \h </w:instrText>
            </w:r>
            <w:r>
              <w:fldChar w:fldCharType="separate"/>
            </w:r>
            <w:r>
              <w:t>5</w:t>
            </w:r>
            <w:r>
              <w:fldChar w:fldCharType="end"/>
            </w:r>
          </w:hyperlink>
        </w:p>
        <w:p w:rsidR="002210B7" w:rsidRDefault="00AC21F5" w14:paraId="7DBF5BC7" w14:textId="77777777">
          <w:pPr>
            <w:pStyle w:val="TOC1"/>
            <w:tabs>
              <w:tab w:val="right" w:leader="dot" w:pos="9350"/>
            </w:tabs>
            <w:spacing w:after="0"/>
            <w:ind w:firstLine="0"/>
            <w:rPr>
              <w:rFonts w:asciiTheme="minorHAnsi" w:hAnsiTheme="minorHAnsi" w:eastAsiaTheme="minorEastAsia"/>
              <w:sz w:val="22"/>
              <w:lang w:eastAsia="en-GB"/>
            </w:rPr>
          </w:pPr>
          <w:hyperlink w:history="1" w:anchor="_Toc147855398">
            <w:r>
              <w:rPr>
                <w:rStyle w:val="Hyperlink"/>
                <w:rFonts w:cs="Arial"/>
              </w:rPr>
              <w:t>Conclusion</w:t>
            </w:r>
            <w:r>
              <w:tab/>
            </w:r>
            <w:r>
              <w:fldChar w:fldCharType="begin"/>
            </w:r>
            <w:r>
              <w:instrText xml:space="preserve"> PAGEREF _Toc147855398 \h </w:instrText>
            </w:r>
            <w:r>
              <w:fldChar w:fldCharType="separate"/>
            </w:r>
            <w:r>
              <w:t>6</w:t>
            </w:r>
            <w:r>
              <w:fldChar w:fldCharType="end"/>
            </w:r>
          </w:hyperlink>
        </w:p>
        <w:p w:rsidR="002210B7" w:rsidRDefault="00AC21F5" w14:paraId="3130CE8A" w14:textId="77777777">
          <w:pPr>
            <w:pStyle w:val="TOC1"/>
            <w:tabs>
              <w:tab w:val="right" w:leader="dot" w:pos="9350"/>
            </w:tabs>
            <w:spacing w:after="0"/>
            <w:ind w:firstLine="0"/>
            <w:rPr>
              <w:rFonts w:asciiTheme="minorHAnsi" w:hAnsiTheme="minorHAnsi" w:eastAsiaTheme="minorEastAsia"/>
              <w:sz w:val="22"/>
              <w:lang w:eastAsia="en-GB"/>
            </w:rPr>
          </w:pPr>
          <w:hyperlink w:history="1" w:anchor="_Toc147855399">
            <w:r>
              <w:rPr>
                <w:rStyle w:val="Hyperlink"/>
                <w:rFonts w:cs="Arial"/>
              </w:rPr>
              <w:t>References</w:t>
            </w:r>
            <w:r>
              <w:tab/>
            </w:r>
            <w:r>
              <w:fldChar w:fldCharType="begin"/>
            </w:r>
            <w:r>
              <w:instrText xml:space="preserve"> PAGEREF _Toc147855399 \h </w:instrText>
            </w:r>
            <w:r>
              <w:fldChar w:fldCharType="separate"/>
            </w:r>
            <w:r>
              <w:t>7</w:t>
            </w:r>
            <w:r>
              <w:fldChar w:fldCharType="end"/>
            </w:r>
          </w:hyperlink>
        </w:p>
        <w:p w:rsidR="002210B7" w:rsidRDefault="00AC21F5" w14:paraId="387057AE" w14:textId="77777777">
          <w:pPr>
            <w:ind w:firstLine="0"/>
            <w:rPr>
              <w:rFonts w:cs="Arial"/>
            </w:rPr>
          </w:pPr>
          <w:r>
            <w:rPr>
              <w:rFonts w:cs="Arial"/>
              <w:b/>
              <w:bCs/>
            </w:rPr>
            <w:fldChar w:fldCharType="end"/>
          </w:r>
        </w:p>
      </w:sdtContent>
    </w:sdt>
    <w:p w:rsidR="002210B7" w:rsidRDefault="00AC21F5" w14:paraId="48E075FE" w14:textId="77777777">
      <w:pPr>
        <w:pStyle w:val="Heading1"/>
        <w:rPr>
          <w:rFonts w:cs="Arial"/>
        </w:rPr>
      </w:pPr>
      <w:r>
        <w:rPr>
          <w:rFonts w:cs="Arial"/>
        </w:rPr>
        <w:br w:type="page"/>
      </w:r>
      <w:bookmarkStart w:name="_Toc147855384" w:id="1"/>
      <w:r>
        <w:rPr>
          <w:rFonts w:cs="Arial"/>
        </w:rPr>
        <w:t>Introduction</w:t>
      </w:r>
      <w:bookmarkEnd w:id="1"/>
    </w:p>
    <w:p w:rsidR="002210B7" w:rsidRDefault="00AC21F5" w14:paraId="661B6B8F" w14:textId="77777777">
      <w:pPr>
        <w:rPr>
          <w:rFonts w:cs="Arial"/>
        </w:rPr>
      </w:pPr>
      <w:r>
        <w:rPr>
          <w:rFonts w:cs="Arial"/>
        </w:rPr>
        <w:t>The pursuit of service excellence is crucial in the shifting landscape of the restaurant</w:t>
      </w:r>
      <w:r>
        <w:rPr>
          <w:rFonts w:cs="Arial"/>
        </w:rPr>
        <w:t xml:space="preserve"> industry</w:t>
      </w:r>
      <w:r>
        <w:rPr>
          <w:rFonts w:cs="Arial"/>
          <w:lang w:val="en-US"/>
        </w:rPr>
        <w:t xml:space="preserve"> (Cousins, 2020)</w:t>
      </w:r>
      <w:r>
        <w:rPr>
          <w:rFonts w:cs="Arial"/>
        </w:rPr>
        <w:t xml:space="preserve">. This study examines the essential skills that underpin restaurant service quality enhancement. The main goal as aspiring professionals in the fields of customer service and hospitality management is to reveal and analyse the </w:t>
      </w:r>
      <w:r>
        <w:rPr>
          <w:rFonts w:cs="Arial"/>
        </w:rPr>
        <w:t>pivotal skills required to satisfy customers and grow restaurants. These skills—persuasive communication, anticipating customer demands, effective time management, smooth dispute resolution, and menu knowledge—make up exceptional restaurant service. Throug</w:t>
      </w:r>
      <w:r>
        <w:rPr>
          <w:rFonts w:cs="Arial"/>
        </w:rPr>
        <w:t>h formal training and practical experience, the researcher study strategies for developing and improving these skills, advancing the industry.</w:t>
      </w:r>
    </w:p>
    <w:p w:rsidR="002210B7" w:rsidRDefault="002210B7" w14:paraId="44FA486E" w14:textId="77777777">
      <w:pPr>
        <w:rPr>
          <w:rFonts w:cs="Arial"/>
        </w:rPr>
      </w:pPr>
    </w:p>
    <w:p w:rsidR="002210B7" w:rsidRDefault="00AC21F5" w14:paraId="50B98AFD" w14:textId="77777777">
      <w:pPr>
        <w:pStyle w:val="Heading1"/>
        <w:rPr>
          <w:rFonts w:cs="Arial"/>
        </w:rPr>
      </w:pPr>
      <w:bookmarkStart w:name="_Toc147855385" w:id="2"/>
      <w:r>
        <w:rPr>
          <w:rFonts w:cs="Arial"/>
        </w:rPr>
        <w:t>Identification of Key Skills</w:t>
      </w:r>
      <w:bookmarkEnd w:id="2"/>
      <w:r>
        <w:rPr>
          <w:rFonts w:cs="Arial"/>
        </w:rPr>
        <w:t xml:space="preserve"> </w:t>
      </w:r>
    </w:p>
    <w:p w:rsidR="002210B7" w:rsidRDefault="00AC21F5" w14:paraId="7915DC61" w14:textId="77777777">
      <w:pPr>
        <w:pStyle w:val="Heading2"/>
        <w:rPr>
          <w:rFonts w:cs="Arial"/>
        </w:rPr>
      </w:pPr>
      <w:bookmarkStart w:name="_Toc147855386" w:id="3"/>
      <w:r>
        <w:rPr>
          <w:rFonts w:cs="Arial"/>
        </w:rPr>
        <w:t>Adaptive Communication</w:t>
      </w:r>
      <w:bookmarkEnd w:id="3"/>
    </w:p>
    <w:p w:rsidR="002210B7" w:rsidRDefault="00AC21F5" w14:paraId="56B47896" w14:textId="27848BF6">
      <w:pPr>
        <w:rPr>
          <w:rFonts w:cs="Arial"/>
        </w:rPr>
      </w:pPr>
      <w:r>
        <w:rPr>
          <w:rFonts w:cs="Arial"/>
        </w:rPr>
        <w:t xml:space="preserve">More than only </w:t>
      </w:r>
      <w:r w:rsidR="00A655A4">
        <w:rPr>
          <w:rFonts w:cs="Arial"/>
        </w:rPr>
        <w:t>spoken words</w:t>
      </w:r>
      <w:r>
        <w:rPr>
          <w:rFonts w:cs="Arial"/>
        </w:rPr>
        <w:t xml:space="preserve"> are included in effective commu</w:t>
      </w:r>
      <w:r>
        <w:rPr>
          <w:rFonts w:cs="Arial"/>
        </w:rPr>
        <w:t xml:space="preserve">nication </w:t>
      </w:r>
      <w:r>
        <w:rPr>
          <w:rFonts w:cs="Arial"/>
          <w:szCs w:val="20"/>
          <w:shd w:val="clear" w:color="auto" w:fill="FFFFFF"/>
        </w:rPr>
        <w:t>(McFarland et al., 2019)</w:t>
      </w:r>
      <w:r>
        <w:rPr>
          <w:rFonts w:cs="Arial"/>
        </w:rPr>
        <w:t>. To communicate clearly, restaurant personnel must acquire verbal and nonverbal skills. Use active listening, body language, and communication styles that suit different customers.</w:t>
      </w:r>
    </w:p>
    <w:p w:rsidR="002210B7" w:rsidRDefault="002210B7" w14:paraId="6482FC5D" w14:textId="77777777">
      <w:pPr>
        <w:ind w:firstLine="0"/>
        <w:rPr>
          <w:rFonts w:cs="Arial"/>
        </w:rPr>
      </w:pPr>
    </w:p>
    <w:p w:rsidR="002210B7" w:rsidRDefault="00AC21F5" w14:paraId="10186EE1" w14:textId="77777777">
      <w:pPr>
        <w:pStyle w:val="Heading2"/>
        <w:rPr>
          <w:rFonts w:cs="Arial"/>
        </w:rPr>
      </w:pPr>
      <w:bookmarkStart w:name="_Toc147855387" w:id="4"/>
      <w:r>
        <w:rPr>
          <w:rFonts w:cs="Arial"/>
        </w:rPr>
        <w:t>Anticipatory Service</w:t>
      </w:r>
      <w:bookmarkEnd w:id="4"/>
    </w:p>
    <w:p w:rsidR="002210B7" w:rsidRDefault="00AC21F5" w14:paraId="14626138" w14:textId="77777777">
      <w:pPr>
        <w:rPr>
          <w:rFonts w:cs="Arial"/>
        </w:rPr>
      </w:pPr>
      <w:r>
        <w:rPr>
          <w:rFonts w:cs="Arial"/>
        </w:rPr>
        <w:t xml:space="preserve">A hallmark of </w:t>
      </w:r>
      <w:r>
        <w:rPr>
          <w:rFonts w:cs="Arial"/>
        </w:rPr>
        <w:t>exceptional service is the ability to anticipate customer demands. Staff could anticipate problems like replenishing drinks before they run out or suggesting menu items based on customer preferences to improve the eating experience.</w:t>
      </w:r>
    </w:p>
    <w:p w:rsidR="002210B7" w:rsidRDefault="002210B7" w14:paraId="1D384CA8" w14:textId="77777777">
      <w:pPr>
        <w:ind w:firstLine="0"/>
        <w:rPr>
          <w:rFonts w:cs="Arial"/>
        </w:rPr>
      </w:pPr>
    </w:p>
    <w:p w:rsidR="002210B7" w:rsidRDefault="00AC21F5" w14:paraId="13E17C0F" w14:textId="77777777">
      <w:pPr>
        <w:pStyle w:val="Heading2"/>
        <w:rPr>
          <w:rFonts w:cs="Arial"/>
        </w:rPr>
      </w:pPr>
      <w:bookmarkStart w:name="_Toc147855388" w:id="5"/>
      <w:r>
        <w:rPr>
          <w:rFonts w:cs="Arial"/>
        </w:rPr>
        <w:t>Conflict Resolution</w:t>
      </w:r>
      <w:bookmarkEnd w:id="5"/>
    </w:p>
    <w:p w:rsidR="002210B7" w:rsidRDefault="00AC21F5" w14:paraId="4C6119AD" w14:textId="4EA9362E">
      <w:pPr>
        <w:rPr>
          <w:rFonts w:cs="Arial"/>
        </w:rPr>
      </w:pPr>
      <w:r>
        <w:rPr>
          <w:rFonts w:cs="Arial"/>
        </w:rPr>
        <w:t>In</w:t>
      </w:r>
      <w:r>
        <w:rPr>
          <w:rFonts w:cs="Arial"/>
        </w:rPr>
        <w:t xml:space="preserve"> high-pressure restaurant environments, conflicts can emerge </w:t>
      </w:r>
      <w:r>
        <w:rPr>
          <w:rFonts w:cs="Arial"/>
          <w:szCs w:val="20"/>
          <w:shd w:val="clear" w:color="auto" w:fill="FFFFFF"/>
        </w:rPr>
        <w:t>(Cho et al., 2019)</w:t>
      </w:r>
      <w:r>
        <w:rPr>
          <w:rFonts w:cs="Arial"/>
        </w:rPr>
        <w:t>. Diplomacy, problem-solving, and composure</w:t>
      </w:r>
      <w:r w:rsidR="00A655A4">
        <w:rPr>
          <w:rFonts w:cs="Arial"/>
        </w:rPr>
        <w:t>s</w:t>
      </w:r>
      <w:r>
        <w:rPr>
          <w:rFonts w:cs="Arial"/>
        </w:rPr>
        <w:t xml:space="preserve"> are necessary for skilled conflict resolution. Resolving difficulties quickly and respectfully can improve a potentially unfavourabl</w:t>
      </w:r>
      <w:r>
        <w:rPr>
          <w:rFonts w:cs="Arial"/>
        </w:rPr>
        <w:t>e experience.</w:t>
      </w:r>
    </w:p>
    <w:p w:rsidR="002210B7" w:rsidRDefault="002210B7" w14:paraId="4422CD9A" w14:textId="77777777">
      <w:pPr>
        <w:ind w:firstLine="0"/>
        <w:rPr>
          <w:rFonts w:cs="Arial"/>
        </w:rPr>
      </w:pPr>
    </w:p>
    <w:p w:rsidR="002210B7" w:rsidRDefault="00AC21F5" w14:paraId="063658ED" w14:textId="77777777">
      <w:pPr>
        <w:pStyle w:val="Heading2"/>
        <w:rPr>
          <w:rFonts w:cs="Arial"/>
        </w:rPr>
      </w:pPr>
      <w:bookmarkStart w:name="_Toc147855389" w:id="6"/>
      <w:r>
        <w:rPr>
          <w:rFonts w:cs="Arial"/>
        </w:rPr>
        <w:t>Team Collaboration</w:t>
      </w:r>
      <w:bookmarkEnd w:id="6"/>
    </w:p>
    <w:p w:rsidR="002210B7" w:rsidRDefault="00AC21F5" w14:paraId="6DFE369D" w14:textId="77777777">
      <w:pPr>
        <w:rPr>
          <w:rFonts w:cs="Arial"/>
        </w:rPr>
      </w:pPr>
      <w:r>
        <w:rPr>
          <w:rFonts w:cs="Arial"/>
        </w:rPr>
        <w:t xml:space="preserve">Smooth restaurant operations require a cohesive team </w:t>
      </w:r>
      <w:r>
        <w:rPr>
          <w:rFonts w:cs="Arial"/>
          <w:szCs w:val="20"/>
          <w:shd w:val="clear" w:color="auto" w:fill="FFFFFF"/>
        </w:rPr>
        <w:t>(Alhelalat et al., 2017)</w:t>
      </w:r>
      <w:r>
        <w:rPr>
          <w:rFonts w:cs="Arial"/>
        </w:rPr>
        <w:t>. Chefs and waitresses must work together to provide accurate and timely orders. Teamwork boosts businesses’ efficiency and success.</w:t>
      </w:r>
    </w:p>
    <w:p w:rsidR="002210B7" w:rsidRDefault="00AC21F5" w14:paraId="4C821FEB" w14:textId="77777777">
      <w:pPr>
        <w:rPr>
          <w:rFonts w:cs="Arial"/>
        </w:rPr>
      </w:pPr>
      <w:r>
        <w:rPr>
          <w:rFonts w:cs="Arial"/>
        </w:rPr>
        <w:t>These key sk</w:t>
      </w:r>
      <w:r>
        <w:rPr>
          <w:rFonts w:cs="Arial"/>
        </w:rPr>
        <w:t xml:space="preserve">ills are pivotal in improving restaurant quality and customer satisfaction </w:t>
      </w:r>
      <w:r>
        <w:rPr>
          <w:rFonts w:cs="Arial"/>
          <w:szCs w:val="20"/>
          <w:shd w:val="clear" w:color="auto" w:fill="FFFFFF"/>
        </w:rPr>
        <w:t>(Davis et al., 2018)</w:t>
      </w:r>
      <w:r>
        <w:rPr>
          <w:rFonts w:cs="Arial"/>
        </w:rPr>
        <w:t>. Their ability to create memorable dining experiences, develop customer loyalty, and drive positive word-of-mouth helps the restaurant industry succeed.</w:t>
      </w:r>
    </w:p>
    <w:p w:rsidR="002210B7" w:rsidRDefault="002210B7" w14:paraId="370F5004" w14:textId="77777777">
      <w:pPr>
        <w:rPr>
          <w:rFonts w:cs="Arial"/>
        </w:rPr>
      </w:pPr>
    </w:p>
    <w:p w:rsidR="002210B7" w:rsidRDefault="00AC21F5" w14:paraId="617D7488" w14:textId="77777777">
      <w:pPr>
        <w:pStyle w:val="Heading1"/>
        <w:rPr>
          <w:rFonts w:cs="Arial"/>
        </w:rPr>
      </w:pPr>
      <w:bookmarkStart w:name="_Toc147855390" w:id="7"/>
      <w:r>
        <w:rPr>
          <w:rFonts w:cs="Arial"/>
        </w:rPr>
        <w:t xml:space="preserve">Skill </w:t>
      </w:r>
      <w:r>
        <w:rPr>
          <w:rFonts w:cs="Arial"/>
        </w:rPr>
        <w:t>Development Strategies</w:t>
      </w:r>
      <w:bookmarkEnd w:id="7"/>
    </w:p>
    <w:p w:rsidR="002210B7" w:rsidRDefault="00AC21F5" w14:paraId="24EC5F66" w14:textId="77777777">
      <w:pPr>
        <w:pStyle w:val="Heading2"/>
      </w:pPr>
      <w:bookmarkStart w:name="_Toc147855391" w:id="8"/>
      <w:r>
        <w:t>Structured Training Programs</w:t>
      </w:r>
      <w:bookmarkEnd w:id="8"/>
    </w:p>
    <w:p w:rsidR="002210B7" w:rsidRDefault="00AC21F5" w14:paraId="1B14854D" w14:textId="77777777">
      <w:pPr>
        <w:rPr>
          <w:rFonts w:cs="Arial"/>
        </w:rPr>
      </w:pPr>
      <w:r>
        <w:rPr>
          <w:rFonts w:cs="Arial"/>
        </w:rPr>
        <w:t xml:space="preserve">Formal training improves skills </w:t>
      </w:r>
      <w:r>
        <w:rPr>
          <w:rFonts w:cs="Arial"/>
          <w:szCs w:val="20"/>
          <w:shd w:val="clear" w:color="auto" w:fill="FFFFFF"/>
        </w:rPr>
        <w:t>(Mulyani et al., 2020)</w:t>
      </w:r>
      <w:r>
        <w:rPr>
          <w:rFonts w:cs="Arial"/>
        </w:rPr>
        <w:t>. Restaurants should invest in structured training programmes that involve communication, customer service, and dispute resolution strategies. In-hous</w:t>
      </w:r>
      <w:r>
        <w:rPr>
          <w:rFonts w:cs="Arial"/>
        </w:rPr>
        <w:t>e or professional training might be used for these programmes.</w:t>
      </w:r>
    </w:p>
    <w:p w:rsidR="002210B7" w:rsidRDefault="002210B7" w14:paraId="7D4AAC1E" w14:textId="77777777">
      <w:pPr>
        <w:ind w:firstLine="0"/>
        <w:rPr>
          <w:rFonts w:cs="Arial"/>
        </w:rPr>
      </w:pPr>
    </w:p>
    <w:p w:rsidR="002210B7" w:rsidRDefault="00AC21F5" w14:paraId="34B9F03D" w14:textId="77777777">
      <w:pPr>
        <w:pStyle w:val="Heading2"/>
      </w:pPr>
      <w:bookmarkStart w:name="_Toc147855392" w:id="9"/>
      <w:r>
        <w:t>Role-Specific Workshops</w:t>
      </w:r>
      <w:bookmarkEnd w:id="9"/>
    </w:p>
    <w:p w:rsidR="002210B7" w:rsidRDefault="00AC21F5" w14:paraId="5C421905" w14:textId="77777777">
      <w:pPr>
        <w:rPr>
          <w:rFonts w:cs="Arial"/>
        </w:rPr>
      </w:pPr>
      <w:r>
        <w:rPr>
          <w:rFonts w:cs="Arial"/>
        </w:rPr>
        <w:t>Workshops can provide specialised training for different restaurant roles, such as servers, chefs, and hosts/hostesses. Chefs can improve their menu knowledge at culina</w:t>
      </w:r>
      <w:r>
        <w:rPr>
          <w:rFonts w:cs="Arial"/>
        </w:rPr>
        <w:t xml:space="preserve">ry workshops, whilst servers can learn efficient communication </w:t>
      </w:r>
      <w:r>
        <w:rPr>
          <w:rFonts w:cs="Arial"/>
          <w:szCs w:val="20"/>
          <w:shd w:val="clear" w:color="auto" w:fill="FFFFFF"/>
        </w:rPr>
        <w:t>(Najib et al., 2020)</w:t>
      </w:r>
      <w:r>
        <w:rPr>
          <w:rFonts w:cs="Arial"/>
        </w:rPr>
        <w:t>.</w:t>
      </w:r>
    </w:p>
    <w:p w:rsidR="002210B7" w:rsidRDefault="002210B7" w14:paraId="6EC6ABE1" w14:textId="77777777">
      <w:pPr>
        <w:ind w:firstLine="0"/>
        <w:rPr>
          <w:rFonts w:cs="Arial"/>
        </w:rPr>
      </w:pPr>
    </w:p>
    <w:p w:rsidR="002210B7" w:rsidRDefault="00AC21F5" w14:paraId="56BCD97D" w14:textId="77777777">
      <w:pPr>
        <w:pStyle w:val="Heading2"/>
      </w:pPr>
      <w:bookmarkStart w:name="_Toc147855393" w:id="10"/>
      <w:r>
        <w:t>Mentorship Programs</w:t>
      </w:r>
      <w:bookmarkEnd w:id="10"/>
    </w:p>
    <w:p w:rsidR="002210B7" w:rsidRDefault="00AC21F5" w14:paraId="25F068E7" w14:textId="77777777">
      <w:pPr>
        <w:rPr>
          <w:rFonts w:cs="Arial"/>
        </w:rPr>
      </w:pPr>
      <w:r>
        <w:rPr>
          <w:rFonts w:cs="Arial"/>
        </w:rPr>
        <w:t xml:space="preserve">Establishing restaurant mentorship programmes encourages senior personnel to mentor newcomers </w:t>
      </w:r>
      <w:r>
        <w:rPr>
          <w:rFonts w:cs="Arial"/>
          <w:szCs w:val="20"/>
          <w:shd w:val="clear" w:color="auto" w:fill="FFFFFF"/>
        </w:rPr>
        <w:t>(Genc, and Akoglan Kozak, 2020)</w:t>
      </w:r>
      <w:r>
        <w:rPr>
          <w:rFonts w:cs="Arial"/>
        </w:rPr>
        <w:t>. Practical on-the-job tr</w:t>
      </w:r>
      <w:r>
        <w:rPr>
          <w:rFonts w:cs="Arial"/>
        </w:rPr>
        <w:t>aining transfers skills and assures service quality.</w:t>
      </w:r>
    </w:p>
    <w:p w:rsidR="002210B7" w:rsidRDefault="002210B7" w14:paraId="12F52D41" w14:textId="77777777">
      <w:pPr>
        <w:ind w:firstLine="0"/>
        <w:rPr>
          <w:rFonts w:cs="Arial"/>
        </w:rPr>
      </w:pPr>
    </w:p>
    <w:p w:rsidR="002210B7" w:rsidRDefault="00AC21F5" w14:paraId="62D5C717" w14:textId="77777777">
      <w:pPr>
        <w:pStyle w:val="Heading2"/>
      </w:pPr>
      <w:bookmarkStart w:name="_Toc147855394" w:id="11"/>
      <w:r>
        <w:t>Cross-Training</w:t>
      </w:r>
      <w:bookmarkEnd w:id="11"/>
    </w:p>
    <w:p w:rsidR="002210B7" w:rsidRDefault="00AC21F5" w14:paraId="3E43AB33" w14:textId="77777777">
      <w:pPr>
        <w:rPr>
          <w:rFonts w:cs="Arial"/>
        </w:rPr>
      </w:pPr>
      <w:r>
        <w:rPr>
          <w:rFonts w:cs="Arial"/>
        </w:rPr>
        <w:t>Promote staff cross-training. This improves their skills and helps them realise how each team member affects the dining experience.</w:t>
      </w:r>
    </w:p>
    <w:p w:rsidR="002210B7" w:rsidRDefault="002210B7" w14:paraId="450BA84E" w14:textId="77777777">
      <w:pPr>
        <w:ind w:firstLine="0"/>
        <w:rPr>
          <w:rFonts w:cs="Arial"/>
        </w:rPr>
      </w:pPr>
    </w:p>
    <w:p w:rsidR="002210B7" w:rsidRDefault="00AC21F5" w14:paraId="6B449DF0" w14:textId="77777777">
      <w:pPr>
        <w:pStyle w:val="Heading2"/>
      </w:pPr>
      <w:bookmarkStart w:name="_Toc147855395" w:id="12"/>
      <w:r>
        <w:t>Continuous Feedback and Evaluation</w:t>
      </w:r>
      <w:bookmarkEnd w:id="12"/>
    </w:p>
    <w:p w:rsidR="002210B7" w:rsidRDefault="00AC21F5" w14:paraId="426BE5B7" w14:textId="77777777">
      <w:pPr>
        <w:rPr>
          <w:rFonts w:cs="Arial"/>
        </w:rPr>
      </w:pPr>
      <w:r>
        <w:rPr>
          <w:rFonts w:cs="Arial"/>
        </w:rPr>
        <w:t>Provide feedback th</w:t>
      </w:r>
      <w:r>
        <w:rPr>
          <w:rFonts w:cs="Arial"/>
        </w:rPr>
        <w:t xml:space="preserve">rough assessments and customer surveys. Effective feedback helps personnel improve and track their skill development </w:t>
      </w:r>
      <w:r>
        <w:rPr>
          <w:rFonts w:cs="Arial"/>
          <w:szCs w:val="20"/>
          <w:shd w:val="clear" w:color="auto" w:fill="FFFFFF"/>
        </w:rPr>
        <w:t>(Johnston, 2012)</w:t>
      </w:r>
      <w:r>
        <w:rPr>
          <w:rFonts w:cs="Arial"/>
        </w:rPr>
        <w:t>.</w:t>
      </w:r>
    </w:p>
    <w:p w:rsidR="002210B7" w:rsidRDefault="00AC21F5" w14:paraId="40587C1D" w14:textId="77777777">
      <w:pPr>
        <w:rPr>
          <w:rFonts w:cs="Arial"/>
        </w:rPr>
      </w:pPr>
      <w:r>
        <w:rPr>
          <w:rFonts w:cs="Arial"/>
        </w:rPr>
        <w:t xml:space="preserve">A thorough skill development strategy for restaurants includes structured training, role-specific workshops, mentorship, </w:t>
      </w:r>
      <w:r>
        <w:rPr>
          <w:rFonts w:cs="Arial"/>
        </w:rPr>
        <w:t xml:space="preserve">and constant feedback </w:t>
      </w:r>
      <w:r>
        <w:rPr>
          <w:rFonts w:cs="Arial"/>
          <w:szCs w:val="20"/>
          <w:shd w:val="clear" w:color="auto" w:fill="FFFFFF"/>
        </w:rPr>
        <w:t>(Cornell, 2019)</w:t>
      </w:r>
      <w:r>
        <w:rPr>
          <w:rFonts w:cs="Arial"/>
        </w:rPr>
        <w:t>. This improves service and promotes continual development, assuring long-term success in a competitive industry.</w:t>
      </w:r>
    </w:p>
    <w:p w:rsidR="002210B7" w:rsidRDefault="002210B7" w14:paraId="1D9E4E30" w14:textId="77777777">
      <w:pPr>
        <w:rPr>
          <w:rFonts w:cs="Arial"/>
        </w:rPr>
      </w:pPr>
    </w:p>
    <w:p w:rsidR="002210B7" w:rsidRDefault="00AC21F5" w14:paraId="5D2A3F42" w14:textId="77777777">
      <w:pPr>
        <w:pStyle w:val="Heading1"/>
        <w:rPr>
          <w:rFonts w:cs="Arial"/>
        </w:rPr>
      </w:pPr>
      <w:bookmarkStart w:name="_Toc147855396" w:id="13"/>
      <w:r>
        <w:rPr>
          <w:rFonts w:cs="Arial"/>
        </w:rPr>
        <w:t>Real-Life Examples</w:t>
      </w:r>
      <w:bookmarkEnd w:id="13"/>
    </w:p>
    <w:p w:rsidR="002210B7" w:rsidRDefault="00AC21F5" w14:paraId="38C9AD2E" w14:textId="77777777">
      <w:pPr>
        <w:rPr>
          <w:rFonts w:cs="Arial"/>
        </w:rPr>
      </w:pPr>
      <w:r>
        <w:rPr>
          <w:rFonts w:cs="Arial"/>
        </w:rPr>
        <w:t>A striking real-world example of a restaurant’s successful pursuit of service enhance</w:t>
      </w:r>
      <w:r>
        <w:rPr>
          <w:rFonts w:cs="Arial"/>
        </w:rPr>
        <w:t xml:space="preserve">ment through skill development is the evolution of “Savour Elegance Bistro.” In response to falling customer satisfaction and negative feedback posted online, management implemented a new strategy </w:t>
      </w:r>
      <w:r>
        <w:rPr>
          <w:rFonts w:cs="Arial"/>
          <w:szCs w:val="20"/>
          <w:shd w:val="clear" w:color="auto" w:fill="FFFFFF"/>
        </w:rPr>
        <w:t>(Dossena et al., 2021)</w:t>
      </w:r>
      <w:r>
        <w:rPr>
          <w:rFonts w:cs="Arial"/>
        </w:rPr>
        <w:t>. The restaurant spent money on givin</w:t>
      </w:r>
      <w:r>
        <w:rPr>
          <w:rFonts w:cs="Arial"/>
        </w:rPr>
        <w:t xml:space="preserve">g each employee specialised training for their position that covered topics including customer service, conflict resolution, and effective communication. The servers and the cooks were cross-trained so that they could better communicate and work together. </w:t>
      </w:r>
      <w:r>
        <w:rPr>
          <w:rFonts w:cs="Arial"/>
        </w:rPr>
        <w:t>In addition, “Savour Elegance Bistro” instituted a mentorship programme in which more seasoned employees helped guide and instruct newer employees by sharing their knowledge and experience. Insights and improvements were gained from aggressively seeking an</w:t>
      </w:r>
      <w:r>
        <w:rPr>
          <w:rFonts w:cs="Arial"/>
        </w:rPr>
        <w:t xml:space="preserve">d analysing customer input. A significant turnaround was brought about by this approach. The restaurant’s online reputation dramatically improved, and customer satisfaction levels increased by 30%. The staff’s extensive menu knowledge and customer service </w:t>
      </w:r>
      <w:r>
        <w:rPr>
          <w:rFonts w:cs="Arial"/>
        </w:rPr>
        <w:t xml:space="preserve">prowess earned high marks from diners </w:t>
      </w:r>
      <w:r>
        <w:rPr>
          <w:rFonts w:cs="Arial"/>
          <w:szCs w:val="20"/>
          <w:shd w:val="clear" w:color="auto" w:fill="FFFFFF"/>
        </w:rPr>
        <w:t>(Cousins, 2020)</w:t>
      </w:r>
      <w:r>
        <w:rPr>
          <w:rFonts w:cs="Arial"/>
        </w:rPr>
        <w:t>. The restaurant was able to maintain its high standards and thrive in the face of intense competition because to its commitment to training and education of its staff.</w:t>
      </w:r>
    </w:p>
    <w:p w:rsidR="002210B7" w:rsidRDefault="002210B7" w14:paraId="2C058E43" w14:textId="77777777">
      <w:pPr>
        <w:rPr>
          <w:rFonts w:cs="Arial"/>
        </w:rPr>
      </w:pPr>
    </w:p>
    <w:p w:rsidR="002210B7" w:rsidRDefault="00AC21F5" w14:paraId="6C2F5DEE" w14:textId="77777777">
      <w:pPr>
        <w:pStyle w:val="Heading1"/>
        <w:rPr>
          <w:rFonts w:cs="Arial"/>
        </w:rPr>
      </w:pPr>
      <w:bookmarkStart w:name="_Toc147855397" w:id="14"/>
      <w:r>
        <w:rPr>
          <w:rFonts w:cs="Arial"/>
        </w:rPr>
        <w:t>Challenges and Solutions</w:t>
      </w:r>
      <w:bookmarkEnd w:id="14"/>
    </w:p>
    <w:p w:rsidR="002210B7" w:rsidRDefault="00AC21F5" w14:paraId="70335923" w14:textId="77777777">
      <w:pPr>
        <w:rPr>
          <w:rFonts w:cs="Arial"/>
        </w:rPr>
      </w:pPr>
      <w:r>
        <w:rPr>
          <w:rFonts w:cs="Arial"/>
        </w:rPr>
        <w:t xml:space="preserve">Implementing skill requirements in restaurants can be difficult due to factors such as worker reluctance to change and inconsistencies in training methods. Creating an environment where people are willing to change and adapt is essential in this regard </w:t>
      </w:r>
      <w:r>
        <w:rPr>
          <w:rFonts w:cs="Arial"/>
          <w:szCs w:val="20"/>
          <w:shd w:val="clear" w:color="auto" w:fill="FFFFFF"/>
        </w:rPr>
        <w:t>(Ge</w:t>
      </w:r>
      <w:r>
        <w:rPr>
          <w:rFonts w:cs="Arial"/>
          <w:szCs w:val="20"/>
          <w:shd w:val="clear" w:color="auto" w:fill="FFFFFF"/>
        </w:rPr>
        <w:t>nc, and Akoglan Kozak, 2020)</w:t>
      </w:r>
      <w:r>
        <w:rPr>
          <w:rFonts w:cs="Arial"/>
        </w:rPr>
        <w:t>. Regular training sessions with interactive modules, in addition to incentives for skill development, can drive workers to embrace new methods. Feedback methods from customers and colleagues can help pinpoint problem areas. Sta</w:t>
      </w:r>
      <w:r>
        <w:rPr>
          <w:rFonts w:cs="Arial"/>
        </w:rPr>
        <w:t>ff and management can work together on skill enhancement if they are both informed of the benefits of doing so and how it will contribute to their professional advancement.</w:t>
      </w:r>
    </w:p>
    <w:p w:rsidR="002210B7" w:rsidRDefault="002210B7" w14:paraId="7CEF8048" w14:textId="77777777">
      <w:pPr>
        <w:rPr>
          <w:rFonts w:cs="Arial"/>
        </w:rPr>
      </w:pPr>
    </w:p>
    <w:p w:rsidR="002210B7" w:rsidRDefault="00AC21F5" w14:paraId="0B195201" w14:textId="77777777">
      <w:pPr>
        <w:pStyle w:val="Heading1"/>
        <w:rPr>
          <w:rFonts w:cs="Arial"/>
        </w:rPr>
      </w:pPr>
      <w:bookmarkStart w:name="_Toc147855398" w:id="15"/>
      <w:r>
        <w:rPr>
          <w:rFonts w:cs="Arial"/>
        </w:rPr>
        <w:t>Conclusion</w:t>
      </w:r>
      <w:bookmarkEnd w:id="15"/>
    </w:p>
    <w:p w:rsidR="002210B7" w:rsidRDefault="00AC21F5" w14:paraId="656BAFFA" w14:textId="77777777">
      <w:pPr>
        <w:rPr>
          <w:rFonts w:cs="Arial"/>
        </w:rPr>
      </w:pPr>
      <w:r>
        <w:rPr>
          <w:rFonts w:cs="Arial"/>
        </w:rPr>
        <w:t xml:space="preserve">In conclusion, the restaurant industry depends on service </w:t>
      </w:r>
      <w:r>
        <w:rPr>
          <w:rFonts w:cs="Arial"/>
        </w:rPr>
        <w:t>quality, making communication, anticipation, conflict resolution, teamwork, and culinary knowledge key skills. Formal training, role-specific courses, mentorship, and feedback create a dynamic skill development ecosystem. However, the real-life examples sh</w:t>
      </w:r>
      <w:r>
        <w:rPr>
          <w:rFonts w:cs="Arial"/>
        </w:rPr>
        <w:t xml:space="preserve">ow that talent enhancement can boost customer satisfaction and a restaurant’s reputation. Whilst challenges remain, skill development ensures long-term success, turning casual diners into regular patrons and distinguishing restaurants in the ever-changing </w:t>
      </w:r>
      <w:r>
        <w:rPr>
          <w:rFonts w:cs="Arial"/>
        </w:rPr>
        <w:t>hospitality landscape.</w:t>
      </w:r>
    </w:p>
    <w:p w:rsidR="002210B7" w:rsidRDefault="00AC21F5" w14:paraId="6F4AEBD3" w14:textId="77777777">
      <w:pPr>
        <w:ind w:firstLine="0"/>
        <w:jc w:val="left"/>
        <w:rPr>
          <w:rFonts w:cs="Arial" w:eastAsiaTheme="majorEastAsia"/>
          <w:b/>
          <w:szCs w:val="32"/>
        </w:rPr>
      </w:pPr>
      <w:r>
        <w:rPr>
          <w:rFonts w:cs="Arial"/>
        </w:rPr>
        <w:br w:type="page"/>
      </w:r>
    </w:p>
    <w:p w:rsidR="002210B7" w:rsidRDefault="00AC21F5" w14:paraId="2845EDF9" w14:textId="77777777">
      <w:pPr>
        <w:pStyle w:val="Heading1"/>
        <w:rPr>
          <w:rFonts w:cs="Arial"/>
        </w:rPr>
      </w:pPr>
      <w:bookmarkStart w:name="_Toc147855399" w:id="16"/>
      <w:r>
        <w:rPr>
          <w:rFonts w:cs="Arial"/>
        </w:rPr>
        <w:t>References</w:t>
      </w:r>
      <w:bookmarkEnd w:id="16"/>
    </w:p>
    <w:p w:rsidR="002210B7" w:rsidRDefault="00AC21F5" w14:paraId="1DC727BA" w14:textId="77777777">
      <w:pPr>
        <w:ind w:left="720" w:hanging="720"/>
        <w:rPr>
          <w:rFonts w:cs="Arial"/>
          <w:szCs w:val="20"/>
          <w:shd w:val="clear" w:color="auto" w:fill="FFFFFF"/>
        </w:rPr>
      </w:pPr>
      <w:r>
        <w:rPr>
          <w:rFonts w:cs="Arial"/>
          <w:szCs w:val="20"/>
          <w:shd w:val="clear" w:color="auto" w:fill="FFFFFF"/>
        </w:rPr>
        <w:t>Alhelalat, J.A., Ma’moun, A.H. and Twaissi, N.M., 2017. The impact of personal and functional aspects of restaurant employee service behaviour on customer satisfaction. </w:t>
      </w:r>
      <w:r>
        <w:rPr>
          <w:rFonts w:cs="Arial"/>
          <w:i/>
          <w:iCs/>
          <w:szCs w:val="20"/>
          <w:shd w:val="clear" w:color="auto" w:fill="FFFFFF"/>
        </w:rPr>
        <w:t>International Journal of Hospitality Management</w:t>
      </w:r>
      <w:r>
        <w:rPr>
          <w:rFonts w:cs="Arial"/>
          <w:szCs w:val="20"/>
          <w:shd w:val="clear" w:color="auto" w:fill="FFFFFF"/>
        </w:rPr>
        <w:t>, </w:t>
      </w:r>
      <w:r>
        <w:rPr>
          <w:rFonts w:cs="Arial"/>
          <w:i/>
          <w:iCs/>
          <w:szCs w:val="20"/>
          <w:shd w:val="clear" w:color="auto" w:fill="FFFFFF"/>
        </w:rPr>
        <w:t>66</w:t>
      </w:r>
      <w:r>
        <w:rPr>
          <w:rFonts w:cs="Arial"/>
          <w:szCs w:val="20"/>
          <w:shd w:val="clear" w:color="auto" w:fill="FFFFFF"/>
        </w:rPr>
        <w:t>, pp.46-53.</w:t>
      </w:r>
    </w:p>
    <w:p w:rsidR="002210B7" w:rsidRDefault="00AC21F5" w14:paraId="7C4BBBDF" w14:textId="77777777">
      <w:pPr>
        <w:ind w:left="720" w:hanging="720"/>
        <w:rPr>
          <w:rFonts w:cs="Arial"/>
          <w:szCs w:val="20"/>
          <w:shd w:val="clear" w:color="auto" w:fill="FFFFFF"/>
        </w:rPr>
      </w:pPr>
      <w:r>
        <w:rPr>
          <w:rFonts w:cs="Arial"/>
          <w:szCs w:val="20"/>
          <w:shd w:val="clear" w:color="auto" w:fill="FFFFFF"/>
        </w:rPr>
        <w:t>Cho, M., Bonn, M.A., Giunipero, L. and Divers, J., 2019. Restaurant purchasing skills and the impacts upon strategic purchasing and performance: The roles of supplier integration. </w:t>
      </w:r>
      <w:r>
        <w:rPr>
          <w:rFonts w:cs="Arial"/>
          <w:i/>
          <w:iCs/>
          <w:szCs w:val="20"/>
          <w:shd w:val="clear" w:color="auto" w:fill="FFFFFF"/>
        </w:rPr>
        <w:t>International Journal of Hospitality Management</w:t>
      </w:r>
      <w:r>
        <w:rPr>
          <w:rFonts w:cs="Arial"/>
          <w:szCs w:val="20"/>
          <w:shd w:val="clear" w:color="auto" w:fill="FFFFFF"/>
        </w:rPr>
        <w:t>, </w:t>
      </w:r>
      <w:r>
        <w:rPr>
          <w:rFonts w:cs="Arial"/>
          <w:i/>
          <w:iCs/>
          <w:szCs w:val="20"/>
          <w:shd w:val="clear" w:color="auto" w:fill="FFFFFF"/>
        </w:rPr>
        <w:t>78</w:t>
      </w:r>
      <w:r>
        <w:rPr>
          <w:rFonts w:cs="Arial"/>
          <w:szCs w:val="20"/>
          <w:shd w:val="clear" w:color="auto" w:fill="FFFFFF"/>
        </w:rPr>
        <w:t>, pp.293-303.</w:t>
      </w:r>
    </w:p>
    <w:p w:rsidR="002210B7" w:rsidRDefault="00AC21F5" w14:paraId="007347C9" w14:textId="77777777">
      <w:pPr>
        <w:ind w:left="720" w:hanging="720"/>
        <w:rPr>
          <w:rFonts w:cs="Arial"/>
          <w:szCs w:val="20"/>
          <w:shd w:val="clear" w:color="auto" w:fill="FFFFFF"/>
        </w:rPr>
      </w:pPr>
      <w:r>
        <w:rPr>
          <w:rFonts w:cs="Arial"/>
          <w:szCs w:val="20"/>
          <w:shd w:val="clear" w:color="auto" w:fill="FFFFFF"/>
        </w:rPr>
        <w:t>Cornell, D.A.V., 2019. Managerial skills and functions of restaurant managers of independent casual restaurants in national capital region, Philippines. </w:t>
      </w:r>
      <w:r>
        <w:rPr>
          <w:rFonts w:cs="Arial"/>
          <w:i/>
          <w:iCs/>
          <w:szCs w:val="20"/>
          <w:shd w:val="clear" w:color="auto" w:fill="FFFFFF"/>
        </w:rPr>
        <w:t>Revista Turismo &amp; Desenvolvimento</w:t>
      </w:r>
      <w:r>
        <w:rPr>
          <w:rFonts w:cs="Arial"/>
          <w:szCs w:val="20"/>
          <w:shd w:val="clear" w:color="auto" w:fill="FFFFFF"/>
        </w:rPr>
        <w:t>, (31), pp.91-100.</w:t>
      </w:r>
    </w:p>
    <w:p w:rsidR="002210B7" w:rsidRDefault="00AC21F5" w14:paraId="6195A18A" w14:textId="77777777">
      <w:pPr>
        <w:ind w:left="720" w:hanging="720"/>
        <w:rPr>
          <w:rFonts w:cs="Arial"/>
          <w:szCs w:val="20"/>
          <w:shd w:val="clear" w:color="auto" w:fill="FFFFFF"/>
        </w:rPr>
      </w:pPr>
      <w:r>
        <w:rPr>
          <w:rFonts w:cs="Arial"/>
          <w:szCs w:val="20"/>
          <w:shd w:val="clear" w:color="auto" w:fill="FFFFFF"/>
        </w:rPr>
        <w:t xml:space="preserve">Cousins, J., 2020. Food and beverage service. 9th </w:t>
      </w:r>
      <w:r>
        <w:rPr>
          <w:rFonts w:cs="Arial"/>
          <w:szCs w:val="20"/>
          <w:shd w:val="clear" w:color="auto" w:fill="FFFFFF"/>
        </w:rPr>
        <w:t>ed. London: Hodder Education Group</w:t>
      </w:r>
    </w:p>
    <w:p w:rsidR="002210B7" w:rsidRDefault="00AC21F5" w14:paraId="44631BD4" w14:textId="77777777">
      <w:pPr>
        <w:ind w:left="720" w:hanging="720"/>
        <w:rPr>
          <w:rFonts w:cs="Arial"/>
          <w:szCs w:val="20"/>
          <w:shd w:val="clear" w:color="auto" w:fill="FFFFFF"/>
        </w:rPr>
      </w:pPr>
      <w:r>
        <w:rPr>
          <w:rFonts w:cs="Arial"/>
          <w:szCs w:val="20"/>
          <w:shd w:val="clear" w:color="auto" w:fill="FFFFFF"/>
        </w:rPr>
        <w:t>Davis, B et al., 2018. Food and Beverage Management. 6 edn London: Routledge</w:t>
      </w:r>
    </w:p>
    <w:p w:rsidR="002210B7" w:rsidRDefault="00AC21F5" w14:paraId="292F5A26" w14:textId="77777777">
      <w:pPr>
        <w:ind w:left="720" w:hanging="720"/>
        <w:rPr>
          <w:rFonts w:cs="Arial"/>
          <w:szCs w:val="20"/>
          <w:shd w:val="clear" w:color="auto" w:fill="FFFFFF"/>
        </w:rPr>
      </w:pPr>
      <w:r>
        <w:rPr>
          <w:rFonts w:cs="Arial"/>
          <w:szCs w:val="20"/>
          <w:shd w:val="clear" w:color="auto" w:fill="FFFFFF"/>
        </w:rPr>
        <w:t>Dossena, C., Mochi, F., Bissola, R. and Imperatori, B., 2021. Restaurants and social media: rethinking organisational capabilities and individua</w:t>
      </w:r>
      <w:r>
        <w:rPr>
          <w:rFonts w:cs="Arial"/>
          <w:szCs w:val="20"/>
          <w:shd w:val="clear" w:color="auto" w:fill="FFFFFF"/>
        </w:rPr>
        <w:t>l competencies. </w:t>
      </w:r>
      <w:r>
        <w:rPr>
          <w:rFonts w:cs="Arial"/>
          <w:i/>
          <w:iCs/>
          <w:szCs w:val="20"/>
          <w:shd w:val="clear" w:color="auto" w:fill="FFFFFF"/>
        </w:rPr>
        <w:t>Journal of tourism Futures</w:t>
      </w:r>
      <w:r>
        <w:rPr>
          <w:rFonts w:cs="Arial"/>
          <w:szCs w:val="20"/>
          <w:shd w:val="clear" w:color="auto" w:fill="FFFFFF"/>
        </w:rPr>
        <w:t>, </w:t>
      </w:r>
      <w:r>
        <w:rPr>
          <w:rFonts w:cs="Arial"/>
          <w:i/>
          <w:iCs/>
          <w:szCs w:val="20"/>
          <w:shd w:val="clear" w:color="auto" w:fill="FFFFFF"/>
        </w:rPr>
        <w:t>7</w:t>
      </w:r>
      <w:r>
        <w:rPr>
          <w:rFonts w:cs="Arial"/>
          <w:szCs w:val="20"/>
          <w:shd w:val="clear" w:color="auto" w:fill="FFFFFF"/>
        </w:rPr>
        <w:t>(1), pp.20-39.</w:t>
      </w:r>
    </w:p>
    <w:p w:rsidR="002210B7" w:rsidRDefault="00AC21F5" w14:paraId="18A23E3F" w14:textId="77777777">
      <w:pPr>
        <w:ind w:left="720" w:hanging="720"/>
        <w:rPr>
          <w:rFonts w:cs="Arial"/>
          <w:szCs w:val="20"/>
          <w:shd w:val="clear" w:color="auto" w:fill="FFFFFF"/>
        </w:rPr>
      </w:pPr>
      <w:r>
        <w:rPr>
          <w:rFonts w:cs="Arial"/>
          <w:szCs w:val="20"/>
          <w:shd w:val="clear" w:color="auto" w:fill="FFFFFF"/>
        </w:rPr>
        <w:t>Genc, V. and Akoglan Kozak, M., 2020. Emotional and social competence in the aestheticisation of labor in the restaurant industry. </w:t>
      </w:r>
      <w:r>
        <w:rPr>
          <w:rFonts w:cs="Arial"/>
          <w:i/>
          <w:iCs/>
          <w:szCs w:val="20"/>
          <w:shd w:val="clear" w:color="auto" w:fill="FFFFFF"/>
        </w:rPr>
        <w:t>International Journal of Contemporary Hospitality Management</w:t>
      </w:r>
      <w:r>
        <w:rPr>
          <w:rFonts w:cs="Arial"/>
          <w:szCs w:val="20"/>
          <w:shd w:val="clear" w:color="auto" w:fill="FFFFFF"/>
        </w:rPr>
        <w:t>, </w:t>
      </w:r>
      <w:r>
        <w:rPr>
          <w:rFonts w:cs="Arial"/>
          <w:i/>
          <w:iCs/>
          <w:szCs w:val="20"/>
          <w:shd w:val="clear" w:color="auto" w:fill="FFFFFF"/>
        </w:rPr>
        <w:t>32</w:t>
      </w:r>
      <w:r>
        <w:rPr>
          <w:rFonts w:cs="Arial"/>
          <w:szCs w:val="20"/>
          <w:shd w:val="clear" w:color="auto" w:fill="FFFFFF"/>
        </w:rPr>
        <w:t>(</w:t>
      </w:r>
      <w:r>
        <w:rPr>
          <w:rFonts w:cs="Arial"/>
          <w:szCs w:val="20"/>
          <w:shd w:val="clear" w:color="auto" w:fill="FFFFFF"/>
        </w:rPr>
        <w:t>3), pp.1201-1225.</w:t>
      </w:r>
    </w:p>
    <w:p w:rsidR="002210B7" w:rsidRDefault="00AC21F5" w14:paraId="233AB395" w14:textId="77777777">
      <w:pPr>
        <w:ind w:left="720" w:hanging="720"/>
        <w:rPr>
          <w:rFonts w:cs="Arial"/>
          <w:szCs w:val="20"/>
          <w:shd w:val="clear" w:color="auto" w:fill="FFFFFF"/>
        </w:rPr>
      </w:pPr>
      <w:r>
        <w:rPr>
          <w:rFonts w:cs="Arial"/>
          <w:szCs w:val="20"/>
          <w:shd w:val="clear" w:color="auto" w:fill="FFFFFF"/>
        </w:rPr>
        <w:t>Johnston, R., 2012. Service operations management: improving service delivery. 4th ed. Harlow, England: Pearson.</w:t>
      </w:r>
    </w:p>
    <w:p w:rsidR="002210B7" w:rsidRDefault="00AC21F5" w14:paraId="1E08138D" w14:textId="77777777">
      <w:pPr>
        <w:ind w:left="720" w:hanging="720"/>
        <w:rPr>
          <w:rFonts w:cs="Arial"/>
          <w:szCs w:val="20"/>
          <w:shd w:val="clear" w:color="auto" w:fill="FFFFFF"/>
        </w:rPr>
      </w:pPr>
      <w:r>
        <w:rPr>
          <w:rFonts w:cs="Arial"/>
          <w:szCs w:val="20"/>
          <w:shd w:val="clear" w:color="auto" w:fill="FFFFFF"/>
        </w:rPr>
        <w:t>McFarland, P., Checinska Sielaff, A., Rasco, B. and Smith, S., 2019. Efficacy of food safety training in commercial food serv</w:t>
      </w:r>
      <w:r>
        <w:rPr>
          <w:rFonts w:cs="Arial"/>
          <w:szCs w:val="20"/>
          <w:shd w:val="clear" w:color="auto" w:fill="FFFFFF"/>
        </w:rPr>
        <w:t>ice. </w:t>
      </w:r>
      <w:r>
        <w:rPr>
          <w:rFonts w:cs="Arial"/>
          <w:i/>
          <w:iCs/>
          <w:szCs w:val="20"/>
          <w:shd w:val="clear" w:color="auto" w:fill="FFFFFF"/>
        </w:rPr>
        <w:t>Journal of food science</w:t>
      </w:r>
      <w:r>
        <w:rPr>
          <w:rFonts w:cs="Arial"/>
          <w:szCs w:val="20"/>
          <w:shd w:val="clear" w:color="auto" w:fill="FFFFFF"/>
        </w:rPr>
        <w:t>, </w:t>
      </w:r>
      <w:r>
        <w:rPr>
          <w:rFonts w:cs="Arial"/>
          <w:i/>
          <w:iCs/>
          <w:szCs w:val="20"/>
          <w:shd w:val="clear" w:color="auto" w:fill="FFFFFF"/>
        </w:rPr>
        <w:t>84</w:t>
      </w:r>
      <w:r>
        <w:rPr>
          <w:rFonts w:cs="Arial"/>
          <w:szCs w:val="20"/>
          <w:shd w:val="clear" w:color="auto" w:fill="FFFFFF"/>
        </w:rPr>
        <w:t>(6), pp.1239-1246.</w:t>
      </w:r>
    </w:p>
    <w:p w:rsidR="002210B7" w:rsidRDefault="00AC21F5" w14:paraId="36E2D972" w14:textId="77777777">
      <w:pPr>
        <w:ind w:left="720" w:hanging="720"/>
        <w:rPr>
          <w:rFonts w:cs="Arial"/>
          <w:szCs w:val="20"/>
          <w:shd w:val="clear" w:color="auto" w:fill="FFFFFF"/>
        </w:rPr>
      </w:pPr>
      <w:r>
        <w:rPr>
          <w:rFonts w:cs="Arial"/>
          <w:szCs w:val="20"/>
          <w:shd w:val="clear" w:color="auto" w:fill="FFFFFF"/>
        </w:rPr>
        <w:t>Mulyani, S.R., Ridwan, M. and Ali, H., 2020. Model of human services and resources: The improvement efforts of Silungkang restaurant attractiveness on consumers. </w:t>
      </w:r>
      <w:r>
        <w:rPr>
          <w:rFonts w:cs="Arial"/>
          <w:i/>
          <w:iCs/>
          <w:szCs w:val="20"/>
          <w:shd w:val="clear" w:color="auto" w:fill="FFFFFF"/>
        </w:rPr>
        <w:t>Talent Development &amp; Excellence</w:t>
      </w:r>
      <w:r>
        <w:rPr>
          <w:rFonts w:cs="Arial"/>
          <w:szCs w:val="20"/>
          <w:shd w:val="clear" w:color="auto" w:fill="FFFFFF"/>
        </w:rPr>
        <w:t>, </w:t>
      </w:r>
      <w:r>
        <w:rPr>
          <w:rFonts w:cs="Arial"/>
          <w:i/>
          <w:iCs/>
          <w:szCs w:val="20"/>
          <w:shd w:val="clear" w:color="auto" w:fill="FFFFFF"/>
        </w:rPr>
        <w:t>12</w:t>
      </w:r>
      <w:r>
        <w:rPr>
          <w:rFonts w:cs="Arial"/>
          <w:szCs w:val="20"/>
          <w:shd w:val="clear" w:color="auto" w:fill="FFFFFF"/>
        </w:rPr>
        <w:t>(1).</w:t>
      </w:r>
    </w:p>
    <w:p w:rsidR="002210B7" w:rsidRDefault="00AC21F5" w14:paraId="37BCC05C" w14:textId="77777777">
      <w:pPr>
        <w:ind w:left="720" w:hanging="720"/>
        <w:rPr>
          <w:rFonts w:cs="Arial"/>
          <w:szCs w:val="20"/>
          <w:shd w:val="clear" w:color="auto" w:fill="FFFFFF"/>
        </w:rPr>
      </w:pPr>
      <w:r>
        <w:rPr>
          <w:rFonts w:cs="Arial"/>
          <w:szCs w:val="20"/>
          <w:shd w:val="clear" w:color="auto" w:fill="FFFFFF"/>
        </w:rPr>
        <w:t>Naj</w:t>
      </w:r>
      <w:r>
        <w:rPr>
          <w:rFonts w:cs="Arial"/>
          <w:szCs w:val="20"/>
          <w:shd w:val="clear" w:color="auto" w:fill="FFFFFF"/>
        </w:rPr>
        <w:t>ib, M., Septiani, S. and Nurlaela, S., 2020. The role of innovation, entrepreneurial self-efficacy and local uniqueness on marketing performance in small and medium-sised restaurants. </w:t>
      </w:r>
      <w:r>
        <w:rPr>
          <w:rFonts w:cs="Arial"/>
          <w:i/>
          <w:iCs/>
          <w:szCs w:val="20"/>
          <w:shd w:val="clear" w:color="auto" w:fill="FFFFFF"/>
        </w:rPr>
        <w:t>Journal of Foodservice Business Research</w:t>
      </w:r>
      <w:r>
        <w:rPr>
          <w:rFonts w:cs="Arial"/>
          <w:szCs w:val="20"/>
          <w:shd w:val="clear" w:color="auto" w:fill="FFFFFF"/>
        </w:rPr>
        <w:t>, </w:t>
      </w:r>
      <w:r>
        <w:rPr>
          <w:rFonts w:cs="Arial"/>
          <w:i/>
          <w:iCs/>
          <w:szCs w:val="20"/>
          <w:shd w:val="clear" w:color="auto" w:fill="FFFFFF"/>
        </w:rPr>
        <w:t>23</w:t>
      </w:r>
      <w:r>
        <w:rPr>
          <w:rFonts w:cs="Arial"/>
          <w:szCs w:val="20"/>
          <w:shd w:val="clear" w:color="auto" w:fill="FFFFFF"/>
        </w:rPr>
        <w:t>(6), pp.499-519.</w:t>
      </w:r>
    </w:p>
    <w:p w:rsidR="002210B7" w:rsidRDefault="002210B7" w14:paraId="5F2C4A02" w14:textId="77777777">
      <w:pPr>
        <w:rPr>
          <w:rFonts w:cs="Arial"/>
          <w:sz w:val="32"/>
        </w:rPr>
      </w:pPr>
    </w:p>
    <w:bookmarkEnd w:id="0"/>
    <w:p w:rsidR="002210B7" w:rsidRDefault="002210B7" w14:paraId="41201E98" w14:textId="77777777">
      <w:pPr>
        <w:ind w:left="850" w:hanging="850" w:hangingChars="354"/>
        <w:contextualSpacing/>
        <w:rPr>
          <w:rFonts w:cs="Arial"/>
          <w:szCs w:val="24"/>
          <w:lang w:val="en-US"/>
        </w:rPr>
      </w:pPr>
    </w:p>
    <w:sectPr w:rsidR="002210B7">
      <w:headerReference w:type="default" r:id="rId7"/>
      <w:footerReference w:type="default" r:id="rId8"/>
      <w:pgSz w:w="12240" w:h="15840" w:orient="portrait"/>
      <w:pgMar w:top="1440" w:right="1440" w:bottom="1440" w:left="1440" w:header="720" w:footer="720" w:gutter="0"/>
      <w:cols w:space="720"/>
      <w:titlePg/>
      <w:docGrid w:linePitch="360"/>
      <w:headerReference w:type="first" r:id="R2fe9c440d458422a"/>
      <w:footerReference w:type="first" r:id="Rcc3e53adb73148f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B25A3" w:rsidRDefault="009B25A3" w14:paraId="6370A89D" w14:textId="77777777">
      <w:pPr>
        <w:spacing w:line="240" w:lineRule="auto"/>
      </w:pPr>
      <w:r>
        <w:separator/>
      </w:r>
    </w:p>
  </w:endnote>
  <w:endnote w:type="continuationSeparator" w:id="0">
    <w:p w:rsidR="009B25A3" w:rsidRDefault="009B25A3" w14:paraId="7865A56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altName w:val="ESRI AMFM Electric"/>
    <w:charset w:val="00"/>
    <w:family w:val="auto"/>
    <w:pitch w:val="default"/>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210B7" w:rsidRDefault="002210B7" w14:paraId="72760DAF" w14:textId="77777777">
    <w:pPr>
      <w:pStyle w:val="Footer"/>
      <w:jc w:val="right"/>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7BD19B" w:rsidTr="117BD19B" w14:paraId="238D5447">
      <w:trPr>
        <w:trHeight w:val="300"/>
      </w:trPr>
      <w:tc>
        <w:tcPr>
          <w:tcW w:w="3120" w:type="dxa"/>
          <w:tcMar/>
        </w:tcPr>
        <w:p w:rsidR="117BD19B" w:rsidP="117BD19B" w:rsidRDefault="117BD19B" w14:paraId="2147CD89" w14:textId="6A6209D1">
          <w:pPr>
            <w:pStyle w:val="Header"/>
            <w:bidi w:val="0"/>
            <w:ind w:left="-115"/>
            <w:jc w:val="left"/>
          </w:pPr>
        </w:p>
      </w:tc>
      <w:tc>
        <w:tcPr>
          <w:tcW w:w="3120" w:type="dxa"/>
          <w:tcMar/>
        </w:tcPr>
        <w:p w:rsidR="117BD19B" w:rsidP="117BD19B" w:rsidRDefault="117BD19B" w14:paraId="749A7E40" w14:textId="46C7241A">
          <w:pPr>
            <w:pStyle w:val="Header"/>
            <w:bidi w:val="0"/>
            <w:jc w:val="center"/>
          </w:pPr>
        </w:p>
      </w:tc>
      <w:tc>
        <w:tcPr>
          <w:tcW w:w="3120" w:type="dxa"/>
          <w:tcMar/>
        </w:tcPr>
        <w:p w:rsidR="117BD19B" w:rsidP="117BD19B" w:rsidRDefault="117BD19B" w14:paraId="05694037" w14:textId="3F0873C6">
          <w:pPr>
            <w:pStyle w:val="Header"/>
            <w:bidi w:val="0"/>
            <w:ind w:right="-115"/>
            <w:jc w:val="right"/>
          </w:pPr>
        </w:p>
      </w:tc>
    </w:tr>
  </w:tbl>
  <w:p w:rsidR="117BD19B" w:rsidP="117BD19B" w:rsidRDefault="117BD19B" w14:paraId="46D31A1E" w14:textId="2B55FF3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B25A3" w:rsidRDefault="009B25A3" w14:paraId="078F5546" w14:textId="77777777">
      <w:r>
        <w:separator/>
      </w:r>
    </w:p>
  </w:footnote>
  <w:footnote w:type="continuationSeparator" w:id="0">
    <w:p w:rsidR="009B25A3" w:rsidRDefault="009B25A3" w14:paraId="11FDCC5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673822"/>
    </w:sdtPr>
    <w:sdtEndPr>
      <w:rPr>
        <w:rFonts w:cs="Arial"/>
      </w:rPr>
    </w:sdtEndPr>
    <w:sdtContent>
      <w:p w:rsidR="002210B7" w:rsidRDefault="00AC21F5" w14:paraId="41535EF3" w14:textId="77777777">
        <w:pPr>
          <w:pStyle w:val="Header"/>
          <w:jc w:val="right"/>
          <w:rPr>
            <w:rFonts w:cs="Arial"/>
          </w:rPr>
        </w:pPr>
        <w:r>
          <w:rPr>
            <w:rFonts w:cs="Arial"/>
          </w:rPr>
          <w:fldChar w:fldCharType="begin"/>
        </w:r>
        <w:r>
          <w:rPr>
            <w:rFonts w:cs="Arial"/>
          </w:rPr>
          <w:instrText xml:space="preserve"> PAGE   \* MERGEFORMAT </w:instrText>
        </w:r>
        <w:r>
          <w:rPr>
            <w:rFonts w:cs="Arial"/>
          </w:rPr>
          <w:fldChar w:fldCharType="separate"/>
        </w:r>
        <w:r>
          <w:rPr>
            <w:rFonts w:cs="Arial"/>
          </w:rPr>
          <w:t>5</w:t>
        </w:r>
        <w:r>
          <w:rPr>
            <w:rFonts w:cs="Arial"/>
          </w:rPr>
          <w:fldChar w:fldCharType="end"/>
        </w:r>
      </w:p>
    </w:sdtContent>
  </w:sdt>
  <w:p w:rsidR="002210B7" w:rsidRDefault="002210B7" w14:paraId="366E79B4"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7BD19B" w:rsidTr="117BD19B" w14:paraId="5775B0E4">
      <w:trPr>
        <w:trHeight w:val="300"/>
      </w:trPr>
      <w:tc>
        <w:tcPr>
          <w:tcW w:w="3120" w:type="dxa"/>
          <w:tcMar/>
        </w:tcPr>
        <w:p w:rsidR="117BD19B" w:rsidP="117BD19B" w:rsidRDefault="117BD19B" w14:paraId="36D502B0" w14:textId="3F5393BE">
          <w:pPr>
            <w:pStyle w:val="Header"/>
            <w:bidi w:val="0"/>
            <w:ind w:left="-115"/>
            <w:jc w:val="left"/>
          </w:pPr>
        </w:p>
      </w:tc>
      <w:tc>
        <w:tcPr>
          <w:tcW w:w="3120" w:type="dxa"/>
          <w:tcMar/>
        </w:tcPr>
        <w:p w:rsidR="117BD19B" w:rsidP="117BD19B" w:rsidRDefault="117BD19B" w14:paraId="31BCBA97" w14:textId="086D15F9">
          <w:pPr>
            <w:pStyle w:val="Header"/>
            <w:bidi w:val="0"/>
            <w:jc w:val="center"/>
          </w:pPr>
        </w:p>
      </w:tc>
      <w:tc>
        <w:tcPr>
          <w:tcW w:w="3120" w:type="dxa"/>
          <w:tcMar/>
        </w:tcPr>
        <w:p w:rsidR="117BD19B" w:rsidP="117BD19B" w:rsidRDefault="117BD19B" w14:paraId="590097EB" w14:textId="3C295C82">
          <w:pPr>
            <w:pStyle w:val="Header"/>
            <w:bidi w:val="0"/>
            <w:ind w:right="-115"/>
            <w:jc w:val="right"/>
          </w:pPr>
        </w:p>
      </w:tc>
    </w:tr>
  </w:tbl>
  <w:p w:rsidR="117BD19B" w:rsidP="117BD19B" w:rsidRDefault="117BD19B" w14:paraId="2CF50A84" w14:textId="46BB9F7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noPunctuationKerning/>
  <w:characterSpacingControl w:val="doNotCompress"/>
  <w:savePreviewPicture/>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858"/>
    <w:rsid w:val="000019F0"/>
    <w:rsid w:val="0000262D"/>
    <w:rsid w:val="00007B7A"/>
    <w:rsid w:val="00011508"/>
    <w:rsid w:val="000123DE"/>
    <w:rsid w:val="0001532E"/>
    <w:rsid w:val="0001630A"/>
    <w:rsid w:val="00016675"/>
    <w:rsid w:val="000179F1"/>
    <w:rsid w:val="0003783A"/>
    <w:rsid w:val="00037D87"/>
    <w:rsid w:val="00040D01"/>
    <w:rsid w:val="00047315"/>
    <w:rsid w:val="000473AF"/>
    <w:rsid w:val="00054C52"/>
    <w:rsid w:val="000719F4"/>
    <w:rsid w:val="00071F1C"/>
    <w:rsid w:val="0008189E"/>
    <w:rsid w:val="00082017"/>
    <w:rsid w:val="000B49D1"/>
    <w:rsid w:val="000C2BE2"/>
    <w:rsid w:val="000C7356"/>
    <w:rsid w:val="000E57BF"/>
    <w:rsid w:val="000E6627"/>
    <w:rsid w:val="000F204D"/>
    <w:rsid w:val="000F3B28"/>
    <w:rsid w:val="00110C2E"/>
    <w:rsid w:val="0012209C"/>
    <w:rsid w:val="00124D21"/>
    <w:rsid w:val="0012650D"/>
    <w:rsid w:val="00135488"/>
    <w:rsid w:val="00141BA9"/>
    <w:rsid w:val="00142BA1"/>
    <w:rsid w:val="001473FB"/>
    <w:rsid w:val="00153B9F"/>
    <w:rsid w:val="00156B8E"/>
    <w:rsid w:val="001761B3"/>
    <w:rsid w:val="00187C76"/>
    <w:rsid w:val="00191860"/>
    <w:rsid w:val="00193DD1"/>
    <w:rsid w:val="001B6C9D"/>
    <w:rsid w:val="001D4665"/>
    <w:rsid w:val="001D4DBF"/>
    <w:rsid w:val="001E22E4"/>
    <w:rsid w:val="001E4C8F"/>
    <w:rsid w:val="001E59F7"/>
    <w:rsid w:val="001E7E97"/>
    <w:rsid w:val="001F2E10"/>
    <w:rsid w:val="001F6089"/>
    <w:rsid w:val="001F6F0C"/>
    <w:rsid w:val="002051CE"/>
    <w:rsid w:val="00212077"/>
    <w:rsid w:val="002210B7"/>
    <w:rsid w:val="002351AF"/>
    <w:rsid w:val="00235B97"/>
    <w:rsid w:val="00252218"/>
    <w:rsid w:val="0025300D"/>
    <w:rsid w:val="00257B16"/>
    <w:rsid w:val="0026242E"/>
    <w:rsid w:val="00262B5B"/>
    <w:rsid w:val="00262F1F"/>
    <w:rsid w:val="00267669"/>
    <w:rsid w:val="002701D4"/>
    <w:rsid w:val="00272714"/>
    <w:rsid w:val="00285A82"/>
    <w:rsid w:val="00293212"/>
    <w:rsid w:val="002942A0"/>
    <w:rsid w:val="002B4E27"/>
    <w:rsid w:val="002C15F8"/>
    <w:rsid w:val="002D0A47"/>
    <w:rsid w:val="002D3980"/>
    <w:rsid w:val="002D76AC"/>
    <w:rsid w:val="002E7857"/>
    <w:rsid w:val="002F2717"/>
    <w:rsid w:val="002F5E04"/>
    <w:rsid w:val="002F72DC"/>
    <w:rsid w:val="003014AE"/>
    <w:rsid w:val="00304241"/>
    <w:rsid w:val="00316A30"/>
    <w:rsid w:val="003224E5"/>
    <w:rsid w:val="0032354C"/>
    <w:rsid w:val="00326D48"/>
    <w:rsid w:val="00326F73"/>
    <w:rsid w:val="00327BEB"/>
    <w:rsid w:val="0033329D"/>
    <w:rsid w:val="003369F9"/>
    <w:rsid w:val="003372C8"/>
    <w:rsid w:val="00340451"/>
    <w:rsid w:val="003471CD"/>
    <w:rsid w:val="00347F4D"/>
    <w:rsid w:val="00354B16"/>
    <w:rsid w:val="0036022A"/>
    <w:rsid w:val="00362988"/>
    <w:rsid w:val="00363257"/>
    <w:rsid w:val="0038122E"/>
    <w:rsid w:val="00386534"/>
    <w:rsid w:val="003B3793"/>
    <w:rsid w:val="003C33DD"/>
    <w:rsid w:val="003D2AEB"/>
    <w:rsid w:val="003E4FFD"/>
    <w:rsid w:val="003F681C"/>
    <w:rsid w:val="00406EF8"/>
    <w:rsid w:val="0040751A"/>
    <w:rsid w:val="004151D1"/>
    <w:rsid w:val="004157B6"/>
    <w:rsid w:val="00421BC3"/>
    <w:rsid w:val="004224D0"/>
    <w:rsid w:val="00431A6F"/>
    <w:rsid w:val="00432B8C"/>
    <w:rsid w:val="004338A4"/>
    <w:rsid w:val="004348C8"/>
    <w:rsid w:val="004403E0"/>
    <w:rsid w:val="00441C83"/>
    <w:rsid w:val="004468D6"/>
    <w:rsid w:val="00453DEA"/>
    <w:rsid w:val="00454D8C"/>
    <w:rsid w:val="00456834"/>
    <w:rsid w:val="004810BA"/>
    <w:rsid w:val="0048408E"/>
    <w:rsid w:val="00486434"/>
    <w:rsid w:val="004917AD"/>
    <w:rsid w:val="004929AF"/>
    <w:rsid w:val="00494E5C"/>
    <w:rsid w:val="00497CF5"/>
    <w:rsid w:val="004A519A"/>
    <w:rsid w:val="004B08CD"/>
    <w:rsid w:val="004B0CB9"/>
    <w:rsid w:val="004C2810"/>
    <w:rsid w:val="004C5901"/>
    <w:rsid w:val="004D051E"/>
    <w:rsid w:val="004D1818"/>
    <w:rsid w:val="004D1EC4"/>
    <w:rsid w:val="004E67DF"/>
    <w:rsid w:val="004E6EA6"/>
    <w:rsid w:val="004F2236"/>
    <w:rsid w:val="00504F88"/>
    <w:rsid w:val="00515009"/>
    <w:rsid w:val="00516169"/>
    <w:rsid w:val="00516FC4"/>
    <w:rsid w:val="00520B4C"/>
    <w:rsid w:val="00520FE3"/>
    <w:rsid w:val="00522FB8"/>
    <w:rsid w:val="00532100"/>
    <w:rsid w:val="0053518F"/>
    <w:rsid w:val="005359B8"/>
    <w:rsid w:val="005359D7"/>
    <w:rsid w:val="00536629"/>
    <w:rsid w:val="00541D41"/>
    <w:rsid w:val="0054412B"/>
    <w:rsid w:val="0055542C"/>
    <w:rsid w:val="0055707E"/>
    <w:rsid w:val="005603CD"/>
    <w:rsid w:val="00572D62"/>
    <w:rsid w:val="005A076B"/>
    <w:rsid w:val="005B780B"/>
    <w:rsid w:val="005C0D73"/>
    <w:rsid w:val="005C1789"/>
    <w:rsid w:val="005E1E58"/>
    <w:rsid w:val="005F4612"/>
    <w:rsid w:val="005F7EAE"/>
    <w:rsid w:val="00600E09"/>
    <w:rsid w:val="00606743"/>
    <w:rsid w:val="006278CB"/>
    <w:rsid w:val="006310FA"/>
    <w:rsid w:val="00652315"/>
    <w:rsid w:val="0066239F"/>
    <w:rsid w:val="00667626"/>
    <w:rsid w:val="006708F0"/>
    <w:rsid w:val="00681245"/>
    <w:rsid w:val="00681926"/>
    <w:rsid w:val="00691514"/>
    <w:rsid w:val="006A00B1"/>
    <w:rsid w:val="006A324C"/>
    <w:rsid w:val="006A4450"/>
    <w:rsid w:val="006A7331"/>
    <w:rsid w:val="006B0FBE"/>
    <w:rsid w:val="006B3736"/>
    <w:rsid w:val="006B3BF6"/>
    <w:rsid w:val="006B7C20"/>
    <w:rsid w:val="006C0CA3"/>
    <w:rsid w:val="006D3C49"/>
    <w:rsid w:val="006D45C6"/>
    <w:rsid w:val="006F0EC8"/>
    <w:rsid w:val="006F6562"/>
    <w:rsid w:val="0070572E"/>
    <w:rsid w:val="00710981"/>
    <w:rsid w:val="00723383"/>
    <w:rsid w:val="00723CAE"/>
    <w:rsid w:val="0073056D"/>
    <w:rsid w:val="00735426"/>
    <w:rsid w:val="00745EF5"/>
    <w:rsid w:val="0074780F"/>
    <w:rsid w:val="00755F0C"/>
    <w:rsid w:val="00766E51"/>
    <w:rsid w:val="00770B66"/>
    <w:rsid w:val="00777A33"/>
    <w:rsid w:val="007817F2"/>
    <w:rsid w:val="007852F1"/>
    <w:rsid w:val="0079447D"/>
    <w:rsid w:val="00797845"/>
    <w:rsid w:val="00797CBE"/>
    <w:rsid w:val="007A44D9"/>
    <w:rsid w:val="007A6FA9"/>
    <w:rsid w:val="007A794E"/>
    <w:rsid w:val="007B6816"/>
    <w:rsid w:val="007C65E9"/>
    <w:rsid w:val="007D694A"/>
    <w:rsid w:val="007E1684"/>
    <w:rsid w:val="00804917"/>
    <w:rsid w:val="00831E0C"/>
    <w:rsid w:val="00850035"/>
    <w:rsid w:val="008545AD"/>
    <w:rsid w:val="0085709B"/>
    <w:rsid w:val="00867717"/>
    <w:rsid w:val="00867F83"/>
    <w:rsid w:val="008744C7"/>
    <w:rsid w:val="00881C37"/>
    <w:rsid w:val="00882EDD"/>
    <w:rsid w:val="00891FF2"/>
    <w:rsid w:val="00895069"/>
    <w:rsid w:val="008B0A9F"/>
    <w:rsid w:val="008B1AE0"/>
    <w:rsid w:val="008B4655"/>
    <w:rsid w:val="008B7D21"/>
    <w:rsid w:val="008C492D"/>
    <w:rsid w:val="008D0AC7"/>
    <w:rsid w:val="008D1FCF"/>
    <w:rsid w:val="008D5D0D"/>
    <w:rsid w:val="008D733D"/>
    <w:rsid w:val="00900B6B"/>
    <w:rsid w:val="0091605E"/>
    <w:rsid w:val="009246A7"/>
    <w:rsid w:val="009367DA"/>
    <w:rsid w:val="0093750D"/>
    <w:rsid w:val="00941F22"/>
    <w:rsid w:val="00957203"/>
    <w:rsid w:val="009663D7"/>
    <w:rsid w:val="0097287D"/>
    <w:rsid w:val="009806CF"/>
    <w:rsid w:val="00993AF1"/>
    <w:rsid w:val="009B25A3"/>
    <w:rsid w:val="009B3858"/>
    <w:rsid w:val="009C389F"/>
    <w:rsid w:val="009C7BD8"/>
    <w:rsid w:val="009D77B4"/>
    <w:rsid w:val="009E022C"/>
    <w:rsid w:val="009E168B"/>
    <w:rsid w:val="009E18CE"/>
    <w:rsid w:val="009F1A02"/>
    <w:rsid w:val="00A02832"/>
    <w:rsid w:val="00A0460D"/>
    <w:rsid w:val="00A070BA"/>
    <w:rsid w:val="00A1206A"/>
    <w:rsid w:val="00A1484D"/>
    <w:rsid w:val="00A1656A"/>
    <w:rsid w:val="00A255A6"/>
    <w:rsid w:val="00A27535"/>
    <w:rsid w:val="00A335DB"/>
    <w:rsid w:val="00A531FD"/>
    <w:rsid w:val="00A655A4"/>
    <w:rsid w:val="00A65E9D"/>
    <w:rsid w:val="00A678CD"/>
    <w:rsid w:val="00A8662A"/>
    <w:rsid w:val="00A95CCC"/>
    <w:rsid w:val="00AC21F5"/>
    <w:rsid w:val="00AC22E2"/>
    <w:rsid w:val="00AC658F"/>
    <w:rsid w:val="00AD21AA"/>
    <w:rsid w:val="00AD2827"/>
    <w:rsid w:val="00AD7776"/>
    <w:rsid w:val="00AE04C6"/>
    <w:rsid w:val="00AF1025"/>
    <w:rsid w:val="00AF6B73"/>
    <w:rsid w:val="00B05D84"/>
    <w:rsid w:val="00B06276"/>
    <w:rsid w:val="00B17FD3"/>
    <w:rsid w:val="00B20117"/>
    <w:rsid w:val="00B35CCC"/>
    <w:rsid w:val="00B35E82"/>
    <w:rsid w:val="00B36287"/>
    <w:rsid w:val="00B46B9F"/>
    <w:rsid w:val="00B512B0"/>
    <w:rsid w:val="00B61060"/>
    <w:rsid w:val="00B66755"/>
    <w:rsid w:val="00B72913"/>
    <w:rsid w:val="00B72C2F"/>
    <w:rsid w:val="00B828E9"/>
    <w:rsid w:val="00B83ABF"/>
    <w:rsid w:val="00B859E7"/>
    <w:rsid w:val="00B90448"/>
    <w:rsid w:val="00B90C0F"/>
    <w:rsid w:val="00B944BB"/>
    <w:rsid w:val="00B959E4"/>
    <w:rsid w:val="00BA3461"/>
    <w:rsid w:val="00BA64A6"/>
    <w:rsid w:val="00BD220D"/>
    <w:rsid w:val="00C0112C"/>
    <w:rsid w:val="00C03A13"/>
    <w:rsid w:val="00C13174"/>
    <w:rsid w:val="00C3343A"/>
    <w:rsid w:val="00C42B80"/>
    <w:rsid w:val="00C432C8"/>
    <w:rsid w:val="00C56818"/>
    <w:rsid w:val="00C77719"/>
    <w:rsid w:val="00C81709"/>
    <w:rsid w:val="00C83F00"/>
    <w:rsid w:val="00C91323"/>
    <w:rsid w:val="00CA3734"/>
    <w:rsid w:val="00CA570F"/>
    <w:rsid w:val="00CA734F"/>
    <w:rsid w:val="00CB7AD3"/>
    <w:rsid w:val="00CC5D34"/>
    <w:rsid w:val="00CD398A"/>
    <w:rsid w:val="00CE0561"/>
    <w:rsid w:val="00CF2FDD"/>
    <w:rsid w:val="00D04682"/>
    <w:rsid w:val="00D065B3"/>
    <w:rsid w:val="00D10A94"/>
    <w:rsid w:val="00D11CBC"/>
    <w:rsid w:val="00D24EF7"/>
    <w:rsid w:val="00D25B12"/>
    <w:rsid w:val="00D344B3"/>
    <w:rsid w:val="00D4282A"/>
    <w:rsid w:val="00D4555F"/>
    <w:rsid w:val="00D536D6"/>
    <w:rsid w:val="00D70599"/>
    <w:rsid w:val="00D753D7"/>
    <w:rsid w:val="00D80FF5"/>
    <w:rsid w:val="00D900C2"/>
    <w:rsid w:val="00D9174F"/>
    <w:rsid w:val="00D9293A"/>
    <w:rsid w:val="00D92A78"/>
    <w:rsid w:val="00DC4230"/>
    <w:rsid w:val="00DC6E90"/>
    <w:rsid w:val="00DD0F6A"/>
    <w:rsid w:val="00DE2418"/>
    <w:rsid w:val="00DE53E6"/>
    <w:rsid w:val="00E12003"/>
    <w:rsid w:val="00E205E3"/>
    <w:rsid w:val="00E248D1"/>
    <w:rsid w:val="00E26CAC"/>
    <w:rsid w:val="00E44C92"/>
    <w:rsid w:val="00E50EF2"/>
    <w:rsid w:val="00E560B9"/>
    <w:rsid w:val="00E72D3A"/>
    <w:rsid w:val="00E76955"/>
    <w:rsid w:val="00E8584D"/>
    <w:rsid w:val="00E868B7"/>
    <w:rsid w:val="00EB79E5"/>
    <w:rsid w:val="00ED46E2"/>
    <w:rsid w:val="00EE35E7"/>
    <w:rsid w:val="00EE5CE1"/>
    <w:rsid w:val="00EF4ACD"/>
    <w:rsid w:val="00EF7510"/>
    <w:rsid w:val="00F00AEB"/>
    <w:rsid w:val="00F0254E"/>
    <w:rsid w:val="00F07017"/>
    <w:rsid w:val="00F121CB"/>
    <w:rsid w:val="00F24533"/>
    <w:rsid w:val="00F25925"/>
    <w:rsid w:val="00F35DE2"/>
    <w:rsid w:val="00F360A2"/>
    <w:rsid w:val="00F42D99"/>
    <w:rsid w:val="00F44BA9"/>
    <w:rsid w:val="00F64408"/>
    <w:rsid w:val="00F64BF8"/>
    <w:rsid w:val="00F7029B"/>
    <w:rsid w:val="00F73E08"/>
    <w:rsid w:val="00F74BC1"/>
    <w:rsid w:val="00F82E1F"/>
    <w:rsid w:val="00F93B57"/>
    <w:rsid w:val="00F95596"/>
    <w:rsid w:val="00F97358"/>
    <w:rsid w:val="00FA1DC4"/>
    <w:rsid w:val="00FB2410"/>
    <w:rsid w:val="00FB31A1"/>
    <w:rsid w:val="00FB32D3"/>
    <w:rsid w:val="00FC0391"/>
    <w:rsid w:val="00FD4374"/>
    <w:rsid w:val="00FD57AB"/>
    <w:rsid w:val="00FD6280"/>
    <w:rsid w:val="00FE0F2B"/>
    <w:rsid w:val="00FF3D5C"/>
    <w:rsid w:val="0C17822E"/>
    <w:rsid w:val="117BD19B"/>
    <w:rsid w:val="1F6D3440"/>
    <w:rsid w:val="22060523"/>
    <w:rsid w:val="22A4D502"/>
    <w:rsid w:val="3002C97A"/>
    <w:rsid w:val="34B5962D"/>
    <w:rsid w:val="39494FF0"/>
    <w:rsid w:val="3DEC709C"/>
    <w:rsid w:val="4EEB574A"/>
    <w:rsid w:val="5135C109"/>
    <w:rsid w:val="56D81E8A"/>
    <w:rsid w:val="702240E5"/>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5E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SimSu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qFormat="1"/>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360" w:lineRule="auto"/>
      <w:ind w:firstLine="720"/>
      <w:jc w:val="both"/>
    </w:pPr>
    <w:rPr>
      <w:rFonts w:ascii="Arial" w:hAnsi="Arial" w:eastAsiaTheme="minorHAnsi" w:cstheme="minorBidi"/>
      <w:sz w:val="24"/>
      <w:szCs w:val="22"/>
      <w:lang w:val="en-GB"/>
    </w:rPr>
  </w:style>
  <w:style w:type="paragraph" w:styleId="Heading1">
    <w:name w:val="heading 1"/>
    <w:basedOn w:val="Normal"/>
    <w:next w:val="Normal"/>
    <w:link w:val="Heading1Char"/>
    <w:uiPriority w:val="9"/>
    <w:qFormat/>
    <w:pPr>
      <w:keepNext/>
      <w:keepLines/>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pPr>
      <w:keepNext/>
      <w:keepLines/>
      <w:jc w:val="center"/>
      <w:outlineLvl w:val="2"/>
    </w:pPr>
    <w:rPr>
      <w:rFonts w:ascii="Times New Roman" w:hAnsi="Times New Roman" w:eastAsiaTheme="majorEastAsia" w:cstheme="majorBidi"/>
      <w:b/>
      <w:i/>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BodyText">
    <w:name w:val="Body Text"/>
    <w:basedOn w:val="Normal"/>
    <w:link w:val="BodyTextChar"/>
    <w:uiPriority w:val="1"/>
    <w:qFormat/>
    <w:pPr>
      <w:ind w:left="720" w:hanging="720"/>
    </w:pPr>
    <w:rPr>
      <w:szCs w:val="24"/>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ind w:firstLine="0"/>
      <w:jc w:val="left"/>
    </w:pPr>
    <w:rPr>
      <w:rFonts w:ascii="Times New Roman" w:hAnsi="Times New Roman" w:eastAsia="Times New Roman" w:cs="Times New Roman"/>
      <w:szCs w:val="24"/>
      <w:lang w:eastAsia="en-GB"/>
    </w:rPr>
  </w:style>
  <w:style w:type="table" w:styleId="TableGrid">
    <w:name w:val="Table Grid"/>
    <w:basedOn w:val="TableNormal"/>
    <w:uiPriority w:val="3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TOC3">
    <w:name w:val="toc 3"/>
    <w:basedOn w:val="Normal"/>
    <w:next w:val="Normal"/>
    <w:uiPriority w:val="39"/>
    <w:unhideWhenUsed/>
    <w:pPr>
      <w:spacing w:after="100"/>
      <w:ind w:left="480"/>
    </w:pPr>
  </w:style>
  <w:style w:type="character" w:styleId="Heading1Char" w:customStyle="1">
    <w:name w:val="Heading 1 Char"/>
    <w:basedOn w:val="DefaultParagraphFont"/>
    <w:link w:val="Heading1"/>
    <w:uiPriority w:val="9"/>
    <w:qFormat/>
    <w:rPr>
      <w:rFonts w:ascii="Arial" w:hAnsi="Arial" w:eastAsiaTheme="majorEastAsia" w:cstheme="majorBidi"/>
      <w:b/>
      <w:sz w:val="24"/>
      <w:szCs w:val="32"/>
      <w:lang w:eastAsia="en-US"/>
    </w:rPr>
  </w:style>
  <w:style w:type="character" w:styleId="Heading2Char" w:customStyle="1">
    <w:name w:val="Heading 2 Char"/>
    <w:basedOn w:val="DefaultParagraphFont"/>
    <w:link w:val="Heading2"/>
    <w:uiPriority w:val="9"/>
    <w:qFormat/>
    <w:rPr>
      <w:rFonts w:ascii="Arial" w:hAnsi="Arial" w:eastAsiaTheme="majorEastAsia" w:cstheme="majorBidi"/>
      <w:b/>
      <w:i/>
      <w:sz w:val="24"/>
      <w:szCs w:val="26"/>
      <w:lang w:eastAsia="en-US"/>
    </w:rPr>
  </w:style>
  <w:style w:type="character" w:styleId="Heading3Char" w:customStyle="1">
    <w:name w:val="Heading 3 Char"/>
    <w:basedOn w:val="DefaultParagraphFont"/>
    <w:link w:val="Heading3"/>
    <w:uiPriority w:val="9"/>
    <w:qFormat/>
    <w:rPr>
      <w:rFonts w:ascii="Times New Roman" w:hAnsi="Times New Roman" w:eastAsiaTheme="majorEastAsia" w:cstheme="majorBidi"/>
      <w:b/>
      <w:i/>
      <w:sz w:val="24"/>
      <w:szCs w:val="24"/>
      <w:lang w:val="en-GB"/>
    </w:rPr>
  </w:style>
  <w:style w:type="paragraph" w:styleId="NoSpacing">
    <w:name w:val="No Spacing"/>
    <w:uiPriority w:val="1"/>
    <w:qFormat/>
    <w:pPr>
      <w:spacing w:line="360" w:lineRule="auto"/>
      <w:ind w:left="720" w:hanging="720"/>
      <w:jc w:val="both"/>
    </w:pPr>
    <w:rPr>
      <w:rFonts w:eastAsiaTheme="minorHAnsi" w:cstheme="minorBidi"/>
      <w:szCs w:val="22"/>
    </w:rPr>
  </w:style>
  <w:style w:type="character" w:styleId="BodyTextChar" w:customStyle="1">
    <w:name w:val="Body Text Char"/>
    <w:basedOn w:val="DefaultParagraphFont"/>
    <w:link w:val="BodyText"/>
    <w:uiPriority w:val="1"/>
    <w:qFormat/>
    <w:rPr>
      <w:rFonts w:ascii="Arial" w:hAnsi="Arial"/>
      <w:sz w:val="24"/>
      <w:szCs w:val="24"/>
      <w:lang w:val="en-GB"/>
    </w:r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qFormat/>
    <w:rPr>
      <w:rFonts w:ascii="Arial" w:hAnsi="Arial"/>
      <w:sz w:val="24"/>
      <w:lang w:val="en-GB"/>
    </w:rPr>
  </w:style>
  <w:style w:type="character" w:styleId="FooterChar" w:customStyle="1">
    <w:name w:val="Footer Char"/>
    <w:basedOn w:val="DefaultParagraphFont"/>
    <w:link w:val="Footer"/>
    <w:uiPriority w:val="99"/>
    <w:qFormat/>
    <w:rPr>
      <w:rFonts w:ascii="Arial" w:hAnsi="Arial"/>
      <w:sz w:val="24"/>
      <w:lang w:val="en-GB"/>
    </w:rPr>
  </w:style>
  <w:style w:type="paragraph" w:styleId="TOCHeading1" w:customStyle="1">
    <w:name w:val="TOC Heading1"/>
    <w:basedOn w:val="Heading1"/>
    <w:next w:val="Normal"/>
    <w:uiPriority w:val="39"/>
    <w:unhideWhenUsed/>
    <w:qFormat/>
    <w:pPr>
      <w:spacing w:before="240" w:line="259" w:lineRule="auto"/>
      <w:jc w:val="left"/>
      <w:outlineLvl w:val="9"/>
    </w:pPr>
    <w:rPr>
      <w:rFonts w:asciiTheme="majorHAnsi" w:hAnsiTheme="majorHAnsi"/>
      <w:b w:val="0"/>
      <w:color w:val="2F5496" w:themeColor="accent1" w:themeShade="BF"/>
      <w:sz w:val="32"/>
      <w:lang w:val="en-US"/>
    </w:rPr>
  </w:style>
  <w:style w:type="character" w:styleId="BalloonTextChar" w:customStyle="1">
    <w:name w:val="Balloon Text Char"/>
    <w:basedOn w:val="DefaultParagraphFont"/>
    <w:link w:val="BalloonText"/>
    <w:uiPriority w:val="99"/>
    <w:semiHidden/>
    <w:qFormat/>
    <w:rPr>
      <w:rFonts w:ascii="Tahoma" w:hAnsi="Tahoma" w:cs="Tahoma"/>
      <w:sz w:val="16"/>
      <w:szCs w:val="16"/>
      <w:lang w:val="en-GB"/>
    </w:rPr>
  </w:style>
  <w:style w:type="paragraph" w:styleId="TOCHeading2" w:customStyle="1">
    <w:name w:val="TOC Heading2"/>
    <w:basedOn w:val="Heading1"/>
    <w:next w:val="Normal"/>
    <w:uiPriority w:val="39"/>
    <w:unhideWhenUsed/>
    <w:qFormat/>
    <w:pPr>
      <w:spacing w:before="240" w:line="259" w:lineRule="auto"/>
      <w:jc w:val="left"/>
      <w:outlineLvl w:val="9"/>
    </w:pPr>
    <w:rPr>
      <w:rFonts w:asciiTheme="majorHAnsi" w:hAnsiTheme="majorHAnsi"/>
      <w:b w:val="0"/>
      <w:color w:val="2F5496" w:themeColor="accent1" w:themeShade="BF"/>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80fb5e828e6b43cf" /><Relationship Type="http://schemas.openxmlformats.org/officeDocument/2006/relationships/header" Target="header2.xml" Id="R2fe9c440d458422a" /><Relationship Type="http://schemas.openxmlformats.org/officeDocument/2006/relationships/footer" Target="footer2.xml" Id="Rcc3e53adb73148f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9d43436-94c7-4695-9262-0d882883510b}"/>
      </w:docPartPr>
      <w:docPartBody>
        <w:p w14:paraId="117BD19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F5F88-9337-4E87-8AED-B3C9836108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Florentina Raluca Iamandi (2246151)</lastModifiedBy>
  <revision>2</revision>
  <dcterms:created xsi:type="dcterms:W3CDTF">2023-10-10T18:51:00.0000000Z</dcterms:created>
  <dcterms:modified xsi:type="dcterms:W3CDTF">2023-10-16T12:48:10.3908386Z</dcterms:modified>
</coreProperties>
</file>