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5378F" w14:textId="0CCB2928" w:rsidR="00301C79" w:rsidRPr="00C272AF" w:rsidRDefault="00301C79" w:rsidP="00384E39">
      <w:pPr>
        <w:spacing w:line="360" w:lineRule="auto"/>
        <w:jc w:val="both"/>
        <w:rPr>
          <w:rFonts w:ascii="Arial" w:hAnsi="Arial" w:cs="Arial"/>
        </w:rPr>
      </w:pPr>
    </w:p>
    <w:p w14:paraId="64A9EFA3" w14:textId="77777777" w:rsidR="00C232D1" w:rsidRPr="00C272AF" w:rsidRDefault="00C232D1" w:rsidP="00384E39">
      <w:pPr>
        <w:spacing w:line="360" w:lineRule="auto"/>
        <w:jc w:val="both"/>
        <w:rPr>
          <w:rFonts w:ascii="Arial" w:hAnsi="Arial" w:cs="Arial"/>
        </w:rPr>
      </w:pPr>
    </w:p>
    <w:p w14:paraId="665B1B53" w14:textId="742F2B12" w:rsidR="00C232D1" w:rsidRPr="00C272AF" w:rsidRDefault="006B36E2" w:rsidP="00384E39">
      <w:pPr>
        <w:spacing w:line="360" w:lineRule="auto"/>
        <w:jc w:val="both"/>
        <w:rPr>
          <w:rFonts w:ascii="Arial" w:hAnsi="Arial" w:cs="Arial"/>
        </w:rPr>
      </w:pPr>
      <w:r w:rsidRPr="00C272AF">
        <w:rPr>
          <w:rFonts w:ascii="Arial" w:eastAsia="Arial" w:hAnsi="Arial" w:cs="Arial"/>
          <w:noProof/>
          <w:kern w:val="0"/>
          <w:lang w:val="en-US"/>
          <w14:ligatures w14:val="none"/>
        </w:rPr>
        <w:drawing>
          <wp:inline distT="0" distB="0" distL="0" distR="0" wp14:anchorId="50943B56" wp14:editId="61B53E5D">
            <wp:extent cx="1695450" cy="438150"/>
            <wp:effectExtent l="0" t="0" r="0" b="0"/>
            <wp:docPr id="776561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95450" cy="438150"/>
                    </a:xfrm>
                    <a:prstGeom prst="rect">
                      <a:avLst/>
                    </a:prstGeom>
                    <a:noFill/>
                    <a:ln>
                      <a:noFill/>
                    </a:ln>
                  </pic:spPr>
                </pic:pic>
              </a:graphicData>
            </a:graphic>
          </wp:inline>
        </w:drawing>
      </w:r>
    </w:p>
    <w:p w14:paraId="50343A8F" w14:textId="77777777" w:rsidR="00C232D1" w:rsidRPr="00C272AF" w:rsidRDefault="00C232D1" w:rsidP="00384E39">
      <w:pPr>
        <w:spacing w:line="360" w:lineRule="auto"/>
        <w:jc w:val="both"/>
        <w:rPr>
          <w:rFonts w:ascii="Arial" w:hAnsi="Arial" w:cs="Arial"/>
        </w:rPr>
      </w:pPr>
    </w:p>
    <w:p w14:paraId="7EB76001" w14:textId="77777777" w:rsidR="00C232D1" w:rsidRPr="00C272AF" w:rsidRDefault="00C232D1" w:rsidP="00384E39">
      <w:pPr>
        <w:spacing w:line="360" w:lineRule="auto"/>
        <w:jc w:val="both"/>
        <w:rPr>
          <w:rFonts w:ascii="Arial" w:hAnsi="Arial" w:cs="Arial"/>
        </w:rPr>
      </w:pPr>
    </w:p>
    <w:p w14:paraId="5BEB0152" w14:textId="77777777" w:rsidR="00C232D1" w:rsidRPr="00C272AF" w:rsidRDefault="00C232D1" w:rsidP="00384E39">
      <w:pPr>
        <w:spacing w:line="360" w:lineRule="auto"/>
        <w:jc w:val="both"/>
        <w:rPr>
          <w:rFonts w:ascii="Arial" w:hAnsi="Arial" w:cs="Arial"/>
        </w:rPr>
      </w:pPr>
    </w:p>
    <w:p w14:paraId="619E8379" w14:textId="77777777" w:rsidR="00C232D1" w:rsidRPr="00C272AF" w:rsidRDefault="00C232D1" w:rsidP="00384E39">
      <w:pPr>
        <w:spacing w:line="360" w:lineRule="auto"/>
        <w:jc w:val="both"/>
        <w:rPr>
          <w:rFonts w:ascii="Arial" w:hAnsi="Arial" w:cs="Arial"/>
        </w:rPr>
      </w:pPr>
      <w:r w:rsidRPr="00C272AF">
        <w:rPr>
          <w:rFonts w:ascii="Arial" w:hAnsi="Arial" w:cs="Arial"/>
        </w:rPr>
        <w:t xml:space="preserve">Name: Christina Owusu </w:t>
      </w:r>
    </w:p>
    <w:p w14:paraId="1926AD40" w14:textId="77777777" w:rsidR="00C232D1" w:rsidRPr="00C272AF" w:rsidRDefault="00C232D1" w:rsidP="00384E39">
      <w:pPr>
        <w:spacing w:line="360" w:lineRule="auto"/>
        <w:jc w:val="both"/>
        <w:rPr>
          <w:rFonts w:ascii="Arial" w:hAnsi="Arial" w:cs="Arial"/>
        </w:rPr>
      </w:pPr>
      <w:r w:rsidRPr="00C272AF">
        <w:rPr>
          <w:rFonts w:ascii="Arial" w:hAnsi="Arial" w:cs="Arial"/>
        </w:rPr>
        <w:t xml:space="preserve">Student Number: 2329700 </w:t>
      </w:r>
    </w:p>
    <w:p w14:paraId="7BD12020" w14:textId="77777777" w:rsidR="00C232D1" w:rsidRPr="00C272AF" w:rsidRDefault="00C232D1" w:rsidP="00384E39">
      <w:pPr>
        <w:spacing w:line="360" w:lineRule="auto"/>
        <w:jc w:val="both"/>
        <w:rPr>
          <w:rFonts w:ascii="Arial" w:hAnsi="Arial" w:cs="Arial"/>
        </w:rPr>
      </w:pPr>
      <w:r w:rsidRPr="00C272AF">
        <w:rPr>
          <w:rFonts w:ascii="Arial" w:hAnsi="Arial" w:cs="Arial"/>
        </w:rPr>
        <w:t xml:space="preserve">Module: Principles of Health and Social Care Practice  </w:t>
      </w:r>
    </w:p>
    <w:p w14:paraId="20CA6E74" w14:textId="77777777" w:rsidR="00C232D1" w:rsidRPr="00C272AF" w:rsidRDefault="00C232D1" w:rsidP="00384E39">
      <w:pPr>
        <w:spacing w:line="360" w:lineRule="auto"/>
        <w:jc w:val="both"/>
        <w:rPr>
          <w:rFonts w:ascii="Arial" w:hAnsi="Arial" w:cs="Arial"/>
        </w:rPr>
      </w:pPr>
      <w:r w:rsidRPr="00C272AF">
        <w:rPr>
          <w:rFonts w:ascii="Arial" w:hAnsi="Arial" w:cs="Arial"/>
        </w:rPr>
        <w:t>Module code: BMHP5016</w:t>
      </w:r>
    </w:p>
    <w:p w14:paraId="10FC1150" w14:textId="77777777" w:rsidR="00C232D1" w:rsidRPr="00C272AF" w:rsidRDefault="00C232D1" w:rsidP="00384E39">
      <w:pPr>
        <w:spacing w:line="360" w:lineRule="auto"/>
        <w:jc w:val="both"/>
        <w:rPr>
          <w:rFonts w:ascii="Arial" w:hAnsi="Arial" w:cs="Arial"/>
        </w:rPr>
      </w:pPr>
      <w:r w:rsidRPr="00C272AF">
        <w:rPr>
          <w:rFonts w:ascii="Arial" w:hAnsi="Arial" w:cs="Arial"/>
        </w:rPr>
        <w:t>Lecturer: Azida Zainol</w:t>
      </w:r>
    </w:p>
    <w:p w14:paraId="3130F43E" w14:textId="77777777" w:rsidR="00C232D1" w:rsidRPr="00C272AF" w:rsidRDefault="00C232D1" w:rsidP="00384E39">
      <w:pPr>
        <w:spacing w:line="360" w:lineRule="auto"/>
        <w:jc w:val="both"/>
        <w:rPr>
          <w:rFonts w:ascii="Arial" w:hAnsi="Arial" w:cs="Arial"/>
        </w:rPr>
      </w:pPr>
      <w:r w:rsidRPr="00C272AF">
        <w:rPr>
          <w:rFonts w:ascii="Arial" w:hAnsi="Arial" w:cs="Arial"/>
        </w:rPr>
        <w:t>Assignment Title: Component 2: Written Assignment (Report)</w:t>
      </w:r>
    </w:p>
    <w:p w14:paraId="3E16C19F" w14:textId="77777777" w:rsidR="00C232D1" w:rsidRPr="00C272AF" w:rsidRDefault="00C232D1" w:rsidP="00384E39">
      <w:pPr>
        <w:spacing w:line="360" w:lineRule="auto"/>
        <w:jc w:val="both"/>
        <w:rPr>
          <w:rFonts w:ascii="Arial" w:hAnsi="Arial" w:cs="Arial"/>
          <w:b/>
          <w:bCs/>
        </w:rPr>
      </w:pPr>
    </w:p>
    <w:p w14:paraId="0A0EB51A" w14:textId="77777777" w:rsidR="00C232D1" w:rsidRPr="00C272AF" w:rsidRDefault="00C232D1" w:rsidP="00384E39">
      <w:pPr>
        <w:spacing w:line="360" w:lineRule="auto"/>
        <w:jc w:val="both"/>
        <w:rPr>
          <w:rFonts w:ascii="Arial" w:hAnsi="Arial" w:cs="Arial"/>
          <w:b/>
          <w:bCs/>
        </w:rPr>
      </w:pPr>
    </w:p>
    <w:p w14:paraId="71464CBB" w14:textId="77777777" w:rsidR="00C232D1" w:rsidRPr="00C272AF" w:rsidRDefault="00C232D1" w:rsidP="00384E39">
      <w:pPr>
        <w:spacing w:line="360" w:lineRule="auto"/>
        <w:jc w:val="both"/>
        <w:rPr>
          <w:rFonts w:ascii="Arial" w:hAnsi="Arial" w:cs="Arial"/>
          <w:b/>
          <w:bCs/>
        </w:rPr>
      </w:pPr>
    </w:p>
    <w:p w14:paraId="30FA9B2B" w14:textId="77777777" w:rsidR="00C232D1" w:rsidRPr="00C272AF" w:rsidRDefault="00C232D1" w:rsidP="00384E39">
      <w:pPr>
        <w:spacing w:line="360" w:lineRule="auto"/>
        <w:jc w:val="both"/>
        <w:rPr>
          <w:rFonts w:ascii="Arial" w:hAnsi="Arial" w:cs="Arial"/>
          <w:b/>
          <w:bCs/>
        </w:rPr>
      </w:pPr>
    </w:p>
    <w:p w14:paraId="191F9691" w14:textId="77777777" w:rsidR="00C232D1" w:rsidRPr="00C272AF" w:rsidRDefault="00C232D1" w:rsidP="00384E39">
      <w:pPr>
        <w:spacing w:line="360" w:lineRule="auto"/>
        <w:jc w:val="both"/>
        <w:rPr>
          <w:rFonts w:ascii="Arial" w:hAnsi="Arial" w:cs="Arial"/>
          <w:b/>
          <w:bCs/>
        </w:rPr>
      </w:pPr>
    </w:p>
    <w:p w14:paraId="6BDFF943" w14:textId="77777777" w:rsidR="00C232D1" w:rsidRPr="00C272AF" w:rsidRDefault="00C232D1" w:rsidP="00384E39">
      <w:pPr>
        <w:spacing w:line="360" w:lineRule="auto"/>
        <w:jc w:val="both"/>
        <w:rPr>
          <w:rFonts w:ascii="Arial" w:hAnsi="Arial" w:cs="Arial"/>
          <w:b/>
          <w:bCs/>
        </w:rPr>
      </w:pPr>
    </w:p>
    <w:p w14:paraId="0A6A6F36" w14:textId="77777777" w:rsidR="00C232D1" w:rsidRPr="00C272AF" w:rsidRDefault="00C232D1" w:rsidP="00384E39">
      <w:pPr>
        <w:spacing w:line="360" w:lineRule="auto"/>
        <w:jc w:val="both"/>
        <w:rPr>
          <w:rFonts w:ascii="Arial" w:hAnsi="Arial" w:cs="Arial"/>
          <w:b/>
          <w:bCs/>
        </w:rPr>
      </w:pPr>
    </w:p>
    <w:p w14:paraId="30392570" w14:textId="77777777" w:rsidR="00C232D1" w:rsidRPr="00C272AF" w:rsidRDefault="00C232D1" w:rsidP="00384E39">
      <w:pPr>
        <w:spacing w:line="360" w:lineRule="auto"/>
        <w:jc w:val="both"/>
        <w:rPr>
          <w:rFonts w:ascii="Arial" w:hAnsi="Arial" w:cs="Arial"/>
          <w:b/>
          <w:bCs/>
        </w:rPr>
      </w:pPr>
    </w:p>
    <w:p w14:paraId="1B5E03B8" w14:textId="77777777" w:rsidR="00C232D1" w:rsidRPr="00C272AF" w:rsidRDefault="00C232D1" w:rsidP="00384E39">
      <w:pPr>
        <w:spacing w:line="360" w:lineRule="auto"/>
        <w:jc w:val="both"/>
        <w:rPr>
          <w:rFonts w:ascii="Arial" w:hAnsi="Arial" w:cs="Arial"/>
          <w:b/>
          <w:bCs/>
        </w:rPr>
      </w:pPr>
    </w:p>
    <w:p w14:paraId="00C16F02" w14:textId="77777777" w:rsidR="00C232D1" w:rsidRPr="00C272AF" w:rsidRDefault="00C232D1" w:rsidP="00384E39">
      <w:pPr>
        <w:spacing w:line="360" w:lineRule="auto"/>
        <w:jc w:val="both"/>
        <w:rPr>
          <w:rFonts w:ascii="Arial" w:hAnsi="Arial" w:cs="Arial"/>
          <w:b/>
          <w:bCs/>
        </w:rPr>
      </w:pPr>
    </w:p>
    <w:p w14:paraId="17CC45F1" w14:textId="77777777" w:rsidR="00C232D1" w:rsidRPr="00C272AF" w:rsidRDefault="00C232D1" w:rsidP="00384E39">
      <w:pPr>
        <w:spacing w:line="360" w:lineRule="auto"/>
        <w:jc w:val="both"/>
        <w:rPr>
          <w:rFonts w:ascii="Arial" w:hAnsi="Arial" w:cs="Arial"/>
          <w:b/>
          <w:bCs/>
        </w:rPr>
      </w:pPr>
    </w:p>
    <w:sdt>
      <w:sdtPr>
        <w:rPr>
          <w:rFonts w:ascii="Arial" w:eastAsiaTheme="minorHAnsi" w:hAnsi="Arial" w:cs="Arial"/>
          <w:color w:val="auto"/>
          <w:kern w:val="2"/>
          <w:sz w:val="24"/>
          <w:szCs w:val="24"/>
          <w:lang w:eastAsia="en-US"/>
          <w14:ligatures w14:val="standardContextual"/>
        </w:rPr>
        <w:id w:val="-612056914"/>
        <w:docPartObj>
          <w:docPartGallery w:val="Table of Contents"/>
          <w:docPartUnique/>
        </w:docPartObj>
      </w:sdtPr>
      <w:sdtEndPr>
        <w:rPr>
          <w:b/>
          <w:bCs/>
        </w:rPr>
      </w:sdtEndPr>
      <w:sdtContent>
        <w:p w14:paraId="12A3FA75" w14:textId="77777777" w:rsidR="00C232D1" w:rsidRPr="00223F34" w:rsidRDefault="00C232D1" w:rsidP="00384E39">
          <w:pPr>
            <w:pStyle w:val="TOCHeading"/>
            <w:spacing w:line="360" w:lineRule="auto"/>
            <w:jc w:val="both"/>
            <w:rPr>
              <w:rFonts w:ascii="Arial" w:hAnsi="Arial" w:cs="Arial"/>
              <w:sz w:val="28"/>
              <w:szCs w:val="28"/>
            </w:rPr>
          </w:pPr>
          <w:r w:rsidRPr="00223F34">
            <w:rPr>
              <w:rFonts w:ascii="Arial" w:hAnsi="Arial" w:cs="Arial"/>
              <w:sz w:val="28"/>
              <w:szCs w:val="28"/>
            </w:rPr>
            <w:t>Contents</w:t>
          </w:r>
        </w:p>
        <w:p w14:paraId="7B1E2D7A" w14:textId="1F737BBD" w:rsidR="006455DF" w:rsidRPr="00C272AF" w:rsidRDefault="00C232D1" w:rsidP="00384E39">
          <w:pPr>
            <w:pStyle w:val="TOC2"/>
            <w:tabs>
              <w:tab w:val="right" w:leader="dot" w:pos="9016"/>
            </w:tabs>
            <w:spacing w:line="360" w:lineRule="auto"/>
            <w:jc w:val="both"/>
            <w:rPr>
              <w:rFonts w:ascii="Arial" w:eastAsiaTheme="minorEastAsia" w:hAnsi="Arial" w:cs="Arial"/>
              <w:noProof/>
              <w:lang w:eastAsia="en-GB"/>
            </w:rPr>
          </w:pPr>
          <w:r w:rsidRPr="00C272AF">
            <w:rPr>
              <w:rFonts w:ascii="Arial" w:hAnsi="Arial" w:cs="Arial"/>
            </w:rPr>
            <w:fldChar w:fldCharType="begin"/>
          </w:r>
          <w:r w:rsidRPr="00C272AF">
            <w:rPr>
              <w:rFonts w:ascii="Arial" w:hAnsi="Arial" w:cs="Arial"/>
            </w:rPr>
            <w:instrText xml:space="preserve"> TOC \o "1-3" \h \z \u </w:instrText>
          </w:r>
          <w:r w:rsidRPr="00C272AF">
            <w:rPr>
              <w:rFonts w:ascii="Arial" w:hAnsi="Arial" w:cs="Arial"/>
            </w:rPr>
            <w:fldChar w:fldCharType="separate"/>
          </w:r>
          <w:hyperlink w:anchor="_Toc234489081" w:history="1">
            <w:r w:rsidR="006455DF" w:rsidRPr="00C272AF">
              <w:rPr>
                <w:rStyle w:val="Hyperlink"/>
                <w:rFonts w:ascii="Arial" w:hAnsi="Arial" w:cs="Arial"/>
                <w:noProof/>
              </w:rPr>
              <w:t>Brief Summary of the Report</w:t>
            </w:r>
            <w:r w:rsidR="006455DF" w:rsidRPr="00C272AF">
              <w:rPr>
                <w:rFonts w:ascii="Arial" w:hAnsi="Arial" w:cs="Arial"/>
                <w:noProof/>
                <w:webHidden/>
              </w:rPr>
              <w:tab/>
            </w:r>
            <w:r w:rsidR="006455DF" w:rsidRPr="00C272AF">
              <w:rPr>
                <w:rFonts w:ascii="Arial" w:hAnsi="Arial" w:cs="Arial"/>
                <w:noProof/>
                <w:webHidden/>
              </w:rPr>
              <w:fldChar w:fldCharType="begin"/>
            </w:r>
            <w:r w:rsidR="006455DF" w:rsidRPr="00C272AF">
              <w:rPr>
                <w:rFonts w:ascii="Arial" w:hAnsi="Arial" w:cs="Arial"/>
                <w:noProof/>
                <w:webHidden/>
              </w:rPr>
              <w:instrText xml:space="preserve"> PAGEREF _Toc234489081 \h </w:instrText>
            </w:r>
            <w:r w:rsidR="006455DF" w:rsidRPr="00C272AF">
              <w:rPr>
                <w:rFonts w:ascii="Arial" w:hAnsi="Arial" w:cs="Arial"/>
                <w:noProof/>
                <w:webHidden/>
              </w:rPr>
            </w:r>
            <w:r w:rsidR="006455DF" w:rsidRPr="00C272AF">
              <w:rPr>
                <w:rFonts w:ascii="Arial" w:hAnsi="Arial" w:cs="Arial"/>
                <w:noProof/>
                <w:webHidden/>
              </w:rPr>
              <w:fldChar w:fldCharType="separate"/>
            </w:r>
            <w:r w:rsidR="006455DF" w:rsidRPr="00C272AF">
              <w:rPr>
                <w:rFonts w:ascii="Arial" w:hAnsi="Arial" w:cs="Arial"/>
                <w:noProof/>
                <w:webHidden/>
              </w:rPr>
              <w:t>2</w:t>
            </w:r>
            <w:r w:rsidR="006455DF" w:rsidRPr="00C272AF">
              <w:rPr>
                <w:rFonts w:ascii="Arial" w:hAnsi="Arial" w:cs="Arial"/>
                <w:noProof/>
                <w:webHidden/>
              </w:rPr>
              <w:fldChar w:fldCharType="end"/>
            </w:r>
          </w:hyperlink>
        </w:p>
        <w:p w14:paraId="4FC3A186" w14:textId="4AFE32DE" w:rsidR="006455DF" w:rsidRPr="00C272AF" w:rsidRDefault="006455DF" w:rsidP="00384E39">
          <w:pPr>
            <w:pStyle w:val="TOC1"/>
            <w:tabs>
              <w:tab w:val="right" w:leader="dot" w:pos="9016"/>
            </w:tabs>
            <w:spacing w:line="360" w:lineRule="auto"/>
            <w:jc w:val="both"/>
            <w:rPr>
              <w:rFonts w:ascii="Arial" w:eastAsiaTheme="minorEastAsia" w:hAnsi="Arial" w:cs="Arial"/>
              <w:noProof/>
              <w:lang w:eastAsia="en-GB"/>
            </w:rPr>
          </w:pPr>
          <w:hyperlink w:anchor="_Toc234489082" w:history="1">
            <w:r w:rsidRPr="00C272AF">
              <w:rPr>
                <w:rStyle w:val="Hyperlink"/>
                <w:rFonts w:ascii="Arial" w:hAnsi="Arial" w:cs="Arial"/>
                <w:noProof/>
              </w:rPr>
              <w:t>An Evaluation of Person-Centred Care and Partnership Working in Health and Social Care</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_Toc234489082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4</w:t>
            </w:r>
            <w:r w:rsidRPr="00C272AF">
              <w:rPr>
                <w:rFonts w:ascii="Arial" w:hAnsi="Arial" w:cs="Arial"/>
                <w:noProof/>
                <w:webHidden/>
              </w:rPr>
              <w:fldChar w:fldCharType="end"/>
            </w:r>
          </w:hyperlink>
        </w:p>
        <w:p w14:paraId="1F18636E" w14:textId="2BBD0D23" w:rsidR="006455DF" w:rsidRPr="00C272AF" w:rsidRDefault="006455DF" w:rsidP="00384E39">
          <w:pPr>
            <w:pStyle w:val="TOC1"/>
            <w:tabs>
              <w:tab w:val="right" w:leader="dot" w:pos="9016"/>
            </w:tabs>
            <w:spacing w:line="360" w:lineRule="auto"/>
            <w:jc w:val="both"/>
            <w:rPr>
              <w:rFonts w:ascii="Arial" w:eastAsiaTheme="minorEastAsia" w:hAnsi="Arial" w:cs="Arial"/>
              <w:noProof/>
              <w:lang w:eastAsia="en-GB"/>
            </w:rPr>
          </w:pPr>
          <w:hyperlink w:anchor="_Toc234489083" w:history="1">
            <w:r w:rsidRPr="00C272AF">
              <w:rPr>
                <w:rStyle w:val="Hyperlink"/>
                <w:rFonts w:ascii="Arial" w:hAnsi="Arial" w:cs="Arial"/>
                <w:noProof/>
              </w:rPr>
              <w:t>Introduction</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_Toc234489083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4</w:t>
            </w:r>
            <w:r w:rsidRPr="00C272AF">
              <w:rPr>
                <w:rFonts w:ascii="Arial" w:hAnsi="Arial" w:cs="Arial"/>
                <w:noProof/>
                <w:webHidden/>
              </w:rPr>
              <w:fldChar w:fldCharType="end"/>
            </w:r>
          </w:hyperlink>
        </w:p>
        <w:p w14:paraId="05AB2CF6" w14:textId="3D1F0854"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84" w:history="1">
            <w:r w:rsidRPr="00C272AF">
              <w:rPr>
                <w:rStyle w:val="Hyperlink"/>
                <w:rFonts w:ascii="Arial" w:hAnsi="Arial" w:cs="Arial"/>
                <w:noProof/>
              </w:rPr>
              <w:t>Definition of Person-Centred Care</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_Toc234489084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4</w:t>
            </w:r>
            <w:r w:rsidRPr="00C272AF">
              <w:rPr>
                <w:rFonts w:ascii="Arial" w:hAnsi="Arial" w:cs="Arial"/>
                <w:noProof/>
                <w:webHidden/>
              </w:rPr>
              <w:fldChar w:fldCharType="end"/>
            </w:r>
          </w:hyperlink>
        </w:p>
        <w:p w14:paraId="12E87D1C" w14:textId="168E4022"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85" w:history="1">
            <w:r w:rsidRPr="00C272AF">
              <w:rPr>
                <w:rStyle w:val="Hyperlink"/>
                <w:rFonts w:ascii="Arial" w:hAnsi="Arial" w:cs="Arial"/>
                <w:noProof/>
              </w:rPr>
              <w:t>Benefits of Person-Centred Care</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_Toc234489085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5</w:t>
            </w:r>
            <w:r w:rsidRPr="00C272AF">
              <w:rPr>
                <w:rFonts w:ascii="Arial" w:hAnsi="Arial" w:cs="Arial"/>
                <w:noProof/>
                <w:webHidden/>
              </w:rPr>
              <w:fldChar w:fldCharType="end"/>
            </w:r>
          </w:hyperlink>
        </w:p>
        <w:p w14:paraId="7C14674C" w14:textId="104B0EF7"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86" w:history="1">
            <w:r w:rsidRPr="00C272AF">
              <w:rPr>
                <w:rStyle w:val="Hyperlink"/>
                <w:rFonts w:ascii="Arial" w:hAnsi="Arial" w:cs="Arial"/>
                <w:noProof/>
              </w:rPr>
              <w:t>Limitations of Person-Centred Care</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_Toc234489086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5</w:t>
            </w:r>
            <w:r w:rsidRPr="00C272AF">
              <w:rPr>
                <w:rFonts w:ascii="Arial" w:hAnsi="Arial" w:cs="Arial"/>
                <w:noProof/>
                <w:webHidden/>
              </w:rPr>
              <w:fldChar w:fldCharType="end"/>
            </w:r>
          </w:hyperlink>
        </w:p>
        <w:p w14:paraId="35CBBD6E" w14:textId="05E2614A"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87" w:history="1">
            <w:r w:rsidRPr="00C272AF">
              <w:rPr>
                <w:rStyle w:val="Hyperlink"/>
                <w:rFonts w:ascii="Arial" w:hAnsi="Arial" w:cs="Arial"/>
                <w:noProof/>
              </w:rPr>
              <w:t>Theories That Support Person-Centred Care</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_Toc234489087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6</w:t>
            </w:r>
            <w:r w:rsidRPr="00C272AF">
              <w:rPr>
                <w:rFonts w:ascii="Arial" w:hAnsi="Arial" w:cs="Arial"/>
                <w:noProof/>
                <w:webHidden/>
              </w:rPr>
              <w:fldChar w:fldCharType="end"/>
            </w:r>
          </w:hyperlink>
        </w:p>
        <w:p w14:paraId="642EF150" w14:textId="19472F68"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88" w:history="1">
            <w:r w:rsidRPr="00C272AF">
              <w:rPr>
                <w:rStyle w:val="Hyperlink"/>
                <w:rFonts w:ascii="Arial" w:hAnsi="Arial" w:cs="Arial"/>
                <w:noProof/>
              </w:rPr>
              <w:t>Ethical Principles in Health and Social Care</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_Toc234489088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6</w:t>
            </w:r>
            <w:r w:rsidRPr="00C272AF">
              <w:rPr>
                <w:rFonts w:ascii="Arial" w:hAnsi="Arial" w:cs="Arial"/>
                <w:noProof/>
                <w:webHidden/>
              </w:rPr>
              <w:fldChar w:fldCharType="end"/>
            </w:r>
          </w:hyperlink>
        </w:p>
        <w:p w14:paraId="77EC676C" w14:textId="22F1B1CD"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89" w:history="1">
            <w:r w:rsidRPr="00C272AF">
              <w:rPr>
                <w:rStyle w:val="Hyperlink"/>
                <w:rFonts w:ascii="Arial" w:hAnsi="Arial" w:cs="Arial"/>
                <w:noProof/>
              </w:rPr>
              <w:t>Definition and Importance of Partnership Working</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_Toc234489089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7</w:t>
            </w:r>
            <w:r w:rsidRPr="00C272AF">
              <w:rPr>
                <w:rFonts w:ascii="Arial" w:hAnsi="Arial" w:cs="Arial"/>
                <w:noProof/>
                <w:webHidden/>
              </w:rPr>
              <w:fldChar w:fldCharType="end"/>
            </w:r>
          </w:hyperlink>
        </w:p>
        <w:p w14:paraId="43488083" w14:textId="5BAE83E9"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90" w:history="1">
            <w:r w:rsidRPr="00C272AF">
              <w:rPr>
                <w:rStyle w:val="Hyperlink"/>
                <w:rFonts w:ascii="Arial" w:hAnsi="Arial" w:cs="Arial"/>
                <w:noProof/>
              </w:rPr>
              <w:t>Benefits of Partnership Working</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_Toc234489090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7</w:t>
            </w:r>
            <w:r w:rsidRPr="00C272AF">
              <w:rPr>
                <w:rFonts w:ascii="Arial" w:hAnsi="Arial" w:cs="Arial"/>
                <w:noProof/>
                <w:webHidden/>
              </w:rPr>
              <w:fldChar w:fldCharType="end"/>
            </w:r>
          </w:hyperlink>
        </w:p>
        <w:p w14:paraId="4F76F92E" w14:textId="2624897E"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91" w:history="1">
            <w:r w:rsidRPr="00C272AF">
              <w:rPr>
                <w:rStyle w:val="Hyperlink"/>
                <w:rFonts w:ascii="Arial" w:hAnsi="Arial" w:cs="Arial"/>
                <w:noProof/>
              </w:rPr>
              <w:t>Challenges of Partnership Working</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_Toc234489091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8</w:t>
            </w:r>
            <w:r w:rsidRPr="00C272AF">
              <w:rPr>
                <w:rFonts w:ascii="Arial" w:hAnsi="Arial" w:cs="Arial"/>
                <w:noProof/>
                <w:webHidden/>
              </w:rPr>
              <w:fldChar w:fldCharType="end"/>
            </w:r>
          </w:hyperlink>
        </w:p>
        <w:p w14:paraId="22424084" w14:textId="49F20A5E"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92" w:history="1">
            <w:r w:rsidRPr="00C272AF">
              <w:rPr>
                <w:rStyle w:val="Hyperlink"/>
                <w:rFonts w:ascii="Arial" w:hAnsi="Arial" w:cs="Arial"/>
                <w:noProof/>
              </w:rPr>
              <w:t>Policy and Legislation Supporting PCC and PW</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_Toc234489092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8</w:t>
            </w:r>
            <w:r w:rsidRPr="00C272AF">
              <w:rPr>
                <w:rFonts w:ascii="Arial" w:hAnsi="Arial" w:cs="Arial"/>
                <w:noProof/>
                <w:webHidden/>
              </w:rPr>
              <w:fldChar w:fldCharType="end"/>
            </w:r>
          </w:hyperlink>
        </w:p>
        <w:p w14:paraId="62B1C385" w14:textId="2B4018CE"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93" w:history="1">
            <w:r w:rsidRPr="00C272AF">
              <w:rPr>
                <w:rStyle w:val="Hyperlink"/>
                <w:rFonts w:ascii="Arial" w:hAnsi="Arial" w:cs="Arial"/>
                <w:noProof/>
              </w:rPr>
              <w:t>Recommendations for Future Development</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_Toc234489093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8</w:t>
            </w:r>
            <w:r w:rsidRPr="00C272AF">
              <w:rPr>
                <w:rFonts w:ascii="Arial" w:hAnsi="Arial" w:cs="Arial"/>
                <w:noProof/>
                <w:webHidden/>
              </w:rPr>
              <w:fldChar w:fldCharType="end"/>
            </w:r>
          </w:hyperlink>
        </w:p>
        <w:p w14:paraId="58A6AEAA" w14:textId="25B6F648"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94" w:history="1">
            <w:r w:rsidRPr="00C272AF">
              <w:rPr>
                <w:rStyle w:val="Hyperlink"/>
                <w:rFonts w:ascii="Arial" w:hAnsi="Arial" w:cs="Arial"/>
                <w:noProof/>
              </w:rPr>
              <w:t>Conclusion</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_Toc234489094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9</w:t>
            </w:r>
            <w:r w:rsidRPr="00C272AF">
              <w:rPr>
                <w:rFonts w:ascii="Arial" w:hAnsi="Arial" w:cs="Arial"/>
                <w:noProof/>
                <w:webHidden/>
              </w:rPr>
              <w:fldChar w:fldCharType="end"/>
            </w:r>
          </w:hyperlink>
        </w:p>
        <w:p w14:paraId="0D879870" w14:textId="2BFECAD1" w:rsidR="006455DF" w:rsidRPr="00C272AF" w:rsidRDefault="006455DF" w:rsidP="00384E39">
          <w:pPr>
            <w:pStyle w:val="TOC2"/>
            <w:tabs>
              <w:tab w:val="right" w:leader="dot" w:pos="9016"/>
            </w:tabs>
            <w:spacing w:line="360" w:lineRule="auto"/>
            <w:jc w:val="both"/>
            <w:rPr>
              <w:rFonts w:ascii="Arial" w:eastAsiaTheme="minorEastAsia" w:hAnsi="Arial" w:cs="Arial"/>
              <w:noProof/>
              <w:lang w:eastAsia="en-GB"/>
            </w:rPr>
          </w:pPr>
          <w:hyperlink w:anchor="_Toc234489095" w:history="1">
            <w:r w:rsidRPr="00C272AF">
              <w:rPr>
                <w:rStyle w:val="Hyperlink"/>
                <w:rFonts w:ascii="Arial" w:hAnsi="Arial" w:cs="Arial"/>
                <w:noProof/>
              </w:rPr>
              <w:t>References</w:t>
            </w:r>
            <w:r w:rsidRPr="00C272AF">
              <w:rPr>
                <w:rFonts w:ascii="Arial" w:hAnsi="Arial" w:cs="Arial"/>
                <w:noProof/>
                <w:webHidden/>
              </w:rPr>
              <w:tab/>
            </w:r>
            <w:r w:rsidRPr="00C272AF">
              <w:rPr>
                <w:rFonts w:ascii="Arial" w:hAnsi="Arial" w:cs="Arial"/>
                <w:noProof/>
                <w:webHidden/>
              </w:rPr>
              <w:fldChar w:fldCharType="begin"/>
            </w:r>
            <w:r w:rsidRPr="00C272AF">
              <w:rPr>
                <w:rFonts w:ascii="Arial" w:hAnsi="Arial" w:cs="Arial"/>
                <w:noProof/>
                <w:webHidden/>
              </w:rPr>
              <w:instrText xml:space="preserve"> PAGEREF _Toc234489095 \h </w:instrText>
            </w:r>
            <w:r w:rsidRPr="00C272AF">
              <w:rPr>
                <w:rFonts w:ascii="Arial" w:hAnsi="Arial" w:cs="Arial"/>
                <w:noProof/>
                <w:webHidden/>
              </w:rPr>
            </w:r>
            <w:r w:rsidRPr="00C272AF">
              <w:rPr>
                <w:rFonts w:ascii="Arial" w:hAnsi="Arial" w:cs="Arial"/>
                <w:noProof/>
                <w:webHidden/>
              </w:rPr>
              <w:fldChar w:fldCharType="separate"/>
            </w:r>
            <w:r w:rsidRPr="00C272AF">
              <w:rPr>
                <w:rFonts w:ascii="Arial" w:hAnsi="Arial" w:cs="Arial"/>
                <w:noProof/>
                <w:webHidden/>
              </w:rPr>
              <w:t>10</w:t>
            </w:r>
            <w:r w:rsidRPr="00C272AF">
              <w:rPr>
                <w:rFonts w:ascii="Arial" w:hAnsi="Arial" w:cs="Arial"/>
                <w:noProof/>
                <w:webHidden/>
              </w:rPr>
              <w:fldChar w:fldCharType="end"/>
            </w:r>
          </w:hyperlink>
        </w:p>
        <w:p w14:paraId="254E3A0D" w14:textId="25EFAAA6" w:rsidR="00C232D1" w:rsidRPr="00C272AF" w:rsidRDefault="00C232D1" w:rsidP="00384E39">
          <w:pPr>
            <w:spacing w:line="360" w:lineRule="auto"/>
            <w:jc w:val="both"/>
            <w:rPr>
              <w:rFonts w:ascii="Arial" w:hAnsi="Arial" w:cs="Arial"/>
              <w:b/>
              <w:bCs/>
            </w:rPr>
          </w:pPr>
          <w:r w:rsidRPr="00C272AF">
            <w:rPr>
              <w:rFonts w:ascii="Arial" w:hAnsi="Arial" w:cs="Arial"/>
              <w:b/>
              <w:bCs/>
            </w:rPr>
            <w:fldChar w:fldCharType="end"/>
          </w:r>
        </w:p>
      </w:sdtContent>
    </w:sdt>
    <w:p w14:paraId="4515C72F" w14:textId="77777777" w:rsidR="00C232D1" w:rsidRPr="00C272AF" w:rsidRDefault="00C232D1" w:rsidP="00384E39">
      <w:pPr>
        <w:spacing w:line="360" w:lineRule="auto"/>
        <w:jc w:val="both"/>
        <w:rPr>
          <w:rFonts w:ascii="Arial" w:hAnsi="Arial" w:cs="Arial"/>
          <w:b/>
          <w:bCs/>
        </w:rPr>
      </w:pPr>
    </w:p>
    <w:p w14:paraId="6F873455" w14:textId="77777777" w:rsidR="00C232D1" w:rsidRPr="00C272AF" w:rsidRDefault="00C232D1" w:rsidP="00384E39">
      <w:pPr>
        <w:spacing w:line="360" w:lineRule="auto"/>
        <w:jc w:val="both"/>
        <w:rPr>
          <w:rFonts w:ascii="Arial" w:hAnsi="Arial" w:cs="Arial"/>
          <w:b/>
          <w:bCs/>
        </w:rPr>
      </w:pPr>
    </w:p>
    <w:p w14:paraId="30EF8E0D" w14:textId="77777777" w:rsidR="00C232D1" w:rsidRPr="00C272AF" w:rsidRDefault="00C232D1" w:rsidP="00384E39">
      <w:pPr>
        <w:spacing w:line="360" w:lineRule="auto"/>
        <w:jc w:val="both"/>
        <w:rPr>
          <w:rFonts w:ascii="Arial" w:hAnsi="Arial" w:cs="Arial"/>
          <w:b/>
          <w:bCs/>
        </w:rPr>
      </w:pPr>
    </w:p>
    <w:p w14:paraId="71295539" w14:textId="77777777" w:rsidR="00C232D1" w:rsidRPr="00C272AF" w:rsidRDefault="00C232D1" w:rsidP="00384E39">
      <w:pPr>
        <w:spacing w:line="360" w:lineRule="auto"/>
        <w:jc w:val="both"/>
        <w:rPr>
          <w:rFonts w:ascii="Arial" w:hAnsi="Arial" w:cs="Arial"/>
          <w:b/>
          <w:bCs/>
        </w:rPr>
      </w:pPr>
    </w:p>
    <w:p w14:paraId="59B75701" w14:textId="77777777" w:rsidR="00C232D1" w:rsidRPr="00C272AF" w:rsidRDefault="00C232D1" w:rsidP="00384E39">
      <w:pPr>
        <w:pStyle w:val="TOC1"/>
        <w:tabs>
          <w:tab w:val="right" w:leader="dot" w:pos="9016"/>
        </w:tabs>
        <w:spacing w:line="360" w:lineRule="auto"/>
        <w:jc w:val="both"/>
        <w:rPr>
          <w:rFonts w:ascii="Arial" w:eastAsiaTheme="minorEastAsia" w:hAnsi="Arial" w:cs="Arial"/>
          <w:noProof/>
          <w:lang w:eastAsia="en-GB"/>
        </w:rPr>
      </w:pPr>
      <w:r w:rsidRPr="00C272AF">
        <w:rPr>
          <w:rFonts w:ascii="Arial" w:hAnsi="Arial" w:cs="Arial"/>
          <w:b/>
          <w:bCs/>
        </w:rPr>
        <w:fldChar w:fldCharType="begin"/>
      </w:r>
      <w:r w:rsidRPr="00C272AF">
        <w:rPr>
          <w:rFonts w:ascii="Arial" w:hAnsi="Arial" w:cs="Arial"/>
          <w:b/>
          <w:bCs/>
        </w:rPr>
        <w:instrText xml:space="preserve"> TOC \o \h \z \u </w:instrText>
      </w:r>
      <w:r w:rsidRPr="00C272AF">
        <w:rPr>
          <w:rFonts w:ascii="Arial" w:hAnsi="Arial" w:cs="Arial"/>
          <w:b/>
          <w:bCs/>
        </w:rPr>
        <w:fldChar w:fldCharType="separate"/>
      </w:r>
    </w:p>
    <w:p w14:paraId="69919F65" w14:textId="77777777" w:rsidR="00C232D1" w:rsidRPr="00C272AF" w:rsidRDefault="00C232D1" w:rsidP="00384E39">
      <w:pPr>
        <w:spacing w:line="360" w:lineRule="auto"/>
        <w:jc w:val="both"/>
        <w:rPr>
          <w:rFonts w:ascii="Arial" w:hAnsi="Arial" w:cs="Arial"/>
          <w:b/>
          <w:bCs/>
        </w:rPr>
      </w:pPr>
      <w:r w:rsidRPr="00C272AF">
        <w:rPr>
          <w:rFonts w:ascii="Arial" w:hAnsi="Arial" w:cs="Arial"/>
          <w:b/>
          <w:bCs/>
        </w:rPr>
        <w:fldChar w:fldCharType="end"/>
      </w:r>
    </w:p>
    <w:p w14:paraId="129CE453" w14:textId="77777777" w:rsidR="00C232D1" w:rsidRPr="00C272AF" w:rsidRDefault="00C232D1" w:rsidP="00384E39">
      <w:pPr>
        <w:spacing w:line="360" w:lineRule="auto"/>
        <w:jc w:val="both"/>
        <w:rPr>
          <w:rFonts w:ascii="Arial" w:hAnsi="Arial" w:cs="Arial"/>
          <w:b/>
          <w:bCs/>
        </w:rPr>
      </w:pPr>
    </w:p>
    <w:p w14:paraId="27EFF695" w14:textId="77777777" w:rsidR="00C232D1" w:rsidRPr="00C272AF" w:rsidRDefault="00C232D1" w:rsidP="00384E39">
      <w:pPr>
        <w:spacing w:line="360" w:lineRule="auto"/>
        <w:jc w:val="both"/>
        <w:rPr>
          <w:rFonts w:ascii="Arial" w:hAnsi="Arial" w:cs="Arial"/>
          <w:b/>
          <w:bCs/>
        </w:rPr>
      </w:pPr>
    </w:p>
    <w:p w14:paraId="3BD36EF9" w14:textId="77777777" w:rsidR="00C232D1" w:rsidRPr="00C272AF" w:rsidRDefault="00C232D1" w:rsidP="00384E39">
      <w:pPr>
        <w:spacing w:line="360" w:lineRule="auto"/>
        <w:jc w:val="both"/>
        <w:rPr>
          <w:rFonts w:ascii="Arial" w:hAnsi="Arial" w:cs="Arial"/>
          <w:b/>
          <w:bCs/>
        </w:rPr>
      </w:pPr>
    </w:p>
    <w:p w14:paraId="39550CD1" w14:textId="77777777" w:rsidR="00C232D1" w:rsidRPr="00223F34" w:rsidRDefault="00C232D1" w:rsidP="00384E39">
      <w:pPr>
        <w:pStyle w:val="Heading2"/>
        <w:spacing w:line="360" w:lineRule="auto"/>
        <w:jc w:val="both"/>
        <w:rPr>
          <w:rFonts w:ascii="Arial" w:hAnsi="Arial" w:cs="Arial"/>
          <w:sz w:val="28"/>
          <w:szCs w:val="28"/>
        </w:rPr>
      </w:pPr>
      <w:bookmarkStart w:id="0" w:name="_Toc234323875"/>
      <w:bookmarkStart w:id="1" w:name="_Toc234489081"/>
      <w:r w:rsidRPr="00223F34">
        <w:rPr>
          <w:rFonts w:ascii="Arial" w:hAnsi="Arial" w:cs="Arial"/>
          <w:sz w:val="28"/>
          <w:szCs w:val="28"/>
        </w:rPr>
        <w:t>Brief Summary of the Report</w:t>
      </w:r>
      <w:bookmarkEnd w:id="0"/>
      <w:bookmarkEnd w:id="1"/>
    </w:p>
    <w:p w14:paraId="0ED976E9" w14:textId="77777777" w:rsidR="00C232D1" w:rsidRPr="00C272AF" w:rsidRDefault="00C232D1" w:rsidP="00384E39">
      <w:pPr>
        <w:spacing w:line="360" w:lineRule="auto"/>
        <w:jc w:val="both"/>
        <w:rPr>
          <w:rFonts w:ascii="Arial" w:hAnsi="Arial" w:cs="Arial"/>
        </w:rPr>
      </w:pPr>
      <w:r w:rsidRPr="00C272AF">
        <w:rPr>
          <w:rFonts w:ascii="Arial" w:hAnsi="Arial" w:cs="Arial"/>
        </w:rPr>
        <w:t>This report focuses on Person-Centred Care (PCC) and Partnership Working (PW) in health and social care. Person-Centred Care means putting the individual at the centre of all care. It respects the person’s needs, values, preferences, and choices. Care is planned with the person, not for them. Partnership Working means different professionals, services, families, and service users working together to provide safe, effective, and high-quality care.</w:t>
      </w:r>
    </w:p>
    <w:p w14:paraId="47B378F9" w14:textId="77777777" w:rsidR="00C232D1" w:rsidRPr="00C272AF" w:rsidRDefault="00C232D1" w:rsidP="00384E39">
      <w:pPr>
        <w:spacing w:line="360" w:lineRule="auto"/>
        <w:jc w:val="both"/>
        <w:rPr>
          <w:rFonts w:ascii="Arial" w:hAnsi="Arial" w:cs="Arial"/>
        </w:rPr>
      </w:pPr>
      <w:r w:rsidRPr="00C272AF">
        <w:rPr>
          <w:rFonts w:ascii="Arial" w:hAnsi="Arial" w:cs="Arial"/>
        </w:rPr>
        <w:t>The key findings show that PCC improves patient satisfaction, dignity, and wellbeing. When people feel listened to and involved in decisions, they are more confident and engaged in their care. Partnership Working improves communication between services, reduces duplication of work, and helps provide coordinated care. However, challenges were identified, such as poor communication, lack of time, unclear roles, and limited training for staff.</w:t>
      </w:r>
    </w:p>
    <w:p w14:paraId="4B34C85D" w14:textId="77777777" w:rsidR="00C232D1" w:rsidRPr="00C272AF" w:rsidRDefault="00C232D1" w:rsidP="00384E39">
      <w:pPr>
        <w:spacing w:line="360" w:lineRule="auto"/>
        <w:jc w:val="both"/>
        <w:rPr>
          <w:rFonts w:ascii="Arial" w:hAnsi="Arial" w:cs="Arial"/>
        </w:rPr>
      </w:pPr>
      <w:r w:rsidRPr="00C272AF">
        <w:rPr>
          <w:rFonts w:ascii="Arial" w:hAnsi="Arial" w:cs="Arial"/>
        </w:rPr>
        <w:t>The report recommends regular staff training on PCC and teamwork, better communication systems, and clear roles and responsibilities within teams. It also suggests encouraging service users and families to be actively involved in care planning and decision-making. Overall, PCC and PW are essential for delivering safe, respectful, and effective care, and organisations should support these approaches through strong leadership and clear policies.</w:t>
      </w:r>
    </w:p>
    <w:p w14:paraId="42F784CE" w14:textId="77777777" w:rsidR="00C232D1" w:rsidRPr="00C272AF" w:rsidRDefault="00C232D1" w:rsidP="00384E39">
      <w:pPr>
        <w:spacing w:line="360" w:lineRule="auto"/>
        <w:jc w:val="both"/>
        <w:rPr>
          <w:rFonts w:ascii="Arial" w:hAnsi="Arial" w:cs="Arial"/>
        </w:rPr>
      </w:pPr>
    </w:p>
    <w:p w14:paraId="2CAEB7B1" w14:textId="77777777" w:rsidR="00C232D1" w:rsidRPr="00C272AF" w:rsidRDefault="00C232D1" w:rsidP="00384E39">
      <w:pPr>
        <w:spacing w:line="360" w:lineRule="auto"/>
        <w:jc w:val="both"/>
        <w:rPr>
          <w:rFonts w:ascii="Arial" w:hAnsi="Arial" w:cs="Arial"/>
        </w:rPr>
      </w:pPr>
    </w:p>
    <w:p w14:paraId="45C9C782" w14:textId="77777777" w:rsidR="00C232D1" w:rsidRPr="00C272AF" w:rsidRDefault="00C232D1" w:rsidP="00384E39">
      <w:pPr>
        <w:spacing w:line="360" w:lineRule="auto"/>
        <w:jc w:val="both"/>
        <w:rPr>
          <w:rFonts w:ascii="Arial" w:hAnsi="Arial" w:cs="Arial"/>
        </w:rPr>
      </w:pPr>
    </w:p>
    <w:p w14:paraId="68F7A7A2" w14:textId="77777777" w:rsidR="00C232D1" w:rsidRPr="00C272AF" w:rsidRDefault="00C232D1" w:rsidP="00384E39">
      <w:pPr>
        <w:spacing w:line="360" w:lineRule="auto"/>
        <w:jc w:val="both"/>
        <w:rPr>
          <w:rFonts w:ascii="Arial" w:hAnsi="Arial" w:cs="Arial"/>
        </w:rPr>
      </w:pPr>
    </w:p>
    <w:p w14:paraId="7FE6D0C8" w14:textId="77777777" w:rsidR="00C232D1" w:rsidRPr="00C272AF" w:rsidRDefault="00C232D1" w:rsidP="00384E39">
      <w:pPr>
        <w:spacing w:line="360" w:lineRule="auto"/>
        <w:jc w:val="both"/>
        <w:rPr>
          <w:rFonts w:ascii="Arial" w:hAnsi="Arial" w:cs="Arial"/>
          <w:b/>
          <w:bCs/>
        </w:rPr>
      </w:pPr>
    </w:p>
    <w:p w14:paraId="54E48E2D" w14:textId="77777777" w:rsidR="00C232D1" w:rsidRPr="00C272AF" w:rsidRDefault="00C232D1" w:rsidP="00384E39">
      <w:pPr>
        <w:spacing w:line="360" w:lineRule="auto"/>
        <w:jc w:val="both"/>
        <w:rPr>
          <w:rFonts w:ascii="Arial" w:hAnsi="Arial" w:cs="Arial"/>
          <w:b/>
          <w:bCs/>
        </w:rPr>
      </w:pPr>
    </w:p>
    <w:p w14:paraId="5F2F488F" w14:textId="77777777" w:rsidR="00C232D1" w:rsidRPr="00C272AF" w:rsidRDefault="00C232D1" w:rsidP="00384E39">
      <w:pPr>
        <w:spacing w:line="360" w:lineRule="auto"/>
        <w:jc w:val="both"/>
        <w:rPr>
          <w:rFonts w:ascii="Arial" w:hAnsi="Arial" w:cs="Arial"/>
          <w:b/>
          <w:bCs/>
        </w:rPr>
      </w:pPr>
    </w:p>
    <w:p w14:paraId="33FF8B96" w14:textId="77777777" w:rsidR="00C232D1" w:rsidRPr="00C272AF" w:rsidRDefault="00C232D1" w:rsidP="00384E39">
      <w:pPr>
        <w:spacing w:line="360" w:lineRule="auto"/>
        <w:jc w:val="both"/>
        <w:rPr>
          <w:rFonts w:ascii="Arial" w:hAnsi="Arial" w:cs="Arial"/>
          <w:b/>
          <w:bCs/>
        </w:rPr>
      </w:pPr>
    </w:p>
    <w:p w14:paraId="6D9ADA13" w14:textId="77777777" w:rsidR="00C232D1" w:rsidRPr="00C272AF" w:rsidRDefault="00C232D1" w:rsidP="00384E39">
      <w:pPr>
        <w:spacing w:line="360" w:lineRule="auto"/>
        <w:jc w:val="both"/>
        <w:rPr>
          <w:rFonts w:ascii="Arial" w:hAnsi="Arial" w:cs="Arial"/>
          <w:b/>
          <w:bCs/>
        </w:rPr>
      </w:pPr>
    </w:p>
    <w:p w14:paraId="68ACE9E9" w14:textId="77777777" w:rsidR="00C232D1" w:rsidRPr="00C272AF" w:rsidRDefault="00C232D1" w:rsidP="00384E39">
      <w:pPr>
        <w:spacing w:line="360" w:lineRule="auto"/>
        <w:jc w:val="both"/>
        <w:rPr>
          <w:rFonts w:ascii="Arial" w:hAnsi="Arial" w:cs="Arial"/>
          <w:b/>
          <w:bCs/>
        </w:rPr>
      </w:pPr>
    </w:p>
    <w:p w14:paraId="4C9675C5" w14:textId="77777777" w:rsidR="00C232D1" w:rsidRPr="00223F34" w:rsidRDefault="00C232D1" w:rsidP="00384E39">
      <w:pPr>
        <w:pStyle w:val="Heading1"/>
        <w:spacing w:line="360" w:lineRule="auto"/>
        <w:jc w:val="both"/>
        <w:rPr>
          <w:rFonts w:ascii="Arial" w:hAnsi="Arial" w:cs="Arial"/>
          <w:sz w:val="28"/>
          <w:szCs w:val="28"/>
        </w:rPr>
      </w:pPr>
      <w:bookmarkStart w:id="2" w:name="_Toc234489082"/>
      <w:r w:rsidRPr="00223F34">
        <w:rPr>
          <w:rFonts w:ascii="Arial" w:hAnsi="Arial" w:cs="Arial"/>
          <w:sz w:val="28"/>
          <w:szCs w:val="28"/>
        </w:rPr>
        <w:t>An Evaluation of Person-Centred Care and Partnership Working in Health and Social Care</w:t>
      </w:r>
      <w:bookmarkEnd w:id="2"/>
    </w:p>
    <w:p w14:paraId="4330F682" w14:textId="77777777" w:rsidR="00C232D1" w:rsidRPr="00223F34" w:rsidRDefault="00C232D1" w:rsidP="00384E39">
      <w:pPr>
        <w:pStyle w:val="Heading1"/>
        <w:spacing w:line="360" w:lineRule="auto"/>
        <w:jc w:val="both"/>
        <w:rPr>
          <w:rFonts w:ascii="Arial" w:hAnsi="Arial" w:cs="Arial"/>
          <w:sz w:val="28"/>
          <w:szCs w:val="28"/>
        </w:rPr>
      </w:pPr>
      <w:bookmarkStart w:id="3" w:name="_Toc234489083"/>
      <w:r w:rsidRPr="00223F34">
        <w:rPr>
          <w:rFonts w:ascii="Arial" w:hAnsi="Arial" w:cs="Arial"/>
          <w:sz w:val="28"/>
          <w:szCs w:val="28"/>
        </w:rPr>
        <w:t>Introduction</w:t>
      </w:r>
      <w:bookmarkEnd w:id="3"/>
    </w:p>
    <w:p w14:paraId="486DC14D" w14:textId="77777777" w:rsidR="00C232D1" w:rsidRPr="00C272AF" w:rsidRDefault="00C232D1" w:rsidP="00384E39">
      <w:pPr>
        <w:spacing w:line="360" w:lineRule="auto"/>
        <w:jc w:val="both"/>
        <w:rPr>
          <w:rFonts w:ascii="Arial" w:hAnsi="Arial" w:cs="Arial"/>
        </w:rPr>
      </w:pPr>
      <w:r w:rsidRPr="00C272AF">
        <w:rPr>
          <w:rFonts w:ascii="Arial" w:hAnsi="Arial" w:cs="Arial"/>
        </w:rPr>
        <w:t>Person-centred care (PCC) and partnership working (PW) are key approaches used in health and social care services in the United Kingdom. These approaches aim to improve the quality of care by focusing on the needs, preferences, and experiences of individuals, while also encouraging professionals and organisations to work together effectively. In recent years, health and social care policy has strongly promoted PCC and PW as ways to improve outcomes, reduce inequalities, and deliver more coordinated services.</w:t>
      </w:r>
    </w:p>
    <w:p w14:paraId="359D8C47" w14:textId="77777777" w:rsidR="00C232D1" w:rsidRPr="00C272AF" w:rsidRDefault="00C232D1" w:rsidP="00384E39">
      <w:pPr>
        <w:spacing w:line="360" w:lineRule="auto"/>
        <w:jc w:val="both"/>
        <w:rPr>
          <w:rFonts w:ascii="Arial" w:hAnsi="Arial" w:cs="Arial"/>
        </w:rPr>
      </w:pPr>
      <w:r w:rsidRPr="00C272AF">
        <w:rPr>
          <w:rFonts w:ascii="Arial" w:hAnsi="Arial" w:cs="Arial"/>
        </w:rPr>
        <w:t>Person-centred care places the individual at the centre of all decisions about their care. It recognises that people are experts in their own lives and should be treated with dignity, respect, and compassion. Partnership working supports this approach by ensuring that different professionals, services, service users, and carers collaborate to provide safe, effective, and joined-up care. These approaches are particularly important in community health and social care settings, where individuals often have complex and long-term needs.</w:t>
      </w:r>
    </w:p>
    <w:p w14:paraId="781B4972" w14:textId="77777777" w:rsidR="00C232D1" w:rsidRPr="00C272AF" w:rsidRDefault="00C232D1" w:rsidP="00384E39">
      <w:pPr>
        <w:spacing w:line="360" w:lineRule="auto"/>
        <w:jc w:val="both"/>
        <w:rPr>
          <w:rFonts w:ascii="Arial" w:hAnsi="Arial" w:cs="Arial"/>
        </w:rPr>
      </w:pPr>
      <w:r w:rsidRPr="00C272AF">
        <w:rPr>
          <w:rFonts w:ascii="Arial" w:hAnsi="Arial" w:cs="Arial"/>
        </w:rPr>
        <w:t>The purpose of this report is to critically evaluate person-centred care and partnership working in health and social care. The chosen practical setting for this report is community health and social care services. The report will define person-centred care and partnership working, explore their benefits and limitations, examine relevant theories and ethical principles, analyse the impact of partnership working, and discuss relevant UK policies and legislation. Finally, the report will make evidence-based recommendations for future development of PCC and PW in the UK.</w:t>
      </w:r>
    </w:p>
    <w:p w14:paraId="49DD8975" w14:textId="77777777" w:rsidR="00C232D1" w:rsidRPr="00223F34" w:rsidRDefault="00C232D1" w:rsidP="00384E39">
      <w:pPr>
        <w:pStyle w:val="Heading2"/>
        <w:spacing w:line="360" w:lineRule="auto"/>
        <w:jc w:val="both"/>
        <w:rPr>
          <w:rFonts w:ascii="Arial" w:hAnsi="Arial" w:cs="Arial"/>
          <w:sz w:val="28"/>
          <w:szCs w:val="28"/>
        </w:rPr>
      </w:pPr>
      <w:bookmarkStart w:id="4" w:name="_Toc234489084"/>
      <w:r w:rsidRPr="00223F34">
        <w:rPr>
          <w:rFonts w:ascii="Arial" w:hAnsi="Arial" w:cs="Arial"/>
          <w:sz w:val="28"/>
          <w:szCs w:val="28"/>
        </w:rPr>
        <w:t>Definition of Person-Centred Care</w:t>
      </w:r>
      <w:bookmarkEnd w:id="4"/>
    </w:p>
    <w:p w14:paraId="52EF2ED6" w14:textId="77777777" w:rsidR="00C232D1" w:rsidRPr="00C272AF" w:rsidRDefault="00C232D1" w:rsidP="00384E39">
      <w:pPr>
        <w:spacing w:line="360" w:lineRule="auto"/>
        <w:jc w:val="both"/>
        <w:rPr>
          <w:rFonts w:ascii="Arial" w:hAnsi="Arial" w:cs="Arial"/>
        </w:rPr>
      </w:pPr>
      <w:r w:rsidRPr="00C272AF">
        <w:rPr>
          <w:rFonts w:ascii="Arial" w:hAnsi="Arial" w:cs="Arial"/>
        </w:rPr>
        <w:t xml:space="preserve">Person-centred care is an approach that focuses on treating individuals as unique people rather than simply as patients or service users. It involves respecting people’s values, beliefs, preferences, and choices, and actively involving them in decisions </w:t>
      </w:r>
      <w:r w:rsidRPr="00C272AF">
        <w:rPr>
          <w:rFonts w:ascii="Arial" w:hAnsi="Arial" w:cs="Arial"/>
        </w:rPr>
        <w:lastRenderedPageBreak/>
        <w:t>about their care (McCormack and McCance, 2017). PCC recognises that good care should be based on what matters most to the individual, not just on medical needs.</w:t>
      </w:r>
    </w:p>
    <w:p w14:paraId="3CE49FB5" w14:textId="77777777" w:rsidR="00C232D1" w:rsidRPr="00C272AF" w:rsidRDefault="00C232D1" w:rsidP="00384E39">
      <w:pPr>
        <w:spacing w:line="360" w:lineRule="auto"/>
        <w:jc w:val="both"/>
        <w:rPr>
          <w:rFonts w:ascii="Arial" w:hAnsi="Arial" w:cs="Arial"/>
        </w:rPr>
      </w:pPr>
      <w:r w:rsidRPr="00C272AF">
        <w:rPr>
          <w:rFonts w:ascii="Arial" w:hAnsi="Arial" w:cs="Arial"/>
        </w:rPr>
        <w:t>In community health and social care services, person-centred care means supporting people to live as independently as possible in their own homes and communities. This includes listening to individuals, involving them in care planning, and recognising the importance of social, emotional, and cultural needs. According to the Health Foundation (2016), PCC improves people’s experiences of care and leads to better health and wellbeing outcomes.</w:t>
      </w:r>
    </w:p>
    <w:p w14:paraId="29CFC609" w14:textId="77777777" w:rsidR="00C232D1" w:rsidRPr="00223F34" w:rsidRDefault="00C232D1" w:rsidP="00384E39">
      <w:pPr>
        <w:pStyle w:val="Heading2"/>
        <w:spacing w:line="360" w:lineRule="auto"/>
        <w:jc w:val="both"/>
        <w:rPr>
          <w:rFonts w:ascii="Arial" w:hAnsi="Arial" w:cs="Arial"/>
          <w:sz w:val="28"/>
          <w:szCs w:val="28"/>
        </w:rPr>
      </w:pPr>
      <w:bookmarkStart w:id="5" w:name="_Toc234489085"/>
      <w:r w:rsidRPr="00223F34">
        <w:rPr>
          <w:rFonts w:ascii="Arial" w:hAnsi="Arial" w:cs="Arial"/>
          <w:sz w:val="28"/>
          <w:szCs w:val="28"/>
        </w:rPr>
        <w:t>Benefits of Person-Centred Care</w:t>
      </w:r>
      <w:bookmarkEnd w:id="5"/>
    </w:p>
    <w:p w14:paraId="22ED1499" w14:textId="77777777" w:rsidR="00C232D1" w:rsidRPr="00C272AF" w:rsidRDefault="00C232D1" w:rsidP="00384E39">
      <w:pPr>
        <w:spacing w:line="360" w:lineRule="auto"/>
        <w:jc w:val="both"/>
        <w:rPr>
          <w:rFonts w:ascii="Arial" w:hAnsi="Arial" w:cs="Arial"/>
        </w:rPr>
      </w:pPr>
      <w:r w:rsidRPr="00C272AF">
        <w:rPr>
          <w:rFonts w:ascii="Arial" w:hAnsi="Arial" w:cs="Arial"/>
        </w:rPr>
        <w:t>One of the main benefits of person-centred care is improved satisfaction. When individuals feel listened to and respected, they are more likely to trust professionals and feel confident about their care (NHS England, 2019). In community settings, this trust is important for building long-term relationships between service users and care providers.</w:t>
      </w:r>
    </w:p>
    <w:p w14:paraId="7C3BF670" w14:textId="77777777" w:rsidR="00C232D1" w:rsidRPr="00C272AF" w:rsidRDefault="00C232D1" w:rsidP="00384E39">
      <w:pPr>
        <w:spacing w:line="360" w:lineRule="auto"/>
        <w:jc w:val="both"/>
        <w:rPr>
          <w:rFonts w:ascii="Arial" w:hAnsi="Arial" w:cs="Arial"/>
        </w:rPr>
      </w:pPr>
      <w:r w:rsidRPr="00C272AF">
        <w:rPr>
          <w:rFonts w:ascii="Arial" w:hAnsi="Arial" w:cs="Arial"/>
        </w:rPr>
        <w:t>Another benefit of PCC is better health outcomes. Person-centred care encourages shared decision-making, which helps individuals understand their conditions and treatment options. This can improve self-management of long-term conditions and reduce unnecessary hospital admissions (NICE, 2022). For example, individuals with chronic illnesses may feel more motivated to follow care plans that reflect their personal goals.</w:t>
      </w:r>
    </w:p>
    <w:p w14:paraId="236A241F" w14:textId="77777777" w:rsidR="00C232D1" w:rsidRPr="00C272AF" w:rsidRDefault="00C232D1" w:rsidP="00384E39">
      <w:pPr>
        <w:spacing w:line="360" w:lineRule="auto"/>
        <w:jc w:val="both"/>
        <w:rPr>
          <w:rFonts w:ascii="Arial" w:hAnsi="Arial" w:cs="Arial"/>
        </w:rPr>
      </w:pPr>
      <w:r w:rsidRPr="00C272AF">
        <w:rPr>
          <w:rFonts w:ascii="Arial" w:hAnsi="Arial" w:cs="Arial"/>
        </w:rPr>
        <w:t>Person-centred care also promotes independence and empowerment. By focusing on strengths rather than limitations, PCC helps individuals take control of their own lives. This is especially important in community care, where the aim is often to support people to remain at home rather than rely on institutional care (McMillan et al., 2013).</w:t>
      </w:r>
    </w:p>
    <w:p w14:paraId="39F86F70" w14:textId="77777777" w:rsidR="00C232D1" w:rsidRPr="00C272AF" w:rsidRDefault="00C232D1" w:rsidP="00384E39">
      <w:pPr>
        <w:spacing w:line="360" w:lineRule="auto"/>
        <w:jc w:val="both"/>
        <w:rPr>
          <w:rFonts w:ascii="Arial" w:hAnsi="Arial" w:cs="Arial"/>
        </w:rPr>
      </w:pPr>
      <w:r w:rsidRPr="00C272AF">
        <w:rPr>
          <w:rFonts w:ascii="Arial" w:hAnsi="Arial" w:cs="Arial"/>
        </w:rPr>
        <w:t>In addition, PCC can improve communication between professionals and service users. Clear and open communication helps reduce misunderstandings and supports safer care.</w:t>
      </w:r>
    </w:p>
    <w:p w14:paraId="0AD7DBAE" w14:textId="77777777" w:rsidR="00C232D1" w:rsidRPr="005371DA" w:rsidRDefault="00C232D1" w:rsidP="00384E39">
      <w:pPr>
        <w:pStyle w:val="Heading2"/>
        <w:spacing w:line="360" w:lineRule="auto"/>
        <w:jc w:val="both"/>
        <w:rPr>
          <w:rFonts w:ascii="Arial" w:hAnsi="Arial" w:cs="Arial"/>
          <w:sz w:val="28"/>
          <w:szCs w:val="28"/>
        </w:rPr>
      </w:pPr>
      <w:bookmarkStart w:id="6" w:name="_Toc234489086"/>
      <w:r w:rsidRPr="005371DA">
        <w:rPr>
          <w:rFonts w:ascii="Arial" w:hAnsi="Arial" w:cs="Arial"/>
          <w:sz w:val="28"/>
          <w:szCs w:val="28"/>
        </w:rPr>
        <w:t>Limitations of Person-Centred Care</w:t>
      </w:r>
      <w:bookmarkEnd w:id="6"/>
    </w:p>
    <w:p w14:paraId="27A28360" w14:textId="78013B13" w:rsidR="00563AD0" w:rsidRDefault="00563AD0" w:rsidP="00384E39">
      <w:pPr>
        <w:spacing w:line="360" w:lineRule="auto"/>
        <w:jc w:val="both"/>
        <w:rPr>
          <w:rFonts w:ascii="Arial" w:hAnsi="Arial" w:cs="Arial"/>
        </w:rPr>
      </w:pPr>
      <w:r w:rsidRPr="00563AD0">
        <w:rPr>
          <w:rFonts w:ascii="Arial" w:hAnsi="Arial" w:cs="Arial"/>
        </w:rPr>
        <w:t xml:space="preserve">Despite its many benefits, person-centred care has several limitations. One major challenge is limited resources, including staff shortages, time pressures, and funding constraints. In busy community services, professionals may struggle to spend enough </w:t>
      </w:r>
      <w:r w:rsidRPr="00563AD0">
        <w:rPr>
          <w:rFonts w:ascii="Arial" w:hAnsi="Arial" w:cs="Arial"/>
        </w:rPr>
        <w:lastRenderedPageBreak/>
        <w:t>time with individuals to fully explore their preferences and involve them in decisions (Royal College of Nursing, 2021).</w:t>
      </w:r>
    </w:p>
    <w:p w14:paraId="6DFEF028" w14:textId="5DBE5F2E" w:rsidR="00852880" w:rsidRPr="00C272AF" w:rsidRDefault="00852880" w:rsidP="00384E39">
      <w:pPr>
        <w:spacing w:line="360" w:lineRule="auto"/>
        <w:jc w:val="both"/>
        <w:rPr>
          <w:rFonts w:ascii="Arial" w:hAnsi="Arial" w:cs="Arial"/>
        </w:rPr>
      </w:pPr>
      <w:r w:rsidRPr="00C272AF">
        <w:rPr>
          <w:rFonts w:ascii="Arial" w:hAnsi="Arial" w:cs="Arial"/>
        </w:rPr>
        <w:t>Another limitation is resistance to change. Some professionals may be used to traditional, task-focused models of care and find it difficult to move towards a more collaborative approach (Entwistle and Watt, 2013). This can lead to inconsistent application of person-centred principles.</w:t>
      </w:r>
    </w:p>
    <w:p w14:paraId="05A8E87D" w14:textId="68502344" w:rsidR="00852880" w:rsidRPr="00C272AF" w:rsidRDefault="00852880" w:rsidP="00384E39">
      <w:pPr>
        <w:spacing w:line="360" w:lineRule="auto"/>
        <w:jc w:val="both"/>
        <w:rPr>
          <w:rFonts w:ascii="Arial" w:hAnsi="Arial" w:cs="Arial"/>
        </w:rPr>
      </w:pPr>
      <w:r w:rsidRPr="00C272AF">
        <w:rPr>
          <w:rFonts w:ascii="Arial" w:hAnsi="Arial" w:cs="Arial"/>
        </w:rPr>
        <w:t>There are also ethical challenges linked to PCC. For example, individuals may make choices that professionals believe could cause harm. In these situations, staff must balance respecting autonomy with their duty of care. This can be particularly difficult in community settings, where individuals live independently and may refuse support.</w:t>
      </w:r>
    </w:p>
    <w:p w14:paraId="58D476C5" w14:textId="77777777" w:rsidR="00E77076" w:rsidRPr="005371DA" w:rsidRDefault="00E77076" w:rsidP="00384E39">
      <w:pPr>
        <w:pStyle w:val="Heading2"/>
        <w:spacing w:line="360" w:lineRule="auto"/>
        <w:jc w:val="both"/>
        <w:rPr>
          <w:rFonts w:ascii="Arial" w:hAnsi="Arial" w:cs="Arial"/>
          <w:sz w:val="28"/>
          <w:szCs w:val="28"/>
        </w:rPr>
      </w:pPr>
      <w:bookmarkStart w:id="7" w:name="_Toc234489087"/>
      <w:r w:rsidRPr="005371DA">
        <w:rPr>
          <w:rFonts w:ascii="Arial" w:hAnsi="Arial" w:cs="Arial"/>
          <w:sz w:val="28"/>
          <w:szCs w:val="28"/>
        </w:rPr>
        <w:t>Theories That Support Person-Centred Care</w:t>
      </w:r>
      <w:bookmarkEnd w:id="7"/>
    </w:p>
    <w:p w14:paraId="3BD15B86" w14:textId="77777777" w:rsidR="00EA4D11" w:rsidRPr="00C272AF" w:rsidRDefault="00EA4D11" w:rsidP="00384E39">
      <w:pPr>
        <w:spacing w:line="360" w:lineRule="auto"/>
        <w:jc w:val="both"/>
        <w:rPr>
          <w:rFonts w:ascii="Arial" w:hAnsi="Arial" w:cs="Arial"/>
        </w:rPr>
      </w:pPr>
      <w:r w:rsidRPr="00C272AF">
        <w:rPr>
          <w:rFonts w:ascii="Arial" w:hAnsi="Arial" w:cs="Arial"/>
        </w:rPr>
        <w:t>Several theories help explain and support person-centred care. One important theory is Maslow’s Hierarchy of Needs, which suggests that people must have their basic needs met before they can focus on higher-level needs such as self-esteem and personal development (Maslow, 1943). In community care, this highlights the importance of addressing housing, safety, and social support alongside health needs.</w:t>
      </w:r>
    </w:p>
    <w:p w14:paraId="69B1048F" w14:textId="77777777" w:rsidR="00EA4D11" w:rsidRPr="00C272AF" w:rsidRDefault="00EA4D11" w:rsidP="00384E39">
      <w:pPr>
        <w:spacing w:line="360" w:lineRule="auto"/>
        <w:jc w:val="both"/>
        <w:rPr>
          <w:rFonts w:ascii="Arial" w:hAnsi="Arial" w:cs="Arial"/>
        </w:rPr>
      </w:pPr>
      <w:r w:rsidRPr="00C272AF">
        <w:rPr>
          <w:rFonts w:ascii="Arial" w:hAnsi="Arial" w:cs="Arial"/>
        </w:rPr>
        <w:t>Another key theory is Carl Rogers’ Person-Centred Theory. Rogers emphasised the importance of empathy, respect, and unconditional positive regard. He believed that people are more likely to grow and make positive changes when they feel understood and valued (Rogers, 1951). This theory strongly supports the values of person-centred care in health and social care practice.</w:t>
      </w:r>
    </w:p>
    <w:p w14:paraId="50B84A07" w14:textId="77777777" w:rsidR="00716DF0" w:rsidRPr="00C272AF" w:rsidRDefault="00EA4D11" w:rsidP="00384E39">
      <w:pPr>
        <w:spacing w:line="360" w:lineRule="auto"/>
        <w:jc w:val="both"/>
        <w:rPr>
          <w:rFonts w:ascii="Arial" w:hAnsi="Arial" w:cs="Arial"/>
        </w:rPr>
      </w:pPr>
      <w:r w:rsidRPr="00C272AF">
        <w:rPr>
          <w:rFonts w:ascii="Arial" w:hAnsi="Arial" w:cs="Arial"/>
        </w:rPr>
        <w:t>These theories support PCC by encouraging holistic care that focuses on the whole person rather than just their illness or condition</w:t>
      </w:r>
    </w:p>
    <w:p w14:paraId="04ED70D5" w14:textId="48FCDC9D" w:rsidR="005508CA" w:rsidRPr="005371DA" w:rsidRDefault="005508CA" w:rsidP="00384E39">
      <w:pPr>
        <w:pStyle w:val="Heading2"/>
        <w:spacing w:line="360" w:lineRule="auto"/>
        <w:jc w:val="both"/>
        <w:rPr>
          <w:rFonts w:ascii="Arial" w:hAnsi="Arial" w:cs="Arial"/>
          <w:sz w:val="28"/>
          <w:szCs w:val="28"/>
        </w:rPr>
      </w:pPr>
      <w:bookmarkStart w:id="8" w:name="_Toc234489088"/>
      <w:r w:rsidRPr="005371DA">
        <w:rPr>
          <w:rFonts w:ascii="Arial" w:hAnsi="Arial" w:cs="Arial"/>
          <w:sz w:val="28"/>
          <w:szCs w:val="28"/>
        </w:rPr>
        <w:t>Ethical Principles in Health and Social Care</w:t>
      </w:r>
      <w:bookmarkEnd w:id="8"/>
    </w:p>
    <w:p w14:paraId="7F2F1168" w14:textId="77777777" w:rsidR="00230A72" w:rsidRPr="00C272AF" w:rsidRDefault="00230A72" w:rsidP="00384E39">
      <w:pPr>
        <w:spacing w:line="360" w:lineRule="auto"/>
        <w:jc w:val="both"/>
        <w:rPr>
          <w:rFonts w:ascii="Arial" w:hAnsi="Arial" w:cs="Arial"/>
        </w:rPr>
      </w:pPr>
      <w:r w:rsidRPr="00C272AF">
        <w:rPr>
          <w:rFonts w:ascii="Arial" w:hAnsi="Arial" w:cs="Arial"/>
        </w:rPr>
        <w:t>Ethical principles play a vital role in person-centred care and partnership working. The four main ethical principles are autonomy, beneficence, non-maleficence, and justice (Beauchamp and Childress, 2019).</w:t>
      </w:r>
    </w:p>
    <w:p w14:paraId="4BBBC801" w14:textId="77777777" w:rsidR="00230A72" w:rsidRPr="00C272AF" w:rsidRDefault="00230A72" w:rsidP="00384E39">
      <w:pPr>
        <w:spacing w:line="360" w:lineRule="auto"/>
        <w:jc w:val="both"/>
        <w:rPr>
          <w:rFonts w:ascii="Arial" w:hAnsi="Arial" w:cs="Arial"/>
        </w:rPr>
      </w:pPr>
      <w:r w:rsidRPr="00C272AF">
        <w:rPr>
          <w:rFonts w:ascii="Arial" w:hAnsi="Arial" w:cs="Arial"/>
          <w:b/>
          <w:bCs/>
        </w:rPr>
        <w:t>Autonomy</w:t>
      </w:r>
      <w:r w:rsidRPr="00C272AF">
        <w:rPr>
          <w:rFonts w:ascii="Arial" w:hAnsi="Arial" w:cs="Arial"/>
        </w:rPr>
        <w:t xml:space="preserve"> refers to respecting individuals’ rights to make their own decisions about care. In community services, this means involving people in care planning and respecting their choices wherever possible.</w:t>
      </w:r>
    </w:p>
    <w:p w14:paraId="7DF4A6B3" w14:textId="77777777" w:rsidR="00230A72" w:rsidRPr="00C272AF" w:rsidRDefault="00230A72" w:rsidP="00384E39">
      <w:pPr>
        <w:spacing w:line="360" w:lineRule="auto"/>
        <w:jc w:val="both"/>
        <w:rPr>
          <w:rFonts w:ascii="Arial" w:hAnsi="Arial" w:cs="Arial"/>
        </w:rPr>
      </w:pPr>
      <w:r w:rsidRPr="00C272AF">
        <w:rPr>
          <w:rFonts w:ascii="Arial" w:hAnsi="Arial" w:cs="Arial"/>
          <w:b/>
          <w:bCs/>
        </w:rPr>
        <w:lastRenderedPageBreak/>
        <w:t>Beneficence</w:t>
      </w:r>
      <w:r w:rsidRPr="00C272AF">
        <w:rPr>
          <w:rFonts w:ascii="Arial" w:hAnsi="Arial" w:cs="Arial"/>
        </w:rPr>
        <w:t xml:space="preserve"> involves acting in the best interests of the individual, while non-maleficence means avoiding harm. These principles guide professionals to provide safe and effective care.</w:t>
      </w:r>
    </w:p>
    <w:p w14:paraId="2DAC2727" w14:textId="77777777" w:rsidR="00230A72" w:rsidRPr="00C272AF" w:rsidRDefault="00230A72" w:rsidP="00384E39">
      <w:pPr>
        <w:spacing w:line="360" w:lineRule="auto"/>
        <w:jc w:val="both"/>
        <w:rPr>
          <w:rFonts w:ascii="Arial" w:hAnsi="Arial" w:cs="Arial"/>
        </w:rPr>
      </w:pPr>
      <w:r w:rsidRPr="00C272AF">
        <w:rPr>
          <w:rFonts w:ascii="Arial" w:hAnsi="Arial" w:cs="Arial"/>
          <w:b/>
          <w:bCs/>
        </w:rPr>
        <w:t xml:space="preserve">Justice </w:t>
      </w:r>
      <w:r w:rsidRPr="00C272AF">
        <w:rPr>
          <w:rFonts w:ascii="Arial" w:hAnsi="Arial" w:cs="Arial"/>
        </w:rPr>
        <w:t>relates to fairness and equality, ensuring that everyone has equal access to services regardless of background or circumstances.</w:t>
      </w:r>
    </w:p>
    <w:p w14:paraId="3BCB8727" w14:textId="4066BC0A" w:rsidR="00230A72" w:rsidRPr="00C272AF" w:rsidRDefault="00230A72" w:rsidP="00384E39">
      <w:pPr>
        <w:spacing w:line="360" w:lineRule="auto"/>
        <w:jc w:val="both"/>
        <w:rPr>
          <w:rFonts w:ascii="Arial" w:hAnsi="Arial" w:cs="Arial"/>
        </w:rPr>
      </w:pPr>
      <w:r w:rsidRPr="00C272AF">
        <w:rPr>
          <w:rFonts w:ascii="Arial" w:hAnsi="Arial" w:cs="Arial"/>
        </w:rPr>
        <w:t>Ethical dilemmas often arise in community settings, such as when individuals refuse care or support. In these situations, professionals must carefully consider ethical principles and work in partnership with others to reach safe and respectful solution</w:t>
      </w:r>
    </w:p>
    <w:p w14:paraId="3D7EE1A5" w14:textId="1F71C16B" w:rsidR="000B6DFE" w:rsidRPr="005371DA" w:rsidRDefault="005508CA" w:rsidP="00384E39">
      <w:pPr>
        <w:pStyle w:val="Heading2"/>
        <w:spacing w:line="360" w:lineRule="auto"/>
        <w:jc w:val="both"/>
        <w:rPr>
          <w:rFonts w:ascii="Arial" w:hAnsi="Arial" w:cs="Arial"/>
          <w:sz w:val="28"/>
          <w:szCs w:val="28"/>
        </w:rPr>
      </w:pPr>
      <w:bookmarkStart w:id="9" w:name="_Toc234489089"/>
      <w:r w:rsidRPr="005371DA">
        <w:rPr>
          <w:rFonts w:ascii="Arial" w:hAnsi="Arial" w:cs="Arial"/>
          <w:sz w:val="28"/>
          <w:szCs w:val="28"/>
        </w:rPr>
        <w:t>Definition and Importance of Partnership Workin</w:t>
      </w:r>
      <w:r w:rsidR="000B6DFE" w:rsidRPr="005371DA">
        <w:rPr>
          <w:rFonts w:ascii="Arial" w:hAnsi="Arial" w:cs="Arial"/>
          <w:sz w:val="28"/>
          <w:szCs w:val="28"/>
        </w:rPr>
        <w:t>g</w:t>
      </w:r>
      <w:bookmarkEnd w:id="9"/>
    </w:p>
    <w:p w14:paraId="684340C7" w14:textId="77777777" w:rsidR="007F22EF" w:rsidRPr="00C272AF" w:rsidRDefault="007F22EF" w:rsidP="00384E39">
      <w:pPr>
        <w:spacing w:line="360" w:lineRule="auto"/>
        <w:jc w:val="both"/>
        <w:rPr>
          <w:rFonts w:ascii="Arial" w:hAnsi="Arial" w:cs="Arial"/>
        </w:rPr>
      </w:pPr>
      <w:r w:rsidRPr="00C272AF">
        <w:rPr>
          <w:rFonts w:ascii="Arial" w:hAnsi="Arial" w:cs="Arial"/>
        </w:rPr>
        <w:t>Partnership working refers to different professionals, organisations, service users, and carers working together to deliver coordinated and effective care (Glasby and Dickinson, 2014). In health and social care, this includes collaboration between the NHS, local authorities, voluntary organisations, and families.</w:t>
      </w:r>
    </w:p>
    <w:p w14:paraId="105F1E11" w14:textId="77190874" w:rsidR="007F22EF" w:rsidRPr="00C272AF" w:rsidRDefault="007F22EF" w:rsidP="00384E39">
      <w:pPr>
        <w:spacing w:line="360" w:lineRule="auto"/>
        <w:jc w:val="both"/>
        <w:rPr>
          <w:rFonts w:ascii="Arial" w:hAnsi="Arial" w:cs="Arial"/>
        </w:rPr>
      </w:pPr>
      <w:r w:rsidRPr="00C272AF">
        <w:rPr>
          <w:rFonts w:ascii="Arial" w:hAnsi="Arial" w:cs="Arial"/>
        </w:rPr>
        <w:t>Partnership working is especially important in community health and social care because individuals often have complex needs that cannot be met by one service alone. Effective partnership working improves communication, reduces duplication of services, and supports continuity of care (World Health Organization, 2016).</w:t>
      </w:r>
    </w:p>
    <w:p w14:paraId="6EFFED8C" w14:textId="30D762A6" w:rsidR="001E545B" w:rsidRPr="005371DA" w:rsidRDefault="005508CA" w:rsidP="00384E39">
      <w:pPr>
        <w:pStyle w:val="Heading2"/>
        <w:spacing w:line="360" w:lineRule="auto"/>
        <w:jc w:val="both"/>
        <w:rPr>
          <w:rFonts w:ascii="Arial" w:hAnsi="Arial" w:cs="Arial"/>
          <w:sz w:val="28"/>
          <w:szCs w:val="28"/>
        </w:rPr>
      </w:pPr>
      <w:bookmarkStart w:id="10" w:name="_Toc234489090"/>
      <w:r w:rsidRPr="005371DA">
        <w:rPr>
          <w:rFonts w:ascii="Arial" w:hAnsi="Arial" w:cs="Arial"/>
          <w:sz w:val="28"/>
          <w:szCs w:val="28"/>
        </w:rPr>
        <w:t xml:space="preserve">Benefits of Partnership </w:t>
      </w:r>
      <w:r w:rsidR="001E545B" w:rsidRPr="005371DA">
        <w:rPr>
          <w:rFonts w:ascii="Arial" w:hAnsi="Arial" w:cs="Arial"/>
          <w:sz w:val="28"/>
          <w:szCs w:val="28"/>
        </w:rPr>
        <w:t>Working</w:t>
      </w:r>
      <w:bookmarkEnd w:id="10"/>
    </w:p>
    <w:p w14:paraId="0C20F4F7" w14:textId="77777777" w:rsidR="001E545B" w:rsidRPr="00C272AF" w:rsidRDefault="001E545B" w:rsidP="00384E39">
      <w:pPr>
        <w:spacing w:line="360" w:lineRule="auto"/>
        <w:jc w:val="both"/>
        <w:rPr>
          <w:rFonts w:ascii="Arial" w:hAnsi="Arial" w:cs="Arial"/>
        </w:rPr>
      </w:pPr>
      <w:r w:rsidRPr="00C272AF">
        <w:rPr>
          <w:rFonts w:ascii="Arial" w:hAnsi="Arial" w:cs="Arial"/>
        </w:rPr>
        <w:t>One key benefit of partnership working is improved service delivery. When professionals share information and work together, care becomes more efficient and better coordinated (Glasby, 2017). This can reduce delays and prevent gaps in care.</w:t>
      </w:r>
    </w:p>
    <w:p w14:paraId="67626C5D" w14:textId="77777777" w:rsidR="001E545B" w:rsidRPr="00C272AF" w:rsidRDefault="001E545B" w:rsidP="00384E39">
      <w:pPr>
        <w:spacing w:line="360" w:lineRule="auto"/>
        <w:jc w:val="both"/>
        <w:rPr>
          <w:rFonts w:ascii="Arial" w:hAnsi="Arial" w:cs="Arial"/>
        </w:rPr>
      </w:pPr>
      <w:r w:rsidRPr="00C272AF">
        <w:rPr>
          <w:rFonts w:ascii="Arial" w:hAnsi="Arial" w:cs="Arial"/>
        </w:rPr>
        <w:t>Partnership working also supports holistic care, as different professionals bring different skills and perspectives. For example, community nurses, social workers, occupational therapists, and voluntary organisations can work together to support physical, emotional, and social needs.</w:t>
      </w:r>
    </w:p>
    <w:p w14:paraId="6CAD944A" w14:textId="45E4144F" w:rsidR="001E545B" w:rsidRPr="00C272AF" w:rsidRDefault="001E545B" w:rsidP="00384E39">
      <w:pPr>
        <w:spacing w:line="360" w:lineRule="auto"/>
        <w:jc w:val="both"/>
        <w:rPr>
          <w:rFonts w:ascii="Arial" w:hAnsi="Arial" w:cs="Arial"/>
        </w:rPr>
      </w:pPr>
      <w:r w:rsidRPr="00C272AF">
        <w:rPr>
          <w:rFonts w:ascii="Arial" w:hAnsi="Arial" w:cs="Arial"/>
        </w:rPr>
        <w:t>Another benefit is improved outcomes for service users. Research shows that integrated care and partnership working can reduce hospital admissions and improve quality of life for people with long-term conditions (NHS England, 2019).</w:t>
      </w:r>
    </w:p>
    <w:p w14:paraId="4522A69D" w14:textId="11053630" w:rsidR="005A515E" w:rsidRPr="005371DA" w:rsidRDefault="005A515E" w:rsidP="00384E39">
      <w:pPr>
        <w:pStyle w:val="Heading2"/>
        <w:spacing w:line="360" w:lineRule="auto"/>
        <w:jc w:val="both"/>
        <w:rPr>
          <w:rFonts w:ascii="Arial" w:hAnsi="Arial" w:cs="Arial"/>
          <w:sz w:val="28"/>
          <w:szCs w:val="28"/>
        </w:rPr>
      </w:pPr>
      <w:bookmarkStart w:id="11" w:name="_Toc234489091"/>
      <w:r w:rsidRPr="005371DA">
        <w:rPr>
          <w:rFonts w:ascii="Arial" w:hAnsi="Arial" w:cs="Arial"/>
          <w:sz w:val="28"/>
          <w:szCs w:val="28"/>
        </w:rPr>
        <w:lastRenderedPageBreak/>
        <w:t>Challenges of Partnership Working</w:t>
      </w:r>
      <w:bookmarkEnd w:id="11"/>
    </w:p>
    <w:p w14:paraId="7F9AE5FA" w14:textId="77777777" w:rsidR="00C66CFF" w:rsidRPr="00C272AF" w:rsidRDefault="00C66CFF" w:rsidP="00384E39">
      <w:pPr>
        <w:spacing w:line="360" w:lineRule="auto"/>
        <w:jc w:val="both"/>
        <w:rPr>
          <w:rFonts w:ascii="Arial" w:hAnsi="Arial" w:cs="Arial"/>
        </w:rPr>
      </w:pPr>
      <w:r w:rsidRPr="00C272AF">
        <w:rPr>
          <w:rFonts w:ascii="Arial" w:hAnsi="Arial" w:cs="Arial"/>
        </w:rPr>
        <w:t>Despite its advantages, partnership working can be challenging. One major issue is poor communication between organisations, which may use different systems, language, or priorities (Atkinson et al., 2007).</w:t>
      </w:r>
    </w:p>
    <w:p w14:paraId="74759BF5" w14:textId="77777777" w:rsidR="00C66CFF" w:rsidRPr="00C272AF" w:rsidRDefault="00C66CFF" w:rsidP="00384E39">
      <w:pPr>
        <w:spacing w:line="360" w:lineRule="auto"/>
        <w:jc w:val="both"/>
        <w:rPr>
          <w:rFonts w:ascii="Arial" w:hAnsi="Arial" w:cs="Arial"/>
        </w:rPr>
      </w:pPr>
      <w:r w:rsidRPr="00C272AF">
        <w:rPr>
          <w:rFonts w:ascii="Arial" w:hAnsi="Arial" w:cs="Arial"/>
        </w:rPr>
        <w:t>Another challenge is unclear roles and responsibilities, which can cause confusion and lead to delays in care. Differences in organisational culture and professional values can also make collaboration difficult.</w:t>
      </w:r>
    </w:p>
    <w:p w14:paraId="54B9E121" w14:textId="5EECF4D2" w:rsidR="00C66CFF" w:rsidRPr="00C272AF" w:rsidRDefault="00C66CFF" w:rsidP="00384E39">
      <w:pPr>
        <w:spacing w:line="360" w:lineRule="auto"/>
        <w:jc w:val="both"/>
        <w:rPr>
          <w:rFonts w:ascii="Arial" w:hAnsi="Arial" w:cs="Arial"/>
        </w:rPr>
      </w:pPr>
      <w:r w:rsidRPr="00C272AF">
        <w:rPr>
          <w:rFonts w:ascii="Arial" w:hAnsi="Arial" w:cs="Arial"/>
        </w:rPr>
        <w:t>Confidentiality and data protection concerns may limit information sharing, even when sharing information could improve care</w:t>
      </w:r>
    </w:p>
    <w:p w14:paraId="10B43171" w14:textId="77777777" w:rsidR="005A515E" w:rsidRPr="005371DA" w:rsidRDefault="005A515E" w:rsidP="00384E39">
      <w:pPr>
        <w:pStyle w:val="Heading2"/>
        <w:spacing w:line="360" w:lineRule="auto"/>
        <w:jc w:val="both"/>
        <w:rPr>
          <w:rFonts w:ascii="Arial" w:hAnsi="Arial" w:cs="Arial"/>
          <w:sz w:val="28"/>
          <w:szCs w:val="28"/>
        </w:rPr>
      </w:pPr>
      <w:bookmarkStart w:id="12" w:name="_Toc234489092"/>
      <w:r w:rsidRPr="005371DA">
        <w:rPr>
          <w:rFonts w:ascii="Arial" w:hAnsi="Arial" w:cs="Arial"/>
          <w:sz w:val="28"/>
          <w:szCs w:val="28"/>
        </w:rPr>
        <w:t>Policy and Legislation Supporting PCC and PW</w:t>
      </w:r>
      <w:bookmarkEnd w:id="12"/>
    </w:p>
    <w:p w14:paraId="722AC898" w14:textId="77777777" w:rsidR="001B1F0D" w:rsidRPr="00C272AF" w:rsidRDefault="001B1F0D" w:rsidP="00384E39">
      <w:pPr>
        <w:spacing w:line="360" w:lineRule="auto"/>
        <w:jc w:val="both"/>
        <w:rPr>
          <w:rFonts w:ascii="Arial" w:hAnsi="Arial" w:cs="Arial"/>
        </w:rPr>
      </w:pPr>
      <w:r w:rsidRPr="00C272AF">
        <w:rPr>
          <w:rFonts w:ascii="Arial" w:hAnsi="Arial" w:cs="Arial"/>
        </w:rPr>
        <w:t>UK policy and legislation strongly support person-centred care and partnership working. The Care Act 2014 places a legal duty on local authorities to promote wellbeing, personalisation, and integrated working.</w:t>
      </w:r>
    </w:p>
    <w:p w14:paraId="6E5E5B6A" w14:textId="77777777" w:rsidR="001B1F0D" w:rsidRPr="00C272AF" w:rsidRDefault="001B1F0D" w:rsidP="00384E39">
      <w:pPr>
        <w:spacing w:line="360" w:lineRule="auto"/>
        <w:jc w:val="both"/>
        <w:rPr>
          <w:rFonts w:ascii="Arial" w:hAnsi="Arial" w:cs="Arial"/>
        </w:rPr>
      </w:pPr>
      <w:r w:rsidRPr="00C272AF">
        <w:rPr>
          <w:rFonts w:ascii="Arial" w:hAnsi="Arial" w:cs="Arial"/>
        </w:rPr>
        <w:t>The Health and Social Care Act 2012 introduced reforms to improve patient choice and coordination of services, while the Health and Care Act 2022 strengthened Integrated Care Systems to support partnership working across organisations.</w:t>
      </w:r>
    </w:p>
    <w:p w14:paraId="7243FCF7" w14:textId="34E5D670" w:rsidR="001B1F0D" w:rsidRPr="00C272AF" w:rsidRDefault="001B1F0D" w:rsidP="00384E39">
      <w:pPr>
        <w:spacing w:line="360" w:lineRule="auto"/>
        <w:jc w:val="both"/>
        <w:rPr>
          <w:rFonts w:ascii="Arial" w:hAnsi="Arial" w:cs="Arial"/>
        </w:rPr>
      </w:pPr>
      <w:r w:rsidRPr="00C272AF">
        <w:rPr>
          <w:rFonts w:ascii="Arial" w:hAnsi="Arial" w:cs="Arial"/>
        </w:rPr>
        <w:t>The Human Rights Act 1998 protects dignity, autonomy, and respect, which are central to PCC. The Equality Act 2010 promotes fairness and equal access to services. Together, these laws provide a strong framework for PCC and PW, although implementation can be limited by funding and workforce pressures.</w:t>
      </w:r>
    </w:p>
    <w:p w14:paraId="5783FDD8" w14:textId="77777777" w:rsidR="005A515E" w:rsidRPr="005371DA" w:rsidRDefault="005A515E" w:rsidP="00384E39">
      <w:pPr>
        <w:pStyle w:val="Heading2"/>
        <w:spacing w:line="360" w:lineRule="auto"/>
        <w:jc w:val="both"/>
        <w:rPr>
          <w:rFonts w:ascii="Arial" w:hAnsi="Arial" w:cs="Arial"/>
          <w:sz w:val="28"/>
          <w:szCs w:val="28"/>
        </w:rPr>
      </w:pPr>
      <w:bookmarkStart w:id="13" w:name="_Toc234489093"/>
      <w:r w:rsidRPr="005371DA">
        <w:rPr>
          <w:rFonts w:ascii="Arial" w:hAnsi="Arial" w:cs="Arial"/>
          <w:sz w:val="28"/>
          <w:szCs w:val="28"/>
        </w:rPr>
        <w:t>Recommendations for Future Development</w:t>
      </w:r>
      <w:bookmarkEnd w:id="13"/>
    </w:p>
    <w:p w14:paraId="05875B71" w14:textId="77777777" w:rsidR="00507728" w:rsidRPr="00C272AF" w:rsidRDefault="00507728" w:rsidP="00384E39">
      <w:pPr>
        <w:spacing w:line="360" w:lineRule="auto"/>
        <w:jc w:val="both"/>
        <w:rPr>
          <w:rFonts w:ascii="Arial" w:hAnsi="Arial" w:cs="Arial"/>
        </w:rPr>
      </w:pPr>
      <w:r w:rsidRPr="00C272AF">
        <w:rPr>
          <w:rFonts w:ascii="Arial" w:hAnsi="Arial" w:cs="Arial"/>
        </w:rPr>
        <w:t>To improve person-centred care and partnership working in the UK, greater investment in training and education is needed. Training should focus on communication skills, ethical decision-making, and collaborative working.</w:t>
      </w:r>
    </w:p>
    <w:p w14:paraId="34CBC289" w14:textId="77777777" w:rsidR="00507728" w:rsidRPr="00C272AF" w:rsidRDefault="00507728" w:rsidP="00384E39">
      <w:pPr>
        <w:spacing w:line="360" w:lineRule="auto"/>
        <w:jc w:val="both"/>
        <w:rPr>
          <w:rFonts w:ascii="Arial" w:hAnsi="Arial" w:cs="Arial"/>
        </w:rPr>
      </w:pPr>
      <w:r w:rsidRPr="00C272AF">
        <w:rPr>
          <w:rFonts w:ascii="Arial" w:hAnsi="Arial" w:cs="Arial"/>
        </w:rPr>
        <w:t>Improved use of technology, such as shared electronic care records, could support better information sharing and coordination. However, barriers such as digital exclusion and data security must be addressed.</w:t>
      </w:r>
    </w:p>
    <w:p w14:paraId="47073106" w14:textId="07F2DC5D" w:rsidR="00507728" w:rsidRPr="00C272AF" w:rsidRDefault="00507728" w:rsidP="00384E39">
      <w:pPr>
        <w:spacing w:line="360" w:lineRule="auto"/>
        <w:jc w:val="both"/>
        <w:rPr>
          <w:rFonts w:ascii="Arial" w:hAnsi="Arial" w:cs="Arial"/>
        </w:rPr>
      </w:pPr>
      <w:r w:rsidRPr="00C272AF">
        <w:rPr>
          <w:rFonts w:ascii="Arial" w:hAnsi="Arial" w:cs="Arial"/>
        </w:rPr>
        <w:lastRenderedPageBreak/>
        <w:t>Stronger partnerships with voluntary and community organisations should also be developed to provide holistic support. Ongoing research and policy development are needed to identify best practice and address inequalities.</w:t>
      </w:r>
    </w:p>
    <w:p w14:paraId="7FC3573D" w14:textId="58A5B772" w:rsidR="00143F1F" w:rsidRPr="00987130" w:rsidRDefault="00143F1F" w:rsidP="00384E39">
      <w:pPr>
        <w:pStyle w:val="Heading2"/>
        <w:spacing w:line="360" w:lineRule="auto"/>
        <w:jc w:val="both"/>
        <w:rPr>
          <w:rFonts w:ascii="Arial" w:hAnsi="Arial" w:cs="Arial"/>
          <w:sz w:val="28"/>
          <w:szCs w:val="28"/>
        </w:rPr>
      </w:pPr>
      <w:bookmarkStart w:id="14" w:name="_Toc234489094"/>
      <w:r w:rsidRPr="00987130">
        <w:rPr>
          <w:rFonts w:ascii="Arial" w:hAnsi="Arial" w:cs="Arial"/>
          <w:sz w:val="28"/>
          <w:szCs w:val="28"/>
        </w:rPr>
        <w:t>Conclusion</w:t>
      </w:r>
      <w:bookmarkEnd w:id="14"/>
    </w:p>
    <w:p w14:paraId="75F04296" w14:textId="6BC75B0D" w:rsidR="00641CBD" w:rsidRPr="00C272AF" w:rsidRDefault="0047643D" w:rsidP="00384E39">
      <w:pPr>
        <w:spacing w:line="360" w:lineRule="auto"/>
        <w:jc w:val="both"/>
        <w:rPr>
          <w:rFonts w:ascii="Arial" w:hAnsi="Arial" w:cs="Arial"/>
        </w:rPr>
      </w:pPr>
      <w:r w:rsidRPr="00C272AF">
        <w:rPr>
          <w:rFonts w:ascii="Arial" w:hAnsi="Arial" w:cs="Arial"/>
        </w:rPr>
        <w:t>This report has evaluated person-centred care and partnership working within community health and social care services in the UK. It has shown that PCC and PW are essential for delivering high-quality, ethical, and effective care. While both approaches offer many benefits, challenges such as limited resources, communication barriers, and ethical dilemmas remain</w:t>
      </w:r>
      <w:r w:rsidR="002C4C5E" w:rsidRPr="00C272AF">
        <w:rPr>
          <w:rFonts w:ascii="Arial" w:hAnsi="Arial" w:cs="Arial"/>
        </w:rPr>
        <w:t>.</w:t>
      </w:r>
    </w:p>
    <w:p w14:paraId="762339E3" w14:textId="363EB8EA" w:rsidR="00C43097" w:rsidRPr="00C272AF" w:rsidRDefault="0047643D" w:rsidP="00384E39">
      <w:pPr>
        <w:spacing w:line="360" w:lineRule="auto"/>
        <w:jc w:val="both"/>
        <w:rPr>
          <w:rFonts w:ascii="Arial" w:hAnsi="Arial" w:cs="Arial"/>
        </w:rPr>
      </w:pPr>
      <w:r w:rsidRPr="00C272AF">
        <w:rPr>
          <w:rFonts w:ascii="Arial" w:hAnsi="Arial" w:cs="Arial"/>
        </w:rPr>
        <w:t>Overall, continued commitment to training, collaboration, and policy development is required to ensure that person-centred care and partnership working continue to improve outcomes for individuals and communities.</w:t>
      </w:r>
    </w:p>
    <w:p w14:paraId="22087F14" w14:textId="77777777" w:rsidR="00AF481D" w:rsidRPr="00C272AF" w:rsidRDefault="00AF481D" w:rsidP="00384E39">
      <w:pPr>
        <w:spacing w:line="360" w:lineRule="auto"/>
        <w:jc w:val="both"/>
        <w:rPr>
          <w:rFonts w:ascii="Arial" w:hAnsi="Arial" w:cs="Arial"/>
        </w:rPr>
      </w:pPr>
    </w:p>
    <w:p w14:paraId="240FD6B4" w14:textId="77777777" w:rsidR="00AF481D" w:rsidRPr="00C272AF" w:rsidRDefault="00AF481D" w:rsidP="00384E39">
      <w:pPr>
        <w:spacing w:line="360" w:lineRule="auto"/>
        <w:jc w:val="both"/>
        <w:rPr>
          <w:rFonts w:ascii="Arial" w:hAnsi="Arial" w:cs="Arial"/>
        </w:rPr>
      </w:pPr>
    </w:p>
    <w:p w14:paraId="0ABCF398" w14:textId="77777777" w:rsidR="00AF481D" w:rsidRPr="00C272AF" w:rsidRDefault="00AF481D" w:rsidP="00384E39">
      <w:pPr>
        <w:spacing w:line="360" w:lineRule="auto"/>
        <w:jc w:val="both"/>
        <w:rPr>
          <w:rFonts w:ascii="Arial" w:hAnsi="Arial" w:cs="Arial"/>
        </w:rPr>
      </w:pPr>
    </w:p>
    <w:p w14:paraId="78ABBB85" w14:textId="77777777" w:rsidR="00AF481D" w:rsidRPr="00C272AF" w:rsidRDefault="00AF481D" w:rsidP="00384E39">
      <w:pPr>
        <w:spacing w:line="360" w:lineRule="auto"/>
        <w:jc w:val="both"/>
        <w:rPr>
          <w:rFonts w:ascii="Arial" w:hAnsi="Arial" w:cs="Arial"/>
        </w:rPr>
      </w:pPr>
    </w:p>
    <w:p w14:paraId="63CC2608" w14:textId="77777777" w:rsidR="00AF481D" w:rsidRPr="00C272AF" w:rsidRDefault="00AF481D" w:rsidP="00384E39">
      <w:pPr>
        <w:spacing w:line="360" w:lineRule="auto"/>
        <w:jc w:val="both"/>
        <w:rPr>
          <w:rFonts w:ascii="Arial" w:hAnsi="Arial" w:cs="Arial"/>
        </w:rPr>
      </w:pPr>
    </w:p>
    <w:p w14:paraId="73BC9389" w14:textId="77777777" w:rsidR="00AF481D" w:rsidRPr="00C272AF" w:rsidRDefault="00AF481D" w:rsidP="00384E39">
      <w:pPr>
        <w:spacing w:line="360" w:lineRule="auto"/>
        <w:jc w:val="both"/>
        <w:rPr>
          <w:rFonts w:ascii="Arial" w:hAnsi="Arial" w:cs="Arial"/>
        </w:rPr>
      </w:pPr>
    </w:p>
    <w:p w14:paraId="359051BD" w14:textId="77777777" w:rsidR="00AF481D" w:rsidRPr="00C272AF" w:rsidRDefault="00AF481D" w:rsidP="00384E39">
      <w:pPr>
        <w:spacing w:line="360" w:lineRule="auto"/>
        <w:jc w:val="both"/>
        <w:rPr>
          <w:rFonts w:ascii="Arial" w:hAnsi="Arial" w:cs="Arial"/>
        </w:rPr>
      </w:pPr>
    </w:p>
    <w:p w14:paraId="1D91827F" w14:textId="77777777" w:rsidR="00AF481D" w:rsidRPr="00C272AF" w:rsidRDefault="00AF481D" w:rsidP="00384E39">
      <w:pPr>
        <w:spacing w:line="360" w:lineRule="auto"/>
        <w:jc w:val="both"/>
        <w:rPr>
          <w:rFonts w:ascii="Arial" w:hAnsi="Arial" w:cs="Arial"/>
        </w:rPr>
      </w:pPr>
    </w:p>
    <w:p w14:paraId="4DF6D616" w14:textId="77777777" w:rsidR="00AF481D" w:rsidRPr="00C272AF" w:rsidRDefault="00AF481D" w:rsidP="00384E39">
      <w:pPr>
        <w:spacing w:line="360" w:lineRule="auto"/>
        <w:jc w:val="both"/>
        <w:rPr>
          <w:rFonts w:ascii="Arial" w:hAnsi="Arial" w:cs="Arial"/>
        </w:rPr>
      </w:pPr>
    </w:p>
    <w:p w14:paraId="723D3515" w14:textId="77777777" w:rsidR="00AF481D" w:rsidRPr="00C272AF" w:rsidRDefault="00AF481D" w:rsidP="00384E39">
      <w:pPr>
        <w:spacing w:line="360" w:lineRule="auto"/>
        <w:jc w:val="both"/>
        <w:rPr>
          <w:rFonts w:ascii="Arial" w:hAnsi="Arial" w:cs="Arial"/>
        </w:rPr>
      </w:pPr>
    </w:p>
    <w:p w14:paraId="41D79537" w14:textId="77777777" w:rsidR="00AF481D" w:rsidRPr="00C272AF" w:rsidRDefault="00AF481D" w:rsidP="00384E39">
      <w:pPr>
        <w:spacing w:line="360" w:lineRule="auto"/>
        <w:jc w:val="both"/>
        <w:rPr>
          <w:rFonts w:ascii="Arial" w:hAnsi="Arial" w:cs="Arial"/>
        </w:rPr>
      </w:pPr>
    </w:p>
    <w:p w14:paraId="16EC9FD7" w14:textId="77777777" w:rsidR="00AF481D" w:rsidRPr="00C272AF" w:rsidRDefault="00AF481D" w:rsidP="00384E39">
      <w:pPr>
        <w:spacing w:line="360" w:lineRule="auto"/>
        <w:jc w:val="both"/>
        <w:rPr>
          <w:rFonts w:ascii="Arial" w:hAnsi="Arial" w:cs="Arial"/>
        </w:rPr>
      </w:pPr>
    </w:p>
    <w:p w14:paraId="766008DC" w14:textId="77777777" w:rsidR="00AF481D" w:rsidRPr="00C272AF" w:rsidRDefault="00AF481D" w:rsidP="00384E39">
      <w:pPr>
        <w:spacing w:line="360" w:lineRule="auto"/>
        <w:jc w:val="both"/>
        <w:rPr>
          <w:rFonts w:ascii="Arial" w:hAnsi="Arial" w:cs="Arial"/>
        </w:rPr>
      </w:pPr>
    </w:p>
    <w:p w14:paraId="1BF46809" w14:textId="77777777" w:rsidR="00AF481D" w:rsidRPr="00C272AF" w:rsidRDefault="00AF481D" w:rsidP="00384E39">
      <w:pPr>
        <w:spacing w:line="360" w:lineRule="auto"/>
        <w:jc w:val="both"/>
        <w:rPr>
          <w:rFonts w:ascii="Arial" w:hAnsi="Arial" w:cs="Arial"/>
        </w:rPr>
      </w:pPr>
    </w:p>
    <w:p w14:paraId="002C9B66" w14:textId="77777777" w:rsidR="00AF481D" w:rsidRPr="00C272AF" w:rsidRDefault="00AF481D" w:rsidP="00384E39">
      <w:pPr>
        <w:spacing w:line="360" w:lineRule="auto"/>
        <w:jc w:val="both"/>
        <w:rPr>
          <w:rFonts w:ascii="Arial" w:hAnsi="Arial" w:cs="Arial"/>
        </w:rPr>
      </w:pPr>
    </w:p>
    <w:p w14:paraId="6A1F8EAF" w14:textId="66F9434C" w:rsidR="0048713F" w:rsidRPr="00987130" w:rsidRDefault="0048713F" w:rsidP="00384E39">
      <w:pPr>
        <w:pStyle w:val="Heading2"/>
        <w:spacing w:line="360" w:lineRule="auto"/>
        <w:jc w:val="both"/>
        <w:rPr>
          <w:rFonts w:ascii="Arial" w:hAnsi="Arial" w:cs="Arial"/>
          <w:sz w:val="28"/>
          <w:szCs w:val="28"/>
        </w:rPr>
      </w:pPr>
      <w:bookmarkStart w:id="15" w:name="_Toc234489095"/>
      <w:r w:rsidRPr="00987130">
        <w:rPr>
          <w:rFonts w:ascii="Arial" w:hAnsi="Arial" w:cs="Arial"/>
          <w:sz w:val="28"/>
          <w:szCs w:val="28"/>
        </w:rPr>
        <w:lastRenderedPageBreak/>
        <w:t>References</w:t>
      </w:r>
      <w:bookmarkEnd w:id="15"/>
    </w:p>
    <w:p w14:paraId="030A6AF6" w14:textId="247518DD" w:rsidR="009C4B43" w:rsidRPr="00C272AF" w:rsidRDefault="00AB17D5" w:rsidP="00384E39">
      <w:pPr>
        <w:spacing w:line="360" w:lineRule="auto"/>
        <w:jc w:val="both"/>
        <w:rPr>
          <w:rFonts w:ascii="Arial" w:hAnsi="Arial" w:cs="Arial"/>
        </w:rPr>
      </w:pPr>
      <w:r w:rsidRPr="00C272AF">
        <w:rPr>
          <w:rFonts w:ascii="Arial" w:hAnsi="Arial" w:cs="Arial"/>
        </w:rPr>
        <w:t>Atkinson, M. et al. (2007) multi-agency working: A detailed study. Slough: NFER.</w:t>
      </w:r>
    </w:p>
    <w:p w14:paraId="593DF0D4" w14:textId="36BCC626" w:rsidR="0048713F" w:rsidRPr="00C272AF" w:rsidRDefault="0048713F" w:rsidP="00384E39">
      <w:pPr>
        <w:spacing w:line="360" w:lineRule="auto"/>
        <w:jc w:val="both"/>
        <w:rPr>
          <w:rFonts w:ascii="Arial" w:hAnsi="Arial" w:cs="Arial"/>
        </w:rPr>
      </w:pPr>
      <w:r w:rsidRPr="00C272AF">
        <w:rPr>
          <w:rFonts w:ascii="Arial" w:hAnsi="Arial" w:cs="Arial"/>
        </w:rPr>
        <w:t>Beauchamp, T. and Childress, J. (2019) Principles of biomedical ethics. 8th edn. Oxford: Oxford University Press.</w:t>
      </w:r>
    </w:p>
    <w:p w14:paraId="384CE0FD" w14:textId="77777777" w:rsidR="0048713F" w:rsidRPr="00C272AF" w:rsidRDefault="0048713F" w:rsidP="00384E39">
      <w:pPr>
        <w:spacing w:line="360" w:lineRule="auto"/>
        <w:jc w:val="both"/>
        <w:rPr>
          <w:rFonts w:ascii="Arial" w:hAnsi="Arial" w:cs="Arial"/>
        </w:rPr>
      </w:pPr>
      <w:r w:rsidRPr="00C272AF">
        <w:rPr>
          <w:rFonts w:ascii="Arial" w:hAnsi="Arial" w:cs="Arial"/>
        </w:rPr>
        <w:t>Entwistle, V. and Watt, I. (2013) ‘Treating patients as persons’, American Journal of Bioethics, 13(8), pp. 29–39.</w:t>
      </w:r>
    </w:p>
    <w:p w14:paraId="786019EE" w14:textId="77777777" w:rsidR="0048713F" w:rsidRPr="00C272AF" w:rsidRDefault="0048713F" w:rsidP="00384E39">
      <w:pPr>
        <w:spacing w:line="360" w:lineRule="auto"/>
        <w:jc w:val="both"/>
        <w:rPr>
          <w:rFonts w:ascii="Arial" w:hAnsi="Arial" w:cs="Arial"/>
        </w:rPr>
      </w:pPr>
      <w:r w:rsidRPr="00C272AF">
        <w:rPr>
          <w:rFonts w:ascii="Arial" w:hAnsi="Arial" w:cs="Arial"/>
        </w:rPr>
        <w:t>Glasby, J. (2017) Understanding health and social care. 3rd edn. Bristol: Policy Press.</w:t>
      </w:r>
    </w:p>
    <w:p w14:paraId="19CFBF5E" w14:textId="77777777" w:rsidR="0048713F" w:rsidRPr="00C272AF" w:rsidRDefault="0048713F" w:rsidP="00384E39">
      <w:pPr>
        <w:spacing w:line="360" w:lineRule="auto"/>
        <w:jc w:val="both"/>
        <w:rPr>
          <w:rFonts w:ascii="Arial" w:hAnsi="Arial" w:cs="Arial"/>
        </w:rPr>
      </w:pPr>
      <w:r w:rsidRPr="00C272AF">
        <w:rPr>
          <w:rFonts w:ascii="Arial" w:hAnsi="Arial" w:cs="Arial"/>
        </w:rPr>
        <w:t>Glasby, J. and Dickinson, H. (2014) Partnership working in health and social care. Bristol: Policy Press.</w:t>
      </w:r>
    </w:p>
    <w:p w14:paraId="51ED2F05" w14:textId="77777777" w:rsidR="0048713F" w:rsidRPr="00C272AF" w:rsidRDefault="0048713F" w:rsidP="00384E39">
      <w:pPr>
        <w:spacing w:line="360" w:lineRule="auto"/>
        <w:jc w:val="both"/>
        <w:rPr>
          <w:rFonts w:ascii="Arial" w:hAnsi="Arial" w:cs="Arial"/>
        </w:rPr>
      </w:pPr>
      <w:r w:rsidRPr="00C272AF">
        <w:rPr>
          <w:rFonts w:ascii="Arial" w:hAnsi="Arial" w:cs="Arial"/>
        </w:rPr>
        <w:t>Health Foundation (2016) Person-centred care made simple. London: The Health Foundation.</w:t>
      </w:r>
    </w:p>
    <w:p w14:paraId="1331C3A9" w14:textId="77777777" w:rsidR="0048713F" w:rsidRPr="00C272AF" w:rsidRDefault="0048713F" w:rsidP="00384E39">
      <w:pPr>
        <w:spacing w:line="360" w:lineRule="auto"/>
        <w:jc w:val="both"/>
        <w:rPr>
          <w:rFonts w:ascii="Arial" w:hAnsi="Arial" w:cs="Arial"/>
        </w:rPr>
      </w:pPr>
      <w:r w:rsidRPr="00C272AF">
        <w:rPr>
          <w:rFonts w:ascii="Arial" w:hAnsi="Arial" w:cs="Arial"/>
        </w:rPr>
        <w:t>Maslow, A. (1943) ‘A theory of human motivation’, Psychological Review, 50(4), pp. 370–396.</w:t>
      </w:r>
    </w:p>
    <w:p w14:paraId="772BF2FF" w14:textId="77777777" w:rsidR="0048713F" w:rsidRPr="00C272AF" w:rsidRDefault="0048713F" w:rsidP="00384E39">
      <w:pPr>
        <w:spacing w:line="360" w:lineRule="auto"/>
        <w:jc w:val="both"/>
        <w:rPr>
          <w:rFonts w:ascii="Arial" w:hAnsi="Arial" w:cs="Arial"/>
        </w:rPr>
      </w:pPr>
      <w:r w:rsidRPr="00C272AF">
        <w:rPr>
          <w:rFonts w:ascii="Arial" w:hAnsi="Arial" w:cs="Arial"/>
        </w:rPr>
        <w:t>McCormack, B. and McCance, T. (2017) Person-centred practice in nursing and health care. 2nd edn. Oxford: Wiley Blackwell.</w:t>
      </w:r>
    </w:p>
    <w:p w14:paraId="6C162136" w14:textId="77777777" w:rsidR="0048713F" w:rsidRPr="00C272AF" w:rsidRDefault="0048713F" w:rsidP="00384E39">
      <w:pPr>
        <w:spacing w:line="360" w:lineRule="auto"/>
        <w:jc w:val="both"/>
        <w:rPr>
          <w:rFonts w:ascii="Arial" w:hAnsi="Arial" w:cs="Arial"/>
        </w:rPr>
      </w:pPr>
      <w:r w:rsidRPr="00C272AF">
        <w:rPr>
          <w:rFonts w:ascii="Arial" w:hAnsi="Arial" w:cs="Arial"/>
        </w:rPr>
        <w:t>McMillan, S. et al. (2013) ‘Person-centred approaches in community care’, Journal of Nursing Management, 21(5), pp. 768–776.</w:t>
      </w:r>
    </w:p>
    <w:p w14:paraId="28050922" w14:textId="77777777" w:rsidR="0048713F" w:rsidRPr="00C272AF" w:rsidRDefault="0048713F" w:rsidP="00384E39">
      <w:pPr>
        <w:spacing w:line="360" w:lineRule="auto"/>
        <w:jc w:val="both"/>
        <w:rPr>
          <w:rFonts w:ascii="Arial" w:hAnsi="Arial" w:cs="Arial"/>
        </w:rPr>
      </w:pPr>
      <w:r w:rsidRPr="00C272AF">
        <w:rPr>
          <w:rFonts w:ascii="Arial" w:hAnsi="Arial" w:cs="Arial"/>
        </w:rPr>
        <w:t>NHS England (2019) The NHS Long Term Plan. London: NHS England.</w:t>
      </w:r>
    </w:p>
    <w:p w14:paraId="643C2235" w14:textId="77777777" w:rsidR="0048713F" w:rsidRPr="00C272AF" w:rsidRDefault="0048713F" w:rsidP="00384E39">
      <w:pPr>
        <w:spacing w:line="360" w:lineRule="auto"/>
        <w:jc w:val="both"/>
        <w:rPr>
          <w:rFonts w:ascii="Arial" w:hAnsi="Arial" w:cs="Arial"/>
        </w:rPr>
      </w:pPr>
      <w:r w:rsidRPr="00C272AF">
        <w:rPr>
          <w:rFonts w:ascii="Arial" w:hAnsi="Arial" w:cs="Arial"/>
        </w:rPr>
        <w:t>NICE (2022) Shared decision making. London: NICE.</w:t>
      </w:r>
    </w:p>
    <w:p w14:paraId="71F948AE" w14:textId="77777777" w:rsidR="0048713F" w:rsidRPr="00C272AF" w:rsidRDefault="0048713F" w:rsidP="00384E39">
      <w:pPr>
        <w:spacing w:line="360" w:lineRule="auto"/>
        <w:jc w:val="both"/>
        <w:rPr>
          <w:rFonts w:ascii="Arial" w:hAnsi="Arial" w:cs="Arial"/>
        </w:rPr>
      </w:pPr>
      <w:r w:rsidRPr="00C272AF">
        <w:rPr>
          <w:rFonts w:ascii="Arial" w:hAnsi="Arial" w:cs="Arial"/>
        </w:rPr>
        <w:t>Rogers, C. (1951) Client-centred therapy. Boston: Houghton Mifflin.</w:t>
      </w:r>
    </w:p>
    <w:p w14:paraId="03663DF7" w14:textId="77777777" w:rsidR="0048713F" w:rsidRPr="00C272AF" w:rsidRDefault="0048713F" w:rsidP="00384E39">
      <w:pPr>
        <w:spacing w:line="360" w:lineRule="auto"/>
        <w:jc w:val="both"/>
        <w:rPr>
          <w:rFonts w:ascii="Arial" w:hAnsi="Arial" w:cs="Arial"/>
        </w:rPr>
      </w:pPr>
      <w:r w:rsidRPr="00C272AF">
        <w:rPr>
          <w:rFonts w:ascii="Arial" w:hAnsi="Arial" w:cs="Arial"/>
        </w:rPr>
        <w:t>Royal College of Nursing (2021) Nursing workforce standards. London: RCN.</w:t>
      </w:r>
    </w:p>
    <w:p w14:paraId="580E7292" w14:textId="0463DEDD" w:rsidR="0048713F" w:rsidRPr="00C272AF" w:rsidRDefault="0048713F" w:rsidP="00384E39">
      <w:pPr>
        <w:spacing w:line="360" w:lineRule="auto"/>
        <w:jc w:val="both"/>
        <w:rPr>
          <w:rFonts w:ascii="Arial" w:hAnsi="Arial" w:cs="Arial"/>
        </w:rPr>
      </w:pPr>
      <w:r w:rsidRPr="00C272AF">
        <w:rPr>
          <w:rFonts w:ascii="Arial" w:hAnsi="Arial" w:cs="Arial"/>
        </w:rPr>
        <w:t>World Health Organization (2016) Framework on integrated people-centred health services. Geneva: WHO.</w:t>
      </w:r>
    </w:p>
    <w:p w14:paraId="53322E10" w14:textId="77777777" w:rsidR="005A515E" w:rsidRPr="00C272AF" w:rsidRDefault="005A515E" w:rsidP="00384E39">
      <w:pPr>
        <w:spacing w:line="360" w:lineRule="auto"/>
        <w:jc w:val="both"/>
        <w:rPr>
          <w:rFonts w:ascii="Arial" w:hAnsi="Arial" w:cs="Arial"/>
        </w:rPr>
      </w:pPr>
    </w:p>
    <w:p w14:paraId="2AAA5803" w14:textId="77777777" w:rsidR="005A515E" w:rsidRPr="00C232D1" w:rsidRDefault="005A515E" w:rsidP="0060041E">
      <w:pPr>
        <w:spacing w:line="360" w:lineRule="auto"/>
        <w:rPr>
          <w:rFonts w:ascii="Arial" w:hAnsi="Arial" w:cs="Arial"/>
        </w:rPr>
      </w:pPr>
    </w:p>
    <w:p w14:paraId="7FE32BCE" w14:textId="77777777" w:rsidR="00B93D6B" w:rsidRPr="00C232D1" w:rsidRDefault="00B93D6B" w:rsidP="0060041E">
      <w:pPr>
        <w:spacing w:line="360" w:lineRule="auto"/>
        <w:rPr>
          <w:rFonts w:ascii="Arial" w:hAnsi="Arial" w:cs="Arial"/>
        </w:rPr>
      </w:pPr>
    </w:p>
    <w:sectPr w:rsidR="00B93D6B" w:rsidRPr="00C232D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BDAD8" w14:textId="77777777" w:rsidR="00465D5B" w:rsidRDefault="00465D5B" w:rsidP="007C3DAC">
      <w:pPr>
        <w:spacing w:after="0" w:line="240" w:lineRule="auto"/>
      </w:pPr>
      <w:r>
        <w:separator/>
      </w:r>
    </w:p>
  </w:endnote>
  <w:endnote w:type="continuationSeparator" w:id="0">
    <w:p w14:paraId="3AB67517" w14:textId="77777777" w:rsidR="00465D5B" w:rsidRDefault="00465D5B" w:rsidP="007C3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55276"/>
      <w:docPartObj>
        <w:docPartGallery w:val="Page Numbers (Bottom of Page)"/>
        <w:docPartUnique/>
      </w:docPartObj>
    </w:sdtPr>
    <w:sdtContent>
      <w:p w14:paraId="07AF34B6" w14:textId="189DDED9" w:rsidR="005C2931" w:rsidRDefault="005C2931">
        <w:pPr>
          <w:pStyle w:val="Footer"/>
          <w:jc w:val="center"/>
        </w:pPr>
        <w:r>
          <w:fldChar w:fldCharType="begin"/>
        </w:r>
        <w:r>
          <w:instrText>PAGE   \* MERGEFORMAT</w:instrText>
        </w:r>
        <w:r>
          <w:fldChar w:fldCharType="separate"/>
        </w:r>
        <w:r>
          <w:t>2</w:t>
        </w:r>
        <w:r>
          <w:fldChar w:fldCharType="end"/>
        </w:r>
      </w:p>
    </w:sdtContent>
  </w:sdt>
  <w:p w14:paraId="71056BD1" w14:textId="77777777" w:rsidR="007C3DAC" w:rsidRDefault="007C3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6E641" w14:textId="77777777" w:rsidR="00465D5B" w:rsidRDefault="00465D5B" w:rsidP="007C3DAC">
      <w:pPr>
        <w:spacing w:after="0" w:line="240" w:lineRule="auto"/>
      </w:pPr>
      <w:r>
        <w:separator/>
      </w:r>
    </w:p>
  </w:footnote>
  <w:footnote w:type="continuationSeparator" w:id="0">
    <w:p w14:paraId="5DB2CB17" w14:textId="77777777" w:rsidR="00465D5B" w:rsidRDefault="00465D5B" w:rsidP="007C3D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1C2"/>
    <w:rsid w:val="000A3338"/>
    <w:rsid w:val="000A6983"/>
    <w:rsid w:val="000B6DFE"/>
    <w:rsid w:val="000C6DF5"/>
    <w:rsid w:val="000D71F0"/>
    <w:rsid w:val="00143F1F"/>
    <w:rsid w:val="00150B6C"/>
    <w:rsid w:val="00163F8A"/>
    <w:rsid w:val="001B1F0D"/>
    <w:rsid w:val="001E545B"/>
    <w:rsid w:val="001F2072"/>
    <w:rsid w:val="00204164"/>
    <w:rsid w:val="00223F34"/>
    <w:rsid w:val="00230A72"/>
    <w:rsid w:val="002468B3"/>
    <w:rsid w:val="00284EE4"/>
    <w:rsid w:val="00284F6C"/>
    <w:rsid w:val="002C2B7A"/>
    <w:rsid w:val="002C4C5E"/>
    <w:rsid w:val="00301C79"/>
    <w:rsid w:val="00311652"/>
    <w:rsid w:val="00315E78"/>
    <w:rsid w:val="00321823"/>
    <w:rsid w:val="0032526C"/>
    <w:rsid w:val="00364E76"/>
    <w:rsid w:val="00384E39"/>
    <w:rsid w:val="003A1B94"/>
    <w:rsid w:val="003A4E8B"/>
    <w:rsid w:val="003B64FF"/>
    <w:rsid w:val="003D7E95"/>
    <w:rsid w:val="004342D7"/>
    <w:rsid w:val="00437419"/>
    <w:rsid w:val="00444378"/>
    <w:rsid w:val="00455BD3"/>
    <w:rsid w:val="0046053A"/>
    <w:rsid w:val="00465D5B"/>
    <w:rsid w:val="0047643D"/>
    <w:rsid w:val="0048713F"/>
    <w:rsid w:val="00487508"/>
    <w:rsid w:val="004C0162"/>
    <w:rsid w:val="004D6FE7"/>
    <w:rsid w:val="004F1E0B"/>
    <w:rsid w:val="00502BEF"/>
    <w:rsid w:val="00507728"/>
    <w:rsid w:val="00510E78"/>
    <w:rsid w:val="005216B1"/>
    <w:rsid w:val="00523930"/>
    <w:rsid w:val="00525866"/>
    <w:rsid w:val="005371DA"/>
    <w:rsid w:val="005508CA"/>
    <w:rsid w:val="00552A78"/>
    <w:rsid w:val="00563AD0"/>
    <w:rsid w:val="005A2C1D"/>
    <w:rsid w:val="005A4764"/>
    <w:rsid w:val="005A515E"/>
    <w:rsid w:val="005B3831"/>
    <w:rsid w:val="005C2931"/>
    <w:rsid w:val="0060041E"/>
    <w:rsid w:val="00606920"/>
    <w:rsid w:val="00621F98"/>
    <w:rsid w:val="00631360"/>
    <w:rsid w:val="00641CBD"/>
    <w:rsid w:val="006455DF"/>
    <w:rsid w:val="00646C48"/>
    <w:rsid w:val="00650BC8"/>
    <w:rsid w:val="006510CB"/>
    <w:rsid w:val="006554A7"/>
    <w:rsid w:val="006861D4"/>
    <w:rsid w:val="00691D82"/>
    <w:rsid w:val="006965AB"/>
    <w:rsid w:val="006B1F24"/>
    <w:rsid w:val="006B36E2"/>
    <w:rsid w:val="006C14A5"/>
    <w:rsid w:val="006D5135"/>
    <w:rsid w:val="00716DF0"/>
    <w:rsid w:val="00730CA8"/>
    <w:rsid w:val="007643EB"/>
    <w:rsid w:val="00766350"/>
    <w:rsid w:val="007C3DAC"/>
    <w:rsid w:val="007C7955"/>
    <w:rsid w:val="007E63E8"/>
    <w:rsid w:val="007E65EE"/>
    <w:rsid w:val="007F22EF"/>
    <w:rsid w:val="00852880"/>
    <w:rsid w:val="008E6CAA"/>
    <w:rsid w:val="008F2894"/>
    <w:rsid w:val="009045C3"/>
    <w:rsid w:val="00926AB2"/>
    <w:rsid w:val="009751C1"/>
    <w:rsid w:val="00987130"/>
    <w:rsid w:val="009A0176"/>
    <w:rsid w:val="009C4B43"/>
    <w:rsid w:val="009E60CD"/>
    <w:rsid w:val="00A10E82"/>
    <w:rsid w:val="00A42355"/>
    <w:rsid w:val="00A65A4C"/>
    <w:rsid w:val="00AB17D5"/>
    <w:rsid w:val="00AD2749"/>
    <w:rsid w:val="00AF481D"/>
    <w:rsid w:val="00B13810"/>
    <w:rsid w:val="00B24359"/>
    <w:rsid w:val="00B31CC6"/>
    <w:rsid w:val="00B42345"/>
    <w:rsid w:val="00B66494"/>
    <w:rsid w:val="00B678C6"/>
    <w:rsid w:val="00B7614E"/>
    <w:rsid w:val="00B85785"/>
    <w:rsid w:val="00B90133"/>
    <w:rsid w:val="00B93D6B"/>
    <w:rsid w:val="00BA2AF4"/>
    <w:rsid w:val="00BD144C"/>
    <w:rsid w:val="00BD7A69"/>
    <w:rsid w:val="00BE353C"/>
    <w:rsid w:val="00BF1FF7"/>
    <w:rsid w:val="00C15AE0"/>
    <w:rsid w:val="00C232D1"/>
    <w:rsid w:val="00C272AF"/>
    <w:rsid w:val="00C43097"/>
    <w:rsid w:val="00C54B06"/>
    <w:rsid w:val="00C66CFF"/>
    <w:rsid w:val="00CB4E6F"/>
    <w:rsid w:val="00CD7DFD"/>
    <w:rsid w:val="00CE10CF"/>
    <w:rsid w:val="00CF228F"/>
    <w:rsid w:val="00D0782E"/>
    <w:rsid w:val="00D20FA8"/>
    <w:rsid w:val="00D21D50"/>
    <w:rsid w:val="00D22094"/>
    <w:rsid w:val="00D34B0E"/>
    <w:rsid w:val="00D526CF"/>
    <w:rsid w:val="00D63EC2"/>
    <w:rsid w:val="00D65C7C"/>
    <w:rsid w:val="00DC79C5"/>
    <w:rsid w:val="00DD343B"/>
    <w:rsid w:val="00E019C9"/>
    <w:rsid w:val="00E100DD"/>
    <w:rsid w:val="00E711C2"/>
    <w:rsid w:val="00E77076"/>
    <w:rsid w:val="00E8161A"/>
    <w:rsid w:val="00E840F0"/>
    <w:rsid w:val="00E90103"/>
    <w:rsid w:val="00E93B52"/>
    <w:rsid w:val="00EA4D11"/>
    <w:rsid w:val="00EB3528"/>
    <w:rsid w:val="00EE180E"/>
    <w:rsid w:val="00EF4673"/>
    <w:rsid w:val="00F02CC1"/>
    <w:rsid w:val="00F03174"/>
    <w:rsid w:val="00F12A69"/>
    <w:rsid w:val="00F36B9F"/>
    <w:rsid w:val="00F553D9"/>
    <w:rsid w:val="00F94A14"/>
    <w:rsid w:val="00FB3225"/>
    <w:rsid w:val="00FB32A4"/>
    <w:rsid w:val="00FC4E88"/>
    <w:rsid w:val="00FE5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3BD9B"/>
  <w15:chartTrackingRefBased/>
  <w15:docId w15:val="{331E9AD2-F982-4F88-85CA-82F7E69D7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1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11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1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1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1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1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1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1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1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1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11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1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1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1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1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1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1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1C2"/>
    <w:rPr>
      <w:rFonts w:eastAsiaTheme="majorEastAsia" w:cstheme="majorBidi"/>
      <w:color w:val="272727" w:themeColor="text1" w:themeTint="D8"/>
    </w:rPr>
  </w:style>
  <w:style w:type="paragraph" w:styleId="Title">
    <w:name w:val="Title"/>
    <w:basedOn w:val="Normal"/>
    <w:next w:val="Normal"/>
    <w:link w:val="TitleChar"/>
    <w:uiPriority w:val="10"/>
    <w:qFormat/>
    <w:rsid w:val="00E711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1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1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1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1C2"/>
    <w:pPr>
      <w:spacing w:before="160"/>
      <w:jc w:val="center"/>
    </w:pPr>
    <w:rPr>
      <w:i/>
      <w:iCs/>
      <w:color w:val="404040" w:themeColor="text1" w:themeTint="BF"/>
    </w:rPr>
  </w:style>
  <w:style w:type="character" w:customStyle="1" w:styleId="QuoteChar">
    <w:name w:val="Quote Char"/>
    <w:basedOn w:val="DefaultParagraphFont"/>
    <w:link w:val="Quote"/>
    <w:uiPriority w:val="29"/>
    <w:rsid w:val="00E711C2"/>
    <w:rPr>
      <w:i/>
      <w:iCs/>
      <w:color w:val="404040" w:themeColor="text1" w:themeTint="BF"/>
    </w:rPr>
  </w:style>
  <w:style w:type="paragraph" w:styleId="ListParagraph">
    <w:name w:val="List Paragraph"/>
    <w:basedOn w:val="Normal"/>
    <w:uiPriority w:val="34"/>
    <w:qFormat/>
    <w:rsid w:val="00E711C2"/>
    <w:pPr>
      <w:ind w:left="720"/>
      <w:contextualSpacing/>
    </w:pPr>
  </w:style>
  <w:style w:type="character" w:styleId="IntenseEmphasis">
    <w:name w:val="Intense Emphasis"/>
    <w:basedOn w:val="DefaultParagraphFont"/>
    <w:uiPriority w:val="21"/>
    <w:qFormat/>
    <w:rsid w:val="00E711C2"/>
    <w:rPr>
      <w:i/>
      <w:iCs/>
      <w:color w:val="0F4761" w:themeColor="accent1" w:themeShade="BF"/>
    </w:rPr>
  </w:style>
  <w:style w:type="paragraph" w:styleId="IntenseQuote">
    <w:name w:val="Intense Quote"/>
    <w:basedOn w:val="Normal"/>
    <w:next w:val="Normal"/>
    <w:link w:val="IntenseQuoteChar"/>
    <w:uiPriority w:val="30"/>
    <w:qFormat/>
    <w:rsid w:val="00E711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1C2"/>
    <w:rPr>
      <w:i/>
      <w:iCs/>
      <w:color w:val="0F4761" w:themeColor="accent1" w:themeShade="BF"/>
    </w:rPr>
  </w:style>
  <w:style w:type="character" w:styleId="IntenseReference">
    <w:name w:val="Intense Reference"/>
    <w:basedOn w:val="DefaultParagraphFont"/>
    <w:uiPriority w:val="32"/>
    <w:qFormat/>
    <w:rsid w:val="00E711C2"/>
    <w:rPr>
      <w:b/>
      <w:bCs/>
      <w:smallCaps/>
      <w:color w:val="0F4761" w:themeColor="accent1" w:themeShade="BF"/>
      <w:spacing w:val="5"/>
    </w:rPr>
  </w:style>
  <w:style w:type="paragraph" w:styleId="Header">
    <w:name w:val="header"/>
    <w:basedOn w:val="Normal"/>
    <w:link w:val="HeaderChar"/>
    <w:uiPriority w:val="99"/>
    <w:unhideWhenUsed/>
    <w:rsid w:val="007C3D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DAC"/>
  </w:style>
  <w:style w:type="paragraph" w:styleId="Footer">
    <w:name w:val="footer"/>
    <w:basedOn w:val="Normal"/>
    <w:link w:val="FooterChar"/>
    <w:uiPriority w:val="99"/>
    <w:unhideWhenUsed/>
    <w:rsid w:val="007C3D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DAC"/>
  </w:style>
  <w:style w:type="paragraph" w:styleId="TOC1">
    <w:name w:val="toc 1"/>
    <w:basedOn w:val="Normal"/>
    <w:next w:val="Normal"/>
    <w:autoRedefine/>
    <w:uiPriority w:val="39"/>
    <w:unhideWhenUsed/>
    <w:rsid w:val="00F94A14"/>
    <w:pPr>
      <w:spacing w:after="100"/>
    </w:pPr>
  </w:style>
  <w:style w:type="character" w:styleId="Hyperlink">
    <w:name w:val="Hyperlink"/>
    <w:basedOn w:val="DefaultParagraphFont"/>
    <w:uiPriority w:val="99"/>
    <w:unhideWhenUsed/>
    <w:rsid w:val="00364E76"/>
    <w:rPr>
      <w:color w:val="467886" w:themeColor="hyperlink"/>
      <w:u w:val="single"/>
    </w:rPr>
  </w:style>
  <w:style w:type="paragraph" w:styleId="TOCHeading">
    <w:name w:val="TOC Heading"/>
    <w:basedOn w:val="Heading1"/>
    <w:next w:val="Normal"/>
    <w:uiPriority w:val="39"/>
    <w:unhideWhenUsed/>
    <w:qFormat/>
    <w:rsid w:val="00301C79"/>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CF228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7C189-5FD9-401A-879D-E3FAE2A5E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10</Pages>
  <Words>2324</Words>
  <Characters>13251</Characters>
  <Application>Microsoft Office Word</Application>
  <DocSecurity>0</DocSecurity>
  <Lines>110</Lines>
  <Paragraphs>31</Paragraphs>
  <ScaleCrop>false</ScaleCrop>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Owusu (2329700)</dc:creator>
  <cp:keywords/>
  <dc:description/>
  <cp:lastModifiedBy>Christina Owusu (2329700)</cp:lastModifiedBy>
  <cp:revision>142</cp:revision>
  <dcterms:created xsi:type="dcterms:W3CDTF">2026-07-07T08:41:00Z</dcterms:created>
  <dcterms:modified xsi:type="dcterms:W3CDTF">2026-07-09T12:13:00Z</dcterms:modified>
</cp:coreProperties>
</file>