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E4171" w14:textId="5BB89C3E" w:rsidR="0036613D" w:rsidRDefault="0036613D" w:rsidP="0036613D">
      <w:pPr>
        <w:spacing w:after="600" w:line="360" w:lineRule="auto"/>
        <w:jc w:val="center"/>
      </w:pPr>
      <w:r>
        <w:rPr>
          <w:noProof/>
        </w:rPr>
        <w:drawing>
          <wp:inline distT="0" distB="0" distL="0" distR="0" wp14:anchorId="18E6F0F1" wp14:editId="6EB6139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62C15AE0" w14:textId="77777777" w:rsidR="0036613D" w:rsidRPr="006468D3" w:rsidRDefault="0036613D" w:rsidP="0036613D">
      <w:pPr>
        <w:spacing w:after="200" w:line="360" w:lineRule="auto"/>
        <w:jc w:val="center"/>
        <w:rPr>
          <w:b/>
          <w:bCs/>
          <w:sz w:val="28"/>
          <w:szCs w:val="28"/>
        </w:rPr>
      </w:pPr>
      <w:r w:rsidRPr="006468D3">
        <w:rPr>
          <w:b/>
          <w:bCs/>
          <w:sz w:val="28"/>
          <w:szCs w:val="28"/>
        </w:rPr>
        <w:t>Student Name: Bernadette Fatu Njavombo</w:t>
      </w:r>
    </w:p>
    <w:p w14:paraId="2EC82083" w14:textId="77777777" w:rsidR="0036613D" w:rsidRPr="006468D3" w:rsidRDefault="0036613D" w:rsidP="0036613D">
      <w:pPr>
        <w:spacing w:after="200" w:line="360" w:lineRule="auto"/>
        <w:jc w:val="center"/>
        <w:rPr>
          <w:b/>
          <w:bCs/>
          <w:sz w:val="28"/>
          <w:szCs w:val="28"/>
        </w:rPr>
      </w:pPr>
      <w:r w:rsidRPr="006468D3">
        <w:rPr>
          <w:b/>
          <w:bCs/>
          <w:sz w:val="28"/>
          <w:szCs w:val="28"/>
        </w:rPr>
        <w:t>Student Number: 2242752</w:t>
      </w:r>
    </w:p>
    <w:p w14:paraId="4E9412F6" w14:textId="77777777" w:rsidR="0036613D" w:rsidRDefault="0036613D" w:rsidP="0036613D">
      <w:pPr>
        <w:spacing w:after="200" w:line="360" w:lineRule="auto"/>
        <w:jc w:val="center"/>
        <w:rPr>
          <w:b/>
          <w:bCs/>
          <w:sz w:val="28"/>
          <w:szCs w:val="28"/>
        </w:rPr>
      </w:pPr>
      <w:r w:rsidRPr="006468D3">
        <w:rPr>
          <w:b/>
          <w:bCs/>
          <w:sz w:val="28"/>
          <w:szCs w:val="28"/>
        </w:rPr>
        <w:t xml:space="preserve">Module Code and Title: </w:t>
      </w:r>
      <w:r w:rsidRPr="00CC1EFD">
        <w:rPr>
          <w:b/>
          <w:bCs/>
          <w:sz w:val="28"/>
          <w:szCs w:val="28"/>
        </w:rPr>
        <w:t> BMHP6030-Health, Wellbeing and Sustainable Development</w:t>
      </w:r>
    </w:p>
    <w:p w14:paraId="21A84B40" w14:textId="77777777" w:rsidR="0036613D" w:rsidRPr="006468D3" w:rsidRDefault="0036613D" w:rsidP="0036613D">
      <w:pPr>
        <w:spacing w:after="200" w:line="360" w:lineRule="auto"/>
        <w:jc w:val="center"/>
        <w:rPr>
          <w:b/>
          <w:bCs/>
          <w:sz w:val="28"/>
          <w:szCs w:val="28"/>
        </w:rPr>
      </w:pPr>
      <w:r w:rsidRPr="006468D3">
        <w:rPr>
          <w:b/>
          <w:bCs/>
          <w:sz w:val="28"/>
          <w:szCs w:val="28"/>
        </w:rPr>
        <w:t xml:space="preserve">Lecturer: Dr </w:t>
      </w:r>
      <w:proofErr w:type="spellStart"/>
      <w:r w:rsidRPr="006468D3">
        <w:rPr>
          <w:b/>
          <w:bCs/>
          <w:sz w:val="28"/>
          <w:szCs w:val="28"/>
        </w:rPr>
        <w:t>Itse</w:t>
      </w:r>
      <w:proofErr w:type="spellEnd"/>
      <w:r w:rsidRPr="006468D3">
        <w:rPr>
          <w:b/>
          <w:bCs/>
          <w:sz w:val="28"/>
          <w:szCs w:val="28"/>
        </w:rPr>
        <w:t xml:space="preserve"> Olaoye</w:t>
      </w:r>
    </w:p>
    <w:p w14:paraId="505B8E98" w14:textId="77777777" w:rsidR="0036613D" w:rsidRPr="006468D3" w:rsidRDefault="0036613D" w:rsidP="0036613D">
      <w:pPr>
        <w:spacing w:after="200" w:line="360" w:lineRule="auto"/>
        <w:jc w:val="center"/>
        <w:rPr>
          <w:b/>
          <w:bCs/>
          <w:sz w:val="28"/>
          <w:szCs w:val="28"/>
        </w:rPr>
      </w:pPr>
      <w:r w:rsidRPr="006468D3">
        <w:rPr>
          <w:b/>
          <w:bCs/>
          <w:sz w:val="28"/>
          <w:szCs w:val="28"/>
        </w:rPr>
        <w:t>Assignment Title: Critically Examining Health, Wellbeing and Sustainability Policies and Initiatives: A Global, National and Local Analysis</w:t>
      </w:r>
    </w:p>
    <w:p w14:paraId="637A4DD6" w14:textId="77777777" w:rsidR="0036613D" w:rsidRPr="006468D3" w:rsidRDefault="0036613D" w:rsidP="0036613D">
      <w:pPr>
        <w:spacing w:after="200" w:line="360" w:lineRule="auto"/>
        <w:jc w:val="center"/>
        <w:rPr>
          <w:b/>
          <w:bCs/>
          <w:sz w:val="28"/>
          <w:szCs w:val="28"/>
        </w:rPr>
      </w:pPr>
      <w:r w:rsidRPr="006468D3">
        <w:rPr>
          <w:b/>
          <w:bCs/>
          <w:sz w:val="28"/>
          <w:szCs w:val="28"/>
        </w:rPr>
        <w:t>Word Count: 2000</w:t>
      </w:r>
    </w:p>
    <w:p w14:paraId="6608E4CE" w14:textId="77777777" w:rsidR="0036613D" w:rsidRPr="006468D3" w:rsidRDefault="0036613D" w:rsidP="0036613D">
      <w:pPr>
        <w:spacing w:after="200" w:line="360" w:lineRule="auto"/>
        <w:jc w:val="center"/>
        <w:rPr>
          <w:b/>
          <w:bCs/>
          <w:sz w:val="28"/>
          <w:szCs w:val="28"/>
        </w:rPr>
      </w:pPr>
      <w:r w:rsidRPr="006468D3">
        <w:rPr>
          <w:b/>
          <w:bCs/>
          <w:sz w:val="28"/>
          <w:szCs w:val="28"/>
        </w:rPr>
        <w:t>Date: 7</w:t>
      </w:r>
      <w:r w:rsidRPr="006468D3">
        <w:rPr>
          <w:b/>
          <w:bCs/>
          <w:sz w:val="28"/>
          <w:szCs w:val="28"/>
          <w:vertAlign w:val="superscript"/>
        </w:rPr>
        <w:t>th</w:t>
      </w:r>
      <w:r w:rsidRPr="006468D3">
        <w:rPr>
          <w:b/>
          <w:bCs/>
          <w:sz w:val="28"/>
          <w:szCs w:val="28"/>
        </w:rPr>
        <w:t xml:space="preserve"> August </w:t>
      </w:r>
    </w:p>
    <w:p w14:paraId="7E3E9969" w14:textId="77777777" w:rsidR="0036613D" w:rsidRDefault="0036613D" w:rsidP="0036613D">
      <w:r>
        <w:br w:type="page"/>
      </w:r>
    </w:p>
    <w:p w14:paraId="42904489" w14:textId="77777777" w:rsidR="0036613D" w:rsidRPr="00A74CAD" w:rsidRDefault="0036613D" w:rsidP="0036613D">
      <w:pPr>
        <w:pStyle w:val="Heading1"/>
        <w:spacing w:before="300" w:after="150" w:line="360" w:lineRule="auto"/>
        <w:rPr>
          <w:color w:val="000000" w:themeColor="text1"/>
        </w:rPr>
      </w:pPr>
      <w:bookmarkStart w:id="0" w:name="_Toc236429731"/>
      <w:r w:rsidRPr="00A74CAD">
        <w:rPr>
          <w:b/>
          <w:bCs/>
          <w:color w:val="000000" w:themeColor="text1"/>
          <w:sz w:val="24"/>
          <w:szCs w:val="24"/>
        </w:rPr>
        <w:lastRenderedPageBreak/>
        <w:t>Table of Contents</w:t>
      </w:r>
      <w:bookmarkEnd w:id="0"/>
    </w:p>
    <w:sdt>
      <w:sdtPr>
        <w:alias w:val="Table of Contents"/>
        <w:id w:val="-1371142322"/>
      </w:sdtPr>
      <w:sdtContent>
        <w:p w14:paraId="33A20B1F" w14:textId="77777777" w:rsidR="0036613D" w:rsidRDefault="0036613D" w:rsidP="0036613D">
          <w:pPr>
            <w:pStyle w:val="TOC1"/>
            <w:tabs>
              <w:tab w:val="right" w:leader="dot" w:pos="9016"/>
            </w:tabs>
            <w:rPr>
              <w:noProof/>
            </w:rPr>
          </w:pPr>
          <w:r>
            <w:fldChar w:fldCharType="begin"/>
          </w:r>
          <w:r>
            <w:instrText>TOC \h \o "1-2"</w:instrText>
          </w:r>
          <w:r>
            <w:fldChar w:fldCharType="separate"/>
          </w:r>
          <w:hyperlink w:anchor="_Toc236429731" w:history="1">
            <w:r w:rsidRPr="00F204A0">
              <w:rPr>
                <w:rStyle w:val="Hyperlink"/>
                <w:b/>
                <w:bCs/>
                <w:noProof/>
              </w:rPr>
              <w:t>Table of Contents</w:t>
            </w:r>
            <w:r>
              <w:rPr>
                <w:noProof/>
              </w:rPr>
              <w:tab/>
            </w:r>
            <w:r>
              <w:rPr>
                <w:noProof/>
              </w:rPr>
              <w:fldChar w:fldCharType="begin"/>
            </w:r>
            <w:r>
              <w:rPr>
                <w:noProof/>
              </w:rPr>
              <w:instrText xml:space="preserve"> PAGEREF _Toc236429731 \h </w:instrText>
            </w:r>
            <w:r>
              <w:rPr>
                <w:noProof/>
              </w:rPr>
            </w:r>
            <w:r>
              <w:rPr>
                <w:noProof/>
              </w:rPr>
              <w:fldChar w:fldCharType="separate"/>
            </w:r>
            <w:r>
              <w:rPr>
                <w:noProof/>
              </w:rPr>
              <w:t>1</w:t>
            </w:r>
            <w:r>
              <w:rPr>
                <w:noProof/>
              </w:rPr>
              <w:fldChar w:fldCharType="end"/>
            </w:r>
          </w:hyperlink>
        </w:p>
        <w:p w14:paraId="6A916572" w14:textId="77777777" w:rsidR="0036613D" w:rsidRDefault="0036613D" w:rsidP="0036613D">
          <w:pPr>
            <w:pStyle w:val="TOC1"/>
            <w:tabs>
              <w:tab w:val="right" w:leader="dot" w:pos="9016"/>
            </w:tabs>
            <w:rPr>
              <w:noProof/>
            </w:rPr>
          </w:pPr>
          <w:hyperlink w:anchor="_Toc236429732" w:history="1">
            <w:r w:rsidRPr="00F204A0">
              <w:rPr>
                <w:rStyle w:val="Hyperlink"/>
                <w:b/>
                <w:bCs/>
                <w:noProof/>
              </w:rPr>
              <w:t>Introduction</w:t>
            </w:r>
            <w:r>
              <w:rPr>
                <w:noProof/>
              </w:rPr>
              <w:tab/>
            </w:r>
            <w:r>
              <w:rPr>
                <w:noProof/>
              </w:rPr>
              <w:fldChar w:fldCharType="begin"/>
            </w:r>
            <w:r>
              <w:rPr>
                <w:noProof/>
              </w:rPr>
              <w:instrText xml:space="preserve"> PAGEREF _Toc236429732 \h </w:instrText>
            </w:r>
            <w:r>
              <w:rPr>
                <w:noProof/>
              </w:rPr>
            </w:r>
            <w:r>
              <w:rPr>
                <w:noProof/>
              </w:rPr>
              <w:fldChar w:fldCharType="separate"/>
            </w:r>
            <w:r>
              <w:rPr>
                <w:noProof/>
              </w:rPr>
              <w:t>1</w:t>
            </w:r>
            <w:r>
              <w:rPr>
                <w:noProof/>
              </w:rPr>
              <w:fldChar w:fldCharType="end"/>
            </w:r>
          </w:hyperlink>
        </w:p>
        <w:p w14:paraId="66EDC7AA" w14:textId="77777777" w:rsidR="0036613D" w:rsidRDefault="0036613D" w:rsidP="0036613D">
          <w:pPr>
            <w:pStyle w:val="TOC1"/>
            <w:tabs>
              <w:tab w:val="right" w:leader="dot" w:pos="9016"/>
            </w:tabs>
            <w:rPr>
              <w:noProof/>
            </w:rPr>
          </w:pPr>
          <w:hyperlink w:anchor="_Toc236429733" w:history="1">
            <w:r w:rsidRPr="00F204A0">
              <w:rPr>
                <w:rStyle w:val="Hyperlink"/>
                <w:b/>
                <w:bCs/>
                <w:noProof/>
              </w:rPr>
              <w:t>Sustainable Development Goal 3: Good Health and Well-being</w:t>
            </w:r>
            <w:r>
              <w:rPr>
                <w:noProof/>
              </w:rPr>
              <w:tab/>
            </w:r>
            <w:r>
              <w:rPr>
                <w:noProof/>
              </w:rPr>
              <w:fldChar w:fldCharType="begin"/>
            </w:r>
            <w:r>
              <w:rPr>
                <w:noProof/>
              </w:rPr>
              <w:instrText xml:space="preserve"> PAGEREF _Toc236429733 \h </w:instrText>
            </w:r>
            <w:r>
              <w:rPr>
                <w:noProof/>
              </w:rPr>
            </w:r>
            <w:r>
              <w:rPr>
                <w:noProof/>
              </w:rPr>
              <w:fldChar w:fldCharType="separate"/>
            </w:r>
            <w:r>
              <w:rPr>
                <w:noProof/>
              </w:rPr>
              <w:t>1</w:t>
            </w:r>
            <w:r>
              <w:rPr>
                <w:noProof/>
              </w:rPr>
              <w:fldChar w:fldCharType="end"/>
            </w:r>
          </w:hyperlink>
        </w:p>
        <w:p w14:paraId="4B11AB42" w14:textId="77777777" w:rsidR="0036613D" w:rsidRDefault="0036613D" w:rsidP="0036613D">
          <w:pPr>
            <w:pStyle w:val="TOC2"/>
            <w:tabs>
              <w:tab w:val="right" w:leader="dot" w:pos="9016"/>
            </w:tabs>
            <w:rPr>
              <w:noProof/>
            </w:rPr>
          </w:pPr>
          <w:hyperlink w:anchor="_Toc236429734" w:history="1">
            <w:r w:rsidRPr="00F204A0">
              <w:rPr>
                <w:rStyle w:val="Hyperlink"/>
                <w:b/>
                <w:bCs/>
                <w:i/>
                <w:iCs/>
                <w:noProof/>
              </w:rPr>
              <w:t>Main constructs of the goal</w:t>
            </w:r>
            <w:r>
              <w:rPr>
                <w:noProof/>
              </w:rPr>
              <w:tab/>
            </w:r>
            <w:r>
              <w:rPr>
                <w:noProof/>
              </w:rPr>
              <w:fldChar w:fldCharType="begin"/>
            </w:r>
            <w:r>
              <w:rPr>
                <w:noProof/>
              </w:rPr>
              <w:instrText xml:space="preserve"> PAGEREF _Toc236429734 \h </w:instrText>
            </w:r>
            <w:r>
              <w:rPr>
                <w:noProof/>
              </w:rPr>
            </w:r>
            <w:r>
              <w:rPr>
                <w:noProof/>
              </w:rPr>
              <w:fldChar w:fldCharType="separate"/>
            </w:r>
            <w:r>
              <w:rPr>
                <w:noProof/>
              </w:rPr>
              <w:t>1</w:t>
            </w:r>
            <w:r>
              <w:rPr>
                <w:noProof/>
              </w:rPr>
              <w:fldChar w:fldCharType="end"/>
            </w:r>
          </w:hyperlink>
        </w:p>
        <w:p w14:paraId="7FE3EF65" w14:textId="77777777" w:rsidR="0036613D" w:rsidRDefault="0036613D" w:rsidP="0036613D">
          <w:pPr>
            <w:pStyle w:val="TOC2"/>
            <w:tabs>
              <w:tab w:val="right" w:leader="dot" w:pos="9016"/>
            </w:tabs>
            <w:rPr>
              <w:noProof/>
            </w:rPr>
          </w:pPr>
          <w:hyperlink w:anchor="_Toc236429735" w:history="1">
            <w:r w:rsidRPr="00F204A0">
              <w:rPr>
                <w:rStyle w:val="Hyperlink"/>
                <w:b/>
                <w:bCs/>
                <w:i/>
                <w:iCs/>
                <w:noProof/>
              </w:rPr>
              <w:t>Impact on the health and wellbeing of citizens</w:t>
            </w:r>
            <w:r>
              <w:rPr>
                <w:noProof/>
              </w:rPr>
              <w:tab/>
            </w:r>
            <w:r>
              <w:rPr>
                <w:noProof/>
              </w:rPr>
              <w:fldChar w:fldCharType="begin"/>
            </w:r>
            <w:r>
              <w:rPr>
                <w:noProof/>
              </w:rPr>
              <w:instrText xml:space="preserve"> PAGEREF _Toc236429735 \h </w:instrText>
            </w:r>
            <w:r>
              <w:rPr>
                <w:noProof/>
              </w:rPr>
            </w:r>
            <w:r>
              <w:rPr>
                <w:noProof/>
              </w:rPr>
              <w:fldChar w:fldCharType="separate"/>
            </w:r>
            <w:r>
              <w:rPr>
                <w:noProof/>
              </w:rPr>
              <w:t>1</w:t>
            </w:r>
            <w:r>
              <w:rPr>
                <w:noProof/>
              </w:rPr>
              <w:fldChar w:fldCharType="end"/>
            </w:r>
          </w:hyperlink>
        </w:p>
        <w:p w14:paraId="6663EF86" w14:textId="77777777" w:rsidR="0036613D" w:rsidRDefault="0036613D" w:rsidP="0036613D">
          <w:pPr>
            <w:pStyle w:val="TOC1"/>
            <w:tabs>
              <w:tab w:val="right" w:leader="dot" w:pos="9016"/>
            </w:tabs>
            <w:rPr>
              <w:noProof/>
            </w:rPr>
          </w:pPr>
          <w:hyperlink w:anchor="_Toc236429736" w:history="1">
            <w:r w:rsidRPr="00F204A0">
              <w:rPr>
                <w:rStyle w:val="Hyperlink"/>
                <w:b/>
                <w:bCs/>
                <w:noProof/>
              </w:rPr>
              <w:t>Sustainable Development Goal 10: Reduced Inequalities</w:t>
            </w:r>
            <w:r>
              <w:rPr>
                <w:noProof/>
              </w:rPr>
              <w:tab/>
            </w:r>
            <w:r>
              <w:rPr>
                <w:noProof/>
              </w:rPr>
              <w:fldChar w:fldCharType="begin"/>
            </w:r>
            <w:r>
              <w:rPr>
                <w:noProof/>
              </w:rPr>
              <w:instrText xml:space="preserve"> PAGEREF _Toc236429736 \h </w:instrText>
            </w:r>
            <w:r>
              <w:rPr>
                <w:noProof/>
              </w:rPr>
            </w:r>
            <w:r>
              <w:rPr>
                <w:noProof/>
              </w:rPr>
              <w:fldChar w:fldCharType="separate"/>
            </w:r>
            <w:r>
              <w:rPr>
                <w:noProof/>
              </w:rPr>
              <w:t>1</w:t>
            </w:r>
            <w:r>
              <w:rPr>
                <w:noProof/>
              </w:rPr>
              <w:fldChar w:fldCharType="end"/>
            </w:r>
          </w:hyperlink>
        </w:p>
        <w:p w14:paraId="22E8CF02" w14:textId="77777777" w:rsidR="0036613D" w:rsidRDefault="0036613D" w:rsidP="0036613D">
          <w:pPr>
            <w:pStyle w:val="TOC2"/>
            <w:tabs>
              <w:tab w:val="right" w:leader="dot" w:pos="9016"/>
            </w:tabs>
            <w:rPr>
              <w:noProof/>
            </w:rPr>
          </w:pPr>
          <w:hyperlink w:anchor="_Toc236429737" w:history="1">
            <w:r w:rsidRPr="00F204A0">
              <w:rPr>
                <w:rStyle w:val="Hyperlink"/>
                <w:b/>
                <w:bCs/>
                <w:i/>
                <w:iCs/>
                <w:noProof/>
              </w:rPr>
              <w:t>Main constructs of the goal</w:t>
            </w:r>
            <w:r>
              <w:rPr>
                <w:noProof/>
              </w:rPr>
              <w:tab/>
            </w:r>
            <w:r>
              <w:rPr>
                <w:noProof/>
              </w:rPr>
              <w:fldChar w:fldCharType="begin"/>
            </w:r>
            <w:r>
              <w:rPr>
                <w:noProof/>
              </w:rPr>
              <w:instrText xml:space="preserve"> PAGEREF _Toc236429737 \h </w:instrText>
            </w:r>
            <w:r>
              <w:rPr>
                <w:noProof/>
              </w:rPr>
            </w:r>
            <w:r>
              <w:rPr>
                <w:noProof/>
              </w:rPr>
              <w:fldChar w:fldCharType="separate"/>
            </w:r>
            <w:r>
              <w:rPr>
                <w:noProof/>
              </w:rPr>
              <w:t>1</w:t>
            </w:r>
            <w:r>
              <w:rPr>
                <w:noProof/>
              </w:rPr>
              <w:fldChar w:fldCharType="end"/>
            </w:r>
          </w:hyperlink>
        </w:p>
        <w:p w14:paraId="585A45B5" w14:textId="77777777" w:rsidR="0036613D" w:rsidRDefault="0036613D" w:rsidP="0036613D">
          <w:pPr>
            <w:pStyle w:val="TOC2"/>
            <w:tabs>
              <w:tab w:val="right" w:leader="dot" w:pos="9016"/>
            </w:tabs>
            <w:rPr>
              <w:noProof/>
            </w:rPr>
          </w:pPr>
          <w:hyperlink w:anchor="_Toc236429738" w:history="1">
            <w:r w:rsidRPr="00F204A0">
              <w:rPr>
                <w:rStyle w:val="Hyperlink"/>
                <w:b/>
                <w:bCs/>
                <w:i/>
                <w:iCs/>
                <w:noProof/>
              </w:rPr>
              <w:t>Impact on the health and wellbeing of citizens</w:t>
            </w:r>
            <w:r>
              <w:rPr>
                <w:noProof/>
              </w:rPr>
              <w:tab/>
            </w:r>
            <w:r>
              <w:rPr>
                <w:noProof/>
              </w:rPr>
              <w:fldChar w:fldCharType="begin"/>
            </w:r>
            <w:r>
              <w:rPr>
                <w:noProof/>
              </w:rPr>
              <w:instrText xml:space="preserve"> PAGEREF _Toc236429738 \h </w:instrText>
            </w:r>
            <w:r>
              <w:rPr>
                <w:noProof/>
              </w:rPr>
            </w:r>
            <w:r>
              <w:rPr>
                <w:noProof/>
              </w:rPr>
              <w:fldChar w:fldCharType="separate"/>
            </w:r>
            <w:r>
              <w:rPr>
                <w:noProof/>
              </w:rPr>
              <w:t>1</w:t>
            </w:r>
            <w:r>
              <w:rPr>
                <w:noProof/>
              </w:rPr>
              <w:fldChar w:fldCharType="end"/>
            </w:r>
          </w:hyperlink>
        </w:p>
        <w:p w14:paraId="1A31239F" w14:textId="77777777" w:rsidR="0036613D" w:rsidRDefault="0036613D" w:rsidP="0036613D">
          <w:pPr>
            <w:pStyle w:val="TOC1"/>
            <w:tabs>
              <w:tab w:val="right" w:leader="dot" w:pos="9016"/>
            </w:tabs>
            <w:rPr>
              <w:noProof/>
            </w:rPr>
          </w:pPr>
          <w:hyperlink w:anchor="_Toc236429739" w:history="1">
            <w:r w:rsidRPr="00F204A0">
              <w:rPr>
                <w:rStyle w:val="Hyperlink"/>
                <w:b/>
                <w:bCs/>
                <w:noProof/>
              </w:rPr>
              <w:t>National Wellbeing Initiatives</w:t>
            </w:r>
            <w:r>
              <w:rPr>
                <w:noProof/>
              </w:rPr>
              <w:tab/>
            </w:r>
            <w:r>
              <w:rPr>
                <w:noProof/>
              </w:rPr>
              <w:fldChar w:fldCharType="begin"/>
            </w:r>
            <w:r>
              <w:rPr>
                <w:noProof/>
              </w:rPr>
              <w:instrText xml:space="preserve"> PAGEREF _Toc236429739 \h </w:instrText>
            </w:r>
            <w:r>
              <w:rPr>
                <w:noProof/>
              </w:rPr>
            </w:r>
            <w:r>
              <w:rPr>
                <w:noProof/>
              </w:rPr>
              <w:fldChar w:fldCharType="separate"/>
            </w:r>
            <w:r>
              <w:rPr>
                <w:noProof/>
              </w:rPr>
              <w:t>1</w:t>
            </w:r>
            <w:r>
              <w:rPr>
                <w:noProof/>
              </w:rPr>
              <w:fldChar w:fldCharType="end"/>
            </w:r>
          </w:hyperlink>
        </w:p>
        <w:p w14:paraId="6A304FB2" w14:textId="77777777" w:rsidR="0036613D" w:rsidRDefault="0036613D" w:rsidP="0036613D">
          <w:pPr>
            <w:pStyle w:val="TOC2"/>
            <w:tabs>
              <w:tab w:val="right" w:leader="dot" w:pos="9016"/>
            </w:tabs>
            <w:rPr>
              <w:noProof/>
            </w:rPr>
          </w:pPr>
          <w:hyperlink w:anchor="_Toc236429740" w:history="1">
            <w:r w:rsidRPr="00F204A0">
              <w:rPr>
                <w:rStyle w:val="Hyperlink"/>
                <w:b/>
                <w:bCs/>
                <w:i/>
                <w:iCs/>
                <w:noProof/>
              </w:rPr>
              <w:t>Initiative 1: The NHS 10 Year Health Plan</w:t>
            </w:r>
            <w:r>
              <w:rPr>
                <w:noProof/>
              </w:rPr>
              <w:tab/>
            </w:r>
            <w:r>
              <w:rPr>
                <w:noProof/>
              </w:rPr>
              <w:fldChar w:fldCharType="begin"/>
            </w:r>
            <w:r>
              <w:rPr>
                <w:noProof/>
              </w:rPr>
              <w:instrText xml:space="preserve"> PAGEREF _Toc236429740 \h </w:instrText>
            </w:r>
            <w:r>
              <w:rPr>
                <w:noProof/>
              </w:rPr>
            </w:r>
            <w:r>
              <w:rPr>
                <w:noProof/>
              </w:rPr>
              <w:fldChar w:fldCharType="separate"/>
            </w:r>
            <w:r>
              <w:rPr>
                <w:noProof/>
              </w:rPr>
              <w:t>1</w:t>
            </w:r>
            <w:r>
              <w:rPr>
                <w:noProof/>
              </w:rPr>
              <w:fldChar w:fldCharType="end"/>
            </w:r>
          </w:hyperlink>
        </w:p>
        <w:p w14:paraId="5A6E3DB3" w14:textId="77777777" w:rsidR="0036613D" w:rsidRDefault="0036613D" w:rsidP="0036613D">
          <w:pPr>
            <w:pStyle w:val="TOC2"/>
            <w:tabs>
              <w:tab w:val="right" w:leader="dot" w:pos="9016"/>
            </w:tabs>
            <w:rPr>
              <w:noProof/>
            </w:rPr>
          </w:pPr>
          <w:hyperlink w:anchor="_Toc236429741" w:history="1">
            <w:r w:rsidRPr="00F204A0">
              <w:rPr>
                <w:rStyle w:val="Hyperlink"/>
                <w:b/>
                <w:bCs/>
                <w:i/>
                <w:iCs/>
                <w:noProof/>
              </w:rPr>
              <w:t>Initiative 2: Core20PLUS5</w:t>
            </w:r>
            <w:r>
              <w:rPr>
                <w:noProof/>
              </w:rPr>
              <w:tab/>
            </w:r>
            <w:r>
              <w:rPr>
                <w:noProof/>
              </w:rPr>
              <w:fldChar w:fldCharType="begin"/>
            </w:r>
            <w:r>
              <w:rPr>
                <w:noProof/>
              </w:rPr>
              <w:instrText xml:space="preserve"> PAGEREF _Toc236429741 \h </w:instrText>
            </w:r>
            <w:r>
              <w:rPr>
                <w:noProof/>
              </w:rPr>
            </w:r>
            <w:r>
              <w:rPr>
                <w:noProof/>
              </w:rPr>
              <w:fldChar w:fldCharType="separate"/>
            </w:r>
            <w:r>
              <w:rPr>
                <w:noProof/>
              </w:rPr>
              <w:t>1</w:t>
            </w:r>
            <w:r>
              <w:rPr>
                <w:noProof/>
              </w:rPr>
              <w:fldChar w:fldCharType="end"/>
            </w:r>
          </w:hyperlink>
        </w:p>
        <w:p w14:paraId="5241D44B" w14:textId="77777777" w:rsidR="0036613D" w:rsidRDefault="0036613D" w:rsidP="0036613D">
          <w:pPr>
            <w:pStyle w:val="TOC2"/>
            <w:tabs>
              <w:tab w:val="right" w:leader="dot" w:pos="9016"/>
            </w:tabs>
            <w:rPr>
              <w:noProof/>
            </w:rPr>
          </w:pPr>
          <w:hyperlink w:anchor="_Toc236429742" w:history="1">
            <w:r w:rsidRPr="00F204A0">
              <w:rPr>
                <w:rStyle w:val="Hyperlink"/>
                <w:b/>
                <w:bCs/>
                <w:i/>
                <w:iCs/>
                <w:noProof/>
              </w:rPr>
              <w:t>Recommendations</w:t>
            </w:r>
            <w:r>
              <w:rPr>
                <w:noProof/>
              </w:rPr>
              <w:tab/>
            </w:r>
            <w:r>
              <w:rPr>
                <w:noProof/>
              </w:rPr>
              <w:fldChar w:fldCharType="begin"/>
            </w:r>
            <w:r>
              <w:rPr>
                <w:noProof/>
              </w:rPr>
              <w:instrText xml:space="preserve"> PAGEREF _Toc236429742 \h </w:instrText>
            </w:r>
            <w:r>
              <w:rPr>
                <w:noProof/>
              </w:rPr>
            </w:r>
            <w:r>
              <w:rPr>
                <w:noProof/>
              </w:rPr>
              <w:fldChar w:fldCharType="separate"/>
            </w:r>
            <w:r>
              <w:rPr>
                <w:noProof/>
              </w:rPr>
              <w:t>1</w:t>
            </w:r>
            <w:r>
              <w:rPr>
                <w:noProof/>
              </w:rPr>
              <w:fldChar w:fldCharType="end"/>
            </w:r>
          </w:hyperlink>
        </w:p>
        <w:p w14:paraId="427A1A09" w14:textId="77777777" w:rsidR="0036613D" w:rsidRDefault="0036613D" w:rsidP="0036613D">
          <w:pPr>
            <w:pStyle w:val="TOC1"/>
            <w:tabs>
              <w:tab w:val="right" w:leader="dot" w:pos="9016"/>
            </w:tabs>
            <w:rPr>
              <w:noProof/>
            </w:rPr>
          </w:pPr>
          <w:hyperlink w:anchor="_Toc236429743" w:history="1">
            <w:r w:rsidRPr="00F204A0">
              <w:rPr>
                <w:rStyle w:val="Hyperlink"/>
                <w:b/>
                <w:bCs/>
                <w:noProof/>
              </w:rPr>
              <w:t>Local Wellbeing Initiatives</w:t>
            </w:r>
            <w:r>
              <w:rPr>
                <w:noProof/>
              </w:rPr>
              <w:tab/>
            </w:r>
            <w:r>
              <w:rPr>
                <w:noProof/>
              </w:rPr>
              <w:fldChar w:fldCharType="begin"/>
            </w:r>
            <w:r>
              <w:rPr>
                <w:noProof/>
              </w:rPr>
              <w:instrText xml:space="preserve"> PAGEREF _Toc236429743 \h </w:instrText>
            </w:r>
            <w:r>
              <w:rPr>
                <w:noProof/>
              </w:rPr>
            </w:r>
            <w:r>
              <w:rPr>
                <w:noProof/>
              </w:rPr>
              <w:fldChar w:fldCharType="separate"/>
            </w:r>
            <w:r>
              <w:rPr>
                <w:noProof/>
              </w:rPr>
              <w:t>1</w:t>
            </w:r>
            <w:r>
              <w:rPr>
                <w:noProof/>
              </w:rPr>
              <w:fldChar w:fldCharType="end"/>
            </w:r>
          </w:hyperlink>
        </w:p>
        <w:p w14:paraId="5D02E638" w14:textId="77777777" w:rsidR="002C1AD5" w:rsidRDefault="002C1AD5" w:rsidP="002C1AD5">
          <w:pPr>
            <w:pStyle w:val="TOC2"/>
            <w:tabs>
              <w:tab w:val="right" w:leader="dot" w:pos="9016"/>
            </w:tabs>
            <w:rPr>
              <w:noProof/>
            </w:rPr>
          </w:pPr>
          <w:hyperlink w:anchor="_Toc236495996" w:history="1">
            <w:r w:rsidRPr="008C7642">
              <w:rPr>
                <w:rStyle w:val="Hyperlink"/>
                <w:b/>
                <w:bCs/>
                <w:i/>
                <w:iCs/>
                <w:noProof/>
              </w:rPr>
              <w:t>Initiative 1: The Croydon Joint Local Health and Wellbeing Strategy</w:t>
            </w:r>
            <w:r>
              <w:rPr>
                <w:noProof/>
              </w:rPr>
              <w:tab/>
            </w:r>
            <w:r>
              <w:rPr>
                <w:noProof/>
              </w:rPr>
              <w:fldChar w:fldCharType="begin"/>
            </w:r>
            <w:r>
              <w:rPr>
                <w:noProof/>
              </w:rPr>
              <w:instrText xml:space="preserve"> PAGEREF _Toc236495996 \h </w:instrText>
            </w:r>
            <w:r>
              <w:rPr>
                <w:noProof/>
              </w:rPr>
            </w:r>
            <w:r>
              <w:rPr>
                <w:noProof/>
              </w:rPr>
              <w:fldChar w:fldCharType="separate"/>
            </w:r>
            <w:r>
              <w:rPr>
                <w:noProof/>
              </w:rPr>
              <w:t>1</w:t>
            </w:r>
            <w:r>
              <w:rPr>
                <w:noProof/>
              </w:rPr>
              <w:fldChar w:fldCharType="end"/>
            </w:r>
          </w:hyperlink>
        </w:p>
        <w:p w14:paraId="5346D313" w14:textId="77777777" w:rsidR="002C1AD5" w:rsidRDefault="002C1AD5" w:rsidP="002C1AD5">
          <w:pPr>
            <w:pStyle w:val="TOC2"/>
            <w:tabs>
              <w:tab w:val="right" w:leader="dot" w:pos="9016"/>
            </w:tabs>
            <w:rPr>
              <w:noProof/>
            </w:rPr>
          </w:pPr>
          <w:hyperlink w:anchor="_Toc236495997" w:history="1">
            <w:r w:rsidRPr="008C7642">
              <w:rPr>
                <w:rStyle w:val="Hyperlink"/>
                <w:b/>
                <w:bCs/>
                <w:i/>
                <w:iCs/>
                <w:noProof/>
              </w:rPr>
              <w:t>Initiative 2: Local Area Coordination</w:t>
            </w:r>
            <w:r>
              <w:rPr>
                <w:noProof/>
              </w:rPr>
              <w:tab/>
            </w:r>
            <w:r>
              <w:rPr>
                <w:noProof/>
              </w:rPr>
              <w:fldChar w:fldCharType="begin"/>
            </w:r>
            <w:r>
              <w:rPr>
                <w:noProof/>
              </w:rPr>
              <w:instrText xml:space="preserve"> PAGEREF _Toc236495997 \h </w:instrText>
            </w:r>
            <w:r>
              <w:rPr>
                <w:noProof/>
              </w:rPr>
            </w:r>
            <w:r>
              <w:rPr>
                <w:noProof/>
              </w:rPr>
              <w:fldChar w:fldCharType="separate"/>
            </w:r>
            <w:r>
              <w:rPr>
                <w:noProof/>
              </w:rPr>
              <w:t>1</w:t>
            </w:r>
            <w:r>
              <w:rPr>
                <w:noProof/>
              </w:rPr>
              <w:fldChar w:fldCharType="end"/>
            </w:r>
          </w:hyperlink>
        </w:p>
        <w:p w14:paraId="34AE9031" w14:textId="3AA4C234" w:rsidR="0036613D" w:rsidRDefault="0036613D" w:rsidP="002C1AD5">
          <w:pPr>
            <w:pStyle w:val="TOC2"/>
            <w:tabs>
              <w:tab w:val="right" w:leader="dot" w:pos="9016"/>
            </w:tabs>
            <w:ind w:left="0"/>
            <w:rPr>
              <w:noProof/>
            </w:rPr>
          </w:pPr>
          <w:hyperlink w:anchor="_Toc236429746" w:history="1">
            <w:r w:rsidRPr="00F204A0">
              <w:rPr>
                <w:rStyle w:val="Hyperlink"/>
                <w:b/>
                <w:bCs/>
                <w:i/>
                <w:iCs/>
                <w:noProof/>
              </w:rPr>
              <w:t>Recommendations</w:t>
            </w:r>
            <w:r>
              <w:rPr>
                <w:noProof/>
              </w:rPr>
              <w:tab/>
            </w:r>
            <w:r>
              <w:rPr>
                <w:noProof/>
              </w:rPr>
              <w:fldChar w:fldCharType="begin"/>
            </w:r>
            <w:r>
              <w:rPr>
                <w:noProof/>
              </w:rPr>
              <w:instrText xml:space="preserve"> PAGEREF _Toc236429746 \h </w:instrText>
            </w:r>
            <w:r>
              <w:rPr>
                <w:noProof/>
              </w:rPr>
            </w:r>
            <w:r>
              <w:rPr>
                <w:noProof/>
              </w:rPr>
              <w:fldChar w:fldCharType="separate"/>
            </w:r>
            <w:r>
              <w:rPr>
                <w:noProof/>
              </w:rPr>
              <w:t>1</w:t>
            </w:r>
            <w:r>
              <w:rPr>
                <w:noProof/>
              </w:rPr>
              <w:fldChar w:fldCharType="end"/>
            </w:r>
          </w:hyperlink>
        </w:p>
        <w:p w14:paraId="27DE7E7F" w14:textId="77777777" w:rsidR="0036613D" w:rsidRDefault="0036613D" w:rsidP="0036613D">
          <w:pPr>
            <w:pStyle w:val="TOC1"/>
            <w:tabs>
              <w:tab w:val="right" w:leader="dot" w:pos="9016"/>
            </w:tabs>
            <w:rPr>
              <w:noProof/>
            </w:rPr>
          </w:pPr>
          <w:hyperlink w:anchor="_Toc236429747" w:history="1">
            <w:r w:rsidRPr="00F204A0">
              <w:rPr>
                <w:rStyle w:val="Hyperlink"/>
                <w:b/>
                <w:bCs/>
                <w:noProof/>
              </w:rPr>
              <w:t>Conclusion</w:t>
            </w:r>
            <w:r>
              <w:rPr>
                <w:noProof/>
              </w:rPr>
              <w:tab/>
            </w:r>
            <w:r>
              <w:rPr>
                <w:noProof/>
              </w:rPr>
              <w:fldChar w:fldCharType="begin"/>
            </w:r>
            <w:r>
              <w:rPr>
                <w:noProof/>
              </w:rPr>
              <w:instrText xml:space="preserve"> PAGEREF _Toc236429747 \h </w:instrText>
            </w:r>
            <w:r>
              <w:rPr>
                <w:noProof/>
              </w:rPr>
            </w:r>
            <w:r>
              <w:rPr>
                <w:noProof/>
              </w:rPr>
              <w:fldChar w:fldCharType="separate"/>
            </w:r>
            <w:r>
              <w:rPr>
                <w:noProof/>
              </w:rPr>
              <w:t>1</w:t>
            </w:r>
            <w:r>
              <w:rPr>
                <w:noProof/>
              </w:rPr>
              <w:fldChar w:fldCharType="end"/>
            </w:r>
          </w:hyperlink>
        </w:p>
        <w:p w14:paraId="1DA787AF" w14:textId="77777777" w:rsidR="0036613D" w:rsidRDefault="0036613D" w:rsidP="0036613D">
          <w:pPr>
            <w:pStyle w:val="TOC1"/>
            <w:tabs>
              <w:tab w:val="right" w:leader="dot" w:pos="9016"/>
            </w:tabs>
            <w:rPr>
              <w:noProof/>
            </w:rPr>
          </w:pPr>
          <w:hyperlink w:anchor="_Toc236429748" w:history="1">
            <w:r w:rsidRPr="00F204A0">
              <w:rPr>
                <w:rStyle w:val="Hyperlink"/>
                <w:b/>
                <w:bCs/>
                <w:noProof/>
              </w:rPr>
              <w:t>References</w:t>
            </w:r>
            <w:r>
              <w:rPr>
                <w:noProof/>
              </w:rPr>
              <w:tab/>
            </w:r>
            <w:r>
              <w:rPr>
                <w:noProof/>
              </w:rPr>
              <w:fldChar w:fldCharType="begin"/>
            </w:r>
            <w:r>
              <w:rPr>
                <w:noProof/>
              </w:rPr>
              <w:instrText xml:space="preserve"> PAGEREF _Toc236429748 \h </w:instrText>
            </w:r>
            <w:r>
              <w:rPr>
                <w:noProof/>
              </w:rPr>
            </w:r>
            <w:r>
              <w:rPr>
                <w:noProof/>
              </w:rPr>
              <w:fldChar w:fldCharType="separate"/>
            </w:r>
            <w:r>
              <w:rPr>
                <w:noProof/>
              </w:rPr>
              <w:t>1</w:t>
            </w:r>
            <w:r>
              <w:rPr>
                <w:noProof/>
              </w:rPr>
              <w:fldChar w:fldCharType="end"/>
            </w:r>
          </w:hyperlink>
        </w:p>
        <w:p w14:paraId="3F0D0B3B" w14:textId="77777777" w:rsidR="0036613D" w:rsidRDefault="0036613D" w:rsidP="0036613D">
          <w:r>
            <w:fldChar w:fldCharType="end"/>
          </w:r>
        </w:p>
      </w:sdtContent>
    </w:sdt>
    <w:p w14:paraId="7274BB49" w14:textId="77777777" w:rsidR="0036613D" w:rsidRDefault="0036613D" w:rsidP="0036613D">
      <w:r>
        <w:br w:type="page"/>
      </w:r>
    </w:p>
    <w:p w14:paraId="0341CC18" w14:textId="77777777" w:rsidR="0036613D" w:rsidRPr="00F53A20" w:rsidRDefault="0036613D" w:rsidP="0036613D">
      <w:pPr>
        <w:pStyle w:val="Heading1"/>
        <w:spacing w:before="300" w:after="150" w:line="360" w:lineRule="auto"/>
        <w:rPr>
          <w:b/>
          <w:bCs/>
          <w:color w:val="auto"/>
        </w:rPr>
      </w:pPr>
      <w:bookmarkStart w:id="1" w:name="_Toc236429732"/>
      <w:r w:rsidRPr="00F53A20">
        <w:rPr>
          <w:b/>
          <w:bCs/>
          <w:color w:val="auto"/>
          <w:sz w:val="24"/>
          <w:szCs w:val="24"/>
        </w:rPr>
        <w:lastRenderedPageBreak/>
        <w:t>Introduction</w:t>
      </w:r>
      <w:bookmarkEnd w:id="1"/>
    </w:p>
    <w:p w14:paraId="0E3F6FD7" w14:textId="77777777" w:rsidR="0036613D" w:rsidRDefault="0036613D" w:rsidP="0036613D">
      <w:pPr>
        <w:spacing w:after="200" w:line="360" w:lineRule="auto"/>
        <w:jc w:val="both"/>
      </w:pPr>
      <w:r>
        <w:t>This report critically examines current health, wellbeing and sustainability policy affecting citizens at global, national and local levels. It outlines the main constructs of Sustainable Development Goal (SDG) 3, Good Health and Well-being, and SDG 10, Reduced Inequalities, and discusses how each shapes citizens' health outcomes. It then evaluates the effectiveness of two national initiatives, the NHS 10 Year Health Plan and Core20PLUS5, and two local initiatives, social prescribing and Health and Wellbeing Boards, before presenting recommendations for improvement and a concluding summary of the key points raised.</w:t>
      </w:r>
    </w:p>
    <w:p w14:paraId="32B24AA6" w14:textId="77777777" w:rsidR="0036613D" w:rsidRPr="00F53A20" w:rsidRDefault="0036613D" w:rsidP="0036613D">
      <w:pPr>
        <w:pStyle w:val="Heading1"/>
        <w:spacing w:before="300" w:after="150" w:line="360" w:lineRule="auto"/>
        <w:rPr>
          <w:color w:val="000000" w:themeColor="text1"/>
        </w:rPr>
      </w:pPr>
      <w:bookmarkStart w:id="2" w:name="_Toc236429733"/>
      <w:r w:rsidRPr="00F53A20">
        <w:rPr>
          <w:b/>
          <w:bCs/>
          <w:color w:val="000000" w:themeColor="text1"/>
          <w:sz w:val="24"/>
          <w:szCs w:val="24"/>
        </w:rPr>
        <w:t>Sustainable Development Goal 3: Good Health and Well-being</w:t>
      </w:r>
      <w:bookmarkEnd w:id="2"/>
    </w:p>
    <w:p w14:paraId="7CE68DFB" w14:textId="77777777" w:rsidR="0036613D" w:rsidRPr="00F53A20" w:rsidRDefault="0036613D" w:rsidP="0036613D">
      <w:pPr>
        <w:pStyle w:val="Heading2"/>
        <w:spacing w:before="200" w:after="100" w:line="360" w:lineRule="auto"/>
        <w:rPr>
          <w:color w:val="000000" w:themeColor="text1"/>
        </w:rPr>
      </w:pPr>
      <w:bookmarkStart w:id="3" w:name="_Toc236429734"/>
      <w:r w:rsidRPr="00F53A20">
        <w:rPr>
          <w:b/>
          <w:bCs/>
          <w:i/>
          <w:iCs/>
          <w:color w:val="000000" w:themeColor="text1"/>
          <w:sz w:val="22"/>
          <w:szCs w:val="22"/>
        </w:rPr>
        <w:t>Main constructs of the goal</w:t>
      </w:r>
      <w:bookmarkEnd w:id="3"/>
    </w:p>
    <w:p w14:paraId="33E1C18F" w14:textId="77777777" w:rsidR="0036613D" w:rsidRDefault="0036613D" w:rsidP="0036613D">
      <w:pPr>
        <w:spacing w:after="200" w:line="360" w:lineRule="auto"/>
        <w:jc w:val="both"/>
      </w:pPr>
      <w:r>
        <w:t>SDG 3 is the United Nations' commitment to ensure healthy lives and promote well-being for all at all ages, agreed by all 191 UN Member States as part of the 2030 Agenda for Sustainable Development (United Nations, n.d.). It is built around 13 targets, covering the reduction of global maternal, neonatal and under-five mortality; ending the epidemics of AIDS, tuberculosis, malaria and neglected tropical diseases; reducing premature mortality from non-communicable disease by a third while promoting mental health; strengthening prevention and treatment of substance misuse; halving deaths and injuries from road traffic accidents; ensuring universal access to sexual and reproductive healthcare; and achieving universal health coverage, including access to safe, effective and affordable medicines and vaccines for all (United Nations, n.d.). Two further targets address the means of implementation: strengthening the World Health Organisation's Framework Convention on Tobacco Control, and increasing health financing and the health workforce, particularly in developing countries (United Nations, n.d.). SDG 3 therefore constructs health broadly, as both the absence of disease and the presence of wellbeing across the life course, and positions universal health coverage as the mechanism through which this is achieved.</w:t>
      </w:r>
    </w:p>
    <w:p w14:paraId="76CB49A9" w14:textId="77777777" w:rsidR="0036613D" w:rsidRPr="00F53A20" w:rsidRDefault="0036613D" w:rsidP="0036613D">
      <w:pPr>
        <w:pStyle w:val="Heading2"/>
        <w:spacing w:before="200" w:after="100" w:line="360" w:lineRule="auto"/>
        <w:rPr>
          <w:color w:val="000000" w:themeColor="text1"/>
        </w:rPr>
      </w:pPr>
      <w:bookmarkStart w:id="4" w:name="_Toc236429735"/>
      <w:r w:rsidRPr="00F53A20">
        <w:rPr>
          <w:b/>
          <w:bCs/>
          <w:i/>
          <w:iCs/>
          <w:color w:val="000000" w:themeColor="text1"/>
          <w:sz w:val="22"/>
          <w:szCs w:val="22"/>
        </w:rPr>
        <w:t>Impact on the health and wellbeing of citizens</w:t>
      </w:r>
      <w:bookmarkEnd w:id="4"/>
    </w:p>
    <w:p w14:paraId="6FD5D9DE" w14:textId="77777777" w:rsidR="0036613D" w:rsidRDefault="0036613D" w:rsidP="0036613D">
      <w:pPr>
        <w:spacing w:after="200" w:line="360" w:lineRule="auto"/>
        <w:jc w:val="both"/>
      </w:pPr>
      <w:r>
        <w:t xml:space="preserve">At a global level, SDG 3 has driven measurable improvement: under-five deaths fell from 9.9 million in 2000 to 4.9 million in 2022, a reduction of just over half, and HIV-related deaths have halved since 2010 (United Nations, n.d.). However, UN monitoring shows that progress on several targets, including maternal mortality and non-communicable disease, is falling short of the pace required to meet the 2030 deadline, and that neglected tropical diseases still affect nearly 1.5 billion people worldwide (United Nations, n.d.). For citizens in lower-income </w:t>
      </w:r>
      <w:r>
        <w:lastRenderedPageBreak/>
        <w:t>countries in particular, this uneven progress means continued exposure to preventable disease and limited access to essential medicines.</w:t>
      </w:r>
    </w:p>
    <w:p w14:paraId="7A14150D" w14:textId="77777777" w:rsidR="0036613D" w:rsidRDefault="0036613D" w:rsidP="0036613D">
      <w:pPr>
        <w:spacing w:after="200" w:line="360" w:lineRule="auto"/>
        <w:jc w:val="both"/>
      </w:pPr>
      <w:r>
        <w:t xml:space="preserve">In England, SDG 3 is operationalised chiefly through the NHS and public health system. The Department of Health and Social Care's 10 Year Health Plan, </w:t>
      </w:r>
      <w:proofErr w:type="gramStart"/>
      <w:r>
        <w:t>Fit</w:t>
      </w:r>
      <w:proofErr w:type="gramEnd"/>
      <w:r>
        <w:t xml:space="preserve"> for the Future (2025), commits to shifting care from hospital to community, from analogue to digital, and from treatment to prevention, with the explicit aim of keeping citizens healthier for longer (Department of Health and Social Care, 2025). This reflects SDG 3's emphasis on non-communicable disease prevention and universal coverage, translated into a national health system context. At a local level, SDG 3 reaches citizens through Integrated Care Systems, Primary Care Networks and local authority public health teams, which commission the smoking cessation, immunisation, weight management and mental health services that citizens use directly. For a health and social care practitioner, the significance of SDG 3 lies in its framing of health as a whole-life concern rather than a purely clinical one, though this framing risks understating how far health is shaped by the wider conditions in which people live, the social determinants addressed more explicitly by SDG 10 (Marmot et al., 2020).</w:t>
      </w:r>
    </w:p>
    <w:p w14:paraId="6F789A37" w14:textId="77777777" w:rsidR="0036613D" w:rsidRPr="00380882" w:rsidRDefault="0036613D" w:rsidP="0036613D">
      <w:pPr>
        <w:pStyle w:val="Heading1"/>
        <w:spacing w:before="300" w:after="150" w:line="360" w:lineRule="auto"/>
        <w:rPr>
          <w:color w:val="000000" w:themeColor="text1"/>
        </w:rPr>
      </w:pPr>
      <w:bookmarkStart w:id="5" w:name="_Toc236429736"/>
      <w:r w:rsidRPr="00380882">
        <w:rPr>
          <w:b/>
          <w:bCs/>
          <w:color w:val="000000" w:themeColor="text1"/>
          <w:sz w:val="24"/>
          <w:szCs w:val="24"/>
        </w:rPr>
        <w:t>Sustainable Development Goal 10: Reduced Inequalities</w:t>
      </w:r>
      <w:bookmarkEnd w:id="5"/>
    </w:p>
    <w:p w14:paraId="00C131FC" w14:textId="77777777" w:rsidR="0036613D" w:rsidRPr="00380882" w:rsidRDefault="0036613D" w:rsidP="0036613D">
      <w:pPr>
        <w:pStyle w:val="Heading2"/>
        <w:spacing w:before="200" w:after="100" w:line="360" w:lineRule="auto"/>
        <w:rPr>
          <w:color w:val="000000" w:themeColor="text1"/>
        </w:rPr>
      </w:pPr>
      <w:bookmarkStart w:id="6" w:name="_Toc236429737"/>
      <w:r w:rsidRPr="00380882">
        <w:rPr>
          <w:b/>
          <w:bCs/>
          <w:i/>
          <w:iCs/>
          <w:color w:val="000000" w:themeColor="text1"/>
          <w:sz w:val="22"/>
          <w:szCs w:val="22"/>
        </w:rPr>
        <w:t>Main constructs of the goal</w:t>
      </w:r>
      <w:bookmarkEnd w:id="6"/>
    </w:p>
    <w:p w14:paraId="0EA749B8" w14:textId="77777777" w:rsidR="0036613D" w:rsidRDefault="0036613D" w:rsidP="0036613D">
      <w:pPr>
        <w:spacing w:after="200" w:line="360" w:lineRule="auto"/>
        <w:jc w:val="both"/>
      </w:pPr>
      <w:r>
        <w:t>SDG 10 commits UN Member States to “reduce inequality within and among countries” (United Nations, n.d.). Its targets include progressively achieving income growth for the poorest 40 per cent of the population at a rate higher than the national average; empowering and promoting the social, economic and political inclusion of all people irrespective of age, sex, disability, race, ethnicity, origin, religion or economic status; ensuring equal opportunity by eliminating discriminatory laws, policies and practices; adopting fiscal, wage and social protection policies that progressively achieve greater equality; and improving the regulation of global financial markets (United Nations, n.d.). Further targets address international dimensions of inequality, including reducing the cost of migrant remittances and improving representation of developing countries in international decision-making (United Nations, n.d.). SDG 10 constructs inequality as multidimensional, spanning income, opportunity, representation and legal protection, rather than an issue of income alone.</w:t>
      </w:r>
    </w:p>
    <w:p w14:paraId="42C3E206" w14:textId="77777777" w:rsidR="0036613D" w:rsidRPr="00380882" w:rsidRDefault="0036613D" w:rsidP="0036613D">
      <w:pPr>
        <w:pStyle w:val="Heading2"/>
        <w:spacing w:before="200" w:after="100" w:line="360" w:lineRule="auto"/>
        <w:rPr>
          <w:color w:val="000000" w:themeColor="text1"/>
        </w:rPr>
      </w:pPr>
      <w:bookmarkStart w:id="7" w:name="_Toc236429738"/>
      <w:r w:rsidRPr="00380882">
        <w:rPr>
          <w:b/>
          <w:bCs/>
          <w:i/>
          <w:iCs/>
          <w:color w:val="000000" w:themeColor="text1"/>
          <w:sz w:val="22"/>
          <w:szCs w:val="22"/>
        </w:rPr>
        <w:t>Impact on the health and wellbeing of citizens</w:t>
      </w:r>
      <w:bookmarkEnd w:id="7"/>
    </w:p>
    <w:p w14:paraId="6FC2DEC6" w14:textId="77777777" w:rsidR="0036613D" w:rsidRDefault="0036613D" w:rsidP="0036613D">
      <w:pPr>
        <w:spacing w:after="200" w:line="360" w:lineRule="auto"/>
        <w:jc w:val="both"/>
      </w:pPr>
      <w:r>
        <w:t xml:space="preserve">Although framed in economic terms, SDG 10's relevance to health is substantial, because citizens experiencing income poverty, discrimination or social exclusion consistently experience worse health outcomes than more advantaged citizens. At a global level, income </w:t>
      </w:r>
      <w:r>
        <w:lastRenderedPageBreak/>
        <w:t>inequality remains stark: between 1988 and 2008, the wealthiest five per cent of people captured 44 per cent of global income growth, while incomes for the poorest changed little, and income inequality within many developing countries rose further between 1990 and 2010 (UN Women, n.d.). Where citizens live within this global distribution shapes their access to healthcare, nutrition and sanitation long before any national health policy applies. In England, this relationship is documented most authoritatively by the Marmot reviews. Fair Society, Healthy Lives (Marmot, 2010) established that health follows a social gradient: the more deprived the area, the shorter the life expectancy and the greater the number of years spent in poor health. Health Equity in England: The Marmot Review 10 Years On (Marmot et al., 2020) found this gradient had widened since 2010, with life expectancy stalling nationally and declining for women in the most deprived 10 per cent of neighbourhoods.</w:t>
      </w:r>
    </w:p>
    <w:p w14:paraId="21E94B51" w14:textId="77777777" w:rsidR="0036613D" w:rsidRDefault="0036613D" w:rsidP="0036613D">
      <w:pPr>
        <w:spacing w:after="200" w:line="360" w:lineRule="auto"/>
        <w:jc w:val="both"/>
      </w:pPr>
      <w:r>
        <w:t>The most recent official data confirm the gap remains stark: in 2022 to 2024, life expectancy at birth in England's most deprived areas was 73.2 years for males and 78.3 years for females, compared with 83.6 years and 86.4 years respectively in the least deprived areas (Office for National Statistics, 2026), a gap of 83.6 − 73.2 = 10.4 years for males and 86.4 − 78.3 = 8.1 years for females. Healthy life expectancy shows an even starker divide: 49.8 years for men and 48.2 years for women in the most deprived areas, against 69.2 and 68.5 years respectively in the least deprived areas (Office for National Statistics, 2026), a difference of 69.2 − 49.8 = 19.4 years for men and 68.5 − 48.2 = 20.3 years for women. For citizens, this translates into unequal access to healthy food, safe housing, secure employment and green space; for a health and social care professional, it means that interventions treating illness without addressing income, housing or discrimination are likely to have limited long-term impact on population health.</w:t>
      </w:r>
    </w:p>
    <w:p w14:paraId="0DFB1FCC" w14:textId="77777777" w:rsidR="0036613D" w:rsidRPr="00BC3A6D" w:rsidRDefault="0036613D" w:rsidP="0036613D">
      <w:pPr>
        <w:pStyle w:val="Heading1"/>
        <w:spacing w:before="300" w:after="150" w:line="360" w:lineRule="auto"/>
        <w:rPr>
          <w:color w:val="000000" w:themeColor="text1"/>
        </w:rPr>
      </w:pPr>
      <w:bookmarkStart w:id="8" w:name="_Toc236429739"/>
      <w:r w:rsidRPr="00BC3A6D">
        <w:rPr>
          <w:b/>
          <w:bCs/>
          <w:color w:val="000000" w:themeColor="text1"/>
          <w:sz w:val="24"/>
          <w:szCs w:val="24"/>
        </w:rPr>
        <w:t>National Wellbeing Initiatives</w:t>
      </w:r>
      <w:bookmarkEnd w:id="8"/>
    </w:p>
    <w:p w14:paraId="75FF7F84" w14:textId="77777777" w:rsidR="0036613D" w:rsidRPr="00BC3A6D" w:rsidRDefault="0036613D" w:rsidP="0036613D">
      <w:pPr>
        <w:pStyle w:val="Heading2"/>
        <w:spacing w:before="200" w:after="100" w:line="360" w:lineRule="auto"/>
        <w:rPr>
          <w:color w:val="000000" w:themeColor="text1"/>
        </w:rPr>
      </w:pPr>
      <w:bookmarkStart w:id="9" w:name="_Toc236429740"/>
      <w:r w:rsidRPr="00BC3A6D">
        <w:rPr>
          <w:b/>
          <w:bCs/>
          <w:i/>
          <w:iCs/>
          <w:color w:val="000000" w:themeColor="text1"/>
          <w:sz w:val="22"/>
          <w:szCs w:val="22"/>
        </w:rPr>
        <w:t>Initiative 1: The NHS 10 Year Health Plan</w:t>
      </w:r>
      <w:bookmarkEnd w:id="9"/>
    </w:p>
    <w:p w14:paraId="65CBE3CF" w14:textId="0661BC4C" w:rsidR="0036613D" w:rsidRDefault="0036613D" w:rsidP="0036613D">
      <w:pPr>
        <w:spacing w:after="200" w:line="360" w:lineRule="auto"/>
        <w:jc w:val="both"/>
      </w:pPr>
      <w:r>
        <w:t xml:space="preserve">The NHS 10 Year Health Plan, </w:t>
      </w:r>
      <w:proofErr w:type="gramStart"/>
      <w:r w:rsidR="009031C2">
        <w:t>Fit</w:t>
      </w:r>
      <w:proofErr w:type="gramEnd"/>
      <w:r w:rsidR="009031C2">
        <w:t xml:space="preserve"> for the Future (2025), is the principal national vehicle for translating SDG 3 into English health policy, building on the 2019 NHS Long-Term</w:t>
      </w:r>
      <w:r>
        <w:t xml:space="preserve"> Plan. It commits to three shifts, from hospital to community, from analogue to digital, and from treatment to prevention (Department of Health and Social Care, 2025). An independent analysis of the 2019 plan by the King's Fund found its prevention and integration ambitions credible</w:t>
      </w:r>
      <w:r w:rsidR="009031C2">
        <w:t>. Still, it noted</w:t>
      </w:r>
      <w:r>
        <w:t xml:space="preserve"> that success would depend on funding beyond NHS England's own budget, including local authority public health and social care spending, which the plan could not guarantee (King's Fund, 2019). The House of Commons Library (2026) and the Local Government Association (2025) similarly caution that the delivery of the 2025 plan depends </w:t>
      </w:r>
      <w:r>
        <w:lastRenderedPageBreak/>
        <w:t>on genuine partnership between the NHS and councils, and that funding details for the community and prevention shifts are still emerging, so its overall effectiveness cannot yet be fully assessed.</w:t>
      </w:r>
    </w:p>
    <w:p w14:paraId="59EF7BF3" w14:textId="77777777" w:rsidR="0036613D" w:rsidRPr="00BC3A6D" w:rsidRDefault="0036613D" w:rsidP="0036613D">
      <w:pPr>
        <w:pStyle w:val="Heading2"/>
        <w:spacing w:before="200" w:after="100" w:line="360" w:lineRule="auto"/>
        <w:rPr>
          <w:color w:val="000000" w:themeColor="text1"/>
        </w:rPr>
      </w:pPr>
      <w:bookmarkStart w:id="10" w:name="_Toc236429741"/>
      <w:r w:rsidRPr="00BC3A6D">
        <w:rPr>
          <w:b/>
          <w:bCs/>
          <w:i/>
          <w:iCs/>
          <w:color w:val="000000" w:themeColor="text1"/>
          <w:sz w:val="22"/>
          <w:szCs w:val="22"/>
        </w:rPr>
        <w:t>Initiative 2: Core20PLUS5</w:t>
      </w:r>
      <w:bookmarkEnd w:id="10"/>
    </w:p>
    <w:p w14:paraId="53730DDD" w14:textId="77777777" w:rsidR="0036613D" w:rsidRDefault="0036613D" w:rsidP="0036613D">
      <w:pPr>
        <w:spacing w:after="200" w:line="360" w:lineRule="auto"/>
        <w:jc w:val="both"/>
      </w:pPr>
      <w:r>
        <w:t>Core20PLUS5 is NHS England's national approach to reducing SDG 10-type healthcare inequalities. It targets the most deprived 20 per cent of the population ('Core20'), local '</w:t>
      </w:r>
      <w:proofErr w:type="spellStart"/>
      <w:r>
        <w:t>Plus'</w:t>
      </w:r>
      <w:proofErr w:type="spellEnd"/>
      <w:r>
        <w:t xml:space="preserve"> groups experiencing poor outcomes, and five clinical priority areas for accelerated improvement, including maternity, severe mental illness, chronic respiratory disease and early cancer diagnosis (NHS England, n.d.). The approach was backed by £200 million of national funding targeted at areas with the greatest health inequalities as part of 2022/23 planning requirements (East London NHS Foundation Trust, 2022). An evaluation commissioned by NHS England's Healthcare Inequalities Improvement Programme found the framework had been widely adopted as a structure for local prioritisation, but that robust evidence of its impact on measurable outcomes remained a work in progress (Strategy Unit, 2025). This suggests Core20PLUS5 is effective as a prioritisation framework but less consistently effective, so far, at demonstrating measurable impact.</w:t>
      </w:r>
    </w:p>
    <w:p w14:paraId="7FE7C966" w14:textId="77777777" w:rsidR="0036613D" w:rsidRPr="00A74CAD" w:rsidRDefault="0036613D" w:rsidP="0036613D">
      <w:pPr>
        <w:pStyle w:val="Heading2"/>
        <w:spacing w:before="200" w:after="100" w:line="360" w:lineRule="auto"/>
        <w:rPr>
          <w:color w:val="000000" w:themeColor="text1"/>
        </w:rPr>
      </w:pPr>
      <w:bookmarkStart w:id="11" w:name="_Toc236429742"/>
      <w:r w:rsidRPr="00A74CAD">
        <w:rPr>
          <w:b/>
          <w:bCs/>
          <w:color w:val="000000" w:themeColor="text1"/>
          <w:sz w:val="22"/>
          <w:szCs w:val="22"/>
        </w:rPr>
        <w:t>Recommendations</w:t>
      </w:r>
      <w:bookmarkEnd w:id="11"/>
    </w:p>
    <w:p w14:paraId="7A264064" w14:textId="77777777" w:rsidR="0036613D" w:rsidRDefault="0036613D" w:rsidP="0036613D">
      <w:pPr>
        <w:spacing w:after="200" w:line="360" w:lineRule="auto"/>
        <w:jc w:val="both"/>
      </w:pPr>
      <w:r>
        <w:t>Funding for both initiatives should be made multi-year rather than subject to short-term cycles, so that prevention and inequality-reduction work can be planned sustainably (King's Fund, 2026). Core20PLUS5 should also be paired with standardised local outcome metrics, so progress in narrowing the healthy life expectancy gap identified by the ONS (2026) can be consistently monitored across Integrated Care Systems, rather than assessed only through adoption of the framework (Strategy Unit, 2025).</w:t>
      </w:r>
    </w:p>
    <w:p w14:paraId="5134328D" w14:textId="77777777" w:rsidR="0036613D" w:rsidRPr="0036613D" w:rsidRDefault="0036613D" w:rsidP="0036613D">
      <w:pPr>
        <w:pStyle w:val="Heading1"/>
        <w:spacing w:before="300" w:after="150" w:line="360" w:lineRule="auto"/>
        <w:rPr>
          <w:color w:val="000000" w:themeColor="text1"/>
        </w:rPr>
      </w:pPr>
      <w:bookmarkStart w:id="12" w:name="_Toc236495995"/>
      <w:r w:rsidRPr="0036613D">
        <w:rPr>
          <w:b/>
          <w:bCs/>
          <w:color w:val="000000" w:themeColor="text1"/>
          <w:sz w:val="24"/>
          <w:szCs w:val="24"/>
        </w:rPr>
        <w:t>Local Wellbeing Initiatives</w:t>
      </w:r>
      <w:bookmarkEnd w:id="12"/>
    </w:p>
    <w:p w14:paraId="5A842596" w14:textId="77777777" w:rsidR="0036613D" w:rsidRPr="0036613D" w:rsidRDefault="0036613D" w:rsidP="0036613D">
      <w:pPr>
        <w:pStyle w:val="Heading2"/>
        <w:spacing w:before="200" w:after="100" w:line="360" w:lineRule="auto"/>
        <w:rPr>
          <w:color w:val="000000" w:themeColor="text1"/>
        </w:rPr>
      </w:pPr>
      <w:bookmarkStart w:id="13" w:name="_Toc236495996"/>
      <w:r w:rsidRPr="0036613D">
        <w:rPr>
          <w:b/>
          <w:bCs/>
          <w:i/>
          <w:iCs/>
          <w:color w:val="000000" w:themeColor="text1"/>
          <w:sz w:val="22"/>
          <w:szCs w:val="22"/>
        </w:rPr>
        <w:t>Initiative 1: The Croydon Joint Local Health and Wellbeing Strategy</w:t>
      </w:r>
      <w:bookmarkEnd w:id="13"/>
    </w:p>
    <w:p w14:paraId="1AA2C795" w14:textId="77777777" w:rsidR="0036613D" w:rsidRDefault="0036613D" w:rsidP="0036613D">
      <w:pPr>
        <w:spacing w:after="200" w:line="360" w:lineRule="auto"/>
        <w:jc w:val="both"/>
      </w:pPr>
      <w:r>
        <w:t xml:space="preserve">Croydon's Health and Wellbeing Board is the statutory committee established under the Health and Social Care Act 2012, bringing together the council, local NHS, Healthwatch Croydon and the voluntary sector, with a duty to produce a Joint Strategic Needs Assessment (JSNA) and health and wellbeing strategy for the borough (Croydon Council, </w:t>
      </w:r>
      <w:proofErr w:type="spellStart"/>
      <w:r>
        <w:t>n.d.a</w:t>
      </w:r>
      <w:proofErr w:type="spellEnd"/>
      <w:r>
        <w:t xml:space="preserve">; GOV.UK, n.d.). The current strategy, 2024–2029, sets five priorities including good mental health for all, support through cost-of-living pressures, safe and connected neighbourhoods, and independence for older residents, with a commitment to 'champion the green agenda', linking it to SDG 10-type inequality reduction and sustainability (Croydon Council, 2024). It is informed </w:t>
      </w:r>
      <w:r>
        <w:lastRenderedPageBreak/>
        <w:t xml:space="preserve">by JSNA data showing COVID-19, circulatory disease and cancer as the main causes sustaining Croydon's deprivation-linked life expectancy gap, and was co-designed with residents (Croydon Council, 2024; Croydon Council, </w:t>
      </w:r>
      <w:proofErr w:type="spellStart"/>
      <w:r>
        <w:t>n.d.b</w:t>
      </w:r>
      <w:proofErr w:type="spellEnd"/>
      <w:r>
        <w:t>). However, as with Health and Wellbeing Boards nationally, the board has only limited formal powers as a partnership forum rather than an executive body (King's Fund, n.d.), so its impact on the gap will only be visible in future JSNA updates.</w:t>
      </w:r>
    </w:p>
    <w:p w14:paraId="71CF5BAB" w14:textId="77777777" w:rsidR="0036613D" w:rsidRPr="0036613D" w:rsidRDefault="0036613D" w:rsidP="0036613D">
      <w:pPr>
        <w:pStyle w:val="Heading2"/>
        <w:spacing w:before="200" w:after="100" w:line="360" w:lineRule="auto"/>
        <w:rPr>
          <w:color w:val="000000" w:themeColor="text1"/>
        </w:rPr>
      </w:pPr>
      <w:bookmarkStart w:id="14" w:name="_Toc236495997"/>
      <w:r w:rsidRPr="0036613D">
        <w:rPr>
          <w:b/>
          <w:bCs/>
          <w:i/>
          <w:iCs/>
          <w:color w:val="000000" w:themeColor="text1"/>
          <w:sz w:val="22"/>
          <w:szCs w:val="22"/>
        </w:rPr>
        <w:t>Initiative 2: Local Area Coordination</w:t>
      </w:r>
      <w:bookmarkEnd w:id="14"/>
    </w:p>
    <w:p w14:paraId="3AFCA655" w14:textId="4453FD74" w:rsidR="0036613D" w:rsidRDefault="0036613D" w:rsidP="0036613D">
      <w:pPr>
        <w:spacing w:after="200" w:line="360" w:lineRule="auto"/>
        <w:jc w:val="both"/>
      </w:pPr>
      <w:r>
        <w:t xml:space="preserve">Local Area Coordination is a new Croydon Council initiative launching in spring 2026 in Thornton Heath, Old Coulsdon and Shirley North before expanding borough-wide (Croydon Council, </w:t>
      </w:r>
      <w:proofErr w:type="spellStart"/>
      <w:r>
        <w:t>n.d.c</w:t>
      </w:r>
      <w:proofErr w:type="spellEnd"/>
      <w:r>
        <w:t xml:space="preserve">). Local Area Coordinators, employed by the council and recruited from the communities they serve, act as accessible points of contact who help residents before problems escalate and connect isolated people to community activities, directly targeting the inequalities SDG 10 identifies as drivers of poor health (Croydon Council, </w:t>
      </w:r>
      <w:proofErr w:type="spellStart"/>
      <w:r>
        <w:t>n.d.c</w:t>
      </w:r>
      <w:proofErr w:type="spellEnd"/>
      <w:r>
        <w:t>). The council frames it as central to healthier, more connected neighbourhoods (Croydon Council, 2026). Because the scheme only began rolling out in 2026, no independent outcome evaluation yet exists locally, so its effectiveness in Croydon cannot yet be demonstrated.</w:t>
      </w:r>
    </w:p>
    <w:p w14:paraId="0985E46C" w14:textId="77777777" w:rsidR="0036613D" w:rsidRPr="0036613D" w:rsidRDefault="0036613D" w:rsidP="0036613D">
      <w:pPr>
        <w:pStyle w:val="Heading2"/>
        <w:spacing w:before="200" w:after="100" w:line="360" w:lineRule="auto"/>
        <w:rPr>
          <w:i/>
          <w:iCs/>
          <w:color w:val="000000" w:themeColor="text1"/>
        </w:rPr>
      </w:pPr>
      <w:bookmarkStart w:id="15" w:name="_Toc236495998"/>
      <w:r w:rsidRPr="0036613D">
        <w:rPr>
          <w:b/>
          <w:bCs/>
          <w:i/>
          <w:iCs/>
          <w:color w:val="000000" w:themeColor="text1"/>
          <w:sz w:val="22"/>
          <w:szCs w:val="22"/>
        </w:rPr>
        <w:t>Recommendations</w:t>
      </w:r>
      <w:bookmarkEnd w:id="15"/>
    </w:p>
    <w:p w14:paraId="7098B908" w14:textId="77777777" w:rsidR="0036613D" w:rsidRDefault="0036613D" w:rsidP="0036613D">
      <w:pPr>
        <w:spacing w:after="200" w:line="360" w:lineRule="auto"/>
        <w:jc w:val="both"/>
      </w:pPr>
      <w:r>
        <w:t>Croydon's Health and Wellbeing Board should attach measurable, time-bound targets to its priorities, linked to its own JSNA deprivation-gap data, so progress can be tracked transparently rather than assessed only through the strategy's existence. Local Area Coordination should be independently evaluated after twelve months across its initial three areas, to test whether early support measurably reduces demand for crisis-level care before borough-wide expansion.</w:t>
      </w:r>
    </w:p>
    <w:p w14:paraId="2DFF51C8" w14:textId="77777777" w:rsidR="0036613D" w:rsidRPr="0036613D" w:rsidRDefault="0036613D" w:rsidP="0036613D">
      <w:pPr>
        <w:pStyle w:val="Heading1"/>
        <w:spacing w:before="300" w:after="150" w:line="360" w:lineRule="auto"/>
        <w:rPr>
          <w:color w:val="000000" w:themeColor="text1"/>
        </w:rPr>
      </w:pPr>
      <w:bookmarkStart w:id="16" w:name="_Toc236495999"/>
      <w:r w:rsidRPr="0036613D">
        <w:rPr>
          <w:b/>
          <w:bCs/>
          <w:color w:val="000000" w:themeColor="text1"/>
          <w:sz w:val="24"/>
          <w:szCs w:val="24"/>
        </w:rPr>
        <w:t>Conclusion</w:t>
      </w:r>
      <w:bookmarkEnd w:id="16"/>
    </w:p>
    <w:p w14:paraId="36F13275" w14:textId="1ADC476B" w:rsidR="0036613D" w:rsidRDefault="00E443C7" w:rsidP="0036613D">
      <w:pPr>
        <w:spacing w:after="200" w:line="360" w:lineRule="auto"/>
        <w:jc w:val="both"/>
      </w:pPr>
      <w:r>
        <w:t>SDG 3 and SDG 10 are inseparable in their impact on citizens' health and wellbeing: initiatives that address health services alone, without addressing the social determinants captured by SDG 10, are unlikely to close the health gap documented across England. National strategies such as the 10-Year Health Plan and Core20PLUS5, and local initiatives such as social prescribing and Health and Wellbeing Boards, represent genuine progress, but their effectiveness is constrained by short-term funding, limited formal powers and inconsistent outcome measurement. Sustained funding, stronger accountability and closer integration between health and social policy are needed to translate these initiatives into measurable reductions in health inequality.</w:t>
      </w:r>
    </w:p>
    <w:p w14:paraId="7C05319C" w14:textId="06E0724F" w:rsidR="0036613D" w:rsidRPr="0036613D" w:rsidRDefault="0036613D" w:rsidP="00875AC4">
      <w:pPr>
        <w:rPr>
          <w:b/>
          <w:bCs/>
          <w:color w:val="000000" w:themeColor="text1"/>
        </w:rPr>
      </w:pPr>
      <w:r>
        <w:br w:type="page"/>
      </w:r>
      <w:bookmarkStart w:id="17" w:name="_Toc236496000"/>
      <w:r w:rsidRPr="0036613D">
        <w:rPr>
          <w:b/>
          <w:bCs/>
          <w:color w:val="000000" w:themeColor="text1"/>
          <w:sz w:val="24"/>
          <w:szCs w:val="24"/>
        </w:rPr>
        <w:lastRenderedPageBreak/>
        <w:t>References</w:t>
      </w:r>
      <w:bookmarkEnd w:id="17"/>
    </w:p>
    <w:p w14:paraId="6E4D2DCC" w14:textId="77777777" w:rsidR="0036613D" w:rsidRPr="002C1AD5" w:rsidRDefault="0036613D" w:rsidP="0036613D">
      <w:pPr>
        <w:spacing w:after="150" w:line="360" w:lineRule="auto"/>
        <w:ind w:left="720" w:hanging="720"/>
        <w:rPr>
          <w:i/>
          <w:iCs/>
        </w:rPr>
      </w:pPr>
      <w:r w:rsidRPr="002C1AD5">
        <w:rPr>
          <w:i/>
          <w:iCs/>
        </w:rPr>
        <w:t>Department of Health and Social Care (2025) Fit for the future: 10 Year Health Plan for England. London: DHSC. Available at: https://www.gov.uk/government/publications/10-year-health-plan-for-england-fit-for-the-future (Accessed: 31 July 2026).</w:t>
      </w:r>
    </w:p>
    <w:p w14:paraId="21E2DC54" w14:textId="77777777" w:rsidR="0036613D" w:rsidRPr="002C1AD5" w:rsidRDefault="0036613D" w:rsidP="0036613D">
      <w:pPr>
        <w:spacing w:after="150" w:line="360" w:lineRule="auto"/>
        <w:ind w:left="720" w:hanging="720"/>
        <w:rPr>
          <w:i/>
          <w:iCs/>
        </w:rPr>
      </w:pPr>
      <w:r w:rsidRPr="002C1AD5">
        <w:rPr>
          <w:i/>
          <w:iCs/>
        </w:rPr>
        <w:t>East London NHS Foundation Trust (2022) Core20PLUS5: an approach to reducing health inequalities. Available at: https://www.elft.nhs.uk/sites/default/files/2022-03/8._tbd-2022-03-24_core20plus5_final.pdf (Accessed: 31 July 2026).</w:t>
      </w:r>
    </w:p>
    <w:p w14:paraId="172B47AD" w14:textId="77777777" w:rsidR="0036613D" w:rsidRPr="002C1AD5" w:rsidRDefault="0036613D" w:rsidP="0036613D">
      <w:pPr>
        <w:spacing w:after="150" w:line="360" w:lineRule="auto"/>
        <w:ind w:left="720" w:hanging="720"/>
        <w:rPr>
          <w:i/>
          <w:iCs/>
        </w:rPr>
      </w:pPr>
      <w:r w:rsidRPr="002C1AD5">
        <w:rPr>
          <w:i/>
          <w:iCs/>
        </w:rPr>
        <w:t>Croydon Council (2024) Croydon Joint Local Health and Wellbeing Strategy 2024-2029. Available at: https://www.croydon.gov.uk/sites/default/files/2024-10/local-health-wellbeing-strategy-2024-2029.pdf (Accessed: 31 July 2026).</w:t>
      </w:r>
    </w:p>
    <w:p w14:paraId="7269846C" w14:textId="77777777" w:rsidR="0036613D" w:rsidRPr="002C1AD5" w:rsidRDefault="0036613D" w:rsidP="0036613D">
      <w:pPr>
        <w:spacing w:after="150" w:line="360" w:lineRule="auto"/>
        <w:ind w:left="720" w:hanging="720"/>
        <w:rPr>
          <w:i/>
          <w:iCs/>
        </w:rPr>
      </w:pPr>
      <w:r w:rsidRPr="002C1AD5">
        <w:rPr>
          <w:i/>
          <w:iCs/>
        </w:rPr>
        <w:t>Croydon Council (2026) New community champions boost confidence to improve lives. Available at: https://news.croydon.gov.uk/new-community-champions-boost-confidence-to-improve-lives/ (Accessed: 31 July 2026).</w:t>
      </w:r>
    </w:p>
    <w:p w14:paraId="550A1580"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n.d.a</w:t>
      </w:r>
      <w:proofErr w:type="spellEnd"/>
      <w:r w:rsidRPr="002C1AD5">
        <w:rPr>
          <w:i/>
          <w:iCs/>
        </w:rPr>
        <w:t>) Health and Wellbeing Board: how the board operates. Available at: https://www.croydon.gov.uk/council-and-elections/council-committees-and-meetings/committees-boards-and-meetings/health-and-wellbeing-board/how-board-operates (Accessed: 31 July 2026).</w:t>
      </w:r>
    </w:p>
    <w:p w14:paraId="7EE7A97C"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n.d.b</w:t>
      </w:r>
      <w:proofErr w:type="spellEnd"/>
      <w:r w:rsidRPr="002C1AD5">
        <w:rPr>
          <w:i/>
          <w:iCs/>
        </w:rPr>
        <w:t>) Roadmap to support good health in Croydon. Available at: https://news.croydon.gov.uk/roadmap-to-support-good-health-in-croydon/ (Accessed: 31 July 2026).</w:t>
      </w:r>
    </w:p>
    <w:p w14:paraId="185E0005"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n.d.c</w:t>
      </w:r>
      <w:proofErr w:type="spellEnd"/>
      <w:r w:rsidRPr="002C1AD5">
        <w:rPr>
          <w:i/>
          <w:iCs/>
        </w:rPr>
        <w:t>) Local Area Coordination. Available at: https://www.croydon.gov.uk/health-and-wellbeing/local-area-coordination (Accessed: 31 July 2026).</w:t>
      </w:r>
    </w:p>
    <w:p w14:paraId="693390F6" w14:textId="77777777" w:rsidR="0036613D" w:rsidRPr="002C1AD5" w:rsidRDefault="0036613D" w:rsidP="0036613D">
      <w:pPr>
        <w:spacing w:after="150" w:line="360" w:lineRule="auto"/>
        <w:ind w:left="720" w:hanging="720"/>
        <w:rPr>
          <w:i/>
          <w:iCs/>
        </w:rPr>
      </w:pPr>
      <w:r w:rsidRPr="002C1AD5">
        <w:rPr>
          <w:i/>
          <w:iCs/>
        </w:rPr>
        <w:t>GOV.UK (n.d.) JSNA and JHWS statutory guidance. Available at: https://www.gov.uk/government/publications/jsnas-and-jhws-statutory-guidance (Accessed: 31 July 2026).</w:t>
      </w:r>
    </w:p>
    <w:p w14:paraId="7A4D22B4" w14:textId="77777777" w:rsidR="0036613D" w:rsidRPr="002C1AD5" w:rsidRDefault="0036613D" w:rsidP="0036613D">
      <w:pPr>
        <w:spacing w:after="150" w:line="360" w:lineRule="auto"/>
        <w:ind w:left="720" w:hanging="720"/>
        <w:rPr>
          <w:i/>
          <w:iCs/>
        </w:rPr>
      </w:pPr>
      <w:r w:rsidRPr="002C1AD5">
        <w:rPr>
          <w:i/>
          <w:iCs/>
        </w:rPr>
        <w:t xml:space="preserve">House of Commons Library (2026) The </w:t>
      </w:r>
      <w:proofErr w:type="gramStart"/>
      <w:r w:rsidRPr="002C1AD5">
        <w:rPr>
          <w:i/>
          <w:iCs/>
        </w:rPr>
        <w:t>10 Year</w:t>
      </w:r>
      <w:proofErr w:type="gramEnd"/>
      <w:r w:rsidRPr="002C1AD5">
        <w:rPr>
          <w:i/>
          <w:iCs/>
        </w:rPr>
        <w:t xml:space="preserve"> Health Plan for England. Available at: https://commonslibrary.parliament.uk/research-briefings/cbp-10368/ (Accessed: 31 July 2026).</w:t>
      </w:r>
    </w:p>
    <w:p w14:paraId="7C393E76" w14:textId="77777777" w:rsidR="0036613D" w:rsidRPr="002C1AD5" w:rsidRDefault="0036613D" w:rsidP="0036613D">
      <w:pPr>
        <w:spacing w:after="150" w:line="360" w:lineRule="auto"/>
        <w:ind w:left="720" w:hanging="720"/>
        <w:rPr>
          <w:i/>
          <w:iCs/>
        </w:rPr>
      </w:pPr>
      <w:r w:rsidRPr="002C1AD5">
        <w:rPr>
          <w:i/>
          <w:iCs/>
        </w:rPr>
        <w:t>King's Fund (2019) The NHS long-term plan explained. Available at: https://www.kingsfund.org.uk/insight-and-analysis/long-reads/nhs-long-term-plan-explained (Accessed: 31 July 2026).</w:t>
      </w:r>
    </w:p>
    <w:p w14:paraId="3B1E2470" w14:textId="77777777" w:rsidR="0036613D" w:rsidRPr="002C1AD5" w:rsidRDefault="0036613D" w:rsidP="0036613D">
      <w:pPr>
        <w:spacing w:after="150" w:line="360" w:lineRule="auto"/>
        <w:ind w:left="720" w:hanging="720"/>
        <w:rPr>
          <w:i/>
          <w:iCs/>
        </w:rPr>
      </w:pPr>
      <w:r w:rsidRPr="002C1AD5">
        <w:rPr>
          <w:i/>
          <w:iCs/>
        </w:rPr>
        <w:lastRenderedPageBreak/>
        <w:t>King's Fund (n.d.) Health and wellbeing boards explained. Available at: https://www.kingsfund.org.uk/insight-and-analysis/long-reads/health-wellbeing-boards-explained (Accessed: 31 July 2026).</w:t>
      </w:r>
    </w:p>
    <w:p w14:paraId="0E68A200" w14:textId="77777777" w:rsidR="0036613D" w:rsidRPr="002C1AD5" w:rsidRDefault="0036613D" w:rsidP="0036613D">
      <w:pPr>
        <w:spacing w:after="150" w:line="360" w:lineRule="auto"/>
        <w:ind w:left="720" w:hanging="720"/>
        <w:rPr>
          <w:i/>
          <w:iCs/>
        </w:rPr>
      </w:pPr>
      <w:r w:rsidRPr="002C1AD5">
        <w:rPr>
          <w:i/>
          <w:iCs/>
        </w:rPr>
        <w:t>Local Government Association (2025) Fit for the future: 10 Year Health Plan for England. Available at: https://www.local.gov.uk/parliament/briefings-and-responses/fit-future-10-year-health-plan-england (Accessed: 31 July 2026).</w:t>
      </w:r>
    </w:p>
    <w:p w14:paraId="5F1B8E26" w14:textId="77777777" w:rsidR="0036613D" w:rsidRPr="002C1AD5" w:rsidRDefault="0036613D" w:rsidP="0036613D">
      <w:pPr>
        <w:spacing w:after="150" w:line="360" w:lineRule="auto"/>
        <w:ind w:left="720" w:hanging="720"/>
        <w:rPr>
          <w:i/>
          <w:iCs/>
        </w:rPr>
      </w:pPr>
      <w:r w:rsidRPr="002C1AD5">
        <w:rPr>
          <w:i/>
          <w:iCs/>
        </w:rPr>
        <w:t>Marmot, M. (2010) Fair Society, Healthy Lives: The Marmot Review. London: Institute of Health Equity. Available at: https://www.instituteofhealthequity.org/resources-reports/fair-society-healthy-lives-the-marmot-review (Accessed: 31 July 2026).</w:t>
      </w:r>
    </w:p>
    <w:p w14:paraId="3F2931D4" w14:textId="77777777" w:rsidR="0036613D" w:rsidRPr="002C1AD5" w:rsidRDefault="0036613D" w:rsidP="0036613D">
      <w:pPr>
        <w:spacing w:after="150" w:line="360" w:lineRule="auto"/>
        <w:ind w:left="720" w:hanging="720"/>
        <w:rPr>
          <w:i/>
          <w:iCs/>
        </w:rPr>
      </w:pPr>
      <w:r w:rsidRPr="002C1AD5">
        <w:rPr>
          <w:i/>
          <w:iCs/>
        </w:rPr>
        <w:t>Marmot, M., Allen, J., Boyce, T., Goldblatt, P. and Morrison, J. (2020) Health Equity in England: The Marmot Review 10 Years On. London: Institute of Health Equity. Available at: https://www.instituteofhealthequity.org/resources-reports/marmot-review-10-years-on (Accessed: 31 July 2026).</w:t>
      </w:r>
    </w:p>
    <w:p w14:paraId="2A696CAE" w14:textId="77777777" w:rsidR="0036613D" w:rsidRPr="002C1AD5" w:rsidRDefault="0036613D" w:rsidP="0036613D">
      <w:pPr>
        <w:spacing w:after="150" w:line="360" w:lineRule="auto"/>
        <w:ind w:left="720" w:hanging="720"/>
        <w:rPr>
          <w:i/>
          <w:iCs/>
        </w:rPr>
      </w:pPr>
      <w:r w:rsidRPr="002C1AD5">
        <w:rPr>
          <w:i/>
          <w:iCs/>
        </w:rPr>
        <w:t>NHS England (n.d.) Core20PLUS5 (adults) – an approach to reducing healthcare inequalities. Available at: https://www.england.nhs.uk/about/equality/equality-hub/national-healthcare-inequalities-improvement-programme/core20plus5/ (Accessed: 31 July 2026).</w:t>
      </w:r>
    </w:p>
    <w:p w14:paraId="297B20CF" w14:textId="77777777" w:rsidR="0036613D" w:rsidRPr="002C1AD5" w:rsidRDefault="0036613D" w:rsidP="0036613D">
      <w:pPr>
        <w:spacing w:after="150" w:line="360" w:lineRule="auto"/>
        <w:ind w:left="720" w:hanging="720"/>
        <w:rPr>
          <w:i/>
          <w:iCs/>
        </w:rPr>
      </w:pPr>
      <w:r w:rsidRPr="002C1AD5">
        <w:rPr>
          <w:i/>
          <w:iCs/>
        </w:rPr>
        <w:t>Office for National Statistics (2026) Healthy life expectancy by national area deprivation, England and Wales: between 2013 to 2015 and 2022 to 2024. Available at: https://www.ons.gov.uk/peoplepopulationandcommunity/healthandsocialcare/healthinequalities/bulletins/healthylifeexpectancybynationalareadeprivationenglandandwales/between2013to2015and2022to2024 (Accessed: 31 July 2026).</w:t>
      </w:r>
    </w:p>
    <w:p w14:paraId="73A6779E" w14:textId="77777777" w:rsidR="0036613D" w:rsidRPr="002C1AD5" w:rsidRDefault="0036613D" w:rsidP="0036613D">
      <w:pPr>
        <w:spacing w:after="150" w:line="360" w:lineRule="auto"/>
        <w:ind w:left="720" w:hanging="720"/>
        <w:rPr>
          <w:i/>
          <w:iCs/>
        </w:rPr>
      </w:pPr>
      <w:r w:rsidRPr="002C1AD5">
        <w:rPr>
          <w:i/>
          <w:iCs/>
        </w:rPr>
        <w:t>UN Women (n.d.) SDG 10: Reduced inequalities. Available at: https://www.unwomen.org/en/news/in-focus/women-and-the-sdgs/sdg-10-reduced-inequalities (Accessed: 31 July 2026).</w:t>
      </w:r>
    </w:p>
    <w:p w14:paraId="5447E11B" w14:textId="77777777" w:rsidR="0036613D" w:rsidRPr="002C1AD5" w:rsidRDefault="0036613D" w:rsidP="0036613D">
      <w:pPr>
        <w:spacing w:after="150" w:line="360" w:lineRule="auto"/>
        <w:ind w:left="720" w:hanging="720"/>
        <w:rPr>
          <w:i/>
          <w:iCs/>
        </w:rPr>
      </w:pPr>
      <w:r w:rsidRPr="002C1AD5">
        <w:rPr>
          <w:i/>
          <w:iCs/>
        </w:rPr>
        <w:t>Strategy Unit (2025) Evaluating NHS England's national approach to tackling healthcare inequalities. Available at: https://www.strategyunitwm.nhs.uk/news/evaluating-nhs-englands-national-approach-tackling-healthcare-inequalities (Accessed: 31 July 2026).</w:t>
      </w:r>
    </w:p>
    <w:p w14:paraId="6493BA9F" w14:textId="77777777" w:rsidR="0036613D" w:rsidRPr="002C1AD5" w:rsidRDefault="0036613D" w:rsidP="0036613D">
      <w:pPr>
        <w:spacing w:after="150" w:line="360" w:lineRule="auto"/>
        <w:ind w:left="720" w:hanging="720"/>
        <w:rPr>
          <w:i/>
          <w:iCs/>
        </w:rPr>
      </w:pPr>
      <w:r w:rsidRPr="002C1AD5">
        <w:rPr>
          <w:i/>
          <w:iCs/>
        </w:rPr>
        <w:t>United Nations (n.d.) Goal 3: Ensure healthy lives and promote well-being for all at all ages. Available at: https://sdgs.un.org/goals/goal3 (Accessed: 31 July 2026).</w:t>
      </w:r>
    </w:p>
    <w:p w14:paraId="6B3B4446" w14:textId="4158AD42" w:rsidR="002C1AD5" w:rsidRPr="002C1AD5" w:rsidRDefault="0036613D" w:rsidP="002C1AD5">
      <w:pPr>
        <w:rPr>
          <w:i/>
          <w:iCs/>
        </w:rPr>
      </w:pPr>
      <w:r w:rsidRPr="002C1AD5">
        <w:rPr>
          <w:i/>
          <w:iCs/>
        </w:rPr>
        <w:t>United Nations (n.d.) Goal 10: Reduce inequality within and among countries. Available at: https://sdgs.un.org/goals/goal10 (Accessed: 31 July</w:t>
      </w:r>
      <w:r w:rsidR="002C1AD5" w:rsidRPr="002C1AD5">
        <w:rPr>
          <w:i/>
          <w:iCs/>
        </w:rPr>
        <w:t xml:space="preserve"> 2026)</w:t>
      </w:r>
    </w:p>
    <w:sectPr w:rsidR="002C1AD5" w:rsidRPr="002C1A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A6343" w14:textId="77777777" w:rsidR="008279CE" w:rsidRDefault="008279CE" w:rsidP="0036613D">
      <w:r>
        <w:separator/>
      </w:r>
    </w:p>
  </w:endnote>
  <w:endnote w:type="continuationSeparator" w:id="0">
    <w:p w14:paraId="7F867A25" w14:textId="77777777" w:rsidR="008279CE" w:rsidRDefault="008279CE" w:rsidP="003661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A8DB3" w14:textId="77777777" w:rsidR="008279CE" w:rsidRDefault="008279CE" w:rsidP="0036613D">
      <w:r>
        <w:separator/>
      </w:r>
    </w:p>
  </w:footnote>
  <w:footnote w:type="continuationSeparator" w:id="0">
    <w:p w14:paraId="1F60CAF2" w14:textId="77777777" w:rsidR="008279CE" w:rsidRDefault="008279CE" w:rsidP="0036613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13D"/>
    <w:rsid w:val="002C1AD5"/>
    <w:rsid w:val="0036613D"/>
    <w:rsid w:val="00395D18"/>
    <w:rsid w:val="00640030"/>
    <w:rsid w:val="008279CE"/>
    <w:rsid w:val="00832374"/>
    <w:rsid w:val="00875AC4"/>
    <w:rsid w:val="009031C2"/>
    <w:rsid w:val="00D040C0"/>
    <w:rsid w:val="00E44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34131"/>
  <w15:chartTrackingRefBased/>
  <w15:docId w15:val="{8DEFF2B9-DFEC-4814-864E-34D4D8DB4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13D"/>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3661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1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1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1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1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1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1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1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1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13D"/>
    <w:rPr>
      <w:rFonts w:eastAsiaTheme="majorEastAsia" w:cstheme="majorBidi"/>
      <w:color w:val="272727" w:themeColor="text1" w:themeTint="D8"/>
    </w:rPr>
  </w:style>
  <w:style w:type="paragraph" w:styleId="Title">
    <w:name w:val="Title"/>
    <w:basedOn w:val="Normal"/>
    <w:next w:val="Normal"/>
    <w:link w:val="TitleChar"/>
    <w:uiPriority w:val="10"/>
    <w:qFormat/>
    <w:rsid w:val="003661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1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13D"/>
    <w:pPr>
      <w:spacing w:before="160"/>
      <w:jc w:val="center"/>
    </w:pPr>
    <w:rPr>
      <w:i/>
      <w:iCs/>
      <w:color w:val="404040" w:themeColor="text1" w:themeTint="BF"/>
    </w:rPr>
  </w:style>
  <w:style w:type="character" w:customStyle="1" w:styleId="QuoteChar">
    <w:name w:val="Quote Char"/>
    <w:basedOn w:val="DefaultParagraphFont"/>
    <w:link w:val="Quote"/>
    <w:uiPriority w:val="29"/>
    <w:rsid w:val="0036613D"/>
    <w:rPr>
      <w:i/>
      <w:iCs/>
      <w:color w:val="404040" w:themeColor="text1" w:themeTint="BF"/>
    </w:rPr>
  </w:style>
  <w:style w:type="paragraph" w:styleId="ListParagraph">
    <w:name w:val="List Paragraph"/>
    <w:basedOn w:val="Normal"/>
    <w:uiPriority w:val="34"/>
    <w:qFormat/>
    <w:rsid w:val="0036613D"/>
    <w:pPr>
      <w:ind w:left="720"/>
      <w:contextualSpacing/>
    </w:pPr>
  </w:style>
  <w:style w:type="character" w:styleId="IntenseEmphasis">
    <w:name w:val="Intense Emphasis"/>
    <w:basedOn w:val="DefaultParagraphFont"/>
    <w:uiPriority w:val="21"/>
    <w:qFormat/>
    <w:rsid w:val="0036613D"/>
    <w:rPr>
      <w:i/>
      <w:iCs/>
      <w:color w:val="0F4761" w:themeColor="accent1" w:themeShade="BF"/>
    </w:rPr>
  </w:style>
  <w:style w:type="paragraph" w:styleId="IntenseQuote">
    <w:name w:val="Intense Quote"/>
    <w:basedOn w:val="Normal"/>
    <w:next w:val="Normal"/>
    <w:link w:val="IntenseQuoteChar"/>
    <w:uiPriority w:val="30"/>
    <w:qFormat/>
    <w:rsid w:val="003661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13D"/>
    <w:rPr>
      <w:i/>
      <w:iCs/>
      <w:color w:val="0F4761" w:themeColor="accent1" w:themeShade="BF"/>
    </w:rPr>
  </w:style>
  <w:style w:type="character" w:styleId="IntenseReference">
    <w:name w:val="Intense Reference"/>
    <w:basedOn w:val="DefaultParagraphFont"/>
    <w:uiPriority w:val="32"/>
    <w:qFormat/>
    <w:rsid w:val="0036613D"/>
    <w:rPr>
      <w:b/>
      <w:bCs/>
      <w:smallCaps/>
      <w:color w:val="0F4761" w:themeColor="accent1" w:themeShade="BF"/>
      <w:spacing w:val="5"/>
    </w:rPr>
  </w:style>
  <w:style w:type="character" w:styleId="Hyperlink">
    <w:name w:val="Hyperlink"/>
    <w:uiPriority w:val="99"/>
    <w:unhideWhenUsed/>
    <w:rsid w:val="0036613D"/>
    <w:rPr>
      <w:color w:val="0563C1"/>
      <w:u w:val="single"/>
    </w:rPr>
  </w:style>
  <w:style w:type="paragraph" w:styleId="TOC1">
    <w:name w:val="toc 1"/>
    <w:basedOn w:val="Normal"/>
    <w:next w:val="Normal"/>
    <w:autoRedefine/>
    <w:uiPriority w:val="39"/>
    <w:unhideWhenUsed/>
    <w:rsid w:val="0036613D"/>
    <w:pPr>
      <w:spacing w:after="100"/>
    </w:pPr>
  </w:style>
  <w:style w:type="paragraph" w:styleId="TOC2">
    <w:name w:val="toc 2"/>
    <w:basedOn w:val="Normal"/>
    <w:next w:val="Normal"/>
    <w:autoRedefine/>
    <w:uiPriority w:val="39"/>
    <w:unhideWhenUsed/>
    <w:rsid w:val="0036613D"/>
    <w:pPr>
      <w:spacing w:after="100"/>
      <w:ind w:left="220"/>
    </w:pPr>
  </w:style>
  <w:style w:type="paragraph" w:styleId="Header">
    <w:name w:val="header"/>
    <w:basedOn w:val="Normal"/>
    <w:link w:val="HeaderChar"/>
    <w:uiPriority w:val="99"/>
    <w:unhideWhenUsed/>
    <w:rsid w:val="0036613D"/>
    <w:pPr>
      <w:tabs>
        <w:tab w:val="center" w:pos="4513"/>
        <w:tab w:val="right" w:pos="9026"/>
      </w:tabs>
    </w:pPr>
  </w:style>
  <w:style w:type="character" w:customStyle="1" w:styleId="HeaderChar">
    <w:name w:val="Header Char"/>
    <w:basedOn w:val="DefaultParagraphFont"/>
    <w:link w:val="Header"/>
    <w:uiPriority w:val="99"/>
    <w:rsid w:val="0036613D"/>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36613D"/>
    <w:pPr>
      <w:tabs>
        <w:tab w:val="center" w:pos="4513"/>
        <w:tab w:val="right" w:pos="9026"/>
      </w:tabs>
    </w:pPr>
  </w:style>
  <w:style w:type="character" w:customStyle="1" w:styleId="FooterChar">
    <w:name w:val="Footer Char"/>
    <w:basedOn w:val="DefaultParagraphFont"/>
    <w:link w:val="Footer"/>
    <w:uiPriority w:val="99"/>
    <w:rsid w:val="0036613D"/>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2981</Words>
  <Characters>16997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Fatu Njavombo (2242752)</dc:creator>
  <cp:keywords/>
  <dc:description/>
  <cp:lastModifiedBy>Bernadette Fatu Njavombo (2242752)</cp:lastModifiedBy>
  <cp:revision>4</cp:revision>
  <dcterms:created xsi:type="dcterms:W3CDTF">2026-08-01T16:04:00Z</dcterms:created>
  <dcterms:modified xsi:type="dcterms:W3CDTF">2026-08-03T20:33:00Z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b5d1a28e-7086-4e7d-a892-4567d4f09319</vt:lpwstr>
  </property>
</Properties>
</file>