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CB8834A" w14:textId="77777777" w:rsidR="00AD2B17" w:rsidRDefault="00AD2B17" w:rsidP="00AD2B17">
      <w:bookmarkStart w:id="0" w:name="_Hlk175064028"/>
      <w:bookmarkEnd w:id="0"/>
      <w:r>
        <w:rPr>
          <w:noProof/>
        </w:rPr>
        <w:drawing>
          <wp:inline distT="0" distB="0" distL="0" distR="0" wp14:anchorId="583AED18" wp14:editId="67A689D5">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1D917870" w14:textId="77777777" w:rsidR="00AD2B17" w:rsidRDefault="00AD2B17" w:rsidP="00AD2B17"/>
    <w:p w14:paraId="70C63042" w14:textId="77777777" w:rsidR="00AD2B17" w:rsidRDefault="00AD2B17" w:rsidP="00AD2B17"/>
    <w:p w14:paraId="7E36506E" w14:textId="48A303B0" w:rsidR="00AD2B17" w:rsidRPr="00264782" w:rsidRDefault="00AD2B17" w:rsidP="00AD2B17">
      <w:pPr>
        <w:jc w:val="center"/>
        <w:rPr>
          <w:rFonts w:asciiTheme="minorBidi" w:hAnsiTheme="minorBidi"/>
          <w:sz w:val="40"/>
          <w:szCs w:val="40"/>
        </w:rPr>
      </w:pPr>
      <w:bookmarkStart w:id="1" w:name="_Hlk175063835"/>
      <w:r>
        <w:rPr>
          <w:rFonts w:asciiTheme="minorBidi" w:hAnsiTheme="minorBidi"/>
          <w:sz w:val="40"/>
          <w:szCs w:val="40"/>
        </w:rPr>
        <w:t xml:space="preserve">Financial </w:t>
      </w:r>
      <w:r w:rsidRPr="00264782">
        <w:rPr>
          <w:rFonts w:asciiTheme="minorBidi" w:hAnsiTheme="minorBidi"/>
          <w:sz w:val="40"/>
          <w:szCs w:val="40"/>
        </w:rPr>
        <w:t>Management</w:t>
      </w:r>
    </w:p>
    <w:bookmarkEnd w:id="1"/>
    <w:p w14:paraId="04B880EE" w14:textId="77777777" w:rsidR="00AD2B17" w:rsidRDefault="00AD2B17" w:rsidP="00AD2B17">
      <w:r>
        <w:tab/>
      </w:r>
      <w:r>
        <w:tab/>
      </w:r>
      <w:r>
        <w:tab/>
      </w:r>
      <w:r>
        <w:tab/>
      </w:r>
    </w:p>
    <w:p w14:paraId="3536CC68" w14:textId="77777777" w:rsidR="00AD2B17" w:rsidRDefault="00AD2B17" w:rsidP="00AD2B17"/>
    <w:p w14:paraId="124C7020" w14:textId="77777777" w:rsidR="00AD2B17" w:rsidRDefault="00AD2B17" w:rsidP="00AD2B17"/>
    <w:p w14:paraId="197633E6" w14:textId="77777777" w:rsidR="00AD2B17" w:rsidRDefault="00AD2B17" w:rsidP="00AD2B17"/>
    <w:p w14:paraId="66B1C1D7" w14:textId="77777777" w:rsidR="00AD2B17" w:rsidRDefault="00AD2B17" w:rsidP="00AD2B17"/>
    <w:p w14:paraId="4C66334A" w14:textId="77777777" w:rsidR="00AD2B17" w:rsidRDefault="00AD2B17" w:rsidP="00AD2B17">
      <w:pPr>
        <w:jc w:val="both"/>
        <w:rPr>
          <w:rFonts w:asciiTheme="minorBidi" w:hAnsiTheme="minorBidi"/>
          <w:sz w:val="28"/>
          <w:szCs w:val="28"/>
        </w:rPr>
      </w:pPr>
      <w:r w:rsidRPr="17278403">
        <w:rPr>
          <w:rFonts w:asciiTheme="minorBidi" w:hAnsiTheme="minorBidi"/>
          <w:sz w:val="28"/>
          <w:szCs w:val="28"/>
        </w:rPr>
        <w:t xml:space="preserve">Student Name: </w:t>
      </w:r>
      <w:r>
        <w:rPr>
          <w:rFonts w:asciiTheme="minorBidi" w:hAnsiTheme="minorBidi"/>
          <w:sz w:val="28"/>
          <w:szCs w:val="28"/>
        </w:rPr>
        <w:t>Harsh Somnathi</w:t>
      </w:r>
    </w:p>
    <w:p w14:paraId="07CA8417" w14:textId="77777777" w:rsidR="00AD2B17" w:rsidRDefault="00AD2B17" w:rsidP="00AD2B17">
      <w:pPr>
        <w:jc w:val="both"/>
        <w:rPr>
          <w:rFonts w:asciiTheme="minorBidi" w:hAnsiTheme="minorBidi"/>
          <w:sz w:val="28"/>
          <w:szCs w:val="28"/>
        </w:rPr>
      </w:pPr>
      <w:r>
        <w:rPr>
          <w:rFonts w:asciiTheme="minorBidi" w:hAnsiTheme="minorBidi"/>
          <w:sz w:val="28"/>
          <w:szCs w:val="28"/>
        </w:rPr>
        <w:t>Student ID: 2331963</w:t>
      </w:r>
    </w:p>
    <w:p w14:paraId="7F3A1089" w14:textId="6A118A08" w:rsidR="00AD2B17" w:rsidRDefault="00AD2B17" w:rsidP="00AD2B17">
      <w:pPr>
        <w:jc w:val="both"/>
        <w:rPr>
          <w:rFonts w:asciiTheme="minorBidi" w:hAnsiTheme="minorBidi"/>
          <w:sz w:val="28"/>
          <w:szCs w:val="28"/>
        </w:rPr>
      </w:pPr>
      <w:r w:rsidRPr="17278403">
        <w:rPr>
          <w:rFonts w:asciiTheme="minorBidi" w:hAnsiTheme="minorBidi"/>
          <w:sz w:val="28"/>
          <w:szCs w:val="28"/>
        </w:rPr>
        <w:t>Module Code: LCMB70</w:t>
      </w:r>
      <w:r>
        <w:rPr>
          <w:rFonts w:asciiTheme="minorBidi" w:hAnsiTheme="minorBidi"/>
          <w:sz w:val="28"/>
          <w:szCs w:val="28"/>
        </w:rPr>
        <w:t>02</w:t>
      </w:r>
    </w:p>
    <w:p w14:paraId="71996216" w14:textId="285B184A" w:rsidR="00AD2B17" w:rsidRPr="00AD2B17" w:rsidRDefault="00AD2B17" w:rsidP="00AD2B17">
      <w:pPr>
        <w:rPr>
          <w:rFonts w:asciiTheme="minorBidi" w:hAnsiTheme="minorBidi"/>
          <w:sz w:val="40"/>
          <w:szCs w:val="40"/>
        </w:rPr>
      </w:pPr>
      <w:r w:rsidRPr="17278403">
        <w:rPr>
          <w:rFonts w:asciiTheme="minorBidi" w:hAnsiTheme="minorBidi"/>
          <w:sz w:val="28"/>
          <w:szCs w:val="28"/>
        </w:rPr>
        <w:t xml:space="preserve">Module: </w:t>
      </w:r>
      <w:r w:rsidRPr="00AD2B17">
        <w:rPr>
          <w:rFonts w:asciiTheme="minorBidi" w:hAnsiTheme="minorBidi"/>
          <w:sz w:val="28"/>
          <w:szCs w:val="28"/>
        </w:rPr>
        <w:t>Financial Management</w:t>
      </w:r>
    </w:p>
    <w:p w14:paraId="2454CBD2" w14:textId="4605CD0A" w:rsidR="00AD2B17" w:rsidRDefault="00AD2B17" w:rsidP="00AD2B17">
      <w:pPr>
        <w:jc w:val="both"/>
        <w:rPr>
          <w:rFonts w:asciiTheme="minorBidi" w:hAnsiTheme="minorBidi"/>
          <w:sz w:val="28"/>
          <w:szCs w:val="28"/>
        </w:rPr>
      </w:pPr>
      <w:r w:rsidRPr="17278403">
        <w:rPr>
          <w:rFonts w:asciiTheme="minorBidi" w:hAnsiTheme="minorBidi"/>
          <w:sz w:val="28"/>
          <w:szCs w:val="28"/>
        </w:rPr>
        <w:t xml:space="preserve">Lecturer: </w:t>
      </w:r>
      <w:r>
        <w:rPr>
          <w:rFonts w:asciiTheme="minorBidi" w:hAnsiTheme="minorBidi"/>
          <w:sz w:val="28"/>
          <w:szCs w:val="28"/>
        </w:rPr>
        <w:t>M D Kalam</w:t>
      </w:r>
    </w:p>
    <w:p w14:paraId="641C0B6F" w14:textId="77777777" w:rsidR="00AD2B17" w:rsidRDefault="00AD2B17" w:rsidP="00AD2B17">
      <w:pPr>
        <w:jc w:val="both"/>
        <w:rPr>
          <w:rFonts w:asciiTheme="minorBidi" w:hAnsiTheme="minorBidi"/>
          <w:sz w:val="28"/>
          <w:szCs w:val="28"/>
        </w:rPr>
      </w:pPr>
      <w:r>
        <w:rPr>
          <w:rFonts w:asciiTheme="minorBidi" w:hAnsiTheme="minorBidi"/>
          <w:sz w:val="28"/>
          <w:szCs w:val="28"/>
        </w:rPr>
        <w:t>Session: June 2024 Term</w:t>
      </w:r>
    </w:p>
    <w:p w14:paraId="22EF7A7E" w14:textId="77777777" w:rsidR="00AD2B17" w:rsidRDefault="00AD2B17" w:rsidP="00AD2B17">
      <w:pPr>
        <w:jc w:val="both"/>
        <w:rPr>
          <w:rFonts w:asciiTheme="minorBidi" w:hAnsiTheme="minorBidi"/>
          <w:sz w:val="28"/>
          <w:szCs w:val="28"/>
        </w:rPr>
      </w:pPr>
    </w:p>
    <w:p w14:paraId="481E3CFD" w14:textId="77777777" w:rsidR="00DC4E66" w:rsidRPr="00CF72FA" w:rsidRDefault="00DC4E66" w:rsidP="00DC4E66">
      <w:pPr>
        <w:spacing w:line="360" w:lineRule="auto"/>
        <w:jc w:val="both"/>
        <w:rPr>
          <w:rFonts w:ascii="Times New Roman" w:hAnsi="Times New Roman" w:cs="Times New Roman"/>
          <w:sz w:val="24"/>
          <w:szCs w:val="24"/>
        </w:rPr>
      </w:pPr>
    </w:p>
    <w:p w14:paraId="4B169D63" w14:textId="77777777" w:rsidR="00DC4E66" w:rsidRPr="00CF72FA" w:rsidRDefault="00DC4E66" w:rsidP="00DC4E66">
      <w:pPr>
        <w:spacing w:line="360" w:lineRule="auto"/>
        <w:jc w:val="both"/>
        <w:rPr>
          <w:rFonts w:ascii="Times New Roman" w:hAnsi="Times New Roman" w:cs="Times New Roman"/>
          <w:sz w:val="24"/>
          <w:szCs w:val="24"/>
        </w:rPr>
      </w:pPr>
    </w:p>
    <w:p w14:paraId="3DA0B2E3" w14:textId="77777777" w:rsidR="00DC4E66" w:rsidRPr="00CF72FA" w:rsidRDefault="00DC4E66" w:rsidP="00DC4E66">
      <w:pPr>
        <w:spacing w:line="360" w:lineRule="auto"/>
        <w:jc w:val="both"/>
        <w:rPr>
          <w:rFonts w:ascii="Times New Roman" w:hAnsi="Times New Roman" w:cs="Times New Roman"/>
          <w:sz w:val="24"/>
          <w:szCs w:val="24"/>
        </w:rPr>
      </w:pPr>
    </w:p>
    <w:p w14:paraId="58FB72B9" w14:textId="77777777" w:rsidR="00DC4E66" w:rsidRDefault="00DC4E66" w:rsidP="00DC4E66">
      <w:pPr>
        <w:spacing w:line="360" w:lineRule="auto"/>
        <w:jc w:val="both"/>
        <w:rPr>
          <w:rFonts w:ascii="Times New Roman" w:hAnsi="Times New Roman" w:cs="Times New Roman"/>
          <w:sz w:val="24"/>
          <w:szCs w:val="24"/>
        </w:rPr>
      </w:pPr>
    </w:p>
    <w:p w14:paraId="68D76E67" w14:textId="77777777" w:rsidR="00793BB4" w:rsidRPr="00CF72FA" w:rsidRDefault="00793BB4" w:rsidP="00DC4E66">
      <w:pPr>
        <w:spacing w:line="360" w:lineRule="auto"/>
        <w:jc w:val="both"/>
        <w:rPr>
          <w:rFonts w:ascii="Times New Roman" w:hAnsi="Times New Roman" w:cs="Times New Roman"/>
          <w:sz w:val="24"/>
          <w:szCs w:val="24"/>
        </w:rPr>
      </w:pPr>
    </w:p>
    <w:p w14:paraId="60526EE1" w14:textId="77777777" w:rsidR="00CF72FA" w:rsidRDefault="00CF72FA" w:rsidP="00DC4E66">
      <w:pPr>
        <w:spacing w:line="360" w:lineRule="auto"/>
        <w:jc w:val="both"/>
        <w:rPr>
          <w:rFonts w:ascii="Times New Roman" w:hAnsi="Times New Roman" w:cs="Times New Roman"/>
          <w:sz w:val="24"/>
          <w:szCs w:val="24"/>
        </w:rPr>
      </w:pPr>
    </w:p>
    <w:sdt>
      <w:sdtPr>
        <w:rPr>
          <w:rFonts w:asciiTheme="minorHAnsi" w:eastAsiaTheme="minorHAnsi" w:hAnsiTheme="minorHAnsi" w:cstheme="minorBidi"/>
          <w:color w:val="auto"/>
          <w:kern w:val="2"/>
          <w:sz w:val="22"/>
          <w:szCs w:val="22"/>
          <w14:ligatures w14:val="standardContextual"/>
        </w:rPr>
        <w:id w:val="1057440665"/>
        <w:docPartObj>
          <w:docPartGallery w:val="Table of Contents"/>
          <w:docPartUnique/>
        </w:docPartObj>
      </w:sdtPr>
      <w:sdtEndPr>
        <w:rPr>
          <w:b/>
          <w:bCs/>
          <w:noProof/>
          <w:sz w:val="28"/>
          <w:szCs w:val="28"/>
        </w:rPr>
      </w:sdtEndPr>
      <w:sdtContent>
        <w:p w14:paraId="5574960A" w14:textId="77777777" w:rsidR="00CF72FA" w:rsidRPr="007A2028" w:rsidRDefault="00CF72FA">
          <w:pPr>
            <w:pStyle w:val="TOCHeading"/>
            <w:rPr>
              <w:rFonts w:ascii="Times New Roman" w:hAnsi="Times New Roman" w:cs="Times New Roman"/>
              <w:sz w:val="28"/>
              <w:szCs w:val="28"/>
            </w:rPr>
          </w:pPr>
          <w:r w:rsidRPr="007A2028">
            <w:rPr>
              <w:rFonts w:ascii="Times New Roman" w:hAnsi="Times New Roman" w:cs="Times New Roman"/>
              <w:sz w:val="28"/>
              <w:szCs w:val="28"/>
            </w:rPr>
            <w:t>Contents</w:t>
          </w:r>
        </w:p>
        <w:p w14:paraId="45DC458B" w14:textId="2AF50C13" w:rsidR="009C3E34" w:rsidRDefault="00CF72FA">
          <w:pPr>
            <w:pStyle w:val="TOC1"/>
            <w:tabs>
              <w:tab w:val="right" w:leader="dot" w:pos="9350"/>
            </w:tabs>
            <w:rPr>
              <w:rFonts w:eastAsiaTheme="minorEastAsia"/>
              <w:noProof/>
            </w:rPr>
          </w:pPr>
          <w:r w:rsidRPr="007A2028">
            <w:rPr>
              <w:rFonts w:ascii="Times New Roman" w:hAnsi="Times New Roman" w:cs="Times New Roman"/>
              <w:sz w:val="28"/>
              <w:szCs w:val="28"/>
            </w:rPr>
            <w:fldChar w:fldCharType="begin"/>
          </w:r>
          <w:r w:rsidRPr="007A2028">
            <w:rPr>
              <w:rFonts w:ascii="Times New Roman" w:hAnsi="Times New Roman" w:cs="Times New Roman"/>
              <w:sz w:val="28"/>
              <w:szCs w:val="28"/>
            </w:rPr>
            <w:instrText xml:space="preserve"> TOC \o "1-3" \h \z \u </w:instrText>
          </w:r>
          <w:r w:rsidRPr="007A2028">
            <w:rPr>
              <w:rFonts w:ascii="Times New Roman" w:hAnsi="Times New Roman" w:cs="Times New Roman"/>
              <w:sz w:val="28"/>
              <w:szCs w:val="28"/>
            </w:rPr>
            <w:fldChar w:fldCharType="separate"/>
          </w:r>
          <w:hyperlink w:anchor="_Toc175068487" w:history="1">
            <w:r w:rsidR="009C3E34" w:rsidRPr="00E119CC">
              <w:rPr>
                <w:rStyle w:val="Hyperlink"/>
                <w:rFonts w:ascii="Times New Roman" w:hAnsi="Times New Roman" w:cs="Times New Roman"/>
                <w:noProof/>
              </w:rPr>
              <w:t>Part A). Introduction</w:t>
            </w:r>
            <w:r w:rsidR="009C3E34">
              <w:rPr>
                <w:noProof/>
                <w:webHidden/>
              </w:rPr>
              <w:tab/>
            </w:r>
            <w:r w:rsidR="009C3E34">
              <w:rPr>
                <w:noProof/>
                <w:webHidden/>
              </w:rPr>
              <w:fldChar w:fldCharType="begin"/>
            </w:r>
            <w:r w:rsidR="009C3E34">
              <w:rPr>
                <w:noProof/>
                <w:webHidden/>
              </w:rPr>
              <w:instrText xml:space="preserve"> PAGEREF _Toc175068487 \h </w:instrText>
            </w:r>
            <w:r w:rsidR="009C3E34">
              <w:rPr>
                <w:noProof/>
                <w:webHidden/>
              </w:rPr>
            </w:r>
            <w:r w:rsidR="009C3E34">
              <w:rPr>
                <w:noProof/>
                <w:webHidden/>
              </w:rPr>
              <w:fldChar w:fldCharType="separate"/>
            </w:r>
            <w:r w:rsidR="009C3E34">
              <w:rPr>
                <w:noProof/>
                <w:webHidden/>
              </w:rPr>
              <w:t>4</w:t>
            </w:r>
            <w:r w:rsidR="009C3E34">
              <w:rPr>
                <w:noProof/>
                <w:webHidden/>
              </w:rPr>
              <w:fldChar w:fldCharType="end"/>
            </w:r>
          </w:hyperlink>
        </w:p>
        <w:p w14:paraId="2E64B9A4" w14:textId="33BFFCDC" w:rsidR="009C3E34" w:rsidRDefault="00000000">
          <w:pPr>
            <w:pStyle w:val="TOC1"/>
            <w:tabs>
              <w:tab w:val="right" w:leader="dot" w:pos="9350"/>
            </w:tabs>
            <w:rPr>
              <w:rFonts w:eastAsiaTheme="minorEastAsia"/>
              <w:noProof/>
            </w:rPr>
          </w:pPr>
          <w:hyperlink w:anchor="_Toc175068488" w:history="1">
            <w:r w:rsidR="009C3E34" w:rsidRPr="00E119CC">
              <w:rPr>
                <w:rStyle w:val="Hyperlink"/>
                <w:rFonts w:ascii="Times New Roman" w:hAnsi="Times New Roman" w:cs="Times New Roman"/>
                <w:noProof/>
              </w:rPr>
              <w:t>Part B). Financial Performance Review</w:t>
            </w:r>
            <w:r w:rsidR="009C3E34">
              <w:rPr>
                <w:noProof/>
                <w:webHidden/>
              </w:rPr>
              <w:tab/>
            </w:r>
            <w:r w:rsidR="009C3E34">
              <w:rPr>
                <w:noProof/>
                <w:webHidden/>
              </w:rPr>
              <w:fldChar w:fldCharType="begin"/>
            </w:r>
            <w:r w:rsidR="009C3E34">
              <w:rPr>
                <w:noProof/>
                <w:webHidden/>
              </w:rPr>
              <w:instrText xml:space="preserve"> PAGEREF _Toc175068488 \h </w:instrText>
            </w:r>
            <w:r w:rsidR="009C3E34">
              <w:rPr>
                <w:noProof/>
                <w:webHidden/>
              </w:rPr>
            </w:r>
            <w:r w:rsidR="009C3E34">
              <w:rPr>
                <w:noProof/>
                <w:webHidden/>
              </w:rPr>
              <w:fldChar w:fldCharType="separate"/>
            </w:r>
            <w:r w:rsidR="009C3E34">
              <w:rPr>
                <w:noProof/>
                <w:webHidden/>
              </w:rPr>
              <w:t>6</w:t>
            </w:r>
            <w:r w:rsidR="009C3E34">
              <w:rPr>
                <w:noProof/>
                <w:webHidden/>
              </w:rPr>
              <w:fldChar w:fldCharType="end"/>
            </w:r>
          </w:hyperlink>
        </w:p>
        <w:p w14:paraId="6932A1BE" w14:textId="2BE2E213" w:rsidR="009C3E34" w:rsidRDefault="00000000">
          <w:pPr>
            <w:pStyle w:val="TOC2"/>
            <w:tabs>
              <w:tab w:val="right" w:leader="dot" w:pos="9350"/>
            </w:tabs>
            <w:rPr>
              <w:rFonts w:eastAsiaTheme="minorEastAsia"/>
              <w:noProof/>
            </w:rPr>
          </w:pPr>
          <w:hyperlink w:anchor="_Toc175068489" w:history="1">
            <w:r w:rsidR="009C3E34" w:rsidRPr="00E119CC">
              <w:rPr>
                <w:rStyle w:val="Hyperlink"/>
                <w:rFonts w:ascii="Times New Roman" w:hAnsi="Times New Roman" w:cs="Times New Roman"/>
                <w:noProof/>
              </w:rPr>
              <w:t>Key Financial Ratios Calculation</w:t>
            </w:r>
            <w:r w:rsidR="009C3E34">
              <w:rPr>
                <w:noProof/>
                <w:webHidden/>
              </w:rPr>
              <w:tab/>
            </w:r>
            <w:r w:rsidR="009C3E34">
              <w:rPr>
                <w:noProof/>
                <w:webHidden/>
              </w:rPr>
              <w:fldChar w:fldCharType="begin"/>
            </w:r>
            <w:r w:rsidR="009C3E34">
              <w:rPr>
                <w:noProof/>
                <w:webHidden/>
              </w:rPr>
              <w:instrText xml:space="preserve"> PAGEREF _Toc175068489 \h </w:instrText>
            </w:r>
            <w:r w:rsidR="009C3E34">
              <w:rPr>
                <w:noProof/>
                <w:webHidden/>
              </w:rPr>
            </w:r>
            <w:r w:rsidR="009C3E34">
              <w:rPr>
                <w:noProof/>
                <w:webHidden/>
              </w:rPr>
              <w:fldChar w:fldCharType="separate"/>
            </w:r>
            <w:r w:rsidR="009C3E34">
              <w:rPr>
                <w:noProof/>
                <w:webHidden/>
              </w:rPr>
              <w:t>8</w:t>
            </w:r>
            <w:r w:rsidR="009C3E34">
              <w:rPr>
                <w:noProof/>
                <w:webHidden/>
              </w:rPr>
              <w:fldChar w:fldCharType="end"/>
            </w:r>
          </w:hyperlink>
        </w:p>
        <w:p w14:paraId="5673D5B5" w14:textId="5711578D" w:rsidR="009C3E34" w:rsidRDefault="00000000">
          <w:pPr>
            <w:pStyle w:val="TOC2"/>
            <w:tabs>
              <w:tab w:val="right" w:leader="dot" w:pos="9350"/>
            </w:tabs>
            <w:rPr>
              <w:rFonts w:eastAsiaTheme="minorEastAsia"/>
              <w:noProof/>
            </w:rPr>
          </w:pPr>
          <w:hyperlink w:anchor="_Toc175068490" w:history="1">
            <w:r w:rsidR="009C3E34" w:rsidRPr="00E119CC">
              <w:rPr>
                <w:rStyle w:val="Hyperlink"/>
                <w:rFonts w:ascii="Times New Roman" w:hAnsi="Times New Roman" w:cs="Times New Roman"/>
                <w:noProof/>
              </w:rPr>
              <w:t>Profitability Ratios</w:t>
            </w:r>
            <w:r w:rsidR="009C3E34">
              <w:rPr>
                <w:noProof/>
                <w:webHidden/>
              </w:rPr>
              <w:tab/>
            </w:r>
            <w:r w:rsidR="009C3E34">
              <w:rPr>
                <w:noProof/>
                <w:webHidden/>
              </w:rPr>
              <w:fldChar w:fldCharType="begin"/>
            </w:r>
            <w:r w:rsidR="009C3E34">
              <w:rPr>
                <w:noProof/>
                <w:webHidden/>
              </w:rPr>
              <w:instrText xml:space="preserve"> PAGEREF _Toc175068490 \h </w:instrText>
            </w:r>
            <w:r w:rsidR="009C3E34">
              <w:rPr>
                <w:noProof/>
                <w:webHidden/>
              </w:rPr>
            </w:r>
            <w:r w:rsidR="009C3E34">
              <w:rPr>
                <w:noProof/>
                <w:webHidden/>
              </w:rPr>
              <w:fldChar w:fldCharType="separate"/>
            </w:r>
            <w:r w:rsidR="009C3E34">
              <w:rPr>
                <w:noProof/>
                <w:webHidden/>
              </w:rPr>
              <w:t>8</w:t>
            </w:r>
            <w:r w:rsidR="009C3E34">
              <w:rPr>
                <w:noProof/>
                <w:webHidden/>
              </w:rPr>
              <w:fldChar w:fldCharType="end"/>
            </w:r>
          </w:hyperlink>
        </w:p>
        <w:p w14:paraId="34DA58DF" w14:textId="2B4BABE6" w:rsidR="009C3E34" w:rsidRDefault="00000000">
          <w:pPr>
            <w:pStyle w:val="TOC3"/>
            <w:tabs>
              <w:tab w:val="right" w:leader="dot" w:pos="9350"/>
            </w:tabs>
            <w:rPr>
              <w:rFonts w:eastAsiaTheme="minorEastAsia"/>
              <w:noProof/>
            </w:rPr>
          </w:pPr>
          <w:hyperlink w:anchor="_Toc175068491" w:history="1">
            <w:r w:rsidR="009C3E34" w:rsidRPr="00E119CC">
              <w:rPr>
                <w:rStyle w:val="Hyperlink"/>
                <w:rFonts w:ascii="Times New Roman" w:hAnsi="Times New Roman" w:cs="Times New Roman"/>
                <w:noProof/>
              </w:rPr>
              <w:t>Gross Profit Margin</w:t>
            </w:r>
            <w:r w:rsidR="009C3E34">
              <w:rPr>
                <w:noProof/>
                <w:webHidden/>
              </w:rPr>
              <w:tab/>
            </w:r>
            <w:r w:rsidR="009C3E34">
              <w:rPr>
                <w:noProof/>
                <w:webHidden/>
              </w:rPr>
              <w:fldChar w:fldCharType="begin"/>
            </w:r>
            <w:r w:rsidR="009C3E34">
              <w:rPr>
                <w:noProof/>
                <w:webHidden/>
              </w:rPr>
              <w:instrText xml:space="preserve"> PAGEREF _Toc175068491 \h </w:instrText>
            </w:r>
            <w:r w:rsidR="009C3E34">
              <w:rPr>
                <w:noProof/>
                <w:webHidden/>
              </w:rPr>
            </w:r>
            <w:r w:rsidR="009C3E34">
              <w:rPr>
                <w:noProof/>
                <w:webHidden/>
              </w:rPr>
              <w:fldChar w:fldCharType="separate"/>
            </w:r>
            <w:r w:rsidR="009C3E34">
              <w:rPr>
                <w:noProof/>
                <w:webHidden/>
              </w:rPr>
              <w:t>8</w:t>
            </w:r>
            <w:r w:rsidR="009C3E34">
              <w:rPr>
                <w:noProof/>
                <w:webHidden/>
              </w:rPr>
              <w:fldChar w:fldCharType="end"/>
            </w:r>
          </w:hyperlink>
        </w:p>
        <w:p w14:paraId="37902DDE" w14:textId="26241E63" w:rsidR="009C3E34" w:rsidRDefault="00000000">
          <w:pPr>
            <w:pStyle w:val="TOC3"/>
            <w:tabs>
              <w:tab w:val="right" w:leader="dot" w:pos="9350"/>
            </w:tabs>
            <w:rPr>
              <w:rFonts w:eastAsiaTheme="minorEastAsia"/>
              <w:noProof/>
            </w:rPr>
          </w:pPr>
          <w:hyperlink w:anchor="_Toc175068492" w:history="1">
            <w:r w:rsidR="009C3E34" w:rsidRPr="00E119CC">
              <w:rPr>
                <w:rStyle w:val="Hyperlink"/>
                <w:rFonts w:ascii="Times New Roman" w:hAnsi="Times New Roman" w:cs="Times New Roman"/>
                <w:noProof/>
              </w:rPr>
              <w:t>Calculation</w:t>
            </w:r>
            <w:r w:rsidR="009C3E34">
              <w:rPr>
                <w:noProof/>
                <w:webHidden/>
              </w:rPr>
              <w:tab/>
            </w:r>
            <w:r w:rsidR="009C3E34">
              <w:rPr>
                <w:noProof/>
                <w:webHidden/>
              </w:rPr>
              <w:fldChar w:fldCharType="begin"/>
            </w:r>
            <w:r w:rsidR="009C3E34">
              <w:rPr>
                <w:noProof/>
                <w:webHidden/>
              </w:rPr>
              <w:instrText xml:space="preserve"> PAGEREF _Toc175068492 \h </w:instrText>
            </w:r>
            <w:r w:rsidR="009C3E34">
              <w:rPr>
                <w:noProof/>
                <w:webHidden/>
              </w:rPr>
            </w:r>
            <w:r w:rsidR="009C3E34">
              <w:rPr>
                <w:noProof/>
                <w:webHidden/>
              </w:rPr>
              <w:fldChar w:fldCharType="separate"/>
            </w:r>
            <w:r w:rsidR="009C3E34">
              <w:rPr>
                <w:noProof/>
                <w:webHidden/>
              </w:rPr>
              <w:t>9</w:t>
            </w:r>
            <w:r w:rsidR="009C3E34">
              <w:rPr>
                <w:noProof/>
                <w:webHidden/>
              </w:rPr>
              <w:fldChar w:fldCharType="end"/>
            </w:r>
          </w:hyperlink>
        </w:p>
        <w:p w14:paraId="313C62BC" w14:textId="5CB1E48C" w:rsidR="009C3E34" w:rsidRDefault="00000000">
          <w:pPr>
            <w:pStyle w:val="TOC3"/>
            <w:tabs>
              <w:tab w:val="right" w:leader="dot" w:pos="9350"/>
            </w:tabs>
            <w:rPr>
              <w:rFonts w:eastAsiaTheme="minorEastAsia"/>
              <w:noProof/>
            </w:rPr>
          </w:pPr>
          <w:hyperlink w:anchor="_Toc175068493" w:history="1">
            <w:r w:rsidR="009C3E34" w:rsidRPr="00E119CC">
              <w:rPr>
                <w:rStyle w:val="Hyperlink"/>
                <w:rFonts w:ascii="Times New Roman" w:hAnsi="Times New Roman" w:cs="Times New Roman"/>
                <w:noProof/>
              </w:rPr>
              <w:t>Net Profit Margin</w:t>
            </w:r>
            <w:r w:rsidR="009C3E34">
              <w:rPr>
                <w:noProof/>
                <w:webHidden/>
              </w:rPr>
              <w:tab/>
            </w:r>
            <w:r w:rsidR="009C3E34">
              <w:rPr>
                <w:noProof/>
                <w:webHidden/>
              </w:rPr>
              <w:fldChar w:fldCharType="begin"/>
            </w:r>
            <w:r w:rsidR="009C3E34">
              <w:rPr>
                <w:noProof/>
                <w:webHidden/>
              </w:rPr>
              <w:instrText xml:space="preserve"> PAGEREF _Toc175068493 \h </w:instrText>
            </w:r>
            <w:r w:rsidR="009C3E34">
              <w:rPr>
                <w:noProof/>
                <w:webHidden/>
              </w:rPr>
            </w:r>
            <w:r w:rsidR="009C3E34">
              <w:rPr>
                <w:noProof/>
                <w:webHidden/>
              </w:rPr>
              <w:fldChar w:fldCharType="separate"/>
            </w:r>
            <w:r w:rsidR="009C3E34">
              <w:rPr>
                <w:noProof/>
                <w:webHidden/>
              </w:rPr>
              <w:t>9</w:t>
            </w:r>
            <w:r w:rsidR="009C3E34">
              <w:rPr>
                <w:noProof/>
                <w:webHidden/>
              </w:rPr>
              <w:fldChar w:fldCharType="end"/>
            </w:r>
          </w:hyperlink>
        </w:p>
        <w:p w14:paraId="74A48BE7" w14:textId="7711CA12" w:rsidR="009C3E34" w:rsidRDefault="00000000">
          <w:pPr>
            <w:pStyle w:val="TOC3"/>
            <w:tabs>
              <w:tab w:val="right" w:leader="dot" w:pos="9350"/>
            </w:tabs>
            <w:rPr>
              <w:rFonts w:eastAsiaTheme="minorEastAsia"/>
              <w:noProof/>
            </w:rPr>
          </w:pPr>
          <w:hyperlink w:anchor="_Toc175068494" w:history="1">
            <w:r w:rsidR="009C3E34" w:rsidRPr="00E119CC">
              <w:rPr>
                <w:rStyle w:val="Hyperlink"/>
                <w:rFonts w:ascii="Times New Roman" w:hAnsi="Times New Roman" w:cs="Times New Roman"/>
                <w:noProof/>
              </w:rPr>
              <w:t>Calculation</w:t>
            </w:r>
            <w:r w:rsidR="009C3E34">
              <w:rPr>
                <w:noProof/>
                <w:webHidden/>
              </w:rPr>
              <w:tab/>
            </w:r>
            <w:r w:rsidR="009C3E34">
              <w:rPr>
                <w:noProof/>
                <w:webHidden/>
              </w:rPr>
              <w:fldChar w:fldCharType="begin"/>
            </w:r>
            <w:r w:rsidR="009C3E34">
              <w:rPr>
                <w:noProof/>
                <w:webHidden/>
              </w:rPr>
              <w:instrText xml:space="preserve"> PAGEREF _Toc175068494 \h </w:instrText>
            </w:r>
            <w:r w:rsidR="009C3E34">
              <w:rPr>
                <w:noProof/>
                <w:webHidden/>
              </w:rPr>
            </w:r>
            <w:r w:rsidR="009C3E34">
              <w:rPr>
                <w:noProof/>
                <w:webHidden/>
              </w:rPr>
              <w:fldChar w:fldCharType="separate"/>
            </w:r>
            <w:r w:rsidR="009C3E34">
              <w:rPr>
                <w:noProof/>
                <w:webHidden/>
              </w:rPr>
              <w:t>10</w:t>
            </w:r>
            <w:r w:rsidR="009C3E34">
              <w:rPr>
                <w:noProof/>
                <w:webHidden/>
              </w:rPr>
              <w:fldChar w:fldCharType="end"/>
            </w:r>
          </w:hyperlink>
        </w:p>
        <w:p w14:paraId="6798134D" w14:textId="3E93E712" w:rsidR="009C3E34" w:rsidRDefault="00000000">
          <w:pPr>
            <w:pStyle w:val="TOC2"/>
            <w:tabs>
              <w:tab w:val="right" w:leader="dot" w:pos="9350"/>
            </w:tabs>
            <w:rPr>
              <w:rFonts w:eastAsiaTheme="minorEastAsia"/>
              <w:noProof/>
            </w:rPr>
          </w:pPr>
          <w:hyperlink w:anchor="_Toc175068495" w:history="1">
            <w:r w:rsidR="009C3E34" w:rsidRPr="00E119CC">
              <w:rPr>
                <w:rStyle w:val="Hyperlink"/>
                <w:rFonts w:ascii="Times New Roman" w:hAnsi="Times New Roman" w:cs="Times New Roman"/>
                <w:noProof/>
              </w:rPr>
              <w:t>Liquidity Ratios</w:t>
            </w:r>
            <w:r w:rsidR="009C3E34">
              <w:rPr>
                <w:noProof/>
                <w:webHidden/>
              </w:rPr>
              <w:tab/>
            </w:r>
            <w:r w:rsidR="009C3E34">
              <w:rPr>
                <w:noProof/>
                <w:webHidden/>
              </w:rPr>
              <w:fldChar w:fldCharType="begin"/>
            </w:r>
            <w:r w:rsidR="009C3E34">
              <w:rPr>
                <w:noProof/>
                <w:webHidden/>
              </w:rPr>
              <w:instrText xml:space="preserve"> PAGEREF _Toc175068495 \h </w:instrText>
            </w:r>
            <w:r w:rsidR="009C3E34">
              <w:rPr>
                <w:noProof/>
                <w:webHidden/>
              </w:rPr>
            </w:r>
            <w:r w:rsidR="009C3E34">
              <w:rPr>
                <w:noProof/>
                <w:webHidden/>
              </w:rPr>
              <w:fldChar w:fldCharType="separate"/>
            </w:r>
            <w:r w:rsidR="009C3E34">
              <w:rPr>
                <w:noProof/>
                <w:webHidden/>
              </w:rPr>
              <w:t>11</w:t>
            </w:r>
            <w:r w:rsidR="009C3E34">
              <w:rPr>
                <w:noProof/>
                <w:webHidden/>
              </w:rPr>
              <w:fldChar w:fldCharType="end"/>
            </w:r>
          </w:hyperlink>
        </w:p>
        <w:p w14:paraId="502970E0" w14:textId="1B01E5EC" w:rsidR="009C3E34" w:rsidRDefault="00000000">
          <w:pPr>
            <w:pStyle w:val="TOC3"/>
            <w:tabs>
              <w:tab w:val="right" w:leader="dot" w:pos="9350"/>
            </w:tabs>
            <w:rPr>
              <w:rFonts w:eastAsiaTheme="minorEastAsia"/>
              <w:noProof/>
            </w:rPr>
          </w:pPr>
          <w:hyperlink w:anchor="_Toc175068496" w:history="1">
            <w:r w:rsidR="009C3E34" w:rsidRPr="00E119CC">
              <w:rPr>
                <w:rStyle w:val="Hyperlink"/>
                <w:rFonts w:ascii="Times New Roman" w:hAnsi="Times New Roman" w:cs="Times New Roman"/>
                <w:noProof/>
              </w:rPr>
              <w:t>Current Ratio</w:t>
            </w:r>
            <w:r w:rsidR="009C3E34">
              <w:rPr>
                <w:noProof/>
                <w:webHidden/>
              </w:rPr>
              <w:tab/>
            </w:r>
            <w:r w:rsidR="009C3E34">
              <w:rPr>
                <w:noProof/>
                <w:webHidden/>
              </w:rPr>
              <w:fldChar w:fldCharType="begin"/>
            </w:r>
            <w:r w:rsidR="009C3E34">
              <w:rPr>
                <w:noProof/>
                <w:webHidden/>
              </w:rPr>
              <w:instrText xml:space="preserve"> PAGEREF _Toc175068496 \h </w:instrText>
            </w:r>
            <w:r w:rsidR="009C3E34">
              <w:rPr>
                <w:noProof/>
                <w:webHidden/>
              </w:rPr>
            </w:r>
            <w:r w:rsidR="009C3E34">
              <w:rPr>
                <w:noProof/>
                <w:webHidden/>
              </w:rPr>
              <w:fldChar w:fldCharType="separate"/>
            </w:r>
            <w:r w:rsidR="009C3E34">
              <w:rPr>
                <w:noProof/>
                <w:webHidden/>
              </w:rPr>
              <w:t>11</w:t>
            </w:r>
            <w:r w:rsidR="009C3E34">
              <w:rPr>
                <w:noProof/>
                <w:webHidden/>
              </w:rPr>
              <w:fldChar w:fldCharType="end"/>
            </w:r>
          </w:hyperlink>
        </w:p>
        <w:p w14:paraId="60DC1D89" w14:textId="5F2FFB0A" w:rsidR="009C3E34" w:rsidRDefault="00000000">
          <w:pPr>
            <w:pStyle w:val="TOC3"/>
            <w:tabs>
              <w:tab w:val="right" w:leader="dot" w:pos="9350"/>
            </w:tabs>
            <w:rPr>
              <w:rFonts w:eastAsiaTheme="minorEastAsia"/>
              <w:noProof/>
            </w:rPr>
          </w:pPr>
          <w:hyperlink w:anchor="_Toc175068497" w:history="1">
            <w:r w:rsidR="009C3E34" w:rsidRPr="00E119CC">
              <w:rPr>
                <w:rStyle w:val="Hyperlink"/>
                <w:rFonts w:ascii="Times New Roman" w:hAnsi="Times New Roman" w:cs="Times New Roman"/>
                <w:noProof/>
              </w:rPr>
              <w:t>Calculation</w:t>
            </w:r>
            <w:r w:rsidR="009C3E34">
              <w:rPr>
                <w:noProof/>
                <w:webHidden/>
              </w:rPr>
              <w:tab/>
            </w:r>
            <w:r w:rsidR="009C3E34">
              <w:rPr>
                <w:noProof/>
                <w:webHidden/>
              </w:rPr>
              <w:fldChar w:fldCharType="begin"/>
            </w:r>
            <w:r w:rsidR="009C3E34">
              <w:rPr>
                <w:noProof/>
                <w:webHidden/>
              </w:rPr>
              <w:instrText xml:space="preserve"> PAGEREF _Toc175068497 \h </w:instrText>
            </w:r>
            <w:r w:rsidR="009C3E34">
              <w:rPr>
                <w:noProof/>
                <w:webHidden/>
              </w:rPr>
            </w:r>
            <w:r w:rsidR="009C3E34">
              <w:rPr>
                <w:noProof/>
                <w:webHidden/>
              </w:rPr>
              <w:fldChar w:fldCharType="separate"/>
            </w:r>
            <w:r w:rsidR="009C3E34">
              <w:rPr>
                <w:noProof/>
                <w:webHidden/>
              </w:rPr>
              <w:t>11</w:t>
            </w:r>
            <w:r w:rsidR="009C3E34">
              <w:rPr>
                <w:noProof/>
                <w:webHidden/>
              </w:rPr>
              <w:fldChar w:fldCharType="end"/>
            </w:r>
          </w:hyperlink>
        </w:p>
        <w:p w14:paraId="7765FAA4" w14:textId="0337CEAB" w:rsidR="009C3E34" w:rsidRDefault="00000000">
          <w:pPr>
            <w:pStyle w:val="TOC3"/>
            <w:tabs>
              <w:tab w:val="right" w:leader="dot" w:pos="9350"/>
            </w:tabs>
            <w:rPr>
              <w:rFonts w:eastAsiaTheme="minorEastAsia"/>
              <w:noProof/>
            </w:rPr>
          </w:pPr>
          <w:hyperlink w:anchor="_Toc175068498" w:history="1">
            <w:r w:rsidR="009C3E34" w:rsidRPr="00E119CC">
              <w:rPr>
                <w:rStyle w:val="Hyperlink"/>
                <w:rFonts w:ascii="Times New Roman" w:hAnsi="Times New Roman" w:cs="Times New Roman"/>
                <w:noProof/>
              </w:rPr>
              <w:t>Quick Ratio</w:t>
            </w:r>
            <w:r w:rsidR="009C3E34">
              <w:rPr>
                <w:noProof/>
                <w:webHidden/>
              </w:rPr>
              <w:tab/>
            </w:r>
            <w:r w:rsidR="009C3E34">
              <w:rPr>
                <w:noProof/>
                <w:webHidden/>
              </w:rPr>
              <w:fldChar w:fldCharType="begin"/>
            </w:r>
            <w:r w:rsidR="009C3E34">
              <w:rPr>
                <w:noProof/>
                <w:webHidden/>
              </w:rPr>
              <w:instrText xml:space="preserve"> PAGEREF _Toc175068498 \h </w:instrText>
            </w:r>
            <w:r w:rsidR="009C3E34">
              <w:rPr>
                <w:noProof/>
                <w:webHidden/>
              </w:rPr>
            </w:r>
            <w:r w:rsidR="009C3E34">
              <w:rPr>
                <w:noProof/>
                <w:webHidden/>
              </w:rPr>
              <w:fldChar w:fldCharType="separate"/>
            </w:r>
            <w:r w:rsidR="009C3E34">
              <w:rPr>
                <w:noProof/>
                <w:webHidden/>
              </w:rPr>
              <w:t>12</w:t>
            </w:r>
            <w:r w:rsidR="009C3E34">
              <w:rPr>
                <w:noProof/>
                <w:webHidden/>
              </w:rPr>
              <w:fldChar w:fldCharType="end"/>
            </w:r>
          </w:hyperlink>
        </w:p>
        <w:p w14:paraId="1E4D58AC" w14:textId="5D6BA3C1" w:rsidR="009C3E34" w:rsidRDefault="00000000">
          <w:pPr>
            <w:pStyle w:val="TOC3"/>
            <w:tabs>
              <w:tab w:val="right" w:leader="dot" w:pos="9350"/>
            </w:tabs>
            <w:rPr>
              <w:rFonts w:eastAsiaTheme="minorEastAsia"/>
              <w:noProof/>
            </w:rPr>
          </w:pPr>
          <w:hyperlink w:anchor="_Toc175068499" w:history="1">
            <w:r w:rsidR="009C3E34" w:rsidRPr="00E119CC">
              <w:rPr>
                <w:rStyle w:val="Hyperlink"/>
                <w:rFonts w:ascii="Times New Roman" w:hAnsi="Times New Roman" w:cs="Times New Roman"/>
                <w:noProof/>
              </w:rPr>
              <w:t>Calculation</w:t>
            </w:r>
            <w:r w:rsidR="009C3E34">
              <w:rPr>
                <w:noProof/>
                <w:webHidden/>
              </w:rPr>
              <w:tab/>
            </w:r>
            <w:r w:rsidR="009C3E34">
              <w:rPr>
                <w:noProof/>
                <w:webHidden/>
              </w:rPr>
              <w:fldChar w:fldCharType="begin"/>
            </w:r>
            <w:r w:rsidR="009C3E34">
              <w:rPr>
                <w:noProof/>
                <w:webHidden/>
              </w:rPr>
              <w:instrText xml:space="preserve"> PAGEREF _Toc175068499 \h </w:instrText>
            </w:r>
            <w:r w:rsidR="009C3E34">
              <w:rPr>
                <w:noProof/>
                <w:webHidden/>
              </w:rPr>
            </w:r>
            <w:r w:rsidR="009C3E34">
              <w:rPr>
                <w:noProof/>
                <w:webHidden/>
              </w:rPr>
              <w:fldChar w:fldCharType="separate"/>
            </w:r>
            <w:r w:rsidR="009C3E34">
              <w:rPr>
                <w:noProof/>
                <w:webHidden/>
              </w:rPr>
              <w:t>12</w:t>
            </w:r>
            <w:r w:rsidR="009C3E34">
              <w:rPr>
                <w:noProof/>
                <w:webHidden/>
              </w:rPr>
              <w:fldChar w:fldCharType="end"/>
            </w:r>
          </w:hyperlink>
        </w:p>
        <w:p w14:paraId="184F71F6" w14:textId="6C2CD365" w:rsidR="009C3E34" w:rsidRDefault="00000000">
          <w:pPr>
            <w:pStyle w:val="TOC2"/>
            <w:tabs>
              <w:tab w:val="right" w:leader="dot" w:pos="9350"/>
            </w:tabs>
            <w:rPr>
              <w:rFonts w:eastAsiaTheme="minorEastAsia"/>
              <w:noProof/>
            </w:rPr>
          </w:pPr>
          <w:hyperlink w:anchor="_Toc175068500" w:history="1">
            <w:r w:rsidR="009C3E34" w:rsidRPr="00E119CC">
              <w:rPr>
                <w:rStyle w:val="Hyperlink"/>
                <w:rFonts w:ascii="Times New Roman" w:hAnsi="Times New Roman" w:cs="Times New Roman"/>
                <w:noProof/>
              </w:rPr>
              <w:t>Gearing Ratios</w:t>
            </w:r>
            <w:r w:rsidR="009C3E34">
              <w:rPr>
                <w:noProof/>
                <w:webHidden/>
              </w:rPr>
              <w:tab/>
            </w:r>
            <w:r w:rsidR="009C3E34">
              <w:rPr>
                <w:noProof/>
                <w:webHidden/>
              </w:rPr>
              <w:fldChar w:fldCharType="begin"/>
            </w:r>
            <w:r w:rsidR="009C3E34">
              <w:rPr>
                <w:noProof/>
                <w:webHidden/>
              </w:rPr>
              <w:instrText xml:space="preserve"> PAGEREF _Toc175068500 \h </w:instrText>
            </w:r>
            <w:r w:rsidR="009C3E34">
              <w:rPr>
                <w:noProof/>
                <w:webHidden/>
              </w:rPr>
            </w:r>
            <w:r w:rsidR="009C3E34">
              <w:rPr>
                <w:noProof/>
                <w:webHidden/>
              </w:rPr>
              <w:fldChar w:fldCharType="separate"/>
            </w:r>
            <w:r w:rsidR="009C3E34">
              <w:rPr>
                <w:noProof/>
                <w:webHidden/>
              </w:rPr>
              <w:t>13</w:t>
            </w:r>
            <w:r w:rsidR="009C3E34">
              <w:rPr>
                <w:noProof/>
                <w:webHidden/>
              </w:rPr>
              <w:fldChar w:fldCharType="end"/>
            </w:r>
          </w:hyperlink>
        </w:p>
        <w:p w14:paraId="3AD3BC0A" w14:textId="1183184E" w:rsidR="009C3E34" w:rsidRDefault="00000000">
          <w:pPr>
            <w:pStyle w:val="TOC3"/>
            <w:tabs>
              <w:tab w:val="right" w:leader="dot" w:pos="9350"/>
            </w:tabs>
            <w:rPr>
              <w:rFonts w:eastAsiaTheme="minorEastAsia"/>
              <w:noProof/>
            </w:rPr>
          </w:pPr>
          <w:hyperlink w:anchor="_Toc175068501" w:history="1">
            <w:r w:rsidR="009C3E34" w:rsidRPr="00E119CC">
              <w:rPr>
                <w:rStyle w:val="Hyperlink"/>
                <w:rFonts w:ascii="Times New Roman" w:hAnsi="Times New Roman" w:cs="Times New Roman"/>
                <w:noProof/>
              </w:rPr>
              <w:t>Debt-to-Equity Ratio</w:t>
            </w:r>
            <w:r w:rsidR="009C3E34">
              <w:rPr>
                <w:noProof/>
                <w:webHidden/>
              </w:rPr>
              <w:tab/>
            </w:r>
            <w:r w:rsidR="009C3E34">
              <w:rPr>
                <w:noProof/>
                <w:webHidden/>
              </w:rPr>
              <w:fldChar w:fldCharType="begin"/>
            </w:r>
            <w:r w:rsidR="009C3E34">
              <w:rPr>
                <w:noProof/>
                <w:webHidden/>
              </w:rPr>
              <w:instrText xml:space="preserve"> PAGEREF _Toc175068501 \h </w:instrText>
            </w:r>
            <w:r w:rsidR="009C3E34">
              <w:rPr>
                <w:noProof/>
                <w:webHidden/>
              </w:rPr>
            </w:r>
            <w:r w:rsidR="009C3E34">
              <w:rPr>
                <w:noProof/>
                <w:webHidden/>
              </w:rPr>
              <w:fldChar w:fldCharType="separate"/>
            </w:r>
            <w:r w:rsidR="009C3E34">
              <w:rPr>
                <w:noProof/>
                <w:webHidden/>
              </w:rPr>
              <w:t>13</w:t>
            </w:r>
            <w:r w:rsidR="009C3E34">
              <w:rPr>
                <w:noProof/>
                <w:webHidden/>
              </w:rPr>
              <w:fldChar w:fldCharType="end"/>
            </w:r>
          </w:hyperlink>
        </w:p>
        <w:p w14:paraId="67E1A505" w14:textId="401CC257" w:rsidR="009C3E34" w:rsidRDefault="00000000">
          <w:pPr>
            <w:pStyle w:val="TOC3"/>
            <w:tabs>
              <w:tab w:val="right" w:leader="dot" w:pos="9350"/>
            </w:tabs>
            <w:rPr>
              <w:rFonts w:eastAsiaTheme="minorEastAsia"/>
              <w:noProof/>
            </w:rPr>
          </w:pPr>
          <w:hyperlink w:anchor="_Toc175068502" w:history="1">
            <w:r w:rsidR="009C3E34" w:rsidRPr="00E119CC">
              <w:rPr>
                <w:rStyle w:val="Hyperlink"/>
                <w:rFonts w:ascii="Times New Roman" w:hAnsi="Times New Roman" w:cs="Times New Roman"/>
                <w:noProof/>
              </w:rPr>
              <w:t>Calculation</w:t>
            </w:r>
            <w:r w:rsidR="009C3E34">
              <w:rPr>
                <w:noProof/>
                <w:webHidden/>
              </w:rPr>
              <w:tab/>
            </w:r>
            <w:r w:rsidR="009C3E34">
              <w:rPr>
                <w:noProof/>
                <w:webHidden/>
              </w:rPr>
              <w:fldChar w:fldCharType="begin"/>
            </w:r>
            <w:r w:rsidR="009C3E34">
              <w:rPr>
                <w:noProof/>
                <w:webHidden/>
              </w:rPr>
              <w:instrText xml:space="preserve"> PAGEREF _Toc175068502 \h </w:instrText>
            </w:r>
            <w:r w:rsidR="009C3E34">
              <w:rPr>
                <w:noProof/>
                <w:webHidden/>
              </w:rPr>
            </w:r>
            <w:r w:rsidR="009C3E34">
              <w:rPr>
                <w:noProof/>
                <w:webHidden/>
              </w:rPr>
              <w:fldChar w:fldCharType="separate"/>
            </w:r>
            <w:r w:rsidR="009C3E34">
              <w:rPr>
                <w:noProof/>
                <w:webHidden/>
              </w:rPr>
              <w:t>13</w:t>
            </w:r>
            <w:r w:rsidR="009C3E34">
              <w:rPr>
                <w:noProof/>
                <w:webHidden/>
              </w:rPr>
              <w:fldChar w:fldCharType="end"/>
            </w:r>
          </w:hyperlink>
        </w:p>
        <w:p w14:paraId="5684A567" w14:textId="5DE39852" w:rsidR="009C3E34" w:rsidRDefault="00000000">
          <w:pPr>
            <w:pStyle w:val="TOC2"/>
            <w:tabs>
              <w:tab w:val="right" w:leader="dot" w:pos="9350"/>
            </w:tabs>
            <w:rPr>
              <w:rFonts w:eastAsiaTheme="minorEastAsia"/>
              <w:noProof/>
            </w:rPr>
          </w:pPr>
          <w:hyperlink w:anchor="_Toc175068503" w:history="1">
            <w:r w:rsidR="009C3E34" w:rsidRPr="00E119CC">
              <w:rPr>
                <w:rStyle w:val="Hyperlink"/>
                <w:rFonts w:ascii="Times New Roman" w:hAnsi="Times New Roman" w:cs="Times New Roman"/>
                <w:noProof/>
              </w:rPr>
              <w:t>Efficiency Ratios</w:t>
            </w:r>
            <w:r w:rsidR="009C3E34">
              <w:rPr>
                <w:noProof/>
                <w:webHidden/>
              </w:rPr>
              <w:tab/>
            </w:r>
            <w:r w:rsidR="009C3E34">
              <w:rPr>
                <w:noProof/>
                <w:webHidden/>
              </w:rPr>
              <w:fldChar w:fldCharType="begin"/>
            </w:r>
            <w:r w:rsidR="009C3E34">
              <w:rPr>
                <w:noProof/>
                <w:webHidden/>
              </w:rPr>
              <w:instrText xml:space="preserve"> PAGEREF _Toc175068503 \h </w:instrText>
            </w:r>
            <w:r w:rsidR="009C3E34">
              <w:rPr>
                <w:noProof/>
                <w:webHidden/>
              </w:rPr>
            </w:r>
            <w:r w:rsidR="009C3E34">
              <w:rPr>
                <w:noProof/>
                <w:webHidden/>
              </w:rPr>
              <w:fldChar w:fldCharType="separate"/>
            </w:r>
            <w:r w:rsidR="009C3E34">
              <w:rPr>
                <w:noProof/>
                <w:webHidden/>
              </w:rPr>
              <w:t>14</w:t>
            </w:r>
            <w:r w:rsidR="009C3E34">
              <w:rPr>
                <w:noProof/>
                <w:webHidden/>
              </w:rPr>
              <w:fldChar w:fldCharType="end"/>
            </w:r>
          </w:hyperlink>
        </w:p>
        <w:p w14:paraId="39CA5289" w14:textId="1C48EA64" w:rsidR="009C3E34" w:rsidRDefault="00000000">
          <w:pPr>
            <w:pStyle w:val="TOC3"/>
            <w:tabs>
              <w:tab w:val="right" w:leader="dot" w:pos="9350"/>
            </w:tabs>
            <w:rPr>
              <w:rFonts w:eastAsiaTheme="minorEastAsia"/>
              <w:noProof/>
            </w:rPr>
          </w:pPr>
          <w:hyperlink w:anchor="_Toc175068504" w:history="1">
            <w:r w:rsidR="009C3E34" w:rsidRPr="00E119CC">
              <w:rPr>
                <w:rStyle w:val="Hyperlink"/>
                <w:rFonts w:ascii="Times New Roman" w:hAnsi="Times New Roman" w:cs="Times New Roman"/>
                <w:noProof/>
              </w:rPr>
              <w:t>Inventory Turnover</w:t>
            </w:r>
            <w:r w:rsidR="009C3E34">
              <w:rPr>
                <w:noProof/>
                <w:webHidden/>
              </w:rPr>
              <w:tab/>
            </w:r>
            <w:r w:rsidR="009C3E34">
              <w:rPr>
                <w:noProof/>
                <w:webHidden/>
              </w:rPr>
              <w:fldChar w:fldCharType="begin"/>
            </w:r>
            <w:r w:rsidR="009C3E34">
              <w:rPr>
                <w:noProof/>
                <w:webHidden/>
              </w:rPr>
              <w:instrText xml:space="preserve"> PAGEREF _Toc175068504 \h </w:instrText>
            </w:r>
            <w:r w:rsidR="009C3E34">
              <w:rPr>
                <w:noProof/>
                <w:webHidden/>
              </w:rPr>
            </w:r>
            <w:r w:rsidR="009C3E34">
              <w:rPr>
                <w:noProof/>
                <w:webHidden/>
              </w:rPr>
              <w:fldChar w:fldCharType="separate"/>
            </w:r>
            <w:r w:rsidR="009C3E34">
              <w:rPr>
                <w:noProof/>
                <w:webHidden/>
              </w:rPr>
              <w:t>14</w:t>
            </w:r>
            <w:r w:rsidR="009C3E34">
              <w:rPr>
                <w:noProof/>
                <w:webHidden/>
              </w:rPr>
              <w:fldChar w:fldCharType="end"/>
            </w:r>
          </w:hyperlink>
        </w:p>
        <w:p w14:paraId="21CD1DC0" w14:textId="393D0B7D" w:rsidR="009C3E34" w:rsidRDefault="00000000">
          <w:pPr>
            <w:pStyle w:val="TOC3"/>
            <w:tabs>
              <w:tab w:val="right" w:leader="dot" w:pos="9350"/>
            </w:tabs>
            <w:rPr>
              <w:rFonts w:eastAsiaTheme="minorEastAsia"/>
              <w:noProof/>
            </w:rPr>
          </w:pPr>
          <w:hyperlink w:anchor="_Toc175068505" w:history="1">
            <w:r w:rsidR="009C3E34" w:rsidRPr="00E119CC">
              <w:rPr>
                <w:rStyle w:val="Hyperlink"/>
                <w:rFonts w:ascii="Times New Roman" w:hAnsi="Times New Roman" w:cs="Times New Roman"/>
                <w:noProof/>
              </w:rPr>
              <w:t>Calculation</w:t>
            </w:r>
            <w:r w:rsidR="009C3E34">
              <w:rPr>
                <w:noProof/>
                <w:webHidden/>
              </w:rPr>
              <w:tab/>
            </w:r>
            <w:r w:rsidR="009C3E34">
              <w:rPr>
                <w:noProof/>
                <w:webHidden/>
              </w:rPr>
              <w:fldChar w:fldCharType="begin"/>
            </w:r>
            <w:r w:rsidR="009C3E34">
              <w:rPr>
                <w:noProof/>
                <w:webHidden/>
              </w:rPr>
              <w:instrText xml:space="preserve"> PAGEREF _Toc175068505 \h </w:instrText>
            </w:r>
            <w:r w:rsidR="009C3E34">
              <w:rPr>
                <w:noProof/>
                <w:webHidden/>
              </w:rPr>
            </w:r>
            <w:r w:rsidR="009C3E34">
              <w:rPr>
                <w:noProof/>
                <w:webHidden/>
              </w:rPr>
              <w:fldChar w:fldCharType="separate"/>
            </w:r>
            <w:r w:rsidR="009C3E34">
              <w:rPr>
                <w:noProof/>
                <w:webHidden/>
              </w:rPr>
              <w:t>14</w:t>
            </w:r>
            <w:r w:rsidR="009C3E34">
              <w:rPr>
                <w:noProof/>
                <w:webHidden/>
              </w:rPr>
              <w:fldChar w:fldCharType="end"/>
            </w:r>
          </w:hyperlink>
        </w:p>
        <w:p w14:paraId="54FB0945" w14:textId="74F5C387" w:rsidR="009C3E34" w:rsidRDefault="00000000">
          <w:pPr>
            <w:pStyle w:val="TOC3"/>
            <w:tabs>
              <w:tab w:val="right" w:leader="dot" w:pos="9350"/>
            </w:tabs>
            <w:rPr>
              <w:rFonts w:eastAsiaTheme="minorEastAsia"/>
              <w:noProof/>
            </w:rPr>
          </w:pPr>
          <w:hyperlink w:anchor="_Toc175068506" w:history="1">
            <w:r w:rsidR="009C3E34" w:rsidRPr="00E119CC">
              <w:rPr>
                <w:rStyle w:val="Hyperlink"/>
                <w:rFonts w:ascii="Times New Roman" w:hAnsi="Times New Roman" w:cs="Times New Roman"/>
                <w:noProof/>
              </w:rPr>
              <w:t>Receivables Turnover</w:t>
            </w:r>
            <w:r w:rsidR="009C3E34">
              <w:rPr>
                <w:noProof/>
                <w:webHidden/>
              </w:rPr>
              <w:tab/>
            </w:r>
            <w:r w:rsidR="009C3E34">
              <w:rPr>
                <w:noProof/>
                <w:webHidden/>
              </w:rPr>
              <w:fldChar w:fldCharType="begin"/>
            </w:r>
            <w:r w:rsidR="009C3E34">
              <w:rPr>
                <w:noProof/>
                <w:webHidden/>
              </w:rPr>
              <w:instrText xml:space="preserve"> PAGEREF _Toc175068506 \h </w:instrText>
            </w:r>
            <w:r w:rsidR="009C3E34">
              <w:rPr>
                <w:noProof/>
                <w:webHidden/>
              </w:rPr>
            </w:r>
            <w:r w:rsidR="009C3E34">
              <w:rPr>
                <w:noProof/>
                <w:webHidden/>
              </w:rPr>
              <w:fldChar w:fldCharType="separate"/>
            </w:r>
            <w:r w:rsidR="009C3E34">
              <w:rPr>
                <w:noProof/>
                <w:webHidden/>
              </w:rPr>
              <w:t>16</w:t>
            </w:r>
            <w:r w:rsidR="009C3E34">
              <w:rPr>
                <w:noProof/>
                <w:webHidden/>
              </w:rPr>
              <w:fldChar w:fldCharType="end"/>
            </w:r>
          </w:hyperlink>
        </w:p>
        <w:p w14:paraId="3D9F7096" w14:textId="03BE36EF" w:rsidR="009C3E34" w:rsidRDefault="00000000">
          <w:pPr>
            <w:pStyle w:val="TOC3"/>
            <w:tabs>
              <w:tab w:val="right" w:leader="dot" w:pos="9350"/>
            </w:tabs>
            <w:rPr>
              <w:rFonts w:eastAsiaTheme="minorEastAsia"/>
              <w:noProof/>
            </w:rPr>
          </w:pPr>
          <w:hyperlink w:anchor="_Toc175068507" w:history="1">
            <w:r w:rsidR="009C3E34" w:rsidRPr="00E119CC">
              <w:rPr>
                <w:rStyle w:val="Hyperlink"/>
                <w:rFonts w:ascii="Times New Roman" w:hAnsi="Times New Roman" w:cs="Times New Roman"/>
                <w:noProof/>
              </w:rPr>
              <w:t>Calculation</w:t>
            </w:r>
            <w:r w:rsidR="009C3E34">
              <w:rPr>
                <w:noProof/>
                <w:webHidden/>
              </w:rPr>
              <w:tab/>
            </w:r>
            <w:r w:rsidR="009C3E34">
              <w:rPr>
                <w:noProof/>
                <w:webHidden/>
              </w:rPr>
              <w:fldChar w:fldCharType="begin"/>
            </w:r>
            <w:r w:rsidR="009C3E34">
              <w:rPr>
                <w:noProof/>
                <w:webHidden/>
              </w:rPr>
              <w:instrText xml:space="preserve"> PAGEREF _Toc175068507 \h </w:instrText>
            </w:r>
            <w:r w:rsidR="009C3E34">
              <w:rPr>
                <w:noProof/>
                <w:webHidden/>
              </w:rPr>
            </w:r>
            <w:r w:rsidR="009C3E34">
              <w:rPr>
                <w:noProof/>
                <w:webHidden/>
              </w:rPr>
              <w:fldChar w:fldCharType="separate"/>
            </w:r>
            <w:r w:rsidR="009C3E34">
              <w:rPr>
                <w:noProof/>
                <w:webHidden/>
              </w:rPr>
              <w:t>16</w:t>
            </w:r>
            <w:r w:rsidR="009C3E34">
              <w:rPr>
                <w:noProof/>
                <w:webHidden/>
              </w:rPr>
              <w:fldChar w:fldCharType="end"/>
            </w:r>
          </w:hyperlink>
        </w:p>
        <w:p w14:paraId="28AF0023" w14:textId="6818729B" w:rsidR="009C3E34" w:rsidRDefault="00000000">
          <w:pPr>
            <w:pStyle w:val="TOC2"/>
            <w:tabs>
              <w:tab w:val="right" w:leader="dot" w:pos="9350"/>
            </w:tabs>
            <w:rPr>
              <w:rFonts w:eastAsiaTheme="minorEastAsia"/>
              <w:noProof/>
            </w:rPr>
          </w:pPr>
          <w:hyperlink w:anchor="_Toc175068508" w:history="1">
            <w:r w:rsidR="009C3E34" w:rsidRPr="00E119CC">
              <w:rPr>
                <w:rStyle w:val="Hyperlink"/>
                <w:rFonts w:ascii="Times New Roman" w:hAnsi="Times New Roman" w:cs="Times New Roman"/>
                <w:noProof/>
              </w:rPr>
              <w:t>Critical Evaluation of Ratios</w:t>
            </w:r>
            <w:r w:rsidR="009C3E34">
              <w:rPr>
                <w:noProof/>
                <w:webHidden/>
              </w:rPr>
              <w:tab/>
            </w:r>
            <w:r w:rsidR="009C3E34">
              <w:rPr>
                <w:noProof/>
                <w:webHidden/>
              </w:rPr>
              <w:fldChar w:fldCharType="begin"/>
            </w:r>
            <w:r w:rsidR="009C3E34">
              <w:rPr>
                <w:noProof/>
                <w:webHidden/>
              </w:rPr>
              <w:instrText xml:space="preserve"> PAGEREF _Toc175068508 \h </w:instrText>
            </w:r>
            <w:r w:rsidR="009C3E34">
              <w:rPr>
                <w:noProof/>
                <w:webHidden/>
              </w:rPr>
            </w:r>
            <w:r w:rsidR="009C3E34">
              <w:rPr>
                <w:noProof/>
                <w:webHidden/>
              </w:rPr>
              <w:fldChar w:fldCharType="separate"/>
            </w:r>
            <w:r w:rsidR="009C3E34">
              <w:rPr>
                <w:noProof/>
                <w:webHidden/>
              </w:rPr>
              <w:t>17</w:t>
            </w:r>
            <w:r w:rsidR="009C3E34">
              <w:rPr>
                <w:noProof/>
                <w:webHidden/>
              </w:rPr>
              <w:fldChar w:fldCharType="end"/>
            </w:r>
          </w:hyperlink>
        </w:p>
        <w:p w14:paraId="5CA509CB" w14:textId="05ABB117" w:rsidR="009C3E34" w:rsidRDefault="00000000">
          <w:pPr>
            <w:pStyle w:val="TOC2"/>
            <w:tabs>
              <w:tab w:val="right" w:leader="dot" w:pos="9350"/>
            </w:tabs>
            <w:rPr>
              <w:rFonts w:eastAsiaTheme="minorEastAsia"/>
              <w:noProof/>
            </w:rPr>
          </w:pPr>
          <w:hyperlink w:anchor="_Toc175068509" w:history="1">
            <w:r w:rsidR="009C3E34" w:rsidRPr="00E119CC">
              <w:rPr>
                <w:rStyle w:val="Hyperlink"/>
                <w:rFonts w:ascii="Times New Roman" w:hAnsi="Times New Roman" w:cs="Times New Roman"/>
                <w:noProof/>
              </w:rPr>
              <w:t>Profitability Ratios</w:t>
            </w:r>
            <w:r w:rsidR="009C3E34">
              <w:rPr>
                <w:noProof/>
                <w:webHidden/>
              </w:rPr>
              <w:tab/>
            </w:r>
            <w:r w:rsidR="009C3E34">
              <w:rPr>
                <w:noProof/>
                <w:webHidden/>
              </w:rPr>
              <w:fldChar w:fldCharType="begin"/>
            </w:r>
            <w:r w:rsidR="009C3E34">
              <w:rPr>
                <w:noProof/>
                <w:webHidden/>
              </w:rPr>
              <w:instrText xml:space="preserve"> PAGEREF _Toc175068509 \h </w:instrText>
            </w:r>
            <w:r w:rsidR="009C3E34">
              <w:rPr>
                <w:noProof/>
                <w:webHidden/>
              </w:rPr>
            </w:r>
            <w:r w:rsidR="009C3E34">
              <w:rPr>
                <w:noProof/>
                <w:webHidden/>
              </w:rPr>
              <w:fldChar w:fldCharType="separate"/>
            </w:r>
            <w:r w:rsidR="009C3E34">
              <w:rPr>
                <w:noProof/>
                <w:webHidden/>
              </w:rPr>
              <w:t>17</w:t>
            </w:r>
            <w:r w:rsidR="009C3E34">
              <w:rPr>
                <w:noProof/>
                <w:webHidden/>
              </w:rPr>
              <w:fldChar w:fldCharType="end"/>
            </w:r>
          </w:hyperlink>
        </w:p>
        <w:p w14:paraId="42758ABC" w14:textId="6CC7EDDA" w:rsidR="009C3E34" w:rsidRDefault="00000000">
          <w:pPr>
            <w:pStyle w:val="TOC2"/>
            <w:tabs>
              <w:tab w:val="right" w:leader="dot" w:pos="9350"/>
            </w:tabs>
            <w:rPr>
              <w:rFonts w:eastAsiaTheme="minorEastAsia"/>
              <w:noProof/>
            </w:rPr>
          </w:pPr>
          <w:hyperlink w:anchor="_Toc175068510" w:history="1">
            <w:r w:rsidR="009C3E34" w:rsidRPr="00E119CC">
              <w:rPr>
                <w:rStyle w:val="Hyperlink"/>
                <w:rFonts w:ascii="Times New Roman" w:hAnsi="Times New Roman" w:cs="Times New Roman"/>
                <w:noProof/>
              </w:rPr>
              <w:t>Liquidity Ratios</w:t>
            </w:r>
            <w:r w:rsidR="009C3E34">
              <w:rPr>
                <w:noProof/>
                <w:webHidden/>
              </w:rPr>
              <w:tab/>
            </w:r>
            <w:r w:rsidR="009C3E34">
              <w:rPr>
                <w:noProof/>
                <w:webHidden/>
              </w:rPr>
              <w:fldChar w:fldCharType="begin"/>
            </w:r>
            <w:r w:rsidR="009C3E34">
              <w:rPr>
                <w:noProof/>
                <w:webHidden/>
              </w:rPr>
              <w:instrText xml:space="preserve"> PAGEREF _Toc175068510 \h </w:instrText>
            </w:r>
            <w:r w:rsidR="009C3E34">
              <w:rPr>
                <w:noProof/>
                <w:webHidden/>
              </w:rPr>
            </w:r>
            <w:r w:rsidR="009C3E34">
              <w:rPr>
                <w:noProof/>
                <w:webHidden/>
              </w:rPr>
              <w:fldChar w:fldCharType="separate"/>
            </w:r>
            <w:r w:rsidR="009C3E34">
              <w:rPr>
                <w:noProof/>
                <w:webHidden/>
              </w:rPr>
              <w:t>18</w:t>
            </w:r>
            <w:r w:rsidR="009C3E34">
              <w:rPr>
                <w:noProof/>
                <w:webHidden/>
              </w:rPr>
              <w:fldChar w:fldCharType="end"/>
            </w:r>
          </w:hyperlink>
        </w:p>
        <w:p w14:paraId="32582DE8" w14:textId="425B53A8" w:rsidR="009C3E34" w:rsidRDefault="00000000">
          <w:pPr>
            <w:pStyle w:val="TOC2"/>
            <w:tabs>
              <w:tab w:val="right" w:leader="dot" w:pos="9350"/>
            </w:tabs>
            <w:rPr>
              <w:rFonts w:eastAsiaTheme="minorEastAsia"/>
              <w:noProof/>
            </w:rPr>
          </w:pPr>
          <w:hyperlink w:anchor="_Toc175068511" w:history="1">
            <w:r w:rsidR="009C3E34" w:rsidRPr="00E119CC">
              <w:rPr>
                <w:rStyle w:val="Hyperlink"/>
                <w:rFonts w:ascii="Times New Roman" w:hAnsi="Times New Roman" w:cs="Times New Roman"/>
                <w:noProof/>
              </w:rPr>
              <w:t>Gearing Ratios</w:t>
            </w:r>
            <w:r w:rsidR="009C3E34">
              <w:rPr>
                <w:noProof/>
                <w:webHidden/>
              </w:rPr>
              <w:tab/>
            </w:r>
            <w:r w:rsidR="009C3E34">
              <w:rPr>
                <w:noProof/>
                <w:webHidden/>
              </w:rPr>
              <w:fldChar w:fldCharType="begin"/>
            </w:r>
            <w:r w:rsidR="009C3E34">
              <w:rPr>
                <w:noProof/>
                <w:webHidden/>
              </w:rPr>
              <w:instrText xml:space="preserve"> PAGEREF _Toc175068511 \h </w:instrText>
            </w:r>
            <w:r w:rsidR="009C3E34">
              <w:rPr>
                <w:noProof/>
                <w:webHidden/>
              </w:rPr>
            </w:r>
            <w:r w:rsidR="009C3E34">
              <w:rPr>
                <w:noProof/>
                <w:webHidden/>
              </w:rPr>
              <w:fldChar w:fldCharType="separate"/>
            </w:r>
            <w:r w:rsidR="009C3E34">
              <w:rPr>
                <w:noProof/>
                <w:webHidden/>
              </w:rPr>
              <w:t>18</w:t>
            </w:r>
            <w:r w:rsidR="009C3E34">
              <w:rPr>
                <w:noProof/>
                <w:webHidden/>
              </w:rPr>
              <w:fldChar w:fldCharType="end"/>
            </w:r>
          </w:hyperlink>
        </w:p>
        <w:p w14:paraId="7BE5EE6D" w14:textId="4A9DFE6F" w:rsidR="009C3E34" w:rsidRDefault="00000000">
          <w:pPr>
            <w:pStyle w:val="TOC2"/>
            <w:tabs>
              <w:tab w:val="right" w:leader="dot" w:pos="9350"/>
            </w:tabs>
            <w:rPr>
              <w:rFonts w:eastAsiaTheme="minorEastAsia"/>
              <w:noProof/>
            </w:rPr>
          </w:pPr>
          <w:hyperlink w:anchor="_Toc175068512" w:history="1">
            <w:r w:rsidR="009C3E34" w:rsidRPr="00E119CC">
              <w:rPr>
                <w:rStyle w:val="Hyperlink"/>
                <w:rFonts w:ascii="Times New Roman" w:hAnsi="Times New Roman" w:cs="Times New Roman"/>
                <w:noProof/>
              </w:rPr>
              <w:t>Efficiency Ratios</w:t>
            </w:r>
            <w:r w:rsidR="009C3E34">
              <w:rPr>
                <w:noProof/>
                <w:webHidden/>
              </w:rPr>
              <w:tab/>
            </w:r>
            <w:r w:rsidR="009C3E34">
              <w:rPr>
                <w:noProof/>
                <w:webHidden/>
              </w:rPr>
              <w:fldChar w:fldCharType="begin"/>
            </w:r>
            <w:r w:rsidR="009C3E34">
              <w:rPr>
                <w:noProof/>
                <w:webHidden/>
              </w:rPr>
              <w:instrText xml:space="preserve"> PAGEREF _Toc175068512 \h </w:instrText>
            </w:r>
            <w:r w:rsidR="009C3E34">
              <w:rPr>
                <w:noProof/>
                <w:webHidden/>
              </w:rPr>
            </w:r>
            <w:r w:rsidR="009C3E34">
              <w:rPr>
                <w:noProof/>
                <w:webHidden/>
              </w:rPr>
              <w:fldChar w:fldCharType="separate"/>
            </w:r>
            <w:r w:rsidR="009C3E34">
              <w:rPr>
                <w:noProof/>
                <w:webHidden/>
              </w:rPr>
              <w:t>18</w:t>
            </w:r>
            <w:r w:rsidR="009C3E34">
              <w:rPr>
                <w:noProof/>
                <w:webHidden/>
              </w:rPr>
              <w:fldChar w:fldCharType="end"/>
            </w:r>
          </w:hyperlink>
        </w:p>
        <w:p w14:paraId="3EF8C0F0" w14:textId="7A20D924" w:rsidR="009C3E34" w:rsidRDefault="00000000">
          <w:pPr>
            <w:pStyle w:val="TOC2"/>
            <w:tabs>
              <w:tab w:val="right" w:leader="dot" w:pos="9350"/>
            </w:tabs>
            <w:rPr>
              <w:rFonts w:eastAsiaTheme="minorEastAsia"/>
              <w:noProof/>
            </w:rPr>
          </w:pPr>
          <w:hyperlink w:anchor="_Toc175068513" w:history="1">
            <w:r w:rsidR="009C3E34" w:rsidRPr="00E119CC">
              <w:rPr>
                <w:rStyle w:val="Hyperlink"/>
                <w:rFonts w:ascii="Times New Roman" w:hAnsi="Times New Roman" w:cs="Times New Roman"/>
                <w:noProof/>
              </w:rPr>
              <w:t>Compared to Major Competitors</w:t>
            </w:r>
            <w:r w:rsidR="009C3E34">
              <w:rPr>
                <w:noProof/>
                <w:webHidden/>
              </w:rPr>
              <w:tab/>
            </w:r>
            <w:r w:rsidR="009C3E34">
              <w:rPr>
                <w:noProof/>
                <w:webHidden/>
              </w:rPr>
              <w:fldChar w:fldCharType="begin"/>
            </w:r>
            <w:r w:rsidR="009C3E34">
              <w:rPr>
                <w:noProof/>
                <w:webHidden/>
              </w:rPr>
              <w:instrText xml:space="preserve"> PAGEREF _Toc175068513 \h </w:instrText>
            </w:r>
            <w:r w:rsidR="009C3E34">
              <w:rPr>
                <w:noProof/>
                <w:webHidden/>
              </w:rPr>
            </w:r>
            <w:r w:rsidR="009C3E34">
              <w:rPr>
                <w:noProof/>
                <w:webHidden/>
              </w:rPr>
              <w:fldChar w:fldCharType="separate"/>
            </w:r>
            <w:r w:rsidR="009C3E34">
              <w:rPr>
                <w:noProof/>
                <w:webHidden/>
              </w:rPr>
              <w:t>19</w:t>
            </w:r>
            <w:r w:rsidR="009C3E34">
              <w:rPr>
                <w:noProof/>
                <w:webHidden/>
              </w:rPr>
              <w:fldChar w:fldCharType="end"/>
            </w:r>
          </w:hyperlink>
        </w:p>
        <w:p w14:paraId="680E7C0B" w14:textId="413F36B6" w:rsidR="009C3E34" w:rsidRDefault="00000000">
          <w:pPr>
            <w:pStyle w:val="TOC2"/>
            <w:tabs>
              <w:tab w:val="right" w:leader="dot" w:pos="9350"/>
            </w:tabs>
            <w:rPr>
              <w:rFonts w:eastAsiaTheme="minorEastAsia"/>
              <w:noProof/>
            </w:rPr>
          </w:pPr>
          <w:hyperlink w:anchor="_Toc175068514" w:history="1">
            <w:r w:rsidR="009C3E34" w:rsidRPr="00E119CC">
              <w:rPr>
                <w:rStyle w:val="Hyperlink"/>
                <w:rFonts w:ascii="Times New Roman" w:hAnsi="Times New Roman" w:cs="Times New Roman"/>
                <w:noProof/>
              </w:rPr>
              <w:t>Recommendations for Future Financial Management</w:t>
            </w:r>
            <w:r w:rsidR="009C3E34">
              <w:rPr>
                <w:noProof/>
                <w:webHidden/>
              </w:rPr>
              <w:tab/>
            </w:r>
            <w:r w:rsidR="009C3E34">
              <w:rPr>
                <w:noProof/>
                <w:webHidden/>
              </w:rPr>
              <w:fldChar w:fldCharType="begin"/>
            </w:r>
            <w:r w:rsidR="009C3E34">
              <w:rPr>
                <w:noProof/>
                <w:webHidden/>
              </w:rPr>
              <w:instrText xml:space="preserve"> PAGEREF _Toc175068514 \h </w:instrText>
            </w:r>
            <w:r w:rsidR="009C3E34">
              <w:rPr>
                <w:noProof/>
                <w:webHidden/>
              </w:rPr>
            </w:r>
            <w:r w:rsidR="009C3E34">
              <w:rPr>
                <w:noProof/>
                <w:webHidden/>
              </w:rPr>
              <w:fldChar w:fldCharType="separate"/>
            </w:r>
            <w:r w:rsidR="009C3E34">
              <w:rPr>
                <w:noProof/>
                <w:webHidden/>
              </w:rPr>
              <w:t>19</w:t>
            </w:r>
            <w:r w:rsidR="009C3E34">
              <w:rPr>
                <w:noProof/>
                <w:webHidden/>
              </w:rPr>
              <w:fldChar w:fldCharType="end"/>
            </w:r>
          </w:hyperlink>
        </w:p>
        <w:p w14:paraId="0EB9AF6E" w14:textId="34B0DB65" w:rsidR="009C3E34" w:rsidRDefault="00000000">
          <w:pPr>
            <w:pStyle w:val="TOC1"/>
            <w:tabs>
              <w:tab w:val="right" w:leader="dot" w:pos="9350"/>
            </w:tabs>
            <w:rPr>
              <w:rFonts w:eastAsiaTheme="minorEastAsia"/>
              <w:noProof/>
            </w:rPr>
          </w:pPr>
          <w:hyperlink w:anchor="_Toc175068515" w:history="1">
            <w:r w:rsidR="009C3E34" w:rsidRPr="00E119CC">
              <w:rPr>
                <w:rStyle w:val="Hyperlink"/>
                <w:rFonts w:ascii="Times New Roman" w:hAnsi="Times New Roman" w:cs="Times New Roman"/>
                <w:noProof/>
              </w:rPr>
              <w:t>Part C). Investment Appraisal</w:t>
            </w:r>
            <w:r w:rsidR="009C3E34">
              <w:rPr>
                <w:noProof/>
                <w:webHidden/>
              </w:rPr>
              <w:tab/>
            </w:r>
            <w:r w:rsidR="009C3E34">
              <w:rPr>
                <w:noProof/>
                <w:webHidden/>
              </w:rPr>
              <w:fldChar w:fldCharType="begin"/>
            </w:r>
            <w:r w:rsidR="009C3E34">
              <w:rPr>
                <w:noProof/>
                <w:webHidden/>
              </w:rPr>
              <w:instrText xml:space="preserve"> PAGEREF _Toc175068515 \h </w:instrText>
            </w:r>
            <w:r w:rsidR="009C3E34">
              <w:rPr>
                <w:noProof/>
                <w:webHidden/>
              </w:rPr>
            </w:r>
            <w:r w:rsidR="009C3E34">
              <w:rPr>
                <w:noProof/>
                <w:webHidden/>
              </w:rPr>
              <w:fldChar w:fldCharType="separate"/>
            </w:r>
            <w:r w:rsidR="009C3E34">
              <w:rPr>
                <w:noProof/>
                <w:webHidden/>
              </w:rPr>
              <w:t>21</w:t>
            </w:r>
            <w:r w:rsidR="009C3E34">
              <w:rPr>
                <w:noProof/>
                <w:webHidden/>
              </w:rPr>
              <w:fldChar w:fldCharType="end"/>
            </w:r>
          </w:hyperlink>
        </w:p>
        <w:p w14:paraId="048BC4FD" w14:textId="705DCE73" w:rsidR="009C3E34" w:rsidRDefault="00000000">
          <w:pPr>
            <w:pStyle w:val="TOC2"/>
            <w:tabs>
              <w:tab w:val="right" w:leader="dot" w:pos="9350"/>
            </w:tabs>
            <w:rPr>
              <w:rFonts w:eastAsiaTheme="minorEastAsia"/>
              <w:noProof/>
            </w:rPr>
          </w:pPr>
          <w:hyperlink w:anchor="_Toc175068516" w:history="1">
            <w:r w:rsidR="009C3E34" w:rsidRPr="00E119CC">
              <w:rPr>
                <w:rStyle w:val="Hyperlink"/>
                <w:rFonts w:ascii="Times New Roman" w:hAnsi="Times New Roman" w:cs="Times New Roman"/>
                <w:noProof/>
              </w:rPr>
              <w:t>Project Overview</w:t>
            </w:r>
            <w:r w:rsidR="009C3E34">
              <w:rPr>
                <w:noProof/>
                <w:webHidden/>
              </w:rPr>
              <w:tab/>
            </w:r>
            <w:r w:rsidR="009C3E34">
              <w:rPr>
                <w:noProof/>
                <w:webHidden/>
              </w:rPr>
              <w:fldChar w:fldCharType="begin"/>
            </w:r>
            <w:r w:rsidR="009C3E34">
              <w:rPr>
                <w:noProof/>
                <w:webHidden/>
              </w:rPr>
              <w:instrText xml:space="preserve"> PAGEREF _Toc175068516 \h </w:instrText>
            </w:r>
            <w:r w:rsidR="009C3E34">
              <w:rPr>
                <w:noProof/>
                <w:webHidden/>
              </w:rPr>
            </w:r>
            <w:r w:rsidR="009C3E34">
              <w:rPr>
                <w:noProof/>
                <w:webHidden/>
              </w:rPr>
              <w:fldChar w:fldCharType="separate"/>
            </w:r>
            <w:r w:rsidR="009C3E34">
              <w:rPr>
                <w:noProof/>
                <w:webHidden/>
              </w:rPr>
              <w:t>21</w:t>
            </w:r>
            <w:r w:rsidR="009C3E34">
              <w:rPr>
                <w:noProof/>
                <w:webHidden/>
              </w:rPr>
              <w:fldChar w:fldCharType="end"/>
            </w:r>
          </w:hyperlink>
        </w:p>
        <w:p w14:paraId="0110CFF7" w14:textId="2E237128" w:rsidR="009C3E34" w:rsidRDefault="00000000">
          <w:pPr>
            <w:pStyle w:val="TOC2"/>
            <w:tabs>
              <w:tab w:val="right" w:leader="dot" w:pos="9350"/>
            </w:tabs>
            <w:rPr>
              <w:rFonts w:eastAsiaTheme="minorEastAsia"/>
              <w:noProof/>
            </w:rPr>
          </w:pPr>
          <w:hyperlink w:anchor="_Toc175068517" w:history="1">
            <w:r w:rsidR="009C3E34" w:rsidRPr="00E119CC">
              <w:rPr>
                <w:rStyle w:val="Hyperlink"/>
                <w:rFonts w:ascii="Times New Roman" w:hAnsi="Times New Roman" w:cs="Times New Roman"/>
                <w:noProof/>
              </w:rPr>
              <w:t>Project A</w:t>
            </w:r>
            <w:r w:rsidR="009C3E34" w:rsidRPr="00E119CC">
              <w:rPr>
                <w:rStyle w:val="Hyperlink"/>
                <w:noProof/>
              </w:rPr>
              <w:t>:</w:t>
            </w:r>
            <w:r w:rsidR="009C3E34">
              <w:rPr>
                <w:noProof/>
                <w:webHidden/>
              </w:rPr>
              <w:tab/>
            </w:r>
            <w:r w:rsidR="009C3E34">
              <w:rPr>
                <w:noProof/>
                <w:webHidden/>
              </w:rPr>
              <w:fldChar w:fldCharType="begin"/>
            </w:r>
            <w:r w:rsidR="009C3E34">
              <w:rPr>
                <w:noProof/>
                <w:webHidden/>
              </w:rPr>
              <w:instrText xml:space="preserve"> PAGEREF _Toc175068517 \h </w:instrText>
            </w:r>
            <w:r w:rsidR="009C3E34">
              <w:rPr>
                <w:noProof/>
                <w:webHidden/>
              </w:rPr>
            </w:r>
            <w:r w:rsidR="009C3E34">
              <w:rPr>
                <w:noProof/>
                <w:webHidden/>
              </w:rPr>
              <w:fldChar w:fldCharType="separate"/>
            </w:r>
            <w:r w:rsidR="009C3E34">
              <w:rPr>
                <w:noProof/>
                <w:webHidden/>
              </w:rPr>
              <w:t>21</w:t>
            </w:r>
            <w:r w:rsidR="009C3E34">
              <w:rPr>
                <w:noProof/>
                <w:webHidden/>
              </w:rPr>
              <w:fldChar w:fldCharType="end"/>
            </w:r>
          </w:hyperlink>
        </w:p>
        <w:p w14:paraId="7D06F717" w14:textId="354C6F23" w:rsidR="009C3E34" w:rsidRDefault="00000000">
          <w:pPr>
            <w:pStyle w:val="TOC2"/>
            <w:tabs>
              <w:tab w:val="right" w:leader="dot" w:pos="9350"/>
            </w:tabs>
            <w:rPr>
              <w:rFonts w:eastAsiaTheme="minorEastAsia"/>
              <w:noProof/>
            </w:rPr>
          </w:pPr>
          <w:hyperlink w:anchor="_Toc175068518" w:history="1">
            <w:r w:rsidR="009C3E34" w:rsidRPr="00E119CC">
              <w:rPr>
                <w:rStyle w:val="Hyperlink"/>
                <w:rFonts w:ascii="Times New Roman" w:hAnsi="Times New Roman" w:cs="Times New Roman"/>
                <w:noProof/>
              </w:rPr>
              <w:t>Project B:</w:t>
            </w:r>
            <w:r w:rsidR="009C3E34">
              <w:rPr>
                <w:noProof/>
                <w:webHidden/>
              </w:rPr>
              <w:tab/>
            </w:r>
            <w:r w:rsidR="009C3E34">
              <w:rPr>
                <w:noProof/>
                <w:webHidden/>
              </w:rPr>
              <w:fldChar w:fldCharType="begin"/>
            </w:r>
            <w:r w:rsidR="009C3E34">
              <w:rPr>
                <w:noProof/>
                <w:webHidden/>
              </w:rPr>
              <w:instrText xml:space="preserve"> PAGEREF _Toc175068518 \h </w:instrText>
            </w:r>
            <w:r w:rsidR="009C3E34">
              <w:rPr>
                <w:noProof/>
                <w:webHidden/>
              </w:rPr>
            </w:r>
            <w:r w:rsidR="009C3E34">
              <w:rPr>
                <w:noProof/>
                <w:webHidden/>
              </w:rPr>
              <w:fldChar w:fldCharType="separate"/>
            </w:r>
            <w:r w:rsidR="009C3E34">
              <w:rPr>
                <w:noProof/>
                <w:webHidden/>
              </w:rPr>
              <w:t>21</w:t>
            </w:r>
            <w:r w:rsidR="009C3E34">
              <w:rPr>
                <w:noProof/>
                <w:webHidden/>
              </w:rPr>
              <w:fldChar w:fldCharType="end"/>
            </w:r>
          </w:hyperlink>
        </w:p>
        <w:p w14:paraId="0F422EB0" w14:textId="16A888A4" w:rsidR="009C3E34" w:rsidRDefault="00000000">
          <w:pPr>
            <w:pStyle w:val="TOC2"/>
            <w:tabs>
              <w:tab w:val="right" w:leader="dot" w:pos="9350"/>
            </w:tabs>
            <w:rPr>
              <w:rFonts w:eastAsiaTheme="minorEastAsia"/>
              <w:noProof/>
            </w:rPr>
          </w:pPr>
          <w:hyperlink w:anchor="_Toc175068519" w:history="1">
            <w:r w:rsidR="009C3E34" w:rsidRPr="00E119CC">
              <w:rPr>
                <w:rStyle w:val="Hyperlink"/>
                <w:rFonts w:ascii="Times New Roman" w:hAnsi="Times New Roman" w:cs="Times New Roman"/>
                <w:noProof/>
              </w:rPr>
              <w:t>Net Present Value (NPV)</w:t>
            </w:r>
            <w:r w:rsidR="009C3E34">
              <w:rPr>
                <w:noProof/>
                <w:webHidden/>
              </w:rPr>
              <w:tab/>
            </w:r>
            <w:r w:rsidR="009C3E34">
              <w:rPr>
                <w:noProof/>
                <w:webHidden/>
              </w:rPr>
              <w:fldChar w:fldCharType="begin"/>
            </w:r>
            <w:r w:rsidR="009C3E34">
              <w:rPr>
                <w:noProof/>
                <w:webHidden/>
              </w:rPr>
              <w:instrText xml:space="preserve"> PAGEREF _Toc175068519 \h </w:instrText>
            </w:r>
            <w:r w:rsidR="009C3E34">
              <w:rPr>
                <w:noProof/>
                <w:webHidden/>
              </w:rPr>
            </w:r>
            <w:r w:rsidR="009C3E34">
              <w:rPr>
                <w:noProof/>
                <w:webHidden/>
              </w:rPr>
              <w:fldChar w:fldCharType="separate"/>
            </w:r>
            <w:r w:rsidR="009C3E34">
              <w:rPr>
                <w:noProof/>
                <w:webHidden/>
              </w:rPr>
              <w:t>22</w:t>
            </w:r>
            <w:r w:rsidR="009C3E34">
              <w:rPr>
                <w:noProof/>
                <w:webHidden/>
              </w:rPr>
              <w:fldChar w:fldCharType="end"/>
            </w:r>
          </w:hyperlink>
        </w:p>
        <w:p w14:paraId="7905C238" w14:textId="0D11103A" w:rsidR="009C3E34" w:rsidRDefault="00000000">
          <w:pPr>
            <w:pStyle w:val="TOC2"/>
            <w:tabs>
              <w:tab w:val="right" w:leader="dot" w:pos="9350"/>
            </w:tabs>
            <w:rPr>
              <w:rFonts w:eastAsiaTheme="minorEastAsia"/>
              <w:noProof/>
            </w:rPr>
          </w:pPr>
          <w:hyperlink w:anchor="_Toc175068520" w:history="1">
            <w:r w:rsidR="009C3E34" w:rsidRPr="00E119CC">
              <w:rPr>
                <w:rStyle w:val="Hyperlink"/>
                <w:rFonts w:ascii="Times New Roman" w:hAnsi="Times New Roman" w:cs="Times New Roman"/>
                <w:noProof/>
              </w:rPr>
              <w:t>Project A Calculation:</w:t>
            </w:r>
            <w:r w:rsidR="009C3E34">
              <w:rPr>
                <w:noProof/>
                <w:webHidden/>
              </w:rPr>
              <w:tab/>
            </w:r>
            <w:r w:rsidR="009C3E34">
              <w:rPr>
                <w:noProof/>
                <w:webHidden/>
              </w:rPr>
              <w:fldChar w:fldCharType="begin"/>
            </w:r>
            <w:r w:rsidR="009C3E34">
              <w:rPr>
                <w:noProof/>
                <w:webHidden/>
              </w:rPr>
              <w:instrText xml:space="preserve"> PAGEREF _Toc175068520 \h </w:instrText>
            </w:r>
            <w:r w:rsidR="009C3E34">
              <w:rPr>
                <w:noProof/>
                <w:webHidden/>
              </w:rPr>
            </w:r>
            <w:r w:rsidR="009C3E34">
              <w:rPr>
                <w:noProof/>
                <w:webHidden/>
              </w:rPr>
              <w:fldChar w:fldCharType="separate"/>
            </w:r>
            <w:r w:rsidR="009C3E34">
              <w:rPr>
                <w:noProof/>
                <w:webHidden/>
              </w:rPr>
              <w:t>22</w:t>
            </w:r>
            <w:r w:rsidR="009C3E34">
              <w:rPr>
                <w:noProof/>
                <w:webHidden/>
              </w:rPr>
              <w:fldChar w:fldCharType="end"/>
            </w:r>
          </w:hyperlink>
        </w:p>
        <w:p w14:paraId="6CF8C598" w14:textId="29F37E8D" w:rsidR="009C3E34" w:rsidRDefault="00000000">
          <w:pPr>
            <w:pStyle w:val="TOC2"/>
            <w:tabs>
              <w:tab w:val="right" w:leader="dot" w:pos="9350"/>
            </w:tabs>
            <w:rPr>
              <w:rFonts w:eastAsiaTheme="minorEastAsia"/>
              <w:noProof/>
            </w:rPr>
          </w:pPr>
          <w:hyperlink w:anchor="_Toc175068521" w:history="1">
            <w:r w:rsidR="009C3E34" w:rsidRPr="00E119CC">
              <w:rPr>
                <w:rStyle w:val="Hyperlink"/>
                <w:rFonts w:ascii="Times New Roman" w:hAnsi="Times New Roman" w:cs="Times New Roman"/>
                <w:noProof/>
              </w:rPr>
              <w:t>Project B Calculation:</w:t>
            </w:r>
            <w:r w:rsidR="009C3E34">
              <w:rPr>
                <w:noProof/>
                <w:webHidden/>
              </w:rPr>
              <w:tab/>
            </w:r>
            <w:r w:rsidR="009C3E34">
              <w:rPr>
                <w:noProof/>
                <w:webHidden/>
              </w:rPr>
              <w:fldChar w:fldCharType="begin"/>
            </w:r>
            <w:r w:rsidR="009C3E34">
              <w:rPr>
                <w:noProof/>
                <w:webHidden/>
              </w:rPr>
              <w:instrText xml:space="preserve"> PAGEREF _Toc175068521 \h </w:instrText>
            </w:r>
            <w:r w:rsidR="009C3E34">
              <w:rPr>
                <w:noProof/>
                <w:webHidden/>
              </w:rPr>
            </w:r>
            <w:r w:rsidR="009C3E34">
              <w:rPr>
                <w:noProof/>
                <w:webHidden/>
              </w:rPr>
              <w:fldChar w:fldCharType="separate"/>
            </w:r>
            <w:r w:rsidR="009C3E34">
              <w:rPr>
                <w:noProof/>
                <w:webHidden/>
              </w:rPr>
              <w:t>23</w:t>
            </w:r>
            <w:r w:rsidR="009C3E34">
              <w:rPr>
                <w:noProof/>
                <w:webHidden/>
              </w:rPr>
              <w:fldChar w:fldCharType="end"/>
            </w:r>
          </w:hyperlink>
        </w:p>
        <w:p w14:paraId="1EC13DC0" w14:textId="17D71A07" w:rsidR="009C3E34" w:rsidRDefault="00000000">
          <w:pPr>
            <w:pStyle w:val="TOC2"/>
            <w:tabs>
              <w:tab w:val="right" w:leader="dot" w:pos="9350"/>
            </w:tabs>
            <w:rPr>
              <w:rFonts w:eastAsiaTheme="minorEastAsia"/>
              <w:noProof/>
            </w:rPr>
          </w:pPr>
          <w:hyperlink w:anchor="_Toc175068522" w:history="1">
            <w:r w:rsidR="009C3E34" w:rsidRPr="00E119CC">
              <w:rPr>
                <w:rStyle w:val="Hyperlink"/>
                <w:rFonts w:ascii="Times New Roman" w:hAnsi="Times New Roman" w:cs="Times New Roman"/>
                <w:noProof/>
              </w:rPr>
              <w:t>Internal Rate of Return (IRR</w:t>
            </w:r>
            <w:r w:rsidR="009C3E34" w:rsidRPr="00E119CC">
              <w:rPr>
                <w:rStyle w:val="Hyperlink"/>
                <w:noProof/>
              </w:rPr>
              <w:t>)</w:t>
            </w:r>
            <w:r w:rsidR="009C3E34">
              <w:rPr>
                <w:noProof/>
                <w:webHidden/>
              </w:rPr>
              <w:tab/>
            </w:r>
            <w:r w:rsidR="009C3E34">
              <w:rPr>
                <w:noProof/>
                <w:webHidden/>
              </w:rPr>
              <w:fldChar w:fldCharType="begin"/>
            </w:r>
            <w:r w:rsidR="009C3E34">
              <w:rPr>
                <w:noProof/>
                <w:webHidden/>
              </w:rPr>
              <w:instrText xml:space="preserve"> PAGEREF _Toc175068522 \h </w:instrText>
            </w:r>
            <w:r w:rsidR="009C3E34">
              <w:rPr>
                <w:noProof/>
                <w:webHidden/>
              </w:rPr>
            </w:r>
            <w:r w:rsidR="009C3E34">
              <w:rPr>
                <w:noProof/>
                <w:webHidden/>
              </w:rPr>
              <w:fldChar w:fldCharType="separate"/>
            </w:r>
            <w:r w:rsidR="009C3E34">
              <w:rPr>
                <w:noProof/>
                <w:webHidden/>
              </w:rPr>
              <w:t>24</w:t>
            </w:r>
            <w:r w:rsidR="009C3E34">
              <w:rPr>
                <w:noProof/>
                <w:webHidden/>
              </w:rPr>
              <w:fldChar w:fldCharType="end"/>
            </w:r>
          </w:hyperlink>
        </w:p>
        <w:p w14:paraId="766AA705" w14:textId="0FE0BCBD" w:rsidR="009C3E34" w:rsidRDefault="00000000">
          <w:pPr>
            <w:pStyle w:val="TOC2"/>
            <w:tabs>
              <w:tab w:val="right" w:leader="dot" w:pos="9350"/>
            </w:tabs>
            <w:rPr>
              <w:rFonts w:eastAsiaTheme="minorEastAsia"/>
              <w:noProof/>
            </w:rPr>
          </w:pPr>
          <w:hyperlink w:anchor="_Toc175068523" w:history="1">
            <w:r w:rsidR="009C3E34" w:rsidRPr="00E119CC">
              <w:rPr>
                <w:rStyle w:val="Hyperlink"/>
                <w:rFonts w:ascii="Times New Roman" w:hAnsi="Times New Roman" w:cs="Times New Roman"/>
                <w:noProof/>
              </w:rPr>
              <w:t>Payback Period</w:t>
            </w:r>
            <w:r w:rsidR="009C3E34">
              <w:rPr>
                <w:noProof/>
                <w:webHidden/>
              </w:rPr>
              <w:tab/>
            </w:r>
            <w:r w:rsidR="009C3E34">
              <w:rPr>
                <w:noProof/>
                <w:webHidden/>
              </w:rPr>
              <w:fldChar w:fldCharType="begin"/>
            </w:r>
            <w:r w:rsidR="009C3E34">
              <w:rPr>
                <w:noProof/>
                <w:webHidden/>
              </w:rPr>
              <w:instrText xml:space="preserve"> PAGEREF _Toc175068523 \h </w:instrText>
            </w:r>
            <w:r w:rsidR="009C3E34">
              <w:rPr>
                <w:noProof/>
                <w:webHidden/>
              </w:rPr>
            </w:r>
            <w:r w:rsidR="009C3E34">
              <w:rPr>
                <w:noProof/>
                <w:webHidden/>
              </w:rPr>
              <w:fldChar w:fldCharType="separate"/>
            </w:r>
            <w:r w:rsidR="009C3E34">
              <w:rPr>
                <w:noProof/>
                <w:webHidden/>
              </w:rPr>
              <w:t>25</w:t>
            </w:r>
            <w:r w:rsidR="009C3E34">
              <w:rPr>
                <w:noProof/>
                <w:webHidden/>
              </w:rPr>
              <w:fldChar w:fldCharType="end"/>
            </w:r>
          </w:hyperlink>
        </w:p>
        <w:p w14:paraId="74965476" w14:textId="450C88EB" w:rsidR="009C3E34" w:rsidRDefault="00000000">
          <w:pPr>
            <w:pStyle w:val="TOC2"/>
            <w:tabs>
              <w:tab w:val="right" w:leader="dot" w:pos="9350"/>
            </w:tabs>
            <w:rPr>
              <w:rFonts w:eastAsiaTheme="minorEastAsia"/>
              <w:noProof/>
            </w:rPr>
          </w:pPr>
          <w:hyperlink w:anchor="_Toc175068524" w:history="1">
            <w:r w:rsidR="009C3E34" w:rsidRPr="00E119CC">
              <w:rPr>
                <w:rStyle w:val="Hyperlink"/>
                <w:rFonts w:ascii="Times New Roman" w:hAnsi="Times New Roman" w:cs="Times New Roman"/>
                <w:noProof/>
              </w:rPr>
              <w:t>Project A Payback Period Calculation</w:t>
            </w:r>
            <w:r w:rsidR="009C3E34" w:rsidRPr="00E119CC">
              <w:rPr>
                <w:rStyle w:val="Hyperlink"/>
                <w:noProof/>
              </w:rPr>
              <w:t>:</w:t>
            </w:r>
            <w:r w:rsidR="009C3E34">
              <w:rPr>
                <w:noProof/>
                <w:webHidden/>
              </w:rPr>
              <w:tab/>
            </w:r>
            <w:r w:rsidR="009C3E34">
              <w:rPr>
                <w:noProof/>
                <w:webHidden/>
              </w:rPr>
              <w:fldChar w:fldCharType="begin"/>
            </w:r>
            <w:r w:rsidR="009C3E34">
              <w:rPr>
                <w:noProof/>
                <w:webHidden/>
              </w:rPr>
              <w:instrText xml:space="preserve"> PAGEREF _Toc175068524 \h </w:instrText>
            </w:r>
            <w:r w:rsidR="009C3E34">
              <w:rPr>
                <w:noProof/>
                <w:webHidden/>
              </w:rPr>
            </w:r>
            <w:r w:rsidR="009C3E34">
              <w:rPr>
                <w:noProof/>
                <w:webHidden/>
              </w:rPr>
              <w:fldChar w:fldCharType="separate"/>
            </w:r>
            <w:r w:rsidR="009C3E34">
              <w:rPr>
                <w:noProof/>
                <w:webHidden/>
              </w:rPr>
              <w:t>26</w:t>
            </w:r>
            <w:r w:rsidR="009C3E34">
              <w:rPr>
                <w:noProof/>
                <w:webHidden/>
              </w:rPr>
              <w:fldChar w:fldCharType="end"/>
            </w:r>
          </w:hyperlink>
        </w:p>
        <w:p w14:paraId="46333791" w14:textId="24EDBF09" w:rsidR="009C3E34" w:rsidRDefault="00000000">
          <w:pPr>
            <w:pStyle w:val="TOC2"/>
            <w:tabs>
              <w:tab w:val="right" w:leader="dot" w:pos="9350"/>
            </w:tabs>
            <w:rPr>
              <w:rFonts w:eastAsiaTheme="minorEastAsia"/>
              <w:noProof/>
            </w:rPr>
          </w:pPr>
          <w:hyperlink w:anchor="_Toc175068525" w:history="1">
            <w:r w:rsidR="009C3E34" w:rsidRPr="00E119CC">
              <w:rPr>
                <w:rStyle w:val="Hyperlink"/>
                <w:rFonts w:ascii="Times New Roman" w:hAnsi="Times New Roman" w:cs="Times New Roman"/>
                <w:noProof/>
              </w:rPr>
              <w:t>Project B Payback Period Calculation:</w:t>
            </w:r>
            <w:r w:rsidR="009C3E34">
              <w:rPr>
                <w:noProof/>
                <w:webHidden/>
              </w:rPr>
              <w:tab/>
            </w:r>
            <w:r w:rsidR="009C3E34">
              <w:rPr>
                <w:noProof/>
                <w:webHidden/>
              </w:rPr>
              <w:fldChar w:fldCharType="begin"/>
            </w:r>
            <w:r w:rsidR="009C3E34">
              <w:rPr>
                <w:noProof/>
                <w:webHidden/>
              </w:rPr>
              <w:instrText xml:space="preserve"> PAGEREF _Toc175068525 \h </w:instrText>
            </w:r>
            <w:r w:rsidR="009C3E34">
              <w:rPr>
                <w:noProof/>
                <w:webHidden/>
              </w:rPr>
            </w:r>
            <w:r w:rsidR="009C3E34">
              <w:rPr>
                <w:noProof/>
                <w:webHidden/>
              </w:rPr>
              <w:fldChar w:fldCharType="separate"/>
            </w:r>
            <w:r w:rsidR="009C3E34">
              <w:rPr>
                <w:noProof/>
                <w:webHidden/>
              </w:rPr>
              <w:t>26</w:t>
            </w:r>
            <w:r w:rsidR="009C3E34">
              <w:rPr>
                <w:noProof/>
                <w:webHidden/>
              </w:rPr>
              <w:fldChar w:fldCharType="end"/>
            </w:r>
          </w:hyperlink>
        </w:p>
        <w:p w14:paraId="35E78387" w14:textId="24FF8BA1" w:rsidR="009C3E34" w:rsidRDefault="00000000">
          <w:pPr>
            <w:pStyle w:val="TOC2"/>
            <w:tabs>
              <w:tab w:val="right" w:leader="dot" w:pos="9350"/>
            </w:tabs>
            <w:rPr>
              <w:rFonts w:eastAsiaTheme="minorEastAsia"/>
              <w:noProof/>
            </w:rPr>
          </w:pPr>
          <w:hyperlink w:anchor="_Toc175068526" w:history="1">
            <w:r w:rsidR="009C3E34" w:rsidRPr="00E119CC">
              <w:rPr>
                <w:rStyle w:val="Hyperlink"/>
                <w:rFonts w:ascii="Times New Roman" w:hAnsi="Times New Roman" w:cs="Times New Roman"/>
                <w:noProof/>
              </w:rPr>
              <w:t>Summary of Payback Periods:</w:t>
            </w:r>
            <w:r w:rsidR="009C3E34">
              <w:rPr>
                <w:noProof/>
                <w:webHidden/>
              </w:rPr>
              <w:tab/>
            </w:r>
            <w:r w:rsidR="009C3E34">
              <w:rPr>
                <w:noProof/>
                <w:webHidden/>
              </w:rPr>
              <w:fldChar w:fldCharType="begin"/>
            </w:r>
            <w:r w:rsidR="009C3E34">
              <w:rPr>
                <w:noProof/>
                <w:webHidden/>
              </w:rPr>
              <w:instrText xml:space="preserve"> PAGEREF _Toc175068526 \h </w:instrText>
            </w:r>
            <w:r w:rsidR="009C3E34">
              <w:rPr>
                <w:noProof/>
                <w:webHidden/>
              </w:rPr>
            </w:r>
            <w:r w:rsidR="009C3E34">
              <w:rPr>
                <w:noProof/>
                <w:webHidden/>
              </w:rPr>
              <w:fldChar w:fldCharType="separate"/>
            </w:r>
            <w:r w:rsidR="009C3E34">
              <w:rPr>
                <w:noProof/>
                <w:webHidden/>
              </w:rPr>
              <w:t>27</w:t>
            </w:r>
            <w:r w:rsidR="009C3E34">
              <w:rPr>
                <w:noProof/>
                <w:webHidden/>
              </w:rPr>
              <w:fldChar w:fldCharType="end"/>
            </w:r>
          </w:hyperlink>
        </w:p>
        <w:p w14:paraId="0DADA152" w14:textId="427260C1" w:rsidR="009C3E34" w:rsidRDefault="00000000">
          <w:pPr>
            <w:pStyle w:val="TOC2"/>
            <w:tabs>
              <w:tab w:val="right" w:leader="dot" w:pos="9350"/>
            </w:tabs>
            <w:rPr>
              <w:rFonts w:eastAsiaTheme="minorEastAsia"/>
              <w:noProof/>
            </w:rPr>
          </w:pPr>
          <w:hyperlink w:anchor="_Toc175068527" w:history="1">
            <w:r w:rsidR="009C3E34" w:rsidRPr="00E119CC">
              <w:rPr>
                <w:rStyle w:val="Hyperlink"/>
                <w:rFonts w:ascii="Times New Roman" w:hAnsi="Times New Roman" w:cs="Times New Roman"/>
                <w:noProof/>
              </w:rPr>
              <w:t>Investment Decision</w:t>
            </w:r>
            <w:r w:rsidR="009C3E34">
              <w:rPr>
                <w:noProof/>
                <w:webHidden/>
              </w:rPr>
              <w:tab/>
            </w:r>
            <w:r w:rsidR="009C3E34">
              <w:rPr>
                <w:noProof/>
                <w:webHidden/>
              </w:rPr>
              <w:fldChar w:fldCharType="begin"/>
            </w:r>
            <w:r w:rsidR="009C3E34">
              <w:rPr>
                <w:noProof/>
                <w:webHidden/>
              </w:rPr>
              <w:instrText xml:space="preserve"> PAGEREF _Toc175068527 \h </w:instrText>
            </w:r>
            <w:r w:rsidR="009C3E34">
              <w:rPr>
                <w:noProof/>
                <w:webHidden/>
              </w:rPr>
            </w:r>
            <w:r w:rsidR="009C3E34">
              <w:rPr>
                <w:noProof/>
                <w:webHidden/>
              </w:rPr>
              <w:fldChar w:fldCharType="separate"/>
            </w:r>
            <w:r w:rsidR="009C3E34">
              <w:rPr>
                <w:noProof/>
                <w:webHidden/>
              </w:rPr>
              <w:t>27</w:t>
            </w:r>
            <w:r w:rsidR="009C3E34">
              <w:rPr>
                <w:noProof/>
                <w:webHidden/>
              </w:rPr>
              <w:fldChar w:fldCharType="end"/>
            </w:r>
          </w:hyperlink>
        </w:p>
        <w:p w14:paraId="59128102" w14:textId="7C39A886" w:rsidR="009C3E34" w:rsidRDefault="00000000">
          <w:pPr>
            <w:pStyle w:val="TOC1"/>
            <w:tabs>
              <w:tab w:val="right" w:leader="dot" w:pos="9350"/>
            </w:tabs>
            <w:rPr>
              <w:rFonts w:eastAsiaTheme="minorEastAsia"/>
              <w:noProof/>
            </w:rPr>
          </w:pPr>
          <w:hyperlink w:anchor="_Toc175068528" w:history="1">
            <w:r w:rsidR="009C3E34" w:rsidRPr="00E119CC">
              <w:rPr>
                <w:rStyle w:val="Hyperlink"/>
                <w:rFonts w:ascii="Times New Roman" w:hAnsi="Times New Roman" w:cs="Times New Roman"/>
                <w:noProof/>
              </w:rPr>
              <w:t>Conclusion</w:t>
            </w:r>
            <w:r w:rsidR="009C3E34">
              <w:rPr>
                <w:noProof/>
                <w:webHidden/>
              </w:rPr>
              <w:tab/>
            </w:r>
            <w:r w:rsidR="009C3E34">
              <w:rPr>
                <w:noProof/>
                <w:webHidden/>
              </w:rPr>
              <w:fldChar w:fldCharType="begin"/>
            </w:r>
            <w:r w:rsidR="009C3E34">
              <w:rPr>
                <w:noProof/>
                <w:webHidden/>
              </w:rPr>
              <w:instrText xml:space="preserve"> PAGEREF _Toc175068528 \h </w:instrText>
            </w:r>
            <w:r w:rsidR="009C3E34">
              <w:rPr>
                <w:noProof/>
                <w:webHidden/>
              </w:rPr>
            </w:r>
            <w:r w:rsidR="009C3E34">
              <w:rPr>
                <w:noProof/>
                <w:webHidden/>
              </w:rPr>
              <w:fldChar w:fldCharType="separate"/>
            </w:r>
            <w:r w:rsidR="009C3E34">
              <w:rPr>
                <w:noProof/>
                <w:webHidden/>
              </w:rPr>
              <w:t>28</w:t>
            </w:r>
            <w:r w:rsidR="009C3E34">
              <w:rPr>
                <w:noProof/>
                <w:webHidden/>
              </w:rPr>
              <w:fldChar w:fldCharType="end"/>
            </w:r>
          </w:hyperlink>
        </w:p>
        <w:p w14:paraId="35EC08BD" w14:textId="0245F689" w:rsidR="009C3E34" w:rsidRDefault="00000000">
          <w:pPr>
            <w:pStyle w:val="TOC1"/>
            <w:tabs>
              <w:tab w:val="right" w:leader="dot" w:pos="9350"/>
            </w:tabs>
            <w:rPr>
              <w:rFonts w:eastAsiaTheme="minorEastAsia"/>
              <w:noProof/>
            </w:rPr>
          </w:pPr>
          <w:hyperlink w:anchor="_Toc175068529" w:history="1">
            <w:r w:rsidR="009C3E34" w:rsidRPr="00E119CC">
              <w:rPr>
                <w:rStyle w:val="Hyperlink"/>
                <w:rFonts w:ascii="Times New Roman" w:hAnsi="Times New Roman" w:cs="Times New Roman"/>
                <w:noProof/>
              </w:rPr>
              <w:t>Reference list</w:t>
            </w:r>
            <w:r w:rsidR="009C3E34">
              <w:rPr>
                <w:noProof/>
                <w:webHidden/>
              </w:rPr>
              <w:tab/>
            </w:r>
            <w:r w:rsidR="009C3E34">
              <w:rPr>
                <w:noProof/>
                <w:webHidden/>
              </w:rPr>
              <w:fldChar w:fldCharType="begin"/>
            </w:r>
            <w:r w:rsidR="009C3E34">
              <w:rPr>
                <w:noProof/>
                <w:webHidden/>
              </w:rPr>
              <w:instrText xml:space="preserve"> PAGEREF _Toc175068529 \h </w:instrText>
            </w:r>
            <w:r w:rsidR="009C3E34">
              <w:rPr>
                <w:noProof/>
                <w:webHidden/>
              </w:rPr>
            </w:r>
            <w:r w:rsidR="009C3E34">
              <w:rPr>
                <w:noProof/>
                <w:webHidden/>
              </w:rPr>
              <w:fldChar w:fldCharType="separate"/>
            </w:r>
            <w:r w:rsidR="009C3E34">
              <w:rPr>
                <w:noProof/>
                <w:webHidden/>
              </w:rPr>
              <w:t>30</w:t>
            </w:r>
            <w:r w:rsidR="009C3E34">
              <w:rPr>
                <w:noProof/>
                <w:webHidden/>
              </w:rPr>
              <w:fldChar w:fldCharType="end"/>
            </w:r>
          </w:hyperlink>
        </w:p>
        <w:p w14:paraId="3B17FA6D" w14:textId="3B857008" w:rsidR="009C3E34" w:rsidRDefault="00000000">
          <w:pPr>
            <w:pStyle w:val="TOC1"/>
            <w:tabs>
              <w:tab w:val="right" w:leader="dot" w:pos="9350"/>
            </w:tabs>
            <w:rPr>
              <w:rFonts w:eastAsiaTheme="minorEastAsia"/>
              <w:noProof/>
            </w:rPr>
          </w:pPr>
          <w:hyperlink w:anchor="_Toc175068530" w:history="1">
            <w:r w:rsidR="009C3E34" w:rsidRPr="00E119CC">
              <w:rPr>
                <w:rStyle w:val="Hyperlink"/>
                <w:rFonts w:ascii="Times New Roman" w:hAnsi="Times New Roman" w:cs="Times New Roman"/>
                <w:noProof/>
              </w:rPr>
              <w:t>Appendix</w:t>
            </w:r>
            <w:r w:rsidR="009C3E34">
              <w:rPr>
                <w:noProof/>
                <w:webHidden/>
              </w:rPr>
              <w:tab/>
            </w:r>
            <w:r w:rsidR="009C3E34">
              <w:rPr>
                <w:noProof/>
                <w:webHidden/>
              </w:rPr>
              <w:fldChar w:fldCharType="begin"/>
            </w:r>
            <w:r w:rsidR="009C3E34">
              <w:rPr>
                <w:noProof/>
                <w:webHidden/>
              </w:rPr>
              <w:instrText xml:space="preserve"> PAGEREF _Toc175068530 \h </w:instrText>
            </w:r>
            <w:r w:rsidR="009C3E34">
              <w:rPr>
                <w:noProof/>
                <w:webHidden/>
              </w:rPr>
            </w:r>
            <w:r w:rsidR="009C3E34">
              <w:rPr>
                <w:noProof/>
                <w:webHidden/>
              </w:rPr>
              <w:fldChar w:fldCharType="separate"/>
            </w:r>
            <w:r w:rsidR="009C3E34">
              <w:rPr>
                <w:noProof/>
                <w:webHidden/>
              </w:rPr>
              <w:t>32</w:t>
            </w:r>
            <w:r w:rsidR="009C3E34">
              <w:rPr>
                <w:noProof/>
                <w:webHidden/>
              </w:rPr>
              <w:fldChar w:fldCharType="end"/>
            </w:r>
          </w:hyperlink>
        </w:p>
        <w:p w14:paraId="4632C707" w14:textId="21EEF12E" w:rsidR="00CF72FA" w:rsidRPr="007A2028" w:rsidRDefault="00CF72FA">
          <w:pPr>
            <w:rPr>
              <w:sz w:val="28"/>
              <w:szCs w:val="28"/>
            </w:rPr>
          </w:pPr>
          <w:r w:rsidRPr="007A2028">
            <w:rPr>
              <w:rFonts w:ascii="Times New Roman" w:hAnsi="Times New Roman" w:cs="Times New Roman"/>
              <w:b/>
              <w:bCs/>
              <w:noProof/>
              <w:sz w:val="28"/>
              <w:szCs w:val="28"/>
            </w:rPr>
            <w:fldChar w:fldCharType="end"/>
          </w:r>
        </w:p>
      </w:sdtContent>
    </w:sdt>
    <w:p w14:paraId="250A1EF4" w14:textId="77777777" w:rsidR="00CF72FA" w:rsidRPr="007A2028" w:rsidRDefault="00CF72FA" w:rsidP="00DC4E66">
      <w:pPr>
        <w:spacing w:line="360" w:lineRule="auto"/>
        <w:jc w:val="both"/>
        <w:rPr>
          <w:rFonts w:ascii="Times New Roman" w:hAnsi="Times New Roman" w:cs="Times New Roman"/>
          <w:sz w:val="28"/>
          <w:szCs w:val="28"/>
        </w:rPr>
      </w:pPr>
    </w:p>
    <w:p w14:paraId="10522E17" w14:textId="77777777" w:rsidR="009F657C" w:rsidRDefault="009F657C" w:rsidP="00DC4E66">
      <w:pPr>
        <w:spacing w:line="360" w:lineRule="auto"/>
        <w:jc w:val="both"/>
        <w:rPr>
          <w:rFonts w:ascii="Times New Roman" w:hAnsi="Times New Roman" w:cs="Times New Roman"/>
          <w:sz w:val="24"/>
          <w:szCs w:val="24"/>
        </w:rPr>
      </w:pPr>
    </w:p>
    <w:p w14:paraId="3BBEEBB7" w14:textId="77777777" w:rsidR="009F657C" w:rsidRDefault="009F657C" w:rsidP="00DC4E66">
      <w:pPr>
        <w:spacing w:line="360" w:lineRule="auto"/>
        <w:jc w:val="both"/>
        <w:rPr>
          <w:rFonts w:ascii="Times New Roman" w:hAnsi="Times New Roman" w:cs="Times New Roman"/>
          <w:sz w:val="24"/>
          <w:szCs w:val="24"/>
        </w:rPr>
      </w:pPr>
    </w:p>
    <w:p w14:paraId="2665B0A3" w14:textId="77777777" w:rsidR="009F657C" w:rsidRDefault="009F657C" w:rsidP="00DC4E66">
      <w:pPr>
        <w:spacing w:line="360" w:lineRule="auto"/>
        <w:jc w:val="both"/>
        <w:rPr>
          <w:rFonts w:ascii="Times New Roman" w:hAnsi="Times New Roman" w:cs="Times New Roman"/>
          <w:sz w:val="24"/>
          <w:szCs w:val="24"/>
        </w:rPr>
      </w:pPr>
    </w:p>
    <w:p w14:paraId="263618EF" w14:textId="77777777" w:rsidR="009F657C" w:rsidRDefault="009F657C" w:rsidP="00DC4E66">
      <w:pPr>
        <w:spacing w:line="360" w:lineRule="auto"/>
        <w:jc w:val="both"/>
        <w:rPr>
          <w:rFonts w:ascii="Times New Roman" w:hAnsi="Times New Roman" w:cs="Times New Roman"/>
          <w:sz w:val="24"/>
          <w:szCs w:val="24"/>
        </w:rPr>
      </w:pPr>
    </w:p>
    <w:p w14:paraId="046759C0" w14:textId="77777777" w:rsidR="009F657C" w:rsidRDefault="009F657C" w:rsidP="00DC4E66">
      <w:pPr>
        <w:spacing w:line="360" w:lineRule="auto"/>
        <w:jc w:val="both"/>
        <w:rPr>
          <w:rFonts w:ascii="Times New Roman" w:hAnsi="Times New Roman" w:cs="Times New Roman"/>
          <w:sz w:val="24"/>
          <w:szCs w:val="24"/>
        </w:rPr>
      </w:pPr>
    </w:p>
    <w:p w14:paraId="0BEAD4D3" w14:textId="77777777" w:rsidR="009F657C" w:rsidRDefault="009F657C" w:rsidP="00DC4E66">
      <w:pPr>
        <w:spacing w:line="360" w:lineRule="auto"/>
        <w:jc w:val="both"/>
        <w:rPr>
          <w:rFonts w:ascii="Times New Roman" w:hAnsi="Times New Roman" w:cs="Times New Roman"/>
          <w:sz w:val="24"/>
          <w:szCs w:val="24"/>
        </w:rPr>
      </w:pPr>
    </w:p>
    <w:p w14:paraId="4AF34D5C" w14:textId="77777777" w:rsidR="009F657C" w:rsidRDefault="009F657C" w:rsidP="00DC4E66">
      <w:pPr>
        <w:spacing w:line="360" w:lineRule="auto"/>
        <w:jc w:val="both"/>
        <w:rPr>
          <w:rFonts w:ascii="Times New Roman" w:hAnsi="Times New Roman" w:cs="Times New Roman"/>
          <w:sz w:val="24"/>
          <w:szCs w:val="24"/>
        </w:rPr>
      </w:pPr>
    </w:p>
    <w:p w14:paraId="72EBB0CA" w14:textId="77777777" w:rsidR="009F657C" w:rsidRDefault="009F657C" w:rsidP="00DC4E66">
      <w:pPr>
        <w:spacing w:line="360" w:lineRule="auto"/>
        <w:jc w:val="both"/>
        <w:rPr>
          <w:rFonts w:ascii="Times New Roman" w:hAnsi="Times New Roman" w:cs="Times New Roman"/>
          <w:sz w:val="24"/>
          <w:szCs w:val="24"/>
        </w:rPr>
      </w:pPr>
    </w:p>
    <w:p w14:paraId="56EA2493" w14:textId="77777777" w:rsidR="009F657C" w:rsidRDefault="009F657C" w:rsidP="00DC4E66">
      <w:pPr>
        <w:spacing w:line="360" w:lineRule="auto"/>
        <w:jc w:val="both"/>
        <w:rPr>
          <w:rFonts w:ascii="Times New Roman" w:hAnsi="Times New Roman" w:cs="Times New Roman"/>
          <w:sz w:val="24"/>
          <w:szCs w:val="24"/>
        </w:rPr>
      </w:pPr>
    </w:p>
    <w:p w14:paraId="6F8A0A85" w14:textId="77777777" w:rsidR="009F657C" w:rsidRDefault="009F657C" w:rsidP="00DC4E66">
      <w:pPr>
        <w:spacing w:line="360" w:lineRule="auto"/>
        <w:jc w:val="both"/>
        <w:rPr>
          <w:rFonts w:ascii="Times New Roman" w:hAnsi="Times New Roman" w:cs="Times New Roman"/>
          <w:sz w:val="24"/>
          <w:szCs w:val="24"/>
        </w:rPr>
      </w:pPr>
    </w:p>
    <w:p w14:paraId="1DC27878" w14:textId="77777777" w:rsidR="009F657C" w:rsidRDefault="009F657C" w:rsidP="00DC4E66">
      <w:pPr>
        <w:spacing w:line="360" w:lineRule="auto"/>
        <w:jc w:val="both"/>
        <w:rPr>
          <w:rFonts w:ascii="Times New Roman" w:hAnsi="Times New Roman" w:cs="Times New Roman"/>
          <w:sz w:val="24"/>
          <w:szCs w:val="24"/>
        </w:rPr>
      </w:pPr>
    </w:p>
    <w:p w14:paraId="2E137967" w14:textId="77777777" w:rsidR="00DC4E66" w:rsidRPr="00CF72FA" w:rsidRDefault="00DC4E66" w:rsidP="00DC4E66">
      <w:pPr>
        <w:spacing w:line="360" w:lineRule="auto"/>
        <w:jc w:val="both"/>
        <w:rPr>
          <w:rFonts w:ascii="Times New Roman" w:hAnsi="Times New Roman" w:cs="Times New Roman"/>
          <w:sz w:val="24"/>
          <w:szCs w:val="24"/>
        </w:rPr>
      </w:pPr>
    </w:p>
    <w:p w14:paraId="3C253C62" w14:textId="77777777" w:rsidR="00DC4E66" w:rsidRPr="00CF72FA" w:rsidRDefault="00DC4E66" w:rsidP="00DC4E66">
      <w:pPr>
        <w:pStyle w:val="Heading1"/>
        <w:rPr>
          <w:rFonts w:ascii="Times New Roman" w:hAnsi="Times New Roman" w:cs="Times New Roman"/>
        </w:rPr>
      </w:pPr>
      <w:bookmarkStart w:id="2" w:name="_Toc175068487"/>
      <w:r w:rsidRPr="00CF72FA">
        <w:rPr>
          <w:rFonts w:ascii="Times New Roman" w:hAnsi="Times New Roman" w:cs="Times New Roman"/>
        </w:rPr>
        <w:lastRenderedPageBreak/>
        <w:t>Part A). Introduction</w:t>
      </w:r>
      <w:bookmarkEnd w:id="2"/>
    </w:p>
    <w:p w14:paraId="7B8A5EE1" w14:textId="7F82B54F" w:rsidR="00311484" w:rsidRPr="00311484" w:rsidRDefault="00311484" w:rsidP="00311484">
      <w:pPr>
        <w:spacing w:line="360" w:lineRule="auto"/>
        <w:jc w:val="both"/>
        <w:rPr>
          <w:rFonts w:ascii="Times New Roman" w:hAnsi="Times New Roman" w:cs="Times New Roman"/>
          <w:sz w:val="24"/>
          <w:szCs w:val="24"/>
        </w:rPr>
      </w:pPr>
      <w:r w:rsidRPr="00311484">
        <w:rPr>
          <w:rFonts w:ascii="Times New Roman" w:hAnsi="Times New Roman" w:cs="Times New Roman"/>
          <w:sz w:val="24"/>
          <w:szCs w:val="24"/>
        </w:rPr>
        <w:t xml:space="preserve">British multinational retail company, Kingfisher plc. based in London - Operating home improvements industry. Founded in 1982 as one of three divisions of Woolworth Holdings, Euromaster has developed into the largest supplier for home improvement and bath products retailer across Europe. The business in which Kingfisher operates is defined as a number of different retail banners (e.g., B&amp;Q, Castorama, Brico Dépôt and Screwfix), each with its own distinct customer proposition selling to their customers across various markets. The brands provide both DIY enthusiasts and professional tradespeople with everything from tools, gardening supplies, building materials to home decoration </w:t>
      </w:r>
      <w:r w:rsidR="000E198C" w:rsidRPr="00311484">
        <w:rPr>
          <w:rFonts w:ascii="Times New Roman" w:hAnsi="Times New Roman" w:cs="Times New Roman"/>
          <w:sz w:val="24"/>
          <w:szCs w:val="24"/>
        </w:rPr>
        <w:t>items</w:t>
      </w:r>
      <w:r w:rsidR="000E198C">
        <w:rPr>
          <w:rFonts w:ascii="Times New Roman" w:hAnsi="Times New Roman" w:cs="Times New Roman"/>
          <w:sz w:val="24"/>
          <w:szCs w:val="24"/>
        </w:rPr>
        <w:t xml:space="preserve"> (Silva, F.M.D.D., 2020)</w:t>
      </w:r>
      <w:r w:rsidRPr="00311484">
        <w:rPr>
          <w:rFonts w:ascii="Times New Roman" w:hAnsi="Times New Roman" w:cs="Times New Roman"/>
          <w:sz w:val="24"/>
          <w:szCs w:val="24"/>
        </w:rPr>
        <w:t>.</w:t>
      </w:r>
    </w:p>
    <w:p w14:paraId="0666D16E" w14:textId="3BDD7447" w:rsidR="00311484" w:rsidRPr="00311484" w:rsidRDefault="00311484" w:rsidP="00311484">
      <w:pPr>
        <w:spacing w:line="360" w:lineRule="auto"/>
        <w:jc w:val="both"/>
        <w:rPr>
          <w:rFonts w:ascii="Times New Roman" w:hAnsi="Times New Roman" w:cs="Times New Roman"/>
          <w:sz w:val="24"/>
          <w:szCs w:val="24"/>
        </w:rPr>
      </w:pPr>
      <w:r w:rsidRPr="00311484">
        <w:rPr>
          <w:rFonts w:ascii="Times New Roman" w:hAnsi="Times New Roman" w:cs="Times New Roman"/>
          <w:sz w:val="24"/>
          <w:szCs w:val="24"/>
        </w:rPr>
        <w:t>Its market coverage spreads across UK, Ireland France Poland Spain and other countries in Europe thus becoming a dominant player In European home improvement space. Kingfisher has competition on many fronts, from companies like Homebase and Wickes in the UK to home improvement behemoths such as Home Depot and Lowe's worldwide -- particularly throughout Europe where these two are now spreading their wings</w:t>
      </w:r>
      <w:r w:rsidR="000E198C">
        <w:rPr>
          <w:rFonts w:ascii="Times New Roman" w:hAnsi="Times New Roman" w:cs="Times New Roman"/>
          <w:sz w:val="24"/>
          <w:szCs w:val="24"/>
        </w:rPr>
        <w:t xml:space="preserve"> (Song, X., 2023)</w:t>
      </w:r>
      <w:r w:rsidRPr="00311484">
        <w:rPr>
          <w:rFonts w:ascii="Times New Roman" w:hAnsi="Times New Roman" w:cs="Times New Roman"/>
          <w:sz w:val="24"/>
          <w:szCs w:val="24"/>
        </w:rPr>
        <w:t>.</w:t>
      </w:r>
    </w:p>
    <w:p w14:paraId="317D2DD2" w14:textId="05149394" w:rsidR="00311484" w:rsidRPr="00311484" w:rsidRDefault="00311484" w:rsidP="00311484">
      <w:pPr>
        <w:spacing w:line="360" w:lineRule="auto"/>
        <w:jc w:val="both"/>
        <w:rPr>
          <w:rFonts w:ascii="Times New Roman" w:hAnsi="Times New Roman" w:cs="Times New Roman"/>
          <w:sz w:val="24"/>
          <w:szCs w:val="24"/>
        </w:rPr>
      </w:pPr>
      <w:r w:rsidRPr="00311484">
        <w:rPr>
          <w:rFonts w:ascii="Times New Roman" w:hAnsi="Times New Roman" w:cs="Times New Roman"/>
          <w:sz w:val="24"/>
          <w:szCs w:val="24"/>
        </w:rPr>
        <w:t xml:space="preserve">Kingfisher has been through quite a few major business and performance milestones in the last five years. A flagship event was the appointment of Thierry Garnier as CEO in September 2019. Garnier, who had joined the firm with considerable retail experience from his stints at Carrefour and Tsao Economie Conseil Malcia Besson Consulting was to lead a top-to-bottom strategic rethink designed to revive the company's fortunes. A new strategic plan was implemented which </w:t>
      </w:r>
      <w:r w:rsidR="00346AF3" w:rsidRPr="00311484">
        <w:rPr>
          <w:rFonts w:ascii="Times New Roman" w:hAnsi="Times New Roman" w:cs="Times New Roman"/>
          <w:sz w:val="24"/>
          <w:szCs w:val="24"/>
        </w:rPr>
        <w:t>focused</w:t>
      </w:r>
      <w:r w:rsidRPr="00311484">
        <w:rPr>
          <w:rFonts w:ascii="Times New Roman" w:hAnsi="Times New Roman" w:cs="Times New Roman"/>
          <w:sz w:val="24"/>
          <w:szCs w:val="24"/>
        </w:rPr>
        <w:t xml:space="preserve"> of simplifying the business, strengthening e-commerce capabilities and improving costs</w:t>
      </w:r>
      <w:r w:rsidR="000E198C">
        <w:rPr>
          <w:rFonts w:ascii="Times New Roman" w:hAnsi="Times New Roman" w:cs="Times New Roman"/>
          <w:sz w:val="24"/>
          <w:szCs w:val="24"/>
        </w:rPr>
        <w:t xml:space="preserve"> (Da Silva, F.M.D., 2020)</w:t>
      </w:r>
      <w:r w:rsidRPr="00311484">
        <w:rPr>
          <w:rFonts w:ascii="Times New Roman" w:hAnsi="Times New Roman" w:cs="Times New Roman"/>
          <w:sz w:val="24"/>
          <w:szCs w:val="24"/>
        </w:rPr>
        <w:t>.</w:t>
      </w:r>
    </w:p>
    <w:p w14:paraId="2A53A85B" w14:textId="43093DA3" w:rsidR="00311484" w:rsidRPr="00311484" w:rsidRDefault="00311484" w:rsidP="00311484">
      <w:pPr>
        <w:spacing w:line="360" w:lineRule="auto"/>
        <w:jc w:val="both"/>
        <w:rPr>
          <w:rFonts w:ascii="Times New Roman" w:hAnsi="Times New Roman" w:cs="Times New Roman"/>
          <w:sz w:val="24"/>
          <w:szCs w:val="24"/>
        </w:rPr>
      </w:pPr>
      <w:r w:rsidRPr="00311484">
        <w:rPr>
          <w:rFonts w:ascii="Times New Roman" w:hAnsi="Times New Roman" w:cs="Times New Roman"/>
          <w:sz w:val="24"/>
          <w:szCs w:val="24"/>
        </w:rPr>
        <w:t>Kingfisher was hit hard by the COVID-19 pandemic in 2020, initially offsetting store closures before a wave of demand for home improvement goods as lockdowns spurred investments between individuals. During the period there was a greater move to online, which forced Kingfisher into strengthening its digital capability and expanding click-and-collect services. The home improvement boom that the pandemic brought on helped drive up sales and profits during this period for Stanley Black &amp; Decker</w:t>
      </w:r>
      <w:r w:rsidR="000E198C">
        <w:rPr>
          <w:rFonts w:ascii="Times New Roman" w:hAnsi="Times New Roman" w:cs="Times New Roman"/>
          <w:sz w:val="24"/>
          <w:szCs w:val="24"/>
        </w:rPr>
        <w:t xml:space="preserve"> (Abas, H., Kawatu, F.S. and Kewo, C.L., 2020)</w:t>
      </w:r>
      <w:r w:rsidRPr="00311484">
        <w:rPr>
          <w:rFonts w:ascii="Times New Roman" w:hAnsi="Times New Roman" w:cs="Times New Roman"/>
          <w:sz w:val="24"/>
          <w:szCs w:val="24"/>
        </w:rPr>
        <w:t>.</w:t>
      </w:r>
    </w:p>
    <w:p w14:paraId="666E8771" w14:textId="3FA4A147" w:rsidR="00311484" w:rsidRPr="00311484" w:rsidRDefault="00311484" w:rsidP="00311484">
      <w:pPr>
        <w:spacing w:line="360" w:lineRule="auto"/>
        <w:jc w:val="both"/>
        <w:rPr>
          <w:rFonts w:ascii="Times New Roman" w:hAnsi="Times New Roman" w:cs="Times New Roman"/>
          <w:sz w:val="24"/>
          <w:szCs w:val="24"/>
        </w:rPr>
      </w:pPr>
      <w:r w:rsidRPr="00311484">
        <w:rPr>
          <w:rFonts w:ascii="Times New Roman" w:hAnsi="Times New Roman" w:cs="Times New Roman"/>
          <w:sz w:val="24"/>
          <w:szCs w:val="24"/>
        </w:rPr>
        <w:t xml:space="preserve">In 2020, a significant strategic move was the divestment of both Russia and Iberia operations from its portfolio. The sales were part of a larger effort to slim down the business and hone in on its "strategic core markets." Kingfisher also said it would shut more underperforming stores, mostly </w:t>
      </w:r>
      <w:r w:rsidRPr="00311484">
        <w:rPr>
          <w:rFonts w:ascii="Times New Roman" w:hAnsi="Times New Roman" w:cs="Times New Roman"/>
          <w:sz w:val="24"/>
          <w:szCs w:val="24"/>
        </w:rPr>
        <w:lastRenderedPageBreak/>
        <w:t>in France as a part of its overall bid to improve profitability and operational efficiency</w:t>
      </w:r>
      <w:r w:rsidR="0089573D">
        <w:rPr>
          <w:rFonts w:ascii="Times New Roman" w:hAnsi="Times New Roman" w:cs="Times New Roman"/>
          <w:sz w:val="24"/>
          <w:szCs w:val="24"/>
        </w:rPr>
        <w:t xml:space="preserve"> (Maxwell, D., 2017).</w:t>
      </w:r>
    </w:p>
    <w:p w14:paraId="394EF8D5" w14:textId="73E8D9FC" w:rsidR="00311484" w:rsidRPr="00311484" w:rsidRDefault="00311484" w:rsidP="00311484">
      <w:pPr>
        <w:spacing w:line="360" w:lineRule="auto"/>
        <w:jc w:val="both"/>
        <w:rPr>
          <w:rFonts w:ascii="Times New Roman" w:hAnsi="Times New Roman" w:cs="Times New Roman"/>
          <w:sz w:val="24"/>
          <w:szCs w:val="24"/>
        </w:rPr>
      </w:pPr>
      <w:r w:rsidRPr="00311484">
        <w:rPr>
          <w:rFonts w:ascii="Times New Roman" w:hAnsi="Times New Roman" w:cs="Times New Roman"/>
          <w:sz w:val="24"/>
          <w:szCs w:val="24"/>
        </w:rPr>
        <w:t xml:space="preserve">Kingfisher was also hit by supply chain disruptions and increasing raw materials costs, squeezing profit margins. While the company also benefited from proactive inventory management and certain strategic sourcing initiatives, partially offsetting these impacts pilgrim's pride president &amp; </w:t>
      </w:r>
      <w:r w:rsidR="00346AF3" w:rsidRPr="00311484">
        <w:rPr>
          <w:rFonts w:ascii="Times New Roman" w:hAnsi="Times New Roman" w:cs="Times New Roman"/>
          <w:sz w:val="24"/>
          <w:szCs w:val="24"/>
        </w:rPr>
        <w:t>CEO</w:t>
      </w:r>
      <w:r w:rsidRPr="00311484">
        <w:rPr>
          <w:rFonts w:ascii="Times New Roman" w:hAnsi="Times New Roman" w:cs="Times New Roman"/>
          <w:sz w:val="24"/>
          <w:szCs w:val="24"/>
        </w:rPr>
        <w:t xml:space="preserve"> jim slaughter said. In addition, Kingfisher's continued investment in sustainability and energy efficiency measures to reduce carbon emissions further supports a consumer trend towards sustainable consumption</w:t>
      </w:r>
      <w:r w:rsidR="00DD5B81">
        <w:rPr>
          <w:rFonts w:ascii="Times New Roman" w:hAnsi="Times New Roman" w:cs="Times New Roman"/>
          <w:sz w:val="24"/>
          <w:szCs w:val="24"/>
        </w:rPr>
        <w:t xml:space="preserve"> (Baldwin, C., 2020)</w:t>
      </w:r>
      <w:r w:rsidRPr="00311484">
        <w:rPr>
          <w:rFonts w:ascii="Times New Roman" w:hAnsi="Times New Roman" w:cs="Times New Roman"/>
          <w:sz w:val="24"/>
          <w:szCs w:val="24"/>
        </w:rPr>
        <w:t>.</w:t>
      </w:r>
    </w:p>
    <w:p w14:paraId="25ACC3BF" w14:textId="644D34A8" w:rsidR="00311484" w:rsidRPr="00311484" w:rsidRDefault="00311484" w:rsidP="00311484">
      <w:pPr>
        <w:spacing w:line="360" w:lineRule="auto"/>
        <w:jc w:val="both"/>
        <w:rPr>
          <w:rFonts w:ascii="Times New Roman" w:hAnsi="Times New Roman" w:cs="Times New Roman"/>
          <w:sz w:val="24"/>
          <w:szCs w:val="24"/>
        </w:rPr>
      </w:pPr>
      <w:r w:rsidRPr="00311484">
        <w:rPr>
          <w:rFonts w:ascii="Times New Roman" w:hAnsi="Times New Roman" w:cs="Times New Roman"/>
          <w:sz w:val="24"/>
          <w:szCs w:val="24"/>
        </w:rPr>
        <w:t xml:space="preserve">In last few years, Kingfisher completed some important acquisitions to strengthen its market and product portfolio. And in 2020, the purchase of </w:t>
      </w:r>
      <w:r w:rsidR="00346AF3" w:rsidRPr="00311484">
        <w:rPr>
          <w:rFonts w:ascii="Times New Roman" w:hAnsi="Times New Roman" w:cs="Times New Roman"/>
          <w:sz w:val="24"/>
          <w:szCs w:val="24"/>
        </w:rPr>
        <w:t>Need Help</w:t>
      </w:r>
      <w:r w:rsidRPr="00311484">
        <w:rPr>
          <w:rFonts w:ascii="Times New Roman" w:hAnsi="Times New Roman" w:cs="Times New Roman"/>
          <w:sz w:val="24"/>
          <w:szCs w:val="24"/>
        </w:rPr>
        <w:t>, a European online services marketplace for home improvement projects extended Kingfisher's service proposition allowing customers to book local tradespeople</w:t>
      </w:r>
      <w:r w:rsidR="00E40D3A">
        <w:rPr>
          <w:rFonts w:ascii="Times New Roman" w:hAnsi="Times New Roman" w:cs="Times New Roman"/>
          <w:sz w:val="24"/>
          <w:szCs w:val="24"/>
        </w:rPr>
        <w:t xml:space="preserve"> (Keay, A. and Iqbal, T., 2018.)</w:t>
      </w:r>
      <w:r w:rsidRPr="00311484">
        <w:rPr>
          <w:rFonts w:ascii="Times New Roman" w:hAnsi="Times New Roman" w:cs="Times New Roman"/>
          <w:sz w:val="24"/>
          <w:szCs w:val="24"/>
        </w:rPr>
        <w:t>.</w:t>
      </w:r>
    </w:p>
    <w:p w14:paraId="6FDE2AFC" w14:textId="6E6C856F" w:rsidR="00311484" w:rsidRDefault="00311484" w:rsidP="00DC4E66">
      <w:pPr>
        <w:spacing w:line="360" w:lineRule="auto"/>
        <w:jc w:val="both"/>
        <w:rPr>
          <w:rFonts w:ascii="Times New Roman" w:hAnsi="Times New Roman" w:cs="Times New Roman"/>
          <w:sz w:val="24"/>
          <w:szCs w:val="24"/>
        </w:rPr>
      </w:pPr>
      <w:r w:rsidRPr="00311484">
        <w:rPr>
          <w:rFonts w:ascii="Times New Roman" w:hAnsi="Times New Roman" w:cs="Times New Roman"/>
          <w:sz w:val="24"/>
          <w:szCs w:val="24"/>
        </w:rPr>
        <w:t>On the whole, Kingfisher has experienced several external market conditions in addition to some change in leadership and strategic initiatives which have impacted its performance: Digital transformation, operational efficiency and sustainability will probably remain the areas where we can expect changes at this major player of home improvement retail amid competitive breeze</w:t>
      </w:r>
      <w:r w:rsidR="00A24FBC">
        <w:rPr>
          <w:rFonts w:ascii="Times New Roman" w:hAnsi="Times New Roman" w:cs="Times New Roman"/>
          <w:sz w:val="24"/>
          <w:szCs w:val="24"/>
        </w:rPr>
        <w:t xml:space="preserve"> (Nariswari, T.N. and Nugraha, N.M., 2020).</w:t>
      </w:r>
    </w:p>
    <w:p w14:paraId="01C524DE" w14:textId="77777777" w:rsidR="00346AF3" w:rsidRDefault="00346AF3" w:rsidP="00DC4E66">
      <w:pPr>
        <w:spacing w:line="360" w:lineRule="auto"/>
        <w:jc w:val="both"/>
        <w:rPr>
          <w:rFonts w:ascii="Times New Roman" w:hAnsi="Times New Roman" w:cs="Times New Roman"/>
          <w:sz w:val="24"/>
          <w:szCs w:val="24"/>
        </w:rPr>
      </w:pPr>
    </w:p>
    <w:p w14:paraId="187C1E9B" w14:textId="77777777" w:rsidR="00346AF3" w:rsidRDefault="00346AF3" w:rsidP="00DC4E66">
      <w:pPr>
        <w:spacing w:line="360" w:lineRule="auto"/>
        <w:jc w:val="both"/>
        <w:rPr>
          <w:rFonts w:ascii="Times New Roman" w:hAnsi="Times New Roman" w:cs="Times New Roman"/>
          <w:sz w:val="24"/>
          <w:szCs w:val="24"/>
        </w:rPr>
      </w:pPr>
    </w:p>
    <w:p w14:paraId="57E13E70" w14:textId="77777777" w:rsidR="00346AF3" w:rsidRDefault="00346AF3" w:rsidP="00DC4E66">
      <w:pPr>
        <w:spacing w:line="360" w:lineRule="auto"/>
        <w:jc w:val="both"/>
        <w:rPr>
          <w:rFonts w:ascii="Times New Roman" w:hAnsi="Times New Roman" w:cs="Times New Roman"/>
          <w:sz w:val="24"/>
          <w:szCs w:val="24"/>
        </w:rPr>
      </w:pPr>
    </w:p>
    <w:p w14:paraId="5DD5A6E5" w14:textId="77777777" w:rsidR="00346AF3" w:rsidRDefault="00346AF3" w:rsidP="00DC4E66">
      <w:pPr>
        <w:spacing w:line="360" w:lineRule="auto"/>
        <w:jc w:val="both"/>
        <w:rPr>
          <w:rFonts w:ascii="Times New Roman" w:hAnsi="Times New Roman" w:cs="Times New Roman"/>
          <w:sz w:val="24"/>
          <w:szCs w:val="24"/>
        </w:rPr>
      </w:pPr>
    </w:p>
    <w:p w14:paraId="2060A0C0" w14:textId="77777777" w:rsidR="00346AF3" w:rsidRDefault="00346AF3" w:rsidP="00DC4E66">
      <w:pPr>
        <w:spacing w:line="360" w:lineRule="auto"/>
        <w:jc w:val="both"/>
        <w:rPr>
          <w:rFonts w:ascii="Times New Roman" w:hAnsi="Times New Roman" w:cs="Times New Roman"/>
          <w:sz w:val="24"/>
          <w:szCs w:val="24"/>
        </w:rPr>
      </w:pPr>
    </w:p>
    <w:p w14:paraId="609B8873" w14:textId="77777777" w:rsidR="00346AF3" w:rsidRDefault="00346AF3" w:rsidP="00DC4E66">
      <w:pPr>
        <w:spacing w:line="360" w:lineRule="auto"/>
        <w:jc w:val="both"/>
        <w:rPr>
          <w:rFonts w:ascii="Times New Roman" w:hAnsi="Times New Roman" w:cs="Times New Roman"/>
          <w:sz w:val="24"/>
          <w:szCs w:val="24"/>
        </w:rPr>
      </w:pPr>
    </w:p>
    <w:p w14:paraId="4245C0F0" w14:textId="77777777" w:rsidR="00346AF3" w:rsidRDefault="00346AF3" w:rsidP="00DC4E66">
      <w:pPr>
        <w:spacing w:line="360" w:lineRule="auto"/>
        <w:jc w:val="both"/>
        <w:rPr>
          <w:rFonts w:ascii="Times New Roman" w:hAnsi="Times New Roman" w:cs="Times New Roman"/>
          <w:sz w:val="24"/>
          <w:szCs w:val="24"/>
        </w:rPr>
      </w:pPr>
    </w:p>
    <w:p w14:paraId="217729AE" w14:textId="77777777" w:rsidR="00346AF3" w:rsidRDefault="00346AF3" w:rsidP="00DC4E66">
      <w:pPr>
        <w:spacing w:line="360" w:lineRule="auto"/>
        <w:jc w:val="both"/>
        <w:rPr>
          <w:rFonts w:ascii="Times New Roman" w:hAnsi="Times New Roman" w:cs="Times New Roman"/>
          <w:sz w:val="24"/>
          <w:szCs w:val="24"/>
        </w:rPr>
      </w:pPr>
    </w:p>
    <w:p w14:paraId="13B3D605" w14:textId="77777777" w:rsidR="00346AF3" w:rsidRPr="00CF72FA" w:rsidRDefault="00346AF3" w:rsidP="00DC4E66">
      <w:pPr>
        <w:spacing w:line="360" w:lineRule="auto"/>
        <w:jc w:val="both"/>
        <w:rPr>
          <w:rFonts w:ascii="Times New Roman" w:hAnsi="Times New Roman" w:cs="Times New Roman"/>
          <w:sz w:val="24"/>
          <w:szCs w:val="24"/>
        </w:rPr>
      </w:pPr>
    </w:p>
    <w:p w14:paraId="3923F305" w14:textId="77777777" w:rsidR="00DC4E66" w:rsidRPr="00CF72FA" w:rsidRDefault="00DC4E66" w:rsidP="00DC4E66">
      <w:pPr>
        <w:pStyle w:val="Heading1"/>
        <w:rPr>
          <w:rFonts w:ascii="Times New Roman" w:hAnsi="Times New Roman" w:cs="Times New Roman"/>
        </w:rPr>
      </w:pPr>
      <w:bookmarkStart w:id="3" w:name="_Toc175068488"/>
      <w:r w:rsidRPr="00CF72FA">
        <w:rPr>
          <w:rFonts w:ascii="Times New Roman" w:hAnsi="Times New Roman" w:cs="Times New Roman"/>
        </w:rPr>
        <w:lastRenderedPageBreak/>
        <w:t>Part B). Financial Performance Review</w:t>
      </w:r>
      <w:bookmarkEnd w:id="3"/>
    </w:p>
    <w:p w14:paraId="332EC8D4" w14:textId="1E818C36" w:rsidR="0015413A" w:rsidRPr="0015413A" w:rsidRDefault="0015413A" w:rsidP="0015413A">
      <w:pPr>
        <w:spacing w:line="360" w:lineRule="auto"/>
        <w:jc w:val="both"/>
        <w:rPr>
          <w:rFonts w:ascii="Times New Roman" w:hAnsi="Times New Roman" w:cs="Times New Roman"/>
          <w:sz w:val="24"/>
          <w:szCs w:val="24"/>
        </w:rPr>
      </w:pPr>
      <w:r w:rsidRPr="0015413A">
        <w:rPr>
          <w:rFonts w:ascii="Times New Roman" w:hAnsi="Times New Roman" w:cs="Times New Roman"/>
          <w:sz w:val="24"/>
          <w:szCs w:val="24"/>
        </w:rPr>
        <w:t>Kingfisher's financial performance tells a detailed story of its effectiveness in operations, strategic decision-making and market positioning over the last five years. You see this has been a time of many financial shenanigans and market conditions where the fortunes on the company have been influenced. To know truly how well Kingfisher is performing, have further scrutiny of its financial ratios; comparing them with major competitors or industry itself may not do justice</w:t>
      </w:r>
      <w:r w:rsidR="00A67FFD">
        <w:rPr>
          <w:rFonts w:ascii="Times New Roman" w:hAnsi="Times New Roman" w:cs="Times New Roman"/>
          <w:sz w:val="24"/>
          <w:szCs w:val="24"/>
        </w:rPr>
        <w:t xml:space="preserve"> (Olayinka, A.A., 2022.)</w:t>
      </w:r>
      <w:r w:rsidR="0009793D">
        <w:rPr>
          <w:rFonts w:ascii="Times New Roman" w:hAnsi="Times New Roman" w:cs="Times New Roman"/>
          <w:sz w:val="24"/>
          <w:szCs w:val="24"/>
        </w:rPr>
        <w:t xml:space="preserve"> </w:t>
      </w:r>
      <w:r w:rsidRPr="0015413A">
        <w:rPr>
          <w:rFonts w:ascii="Times New Roman" w:hAnsi="Times New Roman" w:cs="Times New Roman"/>
          <w:sz w:val="24"/>
          <w:szCs w:val="24"/>
        </w:rPr>
        <w:t>Furthermore, this analysis lays the groundwork for creating strategic recommendations in future financial planning</w:t>
      </w:r>
      <w:r w:rsidR="00A67FFD">
        <w:rPr>
          <w:rFonts w:ascii="Times New Roman" w:hAnsi="Times New Roman" w:cs="Times New Roman"/>
          <w:sz w:val="24"/>
          <w:szCs w:val="24"/>
        </w:rPr>
        <w:t xml:space="preserve"> (</w:t>
      </w:r>
      <w:r w:rsidR="00A67FFD">
        <w:rPr>
          <w:rFonts w:ascii="Times New Roman" w:eastAsia="Calibri" w:hAnsi="Times New Roman" w:cs="Times New Roman"/>
          <w:sz w:val="24"/>
          <w:szCs w:val="24"/>
        </w:rPr>
        <w:t>Husain, T. and Sunardi, N., 2020)</w:t>
      </w:r>
      <w:r w:rsidRPr="0015413A">
        <w:rPr>
          <w:rFonts w:ascii="Times New Roman" w:hAnsi="Times New Roman" w:cs="Times New Roman"/>
          <w:sz w:val="24"/>
          <w:szCs w:val="24"/>
        </w:rPr>
        <w:t>.</w:t>
      </w:r>
    </w:p>
    <w:p w14:paraId="24DB47D5" w14:textId="7538C8F0" w:rsidR="0015413A" w:rsidRPr="0015413A" w:rsidRDefault="0015413A" w:rsidP="0015413A">
      <w:pPr>
        <w:spacing w:line="360" w:lineRule="auto"/>
        <w:jc w:val="both"/>
        <w:rPr>
          <w:rFonts w:ascii="Times New Roman" w:hAnsi="Times New Roman" w:cs="Times New Roman"/>
          <w:sz w:val="24"/>
          <w:szCs w:val="24"/>
        </w:rPr>
      </w:pPr>
      <w:r w:rsidRPr="0015413A">
        <w:rPr>
          <w:rFonts w:ascii="Times New Roman" w:hAnsi="Times New Roman" w:cs="Times New Roman"/>
          <w:sz w:val="24"/>
          <w:szCs w:val="24"/>
        </w:rPr>
        <w:t>Financial Ratios: Kingfisher's financial ratios provide an interesting picture of the company and its operating health. Profitability Ratios- These ratios, particularly gross profit margin and net ability to convert sales into profit. Kingfisher meanwhile has seen its gross margin grow tentatively but steadily during the five-year period, rising from 35.7% in 2019 to just over half a percentage point higher by year end of fiscal year 2023 at around 37.2%. This is a positive trend for the company, suggesting that it continues to increase its profitability by getting better and more efficient at production control. Gross profit margin omnipresent across changes in revenue, points to expensive cost management and a dependable pricing model defensively from market fluctuations</w:t>
      </w:r>
      <w:r w:rsidR="00A67FFD">
        <w:rPr>
          <w:rFonts w:ascii="Times New Roman" w:hAnsi="Times New Roman" w:cs="Times New Roman"/>
          <w:sz w:val="24"/>
          <w:szCs w:val="24"/>
        </w:rPr>
        <w:t xml:space="preserve"> (Husain, T. and Sunardi, N., 2020)</w:t>
      </w:r>
      <w:r w:rsidRPr="0015413A">
        <w:rPr>
          <w:rFonts w:ascii="Times New Roman" w:hAnsi="Times New Roman" w:cs="Times New Roman"/>
          <w:sz w:val="24"/>
          <w:szCs w:val="24"/>
        </w:rPr>
        <w:t>.</w:t>
      </w:r>
      <w:r w:rsidR="0009793D">
        <w:rPr>
          <w:rFonts w:ascii="Times New Roman" w:hAnsi="Times New Roman" w:cs="Times New Roman"/>
          <w:sz w:val="24"/>
          <w:szCs w:val="24"/>
        </w:rPr>
        <w:t xml:space="preserve"> </w:t>
      </w:r>
    </w:p>
    <w:p w14:paraId="0B5F6F8E" w14:textId="77777777" w:rsidR="0015413A" w:rsidRPr="0015413A" w:rsidRDefault="0015413A" w:rsidP="0015413A">
      <w:pPr>
        <w:spacing w:line="360" w:lineRule="auto"/>
        <w:jc w:val="both"/>
        <w:rPr>
          <w:rFonts w:ascii="Times New Roman" w:hAnsi="Times New Roman" w:cs="Times New Roman"/>
          <w:sz w:val="24"/>
          <w:szCs w:val="24"/>
        </w:rPr>
      </w:pPr>
      <w:r w:rsidRPr="0015413A">
        <w:rPr>
          <w:rFonts w:ascii="Times New Roman" w:hAnsi="Times New Roman" w:cs="Times New Roman"/>
          <w:sz w:val="24"/>
          <w:szCs w:val="24"/>
        </w:rPr>
        <w:t>The overall profitability, as measured by the net profit margin that includes all expense types except for financial expenses and taxes (if applicable) both exhibit higher levels of fluctuations changes over time like this. Example; net profit margin rose to 5.0% in '21 (also a likely peak due to the home improvement boom from COVID) The strength of this uplift demonstrates Kingfisher's strategic flexibility to take advantage of market opportunities. But over the next few years, that bounces back somewhat, with net profit rebounding to around 4.8% in 2023... Such stabilization indicates that even though the business went through a temporary burst of return, it nevertheless possesses an enduring and flexible operating structure able to ensure profitability success in any kind of market condition.</w:t>
      </w:r>
    </w:p>
    <w:p w14:paraId="67473E66" w14:textId="0E582F84" w:rsidR="0015413A" w:rsidRPr="0015413A" w:rsidRDefault="0015413A" w:rsidP="0015413A">
      <w:pPr>
        <w:spacing w:line="360" w:lineRule="auto"/>
        <w:jc w:val="both"/>
        <w:rPr>
          <w:rFonts w:ascii="Times New Roman" w:hAnsi="Times New Roman" w:cs="Times New Roman"/>
          <w:sz w:val="24"/>
          <w:szCs w:val="24"/>
        </w:rPr>
      </w:pPr>
      <w:r w:rsidRPr="0015413A">
        <w:rPr>
          <w:rFonts w:ascii="Times New Roman" w:hAnsi="Times New Roman" w:cs="Times New Roman"/>
          <w:sz w:val="24"/>
          <w:szCs w:val="24"/>
        </w:rPr>
        <w:t xml:space="preserve">Current, and quick ratios would be examples of liquidity ratio that display the ability to meet short-term obligations by </w:t>
      </w:r>
      <w:r w:rsidR="00434B08" w:rsidRPr="0015413A">
        <w:rPr>
          <w:rFonts w:ascii="Times New Roman" w:hAnsi="Times New Roman" w:cs="Times New Roman"/>
          <w:sz w:val="24"/>
          <w:szCs w:val="24"/>
        </w:rPr>
        <w:t>kingfisher explained</w:t>
      </w:r>
      <w:r w:rsidRPr="0015413A">
        <w:rPr>
          <w:rFonts w:ascii="Times New Roman" w:hAnsi="Times New Roman" w:cs="Times New Roman"/>
          <w:sz w:val="24"/>
          <w:szCs w:val="24"/>
        </w:rPr>
        <w:t xml:space="preserve"> in financial metrics. The current ratio remained stable, improving over the five years and going from 1.3 (2019) to 1.7 in year end of2023. This improvement indicates a larger ability to cover short term obligations using current assets which </w:t>
      </w:r>
      <w:r w:rsidRPr="0015413A">
        <w:rPr>
          <w:rFonts w:ascii="Times New Roman" w:hAnsi="Times New Roman" w:cs="Times New Roman"/>
          <w:sz w:val="24"/>
          <w:szCs w:val="24"/>
        </w:rPr>
        <w:lastRenderedPageBreak/>
        <w:t>is good, due to the good liquidity position. The quick ratio - which removes inventories from current assets to provide an even more conservative gauge of liquidity - also improved, coming in at 1.2 as early as by 2023. The improvement in these liquidity ratios consistently suggests that Kingfisher has been successful to effectively manage its liquid resources, minimize the level of risk on potential crises and maintained operations smoothly.</w:t>
      </w:r>
    </w:p>
    <w:p w14:paraId="3331C884" w14:textId="77777777" w:rsidR="0015413A" w:rsidRPr="0015413A" w:rsidRDefault="0015413A" w:rsidP="0015413A">
      <w:pPr>
        <w:spacing w:line="360" w:lineRule="auto"/>
        <w:jc w:val="both"/>
        <w:rPr>
          <w:rFonts w:ascii="Times New Roman" w:hAnsi="Times New Roman" w:cs="Times New Roman"/>
          <w:sz w:val="24"/>
          <w:szCs w:val="24"/>
        </w:rPr>
      </w:pPr>
      <w:r w:rsidRPr="0015413A">
        <w:rPr>
          <w:rFonts w:ascii="Times New Roman" w:hAnsi="Times New Roman" w:cs="Times New Roman"/>
          <w:sz w:val="24"/>
          <w:szCs w:val="24"/>
        </w:rPr>
        <w:t>Gearing ratios, more specifically the debt-to-equity ratio gives a clear picture on how much financial leverage and risk presents in the company. The debt-to-equity Kingfisher was on the rise until 2021 with a peak ratio of 0.6 before dropping back to 0.5 from then onward in is as shown below. This behavior indicates that despite debt financing growth opportunities, the company has kept a modest handle on its balance sheet to make sure leverage did not grow out of control. A sound management of its capital structure has allowed Kingfisher to leverage debt and sustain an adequate level of equity, thus managing financial risk while maintaining long-term flexibility for future investments.</w:t>
      </w:r>
    </w:p>
    <w:p w14:paraId="17E6344A" w14:textId="452344E2" w:rsidR="0015413A" w:rsidRPr="0015413A" w:rsidRDefault="0015413A" w:rsidP="0015413A">
      <w:pPr>
        <w:spacing w:line="360" w:lineRule="auto"/>
        <w:jc w:val="both"/>
        <w:rPr>
          <w:rFonts w:ascii="Times New Roman" w:hAnsi="Times New Roman" w:cs="Times New Roman"/>
          <w:sz w:val="24"/>
          <w:szCs w:val="24"/>
        </w:rPr>
      </w:pPr>
      <w:r w:rsidRPr="0015413A">
        <w:rPr>
          <w:rFonts w:ascii="Times New Roman" w:hAnsi="Times New Roman" w:cs="Times New Roman"/>
          <w:sz w:val="24"/>
          <w:szCs w:val="24"/>
        </w:rPr>
        <w:t>Inventory turnover and receivables turnover are a few of the efficiency ratios that signify how efficient operations are in managing inventory, or collecting on its receivables. Kingfisher reported marginal increase in inventory turnover ratios, implying better working capital management measures. One example is its rapidly rising inventory-to-sales ratio, which hit a five-year high of 4.5 in 2021 as the company adroitly navigated extraordinary home improvement demand during the COVID-19 pandemic by keeping store shelves better stocked than ever before (Figure). This ensures that kingfisher does not overstock or under stock, which results in optimal holding costs and improved cash flow. Receivables turnover ratio was similar, showing strong credit management and collection process. While this revenue is additive to an Android developer, it provides the live services team with a steady source of cash that minimizes risks for merchants booking bad debt and helps control healthy accounts payable</w:t>
      </w:r>
      <w:r w:rsidR="0009793D">
        <w:rPr>
          <w:rFonts w:ascii="Times New Roman" w:hAnsi="Times New Roman" w:cs="Times New Roman"/>
          <w:sz w:val="24"/>
          <w:szCs w:val="24"/>
        </w:rPr>
        <w:t xml:space="preserve"> (</w:t>
      </w:r>
      <w:r w:rsidR="0009793D">
        <w:rPr>
          <w:rFonts w:ascii="Times New Roman" w:eastAsia="Calibri" w:hAnsi="Times New Roman" w:cs="Times New Roman"/>
          <w:sz w:val="24"/>
          <w:szCs w:val="24"/>
        </w:rPr>
        <w:t>Olayinka, A.A., 2022)</w:t>
      </w:r>
      <w:r w:rsidRPr="0015413A">
        <w:rPr>
          <w:rFonts w:ascii="Times New Roman" w:hAnsi="Times New Roman" w:cs="Times New Roman"/>
          <w:sz w:val="24"/>
          <w:szCs w:val="24"/>
        </w:rPr>
        <w:t>.</w:t>
      </w:r>
    </w:p>
    <w:p w14:paraId="7570C788" w14:textId="418C6E96" w:rsidR="0015413A" w:rsidRPr="0015413A" w:rsidRDefault="0015413A" w:rsidP="0015413A">
      <w:pPr>
        <w:spacing w:line="360" w:lineRule="auto"/>
        <w:jc w:val="both"/>
        <w:rPr>
          <w:rFonts w:ascii="Times New Roman" w:hAnsi="Times New Roman" w:cs="Times New Roman"/>
          <w:sz w:val="24"/>
          <w:szCs w:val="24"/>
        </w:rPr>
      </w:pPr>
      <w:r w:rsidRPr="0015413A">
        <w:rPr>
          <w:rFonts w:ascii="Times New Roman" w:hAnsi="Times New Roman" w:cs="Times New Roman"/>
          <w:sz w:val="24"/>
          <w:szCs w:val="24"/>
        </w:rPr>
        <w:t xml:space="preserve">The final ratios are then compared to industry averages and those of the major competitors, Homebase &amp; B&amp;Q. Kingfisher has slightly higher profitability ratios compared to competitors which means it is better at managing costs and setting </w:t>
      </w:r>
      <w:r w:rsidR="00434B08" w:rsidRPr="0015413A">
        <w:rPr>
          <w:rFonts w:ascii="Times New Roman" w:hAnsi="Times New Roman" w:cs="Times New Roman"/>
          <w:sz w:val="24"/>
          <w:szCs w:val="24"/>
        </w:rPr>
        <w:t>prices [</w:t>
      </w:r>
      <w:r w:rsidRPr="0015413A">
        <w:rPr>
          <w:rFonts w:ascii="Times New Roman" w:hAnsi="Times New Roman" w:cs="Times New Roman"/>
          <w:sz w:val="24"/>
          <w:szCs w:val="24"/>
        </w:rPr>
        <w:t>-,2-]</w:t>
      </w:r>
      <w:r w:rsidR="0009793D">
        <w:rPr>
          <w:rFonts w:ascii="Times New Roman" w:hAnsi="Times New Roman" w:cs="Times New Roman"/>
          <w:sz w:val="24"/>
          <w:szCs w:val="24"/>
        </w:rPr>
        <w:t xml:space="preserve"> </w:t>
      </w:r>
      <w:r w:rsidR="0009793D" w:rsidRPr="0015413A">
        <w:rPr>
          <w:rFonts w:ascii="Times New Roman" w:hAnsi="Times New Roman" w:cs="Times New Roman"/>
          <w:sz w:val="24"/>
          <w:szCs w:val="24"/>
        </w:rPr>
        <w:t>{With</w:t>
      </w:r>
      <w:r w:rsidRPr="0015413A">
        <w:rPr>
          <w:rFonts w:ascii="Times New Roman" w:hAnsi="Times New Roman" w:cs="Times New Roman"/>
          <w:sz w:val="24"/>
          <w:szCs w:val="24"/>
        </w:rPr>
        <w:t xml:space="preserve"> superior indices for liquidity ratios indicating more efficient ability to handle its liabilities and maintain financial stability. A debt-to-equity ratio in line with the sector average highlights a prudent balance sheet approach. In addition, the efficiency ratios (inventory turnover and receivables turnover) are also </w:t>
      </w:r>
      <w:r w:rsidRPr="0015413A">
        <w:rPr>
          <w:rFonts w:ascii="Times New Roman" w:hAnsi="Times New Roman" w:cs="Times New Roman"/>
          <w:sz w:val="24"/>
          <w:szCs w:val="24"/>
        </w:rPr>
        <w:lastRenderedPageBreak/>
        <w:t>much higher than that of competitors, which implies greater operational efficiency and successful credit policies.</w:t>
      </w:r>
    </w:p>
    <w:p w14:paraId="02A3A5A5" w14:textId="77777777" w:rsidR="0015413A" w:rsidRPr="0015413A" w:rsidRDefault="0015413A" w:rsidP="0015413A">
      <w:pPr>
        <w:spacing w:line="360" w:lineRule="auto"/>
        <w:jc w:val="both"/>
        <w:rPr>
          <w:rFonts w:ascii="Times New Roman" w:hAnsi="Times New Roman" w:cs="Times New Roman"/>
          <w:sz w:val="24"/>
          <w:szCs w:val="24"/>
        </w:rPr>
      </w:pPr>
      <w:r w:rsidRPr="0015413A">
        <w:rPr>
          <w:rFonts w:ascii="Times New Roman" w:hAnsi="Times New Roman" w:cs="Times New Roman"/>
          <w:sz w:val="24"/>
          <w:szCs w:val="24"/>
        </w:rPr>
        <w:t>Credit: Kingfisher The financial analysis shows a number of areas where all is well or which could be better for Kingfisher. For example, the company has proven skillfulness at managing liquidity and inventory but core capabilities change (as they should) and there is always an opportunity for working capital improvements. Better inventory forecasting models combined with improved receivables management to reduce this turnover even more and maintain an optimal level of cash flow.</w:t>
      </w:r>
    </w:p>
    <w:p w14:paraId="5B165A85" w14:textId="6D3BAAC3" w:rsidR="0015413A" w:rsidRDefault="0015413A" w:rsidP="00DC4E66">
      <w:pPr>
        <w:spacing w:line="360" w:lineRule="auto"/>
        <w:jc w:val="both"/>
        <w:rPr>
          <w:rFonts w:ascii="Times New Roman" w:hAnsi="Times New Roman" w:cs="Times New Roman"/>
          <w:sz w:val="24"/>
          <w:szCs w:val="24"/>
        </w:rPr>
      </w:pPr>
      <w:r w:rsidRPr="0015413A">
        <w:rPr>
          <w:rFonts w:ascii="Times New Roman" w:hAnsi="Times New Roman" w:cs="Times New Roman"/>
          <w:sz w:val="24"/>
          <w:szCs w:val="24"/>
        </w:rPr>
        <w:t>Forward-looking planning for the financial landscape of Kingfisher into its strategic recommendations incorporated improvements regarding digital transformation initiatives. Developing digital capabilities can help you operate leaner and cheaper, while improving customer experience. For example, with advanced analytics embedded in its e-commerce site the retailer gains better insights into what customers want and how to manage inventory more effectively so it can grow sales</w:t>
      </w:r>
      <w:r w:rsidR="0009793D">
        <w:rPr>
          <w:rFonts w:ascii="Times New Roman" w:hAnsi="Times New Roman" w:cs="Times New Roman"/>
          <w:sz w:val="24"/>
          <w:szCs w:val="24"/>
        </w:rPr>
        <w:t xml:space="preserve"> (Cipta, H., Aragani, Z. and Sari, E.T., 2020.)</w:t>
      </w:r>
      <w:r w:rsidRPr="0015413A">
        <w:rPr>
          <w:rFonts w:ascii="Times New Roman" w:hAnsi="Times New Roman" w:cs="Times New Roman"/>
          <w:sz w:val="24"/>
          <w:szCs w:val="24"/>
        </w:rPr>
        <w:t>.</w:t>
      </w:r>
    </w:p>
    <w:p w14:paraId="039B8746" w14:textId="77777777" w:rsidR="0015413A" w:rsidRPr="00DC4E66" w:rsidRDefault="0015413A" w:rsidP="00DC4E66">
      <w:pPr>
        <w:spacing w:line="360" w:lineRule="auto"/>
        <w:jc w:val="both"/>
        <w:rPr>
          <w:rFonts w:ascii="Times New Roman" w:hAnsi="Times New Roman" w:cs="Times New Roman"/>
          <w:sz w:val="24"/>
          <w:szCs w:val="24"/>
        </w:rPr>
      </w:pPr>
    </w:p>
    <w:p w14:paraId="00A14294" w14:textId="77777777" w:rsidR="00DC4E66" w:rsidRPr="00CF72FA" w:rsidRDefault="00DC4E66" w:rsidP="00DC4E66">
      <w:pPr>
        <w:pStyle w:val="Heading2"/>
        <w:rPr>
          <w:rFonts w:ascii="Times New Roman" w:hAnsi="Times New Roman" w:cs="Times New Roman"/>
        </w:rPr>
      </w:pPr>
      <w:bookmarkStart w:id="4" w:name="_Toc175068489"/>
      <w:r w:rsidRPr="00CF72FA">
        <w:rPr>
          <w:rFonts w:ascii="Times New Roman" w:hAnsi="Times New Roman" w:cs="Times New Roman"/>
        </w:rPr>
        <w:t>Key Financial Ratios Calculation</w:t>
      </w:r>
      <w:bookmarkEnd w:id="4"/>
    </w:p>
    <w:p w14:paraId="4583D971" w14:textId="77777777" w:rsidR="00DC4E66" w:rsidRPr="00CF72FA" w:rsidRDefault="00DC4E66" w:rsidP="00DC4E66">
      <w:pPr>
        <w:pStyle w:val="Heading2"/>
        <w:rPr>
          <w:rFonts w:ascii="Times New Roman" w:hAnsi="Times New Roman" w:cs="Times New Roman"/>
        </w:rPr>
      </w:pPr>
      <w:bookmarkStart w:id="5" w:name="_Toc175068490"/>
      <w:r w:rsidRPr="00CF72FA">
        <w:rPr>
          <w:rFonts w:ascii="Times New Roman" w:hAnsi="Times New Roman" w:cs="Times New Roman"/>
        </w:rPr>
        <w:t>Profitability Ratios</w:t>
      </w:r>
      <w:bookmarkEnd w:id="5"/>
    </w:p>
    <w:p w14:paraId="6E39AE4C" w14:textId="77777777" w:rsidR="007F243E" w:rsidRPr="007F243E" w:rsidRDefault="007F243E" w:rsidP="007F243E">
      <w:pPr>
        <w:spacing w:line="360" w:lineRule="auto"/>
        <w:jc w:val="both"/>
        <w:rPr>
          <w:rFonts w:ascii="Times New Roman" w:hAnsi="Times New Roman" w:cs="Times New Roman"/>
          <w:sz w:val="24"/>
          <w:szCs w:val="24"/>
        </w:rPr>
      </w:pPr>
      <w:r w:rsidRPr="007F243E">
        <w:rPr>
          <w:rFonts w:ascii="Times New Roman" w:hAnsi="Times New Roman" w:cs="Times New Roman"/>
          <w:sz w:val="24"/>
          <w:szCs w:val="24"/>
        </w:rPr>
        <w:t>Profitability ratios are financial metrics used to assess a company's ability to generate profit relative to its revenue, assets, equity, or other financial metrics. They help evaluate how efficiently a company is operating and its capacity to generate earnings compared to various aspects of its financial performance.</w:t>
      </w:r>
    </w:p>
    <w:p w14:paraId="35E094A5" w14:textId="77777777" w:rsidR="009059AE" w:rsidRDefault="00DC4E66" w:rsidP="009059AE">
      <w:pPr>
        <w:pStyle w:val="Heading3"/>
        <w:rPr>
          <w:rFonts w:ascii="Times New Roman" w:hAnsi="Times New Roman" w:cs="Times New Roman"/>
        </w:rPr>
      </w:pPr>
      <w:bookmarkStart w:id="6" w:name="_Toc175068491"/>
      <w:r w:rsidRPr="00CF72FA">
        <w:rPr>
          <w:rFonts w:ascii="Times New Roman" w:hAnsi="Times New Roman" w:cs="Times New Roman"/>
        </w:rPr>
        <w:t>Gross Profit Margin</w:t>
      </w:r>
      <w:bookmarkEnd w:id="6"/>
    </w:p>
    <w:p w14:paraId="75A901F7" w14:textId="6FBD47E7" w:rsidR="000852AB" w:rsidRDefault="009059AE" w:rsidP="009059AE">
      <w:pPr>
        <w:spacing w:line="360" w:lineRule="auto"/>
        <w:jc w:val="both"/>
        <w:rPr>
          <w:rFonts w:ascii="Times New Roman" w:hAnsi="Times New Roman" w:cs="Times New Roman"/>
          <w:sz w:val="24"/>
          <w:szCs w:val="24"/>
        </w:rPr>
      </w:pPr>
      <w:r w:rsidRPr="009059AE">
        <w:rPr>
          <w:rFonts w:ascii="Times New Roman" w:hAnsi="Times New Roman" w:cs="Times New Roman"/>
          <w:sz w:val="24"/>
          <w:szCs w:val="24"/>
        </w:rPr>
        <w:t>Whilst the gross profit margin is a measure of how well a company can utilize its labor and supplies in manufacturing. Having a high ratio is indicative of better profitability, in making the company have a tight rein on production costs or has strong pricing power.</w:t>
      </w:r>
    </w:p>
    <w:p w14:paraId="7F8BD3FD" w14:textId="77777777" w:rsidR="000852AB" w:rsidRDefault="000852AB" w:rsidP="009059AE">
      <w:pPr>
        <w:spacing w:line="360" w:lineRule="auto"/>
        <w:jc w:val="both"/>
        <w:rPr>
          <w:rFonts w:ascii="Times New Roman" w:hAnsi="Times New Roman" w:cs="Times New Roman"/>
          <w:sz w:val="24"/>
          <w:szCs w:val="24"/>
        </w:rPr>
      </w:pPr>
    </w:p>
    <w:p w14:paraId="0DF7167A" w14:textId="77777777" w:rsidR="007F243E" w:rsidRPr="007F243E" w:rsidRDefault="007F243E" w:rsidP="009059AE">
      <w:pPr>
        <w:spacing w:line="360" w:lineRule="auto"/>
        <w:jc w:val="both"/>
        <w:rPr>
          <w:rFonts w:ascii="Times New Roman" w:hAnsi="Times New Roman" w:cs="Times New Roman"/>
          <w:b/>
          <w:bCs/>
          <w:sz w:val="24"/>
          <w:szCs w:val="24"/>
        </w:rPr>
      </w:pPr>
      <w:r w:rsidRPr="007F243E">
        <w:rPr>
          <w:rFonts w:ascii="Times New Roman" w:hAnsi="Times New Roman" w:cs="Times New Roman"/>
          <w:b/>
          <w:bCs/>
          <w:sz w:val="24"/>
          <w:szCs w:val="24"/>
        </w:rPr>
        <w:t>Formula</w:t>
      </w:r>
    </w:p>
    <w:p w14:paraId="5B25F274" w14:textId="5DB5A15A" w:rsidR="009059AE" w:rsidRDefault="009059AE" w:rsidP="009059AE">
      <w:pPr>
        <w:spacing w:line="360" w:lineRule="auto"/>
        <w:jc w:val="both"/>
        <w:rPr>
          <w:rFonts w:ascii="Times New Roman" w:hAnsi="Times New Roman" w:cs="Times New Roman"/>
          <w:sz w:val="24"/>
          <w:szCs w:val="24"/>
        </w:rPr>
      </w:pPr>
      <w:r w:rsidRPr="009059AE">
        <w:rPr>
          <w:rFonts w:ascii="Times New Roman" w:hAnsi="Times New Roman" w:cs="Times New Roman"/>
          <w:sz w:val="24"/>
          <w:szCs w:val="24"/>
        </w:rPr>
        <w:t>Gross Profit Margin= (Revenue / Gross Profit​) ×100 The</w:t>
      </w:r>
      <w:r w:rsidR="00434B08">
        <w:rPr>
          <w:rFonts w:ascii="Times New Roman" w:hAnsi="Times New Roman" w:cs="Times New Roman"/>
          <w:sz w:val="24"/>
          <w:szCs w:val="24"/>
        </w:rPr>
        <w:t xml:space="preserve"> </w:t>
      </w:r>
      <w:r w:rsidRPr="009059AE">
        <w:rPr>
          <w:rFonts w:ascii="Times New Roman" w:hAnsi="Times New Roman" w:cs="Times New Roman"/>
          <w:sz w:val="24"/>
          <w:szCs w:val="24"/>
        </w:rPr>
        <w:t xml:space="preserve">gross </w:t>
      </w:r>
      <w:r w:rsidR="00434B08" w:rsidRPr="009059AE">
        <w:rPr>
          <w:rFonts w:ascii="Times New Roman" w:hAnsi="Times New Roman" w:cs="Times New Roman"/>
          <w:sz w:val="24"/>
          <w:szCs w:val="24"/>
        </w:rPr>
        <w:t>profits</w:t>
      </w:r>
      <w:r w:rsidRPr="009059AE">
        <w:rPr>
          <w:rFonts w:ascii="Times New Roman" w:hAnsi="Times New Roman" w:cs="Times New Roman"/>
          <w:sz w:val="24"/>
          <w:szCs w:val="24"/>
        </w:rPr>
        <w:t xml:space="preserve"> calculated by subtracting the cost of goods sold from revenue.</w:t>
      </w:r>
    </w:p>
    <w:p w14:paraId="59D32574" w14:textId="77777777" w:rsidR="007F243E" w:rsidRPr="00434B08" w:rsidRDefault="007F243E" w:rsidP="007F243E">
      <w:pPr>
        <w:pStyle w:val="Heading3"/>
        <w:rPr>
          <w:rFonts w:ascii="Times New Roman" w:hAnsi="Times New Roman" w:cs="Times New Roman"/>
        </w:rPr>
      </w:pPr>
      <w:bookmarkStart w:id="7" w:name="_Toc175068492"/>
      <w:r w:rsidRPr="00434B08">
        <w:rPr>
          <w:rFonts w:ascii="Times New Roman" w:hAnsi="Times New Roman" w:cs="Times New Roman"/>
        </w:rPr>
        <w:lastRenderedPageBreak/>
        <w:t>Calculation</w:t>
      </w:r>
      <w:bookmarkEnd w:id="7"/>
    </w:p>
    <w:p w14:paraId="1450C0C4" w14:textId="06FB6E51" w:rsidR="009059AE" w:rsidRPr="009059AE" w:rsidRDefault="009059AE" w:rsidP="009059AE">
      <w:pPr>
        <w:spacing w:line="360" w:lineRule="auto"/>
        <w:jc w:val="both"/>
        <w:rPr>
          <w:rFonts w:ascii="Times New Roman" w:hAnsi="Times New Roman" w:cs="Times New Roman"/>
          <w:sz w:val="24"/>
          <w:szCs w:val="24"/>
        </w:rPr>
      </w:pPr>
      <w:r w:rsidRPr="009059AE">
        <w:rPr>
          <w:rFonts w:ascii="Times New Roman" w:hAnsi="Times New Roman" w:cs="Times New Roman"/>
          <w:sz w:val="24"/>
          <w:szCs w:val="24"/>
        </w:rPr>
        <w:t>2019: (2,000/</w:t>
      </w:r>
      <w:r w:rsidR="007535CD" w:rsidRPr="009059AE">
        <w:rPr>
          <w:rFonts w:ascii="Times New Roman" w:hAnsi="Times New Roman" w:cs="Times New Roman"/>
          <w:sz w:val="24"/>
          <w:szCs w:val="24"/>
        </w:rPr>
        <w:t>5,600) x</w:t>
      </w:r>
      <w:r w:rsidRPr="009059AE">
        <w:rPr>
          <w:rFonts w:ascii="Times New Roman" w:hAnsi="Times New Roman" w:cs="Times New Roman"/>
          <w:sz w:val="24"/>
          <w:szCs w:val="24"/>
        </w:rPr>
        <w:t>100 = 35.7%</w:t>
      </w:r>
    </w:p>
    <w:p w14:paraId="78FFC8B6" w14:textId="77777777" w:rsidR="009059AE" w:rsidRDefault="009059AE" w:rsidP="009059AE">
      <w:pPr>
        <w:spacing w:line="360" w:lineRule="auto"/>
        <w:jc w:val="both"/>
        <w:rPr>
          <w:rFonts w:ascii="Times New Roman" w:hAnsi="Times New Roman" w:cs="Times New Roman"/>
          <w:sz w:val="24"/>
          <w:szCs w:val="24"/>
        </w:rPr>
      </w:pPr>
      <w:r w:rsidRPr="009059AE">
        <w:rPr>
          <w:rFonts w:ascii="Times New Roman" w:hAnsi="Times New Roman" w:cs="Times New Roman"/>
          <w:sz w:val="24"/>
          <w:szCs w:val="24"/>
        </w:rPr>
        <w:t>2020: 2,300 /6,300 ×100 =36.5 %</w:t>
      </w:r>
    </w:p>
    <w:p w14:paraId="07C3E016" w14:textId="77777777" w:rsidR="009059AE" w:rsidRPr="009059AE" w:rsidRDefault="009059AE" w:rsidP="009059AE">
      <w:pPr>
        <w:spacing w:line="360" w:lineRule="auto"/>
        <w:jc w:val="both"/>
        <w:rPr>
          <w:rFonts w:ascii="Times New Roman" w:hAnsi="Times New Roman" w:cs="Times New Roman"/>
          <w:sz w:val="24"/>
          <w:szCs w:val="24"/>
        </w:rPr>
      </w:pPr>
      <w:r w:rsidRPr="009059AE">
        <w:rPr>
          <w:rFonts w:ascii="Times New Roman" w:hAnsi="Times New Roman" w:cs="Times New Roman"/>
          <w:sz w:val="24"/>
          <w:szCs w:val="24"/>
        </w:rPr>
        <w:t>2021 — 2,600/7,000 x100 =37.1 %</w:t>
      </w:r>
    </w:p>
    <w:p w14:paraId="00786A1D" w14:textId="77777777" w:rsidR="009059AE" w:rsidRPr="009059AE" w:rsidRDefault="009059AE" w:rsidP="009059AE">
      <w:pPr>
        <w:spacing w:line="360" w:lineRule="auto"/>
        <w:jc w:val="both"/>
        <w:rPr>
          <w:rFonts w:ascii="Times New Roman" w:hAnsi="Times New Roman" w:cs="Times New Roman"/>
          <w:sz w:val="24"/>
          <w:szCs w:val="24"/>
        </w:rPr>
      </w:pPr>
      <w:r w:rsidRPr="009059AE">
        <w:rPr>
          <w:rFonts w:ascii="Times New Roman" w:hAnsi="Times New Roman" w:cs="Times New Roman"/>
          <w:sz w:val="24"/>
          <w:szCs w:val="24"/>
        </w:rPr>
        <w:t>2022: 36.8% (600,000 +043) ×100/1Number of people requested for totally resettlement rights</w:t>
      </w:r>
    </w:p>
    <w:p w14:paraId="268B7DE7" w14:textId="3A1A6F5E" w:rsidR="009059AE" w:rsidRPr="009059AE" w:rsidRDefault="009059AE" w:rsidP="009059AE">
      <w:pPr>
        <w:spacing w:line="360" w:lineRule="auto"/>
        <w:jc w:val="both"/>
        <w:rPr>
          <w:rFonts w:ascii="Times New Roman" w:hAnsi="Times New Roman" w:cs="Times New Roman"/>
          <w:sz w:val="24"/>
          <w:szCs w:val="24"/>
        </w:rPr>
      </w:pPr>
      <w:r w:rsidRPr="009059AE">
        <w:rPr>
          <w:rFonts w:ascii="Times New Roman" w:hAnsi="Times New Roman" w:cs="Times New Roman"/>
          <w:sz w:val="24"/>
          <w:szCs w:val="24"/>
        </w:rPr>
        <w:t>2023 – 2,700/7,250x1​00=37.</w:t>
      </w:r>
      <w:r w:rsidR="007462F6">
        <w:rPr>
          <w:rFonts w:ascii="Times New Roman" w:hAnsi="Times New Roman" w:cs="Times New Roman"/>
          <w:sz w:val="24"/>
          <w:szCs w:val="24"/>
        </w:rPr>
        <w:t>4%</w:t>
      </w:r>
    </w:p>
    <w:p w14:paraId="5069D691" w14:textId="77777777" w:rsidR="009059AE" w:rsidRPr="009059AE" w:rsidRDefault="007C1DB9" w:rsidP="007C1DB9">
      <w:pPr>
        <w:spacing w:line="360" w:lineRule="auto"/>
        <w:jc w:val="center"/>
        <w:rPr>
          <w:rFonts w:ascii="Times New Roman" w:hAnsi="Times New Roman" w:cs="Times New Roman"/>
          <w:sz w:val="24"/>
          <w:szCs w:val="24"/>
        </w:rPr>
      </w:pPr>
      <w:r>
        <w:rPr>
          <w:noProof/>
        </w:rPr>
        <w:drawing>
          <wp:inline distT="0" distB="0" distL="0" distR="0" wp14:anchorId="2801E992" wp14:editId="6C6A5217">
            <wp:extent cx="4572000" cy="2743200"/>
            <wp:effectExtent l="0" t="0" r="0" b="0"/>
            <wp:docPr id="1" name="Chart 1">
              <a:extLst xmlns:a="http://schemas.openxmlformats.org/drawingml/2006/main">
                <a:ext uri="{FF2B5EF4-FFF2-40B4-BE49-F238E27FC236}">
                  <a16:creationId xmlns:a16="http://schemas.microsoft.com/office/drawing/2014/main" id="{2713103D-A020-40FB-88AF-B24F83BE6D9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0759613E" w14:textId="39D1AB56" w:rsidR="009059AE" w:rsidRPr="009059AE" w:rsidRDefault="00434B08" w:rsidP="009059AE">
      <w:pPr>
        <w:spacing w:line="360" w:lineRule="auto"/>
        <w:jc w:val="both"/>
        <w:rPr>
          <w:rFonts w:ascii="Times New Roman" w:hAnsi="Times New Roman" w:cs="Times New Roman"/>
          <w:sz w:val="24"/>
          <w:szCs w:val="24"/>
        </w:rPr>
      </w:pPr>
      <w:r w:rsidRPr="009059AE">
        <w:rPr>
          <w:rFonts w:ascii="Times New Roman" w:hAnsi="Times New Roman" w:cs="Times New Roman"/>
          <w:sz w:val="24"/>
          <w:szCs w:val="24"/>
        </w:rPr>
        <w:t>Kingfisher The</w:t>
      </w:r>
      <w:r w:rsidR="009059AE" w:rsidRPr="009059AE">
        <w:rPr>
          <w:rFonts w:ascii="Times New Roman" w:hAnsi="Times New Roman" w:cs="Times New Roman"/>
          <w:sz w:val="24"/>
          <w:szCs w:val="24"/>
        </w:rPr>
        <w:t xml:space="preserve"> gross margin for Kingfisher also increased slightly over the last five years this is driven by well managed costs and having a stable price point. But due to consistently strong margins - as it has controlled the costs of producing Jell-O and other foods even as revenue fluctuates quarterly; profits have surged in recent years above pre-recession levels.</w:t>
      </w:r>
    </w:p>
    <w:p w14:paraId="0AF43A2E" w14:textId="77777777" w:rsidR="009059AE" w:rsidRPr="00434B08" w:rsidRDefault="009059AE" w:rsidP="007F243E">
      <w:pPr>
        <w:pStyle w:val="Heading3"/>
        <w:rPr>
          <w:rFonts w:ascii="Times New Roman" w:hAnsi="Times New Roman" w:cs="Times New Roman"/>
        </w:rPr>
      </w:pPr>
      <w:bookmarkStart w:id="8" w:name="_Toc175068493"/>
      <w:r w:rsidRPr="00434B08">
        <w:rPr>
          <w:rFonts w:ascii="Times New Roman" w:hAnsi="Times New Roman" w:cs="Times New Roman"/>
        </w:rPr>
        <w:t>Net Profit Margin</w:t>
      </w:r>
      <w:bookmarkEnd w:id="8"/>
    </w:p>
    <w:p w14:paraId="5668A218" w14:textId="77777777" w:rsidR="009059AE" w:rsidRDefault="009059AE" w:rsidP="009059AE">
      <w:pPr>
        <w:spacing w:line="360" w:lineRule="auto"/>
        <w:jc w:val="both"/>
        <w:rPr>
          <w:rFonts w:ascii="Times New Roman" w:hAnsi="Times New Roman" w:cs="Times New Roman"/>
          <w:sz w:val="24"/>
          <w:szCs w:val="24"/>
        </w:rPr>
      </w:pPr>
      <w:r w:rsidRPr="009059AE">
        <w:rPr>
          <w:rFonts w:ascii="Times New Roman" w:hAnsi="Times New Roman" w:cs="Times New Roman"/>
          <w:sz w:val="24"/>
          <w:szCs w:val="24"/>
        </w:rPr>
        <w:t>The net profit margin reveals the proportion of revenue left as a setting to benefit after all non-interest expenses are put out bases. The higher the net profit margin, more are better your control on costs and profitability.</w:t>
      </w:r>
    </w:p>
    <w:p w14:paraId="04D179C0" w14:textId="77777777" w:rsidR="006777CD" w:rsidRDefault="006777CD" w:rsidP="009059AE">
      <w:pPr>
        <w:spacing w:line="360" w:lineRule="auto"/>
        <w:jc w:val="both"/>
        <w:rPr>
          <w:rFonts w:ascii="Times New Roman" w:hAnsi="Times New Roman" w:cs="Times New Roman"/>
          <w:sz w:val="24"/>
          <w:szCs w:val="24"/>
        </w:rPr>
      </w:pPr>
    </w:p>
    <w:p w14:paraId="071F5315" w14:textId="77777777" w:rsidR="007F243E" w:rsidRPr="007F243E" w:rsidRDefault="007F243E" w:rsidP="009059AE">
      <w:pPr>
        <w:spacing w:line="360" w:lineRule="auto"/>
        <w:jc w:val="both"/>
        <w:rPr>
          <w:rFonts w:ascii="Times New Roman" w:hAnsi="Times New Roman" w:cs="Times New Roman"/>
          <w:b/>
          <w:bCs/>
          <w:sz w:val="24"/>
          <w:szCs w:val="24"/>
        </w:rPr>
      </w:pPr>
      <w:r w:rsidRPr="007F243E">
        <w:rPr>
          <w:rFonts w:ascii="Times New Roman" w:hAnsi="Times New Roman" w:cs="Times New Roman"/>
          <w:b/>
          <w:bCs/>
          <w:sz w:val="24"/>
          <w:szCs w:val="24"/>
        </w:rPr>
        <w:t xml:space="preserve">Formula </w:t>
      </w:r>
    </w:p>
    <w:p w14:paraId="57C2F05E" w14:textId="77777777" w:rsidR="009059AE" w:rsidRDefault="009059AE" w:rsidP="009059AE">
      <w:pPr>
        <w:spacing w:line="360" w:lineRule="auto"/>
        <w:jc w:val="both"/>
        <w:rPr>
          <w:rFonts w:ascii="Times New Roman" w:hAnsi="Times New Roman" w:cs="Times New Roman"/>
          <w:sz w:val="24"/>
          <w:szCs w:val="24"/>
        </w:rPr>
      </w:pPr>
      <w:r w:rsidRPr="009059AE">
        <w:rPr>
          <w:rFonts w:ascii="Times New Roman" w:hAnsi="Times New Roman" w:cs="Times New Roman"/>
          <w:sz w:val="24"/>
          <w:szCs w:val="24"/>
        </w:rPr>
        <w:t>Net Profit Margin= (Revenue / Net Profit​) × 100</w:t>
      </w:r>
    </w:p>
    <w:p w14:paraId="6C8C38A3" w14:textId="77777777" w:rsidR="007F243E" w:rsidRPr="00434B08" w:rsidRDefault="007F243E" w:rsidP="007F243E">
      <w:pPr>
        <w:pStyle w:val="Heading3"/>
        <w:rPr>
          <w:rFonts w:ascii="Times New Roman" w:hAnsi="Times New Roman" w:cs="Times New Roman"/>
        </w:rPr>
      </w:pPr>
      <w:bookmarkStart w:id="9" w:name="_Toc175068494"/>
      <w:r w:rsidRPr="00434B08">
        <w:rPr>
          <w:rFonts w:ascii="Times New Roman" w:hAnsi="Times New Roman" w:cs="Times New Roman"/>
        </w:rPr>
        <w:lastRenderedPageBreak/>
        <w:t>Calculation</w:t>
      </w:r>
      <w:bookmarkEnd w:id="9"/>
    </w:p>
    <w:p w14:paraId="5A65B408" w14:textId="77777777" w:rsidR="009059AE" w:rsidRPr="009059AE" w:rsidRDefault="009059AE" w:rsidP="009059AE">
      <w:pPr>
        <w:spacing w:line="360" w:lineRule="auto"/>
        <w:jc w:val="both"/>
        <w:rPr>
          <w:rFonts w:ascii="Times New Roman" w:hAnsi="Times New Roman" w:cs="Times New Roman"/>
          <w:sz w:val="24"/>
          <w:szCs w:val="24"/>
        </w:rPr>
      </w:pPr>
      <w:r w:rsidRPr="009059AE">
        <w:rPr>
          <w:rFonts w:ascii="Times New Roman" w:hAnsi="Times New Roman" w:cs="Times New Roman"/>
          <w:sz w:val="24"/>
          <w:szCs w:val="24"/>
        </w:rPr>
        <w:t>2019: 180/5,600×100=3.2%</w:t>
      </w:r>
    </w:p>
    <w:p w14:paraId="0AB889A0" w14:textId="252BB2AB" w:rsidR="009059AE" w:rsidRPr="009059AE" w:rsidRDefault="008378EA" w:rsidP="009059AE">
      <w:pPr>
        <w:spacing w:line="360" w:lineRule="auto"/>
        <w:jc w:val="both"/>
        <w:rPr>
          <w:rFonts w:ascii="Times New Roman" w:hAnsi="Times New Roman" w:cs="Times New Roman"/>
          <w:sz w:val="24"/>
          <w:szCs w:val="24"/>
        </w:rPr>
      </w:pPr>
      <w:r w:rsidRPr="009059AE">
        <w:rPr>
          <w:rFonts w:ascii="Times New Roman" w:hAnsi="Times New Roman" w:cs="Times New Roman"/>
          <w:sz w:val="24"/>
          <w:szCs w:val="24"/>
        </w:rPr>
        <w:t>2020:</w:t>
      </w:r>
      <w:r w:rsidR="009059AE" w:rsidRPr="009059AE">
        <w:rPr>
          <w:rFonts w:ascii="Times New Roman" w:hAnsi="Times New Roman" w:cs="Times New Roman"/>
          <w:sz w:val="24"/>
          <w:szCs w:val="24"/>
        </w:rPr>
        <w:t xml:space="preserve"> 240/6300*100 =3.8 %</w:t>
      </w:r>
    </w:p>
    <w:p w14:paraId="6484761F" w14:textId="77777777" w:rsidR="009059AE" w:rsidRPr="009059AE" w:rsidRDefault="009059AE" w:rsidP="009059AE">
      <w:pPr>
        <w:spacing w:line="360" w:lineRule="auto"/>
        <w:jc w:val="both"/>
        <w:rPr>
          <w:rFonts w:ascii="Times New Roman" w:hAnsi="Times New Roman" w:cs="Times New Roman"/>
          <w:sz w:val="24"/>
          <w:szCs w:val="24"/>
        </w:rPr>
      </w:pPr>
      <w:r w:rsidRPr="009059AE">
        <w:rPr>
          <w:rFonts w:ascii="Times New Roman" w:hAnsi="Times New Roman" w:cs="Times New Roman"/>
          <w:sz w:val="24"/>
          <w:szCs w:val="24"/>
        </w:rPr>
        <w:t>2021-350/7,000×100=5.0%</w:t>
      </w:r>
    </w:p>
    <w:p w14:paraId="48B4698A" w14:textId="77777777" w:rsidR="009059AE" w:rsidRPr="009059AE" w:rsidRDefault="009059AE" w:rsidP="009059AE">
      <w:pPr>
        <w:spacing w:line="360" w:lineRule="auto"/>
        <w:jc w:val="both"/>
        <w:rPr>
          <w:rFonts w:ascii="Times New Roman" w:hAnsi="Times New Roman" w:cs="Times New Roman"/>
          <w:sz w:val="24"/>
          <w:szCs w:val="24"/>
        </w:rPr>
      </w:pPr>
      <w:r w:rsidRPr="009059AE">
        <w:rPr>
          <w:rFonts w:ascii="Times New Roman" w:hAnsi="Times New Roman" w:cs="Times New Roman"/>
          <w:sz w:val="24"/>
          <w:szCs w:val="24"/>
        </w:rPr>
        <w:t>2022: Calculation is 305/6,800×100 =4.5%</w:t>
      </w:r>
    </w:p>
    <w:p w14:paraId="4C41AAA6" w14:textId="77777777" w:rsidR="009059AE" w:rsidRPr="009059AE" w:rsidRDefault="009059AE" w:rsidP="009059AE">
      <w:pPr>
        <w:spacing w:line="360" w:lineRule="auto"/>
        <w:jc w:val="both"/>
        <w:rPr>
          <w:rFonts w:ascii="Times New Roman" w:hAnsi="Times New Roman" w:cs="Times New Roman"/>
          <w:sz w:val="24"/>
          <w:szCs w:val="24"/>
        </w:rPr>
      </w:pPr>
      <w:r w:rsidRPr="009059AE">
        <w:rPr>
          <w:rFonts w:ascii="Times New Roman" w:hAnsi="Times New Roman" w:cs="Times New Roman"/>
          <w:sz w:val="24"/>
          <w:szCs w:val="24"/>
        </w:rPr>
        <w:t>2023: 348/7,250×100=4.8%</w:t>
      </w:r>
    </w:p>
    <w:p w14:paraId="0E3C8224" w14:textId="77777777" w:rsidR="00DC4E66" w:rsidRPr="00CF72FA" w:rsidRDefault="00DC4E66" w:rsidP="009059AE">
      <w:pPr>
        <w:spacing w:line="360" w:lineRule="auto"/>
        <w:jc w:val="both"/>
        <w:rPr>
          <w:rFonts w:ascii="Times New Roman" w:hAnsi="Times New Roman" w:cs="Times New Roman"/>
          <w:sz w:val="24"/>
          <w:szCs w:val="24"/>
        </w:rPr>
      </w:pPr>
      <w:r w:rsidRPr="00CF72FA">
        <w:rPr>
          <w:rFonts w:ascii="Times New Roman" w:hAnsi="Times New Roman" w:cs="Times New Roman"/>
          <w:sz w:val="24"/>
          <w:szCs w:val="24"/>
        </w:rPr>
        <w:t>2022: 305/6,800×100=4.5%</w:t>
      </w:r>
    </w:p>
    <w:p w14:paraId="42595EC4" w14:textId="77777777" w:rsidR="00DC4E66" w:rsidRDefault="00DC4E66" w:rsidP="009059AE">
      <w:pPr>
        <w:spacing w:line="360" w:lineRule="auto"/>
        <w:jc w:val="both"/>
        <w:rPr>
          <w:rFonts w:ascii="Times New Roman" w:hAnsi="Times New Roman" w:cs="Times New Roman"/>
          <w:sz w:val="24"/>
          <w:szCs w:val="24"/>
        </w:rPr>
      </w:pPr>
      <w:r w:rsidRPr="00CF72FA">
        <w:rPr>
          <w:rFonts w:ascii="Times New Roman" w:hAnsi="Times New Roman" w:cs="Times New Roman"/>
          <w:sz w:val="24"/>
          <w:szCs w:val="24"/>
        </w:rPr>
        <w:t>2023: 348/7,250×100=4.8%</w:t>
      </w:r>
    </w:p>
    <w:p w14:paraId="79956E2D" w14:textId="77777777" w:rsidR="009059AE" w:rsidRPr="009059AE" w:rsidRDefault="00F7272D" w:rsidP="00F7272D">
      <w:pPr>
        <w:spacing w:line="360" w:lineRule="auto"/>
        <w:jc w:val="center"/>
        <w:rPr>
          <w:rFonts w:ascii="Times New Roman" w:hAnsi="Times New Roman" w:cs="Times New Roman"/>
          <w:sz w:val="24"/>
          <w:szCs w:val="24"/>
        </w:rPr>
      </w:pPr>
      <w:r>
        <w:rPr>
          <w:noProof/>
        </w:rPr>
        <w:drawing>
          <wp:inline distT="0" distB="0" distL="0" distR="0" wp14:anchorId="45DC2435" wp14:editId="2965D5CE">
            <wp:extent cx="4572000" cy="2743200"/>
            <wp:effectExtent l="0" t="0" r="0" b="0"/>
            <wp:docPr id="3" name="Chart 3">
              <a:extLst xmlns:a="http://schemas.openxmlformats.org/drawingml/2006/main">
                <a:ext uri="{FF2B5EF4-FFF2-40B4-BE49-F238E27FC236}">
                  <a16:creationId xmlns:a16="http://schemas.microsoft.com/office/drawing/2014/main" id="{EDA71DB6-6D40-439E-BF11-80DF3986A01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74B0A08B" w14:textId="77777777" w:rsidR="00DC4E66" w:rsidRDefault="00DC4E66" w:rsidP="00DC4E66">
      <w:pPr>
        <w:spacing w:line="360" w:lineRule="auto"/>
        <w:jc w:val="both"/>
        <w:rPr>
          <w:rFonts w:ascii="Times New Roman" w:hAnsi="Times New Roman" w:cs="Times New Roman"/>
          <w:sz w:val="24"/>
          <w:szCs w:val="24"/>
        </w:rPr>
      </w:pPr>
      <w:r w:rsidRPr="00DC4E66">
        <w:rPr>
          <w:rFonts w:ascii="Times New Roman" w:hAnsi="Times New Roman" w:cs="Times New Roman"/>
          <w:sz w:val="24"/>
          <w:szCs w:val="24"/>
        </w:rPr>
        <w:t>Kingfisher's net profit margin has fluctuated over the years, with a notable increase in 2021 due to the pandemic-induced surge in home improvement activities. Despite a slight decrease in 2022, the margin stabilized, indicating the company's resilience and ability to maintain profitability in varying market conditions.</w:t>
      </w:r>
    </w:p>
    <w:p w14:paraId="66E01E86" w14:textId="77777777" w:rsidR="00434B08" w:rsidRDefault="00434B08" w:rsidP="00DC4E66">
      <w:pPr>
        <w:spacing w:line="360" w:lineRule="auto"/>
        <w:jc w:val="both"/>
        <w:rPr>
          <w:rFonts w:ascii="Times New Roman" w:hAnsi="Times New Roman" w:cs="Times New Roman"/>
          <w:sz w:val="24"/>
          <w:szCs w:val="24"/>
        </w:rPr>
      </w:pPr>
    </w:p>
    <w:p w14:paraId="7AD01E39" w14:textId="77777777" w:rsidR="00434B08" w:rsidRDefault="00434B08" w:rsidP="00DC4E66">
      <w:pPr>
        <w:spacing w:line="360" w:lineRule="auto"/>
        <w:jc w:val="both"/>
        <w:rPr>
          <w:rFonts w:ascii="Times New Roman" w:hAnsi="Times New Roman" w:cs="Times New Roman"/>
          <w:sz w:val="24"/>
          <w:szCs w:val="24"/>
        </w:rPr>
      </w:pPr>
    </w:p>
    <w:p w14:paraId="404102EA" w14:textId="77777777" w:rsidR="00434B08" w:rsidRPr="00DC4E66" w:rsidRDefault="00434B08" w:rsidP="00DC4E66">
      <w:pPr>
        <w:spacing w:line="360" w:lineRule="auto"/>
        <w:jc w:val="both"/>
        <w:rPr>
          <w:rFonts w:ascii="Times New Roman" w:hAnsi="Times New Roman" w:cs="Times New Roman"/>
          <w:sz w:val="24"/>
          <w:szCs w:val="24"/>
        </w:rPr>
      </w:pPr>
    </w:p>
    <w:p w14:paraId="370BD96D" w14:textId="77777777" w:rsidR="00DC4E66" w:rsidRPr="00CF72FA" w:rsidRDefault="00DC4E66" w:rsidP="00DC4E66">
      <w:pPr>
        <w:pStyle w:val="Heading2"/>
        <w:rPr>
          <w:rFonts w:ascii="Times New Roman" w:hAnsi="Times New Roman" w:cs="Times New Roman"/>
        </w:rPr>
      </w:pPr>
      <w:bookmarkStart w:id="10" w:name="_Toc175068495"/>
      <w:r w:rsidRPr="00CF72FA">
        <w:rPr>
          <w:rFonts w:ascii="Times New Roman" w:hAnsi="Times New Roman" w:cs="Times New Roman"/>
        </w:rPr>
        <w:lastRenderedPageBreak/>
        <w:t>Liquidity Ratios</w:t>
      </w:r>
      <w:bookmarkEnd w:id="10"/>
    </w:p>
    <w:p w14:paraId="5CA0F7D9" w14:textId="77777777" w:rsidR="007F243E" w:rsidRPr="007F243E" w:rsidRDefault="007F243E" w:rsidP="007F243E">
      <w:pPr>
        <w:spacing w:line="360" w:lineRule="auto"/>
        <w:jc w:val="both"/>
        <w:rPr>
          <w:rFonts w:ascii="Times New Roman" w:hAnsi="Times New Roman" w:cs="Times New Roman"/>
          <w:sz w:val="24"/>
          <w:szCs w:val="24"/>
        </w:rPr>
      </w:pPr>
      <w:r w:rsidRPr="007F243E">
        <w:rPr>
          <w:rFonts w:ascii="Times New Roman" w:hAnsi="Times New Roman" w:cs="Times New Roman"/>
          <w:sz w:val="24"/>
          <w:szCs w:val="24"/>
        </w:rPr>
        <w:t xml:space="preserve">Liquidity ratios are financial metrics used to assess a company's ability to meet its short-term obligations with its most liquid assets. These ratios are crucial for evaluating a company's financial health and its capacity to handle immediate liabilities. Key liquidity ratios include the </w:t>
      </w:r>
      <w:r w:rsidRPr="007F243E">
        <w:rPr>
          <w:rFonts w:ascii="Times New Roman" w:hAnsi="Times New Roman" w:cs="Times New Roman"/>
          <w:b/>
          <w:bCs/>
          <w:sz w:val="24"/>
          <w:szCs w:val="24"/>
        </w:rPr>
        <w:t>Current Ratio</w:t>
      </w:r>
      <w:r w:rsidRPr="007F243E">
        <w:rPr>
          <w:rFonts w:ascii="Times New Roman" w:hAnsi="Times New Roman" w:cs="Times New Roman"/>
          <w:sz w:val="24"/>
          <w:szCs w:val="24"/>
        </w:rPr>
        <w:t xml:space="preserve">, which compares current assets to current liabilities, providing insight into the company’s ability to cover short-term debts with short-term assets. </w:t>
      </w:r>
    </w:p>
    <w:p w14:paraId="26512417" w14:textId="77777777" w:rsidR="00DC4E66" w:rsidRPr="00CF72FA" w:rsidRDefault="00DC4E66" w:rsidP="00DC4E66">
      <w:pPr>
        <w:pStyle w:val="Heading3"/>
        <w:rPr>
          <w:rFonts w:ascii="Times New Roman" w:hAnsi="Times New Roman" w:cs="Times New Roman"/>
        </w:rPr>
      </w:pPr>
      <w:bookmarkStart w:id="11" w:name="_Toc175068496"/>
      <w:r w:rsidRPr="00CF72FA">
        <w:rPr>
          <w:rFonts w:ascii="Times New Roman" w:hAnsi="Times New Roman" w:cs="Times New Roman"/>
        </w:rPr>
        <w:t>Current Ratio</w:t>
      </w:r>
      <w:bookmarkEnd w:id="11"/>
    </w:p>
    <w:p w14:paraId="11E23B2F" w14:textId="77777777" w:rsidR="0080625C" w:rsidRDefault="0080625C" w:rsidP="0080625C">
      <w:pPr>
        <w:spacing w:line="360" w:lineRule="auto"/>
        <w:jc w:val="both"/>
        <w:rPr>
          <w:rFonts w:ascii="Times New Roman" w:hAnsi="Times New Roman" w:cs="Times New Roman"/>
          <w:sz w:val="24"/>
          <w:szCs w:val="24"/>
        </w:rPr>
      </w:pPr>
      <w:r w:rsidRPr="0080625C">
        <w:rPr>
          <w:rFonts w:ascii="Times New Roman" w:hAnsi="Times New Roman" w:cs="Times New Roman"/>
          <w:sz w:val="24"/>
          <w:szCs w:val="24"/>
        </w:rPr>
        <w:t>The current ratio is used to provide a measure of how well a company can meet its short-term obligations or those due in one year. It examines how a firms current assets compare to its current liabilities.</w:t>
      </w:r>
    </w:p>
    <w:p w14:paraId="2F052FB9" w14:textId="77777777" w:rsidR="007F243E" w:rsidRPr="008378EA" w:rsidRDefault="007F243E" w:rsidP="0080625C">
      <w:pPr>
        <w:spacing w:line="360" w:lineRule="auto"/>
        <w:jc w:val="both"/>
        <w:rPr>
          <w:rFonts w:ascii="Times New Roman" w:hAnsi="Times New Roman" w:cs="Times New Roman"/>
          <w:b/>
          <w:bCs/>
          <w:sz w:val="24"/>
          <w:szCs w:val="24"/>
        </w:rPr>
      </w:pPr>
      <w:r w:rsidRPr="008378EA">
        <w:rPr>
          <w:rFonts w:ascii="Times New Roman" w:hAnsi="Times New Roman" w:cs="Times New Roman"/>
          <w:b/>
          <w:bCs/>
          <w:sz w:val="24"/>
          <w:szCs w:val="24"/>
        </w:rPr>
        <w:t>Formula</w:t>
      </w:r>
    </w:p>
    <w:p w14:paraId="7504A824" w14:textId="77777777" w:rsidR="0080625C" w:rsidRDefault="0080625C" w:rsidP="00DC4E66">
      <w:pPr>
        <w:spacing w:line="360" w:lineRule="auto"/>
        <w:jc w:val="both"/>
        <w:rPr>
          <w:rFonts w:ascii="Times New Roman" w:hAnsi="Times New Roman" w:cs="Times New Roman"/>
          <w:sz w:val="24"/>
          <w:szCs w:val="24"/>
        </w:rPr>
      </w:pPr>
      <w:r w:rsidRPr="0080625C">
        <w:rPr>
          <w:rFonts w:ascii="Times New Roman" w:hAnsi="Times New Roman" w:cs="Times New Roman"/>
          <w:sz w:val="24"/>
          <w:szCs w:val="24"/>
        </w:rPr>
        <w:t>Current Ratio=Current Liabilities/ Current Assets</w:t>
      </w:r>
    </w:p>
    <w:p w14:paraId="4EB36869" w14:textId="77777777" w:rsidR="007F243E" w:rsidRPr="00434B08" w:rsidRDefault="007F243E" w:rsidP="007F243E">
      <w:pPr>
        <w:pStyle w:val="Heading3"/>
        <w:rPr>
          <w:rFonts w:ascii="Times New Roman" w:hAnsi="Times New Roman" w:cs="Times New Roman"/>
        </w:rPr>
      </w:pPr>
      <w:bookmarkStart w:id="12" w:name="_Toc175068497"/>
      <w:r w:rsidRPr="00434B08">
        <w:rPr>
          <w:rFonts w:ascii="Times New Roman" w:hAnsi="Times New Roman" w:cs="Times New Roman"/>
        </w:rPr>
        <w:t>Calculation</w:t>
      </w:r>
      <w:bookmarkEnd w:id="12"/>
    </w:p>
    <w:p w14:paraId="53B95D62" w14:textId="77777777" w:rsidR="00DC4E66" w:rsidRPr="00CF72FA" w:rsidRDefault="00DC4E66" w:rsidP="00DC4E66">
      <w:pPr>
        <w:pStyle w:val="ListParagraph"/>
        <w:numPr>
          <w:ilvl w:val="0"/>
          <w:numId w:val="3"/>
        </w:numPr>
        <w:spacing w:line="360" w:lineRule="auto"/>
        <w:jc w:val="both"/>
        <w:rPr>
          <w:rFonts w:ascii="Times New Roman" w:hAnsi="Times New Roman" w:cs="Times New Roman"/>
          <w:sz w:val="24"/>
          <w:szCs w:val="24"/>
        </w:rPr>
      </w:pPr>
      <w:r w:rsidRPr="00CF72FA">
        <w:rPr>
          <w:rFonts w:ascii="Times New Roman" w:hAnsi="Times New Roman" w:cs="Times New Roman"/>
          <w:sz w:val="24"/>
          <w:szCs w:val="24"/>
        </w:rPr>
        <w:t>2019: 2,800/2,150=1.3</w:t>
      </w:r>
    </w:p>
    <w:p w14:paraId="09405F42" w14:textId="77777777" w:rsidR="00DC4E66" w:rsidRPr="00CF72FA" w:rsidRDefault="00DC4E66" w:rsidP="00DC4E66">
      <w:pPr>
        <w:pStyle w:val="ListParagraph"/>
        <w:numPr>
          <w:ilvl w:val="0"/>
          <w:numId w:val="3"/>
        </w:numPr>
        <w:spacing w:line="360" w:lineRule="auto"/>
        <w:jc w:val="both"/>
        <w:rPr>
          <w:rFonts w:ascii="Times New Roman" w:hAnsi="Times New Roman" w:cs="Times New Roman"/>
          <w:sz w:val="24"/>
          <w:szCs w:val="24"/>
        </w:rPr>
      </w:pPr>
      <w:r w:rsidRPr="00CF72FA">
        <w:rPr>
          <w:rFonts w:ascii="Times New Roman" w:hAnsi="Times New Roman" w:cs="Times New Roman"/>
          <w:sz w:val="24"/>
          <w:szCs w:val="24"/>
        </w:rPr>
        <w:t>2020: 3,150/2,250=1.4</w:t>
      </w:r>
    </w:p>
    <w:p w14:paraId="0593149D" w14:textId="77777777" w:rsidR="00DC4E66" w:rsidRPr="00CF72FA" w:rsidRDefault="00DC4E66" w:rsidP="00DC4E66">
      <w:pPr>
        <w:pStyle w:val="ListParagraph"/>
        <w:numPr>
          <w:ilvl w:val="0"/>
          <w:numId w:val="3"/>
        </w:numPr>
        <w:spacing w:line="360" w:lineRule="auto"/>
        <w:jc w:val="both"/>
        <w:rPr>
          <w:rFonts w:ascii="Times New Roman" w:hAnsi="Times New Roman" w:cs="Times New Roman"/>
          <w:sz w:val="24"/>
          <w:szCs w:val="24"/>
        </w:rPr>
      </w:pPr>
      <w:r w:rsidRPr="00CF72FA">
        <w:rPr>
          <w:rFonts w:ascii="Times New Roman" w:hAnsi="Times New Roman" w:cs="Times New Roman"/>
          <w:sz w:val="24"/>
          <w:szCs w:val="24"/>
        </w:rPr>
        <w:t>2021: 3,800/2,375=1.6</w:t>
      </w:r>
    </w:p>
    <w:p w14:paraId="768A6FE6" w14:textId="77777777" w:rsidR="00DC4E66" w:rsidRPr="00CF72FA" w:rsidRDefault="00DC4E66" w:rsidP="00DC4E66">
      <w:pPr>
        <w:pStyle w:val="ListParagraph"/>
        <w:numPr>
          <w:ilvl w:val="0"/>
          <w:numId w:val="3"/>
        </w:numPr>
        <w:spacing w:line="360" w:lineRule="auto"/>
        <w:jc w:val="both"/>
        <w:rPr>
          <w:rFonts w:ascii="Times New Roman" w:hAnsi="Times New Roman" w:cs="Times New Roman"/>
          <w:sz w:val="24"/>
          <w:szCs w:val="24"/>
        </w:rPr>
      </w:pPr>
      <w:r w:rsidRPr="00CF72FA">
        <w:rPr>
          <w:rFonts w:ascii="Times New Roman" w:hAnsi="Times New Roman" w:cs="Times New Roman"/>
          <w:sz w:val="24"/>
          <w:szCs w:val="24"/>
        </w:rPr>
        <w:t>2022: 3,700/2,450=1.5</w:t>
      </w:r>
    </w:p>
    <w:p w14:paraId="37F3B27B" w14:textId="77777777" w:rsidR="00DC4E66" w:rsidRDefault="00DC4E66" w:rsidP="00DC4E66">
      <w:pPr>
        <w:pStyle w:val="ListParagraph"/>
        <w:numPr>
          <w:ilvl w:val="0"/>
          <w:numId w:val="3"/>
        </w:numPr>
        <w:spacing w:line="360" w:lineRule="auto"/>
        <w:jc w:val="both"/>
        <w:rPr>
          <w:rFonts w:ascii="Times New Roman" w:hAnsi="Times New Roman" w:cs="Times New Roman"/>
          <w:sz w:val="24"/>
          <w:szCs w:val="24"/>
        </w:rPr>
      </w:pPr>
      <w:r w:rsidRPr="00CF72FA">
        <w:rPr>
          <w:rFonts w:ascii="Times New Roman" w:hAnsi="Times New Roman" w:cs="Times New Roman"/>
          <w:sz w:val="24"/>
          <w:szCs w:val="24"/>
        </w:rPr>
        <w:t>2023: 4,250/2,500=1.7</w:t>
      </w:r>
    </w:p>
    <w:p w14:paraId="64C1794B" w14:textId="77777777" w:rsidR="00434B08" w:rsidRDefault="00F7272D" w:rsidP="00434B08">
      <w:pPr>
        <w:spacing w:line="360" w:lineRule="auto"/>
        <w:jc w:val="center"/>
        <w:rPr>
          <w:rFonts w:ascii="Times New Roman" w:hAnsi="Times New Roman" w:cs="Times New Roman"/>
          <w:sz w:val="24"/>
          <w:szCs w:val="24"/>
        </w:rPr>
      </w:pPr>
      <w:r>
        <w:rPr>
          <w:noProof/>
        </w:rPr>
        <w:drawing>
          <wp:inline distT="0" distB="0" distL="0" distR="0" wp14:anchorId="42C7FD6D" wp14:editId="0D522447">
            <wp:extent cx="4572000" cy="2743200"/>
            <wp:effectExtent l="0" t="0" r="0" b="0"/>
            <wp:docPr id="5" name="Chart 5">
              <a:extLst xmlns:a="http://schemas.openxmlformats.org/drawingml/2006/main">
                <a:ext uri="{FF2B5EF4-FFF2-40B4-BE49-F238E27FC236}">
                  <a16:creationId xmlns:a16="http://schemas.microsoft.com/office/drawing/2014/main" id="{BC209F09-5759-44E0-A338-31025FEF425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4092D47E" w14:textId="74EE39F8" w:rsidR="0080625C" w:rsidRPr="00DC4E66" w:rsidRDefault="0080625C" w:rsidP="00434B08">
      <w:pPr>
        <w:spacing w:line="360" w:lineRule="auto"/>
        <w:jc w:val="center"/>
        <w:rPr>
          <w:rFonts w:ascii="Times New Roman" w:hAnsi="Times New Roman" w:cs="Times New Roman"/>
          <w:sz w:val="24"/>
          <w:szCs w:val="24"/>
        </w:rPr>
      </w:pPr>
      <w:r w:rsidRPr="0080625C">
        <w:rPr>
          <w:rFonts w:ascii="Times New Roman" w:hAnsi="Times New Roman" w:cs="Times New Roman"/>
          <w:sz w:val="24"/>
          <w:szCs w:val="24"/>
        </w:rPr>
        <w:lastRenderedPageBreak/>
        <w:t xml:space="preserve">An increase in current ratio consistently over the years indicates more liquidity prompting us to believe that Kingfisher has been meeting its </w:t>
      </w:r>
      <w:r w:rsidR="008378EA" w:rsidRPr="0080625C">
        <w:rPr>
          <w:rFonts w:ascii="Times New Roman" w:hAnsi="Times New Roman" w:cs="Times New Roman"/>
          <w:sz w:val="24"/>
          <w:szCs w:val="24"/>
        </w:rPr>
        <w:t>short-term</w:t>
      </w:r>
      <w:r w:rsidRPr="0080625C">
        <w:rPr>
          <w:rFonts w:ascii="Times New Roman" w:hAnsi="Times New Roman" w:cs="Times New Roman"/>
          <w:sz w:val="24"/>
          <w:szCs w:val="24"/>
        </w:rPr>
        <w:t xml:space="preserve"> obligations efficiently. This improvement mitigates the risk of having any liquidity issues, making more seamless operational management.</w:t>
      </w:r>
    </w:p>
    <w:p w14:paraId="5BEEA995" w14:textId="77777777" w:rsidR="00DC4E66" w:rsidRPr="00CF72FA" w:rsidRDefault="00DC4E66" w:rsidP="00DC4E66">
      <w:pPr>
        <w:pStyle w:val="Heading3"/>
        <w:rPr>
          <w:rFonts w:ascii="Times New Roman" w:hAnsi="Times New Roman" w:cs="Times New Roman"/>
        </w:rPr>
      </w:pPr>
      <w:bookmarkStart w:id="13" w:name="_Toc175068498"/>
      <w:r w:rsidRPr="00CF72FA">
        <w:rPr>
          <w:rFonts w:ascii="Times New Roman" w:hAnsi="Times New Roman" w:cs="Times New Roman"/>
        </w:rPr>
        <w:t>Quick Ratio</w:t>
      </w:r>
      <w:bookmarkEnd w:id="13"/>
    </w:p>
    <w:p w14:paraId="6DECA1BA" w14:textId="77777777" w:rsidR="0080625C" w:rsidRDefault="0080625C" w:rsidP="0080625C">
      <w:pPr>
        <w:spacing w:line="360" w:lineRule="auto"/>
        <w:jc w:val="both"/>
        <w:rPr>
          <w:rFonts w:ascii="Times New Roman" w:hAnsi="Times New Roman" w:cs="Times New Roman"/>
          <w:sz w:val="24"/>
          <w:szCs w:val="24"/>
        </w:rPr>
      </w:pPr>
      <w:r w:rsidRPr="0080625C">
        <w:rPr>
          <w:rFonts w:ascii="Times New Roman" w:hAnsi="Times New Roman" w:cs="Times New Roman"/>
          <w:sz w:val="24"/>
          <w:szCs w:val="24"/>
        </w:rPr>
        <w:t>The quick ratio (also known as the acid-test ratio) is a liquidity calculation that measures a company's ability to cover its short-term obligations with its most liquid assets. Since it does not include inventories, as do current assets, the quick ratio is a more rigorous test of liquidity than the current ratio.</w:t>
      </w:r>
    </w:p>
    <w:p w14:paraId="2A054C4A" w14:textId="77777777" w:rsidR="007F243E" w:rsidRPr="008378EA" w:rsidRDefault="007F243E" w:rsidP="0080625C">
      <w:pPr>
        <w:spacing w:line="360" w:lineRule="auto"/>
        <w:jc w:val="both"/>
        <w:rPr>
          <w:rFonts w:ascii="Times New Roman" w:hAnsi="Times New Roman" w:cs="Times New Roman"/>
          <w:b/>
          <w:bCs/>
          <w:sz w:val="24"/>
          <w:szCs w:val="24"/>
        </w:rPr>
      </w:pPr>
      <w:r w:rsidRPr="008378EA">
        <w:rPr>
          <w:rFonts w:ascii="Times New Roman" w:hAnsi="Times New Roman" w:cs="Times New Roman"/>
          <w:b/>
          <w:bCs/>
          <w:sz w:val="24"/>
          <w:szCs w:val="24"/>
        </w:rPr>
        <w:t>Formula</w:t>
      </w:r>
    </w:p>
    <w:p w14:paraId="284C8621" w14:textId="77777777" w:rsidR="0080625C" w:rsidRDefault="0080625C" w:rsidP="00DC4E66">
      <w:pPr>
        <w:spacing w:line="360" w:lineRule="auto"/>
        <w:jc w:val="both"/>
        <w:rPr>
          <w:rFonts w:ascii="Times New Roman" w:hAnsi="Times New Roman" w:cs="Times New Roman"/>
          <w:sz w:val="24"/>
          <w:szCs w:val="24"/>
        </w:rPr>
      </w:pPr>
      <w:r w:rsidRPr="0080625C">
        <w:rPr>
          <w:rFonts w:ascii="Times New Roman" w:hAnsi="Times New Roman" w:cs="Times New Roman"/>
          <w:sz w:val="24"/>
          <w:szCs w:val="24"/>
        </w:rPr>
        <w:t>Quick Ratio = (Current Assets — Inventories) / Current Liabilities</w:t>
      </w:r>
    </w:p>
    <w:p w14:paraId="1AC27243" w14:textId="77777777" w:rsidR="007F243E" w:rsidRPr="00434B08" w:rsidRDefault="007F243E" w:rsidP="007F243E">
      <w:pPr>
        <w:pStyle w:val="Heading3"/>
        <w:rPr>
          <w:rFonts w:ascii="Times New Roman" w:hAnsi="Times New Roman" w:cs="Times New Roman"/>
        </w:rPr>
      </w:pPr>
      <w:bookmarkStart w:id="14" w:name="_Toc175068499"/>
      <w:r w:rsidRPr="00434B08">
        <w:rPr>
          <w:rFonts w:ascii="Times New Roman" w:hAnsi="Times New Roman" w:cs="Times New Roman"/>
        </w:rPr>
        <w:t>Calculation</w:t>
      </w:r>
      <w:bookmarkEnd w:id="14"/>
    </w:p>
    <w:p w14:paraId="30A638C0" w14:textId="77777777" w:rsidR="00DC4E66" w:rsidRPr="00CF72FA" w:rsidRDefault="00DC4E66" w:rsidP="00401662">
      <w:pPr>
        <w:pStyle w:val="ListParagraph"/>
        <w:numPr>
          <w:ilvl w:val="0"/>
          <w:numId w:val="4"/>
        </w:numPr>
        <w:spacing w:line="360" w:lineRule="auto"/>
        <w:jc w:val="both"/>
        <w:rPr>
          <w:rFonts w:ascii="Times New Roman" w:hAnsi="Times New Roman" w:cs="Times New Roman"/>
          <w:sz w:val="24"/>
          <w:szCs w:val="24"/>
        </w:rPr>
      </w:pPr>
      <w:r w:rsidRPr="00CF72FA">
        <w:rPr>
          <w:rFonts w:ascii="Times New Roman" w:hAnsi="Times New Roman" w:cs="Times New Roman"/>
          <w:sz w:val="24"/>
          <w:szCs w:val="24"/>
        </w:rPr>
        <w:t>2019: 2,800−1,150</w:t>
      </w:r>
      <w:r w:rsidR="00401662" w:rsidRPr="00CF72FA">
        <w:rPr>
          <w:rFonts w:ascii="Times New Roman" w:hAnsi="Times New Roman" w:cs="Times New Roman"/>
          <w:sz w:val="24"/>
          <w:szCs w:val="24"/>
        </w:rPr>
        <w:t>/</w:t>
      </w:r>
      <w:r w:rsidRPr="00CF72FA">
        <w:rPr>
          <w:rFonts w:ascii="Times New Roman" w:hAnsi="Times New Roman" w:cs="Times New Roman"/>
          <w:sz w:val="24"/>
          <w:szCs w:val="24"/>
        </w:rPr>
        <w:t>2,150=0.8</w:t>
      </w:r>
    </w:p>
    <w:p w14:paraId="73DBF15E" w14:textId="77777777" w:rsidR="00DC4E66" w:rsidRPr="00CF72FA" w:rsidRDefault="00DC4E66" w:rsidP="00401662">
      <w:pPr>
        <w:pStyle w:val="ListParagraph"/>
        <w:numPr>
          <w:ilvl w:val="0"/>
          <w:numId w:val="4"/>
        </w:numPr>
        <w:spacing w:line="360" w:lineRule="auto"/>
        <w:jc w:val="both"/>
        <w:rPr>
          <w:rFonts w:ascii="Times New Roman" w:hAnsi="Times New Roman" w:cs="Times New Roman"/>
          <w:sz w:val="24"/>
          <w:szCs w:val="24"/>
        </w:rPr>
      </w:pPr>
      <w:r w:rsidRPr="00CF72FA">
        <w:rPr>
          <w:rFonts w:ascii="Times New Roman" w:hAnsi="Times New Roman" w:cs="Times New Roman"/>
          <w:sz w:val="24"/>
          <w:szCs w:val="24"/>
        </w:rPr>
        <w:t>2020: 3,150−1,300</w:t>
      </w:r>
      <w:r w:rsidR="00401662" w:rsidRPr="00CF72FA">
        <w:rPr>
          <w:rFonts w:ascii="Times New Roman" w:hAnsi="Times New Roman" w:cs="Times New Roman"/>
          <w:sz w:val="24"/>
          <w:szCs w:val="24"/>
        </w:rPr>
        <w:t>/</w:t>
      </w:r>
      <w:r w:rsidRPr="00CF72FA">
        <w:rPr>
          <w:rFonts w:ascii="Times New Roman" w:hAnsi="Times New Roman" w:cs="Times New Roman"/>
          <w:sz w:val="24"/>
          <w:szCs w:val="24"/>
        </w:rPr>
        <w:t>2,250=0.9</w:t>
      </w:r>
    </w:p>
    <w:p w14:paraId="57C79843" w14:textId="77777777" w:rsidR="00DC4E66" w:rsidRPr="00CF72FA" w:rsidRDefault="00DC4E66" w:rsidP="00401662">
      <w:pPr>
        <w:pStyle w:val="ListParagraph"/>
        <w:numPr>
          <w:ilvl w:val="0"/>
          <w:numId w:val="4"/>
        </w:numPr>
        <w:spacing w:line="360" w:lineRule="auto"/>
        <w:jc w:val="both"/>
        <w:rPr>
          <w:rFonts w:ascii="Times New Roman" w:hAnsi="Times New Roman" w:cs="Times New Roman"/>
          <w:sz w:val="24"/>
          <w:szCs w:val="24"/>
        </w:rPr>
      </w:pPr>
      <w:r w:rsidRPr="00CF72FA">
        <w:rPr>
          <w:rFonts w:ascii="Times New Roman" w:hAnsi="Times New Roman" w:cs="Times New Roman"/>
          <w:sz w:val="24"/>
          <w:szCs w:val="24"/>
        </w:rPr>
        <w:t>2021: 3,800−1,350</w:t>
      </w:r>
      <w:r w:rsidR="00401662" w:rsidRPr="00CF72FA">
        <w:rPr>
          <w:rFonts w:ascii="Times New Roman" w:hAnsi="Times New Roman" w:cs="Times New Roman"/>
          <w:sz w:val="24"/>
          <w:szCs w:val="24"/>
        </w:rPr>
        <w:t>/</w:t>
      </w:r>
      <w:r w:rsidRPr="00CF72FA">
        <w:rPr>
          <w:rFonts w:ascii="Times New Roman" w:hAnsi="Times New Roman" w:cs="Times New Roman"/>
          <w:sz w:val="24"/>
          <w:szCs w:val="24"/>
        </w:rPr>
        <w:t>2,375=1.0</w:t>
      </w:r>
    </w:p>
    <w:p w14:paraId="1F291896" w14:textId="77777777" w:rsidR="00DC4E66" w:rsidRPr="00CF72FA" w:rsidRDefault="00DC4E66" w:rsidP="00401662">
      <w:pPr>
        <w:pStyle w:val="ListParagraph"/>
        <w:numPr>
          <w:ilvl w:val="0"/>
          <w:numId w:val="4"/>
        </w:numPr>
        <w:spacing w:line="360" w:lineRule="auto"/>
        <w:jc w:val="both"/>
        <w:rPr>
          <w:rFonts w:ascii="Times New Roman" w:hAnsi="Times New Roman" w:cs="Times New Roman"/>
          <w:sz w:val="24"/>
          <w:szCs w:val="24"/>
        </w:rPr>
      </w:pPr>
      <w:r w:rsidRPr="00CF72FA">
        <w:rPr>
          <w:rFonts w:ascii="Times New Roman" w:hAnsi="Times New Roman" w:cs="Times New Roman"/>
          <w:sz w:val="24"/>
          <w:szCs w:val="24"/>
        </w:rPr>
        <w:t>2022: 3,700−1,300</w:t>
      </w:r>
      <w:r w:rsidR="00401662" w:rsidRPr="00CF72FA">
        <w:rPr>
          <w:rFonts w:ascii="Times New Roman" w:hAnsi="Times New Roman" w:cs="Times New Roman"/>
          <w:sz w:val="24"/>
          <w:szCs w:val="24"/>
        </w:rPr>
        <w:t>/</w:t>
      </w:r>
      <w:r w:rsidRPr="00CF72FA">
        <w:rPr>
          <w:rFonts w:ascii="Times New Roman" w:hAnsi="Times New Roman" w:cs="Times New Roman"/>
          <w:sz w:val="24"/>
          <w:szCs w:val="24"/>
        </w:rPr>
        <w:t>2,450=1.0</w:t>
      </w:r>
    </w:p>
    <w:p w14:paraId="06A0E898" w14:textId="77777777" w:rsidR="00DC4E66" w:rsidRDefault="00DC4E66" w:rsidP="00401662">
      <w:pPr>
        <w:pStyle w:val="ListParagraph"/>
        <w:numPr>
          <w:ilvl w:val="0"/>
          <w:numId w:val="4"/>
        </w:numPr>
        <w:spacing w:line="360" w:lineRule="auto"/>
        <w:jc w:val="both"/>
        <w:rPr>
          <w:rFonts w:ascii="Times New Roman" w:hAnsi="Times New Roman" w:cs="Times New Roman"/>
          <w:sz w:val="24"/>
          <w:szCs w:val="24"/>
        </w:rPr>
      </w:pPr>
      <w:r w:rsidRPr="00CF72FA">
        <w:rPr>
          <w:rFonts w:ascii="Times New Roman" w:hAnsi="Times New Roman" w:cs="Times New Roman"/>
          <w:sz w:val="24"/>
          <w:szCs w:val="24"/>
        </w:rPr>
        <w:t>2023: 4,250−1,300</w:t>
      </w:r>
      <w:r w:rsidR="00401662" w:rsidRPr="00CF72FA">
        <w:rPr>
          <w:rFonts w:ascii="Times New Roman" w:hAnsi="Times New Roman" w:cs="Times New Roman"/>
          <w:sz w:val="24"/>
          <w:szCs w:val="24"/>
        </w:rPr>
        <w:t>/</w:t>
      </w:r>
      <w:r w:rsidRPr="00CF72FA">
        <w:rPr>
          <w:rFonts w:ascii="Times New Roman" w:hAnsi="Times New Roman" w:cs="Times New Roman"/>
          <w:sz w:val="24"/>
          <w:szCs w:val="24"/>
        </w:rPr>
        <w:t>2,500=1.2</w:t>
      </w:r>
    </w:p>
    <w:p w14:paraId="6607C83D" w14:textId="77777777" w:rsidR="00F7272D" w:rsidRPr="00F7272D" w:rsidRDefault="00F7272D" w:rsidP="00F7272D">
      <w:pPr>
        <w:spacing w:line="360" w:lineRule="auto"/>
        <w:jc w:val="center"/>
        <w:rPr>
          <w:rFonts w:ascii="Times New Roman" w:hAnsi="Times New Roman" w:cs="Times New Roman"/>
          <w:sz w:val="24"/>
          <w:szCs w:val="24"/>
        </w:rPr>
      </w:pPr>
      <w:r>
        <w:rPr>
          <w:noProof/>
        </w:rPr>
        <w:drawing>
          <wp:inline distT="0" distB="0" distL="0" distR="0" wp14:anchorId="23467DEE" wp14:editId="6259C789">
            <wp:extent cx="4572000" cy="2743200"/>
            <wp:effectExtent l="0" t="0" r="0" b="0"/>
            <wp:docPr id="7" name="Chart 7">
              <a:extLst xmlns:a="http://schemas.openxmlformats.org/drawingml/2006/main">
                <a:ext uri="{FF2B5EF4-FFF2-40B4-BE49-F238E27FC236}">
                  <a16:creationId xmlns:a16="http://schemas.microsoft.com/office/drawing/2014/main" id="{77EFD975-0E60-4244-B390-28C4989BAF9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660B53C1" w14:textId="4F88A79B" w:rsidR="00434B08" w:rsidRDefault="0080625C" w:rsidP="00DC4E66">
      <w:pPr>
        <w:spacing w:line="360" w:lineRule="auto"/>
        <w:jc w:val="both"/>
        <w:rPr>
          <w:rFonts w:ascii="Times New Roman" w:hAnsi="Times New Roman" w:cs="Times New Roman"/>
          <w:sz w:val="24"/>
          <w:szCs w:val="24"/>
        </w:rPr>
      </w:pPr>
      <w:r w:rsidRPr="0080625C">
        <w:rPr>
          <w:rFonts w:ascii="Times New Roman" w:hAnsi="Times New Roman" w:cs="Times New Roman"/>
          <w:sz w:val="24"/>
          <w:szCs w:val="24"/>
        </w:rPr>
        <w:t xml:space="preserve">It has a </w:t>
      </w:r>
      <w:r w:rsidR="00434B08" w:rsidRPr="0080625C">
        <w:rPr>
          <w:rFonts w:ascii="Times New Roman" w:hAnsi="Times New Roman" w:cs="Times New Roman"/>
          <w:sz w:val="24"/>
          <w:szCs w:val="24"/>
        </w:rPr>
        <w:t>quick ratio improvement (current liabilities/quick assets)</w:t>
      </w:r>
      <w:r w:rsidRPr="0080625C">
        <w:rPr>
          <w:rFonts w:ascii="Times New Roman" w:hAnsi="Times New Roman" w:cs="Times New Roman"/>
          <w:sz w:val="24"/>
          <w:szCs w:val="24"/>
        </w:rPr>
        <w:t xml:space="preserve"> further over the years, implying that Kingfisher has been managing its most liquid sources of cash through the past period. The </w:t>
      </w:r>
      <w:r w:rsidRPr="0080625C">
        <w:rPr>
          <w:rFonts w:ascii="Times New Roman" w:hAnsi="Times New Roman" w:cs="Times New Roman"/>
          <w:sz w:val="24"/>
          <w:szCs w:val="24"/>
        </w:rPr>
        <w:lastRenderedPageBreak/>
        <w:t>increase indicates that the firm can finance its short-term obligations without selling inventory, which is an important aspect of improving financial strength.</w:t>
      </w:r>
    </w:p>
    <w:p w14:paraId="1A1C80E3" w14:textId="77777777" w:rsidR="00434B08" w:rsidRPr="00DC4E66" w:rsidRDefault="00434B08" w:rsidP="00DC4E66">
      <w:pPr>
        <w:spacing w:line="360" w:lineRule="auto"/>
        <w:jc w:val="both"/>
        <w:rPr>
          <w:rFonts w:ascii="Times New Roman" w:hAnsi="Times New Roman" w:cs="Times New Roman"/>
          <w:sz w:val="24"/>
          <w:szCs w:val="24"/>
        </w:rPr>
      </w:pPr>
    </w:p>
    <w:p w14:paraId="49D2708A" w14:textId="77777777" w:rsidR="00DC4E66" w:rsidRPr="00CF72FA" w:rsidRDefault="00DC4E66" w:rsidP="00DC4E66">
      <w:pPr>
        <w:pStyle w:val="Heading2"/>
        <w:rPr>
          <w:rFonts w:ascii="Times New Roman" w:hAnsi="Times New Roman" w:cs="Times New Roman"/>
        </w:rPr>
      </w:pPr>
      <w:bookmarkStart w:id="15" w:name="_Toc175068500"/>
      <w:r w:rsidRPr="00CF72FA">
        <w:rPr>
          <w:rFonts w:ascii="Times New Roman" w:hAnsi="Times New Roman" w:cs="Times New Roman"/>
        </w:rPr>
        <w:t>Gearing Ratios</w:t>
      </w:r>
      <w:bookmarkEnd w:id="15"/>
    </w:p>
    <w:p w14:paraId="29344815" w14:textId="77777777" w:rsidR="00DC4E66" w:rsidRPr="00CF72FA" w:rsidRDefault="00DC4E66" w:rsidP="00DC4E66">
      <w:pPr>
        <w:pStyle w:val="Heading3"/>
        <w:rPr>
          <w:rFonts w:ascii="Times New Roman" w:hAnsi="Times New Roman" w:cs="Times New Roman"/>
        </w:rPr>
      </w:pPr>
      <w:bookmarkStart w:id="16" w:name="_Toc175068501"/>
      <w:r w:rsidRPr="00CF72FA">
        <w:rPr>
          <w:rFonts w:ascii="Times New Roman" w:hAnsi="Times New Roman" w:cs="Times New Roman"/>
        </w:rPr>
        <w:t>Debt-to-Equity Ratio</w:t>
      </w:r>
      <w:bookmarkEnd w:id="16"/>
    </w:p>
    <w:p w14:paraId="55BE2153" w14:textId="77777777" w:rsidR="0080625C" w:rsidRPr="0080625C" w:rsidRDefault="0080625C" w:rsidP="0080625C">
      <w:pPr>
        <w:spacing w:line="360" w:lineRule="auto"/>
        <w:jc w:val="both"/>
        <w:rPr>
          <w:rFonts w:ascii="Times New Roman" w:hAnsi="Times New Roman" w:cs="Times New Roman"/>
          <w:sz w:val="24"/>
          <w:szCs w:val="24"/>
        </w:rPr>
      </w:pPr>
      <w:r w:rsidRPr="0080625C">
        <w:rPr>
          <w:rFonts w:ascii="Times New Roman" w:hAnsi="Times New Roman" w:cs="Times New Roman"/>
          <w:sz w:val="24"/>
          <w:szCs w:val="24"/>
        </w:rPr>
        <w:t>The debt-to-equity ratio is the metric used to determine the amount of shareholders' equity and debt a company uses in order finance its assets. A lower ratio typically signifies a financially stronger business and less risk.</w:t>
      </w:r>
    </w:p>
    <w:p w14:paraId="7A1142DE" w14:textId="77777777" w:rsidR="0080625C" w:rsidRDefault="0080625C" w:rsidP="00DC4E66">
      <w:pPr>
        <w:spacing w:line="360" w:lineRule="auto"/>
        <w:jc w:val="both"/>
        <w:rPr>
          <w:rFonts w:ascii="Times New Roman" w:hAnsi="Times New Roman" w:cs="Times New Roman"/>
          <w:sz w:val="24"/>
          <w:szCs w:val="24"/>
        </w:rPr>
      </w:pPr>
      <w:r w:rsidRPr="0080625C">
        <w:rPr>
          <w:rFonts w:ascii="Times New Roman" w:hAnsi="Times New Roman" w:cs="Times New Roman"/>
          <w:sz w:val="24"/>
          <w:szCs w:val="24"/>
        </w:rPr>
        <w:t>The debt-to-equity ratio shows a slight incremental leverage, only to stabilize in 2021. This indicates that Kingfisher has a fairly balanced capital structure, which would suggest it could leverage debt to increase the potential for profit through product expansion and new ideas without increasing financial risk too much. This diversification of business allows these companies to manage their financial risk better and ensure that they are not fully committed in one area which gives them the ability to reinvest.</w:t>
      </w:r>
    </w:p>
    <w:p w14:paraId="033F3710" w14:textId="77777777" w:rsidR="007F243E" w:rsidRPr="007F243E" w:rsidRDefault="007F243E" w:rsidP="00DC4E66">
      <w:pPr>
        <w:spacing w:line="360" w:lineRule="auto"/>
        <w:jc w:val="both"/>
        <w:rPr>
          <w:rFonts w:ascii="Times New Roman" w:hAnsi="Times New Roman" w:cs="Times New Roman"/>
          <w:b/>
          <w:bCs/>
          <w:sz w:val="24"/>
          <w:szCs w:val="24"/>
        </w:rPr>
      </w:pPr>
      <w:r w:rsidRPr="007F243E">
        <w:rPr>
          <w:rFonts w:ascii="Times New Roman" w:hAnsi="Times New Roman" w:cs="Times New Roman"/>
          <w:b/>
          <w:bCs/>
          <w:sz w:val="24"/>
          <w:szCs w:val="24"/>
        </w:rPr>
        <w:t>Formula</w:t>
      </w:r>
    </w:p>
    <w:p w14:paraId="2B301065" w14:textId="77777777" w:rsidR="00DC4E66" w:rsidRDefault="00DC4E66" w:rsidP="00DC4E66">
      <w:pPr>
        <w:spacing w:line="360" w:lineRule="auto"/>
        <w:jc w:val="both"/>
        <w:rPr>
          <w:rFonts w:ascii="Times New Roman" w:hAnsi="Times New Roman" w:cs="Times New Roman"/>
          <w:b/>
          <w:bCs/>
          <w:sz w:val="24"/>
          <w:szCs w:val="24"/>
        </w:rPr>
      </w:pPr>
      <w:r w:rsidRPr="00DC4E66">
        <w:rPr>
          <w:rFonts w:ascii="Times New Roman" w:hAnsi="Times New Roman" w:cs="Times New Roman"/>
          <w:b/>
          <w:bCs/>
          <w:sz w:val="24"/>
          <w:szCs w:val="24"/>
        </w:rPr>
        <w:t>Debt-to-Equity Ratio=Total Debt</w:t>
      </w:r>
      <w:r w:rsidRPr="00CF72FA">
        <w:rPr>
          <w:rFonts w:ascii="Times New Roman" w:hAnsi="Times New Roman" w:cs="Times New Roman"/>
          <w:b/>
          <w:bCs/>
          <w:sz w:val="24"/>
          <w:szCs w:val="24"/>
        </w:rPr>
        <w:t xml:space="preserve"> / </w:t>
      </w:r>
      <w:r w:rsidRPr="00DC4E66">
        <w:rPr>
          <w:rFonts w:ascii="Times New Roman" w:hAnsi="Times New Roman" w:cs="Times New Roman"/>
          <w:b/>
          <w:bCs/>
          <w:sz w:val="24"/>
          <w:szCs w:val="24"/>
        </w:rPr>
        <w:t>Total Equity</w:t>
      </w:r>
    </w:p>
    <w:p w14:paraId="6DF1B348" w14:textId="77777777" w:rsidR="007F243E" w:rsidRPr="00434B08" w:rsidRDefault="007F243E" w:rsidP="007F243E">
      <w:pPr>
        <w:pStyle w:val="Heading3"/>
        <w:rPr>
          <w:rFonts w:ascii="Times New Roman" w:hAnsi="Times New Roman" w:cs="Times New Roman"/>
        </w:rPr>
      </w:pPr>
      <w:bookmarkStart w:id="17" w:name="_Toc175068502"/>
      <w:r w:rsidRPr="00434B08">
        <w:rPr>
          <w:rFonts w:ascii="Times New Roman" w:hAnsi="Times New Roman" w:cs="Times New Roman"/>
        </w:rPr>
        <w:t>Calculation</w:t>
      </w:r>
      <w:bookmarkEnd w:id="17"/>
    </w:p>
    <w:p w14:paraId="6C77B1A9" w14:textId="77777777" w:rsidR="00401662" w:rsidRPr="00434B08" w:rsidRDefault="00401662" w:rsidP="00401662">
      <w:pPr>
        <w:spacing w:line="360" w:lineRule="auto"/>
        <w:jc w:val="both"/>
        <w:rPr>
          <w:rFonts w:ascii="Times New Roman" w:hAnsi="Times New Roman" w:cs="Times New Roman"/>
          <w:sz w:val="24"/>
          <w:szCs w:val="24"/>
        </w:rPr>
      </w:pPr>
      <w:r w:rsidRPr="00434B08">
        <w:rPr>
          <w:rFonts w:ascii="Times New Roman" w:hAnsi="Times New Roman" w:cs="Times New Roman"/>
          <w:sz w:val="24"/>
          <w:szCs w:val="24"/>
        </w:rPr>
        <w:t>2019: 1,2003/,000=0.4</w:t>
      </w:r>
    </w:p>
    <w:p w14:paraId="46E79ECC" w14:textId="77777777" w:rsidR="00401662" w:rsidRPr="00434B08" w:rsidRDefault="00401662" w:rsidP="00401662">
      <w:pPr>
        <w:spacing w:line="360" w:lineRule="auto"/>
        <w:jc w:val="both"/>
        <w:rPr>
          <w:rFonts w:ascii="Times New Roman" w:hAnsi="Times New Roman" w:cs="Times New Roman"/>
          <w:sz w:val="24"/>
          <w:szCs w:val="24"/>
        </w:rPr>
      </w:pPr>
      <w:r w:rsidRPr="00434B08">
        <w:rPr>
          <w:rFonts w:ascii="Times New Roman" w:hAnsi="Times New Roman" w:cs="Times New Roman"/>
          <w:sz w:val="24"/>
          <w:szCs w:val="24"/>
        </w:rPr>
        <w:t>2020: 1,500/3,000=0.5</w:t>
      </w:r>
    </w:p>
    <w:p w14:paraId="3EC3E26F" w14:textId="77777777" w:rsidR="00401662" w:rsidRPr="00434B08" w:rsidRDefault="00401662" w:rsidP="00401662">
      <w:pPr>
        <w:spacing w:line="360" w:lineRule="auto"/>
        <w:jc w:val="both"/>
        <w:rPr>
          <w:rFonts w:ascii="Times New Roman" w:hAnsi="Times New Roman" w:cs="Times New Roman"/>
          <w:sz w:val="24"/>
          <w:szCs w:val="24"/>
        </w:rPr>
      </w:pPr>
      <w:r w:rsidRPr="00434B08">
        <w:rPr>
          <w:rFonts w:ascii="Times New Roman" w:hAnsi="Times New Roman" w:cs="Times New Roman"/>
          <w:sz w:val="24"/>
          <w:szCs w:val="24"/>
        </w:rPr>
        <w:t>2021: 1,800/3,000=0.6</w:t>
      </w:r>
    </w:p>
    <w:p w14:paraId="7BD28C7F" w14:textId="77777777" w:rsidR="00401662" w:rsidRPr="00434B08" w:rsidRDefault="00401662" w:rsidP="00401662">
      <w:pPr>
        <w:spacing w:line="360" w:lineRule="auto"/>
        <w:jc w:val="both"/>
        <w:rPr>
          <w:rFonts w:ascii="Times New Roman" w:hAnsi="Times New Roman" w:cs="Times New Roman"/>
          <w:sz w:val="24"/>
          <w:szCs w:val="24"/>
        </w:rPr>
      </w:pPr>
      <w:r w:rsidRPr="00434B08">
        <w:rPr>
          <w:rFonts w:ascii="Times New Roman" w:hAnsi="Times New Roman" w:cs="Times New Roman"/>
          <w:sz w:val="24"/>
          <w:szCs w:val="24"/>
        </w:rPr>
        <w:t>2022: 1,650/3,100=0.5</w:t>
      </w:r>
    </w:p>
    <w:p w14:paraId="5764CB9D" w14:textId="77777777" w:rsidR="00401662" w:rsidRPr="00434B08" w:rsidRDefault="00401662" w:rsidP="00401662">
      <w:pPr>
        <w:spacing w:line="360" w:lineRule="auto"/>
        <w:jc w:val="both"/>
        <w:rPr>
          <w:rFonts w:ascii="Times New Roman" w:hAnsi="Times New Roman" w:cs="Times New Roman"/>
          <w:sz w:val="24"/>
          <w:szCs w:val="24"/>
        </w:rPr>
      </w:pPr>
      <w:r w:rsidRPr="00434B08">
        <w:rPr>
          <w:rFonts w:ascii="Times New Roman" w:hAnsi="Times New Roman" w:cs="Times New Roman"/>
          <w:sz w:val="24"/>
          <w:szCs w:val="24"/>
        </w:rPr>
        <w:t>2023: 1,700/3,300=0.5</w:t>
      </w:r>
    </w:p>
    <w:p w14:paraId="50E41A07" w14:textId="77777777" w:rsidR="00F7272D" w:rsidRPr="00DC4E66" w:rsidRDefault="00F7272D" w:rsidP="00F7272D">
      <w:pPr>
        <w:spacing w:line="360" w:lineRule="auto"/>
        <w:jc w:val="center"/>
        <w:rPr>
          <w:rFonts w:ascii="Times New Roman" w:hAnsi="Times New Roman" w:cs="Times New Roman"/>
          <w:b/>
          <w:bCs/>
          <w:sz w:val="24"/>
          <w:szCs w:val="24"/>
        </w:rPr>
      </w:pPr>
      <w:r>
        <w:rPr>
          <w:noProof/>
        </w:rPr>
        <w:lastRenderedPageBreak/>
        <w:drawing>
          <wp:inline distT="0" distB="0" distL="0" distR="0" wp14:anchorId="2948B5D4" wp14:editId="65743E6F">
            <wp:extent cx="4572000" cy="2743200"/>
            <wp:effectExtent l="0" t="0" r="0" b="0"/>
            <wp:docPr id="33" name="Chart 33">
              <a:extLst xmlns:a="http://schemas.openxmlformats.org/drawingml/2006/main">
                <a:ext uri="{FF2B5EF4-FFF2-40B4-BE49-F238E27FC236}">
                  <a16:creationId xmlns:a16="http://schemas.microsoft.com/office/drawing/2014/main" id="{4F651482-9103-4B14-A245-FDEC7505736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59C77022" w14:textId="77777777" w:rsidR="0080625C" w:rsidRDefault="0080625C" w:rsidP="0080625C"/>
    <w:p w14:paraId="5EFC0BFC" w14:textId="77777777" w:rsidR="00434B08" w:rsidRDefault="00434B08" w:rsidP="0080625C"/>
    <w:p w14:paraId="5325B047" w14:textId="77777777" w:rsidR="00DC4E66" w:rsidRPr="00CF72FA" w:rsidRDefault="00DC4E66" w:rsidP="00DC4E66">
      <w:pPr>
        <w:pStyle w:val="Heading2"/>
        <w:rPr>
          <w:rFonts w:ascii="Times New Roman" w:hAnsi="Times New Roman" w:cs="Times New Roman"/>
        </w:rPr>
      </w:pPr>
      <w:bookmarkStart w:id="18" w:name="_Toc175068503"/>
      <w:r w:rsidRPr="00CF72FA">
        <w:rPr>
          <w:rFonts w:ascii="Times New Roman" w:hAnsi="Times New Roman" w:cs="Times New Roman"/>
        </w:rPr>
        <w:t>Efficiency Ratios</w:t>
      </w:r>
      <w:bookmarkEnd w:id="18"/>
    </w:p>
    <w:p w14:paraId="67E86B28" w14:textId="77777777" w:rsidR="00DC4E66" w:rsidRPr="00CF72FA" w:rsidRDefault="00DC4E66" w:rsidP="00DC4E66">
      <w:pPr>
        <w:pStyle w:val="Heading3"/>
        <w:rPr>
          <w:rFonts w:ascii="Times New Roman" w:hAnsi="Times New Roman" w:cs="Times New Roman"/>
        </w:rPr>
      </w:pPr>
      <w:bookmarkStart w:id="19" w:name="_Toc175068504"/>
      <w:r w:rsidRPr="00CF72FA">
        <w:rPr>
          <w:rFonts w:ascii="Times New Roman" w:hAnsi="Times New Roman" w:cs="Times New Roman"/>
        </w:rPr>
        <w:t>Inventory Turnover</w:t>
      </w:r>
      <w:bookmarkEnd w:id="19"/>
    </w:p>
    <w:p w14:paraId="5A63D5CA" w14:textId="77777777" w:rsidR="0080625C" w:rsidRPr="0080625C" w:rsidRDefault="0080625C" w:rsidP="0080625C">
      <w:pPr>
        <w:spacing w:line="360" w:lineRule="auto"/>
        <w:jc w:val="both"/>
        <w:rPr>
          <w:rFonts w:ascii="Times New Roman" w:hAnsi="Times New Roman" w:cs="Times New Roman"/>
          <w:sz w:val="24"/>
          <w:szCs w:val="24"/>
        </w:rPr>
      </w:pPr>
      <w:r w:rsidRPr="0080625C">
        <w:rPr>
          <w:rFonts w:ascii="Times New Roman" w:hAnsi="Times New Roman" w:cs="Times New Roman"/>
          <w:sz w:val="24"/>
          <w:szCs w:val="24"/>
        </w:rPr>
        <w:t>Inventory turnover ratio: The inventory turnover ratio shows how many times a company sells and replaces its stock of goods over the course of year. If the ratio is high, it shows that inventory management has been efficient.</w:t>
      </w:r>
    </w:p>
    <w:p w14:paraId="430D94AD" w14:textId="77777777" w:rsidR="0080625C" w:rsidRDefault="0080625C" w:rsidP="00DC4E66">
      <w:pPr>
        <w:spacing w:line="360" w:lineRule="auto"/>
        <w:jc w:val="both"/>
        <w:rPr>
          <w:rFonts w:ascii="Times New Roman" w:hAnsi="Times New Roman" w:cs="Times New Roman"/>
          <w:sz w:val="24"/>
          <w:szCs w:val="24"/>
        </w:rPr>
      </w:pPr>
      <w:r w:rsidRPr="0080625C">
        <w:rPr>
          <w:rFonts w:ascii="Times New Roman" w:hAnsi="Times New Roman" w:cs="Times New Roman"/>
          <w:sz w:val="24"/>
          <w:szCs w:val="24"/>
        </w:rPr>
        <w:t>A low inventory turnover ratio and healthy indicate that the company is managing its inventories pretty efficiently, even in covid times. Good inventory management means the business does not overstock or understock reducing holding costs and cash flow.</w:t>
      </w:r>
    </w:p>
    <w:p w14:paraId="7B0D9912" w14:textId="77777777" w:rsidR="007F243E" w:rsidRPr="00DC4E66" w:rsidRDefault="007F243E" w:rsidP="00DC4E66">
      <w:pPr>
        <w:spacing w:line="360" w:lineRule="auto"/>
        <w:jc w:val="both"/>
        <w:rPr>
          <w:rFonts w:ascii="Times New Roman" w:hAnsi="Times New Roman" w:cs="Times New Roman"/>
          <w:sz w:val="24"/>
          <w:szCs w:val="24"/>
        </w:rPr>
      </w:pPr>
      <w:r>
        <w:rPr>
          <w:rFonts w:ascii="Times New Roman" w:hAnsi="Times New Roman" w:cs="Times New Roman"/>
          <w:sz w:val="24"/>
          <w:szCs w:val="24"/>
        </w:rPr>
        <w:t>Formula</w:t>
      </w:r>
    </w:p>
    <w:p w14:paraId="53B63AC7" w14:textId="77777777" w:rsidR="00DC4E66" w:rsidRDefault="00DC4E66" w:rsidP="00DC4E66">
      <w:pPr>
        <w:spacing w:line="360" w:lineRule="auto"/>
        <w:jc w:val="both"/>
        <w:rPr>
          <w:rFonts w:ascii="Times New Roman" w:hAnsi="Times New Roman" w:cs="Times New Roman"/>
          <w:b/>
          <w:bCs/>
          <w:sz w:val="24"/>
          <w:szCs w:val="24"/>
        </w:rPr>
      </w:pPr>
      <w:r w:rsidRPr="00DC4E66">
        <w:rPr>
          <w:rFonts w:ascii="Times New Roman" w:hAnsi="Times New Roman" w:cs="Times New Roman"/>
          <w:b/>
          <w:bCs/>
          <w:sz w:val="24"/>
          <w:szCs w:val="24"/>
        </w:rPr>
        <w:t>Inventory Turnover=Cost of Goods Sold</w:t>
      </w:r>
      <w:r w:rsidRPr="00CF72FA">
        <w:rPr>
          <w:rFonts w:ascii="Times New Roman" w:hAnsi="Times New Roman" w:cs="Times New Roman"/>
          <w:b/>
          <w:bCs/>
          <w:sz w:val="24"/>
          <w:szCs w:val="24"/>
        </w:rPr>
        <w:t xml:space="preserve"> / </w:t>
      </w:r>
      <w:r w:rsidRPr="00DC4E66">
        <w:rPr>
          <w:rFonts w:ascii="Times New Roman" w:hAnsi="Times New Roman" w:cs="Times New Roman"/>
          <w:b/>
          <w:bCs/>
          <w:sz w:val="24"/>
          <w:szCs w:val="24"/>
        </w:rPr>
        <w:t>Average Inventory</w:t>
      </w:r>
    </w:p>
    <w:p w14:paraId="10F9CC39" w14:textId="77777777" w:rsidR="007F243E" w:rsidRPr="007F243E" w:rsidRDefault="007F243E" w:rsidP="007F243E">
      <w:pPr>
        <w:pStyle w:val="Heading3"/>
        <w:spacing w:line="360" w:lineRule="auto"/>
        <w:jc w:val="both"/>
        <w:rPr>
          <w:rFonts w:ascii="Times New Roman" w:hAnsi="Times New Roman" w:cs="Times New Roman"/>
          <w:sz w:val="28"/>
          <w:szCs w:val="28"/>
        </w:rPr>
      </w:pPr>
      <w:bookmarkStart w:id="20" w:name="_Toc175068505"/>
      <w:r w:rsidRPr="007F243E">
        <w:rPr>
          <w:rFonts w:ascii="Times New Roman" w:hAnsi="Times New Roman" w:cs="Times New Roman"/>
          <w:sz w:val="28"/>
          <w:szCs w:val="28"/>
        </w:rPr>
        <w:t>Calculation</w:t>
      </w:r>
      <w:bookmarkEnd w:id="20"/>
    </w:p>
    <w:p w14:paraId="5A1C57B5" w14:textId="77777777" w:rsidR="007F243E" w:rsidRPr="007F243E" w:rsidRDefault="007F243E" w:rsidP="007F243E">
      <w:pPr>
        <w:spacing w:line="360" w:lineRule="auto"/>
        <w:jc w:val="both"/>
        <w:rPr>
          <w:rFonts w:ascii="Times New Roman" w:hAnsi="Times New Roman" w:cs="Times New Roman"/>
          <w:b/>
          <w:bCs/>
          <w:sz w:val="28"/>
          <w:szCs w:val="28"/>
        </w:rPr>
      </w:pPr>
      <w:r w:rsidRPr="007F243E">
        <w:rPr>
          <w:rFonts w:ascii="Times New Roman" w:hAnsi="Times New Roman" w:cs="Times New Roman"/>
          <w:sz w:val="28"/>
          <w:szCs w:val="28"/>
        </w:rPr>
        <w:t>2019 Calculation</w:t>
      </w:r>
    </w:p>
    <w:p w14:paraId="0C5DB304" w14:textId="77777777" w:rsidR="007F243E" w:rsidRPr="007F243E" w:rsidRDefault="007F243E" w:rsidP="007F243E">
      <w:pPr>
        <w:numPr>
          <w:ilvl w:val="0"/>
          <w:numId w:val="15"/>
        </w:numPr>
        <w:spacing w:before="100" w:beforeAutospacing="1" w:after="100" w:afterAutospacing="1" w:line="360" w:lineRule="auto"/>
        <w:jc w:val="both"/>
        <w:rPr>
          <w:rFonts w:ascii="Times New Roman" w:hAnsi="Times New Roman" w:cs="Times New Roman"/>
          <w:sz w:val="24"/>
          <w:szCs w:val="24"/>
        </w:rPr>
      </w:pPr>
      <w:r w:rsidRPr="007F243E">
        <w:rPr>
          <w:rStyle w:val="Strong"/>
          <w:rFonts w:ascii="Times New Roman" w:hAnsi="Times New Roman" w:cs="Times New Roman"/>
          <w:sz w:val="24"/>
          <w:szCs w:val="24"/>
        </w:rPr>
        <w:t>Cost of Goods Sold (COGS)</w:t>
      </w:r>
      <w:r w:rsidRPr="007F243E">
        <w:rPr>
          <w:rFonts w:ascii="Times New Roman" w:hAnsi="Times New Roman" w:cs="Times New Roman"/>
          <w:sz w:val="24"/>
          <w:szCs w:val="24"/>
        </w:rPr>
        <w:t>: £3,600 million</w:t>
      </w:r>
    </w:p>
    <w:p w14:paraId="01A96863" w14:textId="77777777" w:rsidR="007F243E" w:rsidRPr="007F243E" w:rsidRDefault="007F243E" w:rsidP="007F243E">
      <w:pPr>
        <w:numPr>
          <w:ilvl w:val="0"/>
          <w:numId w:val="15"/>
        </w:numPr>
        <w:spacing w:before="100" w:beforeAutospacing="1" w:after="100" w:afterAutospacing="1" w:line="360" w:lineRule="auto"/>
        <w:jc w:val="both"/>
        <w:rPr>
          <w:rFonts w:ascii="Times New Roman" w:hAnsi="Times New Roman" w:cs="Times New Roman"/>
          <w:sz w:val="24"/>
          <w:szCs w:val="24"/>
        </w:rPr>
      </w:pPr>
      <w:r w:rsidRPr="007F243E">
        <w:rPr>
          <w:rStyle w:val="Strong"/>
          <w:rFonts w:ascii="Times New Roman" w:hAnsi="Times New Roman" w:cs="Times New Roman"/>
          <w:sz w:val="24"/>
          <w:szCs w:val="24"/>
        </w:rPr>
        <w:t>Average Inventory</w:t>
      </w:r>
      <w:r w:rsidRPr="007F243E">
        <w:rPr>
          <w:rFonts w:ascii="Times New Roman" w:hAnsi="Times New Roman" w:cs="Times New Roman"/>
          <w:sz w:val="24"/>
          <w:szCs w:val="24"/>
        </w:rPr>
        <w:t>: £850 million</w:t>
      </w:r>
    </w:p>
    <w:p w14:paraId="5B165FD3" w14:textId="77777777" w:rsidR="007F243E" w:rsidRPr="007F243E" w:rsidRDefault="007F243E" w:rsidP="007F243E">
      <w:pPr>
        <w:spacing w:after="0" w:line="360" w:lineRule="auto"/>
        <w:jc w:val="both"/>
        <w:rPr>
          <w:rFonts w:ascii="Times New Roman" w:hAnsi="Times New Roman" w:cs="Times New Roman"/>
          <w:sz w:val="24"/>
          <w:szCs w:val="24"/>
        </w:rPr>
      </w:pPr>
      <w:r w:rsidRPr="007F243E">
        <w:rPr>
          <w:rStyle w:val="katex-mathml"/>
          <w:rFonts w:ascii="Times New Roman" w:hAnsi="Times New Roman" w:cs="Times New Roman"/>
          <w:sz w:val="24"/>
          <w:szCs w:val="24"/>
        </w:rPr>
        <w:t>Inventory Turnover2019=3,600</w:t>
      </w:r>
      <w:r w:rsidR="00F7272D">
        <w:rPr>
          <w:rStyle w:val="katex-mathml"/>
          <w:rFonts w:ascii="Times New Roman" w:hAnsi="Times New Roman" w:cs="Times New Roman"/>
          <w:sz w:val="24"/>
          <w:szCs w:val="24"/>
        </w:rPr>
        <w:t>/</w:t>
      </w:r>
      <w:r w:rsidRPr="007F243E">
        <w:rPr>
          <w:rStyle w:val="katex-mathml"/>
          <w:rFonts w:ascii="Times New Roman" w:hAnsi="Times New Roman" w:cs="Times New Roman"/>
          <w:sz w:val="24"/>
          <w:szCs w:val="24"/>
        </w:rPr>
        <w:t>850=4.235≈4.2</w:t>
      </w:r>
      <w:r w:rsidRPr="007F243E">
        <w:rPr>
          <w:rStyle w:val="Strong"/>
          <w:rFonts w:ascii="Times New Roman" w:hAnsi="Times New Roman" w:cs="Times New Roman"/>
          <w:sz w:val="24"/>
          <w:szCs w:val="24"/>
        </w:rPr>
        <w:t>Cost of Goods Sold (COGS)</w:t>
      </w:r>
      <w:r w:rsidRPr="007F243E">
        <w:rPr>
          <w:rFonts w:ascii="Times New Roman" w:hAnsi="Times New Roman" w:cs="Times New Roman"/>
          <w:sz w:val="24"/>
          <w:szCs w:val="24"/>
        </w:rPr>
        <w:t>: £4,000 million</w:t>
      </w:r>
    </w:p>
    <w:p w14:paraId="046714E6" w14:textId="77777777" w:rsidR="007F243E" w:rsidRPr="007F243E" w:rsidRDefault="007F243E" w:rsidP="007F243E">
      <w:pPr>
        <w:numPr>
          <w:ilvl w:val="0"/>
          <w:numId w:val="16"/>
        </w:numPr>
        <w:spacing w:before="100" w:beforeAutospacing="1" w:after="100" w:afterAutospacing="1" w:line="360" w:lineRule="auto"/>
        <w:jc w:val="both"/>
        <w:rPr>
          <w:rFonts w:ascii="Times New Roman" w:hAnsi="Times New Roman" w:cs="Times New Roman"/>
          <w:sz w:val="24"/>
          <w:szCs w:val="24"/>
        </w:rPr>
      </w:pPr>
      <w:r w:rsidRPr="007F243E">
        <w:rPr>
          <w:rStyle w:val="Strong"/>
          <w:rFonts w:ascii="Times New Roman" w:hAnsi="Times New Roman" w:cs="Times New Roman"/>
          <w:sz w:val="24"/>
          <w:szCs w:val="24"/>
        </w:rPr>
        <w:lastRenderedPageBreak/>
        <w:t>Average Inventory</w:t>
      </w:r>
      <w:r w:rsidRPr="007F243E">
        <w:rPr>
          <w:rFonts w:ascii="Times New Roman" w:hAnsi="Times New Roman" w:cs="Times New Roman"/>
          <w:sz w:val="24"/>
          <w:szCs w:val="24"/>
        </w:rPr>
        <w:t>: £1,000 million</w:t>
      </w:r>
    </w:p>
    <w:p w14:paraId="01996212" w14:textId="77777777" w:rsidR="007F243E" w:rsidRPr="007F243E" w:rsidRDefault="007F243E" w:rsidP="007F243E">
      <w:pPr>
        <w:spacing w:after="0" w:line="360" w:lineRule="auto"/>
        <w:jc w:val="both"/>
        <w:rPr>
          <w:rFonts w:ascii="Times New Roman" w:hAnsi="Times New Roman" w:cs="Times New Roman"/>
          <w:sz w:val="24"/>
          <w:szCs w:val="24"/>
        </w:rPr>
      </w:pPr>
      <w:r w:rsidRPr="007F243E">
        <w:rPr>
          <w:rStyle w:val="katex-mathml"/>
          <w:rFonts w:ascii="Times New Roman" w:hAnsi="Times New Roman" w:cs="Times New Roman"/>
          <w:sz w:val="24"/>
          <w:szCs w:val="24"/>
        </w:rPr>
        <w:t>Inventory Turnover2020=4,000</w:t>
      </w:r>
      <w:r w:rsidR="00F7272D">
        <w:rPr>
          <w:rStyle w:val="katex-mathml"/>
          <w:rFonts w:ascii="Times New Roman" w:hAnsi="Times New Roman" w:cs="Times New Roman"/>
          <w:sz w:val="24"/>
          <w:szCs w:val="24"/>
        </w:rPr>
        <w:t>/</w:t>
      </w:r>
      <w:r w:rsidRPr="007F243E">
        <w:rPr>
          <w:rStyle w:val="katex-mathml"/>
          <w:rFonts w:ascii="Times New Roman" w:hAnsi="Times New Roman" w:cs="Times New Roman"/>
          <w:sz w:val="24"/>
          <w:szCs w:val="24"/>
        </w:rPr>
        <w:t>1,000=4.0</w:t>
      </w:r>
    </w:p>
    <w:p w14:paraId="74540DF3" w14:textId="77777777" w:rsidR="007F243E" w:rsidRPr="007F243E" w:rsidRDefault="007F243E" w:rsidP="007F243E">
      <w:pPr>
        <w:spacing w:line="360" w:lineRule="auto"/>
        <w:jc w:val="both"/>
        <w:rPr>
          <w:rFonts w:ascii="Times New Roman" w:hAnsi="Times New Roman" w:cs="Times New Roman"/>
          <w:sz w:val="28"/>
          <w:szCs w:val="28"/>
        </w:rPr>
      </w:pPr>
      <w:r w:rsidRPr="007F243E">
        <w:rPr>
          <w:rFonts w:ascii="Times New Roman" w:hAnsi="Times New Roman" w:cs="Times New Roman"/>
          <w:sz w:val="28"/>
          <w:szCs w:val="28"/>
        </w:rPr>
        <w:t>3. 2021 Calculation</w:t>
      </w:r>
    </w:p>
    <w:p w14:paraId="57A81312" w14:textId="77777777" w:rsidR="007F243E" w:rsidRPr="007F243E" w:rsidRDefault="007F243E" w:rsidP="007F243E">
      <w:pPr>
        <w:numPr>
          <w:ilvl w:val="0"/>
          <w:numId w:val="17"/>
        </w:numPr>
        <w:spacing w:before="100" w:beforeAutospacing="1" w:after="100" w:afterAutospacing="1" w:line="360" w:lineRule="auto"/>
        <w:jc w:val="both"/>
        <w:rPr>
          <w:rFonts w:ascii="Times New Roman" w:hAnsi="Times New Roman" w:cs="Times New Roman"/>
          <w:sz w:val="24"/>
          <w:szCs w:val="24"/>
        </w:rPr>
      </w:pPr>
      <w:r w:rsidRPr="007F243E">
        <w:rPr>
          <w:rStyle w:val="Strong"/>
          <w:rFonts w:ascii="Times New Roman" w:hAnsi="Times New Roman" w:cs="Times New Roman"/>
          <w:sz w:val="24"/>
          <w:szCs w:val="24"/>
        </w:rPr>
        <w:t>Cost of Goods Sold (COGS)</w:t>
      </w:r>
      <w:r w:rsidRPr="007F243E">
        <w:rPr>
          <w:rFonts w:ascii="Times New Roman" w:hAnsi="Times New Roman" w:cs="Times New Roman"/>
          <w:sz w:val="24"/>
          <w:szCs w:val="24"/>
        </w:rPr>
        <w:t>: £4,400 million</w:t>
      </w:r>
    </w:p>
    <w:p w14:paraId="65F07F37" w14:textId="77777777" w:rsidR="007F243E" w:rsidRPr="007F243E" w:rsidRDefault="007F243E" w:rsidP="007F243E">
      <w:pPr>
        <w:numPr>
          <w:ilvl w:val="0"/>
          <w:numId w:val="17"/>
        </w:numPr>
        <w:spacing w:before="100" w:beforeAutospacing="1" w:after="100" w:afterAutospacing="1" w:line="360" w:lineRule="auto"/>
        <w:jc w:val="both"/>
        <w:rPr>
          <w:rFonts w:ascii="Times New Roman" w:hAnsi="Times New Roman" w:cs="Times New Roman"/>
          <w:sz w:val="24"/>
          <w:szCs w:val="24"/>
        </w:rPr>
      </w:pPr>
      <w:r w:rsidRPr="007F243E">
        <w:rPr>
          <w:rStyle w:val="Strong"/>
          <w:rFonts w:ascii="Times New Roman" w:hAnsi="Times New Roman" w:cs="Times New Roman"/>
          <w:sz w:val="24"/>
          <w:szCs w:val="24"/>
        </w:rPr>
        <w:t>Average Inventory</w:t>
      </w:r>
      <w:r w:rsidRPr="007F243E">
        <w:rPr>
          <w:rFonts w:ascii="Times New Roman" w:hAnsi="Times New Roman" w:cs="Times New Roman"/>
          <w:sz w:val="24"/>
          <w:szCs w:val="24"/>
        </w:rPr>
        <w:t>: £975 million</w:t>
      </w:r>
    </w:p>
    <w:p w14:paraId="564D4D7A" w14:textId="77777777" w:rsidR="007F243E" w:rsidRPr="007F243E" w:rsidRDefault="007F243E" w:rsidP="007F243E">
      <w:pPr>
        <w:spacing w:after="0" w:line="360" w:lineRule="auto"/>
        <w:jc w:val="both"/>
        <w:rPr>
          <w:rFonts w:ascii="Times New Roman" w:hAnsi="Times New Roman" w:cs="Times New Roman"/>
          <w:sz w:val="24"/>
          <w:szCs w:val="24"/>
        </w:rPr>
      </w:pPr>
      <w:r w:rsidRPr="007F243E">
        <w:rPr>
          <w:rStyle w:val="katex-mathml"/>
          <w:rFonts w:ascii="Times New Roman" w:hAnsi="Times New Roman" w:cs="Times New Roman"/>
          <w:sz w:val="24"/>
          <w:szCs w:val="24"/>
        </w:rPr>
        <w:t>Inventory Turnover2021=4,400</w:t>
      </w:r>
      <w:r w:rsidR="00F7272D">
        <w:rPr>
          <w:rStyle w:val="katex-mathml"/>
          <w:rFonts w:ascii="Times New Roman" w:hAnsi="Times New Roman" w:cs="Times New Roman"/>
          <w:sz w:val="24"/>
          <w:szCs w:val="24"/>
        </w:rPr>
        <w:t>/</w:t>
      </w:r>
      <w:r w:rsidRPr="007F243E">
        <w:rPr>
          <w:rStyle w:val="katex-mathml"/>
          <w:rFonts w:ascii="Times New Roman" w:hAnsi="Times New Roman" w:cs="Times New Roman"/>
          <w:sz w:val="24"/>
          <w:szCs w:val="24"/>
        </w:rPr>
        <w:t>975=4.513≈4.5</w:t>
      </w:r>
    </w:p>
    <w:p w14:paraId="6EA21BC2" w14:textId="77777777" w:rsidR="007F243E" w:rsidRPr="007F243E" w:rsidRDefault="007F243E" w:rsidP="007F243E">
      <w:pPr>
        <w:spacing w:line="360" w:lineRule="auto"/>
        <w:jc w:val="both"/>
        <w:rPr>
          <w:rFonts w:ascii="Times New Roman" w:hAnsi="Times New Roman" w:cs="Times New Roman"/>
          <w:sz w:val="28"/>
          <w:szCs w:val="28"/>
        </w:rPr>
      </w:pPr>
      <w:r w:rsidRPr="007F243E">
        <w:rPr>
          <w:rFonts w:ascii="Times New Roman" w:hAnsi="Times New Roman" w:cs="Times New Roman"/>
          <w:sz w:val="28"/>
          <w:szCs w:val="28"/>
        </w:rPr>
        <w:t>4. 2022 Calculation</w:t>
      </w:r>
    </w:p>
    <w:p w14:paraId="5C0FC488" w14:textId="77777777" w:rsidR="007F243E" w:rsidRPr="007F243E" w:rsidRDefault="007F243E" w:rsidP="007F243E">
      <w:pPr>
        <w:numPr>
          <w:ilvl w:val="0"/>
          <w:numId w:val="18"/>
        </w:numPr>
        <w:spacing w:before="100" w:beforeAutospacing="1" w:after="100" w:afterAutospacing="1" w:line="360" w:lineRule="auto"/>
        <w:jc w:val="both"/>
        <w:rPr>
          <w:rFonts w:ascii="Times New Roman" w:hAnsi="Times New Roman" w:cs="Times New Roman"/>
          <w:sz w:val="24"/>
          <w:szCs w:val="24"/>
        </w:rPr>
      </w:pPr>
      <w:r w:rsidRPr="007F243E">
        <w:rPr>
          <w:rStyle w:val="Strong"/>
          <w:rFonts w:ascii="Times New Roman" w:hAnsi="Times New Roman" w:cs="Times New Roman"/>
          <w:sz w:val="24"/>
          <w:szCs w:val="24"/>
        </w:rPr>
        <w:t>Cost of Goods Sold (COGS)</w:t>
      </w:r>
      <w:r w:rsidRPr="007F243E">
        <w:rPr>
          <w:rFonts w:ascii="Times New Roman" w:hAnsi="Times New Roman" w:cs="Times New Roman"/>
          <w:sz w:val="24"/>
          <w:szCs w:val="24"/>
        </w:rPr>
        <w:t>: £4,300 million</w:t>
      </w:r>
    </w:p>
    <w:p w14:paraId="63F37457" w14:textId="77777777" w:rsidR="007F243E" w:rsidRPr="007F243E" w:rsidRDefault="007F243E" w:rsidP="007F243E">
      <w:pPr>
        <w:numPr>
          <w:ilvl w:val="0"/>
          <w:numId w:val="18"/>
        </w:numPr>
        <w:spacing w:before="100" w:beforeAutospacing="1" w:after="100" w:afterAutospacing="1" w:line="360" w:lineRule="auto"/>
        <w:jc w:val="both"/>
        <w:rPr>
          <w:rFonts w:ascii="Times New Roman" w:hAnsi="Times New Roman" w:cs="Times New Roman"/>
          <w:sz w:val="24"/>
          <w:szCs w:val="24"/>
        </w:rPr>
      </w:pPr>
      <w:r w:rsidRPr="007F243E">
        <w:rPr>
          <w:rStyle w:val="Strong"/>
          <w:rFonts w:ascii="Times New Roman" w:hAnsi="Times New Roman" w:cs="Times New Roman"/>
          <w:sz w:val="24"/>
          <w:szCs w:val="24"/>
        </w:rPr>
        <w:t>Average Inventory</w:t>
      </w:r>
      <w:r w:rsidRPr="007F243E">
        <w:rPr>
          <w:rFonts w:ascii="Times New Roman" w:hAnsi="Times New Roman" w:cs="Times New Roman"/>
          <w:sz w:val="24"/>
          <w:szCs w:val="24"/>
        </w:rPr>
        <w:t>: £1,000 million</w:t>
      </w:r>
    </w:p>
    <w:p w14:paraId="0DC30CC5" w14:textId="77777777" w:rsidR="007F243E" w:rsidRPr="007F243E" w:rsidRDefault="007F243E" w:rsidP="007F243E">
      <w:pPr>
        <w:spacing w:after="0" w:line="360" w:lineRule="auto"/>
        <w:jc w:val="both"/>
        <w:rPr>
          <w:rFonts w:ascii="Times New Roman" w:hAnsi="Times New Roman" w:cs="Times New Roman"/>
          <w:sz w:val="24"/>
          <w:szCs w:val="24"/>
        </w:rPr>
      </w:pPr>
      <w:r w:rsidRPr="007F243E">
        <w:rPr>
          <w:rStyle w:val="katex-mathml"/>
          <w:rFonts w:ascii="Times New Roman" w:hAnsi="Times New Roman" w:cs="Times New Roman"/>
          <w:sz w:val="24"/>
          <w:szCs w:val="24"/>
        </w:rPr>
        <w:t>Inventory Turnover2022=4,300</w:t>
      </w:r>
      <w:r w:rsidR="00F7272D">
        <w:rPr>
          <w:rStyle w:val="katex-mathml"/>
          <w:rFonts w:ascii="Times New Roman" w:hAnsi="Times New Roman" w:cs="Times New Roman"/>
          <w:sz w:val="24"/>
          <w:szCs w:val="24"/>
        </w:rPr>
        <w:t>/</w:t>
      </w:r>
      <w:r w:rsidRPr="007F243E">
        <w:rPr>
          <w:rStyle w:val="katex-mathml"/>
          <w:rFonts w:ascii="Times New Roman" w:hAnsi="Times New Roman" w:cs="Times New Roman"/>
          <w:sz w:val="24"/>
          <w:szCs w:val="24"/>
        </w:rPr>
        <w:t>1,000=4.3</w:t>
      </w:r>
    </w:p>
    <w:p w14:paraId="0ECD88E8" w14:textId="77777777" w:rsidR="007F243E" w:rsidRPr="007F243E" w:rsidRDefault="007F243E" w:rsidP="007F243E">
      <w:pPr>
        <w:spacing w:line="360" w:lineRule="auto"/>
        <w:jc w:val="both"/>
        <w:rPr>
          <w:rFonts w:ascii="Times New Roman" w:hAnsi="Times New Roman" w:cs="Times New Roman"/>
          <w:sz w:val="28"/>
          <w:szCs w:val="28"/>
        </w:rPr>
      </w:pPr>
      <w:r w:rsidRPr="007F243E">
        <w:rPr>
          <w:rFonts w:ascii="Times New Roman" w:hAnsi="Times New Roman" w:cs="Times New Roman"/>
          <w:sz w:val="28"/>
          <w:szCs w:val="28"/>
        </w:rPr>
        <w:t>5. 2023 Calculation</w:t>
      </w:r>
    </w:p>
    <w:p w14:paraId="7E09ED9E" w14:textId="77777777" w:rsidR="007F243E" w:rsidRPr="007F243E" w:rsidRDefault="007F243E" w:rsidP="007F243E">
      <w:pPr>
        <w:numPr>
          <w:ilvl w:val="0"/>
          <w:numId w:val="19"/>
        </w:numPr>
        <w:spacing w:before="100" w:beforeAutospacing="1" w:after="100" w:afterAutospacing="1" w:line="360" w:lineRule="auto"/>
        <w:jc w:val="both"/>
        <w:rPr>
          <w:rFonts w:ascii="Times New Roman" w:hAnsi="Times New Roman" w:cs="Times New Roman"/>
          <w:sz w:val="24"/>
          <w:szCs w:val="24"/>
        </w:rPr>
      </w:pPr>
      <w:r w:rsidRPr="007F243E">
        <w:rPr>
          <w:rStyle w:val="Strong"/>
          <w:rFonts w:ascii="Times New Roman" w:hAnsi="Times New Roman" w:cs="Times New Roman"/>
          <w:sz w:val="24"/>
          <w:szCs w:val="24"/>
        </w:rPr>
        <w:t>Cost of Goods Sold (COGS)</w:t>
      </w:r>
      <w:r w:rsidRPr="007F243E">
        <w:rPr>
          <w:rFonts w:ascii="Times New Roman" w:hAnsi="Times New Roman" w:cs="Times New Roman"/>
          <w:sz w:val="24"/>
          <w:szCs w:val="24"/>
        </w:rPr>
        <w:t>: £4,550 million</w:t>
      </w:r>
    </w:p>
    <w:p w14:paraId="5DEDAF39" w14:textId="77777777" w:rsidR="007F243E" w:rsidRPr="007F243E" w:rsidRDefault="007F243E" w:rsidP="007F243E">
      <w:pPr>
        <w:numPr>
          <w:ilvl w:val="0"/>
          <w:numId w:val="19"/>
        </w:numPr>
        <w:spacing w:before="100" w:beforeAutospacing="1" w:after="100" w:afterAutospacing="1" w:line="360" w:lineRule="auto"/>
        <w:jc w:val="both"/>
        <w:rPr>
          <w:rFonts w:ascii="Times New Roman" w:hAnsi="Times New Roman" w:cs="Times New Roman"/>
          <w:sz w:val="24"/>
          <w:szCs w:val="24"/>
        </w:rPr>
      </w:pPr>
      <w:r w:rsidRPr="007F243E">
        <w:rPr>
          <w:rStyle w:val="Strong"/>
          <w:rFonts w:ascii="Times New Roman" w:hAnsi="Times New Roman" w:cs="Times New Roman"/>
          <w:sz w:val="24"/>
          <w:szCs w:val="24"/>
        </w:rPr>
        <w:t>Average Inventory</w:t>
      </w:r>
      <w:r w:rsidRPr="007F243E">
        <w:rPr>
          <w:rFonts w:ascii="Times New Roman" w:hAnsi="Times New Roman" w:cs="Times New Roman"/>
          <w:sz w:val="24"/>
          <w:szCs w:val="24"/>
        </w:rPr>
        <w:t>: £1,025 million</w:t>
      </w:r>
    </w:p>
    <w:p w14:paraId="0267FC0C" w14:textId="77777777" w:rsidR="007F243E" w:rsidRPr="007F243E" w:rsidRDefault="007F243E" w:rsidP="007F243E">
      <w:pPr>
        <w:spacing w:line="360" w:lineRule="auto"/>
        <w:jc w:val="both"/>
        <w:rPr>
          <w:rStyle w:val="mord"/>
          <w:rFonts w:ascii="Times New Roman" w:hAnsi="Times New Roman" w:cs="Times New Roman"/>
          <w:sz w:val="24"/>
          <w:szCs w:val="24"/>
        </w:rPr>
      </w:pPr>
      <w:r w:rsidRPr="007F243E">
        <w:rPr>
          <w:rStyle w:val="katex-mathml"/>
          <w:rFonts w:ascii="Times New Roman" w:hAnsi="Times New Roman" w:cs="Times New Roman"/>
          <w:sz w:val="24"/>
          <w:szCs w:val="24"/>
        </w:rPr>
        <w:t>Inventory Turnover2023=4,550</w:t>
      </w:r>
      <w:r w:rsidR="00F7272D">
        <w:rPr>
          <w:rStyle w:val="katex-mathml"/>
          <w:rFonts w:ascii="Times New Roman" w:hAnsi="Times New Roman" w:cs="Times New Roman"/>
          <w:sz w:val="24"/>
          <w:szCs w:val="24"/>
        </w:rPr>
        <w:t>/</w:t>
      </w:r>
      <w:r w:rsidRPr="007F243E">
        <w:rPr>
          <w:rStyle w:val="katex-mathml"/>
          <w:rFonts w:ascii="Times New Roman" w:hAnsi="Times New Roman" w:cs="Times New Roman"/>
          <w:sz w:val="24"/>
          <w:szCs w:val="24"/>
        </w:rPr>
        <w:t>1,025=4.439≈4.4</w:t>
      </w:r>
    </w:p>
    <w:p w14:paraId="6A3CFFC5" w14:textId="77777777" w:rsidR="007F243E" w:rsidRPr="00DC4E66" w:rsidRDefault="00F7272D" w:rsidP="00F7272D">
      <w:pPr>
        <w:spacing w:line="360" w:lineRule="auto"/>
        <w:jc w:val="center"/>
        <w:rPr>
          <w:rFonts w:ascii="Times New Roman" w:hAnsi="Times New Roman" w:cs="Times New Roman"/>
          <w:b/>
          <w:bCs/>
          <w:sz w:val="24"/>
          <w:szCs w:val="24"/>
        </w:rPr>
      </w:pPr>
      <w:r>
        <w:rPr>
          <w:noProof/>
        </w:rPr>
        <w:drawing>
          <wp:inline distT="0" distB="0" distL="0" distR="0" wp14:anchorId="378C1FE9" wp14:editId="15B10397">
            <wp:extent cx="4572000" cy="2743200"/>
            <wp:effectExtent l="0" t="0" r="0" b="0"/>
            <wp:docPr id="35" name="Chart 35">
              <a:extLst xmlns:a="http://schemas.openxmlformats.org/drawingml/2006/main">
                <a:ext uri="{FF2B5EF4-FFF2-40B4-BE49-F238E27FC236}">
                  <a16:creationId xmlns:a16="http://schemas.microsoft.com/office/drawing/2014/main" id="{8FF889E6-7659-4180-9EF1-9D692C8850E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412D173D" w14:textId="77777777" w:rsidR="00DC4E66" w:rsidRPr="00CF72FA" w:rsidRDefault="00DC4E66" w:rsidP="00DC4E66">
      <w:pPr>
        <w:pStyle w:val="Heading3"/>
        <w:rPr>
          <w:rFonts w:ascii="Times New Roman" w:hAnsi="Times New Roman" w:cs="Times New Roman"/>
        </w:rPr>
      </w:pPr>
      <w:bookmarkStart w:id="21" w:name="_Toc175068506"/>
      <w:r w:rsidRPr="00CF72FA">
        <w:rPr>
          <w:rFonts w:ascii="Times New Roman" w:hAnsi="Times New Roman" w:cs="Times New Roman"/>
        </w:rPr>
        <w:lastRenderedPageBreak/>
        <w:t>Receivables Turnover</w:t>
      </w:r>
      <w:bookmarkEnd w:id="21"/>
    </w:p>
    <w:p w14:paraId="79E15480" w14:textId="6AAA0AC4" w:rsidR="0080625C" w:rsidRDefault="0080625C" w:rsidP="0080625C">
      <w:pPr>
        <w:spacing w:line="360" w:lineRule="auto"/>
        <w:jc w:val="both"/>
        <w:rPr>
          <w:rFonts w:ascii="Times New Roman" w:hAnsi="Times New Roman" w:cs="Times New Roman"/>
          <w:sz w:val="24"/>
          <w:szCs w:val="24"/>
        </w:rPr>
      </w:pPr>
      <w:r w:rsidRPr="0080625C">
        <w:rPr>
          <w:rFonts w:ascii="Times New Roman" w:hAnsi="Times New Roman" w:cs="Times New Roman"/>
          <w:sz w:val="24"/>
          <w:szCs w:val="24"/>
        </w:rPr>
        <w:t xml:space="preserve">The Receivables Turnover Rati0 shows how efficient the company is at collecting revenue from </w:t>
      </w:r>
      <w:r w:rsidR="008378EA" w:rsidRPr="0080625C">
        <w:rPr>
          <w:rFonts w:ascii="Times New Roman" w:hAnsi="Times New Roman" w:cs="Times New Roman"/>
          <w:sz w:val="24"/>
          <w:szCs w:val="24"/>
        </w:rPr>
        <w:t>its</w:t>
      </w:r>
      <w:r w:rsidRPr="0080625C">
        <w:rPr>
          <w:rFonts w:ascii="Times New Roman" w:hAnsi="Times New Roman" w:cs="Times New Roman"/>
          <w:sz w:val="24"/>
          <w:szCs w:val="24"/>
        </w:rPr>
        <w:t xml:space="preserve"> customers. A higher rate suggests credit and collection policies are working efficiently.</w:t>
      </w:r>
    </w:p>
    <w:p w14:paraId="5473AE6E" w14:textId="77777777" w:rsidR="007F243E" w:rsidRPr="007F243E" w:rsidRDefault="007F243E" w:rsidP="0080625C">
      <w:pPr>
        <w:spacing w:line="360" w:lineRule="auto"/>
        <w:jc w:val="both"/>
        <w:rPr>
          <w:rFonts w:ascii="Times New Roman" w:hAnsi="Times New Roman" w:cs="Times New Roman"/>
          <w:b/>
          <w:bCs/>
          <w:sz w:val="24"/>
          <w:szCs w:val="24"/>
        </w:rPr>
      </w:pPr>
      <w:r w:rsidRPr="007F243E">
        <w:rPr>
          <w:rFonts w:ascii="Times New Roman" w:hAnsi="Times New Roman" w:cs="Times New Roman"/>
          <w:b/>
          <w:bCs/>
          <w:sz w:val="24"/>
          <w:szCs w:val="24"/>
        </w:rPr>
        <w:t>Formula</w:t>
      </w:r>
    </w:p>
    <w:p w14:paraId="74F79C95" w14:textId="77777777" w:rsidR="007F243E" w:rsidRDefault="0080625C" w:rsidP="0080625C">
      <w:pPr>
        <w:spacing w:line="360" w:lineRule="auto"/>
        <w:jc w:val="both"/>
        <w:rPr>
          <w:rFonts w:ascii="Times New Roman" w:hAnsi="Times New Roman" w:cs="Times New Roman"/>
          <w:sz w:val="24"/>
          <w:szCs w:val="24"/>
        </w:rPr>
      </w:pPr>
      <w:r w:rsidRPr="0080625C">
        <w:rPr>
          <w:rFonts w:ascii="Times New Roman" w:hAnsi="Times New Roman" w:cs="Times New Roman"/>
          <w:sz w:val="24"/>
          <w:szCs w:val="24"/>
        </w:rPr>
        <w:t>Formula- Receivables Turnover= Revenue/ Average Receivable</w:t>
      </w:r>
    </w:p>
    <w:p w14:paraId="5A3EEC2D" w14:textId="77777777" w:rsidR="007F243E" w:rsidRPr="007C1DB9" w:rsidRDefault="007F243E" w:rsidP="007C1DB9">
      <w:pPr>
        <w:pStyle w:val="Heading3"/>
        <w:spacing w:line="360" w:lineRule="auto"/>
        <w:jc w:val="both"/>
        <w:rPr>
          <w:rFonts w:ascii="Times New Roman" w:hAnsi="Times New Roman" w:cs="Times New Roman"/>
        </w:rPr>
      </w:pPr>
      <w:bookmarkStart w:id="22" w:name="_Toc175068507"/>
      <w:r w:rsidRPr="007C1DB9">
        <w:rPr>
          <w:rFonts w:ascii="Times New Roman" w:hAnsi="Times New Roman" w:cs="Times New Roman"/>
        </w:rPr>
        <w:t>Calculation</w:t>
      </w:r>
      <w:bookmarkEnd w:id="22"/>
    </w:p>
    <w:p w14:paraId="3AF7517D" w14:textId="77777777" w:rsidR="007C1DB9" w:rsidRPr="007C1DB9" w:rsidRDefault="007C1DB9" w:rsidP="007C1DB9">
      <w:pPr>
        <w:spacing w:line="360" w:lineRule="auto"/>
        <w:jc w:val="both"/>
        <w:rPr>
          <w:rFonts w:ascii="Times New Roman" w:hAnsi="Times New Roman" w:cs="Times New Roman"/>
          <w:b/>
          <w:bCs/>
          <w:sz w:val="24"/>
          <w:szCs w:val="24"/>
        </w:rPr>
      </w:pPr>
      <w:r w:rsidRPr="007C1DB9">
        <w:rPr>
          <w:rFonts w:ascii="Times New Roman" w:hAnsi="Times New Roman" w:cs="Times New Roman"/>
          <w:sz w:val="24"/>
          <w:szCs w:val="24"/>
        </w:rPr>
        <w:t>2019 Calculation</w:t>
      </w:r>
    </w:p>
    <w:p w14:paraId="3CFE0BC4" w14:textId="77777777" w:rsidR="007C1DB9" w:rsidRPr="007C1DB9" w:rsidRDefault="007C1DB9" w:rsidP="007C1DB9">
      <w:pPr>
        <w:numPr>
          <w:ilvl w:val="0"/>
          <w:numId w:val="20"/>
        </w:numPr>
        <w:spacing w:before="100" w:beforeAutospacing="1" w:after="100" w:afterAutospacing="1" w:line="360" w:lineRule="auto"/>
        <w:jc w:val="both"/>
        <w:rPr>
          <w:rFonts w:ascii="Times New Roman" w:hAnsi="Times New Roman" w:cs="Times New Roman"/>
          <w:sz w:val="24"/>
          <w:szCs w:val="24"/>
        </w:rPr>
      </w:pPr>
      <w:r w:rsidRPr="007C1DB9">
        <w:rPr>
          <w:rStyle w:val="Strong"/>
          <w:rFonts w:ascii="Times New Roman" w:hAnsi="Times New Roman" w:cs="Times New Roman"/>
          <w:sz w:val="24"/>
          <w:szCs w:val="24"/>
        </w:rPr>
        <w:t>Revenue</w:t>
      </w:r>
      <w:r w:rsidRPr="007C1DB9">
        <w:rPr>
          <w:rFonts w:ascii="Times New Roman" w:hAnsi="Times New Roman" w:cs="Times New Roman"/>
          <w:sz w:val="24"/>
          <w:szCs w:val="24"/>
        </w:rPr>
        <w:t>: £5,600 million</w:t>
      </w:r>
    </w:p>
    <w:p w14:paraId="7916327F" w14:textId="77777777" w:rsidR="007C1DB9" w:rsidRPr="007C1DB9" w:rsidRDefault="007C1DB9" w:rsidP="007C1DB9">
      <w:pPr>
        <w:numPr>
          <w:ilvl w:val="0"/>
          <w:numId w:val="20"/>
        </w:numPr>
        <w:spacing w:before="100" w:beforeAutospacing="1" w:after="100" w:afterAutospacing="1" w:line="360" w:lineRule="auto"/>
        <w:jc w:val="both"/>
        <w:rPr>
          <w:rFonts w:ascii="Times New Roman" w:hAnsi="Times New Roman" w:cs="Times New Roman"/>
          <w:sz w:val="24"/>
          <w:szCs w:val="24"/>
        </w:rPr>
      </w:pPr>
      <w:r w:rsidRPr="007C1DB9">
        <w:rPr>
          <w:rStyle w:val="Strong"/>
          <w:rFonts w:ascii="Times New Roman" w:hAnsi="Times New Roman" w:cs="Times New Roman"/>
          <w:sz w:val="24"/>
          <w:szCs w:val="24"/>
        </w:rPr>
        <w:t>Average Receivables</w:t>
      </w:r>
      <w:r w:rsidRPr="007C1DB9">
        <w:rPr>
          <w:rFonts w:ascii="Times New Roman" w:hAnsi="Times New Roman" w:cs="Times New Roman"/>
          <w:sz w:val="24"/>
          <w:szCs w:val="24"/>
        </w:rPr>
        <w:t>: £660 million</w:t>
      </w:r>
    </w:p>
    <w:p w14:paraId="639C193C" w14:textId="77777777" w:rsidR="007C1DB9" w:rsidRPr="007C1DB9" w:rsidRDefault="007C1DB9" w:rsidP="007C1DB9">
      <w:pPr>
        <w:spacing w:after="0" w:line="360" w:lineRule="auto"/>
        <w:jc w:val="both"/>
        <w:rPr>
          <w:rFonts w:ascii="Times New Roman" w:hAnsi="Times New Roman" w:cs="Times New Roman"/>
          <w:sz w:val="24"/>
          <w:szCs w:val="24"/>
        </w:rPr>
      </w:pPr>
      <w:r w:rsidRPr="007C1DB9">
        <w:rPr>
          <w:rStyle w:val="katex-mathml"/>
          <w:rFonts w:ascii="Times New Roman" w:hAnsi="Times New Roman" w:cs="Times New Roman"/>
          <w:sz w:val="24"/>
          <w:szCs w:val="24"/>
        </w:rPr>
        <w:t>Receivables Turnover2019=5,600</w:t>
      </w:r>
      <w:r w:rsidR="00F7272D">
        <w:rPr>
          <w:rStyle w:val="katex-mathml"/>
          <w:rFonts w:ascii="Times New Roman" w:hAnsi="Times New Roman" w:cs="Times New Roman"/>
          <w:sz w:val="24"/>
          <w:szCs w:val="24"/>
        </w:rPr>
        <w:t>/</w:t>
      </w:r>
      <w:r w:rsidRPr="007C1DB9">
        <w:rPr>
          <w:rStyle w:val="katex-mathml"/>
          <w:rFonts w:ascii="Times New Roman" w:hAnsi="Times New Roman" w:cs="Times New Roman"/>
          <w:sz w:val="24"/>
          <w:szCs w:val="24"/>
        </w:rPr>
        <w:t>660=8.485≈8.5</w:t>
      </w:r>
    </w:p>
    <w:p w14:paraId="76811099" w14:textId="77777777" w:rsidR="007C1DB9" w:rsidRPr="007C1DB9" w:rsidRDefault="007C1DB9" w:rsidP="007C1DB9">
      <w:pPr>
        <w:spacing w:line="360" w:lineRule="auto"/>
        <w:jc w:val="both"/>
        <w:rPr>
          <w:rFonts w:ascii="Times New Roman" w:hAnsi="Times New Roman" w:cs="Times New Roman"/>
          <w:sz w:val="24"/>
          <w:szCs w:val="24"/>
        </w:rPr>
      </w:pPr>
      <w:r w:rsidRPr="007C1DB9">
        <w:rPr>
          <w:rFonts w:ascii="Times New Roman" w:hAnsi="Times New Roman" w:cs="Times New Roman"/>
          <w:sz w:val="24"/>
          <w:szCs w:val="24"/>
        </w:rPr>
        <w:t>2. 2020 Calculation</w:t>
      </w:r>
    </w:p>
    <w:p w14:paraId="5066BCCF" w14:textId="77777777" w:rsidR="007C1DB9" w:rsidRPr="007C1DB9" w:rsidRDefault="007C1DB9" w:rsidP="007C1DB9">
      <w:pPr>
        <w:numPr>
          <w:ilvl w:val="0"/>
          <w:numId w:val="21"/>
        </w:numPr>
        <w:spacing w:before="100" w:beforeAutospacing="1" w:after="100" w:afterAutospacing="1" w:line="360" w:lineRule="auto"/>
        <w:jc w:val="both"/>
        <w:rPr>
          <w:rFonts w:ascii="Times New Roman" w:hAnsi="Times New Roman" w:cs="Times New Roman"/>
          <w:sz w:val="24"/>
          <w:szCs w:val="24"/>
        </w:rPr>
      </w:pPr>
      <w:r w:rsidRPr="007C1DB9">
        <w:rPr>
          <w:rStyle w:val="Strong"/>
          <w:rFonts w:ascii="Times New Roman" w:hAnsi="Times New Roman" w:cs="Times New Roman"/>
          <w:sz w:val="24"/>
          <w:szCs w:val="24"/>
        </w:rPr>
        <w:t>Revenue</w:t>
      </w:r>
      <w:r w:rsidRPr="007C1DB9">
        <w:rPr>
          <w:rFonts w:ascii="Times New Roman" w:hAnsi="Times New Roman" w:cs="Times New Roman"/>
          <w:sz w:val="24"/>
          <w:szCs w:val="24"/>
        </w:rPr>
        <w:t>: £6,300 million</w:t>
      </w:r>
    </w:p>
    <w:p w14:paraId="10663B87" w14:textId="77777777" w:rsidR="007C1DB9" w:rsidRPr="007C1DB9" w:rsidRDefault="007C1DB9" w:rsidP="007C1DB9">
      <w:pPr>
        <w:numPr>
          <w:ilvl w:val="0"/>
          <w:numId w:val="21"/>
        </w:numPr>
        <w:spacing w:before="100" w:beforeAutospacing="1" w:after="100" w:afterAutospacing="1" w:line="360" w:lineRule="auto"/>
        <w:jc w:val="both"/>
        <w:rPr>
          <w:rFonts w:ascii="Times New Roman" w:hAnsi="Times New Roman" w:cs="Times New Roman"/>
          <w:sz w:val="24"/>
          <w:szCs w:val="24"/>
        </w:rPr>
      </w:pPr>
      <w:r w:rsidRPr="007C1DB9">
        <w:rPr>
          <w:rStyle w:val="Strong"/>
          <w:rFonts w:ascii="Times New Roman" w:hAnsi="Times New Roman" w:cs="Times New Roman"/>
          <w:sz w:val="24"/>
          <w:szCs w:val="24"/>
        </w:rPr>
        <w:t>Average Receivables</w:t>
      </w:r>
      <w:r w:rsidRPr="007C1DB9">
        <w:rPr>
          <w:rFonts w:ascii="Times New Roman" w:hAnsi="Times New Roman" w:cs="Times New Roman"/>
          <w:sz w:val="24"/>
          <w:szCs w:val="24"/>
        </w:rPr>
        <w:t>: £700 million</w:t>
      </w:r>
    </w:p>
    <w:p w14:paraId="3D0653DA" w14:textId="77777777" w:rsidR="007C1DB9" w:rsidRPr="007C1DB9" w:rsidRDefault="007C1DB9" w:rsidP="007C1DB9">
      <w:pPr>
        <w:spacing w:after="0" w:line="360" w:lineRule="auto"/>
        <w:jc w:val="both"/>
        <w:rPr>
          <w:rFonts w:ascii="Times New Roman" w:hAnsi="Times New Roman" w:cs="Times New Roman"/>
          <w:sz w:val="24"/>
          <w:szCs w:val="24"/>
        </w:rPr>
      </w:pPr>
      <w:r w:rsidRPr="007C1DB9">
        <w:rPr>
          <w:rStyle w:val="katex-mathml"/>
          <w:rFonts w:ascii="Times New Roman" w:hAnsi="Times New Roman" w:cs="Times New Roman"/>
          <w:sz w:val="24"/>
          <w:szCs w:val="24"/>
        </w:rPr>
        <w:t>Receivables Turnover2020=6,300</w:t>
      </w:r>
      <w:r w:rsidR="00F7272D">
        <w:rPr>
          <w:rStyle w:val="katex-mathml"/>
          <w:rFonts w:ascii="Times New Roman" w:hAnsi="Times New Roman" w:cs="Times New Roman"/>
          <w:sz w:val="24"/>
          <w:szCs w:val="24"/>
        </w:rPr>
        <w:t>/</w:t>
      </w:r>
      <w:r w:rsidRPr="007C1DB9">
        <w:rPr>
          <w:rStyle w:val="katex-mathml"/>
          <w:rFonts w:ascii="Times New Roman" w:hAnsi="Times New Roman" w:cs="Times New Roman"/>
          <w:sz w:val="24"/>
          <w:szCs w:val="24"/>
        </w:rPr>
        <w:t>700=9.0</w:t>
      </w:r>
    </w:p>
    <w:p w14:paraId="36CBB9AC" w14:textId="77777777" w:rsidR="007C1DB9" w:rsidRPr="007C1DB9" w:rsidRDefault="007C1DB9" w:rsidP="007C1DB9">
      <w:pPr>
        <w:spacing w:line="360" w:lineRule="auto"/>
        <w:jc w:val="both"/>
        <w:rPr>
          <w:rFonts w:ascii="Times New Roman" w:hAnsi="Times New Roman" w:cs="Times New Roman"/>
          <w:sz w:val="24"/>
          <w:szCs w:val="24"/>
        </w:rPr>
      </w:pPr>
      <w:r w:rsidRPr="007C1DB9">
        <w:rPr>
          <w:rFonts w:ascii="Times New Roman" w:hAnsi="Times New Roman" w:cs="Times New Roman"/>
          <w:sz w:val="24"/>
          <w:szCs w:val="24"/>
        </w:rPr>
        <w:t>3. 2021 Calculation</w:t>
      </w:r>
    </w:p>
    <w:p w14:paraId="409ECF68" w14:textId="77777777" w:rsidR="007C1DB9" w:rsidRPr="007C1DB9" w:rsidRDefault="007C1DB9" w:rsidP="007C1DB9">
      <w:pPr>
        <w:numPr>
          <w:ilvl w:val="0"/>
          <w:numId w:val="22"/>
        </w:numPr>
        <w:spacing w:before="100" w:beforeAutospacing="1" w:after="100" w:afterAutospacing="1" w:line="360" w:lineRule="auto"/>
        <w:jc w:val="both"/>
        <w:rPr>
          <w:rFonts w:ascii="Times New Roman" w:hAnsi="Times New Roman" w:cs="Times New Roman"/>
          <w:sz w:val="24"/>
          <w:szCs w:val="24"/>
        </w:rPr>
      </w:pPr>
      <w:r w:rsidRPr="007C1DB9">
        <w:rPr>
          <w:rStyle w:val="Strong"/>
          <w:rFonts w:ascii="Times New Roman" w:hAnsi="Times New Roman" w:cs="Times New Roman"/>
          <w:sz w:val="24"/>
          <w:szCs w:val="24"/>
        </w:rPr>
        <w:t>Revenue</w:t>
      </w:r>
      <w:r w:rsidRPr="007C1DB9">
        <w:rPr>
          <w:rFonts w:ascii="Times New Roman" w:hAnsi="Times New Roman" w:cs="Times New Roman"/>
          <w:sz w:val="24"/>
          <w:szCs w:val="24"/>
        </w:rPr>
        <w:t>: £7,000 million</w:t>
      </w:r>
    </w:p>
    <w:p w14:paraId="27878D0B" w14:textId="77777777" w:rsidR="007C1DB9" w:rsidRPr="007C1DB9" w:rsidRDefault="007C1DB9" w:rsidP="007C1DB9">
      <w:pPr>
        <w:numPr>
          <w:ilvl w:val="0"/>
          <w:numId w:val="22"/>
        </w:numPr>
        <w:spacing w:before="100" w:beforeAutospacing="1" w:after="100" w:afterAutospacing="1" w:line="360" w:lineRule="auto"/>
        <w:jc w:val="both"/>
        <w:rPr>
          <w:rFonts w:ascii="Times New Roman" w:hAnsi="Times New Roman" w:cs="Times New Roman"/>
          <w:sz w:val="24"/>
          <w:szCs w:val="24"/>
        </w:rPr>
      </w:pPr>
      <w:r w:rsidRPr="007C1DB9">
        <w:rPr>
          <w:rStyle w:val="Strong"/>
          <w:rFonts w:ascii="Times New Roman" w:hAnsi="Times New Roman" w:cs="Times New Roman"/>
          <w:sz w:val="24"/>
          <w:szCs w:val="24"/>
        </w:rPr>
        <w:t>Average Receivables</w:t>
      </w:r>
      <w:r w:rsidRPr="007C1DB9">
        <w:rPr>
          <w:rFonts w:ascii="Times New Roman" w:hAnsi="Times New Roman" w:cs="Times New Roman"/>
          <w:sz w:val="24"/>
          <w:szCs w:val="24"/>
        </w:rPr>
        <w:t>: £750 million</w:t>
      </w:r>
    </w:p>
    <w:p w14:paraId="163AA4AF" w14:textId="77777777" w:rsidR="007C1DB9" w:rsidRPr="007C1DB9" w:rsidRDefault="007C1DB9" w:rsidP="007C1DB9">
      <w:pPr>
        <w:spacing w:after="0" w:line="360" w:lineRule="auto"/>
        <w:jc w:val="both"/>
        <w:rPr>
          <w:rFonts w:ascii="Times New Roman" w:hAnsi="Times New Roman" w:cs="Times New Roman"/>
          <w:sz w:val="24"/>
          <w:szCs w:val="24"/>
        </w:rPr>
      </w:pPr>
      <w:r w:rsidRPr="007C1DB9">
        <w:rPr>
          <w:rStyle w:val="katex-mathml"/>
          <w:rFonts w:ascii="Times New Roman" w:hAnsi="Times New Roman" w:cs="Times New Roman"/>
          <w:sz w:val="24"/>
          <w:szCs w:val="24"/>
        </w:rPr>
        <w:t>Receivables Turnover2021=7,000</w:t>
      </w:r>
      <w:r w:rsidR="00F7272D">
        <w:rPr>
          <w:rStyle w:val="katex-mathml"/>
          <w:rFonts w:ascii="Times New Roman" w:hAnsi="Times New Roman" w:cs="Times New Roman"/>
          <w:sz w:val="24"/>
          <w:szCs w:val="24"/>
        </w:rPr>
        <w:t>/</w:t>
      </w:r>
      <w:r w:rsidRPr="007C1DB9">
        <w:rPr>
          <w:rStyle w:val="katex-mathml"/>
          <w:rFonts w:ascii="Times New Roman" w:hAnsi="Times New Roman" w:cs="Times New Roman"/>
          <w:sz w:val="24"/>
          <w:szCs w:val="24"/>
        </w:rPr>
        <w:t>750=9.333≈9.3</w:t>
      </w:r>
    </w:p>
    <w:p w14:paraId="62CC7E33" w14:textId="77777777" w:rsidR="007C1DB9" w:rsidRPr="007C1DB9" w:rsidRDefault="007C1DB9" w:rsidP="007C1DB9">
      <w:pPr>
        <w:spacing w:line="360" w:lineRule="auto"/>
        <w:jc w:val="both"/>
        <w:rPr>
          <w:rFonts w:ascii="Times New Roman" w:hAnsi="Times New Roman" w:cs="Times New Roman"/>
          <w:sz w:val="24"/>
          <w:szCs w:val="24"/>
        </w:rPr>
      </w:pPr>
      <w:r w:rsidRPr="007C1DB9">
        <w:rPr>
          <w:rFonts w:ascii="Times New Roman" w:hAnsi="Times New Roman" w:cs="Times New Roman"/>
          <w:sz w:val="24"/>
          <w:szCs w:val="24"/>
        </w:rPr>
        <w:t>4. 2022 Calculation</w:t>
      </w:r>
    </w:p>
    <w:p w14:paraId="5A12664F" w14:textId="77777777" w:rsidR="007C1DB9" w:rsidRPr="007C1DB9" w:rsidRDefault="007C1DB9" w:rsidP="007C1DB9">
      <w:pPr>
        <w:numPr>
          <w:ilvl w:val="0"/>
          <w:numId w:val="23"/>
        </w:numPr>
        <w:spacing w:before="100" w:beforeAutospacing="1" w:after="100" w:afterAutospacing="1" w:line="360" w:lineRule="auto"/>
        <w:jc w:val="both"/>
        <w:rPr>
          <w:rFonts w:ascii="Times New Roman" w:hAnsi="Times New Roman" w:cs="Times New Roman"/>
          <w:sz w:val="24"/>
          <w:szCs w:val="24"/>
        </w:rPr>
      </w:pPr>
      <w:r w:rsidRPr="007C1DB9">
        <w:rPr>
          <w:rStyle w:val="Strong"/>
          <w:rFonts w:ascii="Times New Roman" w:hAnsi="Times New Roman" w:cs="Times New Roman"/>
          <w:sz w:val="24"/>
          <w:szCs w:val="24"/>
        </w:rPr>
        <w:t>Revenue</w:t>
      </w:r>
      <w:r w:rsidRPr="007C1DB9">
        <w:rPr>
          <w:rFonts w:ascii="Times New Roman" w:hAnsi="Times New Roman" w:cs="Times New Roman"/>
          <w:sz w:val="24"/>
          <w:szCs w:val="24"/>
        </w:rPr>
        <w:t>: £6,800 million</w:t>
      </w:r>
    </w:p>
    <w:p w14:paraId="0EEBC13D" w14:textId="77777777" w:rsidR="007C1DB9" w:rsidRPr="007C1DB9" w:rsidRDefault="007C1DB9" w:rsidP="007C1DB9">
      <w:pPr>
        <w:numPr>
          <w:ilvl w:val="0"/>
          <w:numId w:val="23"/>
        </w:numPr>
        <w:spacing w:before="100" w:beforeAutospacing="1" w:after="100" w:afterAutospacing="1" w:line="360" w:lineRule="auto"/>
        <w:jc w:val="both"/>
        <w:rPr>
          <w:rFonts w:ascii="Times New Roman" w:hAnsi="Times New Roman" w:cs="Times New Roman"/>
          <w:sz w:val="24"/>
          <w:szCs w:val="24"/>
        </w:rPr>
      </w:pPr>
      <w:r w:rsidRPr="007C1DB9">
        <w:rPr>
          <w:rStyle w:val="Strong"/>
          <w:rFonts w:ascii="Times New Roman" w:hAnsi="Times New Roman" w:cs="Times New Roman"/>
          <w:sz w:val="24"/>
          <w:szCs w:val="24"/>
        </w:rPr>
        <w:t>Average Receivables</w:t>
      </w:r>
      <w:r w:rsidRPr="007C1DB9">
        <w:rPr>
          <w:rFonts w:ascii="Times New Roman" w:hAnsi="Times New Roman" w:cs="Times New Roman"/>
          <w:sz w:val="24"/>
          <w:szCs w:val="24"/>
        </w:rPr>
        <w:t>: £745 million</w:t>
      </w:r>
    </w:p>
    <w:p w14:paraId="05610127" w14:textId="77777777" w:rsidR="007C1DB9" w:rsidRPr="007C1DB9" w:rsidRDefault="007C1DB9" w:rsidP="007C1DB9">
      <w:pPr>
        <w:spacing w:after="0" w:line="360" w:lineRule="auto"/>
        <w:jc w:val="both"/>
        <w:rPr>
          <w:rStyle w:val="katex-mathml"/>
          <w:rFonts w:ascii="Times New Roman" w:hAnsi="Times New Roman" w:cs="Times New Roman"/>
          <w:sz w:val="24"/>
          <w:szCs w:val="24"/>
        </w:rPr>
      </w:pPr>
      <w:r w:rsidRPr="007C1DB9">
        <w:rPr>
          <w:rStyle w:val="katex-mathml"/>
          <w:rFonts w:ascii="Times New Roman" w:hAnsi="Times New Roman" w:cs="Times New Roman"/>
          <w:sz w:val="24"/>
          <w:szCs w:val="24"/>
        </w:rPr>
        <w:t>Receivables Turnover2022=6,800</w:t>
      </w:r>
      <w:r w:rsidR="00F7272D">
        <w:rPr>
          <w:rStyle w:val="katex-mathml"/>
          <w:rFonts w:ascii="Times New Roman" w:hAnsi="Times New Roman" w:cs="Times New Roman"/>
          <w:sz w:val="24"/>
          <w:szCs w:val="24"/>
        </w:rPr>
        <w:t>/</w:t>
      </w:r>
      <w:r w:rsidRPr="007C1DB9">
        <w:rPr>
          <w:rStyle w:val="katex-mathml"/>
          <w:rFonts w:ascii="Times New Roman" w:hAnsi="Times New Roman" w:cs="Times New Roman"/>
          <w:sz w:val="24"/>
          <w:szCs w:val="24"/>
        </w:rPr>
        <w:t>745=9.12≈9.1</w:t>
      </w:r>
    </w:p>
    <w:p w14:paraId="7575ED49" w14:textId="77777777" w:rsidR="007C1DB9" w:rsidRPr="007C1DB9" w:rsidRDefault="007C1DB9" w:rsidP="007C1DB9">
      <w:pPr>
        <w:spacing w:after="0" w:line="360" w:lineRule="auto"/>
        <w:jc w:val="both"/>
        <w:rPr>
          <w:rFonts w:ascii="Times New Roman" w:hAnsi="Times New Roman" w:cs="Times New Roman"/>
          <w:sz w:val="24"/>
          <w:szCs w:val="24"/>
        </w:rPr>
      </w:pPr>
    </w:p>
    <w:p w14:paraId="0E01C6E2" w14:textId="77777777" w:rsidR="00296A72" w:rsidRDefault="00296A72" w:rsidP="007C1DB9">
      <w:pPr>
        <w:spacing w:line="360" w:lineRule="auto"/>
        <w:jc w:val="both"/>
        <w:rPr>
          <w:rFonts w:ascii="Times New Roman" w:hAnsi="Times New Roman" w:cs="Times New Roman"/>
          <w:sz w:val="24"/>
          <w:szCs w:val="24"/>
        </w:rPr>
      </w:pPr>
    </w:p>
    <w:p w14:paraId="481D0B98" w14:textId="5E9B7C70" w:rsidR="007C1DB9" w:rsidRPr="007C1DB9" w:rsidRDefault="007C1DB9" w:rsidP="007C1DB9">
      <w:pPr>
        <w:spacing w:line="360" w:lineRule="auto"/>
        <w:jc w:val="both"/>
        <w:rPr>
          <w:rFonts w:ascii="Times New Roman" w:hAnsi="Times New Roman" w:cs="Times New Roman"/>
          <w:sz w:val="24"/>
          <w:szCs w:val="24"/>
        </w:rPr>
      </w:pPr>
      <w:r w:rsidRPr="007C1DB9">
        <w:rPr>
          <w:rFonts w:ascii="Times New Roman" w:hAnsi="Times New Roman" w:cs="Times New Roman"/>
          <w:sz w:val="24"/>
          <w:szCs w:val="24"/>
        </w:rPr>
        <w:lastRenderedPageBreak/>
        <w:t>5. 2023 Calculation</w:t>
      </w:r>
    </w:p>
    <w:p w14:paraId="1D52ACA6" w14:textId="77777777" w:rsidR="007C1DB9" w:rsidRPr="007C1DB9" w:rsidRDefault="007C1DB9" w:rsidP="007C1DB9">
      <w:pPr>
        <w:numPr>
          <w:ilvl w:val="0"/>
          <w:numId w:val="24"/>
        </w:numPr>
        <w:spacing w:before="100" w:beforeAutospacing="1" w:after="100" w:afterAutospacing="1" w:line="360" w:lineRule="auto"/>
        <w:jc w:val="both"/>
        <w:rPr>
          <w:rFonts w:ascii="Times New Roman" w:hAnsi="Times New Roman" w:cs="Times New Roman"/>
          <w:sz w:val="24"/>
          <w:szCs w:val="24"/>
        </w:rPr>
      </w:pPr>
      <w:r w:rsidRPr="007C1DB9">
        <w:rPr>
          <w:rStyle w:val="Strong"/>
          <w:rFonts w:ascii="Times New Roman" w:hAnsi="Times New Roman" w:cs="Times New Roman"/>
          <w:sz w:val="24"/>
          <w:szCs w:val="24"/>
        </w:rPr>
        <w:t>Revenue</w:t>
      </w:r>
      <w:r w:rsidRPr="007C1DB9">
        <w:rPr>
          <w:rFonts w:ascii="Times New Roman" w:hAnsi="Times New Roman" w:cs="Times New Roman"/>
          <w:sz w:val="24"/>
          <w:szCs w:val="24"/>
        </w:rPr>
        <w:t>: £7,250 million</w:t>
      </w:r>
    </w:p>
    <w:p w14:paraId="07B61B66" w14:textId="77777777" w:rsidR="007C1DB9" w:rsidRPr="007C1DB9" w:rsidRDefault="007C1DB9" w:rsidP="007C1DB9">
      <w:pPr>
        <w:numPr>
          <w:ilvl w:val="0"/>
          <w:numId w:val="24"/>
        </w:numPr>
        <w:spacing w:before="100" w:beforeAutospacing="1" w:after="100" w:afterAutospacing="1" w:line="360" w:lineRule="auto"/>
        <w:jc w:val="both"/>
        <w:rPr>
          <w:rFonts w:ascii="Times New Roman" w:hAnsi="Times New Roman" w:cs="Times New Roman"/>
          <w:sz w:val="24"/>
          <w:szCs w:val="24"/>
        </w:rPr>
      </w:pPr>
      <w:r w:rsidRPr="007C1DB9">
        <w:rPr>
          <w:rStyle w:val="Strong"/>
          <w:rFonts w:ascii="Times New Roman" w:hAnsi="Times New Roman" w:cs="Times New Roman"/>
          <w:sz w:val="24"/>
          <w:szCs w:val="24"/>
        </w:rPr>
        <w:t>Average Receivables</w:t>
      </w:r>
      <w:r w:rsidRPr="007C1DB9">
        <w:rPr>
          <w:rFonts w:ascii="Times New Roman" w:hAnsi="Times New Roman" w:cs="Times New Roman"/>
          <w:sz w:val="24"/>
          <w:szCs w:val="24"/>
        </w:rPr>
        <w:t>: £770 million</w:t>
      </w:r>
    </w:p>
    <w:p w14:paraId="7045C948" w14:textId="77777777" w:rsidR="007F243E" w:rsidRPr="007C1DB9" w:rsidRDefault="007C1DB9" w:rsidP="007C1DB9">
      <w:pPr>
        <w:spacing w:line="360" w:lineRule="auto"/>
        <w:jc w:val="both"/>
        <w:rPr>
          <w:rFonts w:ascii="Times New Roman" w:hAnsi="Times New Roman" w:cs="Times New Roman"/>
          <w:sz w:val="24"/>
          <w:szCs w:val="24"/>
        </w:rPr>
      </w:pPr>
      <w:r w:rsidRPr="007C1DB9">
        <w:rPr>
          <w:rStyle w:val="katex-mathml"/>
          <w:rFonts w:ascii="Times New Roman" w:hAnsi="Times New Roman" w:cs="Times New Roman"/>
          <w:sz w:val="24"/>
          <w:szCs w:val="24"/>
        </w:rPr>
        <w:t>Receivables Turnover2023=7,250770=9.42≈9.4</w:t>
      </w:r>
    </w:p>
    <w:p w14:paraId="4047B5F5" w14:textId="77777777" w:rsidR="0080625C" w:rsidRDefault="0080625C" w:rsidP="00DC4E66">
      <w:pPr>
        <w:spacing w:line="360" w:lineRule="auto"/>
        <w:jc w:val="both"/>
        <w:rPr>
          <w:rFonts w:ascii="Times New Roman" w:hAnsi="Times New Roman" w:cs="Times New Roman"/>
          <w:sz w:val="24"/>
          <w:szCs w:val="24"/>
        </w:rPr>
      </w:pPr>
      <w:r w:rsidRPr="0080625C">
        <w:rPr>
          <w:rFonts w:ascii="Times New Roman" w:hAnsi="Times New Roman" w:cs="Times New Roman"/>
          <w:sz w:val="24"/>
          <w:szCs w:val="24"/>
        </w:rPr>
        <w:t xml:space="preserve">Situation with </w:t>
      </w:r>
      <w:r w:rsidR="007C1DB9" w:rsidRPr="0080625C">
        <w:rPr>
          <w:rFonts w:ascii="Times New Roman" w:hAnsi="Times New Roman" w:cs="Times New Roman"/>
          <w:sz w:val="24"/>
          <w:szCs w:val="24"/>
        </w:rPr>
        <w:t>Kingfisher: Receivables</w:t>
      </w:r>
      <w:r w:rsidRPr="0080625C">
        <w:rPr>
          <w:rFonts w:ascii="Times New Roman" w:hAnsi="Times New Roman" w:cs="Times New Roman"/>
          <w:sz w:val="24"/>
          <w:szCs w:val="24"/>
        </w:rPr>
        <w:t xml:space="preserve"> turnover ratio of kingfishers is almost maintained a stable level which shows that it manages its credits very well and collection processes are also good. It helps provide a continuous cash flow and reduces the risk of bad debts.</w:t>
      </w:r>
    </w:p>
    <w:p w14:paraId="1A1C59F0" w14:textId="77777777" w:rsidR="007F243E" w:rsidRPr="00DC4E66" w:rsidRDefault="00F7272D" w:rsidP="00F7272D">
      <w:pPr>
        <w:spacing w:line="360" w:lineRule="auto"/>
        <w:jc w:val="center"/>
        <w:rPr>
          <w:rFonts w:ascii="Times New Roman" w:hAnsi="Times New Roman" w:cs="Times New Roman"/>
          <w:sz w:val="24"/>
          <w:szCs w:val="24"/>
        </w:rPr>
      </w:pPr>
      <w:r>
        <w:rPr>
          <w:noProof/>
        </w:rPr>
        <w:drawing>
          <wp:inline distT="0" distB="0" distL="0" distR="0" wp14:anchorId="42E37872" wp14:editId="2B9076EC">
            <wp:extent cx="4572000" cy="2743200"/>
            <wp:effectExtent l="0" t="0" r="0" b="0"/>
            <wp:docPr id="37" name="Chart 37">
              <a:extLst xmlns:a="http://schemas.openxmlformats.org/drawingml/2006/main">
                <a:ext uri="{FF2B5EF4-FFF2-40B4-BE49-F238E27FC236}">
                  <a16:creationId xmlns:a16="http://schemas.microsoft.com/office/drawing/2014/main" id="{6851CC2B-A1CB-4AD4-89ED-B5BBE134098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4CB30F2C" w14:textId="77777777" w:rsidR="0080625C" w:rsidRDefault="0080625C" w:rsidP="00DC4E66">
      <w:pPr>
        <w:spacing w:line="360" w:lineRule="auto"/>
        <w:jc w:val="both"/>
        <w:rPr>
          <w:rFonts w:ascii="Times New Roman" w:hAnsi="Times New Roman" w:cs="Times New Roman"/>
          <w:sz w:val="24"/>
          <w:szCs w:val="24"/>
        </w:rPr>
      </w:pPr>
    </w:p>
    <w:p w14:paraId="0C59F3AA" w14:textId="77777777" w:rsidR="0080625C" w:rsidRPr="00E31CDD" w:rsidRDefault="0080625C" w:rsidP="0080625C">
      <w:pPr>
        <w:pStyle w:val="Heading2"/>
        <w:rPr>
          <w:rFonts w:ascii="Times New Roman" w:hAnsi="Times New Roman" w:cs="Times New Roman"/>
        </w:rPr>
      </w:pPr>
      <w:bookmarkStart w:id="23" w:name="_Toc175068508"/>
      <w:r w:rsidRPr="00E31CDD">
        <w:rPr>
          <w:rFonts w:ascii="Times New Roman" w:hAnsi="Times New Roman" w:cs="Times New Roman"/>
        </w:rPr>
        <w:t>Critical Evaluation of Ratios</w:t>
      </w:r>
      <w:bookmarkEnd w:id="23"/>
    </w:p>
    <w:p w14:paraId="71E56AB7" w14:textId="0DF94ADD" w:rsidR="0080625C" w:rsidRPr="0080625C" w:rsidRDefault="0080625C" w:rsidP="0080625C">
      <w:pPr>
        <w:spacing w:line="360" w:lineRule="auto"/>
        <w:jc w:val="both"/>
        <w:rPr>
          <w:rFonts w:ascii="Times New Roman" w:hAnsi="Times New Roman" w:cs="Times New Roman"/>
          <w:sz w:val="24"/>
          <w:szCs w:val="24"/>
        </w:rPr>
      </w:pPr>
      <w:r w:rsidRPr="0080625C">
        <w:rPr>
          <w:rFonts w:ascii="Times New Roman" w:hAnsi="Times New Roman" w:cs="Times New Roman"/>
          <w:sz w:val="24"/>
          <w:szCs w:val="24"/>
        </w:rPr>
        <w:t>These ratios will give a detailed portion of Kingfisher health in the last five years. By comparing these ratios, one can get an idea of how the company is operating in terms of efficiency, profitability, liquidity and leverage</w:t>
      </w:r>
      <w:r w:rsidR="00BA15FF">
        <w:rPr>
          <w:rFonts w:ascii="Times New Roman" w:hAnsi="Times New Roman" w:cs="Times New Roman"/>
          <w:sz w:val="24"/>
          <w:szCs w:val="24"/>
        </w:rPr>
        <w:t xml:space="preserve"> </w:t>
      </w:r>
      <w:r w:rsidR="00BA15FF">
        <w:rPr>
          <w:rFonts w:ascii="Times New Roman" w:hAnsi="Times New Roman" w:cs="Times New Roman"/>
          <w:sz w:val="24"/>
          <w:szCs w:val="24"/>
        </w:rPr>
        <w:t>(Da Silva, F.M.D., 2020)</w:t>
      </w:r>
      <w:r w:rsidRPr="0080625C">
        <w:rPr>
          <w:rFonts w:ascii="Times New Roman" w:hAnsi="Times New Roman" w:cs="Times New Roman"/>
          <w:sz w:val="24"/>
          <w:szCs w:val="24"/>
        </w:rPr>
        <w:t>.</w:t>
      </w:r>
    </w:p>
    <w:p w14:paraId="093BE3E6" w14:textId="77777777" w:rsidR="0080625C" w:rsidRPr="00E31CDD" w:rsidRDefault="0080625C" w:rsidP="0080625C">
      <w:pPr>
        <w:pStyle w:val="Heading2"/>
        <w:rPr>
          <w:rFonts w:ascii="Times New Roman" w:hAnsi="Times New Roman" w:cs="Times New Roman"/>
        </w:rPr>
      </w:pPr>
      <w:bookmarkStart w:id="24" w:name="_Toc175068509"/>
      <w:r w:rsidRPr="00E31CDD">
        <w:rPr>
          <w:rFonts w:ascii="Times New Roman" w:hAnsi="Times New Roman" w:cs="Times New Roman"/>
        </w:rPr>
        <w:t>Profitability Ratios</w:t>
      </w:r>
      <w:bookmarkEnd w:id="24"/>
    </w:p>
    <w:p w14:paraId="59A293F1" w14:textId="5F594BC8" w:rsidR="0080625C" w:rsidRPr="0080625C" w:rsidRDefault="0080625C" w:rsidP="0080625C">
      <w:pPr>
        <w:spacing w:line="360" w:lineRule="auto"/>
        <w:jc w:val="both"/>
        <w:rPr>
          <w:rFonts w:ascii="Times New Roman" w:hAnsi="Times New Roman" w:cs="Times New Roman"/>
          <w:sz w:val="24"/>
          <w:szCs w:val="24"/>
        </w:rPr>
      </w:pPr>
      <w:r w:rsidRPr="0080625C">
        <w:rPr>
          <w:rFonts w:ascii="Times New Roman" w:hAnsi="Times New Roman" w:cs="Times New Roman"/>
          <w:sz w:val="24"/>
          <w:szCs w:val="24"/>
        </w:rPr>
        <w:t xml:space="preserve">Kingfisher has seen a steady but slight improvement in its gross profit margin, implying efficacious cost management and stable pricing. </w:t>
      </w:r>
      <w:r w:rsidR="00E31CDD" w:rsidRPr="0080625C">
        <w:rPr>
          <w:rFonts w:ascii="Times New Roman" w:hAnsi="Times New Roman" w:cs="Times New Roman"/>
          <w:sz w:val="24"/>
          <w:szCs w:val="24"/>
        </w:rPr>
        <w:t>So,</w:t>
      </w:r>
      <w:r w:rsidRPr="0080625C">
        <w:rPr>
          <w:rFonts w:ascii="Times New Roman" w:hAnsi="Times New Roman" w:cs="Times New Roman"/>
          <w:sz w:val="24"/>
          <w:szCs w:val="24"/>
        </w:rPr>
        <w:t xml:space="preserve"> the net profit margin alternatively illustrates resistance in addition to capacity for profitability under altering market conditions. While substantial, the rise represents a surge not shared across retail sectors and therefore reflects Kingfisher's capability to </w:t>
      </w:r>
      <w:r w:rsidRPr="0080625C">
        <w:rPr>
          <w:rFonts w:ascii="Times New Roman" w:hAnsi="Times New Roman" w:cs="Times New Roman"/>
          <w:sz w:val="24"/>
          <w:szCs w:val="24"/>
        </w:rPr>
        <w:lastRenderedPageBreak/>
        <w:t>adapt consumer spend within its line of sight during pandemic-driven home improvement boom in 2021.</w:t>
      </w:r>
    </w:p>
    <w:p w14:paraId="4D1276E4" w14:textId="77777777" w:rsidR="0080625C" w:rsidRPr="00E31CDD" w:rsidRDefault="0080625C" w:rsidP="0080625C">
      <w:pPr>
        <w:pStyle w:val="Heading2"/>
        <w:rPr>
          <w:rFonts w:ascii="Times New Roman" w:hAnsi="Times New Roman" w:cs="Times New Roman"/>
        </w:rPr>
      </w:pPr>
      <w:bookmarkStart w:id="25" w:name="_Toc175068510"/>
      <w:r w:rsidRPr="00E31CDD">
        <w:rPr>
          <w:rFonts w:ascii="Times New Roman" w:hAnsi="Times New Roman" w:cs="Times New Roman"/>
        </w:rPr>
        <w:t>Liquidity Ratios</w:t>
      </w:r>
      <w:bookmarkEnd w:id="25"/>
    </w:p>
    <w:p w14:paraId="5867E9B6" w14:textId="4B5E0325" w:rsidR="0080625C" w:rsidRPr="0080625C" w:rsidRDefault="0080625C" w:rsidP="0080625C">
      <w:pPr>
        <w:spacing w:line="360" w:lineRule="auto"/>
        <w:jc w:val="both"/>
        <w:rPr>
          <w:rFonts w:ascii="Times New Roman" w:hAnsi="Times New Roman" w:cs="Times New Roman"/>
          <w:sz w:val="24"/>
          <w:szCs w:val="24"/>
        </w:rPr>
      </w:pPr>
      <w:r w:rsidRPr="0080625C">
        <w:rPr>
          <w:rFonts w:ascii="Times New Roman" w:hAnsi="Times New Roman" w:cs="Times New Roman"/>
          <w:sz w:val="24"/>
          <w:szCs w:val="24"/>
        </w:rPr>
        <w:t>In addition, the current and quick ratios both improved to reflect better liquidity levels in order for greater financial conservatism. This was accompanied by a decrease in Kingfisher's level of leverage and improvement in time to payment for its accounts payables, implying that the company is less exposed to working capital management risks than it has been before. The quick ratio has also continued to improve which means it can meet it short-term obligations without the crutch of inventory sales helping keep financial stability</w:t>
      </w:r>
      <w:r w:rsidR="00BA15FF">
        <w:rPr>
          <w:rFonts w:ascii="Times New Roman" w:hAnsi="Times New Roman" w:cs="Times New Roman"/>
          <w:sz w:val="24"/>
          <w:szCs w:val="24"/>
        </w:rPr>
        <w:t xml:space="preserve"> </w:t>
      </w:r>
      <w:r w:rsidR="00BA15FF">
        <w:rPr>
          <w:rFonts w:ascii="Times New Roman" w:hAnsi="Times New Roman" w:cs="Times New Roman"/>
          <w:sz w:val="24"/>
          <w:szCs w:val="24"/>
        </w:rPr>
        <w:t>(Olayinka, A.A., 2022)</w:t>
      </w:r>
      <w:r w:rsidR="00BA15FF">
        <w:rPr>
          <w:rFonts w:ascii="Times New Roman" w:hAnsi="Times New Roman" w:cs="Times New Roman"/>
          <w:sz w:val="24"/>
          <w:szCs w:val="24"/>
        </w:rPr>
        <w:t>.</w:t>
      </w:r>
    </w:p>
    <w:p w14:paraId="257DBFA3" w14:textId="77777777" w:rsidR="0080625C" w:rsidRPr="00E31CDD" w:rsidRDefault="0080625C" w:rsidP="0080625C">
      <w:pPr>
        <w:pStyle w:val="Heading2"/>
        <w:rPr>
          <w:rFonts w:ascii="Times New Roman" w:hAnsi="Times New Roman" w:cs="Times New Roman"/>
        </w:rPr>
      </w:pPr>
      <w:bookmarkStart w:id="26" w:name="_Toc175068511"/>
      <w:r w:rsidRPr="00E31CDD">
        <w:rPr>
          <w:rFonts w:ascii="Times New Roman" w:hAnsi="Times New Roman" w:cs="Times New Roman"/>
        </w:rPr>
        <w:t>Gearing Ratios</w:t>
      </w:r>
      <w:bookmarkEnd w:id="26"/>
    </w:p>
    <w:p w14:paraId="642DA5DB" w14:textId="174E9908" w:rsidR="0080625C" w:rsidRPr="0080625C" w:rsidRDefault="0080625C" w:rsidP="0080625C">
      <w:pPr>
        <w:spacing w:line="360" w:lineRule="auto"/>
        <w:jc w:val="both"/>
        <w:rPr>
          <w:rFonts w:ascii="Times New Roman" w:hAnsi="Times New Roman" w:cs="Times New Roman"/>
          <w:sz w:val="24"/>
          <w:szCs w:val="24"/>
        </w:rPr>
      </w:pPr>
      <w:r w:rsidRPr="0080625C">
        <w:rPr>
          <w:rFonts w:ascii="Times New Roman" w:hAnsi="Times New Roman" w:cs="Times New Roman"/>
          <w:sz w:val="24"/>
          <w:szCs w:val="24"/>
        </w:rPr>
        <w:t xml:space="preserve">Debt-to-equity We anticipate a moderate uptick in leverage up to 2021 before stabilizing It balances debt with equity, reducing financial risk and increasing flexibility for future investments. Kingfisher remains well positioned to use debt for funding growth </w:t>
      </w:r>
      <w:r w:rsidR="00E31CDD" w:rsidRPr="0080625C">
        <w:rPr>
          <w:rFonts w:ascii="Times New Roman" w:hAnsi="Times New Roman" w:cs="Times New Roman"/>
          <w:sz w:val="24"/>
          <w:szCs w:val="24"/>
        </w:rPr>
        <w:t>without</w:t>
      </w:r>
      <w:r w:rsidRPr="0080625C">
        <w:rPr>
          <w:rFonts w:ascii="Times New Roman" w:hAnsi="Times New Roman" w:cs="Times New Roman"/>
          <w:sz w:val="24"/>
          <w:szCs w:val="24"/>
        </w:rPr>
        <w:t xml:space="preserve"> raising financial risk too much by maintain a balanced capital structure.</w:t>
      </w:r>
    </w:p>
    <w:p w14:paraId="4640B400" w14:textId="77777777" w:rsidR="0080625C" w:rsidRPr="00E31CDD" w:rsidRDefault="0080625C" w:rsidP="0080625C">
      <w:pPr>
        <w:pStyle w:val="Heading2"/>
        <w:rPr>
          <w:rFonts w:ascii="Times New Roman" w:hAnsi="Times New Roman" w:cs="Times New Roman"/>
        </w:rPr>
      </w:pPr>
      <w:bookmarkStart w:id="27" w:name="_Toc175068512"/>
      <w:r w:rsidRPr="00E31CDD">
        <w:rPr>
          <w:rFonts w:ascii="Times New Roman" w:hAnsi="Times New Roman" w:cs="Times New Roman"/>
        </w:rPr>
        <w:t>Efficiency Ratios</w:t>
      </w:r>
      <w:bookmarkEnd w:id="27"/>
    </w:p>
    <w:p w14:paraId="3B463DFD" w14:textId="7FFF0E7A" w:rsidR="0080625C" w:rsidRDefault="0080625C" w:rsidP="0080625C">
      <w:pPr>
        <w:spacing w:line="360" w:lineRule="auto"/>
        <w:jc w:val="both"/>
        <w:rPr>
          <w:rFonts w:ascii="Times New Roman" w:hAnsi="Times New Roman" w:cs="Times New Roman"/>
          <w:sz w:val="24"/>
          <w:szCs w:val="24"/>
        </w:rPr>
      </w:pPr>
      <w:r w:rsidRPr="0080625C">
        <w:rPr>
          <w:rFonts w:ascii="Times New Roman" w:hAnsi="Times New Roman" w:cs="Times New Roman"/>
          <w:sz w:val="24"/>
          <w:szCs w:val="24"/>
        </w:rPr>
        <w:t>A higher inventory turnover ratio indicates better efficiency in managing the inventory, which is particularly relevant during COVID. It prevents overstock and under-stock of products which help in cutting down holding cost as well making potential benefits from optimum Product rotation to increase cash flow. This shows that the receivables turnover ratio is constant which implies an effective credit department and a good follow-up with collection has resulted in cash inflows as well no loans at risk of turning bad</w:t>
      </w:r>
      <w:r w:rsidR="00BA15FF">
        <w:rPr>
          <w:rFonts w:ascii="Times New Roman" w:hAnsi="Times New Roman" w:cs="Times New Roman"/>
          <w:sz w:val="24"/>
          <w:szCs w:val="24"/>
        </w:rPr>
        <w:t xml:space="preserve"> </w:t>
      </w:r>
      <w:r w:rsidR="00BA15FF">
        <w:rPr>
          <w:rFonts w:ascii="Times New Roman" w:hAnsi="Times New Roman" w:cs="Times New Roman"/>
          <w:sz w:val="24"/>
          <w:szCs w:val="24"/>
        </w:rPr>
        <w:t>(Olayinka, A.A., 2022)</w:t>
      </w:r>
      <w:r w:rsidRPr="0080625C">
        <w:rPr>
          <w:rFonts w:ascii="Times New Roman" w:hAnsi="Times New Roman" w:cs="Times New Roman"/>
          <w:sz w:val="24"/>
          <w:szCs w:val="24"/>
        </w:rPr>
        <w:t>.</w:t>
      </w:r>
    </w:p>
    <w:p w14:paraId="3E63BD33" w14:textId="77777777" w:rsidR="00E31CDD" w:rsidRDefault="00E31CDD" w:rsidP="0080625C">
      <w:pPr>
        <w:spacing w:line="360" w:lineRule="auto"/>
        <w:jc w:val="both"/>
        <w:rPr>
          <w:rFonts w:ascii="Times New Roman" w:hAnsi="Times New Roman" w:cs="Times New Roman"/>
          <w:sz w:val="24"/>
          <w:szCs w:val="24"/>
        </w:rPr>
      </w:pPr>
    </w:p>
    <w:p w14:paraId="1E66AF55" w14:textId="77777777" w:rsidR="00E31CDD" w:rsidRDefault="00E31CDD" w:rsidP="0080625C">
      <w:pPr>
        <w:spacing w:line="360" w:lineRule="auto"/>
        <w:jc w:val="both"/>
        <w:rPr>
          <w:rFonts w:ascii="Times New Roman" w:hAnsi="Times New Roman" w:cs="Times New Roman"/>
          <w:sz w:val="24"/>
          <w:szCs w:val="24"/>
        </w:rPr>
      </w:pPr>
    </w:p>
    <w:p w14:paraId="794BE5E8" w14:textId="77777777" w:rsidR="00E31CDD" w:rsidRDefault="00E31CDD" w:rsidP="0080625C">
      <w:pPr>
        <w:spacing w:line="360" w:lineRule="auto"/>
        <w:jc w:val="both"/>
        <w:rPr>
          <w:rFonts w:ascii="Times New Roman" w:hAnsi="Times New Roman" w:cs="Times New Roman"/>
          <w:sz w:val="24"/>
          <w:szCs w:val="24"/>
        </w:rPr>
      </w:pPr>
    </w:p>
    <w:p w14:paraId="331C7DA7" w14:textId="77777777" w:rsidR="00E31CDD" w:rsidRDefault="00E31CDD" w:rsidP="0080625C">
      <w:pPr>
        <w:spacing w:line="360" w:lineRule="auto"/>
        <w:jc w:val="both"/>
        <w:rPr>
          <w:rFonts w:ascii="Times New Roman" w:hAnsi="Times New Roman" w:cs="Times New Roman"/>
          <w:sz w:val="24"/>
          <w:szCs w:val="24"/>
        </w:rPr>
      </w:pPr>
    </w:p>
    <w:p w14:paraId="03065AB2" w14:textId="77777777" w:rsidR="00E31CDD" w:rsidRDefault="00E31CDD" w:rsidP="0080625C">
      <w:pPr>
        <w:spacing w:line="360" w:lineRule="auto"/>
        <w:jc w:val="both"/>
        <w:rPr>
          <w:rFonts w:ascii="Times New Roman" w:hAnsi="Times New Roman" w:cs="Times New Roman"/>
          <w:sz w:val="24"/>
          <w:szCs w:val="24"/>
        </w:rPr>
      </w:pPr>
    </w:p>
    <w:p w14:paraId="08BDED5B" w14:textId="77777777" w:rsidR="00E31CDD" w:rsidRPr="0080625C" w:rsidRDefault="00E31CDD" w:rsidP="0080625C">
      <w:pPr>
        <w:spacing w:line="360" w:lineRule="auto"/>
        <w:jc w:val="both"/>
        <w:rPr>
          <w:rFonts w:ascii="Times New Roman" w:hAnsi="Times New Roman" w:cs="Times New Roman"/>
          <w:sz w:val="24"/>
          <w:szCs w:val="24"/>
        </w:rPr>
      </w:pPr>
    </w:p>
    <w:p w14:paraId="10C4F286" w14:textId="77777777" w:rsidR="0080625C" w:rsidRPr="00E31CDD" w:rsidRDefault="0080625C" w:rsidP="0080625C">
      <w:pPr>
        <w:pStyle w:val="Heading2"/>
        <w:rPr>
          <w:rFonts w:ascii="Times New Roman" w:hAnsi="Times New Roman" w:cs="Times New Roman"/>
        </w:rPr>
      </w:pPr>
      <w:bookmarkStart w:id="28" w:name="_Toc175068513"/>
      <w:r w:rsidRPr="00E31CDD">
        <w:rPr>
          <w:rFonts w:ascii="Times New Roman" w:hAnsi="Times New Roman" w:cs="Times New Roman"/>
        </w:rPr>
        <w:lastRenderedPageBreak/>
        <w:t>Compared to Major Competitors</w:t>
      </w:r>
      <w:bookmarkEnd w:id="28"/>
    </w:p>
    <w:p w14:paraId="6E98A976" w14:textId="77777777" w:rsidR="0080625C" w:rsidRPr="0080625C" w:rsidRDefault="0080625C" w:rsidP="0080625C">
      <w:pPr>
        <w:spacing w:line="360" w:lineRule="auto"/>
        <w:jc w:val="both"/>
        <w:rPr>
          <w:rFonts w:ascii="Times New Roman" w:hAnsi="Times New Roman" w:cs="Times New Roman"/>
          <w:sz w:val="24"/>
          <w:szCs w:val="24"/>
        </w:rPr>
      </w:pPr>
      <w:r w:rsidRPr="0080625C">
        <w:rPr>
          <w:rFonts w:ascii="Times New Roman" w:hAnsi="Times New Roman" w:cs="Times New Roman"/>
          <w:sz w:val="24"/>
          <w:szCs w:val="24"/>
        </w:rPr>
        <w:t>To understand how well Kingfisher is doing compared to major competitors like Homebase and B&amp;Q or sector averages, go here.</w:t>
      </w:r>
    </w:p>
    <w:p w14:paraId="71AA0934" w14:textId="77777777" w:rsidR="0080625C" w:rsidRPr="00DC4E66" w:rsidRDefault="00F7272D" w:rsidP="00F7272D">
      <w:pPr>
        <w:spacing w:line="360" w:lineRule="auto"/>
        <w:jc w:val="center"/>
        <w:rPr>
          <w:rFonts w:ascii="Times New Roman" w:hAnsi="Times New Roman" w:cs="Times New Roman"/>
          <w:sz w:val="24"/>
          <w:szCs w:val="24"/>
        </w:rPr>
      </w:pPr>
      <w:r>
        <w:rPr>
          <w:noProof/>
        </w:rPr>
        <w:drawing>
          <wp:inline distT="0" distB="0" distL="0" distR="0" wp14:anchorId="602EF67A" wp14:editId="04B28FC0">
            <wp:extent cx="4572000" cy="2743200"/>
            <wp:effectExtent l="0" t="0" r="0" b="0"/>
            <wp:docPr id="39" name="Chart 39">
              <a:extLst xmlns:a="http://schemas.openxmlformats.org/drawingml/2006/main">
                <a:ext uri="{FF2B5EF4-FFF2-40B4-BE49-F238E27FC236}">
                  <a16:creationId xmlns:a16="http://schemas.microsoft.com/office/drawing/2014/main" id="{03D196A5-FA61-4BFE-9521-E9B0659319E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232FFB1D" w14:textId="77777777" w:rsidR="0080625C" w:rsidRPr="0080625C" w:rsidRDefault="0080625C" w:rsidP="0080625C">
      <w:pPr>
        <w:spacing w:line="360" w:lineRule="auto"/>
        <w:jc w:val="both"/>
        <w:rPr>
          <w:rFonts w:ascii="Times New Roman" w:hAnsi="Times New Roman" w:cs="Times New Roman"/>
          <w:sz w:val="24"/>
          <w:szCs w:val="24"/>
        </w:rPr>
      </w:pPr>
      <w:r w:rsidRPr="0080625C">
        <w:rPr>
          <w:rFonts w:ascii="Times New Roman" w:hAnsi="Times New Roman" w:cs="Times New Roman"/>
          <w:sz w:val="24"/>
          <w:szCs w:val="24"/>
        </w:rPr>
        <w:t>Although Homebase and B&amp;Q profitability ratios are around the 1% mark worse than Kingfisher, their gross profit margin is considerably lower (below) at just over half of that recorded by Kingfisher this suggests they may be price takers in terms of attempting to compete with each other. Furthermore, the net profit margin is relatively strong indicating a firm control over costs and profitability.</w:t>
      </w:r>
    </w:p>
    <w:p w14:paraId="02C15EAE" w14:textId="77777777" w:rsidR="0080625C" w:rsidRPr="0080625C" w:rsidRDefault="0080625C" w:rsidP="0080625C">
      <w:pPr>
        <w:spacing w:line="360" w:lineRule="auto"/>
        <w:jc w:val="both"/>
        <w:rPr>
          <w:rFonts w:ascii="Times New Roman" w:hAnsi="Times New Roman" w:cs="Times New Roman"/>
          <w:sz w:val="24"/>
          <w:szCs w:val="24"/>
        </w:rPr>
      </w:pPr>
      <w:r w:rsidRPr="0080625C">
        <w:rPr>
          <w:rFonts w:ascii="Times New Roman" w:hAnsi="Times New Roman" w:cs="Times New Roman"/>
          <w:sz w:val="24"/>
          <w:szCs w:val="24"/>
        </w:rPr>
        <w:t>Kingfisher seems to manage its liquidity than the competitors, since it has relatively slightly improved current and quick ratios. The company has a debt-to-equity ratio that is in line with the industry average, suggesting that it does not overcapitalize.</w:t>
      </w:r>
    </w:p>
    <w:p w14:paraId="4F59F634" w14:textId="3FF7573F" w:rsidR="0080625C" w:rsidRPr="00DC4E66" w:rsidRDefault="0080625C" w:rsidP="00DC4E66">
      <w:pPr>
        <w:spacing w:line="360" w:lineRule="auto"/>
        <w:jc w:val="both"/>
        <w:rPr>
          <w:rFonts w:ascii="Times New Roman" w:hAnsi="Times New Roman" w:cs="Times New Roman"/>
          <w:sz w:val="24"/>
          <w:szCs w:val="24"/>
        </w:rPr>
      </w:pPr>
      <w:r w:rsidRPr="0080625C">
        <w:rPr>
          <w:rFonts w:ascii="Times New Roman" w:hAnsi="Times New Roman" w:cs="Times New Roman"/>
          <w:sz w:val="24"/>
          <w:szCs w:val="24"/>
        </w:rPr>
        <w:t xml:space="preserve">Kingfisher Efficiency ratios are Prices </w:t>
      </w:r>
      <w:r w:rsidR="00C35F26">
        <w:rPr>
          <w:rFonts w:ascii="Times New Roman" w:hAnsi="Times New Roman" w:cs="Times New Roman"/>
          <w:sz w:val="24"/>
          <w:szCs w:val="24"/>
        </w:rPr>
        <w:t xml:space="preserve">on the </w:t>
      </w:r>
      <w:r w:rsidRPr="0080625C">
        <w:rPr>
          <w:rFonts w:ascii="Times New Roman" w:hAnsi="Times New Roman" w:cs="Times New Roman"/>
          <w:sz w:val="24"/>
          <w:szCs w:val="24"/>
        </w:rPr>
        <w:t>higher side than industry average which means Kingfisher inventory management and cash realization from debtors is better. These improvements feed into cash flow and operational stability.</w:t>
      </w:r>
    </w:p>
    <w:p w14:paraId="4946FD30" w14:textId="77777777" w:rsidR="00DC4E66" w:rsidRPr="00CF72FA" w:rsidRDefault="00DC4E66" w:rsidP="00DC4E66">
      <w:pPr>
        <w:pStyle w:val="Heading2"/>
        <w:rPr>
          <w:rFonts w:ascii="Times New Roman" w:hAnsi="Times New Roman" w:cs="Times New Roman"/>
        </w:rPr>
      </w:pPr>
      <w:bookmarkStart w:id="29" w:name="_Toc175068514"/>
      <w:r w:rsidRPr="00CF72FA">
        <w:rPr>
          <w:rFonts w:ascii="Times New Roman" w:hAnsi="Times New Roman" w:cs="Times New Roman"/>
        </w:rPr>
        <w:t>Recommendations for Future Financial Management</w:t>
      </w:r>
      <w:bookmarkEnd w:id="29"/>
    </w:p>
    <w:p w14:paraId="436BF22E" w14:textId="77777777" w:rsidR="00DC4E66" w:rsidRDefault="00DC4E66" w:rsidP="00DC4E66">
      <w:pPr>
        <w:spacing w:line="360" w:lineRule="auto"/>
        <w:jc w:val="both"/>
        <w:rPr>
          <w:rFonts w:ascii="Times New Roman" w:hAnsi="Times New Roman" w:cs="Times New Roman"/>
          <w:sz w:val="24"/>
          <w:szCs w:val="24"/>
        </w:rPr>
      </w:pPr>
    </w:p>
    <w:p w14:paraId="1F369D17" w14:textId="77777777" w:rsidR="0080625C" w:rsidRPr="0080625C" w:rsidRDefault="0080625C" w:rsidP="0080625C">
      <w:pPr>
        <w:spacing w:line="360" w:lineRule="auto"/>
        <w:jc w:val="both"/>
        <w:rPr>
          <w:rFonts w:ascii="Times New Roman" w:hAnsi="Times New Roman" w:cs="Times New Roman"/>
          <w:sz w:val="24"/>
          <w:szCs w:val="24"/>
        </w:rPr>
      </w:pPr>
      <w:r w:rsidRPr="0080625C">
        <w:rPr>
          <w:rFonts w:ascii="Times New Roman" w:hAnsi="Times New Roman" w:cs="Times New Roman"/>
          <w:sz w:val="24"/>
          <w:szCs w:val="24"/>
        </w:rPr>
        <w:t xml:space="preserve">To worsen the issue, Kingfisher should work on introducing a few strategic recommendations that fix issues with different aspects of its operations to make it more resilient and competitive. Such recommendations involve improving the digital transformation, adopting sustainable practices, </w:t>
      </w:r>
      <w:r w:rsidRPr="0080625C">
        <w:rPr>
          <w:rFonts w:ascii="Times New Roman" w:hAnsi="Times New Roman" w:cs="Times New Roman"/>
          <w:sz w:val="24"/>
          <w:szCs w:val="24"/>
        </w:rPr>
        <w:lastRenderedPageBreak/>
        <w:t>reinforcing supply chain resilience and management of working capital to optimization, investing in employee learning opportunities with expanding market consolidation while enhancing financial planning &amp; analysis. Any one of these initiatives has the potential to be a big driver for JPM over time in both growth and financial stability.</w:t>
      </w:r>
    </w:p>
    <w:p w14:paraId="0D352EAF" w14:textId="7DCE8C32" w:rsidR="0080625C" w:rsidRDefault="0080625C" w:rsidP="0080625C">
      <w:pPr>
        <w:spacing w:line="360" w:lineRule="auto"/>
        <w:jc w:val="both"/>
        <w:rPr>
          <w:rFonts w:ascii="Times New Roman" w:hAnsi="Times New Roman" w:cs="Times New Roman"/>
          <w:sz w:val="24"/>
          <w:szCs w:val="24"/>
        </w:rPr>
      </w:pPr>
      <w:r w:rsidRPr="0080625C">
        <w:rPr>
          <w:rFonts w:ascii="Times New Roman" w:hAnsi="Times New Roman" w:cs="Times New Roman"/>
          <w:sz w:val="24"/>
          <w:szCs w:val="24"/>
        </w:rPr>
        <w:t xml:space="preserve">Recommendation 1: moving the dial on digital transformation A digital world: In the age of </w:t>
      </w:r>
      <w:r w:rsidR="00C35F26" w:rsidRPr="0080625C">
        <w:rPr>
          <w:rFonts w:ascii="Times New Roman" w:hAnsi="Times New Roman" w:cs="Times New Roman"/>
          <w:sz w:val="24"/>
          <w:szCs w:val="24"/>
        </w:rPr>
        <w:t>high-end</w:t>
      </w:r>
      <w:r w:rsidRPr="0080625C">
        <w:rPr>
          <w:rFonts w:ascii="Times New Roman" w:hAnsi="Times New Roman" w:cs="Times New Roman"/>
          <w:sz w:val="24"/>
          <w:szCs w:val="24"/>
        </w:rPr>
        <w:t xml:space="preserve"> digitization, presence in cyberspace is not an option but a prerequisite for survival and growth. The company can increase efficiency, save costs and enhance customer experience with a better e-commerce platform integrated into advanced analytics applications. Digital transformation includes updating IT infrastructure, implementing data analytics and artificial intelligence. These technologies can help Kingfisher gain a better understanding of what their customers like and do not, which in turn will allow them to tweak its offerings even further based on market demand. By offering customer-particular item suggestions, correlation shopping instruments can drive sales growth as well an increasingly frictionless e-commerce process. Similarly, more sophisticated use of analytics can also improve inventory management - i.e., making sure the appropriate items are in stock when they are needed most, reducing carrying costs and lowering incidences of "stockouts" or overstocks.</w:t>
      </w:r>
      <w:r w:rsidR="007F243E">
        <w:rPr>
          <w:rFonts w:ascii="Times New Roman" w:hAnsi="Times New Roman" w:cs="Times New Roman"/>
          <w:sz w:val="24"/>
          <w:szCs w:val="24"/>
        </w:rPr>
        <w:t xml:space="preserve"> </w:t>
      </w:r>
      <w:r w:rsidRPr="0080625C">
        <w:rPr>
          <w:rFonts w:ascii="Times New Roman" w:hAnsi="Times New Roman" w:cs="Times New Roman"/>
          <w:sz w:val="24"/>
          <w:szCs w:val="24"/>
        </w:rPr>
        <w:t xml:space="preserve">Second, Kingfisher's brand image would be much improved by dedicating itself to sustainable practices and attracting the environmentally friendly clienteles. Consumer sustainability is a major trend and brands practicing environmental responsibility in one way, shape or form have a leg-up on competition. </w:t>
      </w:r>
    </w:p>
    <w:p w14:paraId="3646E89F" w14:textId="77777777" w:rsidR="00C35F26" w:rsidRDefault="00C35F26" w:rsidP="0080625C">
      <w:pPr>
        <w:spacing w:line="360" w:lineRule="auto"/>
        <w:jc w:val="both"/>
        <w:rPr>
          <w:rFonts w:ascii="Times New Roman" w:hAnsi="Times New Roman" w:cs="Times New Roman"/>
          <w:sz w:val="24"/>
          <w:szCs w:val="24"/>
        </w:rPr>
      </w:pPr>
    </w:p>
    <w:p w14:paraId="7663FA46" w14:textId="77777777" w:rsidR="00C35F26" w:rsidRDefault="00C35F26" w:rsidP="0080625C">
      <w:pPr>
        <w:spacing w:line="360" w:lineRule="auto"/>
        <w:jc w:val="both"/>
        <w:rPr>
          <w:rFonts w:ascii="Times New Roman" w:hAnsi="Times New Roman" w:cs="Times New Roman"/>
          <w:sz w:val="24"/>
          <w:szCs w:val="24"/>
        </w:rPr>
      </w:pPr>
    </w:p>
    <w:p w14:paraId="355EB8DD" w14:textId="77777777" w:rsidR="00C35F26" w:rsidRDefault="00C35F26" w:rsidP="0080625C">
      <w:pPr>
        <w:spacing w:line="360" w:lineRule="auto"/>
        <w:jc w:val="both"/>
        <w:rPr>
          <w:rFonts w:ascii="Times New Roman" w:hAnsi="Times New Roman" w:cs="Times New Roman"/>
          <w:sz w:val="24"/>
          <w:szCs w:val="24"/>
        </w:rPr>
      </w:pPr>
    </w:p>
    <w:p w14:paraId="6977FC8E" w14:textId="77777777" w:rsidR="00C35F26" w:rsidRDefault="00C35F26" w:rsidP="0080625C">
      <w:pPr>
        <w:spacing w:line="360" w:lineRule="auto"/>
        <w:jc w:val="both"/>
        <w:rPr>
          <w:rFonts w:ascii="Times New Roman" w:hAnsi="Times New Roman" w:cs="Times New Roman"/>
          <w:sz w:val="24"/>
          <w:szCs w:val="24"/>
        </w:rPr>
      </w:pPr>
    </w:p>
    <w:p w14:paraId="737B544C" w14:textId="77777777" w:rsidR="00C35F26" w:rsidRDefault="00C35F26" w:rsidP="0080625C">
      <w:pPr>
        <w:spacing w:line="360" w:lineRule="auto"/>
        <w:jc w:val="both"/>
        <w:rPr>
          <w:rFonts w:ascii="Times New Roman" w:hAnsi="Times New Roman" w:cs="Times New Roman"/>
          <w:sz w:val="24"/>
          <w:szCs w:val="24"/>
        </w:rPr>
      </w:pPr>
    </w:p>
    <w:p w14:paraId="737F4BBE" w14:textId="77777777" w:rsidR="00C35F26" w:rsidRDefault="00C35F26" w:rsidP="0080625C">
      <w:pPr>
        <w:spacing w:line="360" w:lineRule="auto"/>
        <w:jc w:val="both"/>
        <w:rPr>
          <w:rFonts w:ascii="Times New Roman" w:hAnsi="Times New Roman" w:cs="Times New Roman"/>
          <w:sz w:val="24"/>
          <w:szCs w:val="24"/>
        </w:rPr>
      </w:pPr>
    </w:p>
    <w:p w14:paraId="3D25D4FF" w14:textId="77777777" w:rsidR="00C35F26" w:rsidRPr="0080625C" w:rsidRDefault="00C35F26" w:rsidP="0080625C">
      <w:pPr>
        <w:spacing w:line="360" w:lineRule="auto"/>
        <w:jc w:val="both"/>
        <w:rPr>
          <w:rFonts w:ascii="Times New Roman" w:hAnsi="Times New Roman" w:cs="Times New Roman"/>
          <w:sz w:val="24"/>
          <w:szCs w:val="24"/>
        </w:rPr>
      </w:pPr>
    </w:p>
    <w:p w14:paraId="4C4CB34F" w14:textId="77777777" w:rsidR="0080625C" w:rsidRPr="00C35F26" w:rsidRDefault="0080625C" w:rsidP="0080625C">
      <w:pPr>
        <w:pStyle w:val="Heading1"/>
        <w:rPr>
          <w:rFonts w:ascii="Times New Roman" w:hAnsi="Times New Roman" w:cs="Times New Roman"/>
        </w:rPr>
      </w:pPr>
      <w:bookmarkStart w:id="30" w:name="_Toc175068515"/>
      <w:r w:rsidRPr="00C35F26">
        <w:rPr>
          <w:rFonts w:ascii="Times New Roman" w:hAnsi="Times New Roman" w:cs="Times New Roman"/>
        </w:rPr>
        <w:lastRenderedPageBreak/>
        <w:t>Part C). Investment Appraisal</w:t>
      </w:r>
      <w:bookmarkEnd w:id="30"/>
    </w:p>
    <w:p w14:paraId="3587BF55" w14:textId="77777777" w:rsidR="0080625C" w:rsidRPr="0080625C" w:rsidRDefault="0080625C" w:rsidP="0080625C">
      <w:pPr>
        <w:spacing w:line="360" w:lineRule="auto"/>
        <w:jc w:val="both"/>
        <w:rPr>
          <w:rFonts w:ascii="Times New Roman" w:hAnsi="Times New Roman" w:cs="Times New Roman"/>
          <w:sz w:val="24"/>
          <w:szCs w:val="24"/>
        </w:rPr>
      </w:pPr>
      <w:r w:rsidRPr="0080625C">
        <w:rPr>
          <w:rFonts w:ascii="Times New Roman" w:hAnsi="Times New Roman" w:cs="Times New Roman"/>
          <w:sz w:val="24"/>
          <w:szCs w:val="24"/>
        </w:rPr>
        <w:t>Investment appraisal is a critical process of evaluating potential projects to ensure that they meet the financial goals and strategic objectives for which roadmap it was undertaken. You Evaluate pros/cons and other metrics from different investments to figure out what is even a viable opportunity. This section will detail the investment appraisal of two mutually exclusive projects A and B, with primary focus on Net Present Value (NPV), Internal Rate of Return (IRR), and Payback Period(animation). The assessment will also help ascertain which provides Kingfisher the best financial return and meets its investment criteria.</w:t>
      </w:r>
    </w:p>
    <w:p w14:paraId="33C3ED5B" w14:textId="77777777" w:rsidR="0080625C" w:rsidRPr="00C35F26" w:rsidRDefault="0080625C" w:rsidP="0080625C">
      <w:pPr>
        <w:pStyle w:val="Heading2"/>
        <w:rPr>
          <w:rFonts w:ascii="Times New Roman" w:hAnsi="Times New Roman" w:cs="Times New Roman"/>
        </w:rPr>
      </w:pPr>
      <w:bookmarkStart w:id="31" w:name="_Toc175068516"/>
      <w:r w:rsidRPr="00C35F26">
        <w:rPr>
          <w:rFonts w:ascii="Times New Roman" w:hAnsi="Times New Roman" w:cs="Times New Roman"/>
        </w:rPr>
        <w:t>Project Overview</w:t>
      </w:r>
      <w:bookmarkEnd w:id="31"/>
    </w:p>
    <w:p w14:paraId="7E758EDA" w14:textId="77777777" w:rsidR="0080625C" w:rsidRPr="0080625C" w:rsidRDefault="0080625C" w:rsidP="0080625C">
      <w:pPr>
        <w:spacing w:line="360" w:lineRule="auto"/>
        <w:jc w:val="both"/>
        <w:rPr>
          <w:rFonts w:ascii="Times New Roman" w:hAnsi="Times New Roman" w:cs="Times New Roman"/>
          <w:sz w:val="24"/>
          <w:szCs w:val="24"/>
        </w:rPr>
      </w:pPr>
      <w:r w:rsidRPr="0080625C">
        <w:rPr>
          <w:rFonts w:ascii="Times New Roman" w:hAnsi="Times New Roman" w:cs="Times New Roman"/>
          <w:sz w:val="24"/>
          <w:szCs w:val="24"/>
        </w:rPr>
        <w:t>Kingfisher has found two investments, A and B, both have different shapes of subsequent annual cash flows. The company's present cost of capital (9,75%) will serve as the discount rate for its NPV computations. We will assess the projects according to their estimated 4 years cash flows. The cash flows for each project are shown below:</w:t>
      </w:r>
    </w:p>
    <w:p w14:paraId="7EF63661" w14:textId="77777777" w:rsidR="0080625C" w:rsidRPr="00CF72FA" w:rsidRDefault="0080625C" w:rsidP="00CF72FA">
      <w:pPr>
        <w:spacing w:line="360" w:lineRule="auto"/>
        <w:jc w:val="both"/>
        <w:rPr>
          <w:rFonts w:ascii="Times New Roman" w:hAnsi="Times New Roman" w:cs="Times New Roman"/>
          <w:sz w:val="24"/>
          <w:szCs w:val="24"/>
        </w:rPr>
      </w:pPr>
    </w:p>
    <w:p w14:paraId="46912ABD" w14:textId="77777777" w:rsidR="009F657C" w:rsidRPr="009F657C" w:rsidRDefault="009F657C" w:rsidP="009F657C">
      <w:pPr>
        <w:pStyle w:val="Heading2"/>
      </w:pPr>
      <w:bookmarkStart w:id="32" w:name="_Toc175068517"/>
      <w:r w:rsidRPr="00C35F26">
        <w:rPr>
          <w:rFonts w:ascii="Times New Roman" w:hAnsi="Times New Roman" w:cs="Times New Roman"/>
        </w:rPr>
        <w:t>Project A</w:t>
      </w:r>
      <w:r w:rsidRPr="009F657C">
        <w:t>:</w:t>
      </w:r>
      <w:bookmarkEnd w:id="32"/>
    </w:p>
    <w:tbl>
      <w:tblPr>
        <w:tblStyle w:val="TableGrid"/>
        <w:tblW w:w="0" w:type="auto"/>
        <w:jc w:val="center"/>
        <w:tblLook w:val="04A0" w:firstRow="1" w:lastRow="0" w:firstColumn="1" w:lastColumn="0" w:noHBand="0" w:noVBand="1"/>
      </w:tblPr>
      <w:tblGrid>
        <w:gridCol w:w="696"/>
        <w:gridCol w:w="1843"/>
      </w:tblGrid>
      <w:tr w:rsidR="009F657C" w:rsidRPr="009F657C" w14:paraId="6B5A7B9E" w14:textId="77777777" w:rsidTr="009F657C">
        <w:trPr>
          <w:jc w:val="center"/>
        </w:trPr>
        <w:tc>
          <w:tcPr>
            <w:tcW w:w="0" w:type="auto"/>
            <w:hideMark/>
          </w:tcPr>
          <w:p w14:paraId="4A21661B" w14:textId="77777777" w:rsidR="009F657C" w:rsidRPr="009F657C" w:rsidRDefault="009F657C" w:rsidP="009F657C">
            <w:pPr>
              <w:spacing w:after="160" w:line="360" w:lineRule="auto"/>
              <w:jc w:val="both"/>
              <w:rPr>
                <w:rFonts w:ascii="Times New Roman" w:hAnsi="Times New Roman" w:cs="Times New Roman"/>
                <w:b/>
                <w:bCs/>
                <w:sz w:val="24"/>
                <w:szCs w:val="24"/>
              </w:rPr>
            </w:pPr>
            <w:r w:rsidRPr="009F657C">
              <w:rPr>
                <w:rFonts w:ascii="Times New Roman" w:hAnsi="Times New Roman" w:cs="Times New Roman"/>
                <w:b/>
                <w:bCs/>
                <w:sz w:val="24"/>
                <w:szCs w:val="24"/>
              </w:rPr>
              <w:t>Year</w:t>
            </w:r>
          </w:p>
        </w:tc>
        <w:tc>
          <w:tcPr>
            <w:tcW w:w="0" w:type="auto"/>
            <w:hideMark/>
          </w:tcPr>
          <w:p w14:paraId="7E5704A7" w14:textId="77777777" w:rsidR="009F657C" w:rsidRPr="009F657C" w:rsidRDefault="009F657C" w:rsidP="009F657C">
            <w:pPr>
              <w:spacing w:after="160" w:line="360" w:lineRule="auto"/>
              <w:jc w:val="both"/>
              <w:rPr>
                <w:rFonts w:ascii="Times New Roman" w:hAnsi="Times New Roman" w:cs="Times New Roman"/>
                <w:b/>
                <w:bCs/>
                <w:sz w:val="24"/>
                <w:szCs w:val="24"/>
              </w:rPr>
            </w:pPr>
            <w:r w:rsidRPr="009F657C">
              <w:rPr>
                <w:rFonts w:ascii="Times New Roman" w:hAnsi="Times New Roman" w:cs="Times New Roman"/>
                <w:b/>
                <w:bCs/>
                <w:sz w:val="24"/>
                <w:szCs w:val="24"/>
              </w:rPr>
              <w:t>Cash Flow (£m)</w:t>
            </w:r>
          </w:p>
        </w:tc>
      </w:tr>
      <w:tr w:rsidR="009F657C" w:rsidRPr="009F657C" w14:paraId="680145BE" w14:textId="77777777" w:rsidTr="009F657C">
        <w:trPr>
          <w:jc w:val="center"/>
        </w:trPr>
        <w:tc>
          <w:tcPr>
            <w:tcW w:w="0" w:type="auto"/>
            <w:hideMark/>
          </w:tcPr>
          <w:p w14:paraId="09454D78" w14:textId="77777777" w:rsidR="009F657C" w:rsidRPr="009F657C" w:rsidRDefault="009F657C" w:rsidP="009F657C">
            <w:pPr>
              <w:spacing w:after="160" w:line="360" w:lineRule="auto"/>
              <w:jc w:val="both"/>
              <w:rPr>
                <w:rFonts w:ascii="Times New Roman" w:hAnsi="Times New Roman" w:cs="Times New Roman"/>
                <w:sz w:val="24"/>
                <w:szCs w:val="24"/>
              </w:rPr>
            </w:pPr>
            <w:r w:rsidRPr="009F657C">
              <w:rPr>
                <w:rFonts w:ascii="Times New Roman" w:hAnsi="Times New Roman" w:cs="Times New Roman"/>
                <w:sz w:val="24"/>
                <w:szCs w:val="24"/>
              </w:rPr>
              <w:t>0</w:t>
            </w:r>
          </w:p>
        </w:tc>
        <w:tc>
          <w:tcPr>
            <w:tcW w:w="0" w:type="auto"/>
            <w:hideMark/>
          </w:tcPr>
          <w:p w14:paraId="42B9ABD1" w14:textId="77777777" w:rsidR="009F657C" w:rsidRPr="009F657C" w:rsidRDefault="009F657C" w:rsidP="009F657C">
            <w:pPr>
              <w:spacing w:after="160" w:line="360" w:lineRule="auto"/>
              <w:jc w:val="both"/>
              <w:rPr>
                <w:rFonts w:ascii="Times New Roman" w:hAnsi="Times New Roman" w:cs="Times New Roman"/>
                <w:sz w:val="24"/>
                <w:szCs w:val="24"/>
              </w:rPr>
            </w:pPr>
            <w:r w:rsidRPr="009F657C">
              <w:rPr>
                <w:rFonts w:ascii="Times New Roman" w:hAnsi="Times New Roman" w:cs="Times New Roman"/>
                <w:sz w:val="24"/>
                <w:szCs w:val="24"/>
              </w:rPr>
              <w:t>-80</w:t>
            </w:r>
          </w:p>
        </w:tc>
      </w:tr>
      <w:tr w:rsidR="009F657C" w:rsidRPr="009F657C" w14:paraId="532FD3D8" w14:textId="77777777" w:rsidTr="009F657C">
        <w:trPr>
          <w:jc w:val="center"/>
        </w:trPr>
        <w:tc>
          <w:tcPr>
            <w:tcW w:w="0" w:type="auto"/>
            <w:hideMark/>
          </w:tcPr>
          <w:p w14:paraId="13DD7B8B" w14:textId="77777777" w:rsidR="009F657C" w:rsidRPr="009F657C" w:rsidRDefault="009F657C" w:rsidP="009F657C">
            <w:pPr>
              <w:spacing w:after="160" w:line="360" w:lineRule="auto"/>
              <w:jc w:val="both"/>
              <w:rPr>
                <w:rFonts w:ascii="Times New Roman" w:hAnsi="Times New Roman" w:cs="Times New Roman"/>
                <w:sz w:val="24"/>
                <w:szCs w:val="24"/>
              </w:rPr>
            </w:pPr>
            <w:r w:rsidRPr="009F657C">
              <w:rPr>
                <w:rFonts w:ascii="Times New Roman" w:hAnsi="Times New Roman" w:cs="Times New Roman"/>
                <w:sz w:val="24"/>
                <w:szCs w:val="24"/>
              </w:rPr>
              <w:t>1</w:t>
            </w:r>
          </w:p>
        </w:tc>
        <w:tc>
          <w:tcPr>
            <w:tcW w:w="0" w:type="auto"/>
            <w:hideMark/>
          </w:tcPr>
          <w:p w14:paraId="32D93E17" w14:textId="77777777" w:rsidR="009F657C" w:rsidRPr="009F657C" w:rsidRDefault="009F657C" w:rsidP="009F657C">
            <w:pPr>
              <w:spacing w:after="160" w:line="360" w:lineRule="auto"/>
              <w:jc w:val="both"/>
              <w:rPr>
                <w:rFonts w:ascii="Times New Roman" w:hAnsi="Times New Roman" w:cs="Times New Roman"/>
                <w:sz w:val="24"/>
                <w:szCs w:val="24"/>
              </w:rPr>
            </w:pPr>
            <w:r w:rsidRPr="009F657C">
              <w:rPr>
                <w:rFonts w:ascii="Times New Roman" w:hAnsi="Times New Roman" w:cs="Times New Roman"/>
                <w:sz w:val="24"/>
                <w:szCs w:val="24"/>
              </w:rPr>
              <w:t>25</w:t>
            </w:r>
          </w:p>
        </w:tc>
      </w:tr>
      <w:tr w:rsidR="009F657C" w:rsidRPr="009F657C" w14:paraId="32184B1D" w14:textId="77777777" w:rsidTr="009F657C">
        <w:trPr>
          <w:jc w:val="center"/>
        </w:trPr>
        <w:tc>
          <w:tcPr>
            <w:tcW w:w="0" w:type="auto"/>
            <w:hideMark/>
          </w:tcPr>
          <w:p w14:paraId="6CDED6FD" w14:textId="77777777" w:rsidR="009F657C" w:rsidRPr="009F657C" w:rsidRDefault="009F657C" w:rsidP="009F657C">
            <w:pPr>
              <w:spacing w:after="160" w:line="360" w:lineRule="auto"/>
              <w:jc w:val="both"/>
              <w:rPr>
                <w:rFonts w:ascii="Times New Roman" w:hAnsi="Times New Roman" w:cs="Times New Roman"/>
                <w:sz w:val="24"/>
                <w:szCs w:val="24"/>
              </w:rPr>
            </w:pPr>
            <w:r w:rsidRPr="009F657C">
              <w:rPr>
                <w:rFonts w:ascii="Times New Roman" w:hAnsi="Times New Roman" w:cs="Times New Roman"/>
                <w:sz w:val="24"/>
                <w:szCs w:val="24"/>
              </w:rPr>
              <w:t>2</w:t>
            </w:r>
          </w:p>
        </w:tc>
        <w:tc>
          <w:tcPr>
            <w:tcW w:w="0" w:type="auto"/>
            <w:hideMark/>
          </w:tcPr>
          <w:p w14:paraId="3BEA99BA" w14:textId="77777777" w:rsidR="009F657C" w:rsidRPr="009F657C" w:rsidRDefault="009F657C" w:rsidP="009F657C">
            <w:pPr>
              <w:spacing w:after="160" w:line="360" w:lineRule="auto"/>
              <w:jc w:val="both"/>
              <w:rPr>
                <w:rFonts w:ascii="Times New Roman" w:hAnsi="Times New Roman" w:cs="Times New Roman"/>
                <w:sz w:val="24"/>
                <w:szCs w:val="24"/>
              </w:rPr>
            </w:pPr>
            <w:r w:rsidRPr="009F657C">
              <w:rPr>
                <w:rFonts w:ascii="Times New Roman" w:hAnsi="Times New Roman" w:cs="Times New Roman"/>
                <w:sz w:val="24"/>
                <w:szCs w:val="24"/>
              </w:rPr>
              <w:t>25</w:t>
            </w:r>
          </w:p>
        </w:tc>
      </w:tr>
      <w:tr w:rsidR="009F657C" w:rsidRPr="009F657C" w14:paraId="495602BB" w14:textId="77777777" w:rsidTr="009F657C">
        <w:trPr>
          <w:jc w:val="center"/>
        </w:trPr>
        <w:tc>
          <w:tcPr>
            <w:tcW w:w="0" w:type="auto"/>
            <w:hideMark/>
          </w:tcPr>
          <w:p w14:paraId="69066981" w14:textId="77777777" w:rsidR="009F657C" w:rsidRPr="009F657C" w:rsidRDefault="009F657C" w:rsidP="009F657C">
            <w:pPr>
              <w:spacing w:after="160" w:line="360" w:lineRule="auto"/>
              <w:jc w:val="both"/>
              <w:rPr>
                <w:rFonts w:ascii="Times New Roman" w:hAnsi="Times New Roman" w:cs="Times New Roman"/>
                <w:sz w:val="24"/>
                <w:szCs w:val="24"/>
              </w:rPr>
            </w:pPr>
            <w:r w:rsidRPr="009F657C">
              <w:rPr>
                <w:rFonts w:ascii="Times New Roman" w:hAnsi="Times New Roman" w:cs="Times New Roman"/>
                <w:sz w:val="24"/>
                <w:szCs w:val="24"/>
              </w:rPr>
              <w:t>3</w:t>
            </w:r>
          </w:p>
        </w:tc>
        <w:tc>
          <w:tcPr>
            <w:tcW w:w="0" w:type="auto"/>
            <w:hideMark/>
          </w:tcPr>
          <w:p w14:paraId="360A6F21" w14:textId="77777777" w:rsidR="009F657C" w:rsidRPr="009F657C" w:rsidRDefault="009F657C" w:rsidP="009F657C">
            <w:pPr>
              <w:spacing w:after="160" w:line="360" w:lineRule="auto"/>
              <w:jc w:val="both"/>
              <w:rPr>
                <w:rFonts w:ascii="Times New Roman" w:hAnsi="Times New Roman" w:cs="Times New Roman"/>
                <w:sz w:val="24"/>
                <w:szCs w:val="24"/>
              </w:rPr>
            </w:pPr>
            <w:r w:rsidRPr="009F657C">
              <w:rPr>
                <w:rFonts w:ascii="Times New Roman" w:hAnsi="Times New Roman" w:cs="Times New Roman"/>
                <w:sz w:val="24"/>
                <w:szCs w:val="24"/>
              </w:rPr>
              <w:t>20</w:t>
            </w:r>
          </w:p>
        </w:tc>
      </w:tr>
      <w:tr w:rsidR="009F657C" w:rsidRPr="009F657C" w14:paraId="10E3F9B5" w14:textId="77777777" w:rsidTr="009F657C">
        <w:trPr>
          <w:jc w:val="center"/>
        </w:trPr>
        <w:tc>
          <w:tcPr>
            <w:tcW w:w="0" w:type="auto"/>
            <w:hideMark/>
          </w:tcPr>
          <w:p w14:paraId="03B38D30" w14:textId="77777777" w:rsidR="009F657C" w:rsidRPr="009F657C" w:rsidRDefault="009F657C" w:rsidP="009F657C">
            <w:pPr>
              <w:spacing w:after="160" w:line="360" w:lineRule="auto"/>
              <w:jc w:val="both"/>
              <w:rPr>
                <w:rFonts w:ascii="Times New Roman" w:hAnsi="Times New Roman" w:cs="Times New Roman"/>
                <w:sz w:val="24"/>
                <w:szCs w:val="24"/>
              </w:rPr>
            </w:pPr>
            <w:r w:rsidRPr="009F657C">
              <w:rPr>
                <w:rFonts w:ascii="Times New Roman" w:hAnsi="Times New Roman" w:cs="Times New Roman"/>
                <w:sz w:val="24"/>
                <w:szCs w:val="24"/>
              </w:rPr>
              <w:t>4</w:t>
            </w:r>
          </w:p>
        </w:tc>
        <w:tc>
          <w:tcPr>
            <w:tcW w:w="0" w:type="auto"/>
            <w:hideMark/>
          </w:tcPr>
          <w:p w14:paraId="1A3C2855" w14:textId="77777777" w:rsidR="009F657C" w:rsidRPr="009F657C" w:rsidRDefault="009F657C" w:rsidP="009F657C">
            <w:pPr>
              <w:spacing w:after="160" w:line="360" w:lineRule="auto"/>
              <w:jc w:val="both"/>
              <w:rPr>
                <w:rFonts w:ascii="Times New Roman" w:hAnsi="Times New Roman" w:cs="Times New Roman"/>
                <w:sz w:val="24"/>
                <w:szCs w:val="24"/>
              </w:rPr>
            </w:pPr>
            <w:r w:rsidRPr="009F657C">
              <w:rPr>
                <w:rFonts w:ascii="Times New Roman" w:hAnsi="Times New Roman" w:cs="Times New Roman"/>
                <w:sz w:val="24"/>
                <w:szCs w:val="24"/>
              </w:rPr>
              <w:t>55</w:t>
            </w:r>
          </w:p>
        </w:tc>
      </w:tr>
    </w:tbl>
    <w:p w14:paraId="14EF4A68" w14:textId="77777777" w:rsidR="009F657C" w:rsidRPr="00C35F26" w:rsidRDefault="009F657C" w:rsidP="009F657C">
      <w:pPr>
        <w:pStyle w:val="Heading2"/>
        <w:rPr>
          <w:rFonts w:ascii="Times New Roman" w:hAnsi="Times New Roman" w:cs="Times New Roman"/>
        </w:rPr>
      </w:pPr>
      <w:bookmarkStart w:id="33" w:name="_Toc175068518"/>
      <w:r w:rsidRPr="00C35F26">
        <w:rPr>
          <w:rFonts w:ascii="Times New Roman" w:hAnsi="Times New Roman" w:cs="Times New Roman"/>
        </w:rPr>
        <w:t>Project B:</w:t>
      </w:r>
      <w:bookmarkEnd w:id="33"/>
    </w:p>
    <w:tbl>
      <w:tblPr>
        <w:tblStyle w:val="TableGrid"/>
        <w:tblW w:w="0" w:type="auto"/>
        <w:jc w:val="center"/>
        <w:tblLook w:val="04A0" w:firstRow="1" w:lastRow="0" w:firstColumn="1" w:lastColumn="0" w:noHBand="0" w:noVBand="1"/>
      </w:tblPr>
      <w:tblGrid>
        <w:gridCol w:w="696"/>
        <w:gridCol w:w="1843"/>
      </w:tblGrid>
      <w:tr w:rsidR="009F657C" w:rsidRPr="009F657C" w14:paraId="5B8DD2A2" w14:textId="77777777" w:rsidTr="009F657C">
        <w:trPr>
          <w:jc w:val="center"/>
        </w:trPr>
        <w:tc>
          <w:tcPr>
            <w:tcW w:w="0" w:type="auto"/>
            <w:hideMark/>
          </w:tcPr>
          <w:p w14:paraId="3B062D5B" w14:textId="77777777" w:rsidR="009F657C" w:rsidRPr="009F657C" w:rsidRDefault="009F657C" w:rsidP="009F657C">
            <w:pPr>
              <w:spacing w:after="160" w:line="360" w:lineRule="auto"/>
              <w:jc w:val="both"/>
              <w:rPr>
                <w:rFonts w:ascii="Times New Roman" w:hAnsi="Times New Roman" w:cs="Times New Roman"/>
                <w:b/>
                <w:bCs/>
                <w:sz w:val="24"/>
                <w:szCs w:val="24"/>
              </w:rPr>
            </w:pPr>
            <w:r w:rsidRPr="009F657C">
              <w:rPr>
                <w:rFonts w:ascii="Times New Roman" w:hAnsi="Times New Roman" w:cs="Times New Roman"/>
                <w:b/>
                <w:bCs/>
                <w:sz w:val="24"/>
                <w:szCs w:val="24"/>
              </w:rPr>
              <w:t>Year</w:t>
            </w:r>
          </w:p>
        </w:tc>
        <w:tc>
          <w:tcPr>
            <w:tcW w:w="0" w:type="auto"/>
            <w:hideMark/>
          </w:tcPr>
          <w:p w14:paraId="7706D106" w14:textId="77777777" w:rsidR="009F657C" w:rsidRPr="009F657C" w:rsidRDefault="009F657C" w:rsidP="009F657C">
            <w:pPr>
              <w:spacing w:after="160" w:line="360" w:lineRule="auto"/>
              <w:jc w:val="both"/>
              <w:rPr>
                <w:rFonts w:ascii="Times New Roman" w:hAnsi="Times New Roman" w:cs="Times New Roman"/>
                <w:b/>
                <w:bCs/>
                <w:sz w:val="24"/>
                <w:szCs w:val="24"/>
              </w:rPr>
            </w:pPr>
            <w:r w:rsidRPr="009F657C">
              <w:rPr>
                <w:rFonts w:ascii="Times New Roman" w:hAnsi="Times New Roman" w:cs="Times New Roman"/>
                <w:b/>
                <w:bCs/>
                <w:sz w:val="24"/>
                <w:szCs w:val="24"/>
              </w:rPr>
              <w:t>Cash Flow (£m)</w:t>
            </w:r>
          </w:p>
        </w:tc>
      </w:tr>
      <w:tr w:rsidR="009F657C" w:rsidRPr="009F657C" w14:paraId="0C283461" w14:textId="77777777" w:rsidTr="009F657C">
        <w:trPr>
          <w:jc w:val="center"/>
        </w:trPr>
        <w:tc>
          <w:tcPr>
            <w:tcW w:w="0" w:type="auto"/>
            <w:hideMark/>
          </w:tcPr>
          <w:p w14:paraId="6AD669A4" w14:textId="77777777" w:rsidR="009F657C" w:rsidRPr="009F657C" w:rsidRDefault="009F657C" w:rsidP="009F657C">
            <w:pPr>
              <w:spacing w:after="160" w:line="360" w:lineRule="auto"/>
              <w:jc w:val="both"/>
              <w:rPr>
                <w:rFonts w:ascii="Times New Roman" w:hAnsi="Times New Roman" w:cs="Times New Roman"/>
                <w:sz w:val="24"/>
                <w:szCs w:val="24"/>
              </w:rPr>
            </w:pPr>
            <w:r w:rsidRPr="009F657C">
              <w:rPr>
                <w:rFonts w:ascii="Times New Roman" w:hAnsi="Times New Roman" w:cs="Times New Roman"/>
                <w:sz w:val="24"/>
                <w:szCs w:val="24"/>
              </w:rPr>
              <w:t>0</w:t>
            </w:r>
          </w:p>
        </w:tc>
        <w:tc>
          <w:tcPr>
            <w:tcW w:w="0" w:type="auto"/>
            <w:hideMark/>
          </w:tcPr>
          <w:p w14:paraId="3E9F9BC9" w14:textId="77777777" w:rsidR="009F657C" w:rsidRPr="009F657C" w:rsidRDefault="009F657C" w:rsidP="009F657C">
            <w:pPr>
              <w:spacing w:after="160" w:line="360" w:lineRule="auto"/>
              <w:jc w:val="both"/>
              <w:rPr>
                <w:rFonts w:ascii="Times New Roman" w:hAnsi="Times New Roman" w:cs="Times New Roman"/>
                <w:sz w:val="24"/>
                <w:szCs w:val="24"/>
              </w:rPr>
            </w:pPr>
            <w:r w:rsidRPr="009F657C">
              <w:rPr>
                <w:rFonts w:ascii="Times New Roman" w:hAnsi="Times New Roman" w:cs="Times New Roman"/>
                <w:sz w:val="24"/>
                <w:szCs w:val="24"/>
              </w:rPr>
              <w:t>-75</w:t>
            </w:r>
          </w:p>
        </w:tc>
      </w:tr>
      <w:tr w:rsidR="009F657C" w:rsidRPr="009F657C" w14:paraId="3BED0E41" w14:textId="77777777" w:rsidTr="009F657C">
        <w:trPr>
          <w:jc w:val="center"/>
        </w:trPr>
        <w:tc>
          <w:tcPr>
            <w:tcW w:w="0" w:type="auto"/>
            <w:hideMark/>
          </w:tcPr>
          <w:p w14:paraId="7D6E3637" w14:textId="77777777" w:rsidR="009F657C" w:rsidRPr="009F657C" w:rsidRDefault="009F657C" w:rsidP="009F657C">
            <w:pPr>
              <w:spacing w:after="160" w:line="360" w:lineRule="auto"/>
              <w:jc w:val="both"/>
              <w:rPr>
                <w:rFonts w:ascii="Times New Roman" w:hAnsi="Times New Roman" w:cs="Times New Roman"/>
                <w:sz w:val="24"/>
                <w:szCs w:val="24"/>
              </w:rPr>
            </w:pPr>
            <w:r w:rsidRPr="009F657C">
              <w:rPr>
                <w:rFonts w:ascii="Times New Roman" w:hAnsi="Times New Roman" w:cs="Times New Roman"/>
                <w:sz w:val="24"/>
                <w:szCs w:val="24"/>
              </w:rPr>
              <w:t>1</w:t>
            </w:r>
          </w:p>
        </w:tc>
        <w:tc>
          <w:tcPr>
            <w:tcW w:w="0" w:type="auto"/>
            <w:hideMark/>
          </w:tcPr>
          <w:p w14:paraId="0822D90A" w14:textId="77777777" w:rsidR="009F657C" w:rsidRPr="009F657C" w:rsidRDefault="009F657C" w:rsidP="009F657C">
            <w:pPr>
              <w:spacing w:after="160" w:line="360" w:lineRule="auto"/>
              <w:jc w:val="both"/>
              <w:rPr>
                <w:rFonts w:ascii="Times New Roman" w:hAnsi="Times New Roman" w:cs="Times New Roman"/>
                <w:sz w:val="24"/>
                <w:szCs w:val="24"/>
              </w:rPr>
            </w:pPr>
            <w:r w:rsidRPr="009F657C">
              <w:rPr>
                <w:rFonts w:ascii="Times New Roman" w:hAnsi="Times New Roman" w:cs="Times New Roman"/>
                <w:sz w:val="24"/>
                <w:szCs w:val="24"/>
              </w:rPr>
              <w:t>50</w:t>
            </w:r>
          </w:p>
        </w:tc>
      </w:tr>
      <w:tr w:rsidR="009F657C" w:rsidRPr="009F657C" w14:paraId="3DA9F4C6" w14:textId="77777777" w:rsidTr="009F657C">
        <w:trPr>
          <w:jc w:val="center"/>
        </w:trPr>
        <w:tc>
          <w:tcPr>
            <w:tcW w:w="0" w:type="auto"/>
            <w:hideMark/>
          </w:tcPr>
          <w:p w14:paraId="1048A13E" w14:textId="77777777" w:rsidR="009F657C" w:rsidRPr="009F657C" w:rsidRDefault="009F657C" w:rsidP="009F657C">
            <w:pPr>
              <w:spacing w:after="160" w:line="360" w:lineRule="auto"/>
              <w:jc w:val="both"/>
              <w:rPr>
                <w:rFonts w:ascii="Times New Roman" w:hAnsi="Times New Roman" w:cs="Times New Roman"/>
                <w:sz w:val="24"/>
                <w:szCs w:val="24"/>
              </w:rPr>
            </w:pPr>
            <w:r w:rsidRPr="009F657C">
              <w:rPr>
                <w:rFonts w:ascii="Times New Roman" w:hAnsi="Times New Roman" w:cs="Times New Roman"/>
                <w:sz w:val="24"/>
                <w:szCs w:val="24"/>
              </w:rPr>
              <w:t>2</w:t>
            </w:r>
          </w:p>
        </w:tc>
        <w:tc>
          <w:tcPr>
            <w:tcW w:w="0" w:type="auto"/>
            <w:hideMark/>
          </w:tcPr>
          <w:p w14:paraId="4D5E81E4" w14:textId="77777777" w:rsidR="009F657C" w:rsidRPr="009F657C" w:rsidRDefault="009F657C" w:rsidP="009F657C">
            <w:pPr>
              <w:spacing w:after="160" w:line="360" w:lineRule="auto"/>
              <w:jc w:val="both"/>
              <w:rPr>
                <w:rFonts w:ascii="Times New Roman" w:hAnsi="Times New Roman" w:cs="Times New Roman"/>
                <w:sz w:val="24"/>
                <w:szCs w:val="24"/>
              </w:rPr>
            </w:pPr>
            <w:r w:rsidRPr="009F657C">
              <w:rPr>
                <w:rFonts w:ascii="Times New Roman" w:hAnsi="Times New Roman" w:cs="Times New Roman"/>
                <w:sz w:val="24"/>
                <w:szCs w:val="24"/>
              </w:rPr>
              <w:t>20</w:t>
            </w:r>
          </w:p>
        </w:tc>
      </w:tr>
      <w:tr w:rsidR="009F657C" w:rsidRPr="009F657C" w14:paraId="0FC11FA6" w14:textId="77777777" w:rsidTr="009F657C">
        <w:trPr>
          <w:jc w:val="center"/>
        </w:trPr>
        <w:tc>
          <w:tcPr>
            <w:tcW w:w="0" w:type="auto"/>
            <w:hideMark/>
          </w:tcPr>
          <w:p w14:paraId="3C202DD1" w14:textId="77777777" w:rsidR="009F657C" w:rsidRPr="009F657C" w:rsidRDefault="009F657C" w:rsidP="009F657C">
            <w:pPr>
              <w:spacing w:after="160" w:line="360" w:lineRule="auto"/>
              <w:jc w:val="both"/>
              <w:rPr>
                <w:rFonts w:ascii="Times New Roman" w:hAnsi="Times New Roman" w:cs="Times New Roman"/>
                <w:sz w:val="24"/>
                <w:szCs w:val="24"/>
              </w:rPr>
            </w:pPr>
            <w:r w:rsidRPr="009F657C">
              <w:rPr>
                <w:rFonts w:ascii="Times New Roman" w:hAnsi="Times New Roman" w:cs="Times New Roman"/>
                <w:sz w:val="24"/>
                <w:szCs w:val="24"/>
              </w:rPr>
              <w:lastRenderedPageBreak/>
              <w:t>3</w:t>
            </w:r>
          </w:p>
        </w:tc>
        <w:tc>
          <w:tcPr>
            <w:tcW w:w="0" w:type="auto"/>
            <w:hideMark/>
          </w:tcPr>
          <w:p w14:paraId="398A7541" w14:textId="77777777" w:rsidR="009F657C" w:rsidRPr="009F657C" w:rsidRDefault="009F657C" w:rsidP="009F657C">
            <w:pPr>
              <w:spacing w:after="160" w:line="360" w:lineRule="auto"/>
              <w:jc w:val="both"/>
              <w:rPr>
                <w:rFonts w:ascii="Times New Roman" w:hAnsi="Times New Roman" w:cs="Times New Roman"/>
                <w:sz w:val="24"/>
                <w:szCs w:val="24"/>
              </w:rPr>
            </w:pPr>
            <w:r w:rsidRPr="009F657C">
              <w:rPr>
                <w:rFonts w:ascii="Times New Roman" w:hAnsi="Times New Roman" w:cs="Times New Roman"/>
                <w:sz w:val="24"/>
                <w:szCs w:val="24"/>
              </w:rPr>
              <w:t>20</w:t>
            </w:r>
          </w:p>
        </w:tc>
      </w:tr>
      <w:tr w:rsidR="009F657C" w:rsidRPr="009F657C" w14:paraId="54476968" w14:textId="77777777" w:rsidTr="009F657C">
        <w:trPr>
          <w:jc w:val="center"/>
        </w:trPr>
        <w:tc>
          <w:tcPr>
            <w:tcW w:w="0" w:type="auto"/>
            <w:hideMark/>
          </w:tcPr>
          <w:p w14:paraId="7EE7DF65" w14:textId="77777777" w:rsidR="009F657C" w:rsidRPr="009F657C" w:rsidRDefault="009F657C" w:rsidP="009F657C">
            <w:pPr>
              <w:spacing w:after="160" w:line="360" w:lineRule="auto"/>
              <w:jc w:val="both"/>
              <w:rPr>
                <w:rFonts w:ascii="Times New Roman" w:hAnsi="Times New Roman" w:cs="Times New Roman"/>
                <w:sz w:val="24"/>
                <w:szCs w:val="24"/>
              </w:rPr>
            </w:pPr>
            <w:r w:rsidRPr="009F657C">
              <w:rPr>
                <w:rFonts w:ascii="Times New Roman" w:hAnsi="Times New Roman" w:cs="Times New Roman"/>
                <w:sz w:val="24"/>
                <w:szCs w:val="24"/>
              </w:rPr>
              <w:t>4</w:t>
            </w:r>
          </w:p>
        </w:tc>
        <w:tc>
          <w:tcPr>
            <w:tcW w:w="0" w:type="auto"/>
            <w:hideMark/>
          </w:tcPr>
          <w:p w14:paraId="20721975" w14:textId="77777777" w:rsidR="009F657C" w:rsidRPr="009F657C" w:rsidRDefault="009F657C" w:rsidP="009F657C">
            <w:pPr>
              <w:spacing w:after="160" w:line="360" w:lineRule="auto"/>
              <w:jc w:val="both"/>
              <w:rPr>
                <w:rFonts w:ascii="Times New Roman" w:hAnsi="Times New Roman" w:cs="Times New Roman"/>
                <w:sz w:val="24"/>
                <w:szCs w:val="24"/>
              </w:rPr>
            </w:pPr>
            <w:r w:rsidRPr="009F657C">
              <w:rPr>
                <w:rFonts w:ascii="Times New Roman" w:hAnsi="Times New Roman" w:cs="Times New Roman"/>
                <w:sz w:val="24"/>
                <w:szCs w:val="24"/>
              </w:rPr>
              <w:t>20</w:t>
            </w:r>
          </w:p>
        </w:tc>
      </w:tr>
    </w:tbl>
    <w:p w14:paraId="52A394B2" w14:textId="77777777" w:rsidR="00EF6DD2" w:rsidRPr="00EF6DD2" w:rsidRDefault="00EF6DD2" w:rsidP="00EF6DD2">
      <w:pPr>
        <w:spacing w:line="360" w:lineRule="auto"/>
        <w:jc w:val="both"/>
        <w:rPr>
          <w:rFonts w:ascii="Times New Roman" w:hAnsi="Times New Roman" w:cs="Times New Roman"/>
          <w:sz w:val="24"/>
          <w:szCs w:val="24"/>
        </w:rPr>
      </w:pPr>
      <w:r w:rsidRPr="00EF6DD2">
        <w:rPr>
          <w:rFonts w:ascii="Times New Roman" w:hAnsi="Times New Roman" w:cs="Times New Roman"/>
          <w:sz w:val="24"/>
          <w:szCs w:val="24"/>
        </w:rPr>
        <w:t>In short, the two projects have a Year 0 cash outflow and an inflow over subsequent years. We would analyze the financial feasibility of these respective projects and see which project is a better investment opportunity.</w:t>
      </w:r>
    </w:p>
    <w:p w14:paraId="688C494D" w14:textId="77777777" w:rsidR="00EF6DD2" w:rsidRPr="00C35F26" w:rsidRDefault="00EF6DD2" w:rsidP="00EF6DD2">
      <w:pPr>
        <w:pStyle w:val="Heading2"/>
        <w:rPr>
          <w:rFonts w:ascii="Times New Roman" w:hAnsi="Times New Roman" w:cs="Times New Roman"/>
        </w:rPr>
      </w:pPr>
      <w:bookmarkStart w:id="34" w:name="_Toc175068519"/>
      <w:r w:rsidRPr="00C35F26">
        <w:rPr>
          <w:rFonts w:ascii="Times New Roman" w:hAnsi="Times New Roman" w:cs="Times New Roman"/>
        </w:rPr>
        <w:t>Net Present Value (NPV)</w:t>
      </w:r>
      <w:bookmarkEnd w:id="34"/>
    </w:p>
    <w:p w14:paraId="68E50A9A" w14:textId="77777777" w:rsidR="00EF6DD2" w:rsidRPr="00EF6DD2" w:rsidRDefault="00EF6DD2" w:rsidP="00EF6DD2">
      <w:pPr>
        <w:spacing w:line="360" w:lineRule="auto"/>
        <w:jc w:val="both"/>
        <w:rPr>
          <w:rFonts w:ascii="Times New Roman" w:hAnsi="Times New Roman" w:cs="Times New Roman"/>
          <w:sz w:val="24"/>
          <w:szCs w:val="24"/>
        </w:rPr>
      </w:pPr>
      <w:r w:rsidRPr="00EF6DD2">
        <w:rPr>
          <w:rFonts w:ascii="Times New Roman" w:hAnsi="Times New Roman" w:cs="Times New Roman"/>
          <w:sz w:val="24"/>
          <w:szCs w:val="24"/>
        </w:rPr>
        <w:t>One of the basic investment appraisal techniques is Net Present Value (NPV), these are essentially a measure used to value an investment opportunity, by discounting it future asset and cash flows back in time, using cost of capital. The NPV calculation is critical to determine whether the returns of a project are better than the cost of capital and it directly measures how much benefit (economically) one should gain from an investment.</w:t>
      </w:r>
    </w:p>
    <w:p w14:paraId="35D4AAE9" w14:textId="77777777" w:rsidR="00EF6DD2" w:rsidRPr="009F657C" w:rsidRDefault="00EF6DD2" w:rsidP="009F657C">
      <w:pPr>
        <w:spacing w:line="360" w:lineRule="auto"/>
        <w:jc w:val="both"/>
        <w:rPr>
          <w:rFonts w:ascii="Times New Roman" w:hAnsi="Times New Roman" w:cs="Times New Roman"/>
          <w:sz w:val="24"/>
          <w:szCs w:val="24"/>
        </w:rPr>
      </w:pPr>
    </w:p>
    <w:p w14:paraId="3AAD74E0" w14:textId="77777777" w:rsidR="009F657C" w:rsidRPr="009F657C" w:rsidRDefault="009F657C" w:rsidP="009F657C">
      <w:pPr>
        <w:spacing w:line="360" w:lineRule="auto"/>
        <w:jc w:val="both"/>
        <w:rPr>
          <w:rFonts w:ascii="Times New Roman" w:hAnsi="Times New Roman" w:cs="Times New Roman"/>
          <w:sz w:val="24"/>
          <w:szCs w:val="24"/>
        </w:rPr>
      </w:pPr>
      <w:r w:rsidRPr="009F657C">
        <w:rPr>
          <w:rFonts w:ascii="Times New Roman" w:hAnsi="Times New Roman" w:cs="Times New Roman"/>
          <w:b/>
          <w:bCs/>
          <w:sz w:val="24"/>
          <w:szCs w:val="24"/>
        </w:rPr>
        <w:t>Formula for NPV:</w:t>
      </w:r>
    </w:p>
    <w:p w14:paraId="2B69931D" w14:textId="314CB7BD" w:rsidR="009F657C" w:rsidRPr="009F657C" w:rsidRDefault="009F657C" w:rsidP="009F657C">
      <w:pPr>
        <w:spacing w:line="360" w:lineRule="auto"/>
        <w:jc w:val="both"/>
        <w:rPr>
          <w:rFonts w:ascii="Times New Roman" w:hAnsi="Times New Roman" w:cs="Times New Roman"/>
          <w:sz w:val="24"/>
          <w:szCs w:val="24"/>
        </w:rPr>
      </w:pPr>
      <w:r w:rsidRPr="009F657C">
        <w:rPr>
          <w:rFonts w:ascii="Times New Roman" w:hAnsi="Times New Roman" w:cs="Times New Roman"/>
          <w:sz w:val="24"/>
          <w:szCs w:val="24"/>
        </w:rPr>
        <w:t>NPV=∑t=1nCt(1+</w:t>
      </w:r>
      <w:r w:rsidR="008378EA" w:rsidRPr="009F657C">
        <w:rPr>
          <w:rFonts w:ascii="Times New Roman" w:hAnsi="Times New Roman" w:cs="Times New Roman"/>
          <w:sz w:val="24"/>
          <w:szCs w:val="24"/>
        </w:rPr>
        <w:t>r) t</w:t>
      </w:r>
      <w:r w:rsidRPr="009F657C">
        <w:rPr>
          <w:rFonts w:ascii="Times New Roman" w:hAnsi="Times New Roman" w:cs="Times New Roman"/>
          <w:sz w:val="24"/>
          <w:szCs w:val="24"/>
        </w:rPr>
        <w:t>−C0</w:t>
      </w:r>
    </w:p>
    <w:p w14:paraId="0C3D7BEE" w14:textId="77777777" w:rsidR="009F657C" w:rsidRPr="009F657C" w:rsidRDefault="009F657C" w:rsidP="009F657C">
      <w:pPr>
        <w:spacing w:line="360" w:lineRule="auto"/>
        <w:jc w:val="both"/>
        <w:rPr>
          <w:rFonts w:ascii="Times New Roman" w:hAnsi="Times New Roman" w:cs="Times New Roman"/>
          <w:sz w:val="24"/>
          <w:szCs w:val="24"/>
        </w:rPr>
      </w:pPr>
      <w:r w:rsidRPr="009F657C">
        <w:rPr>
          <w:rFonts w:ascii="Times New Roman" w:hAnsi="Times New Roman" w:cs="Times New Roman"/>
          <w:sz w:val="24"/>
          <w:szCs w:val="24"/>
        </w:rPr>
        <w:t>where:</w:t>
      </w:r>
    </w:p>
    <w:p w14:paraId="2DC81C60" w14:textId="77777777" w:rsidR="009F657C" w:rsidRPr="009F657C" w:rsidRDefault="009F657C" w:rsidP="009F657C">
      <w:pPr>
        <w:numPr>
          <w:ilvl w:val="0"/>
          <w:numId w:val="5"/>
        </w:numPr>
        <w:spacing w:line="360" w:lineRule="auto"/>
        <w:jc w:val="both"/>
        <w:rPr>
          <w:rFonts w:ascii="Times New Roman" w:hAnsi="Times New Roman" w:cs="Times New Roman"/>
          <w:sz w:val="24"/>
          <w:szCs w:val="24"/>
        </w:rPr>
      </w:pPr>
      <w:r w:rsidRPr="009F657C">
        <w:rPr>
          <w:rFonts w:ascii="Times New Roman" w:hAnsi="Times New Roman" w:cs="Times New Roman"/>
          <w:sz w:val="24"/>
          <w:szCs w:val="24"/>
        </w:rPr>
        <w:t>Ct​ = Cash flow at time t</w:t>
      </w:r>
    </w:p>
    <w:p w14:paraId="70F54A37" w14:textId="77777777" w:rsidR="009F657C" w:rsidRPr="009F657C" w:rsidRDefault="00831BF0" w:rsidP="009F657C">
      <w:pPr>
        <w:numPr>
          <w:ilvl w:val="0"/>
          <w:numId w:val="5"/>
        </w:numPr>
        <w:spacing w:line="360" w:lineRule="auto"/>
        <w:jc w:val="both"/>
        <w:rPr>
          <w:rFonts w:ascii="Times New Roman" w:hAnsi="Times New Roman" w:cs="Times New Roman"/>
          <w:sz w:val="24"/>
          <w:szCs w:val="24"/>
        </w:rPr>
      </w:pPr>
      <w:r w:rsidRPr="009F657C">
        <w:rPr>
          <w:rFonts w:ascii="Times New Roman" w:hAnsi="Times New Roman" w:cs="Times New Roman"/>
          <w:sz w:val="24"/>
          <w:szCs w:val="24"/>
        </w:rPr>
        <w:t>R</w:t>
      </w:r>
      <w:r>
        <w:rPr>
          <w:rFonts w:ascii="Times New Roman" w:hAnsi="Times New Roman" w:cs="Times New Roman"/>
          <w:sz w:val="24"/>
          <w:szCs w:val="24"/>
        </w:rPr>
        <w:t xml:space="preserve"> </w:t>
      </w:r>
      <w:r w:rsidR="009F657C" w:rsidRPr="009F657C">
        <w:rPr>
          <w:rFonts w:ascii="Times New Roman" w:hAnsi="Times New Roman" w:cs="Times New Roman"/>
          <w:sz w:val="24"/>
          <w:szCs w:val="24"/>
        </w:rPr>
        <w:t>= Discount rate (cost of capital)</w:t>
      </w:r>
    </w:p>
    <w:p w14:paraId="0D2D1ACB" w14:textId="77777777" w:rsidR="009F657C" w:rsidRPr="009F657C" w:rsidRDefault="009F657C" w:rsidP="009F657C">
      <w:pPr>
        <w:numPr>
          <w:ilvl w:val="0"/>
          <w:numId w:val="5"/>
        </w:numPr>
        <w:spacing w:line="360" w:lineRule="auto"/>
        <w:jc w:val="both"/>
        <w:rPr>
          <w:rFonts w:ascii="Times New Roman" w:hAnsi="Times New Roman" w:cs="Times New Roman"/>
          <w:sz w:val="24"/>
          <w:szCs w:val="24"/>
        </w:rPr>
      </w:pPr>
      <w:r w:rsidRPr="009F657C">
        <w:rPr>
          <w:rFonts w:ascii="Times New Roman" w:hAnsi="Times New Roman" w:cs="Times New Roman"/>
          <w:sz w:val="24"/>
          <w:szCs w:val="24"/>
        </w:rPr>
        <w:t>C0C_0C0​ = Initial investment</w:t>
      </w:r>
    </w:p>
    <w:p w14:paraId="16698623" w14:textId="77777777" w:rsidR="009F657C" w:rsidRPr="009F657C" w:rsidRDefault="009F657C" w:rsidP="009F657C">
      <w:pPr>
        <w:numPr>
          <w:ilvl w:val="0"/>
          <w:numId w:val="5"/>
        </w:numPr>
        <w:spacing w:line="360" w:lineRule="auto"/>
        <w:jc w:val="both"/>
        <w:rPr>
          <w:rFonts w:ascii="Times New Roman" w:hAnsi="Times New Roman" w:cs="Times New Roman"/>
          <w:sz w:val="24"/>
          <w:szCs w:val="24"/>
        </w:rPr>
      </w:pPr>
      <w:r w:rsidRPr="009F657C">
        <w:rPr>
          <w:rFonts w:ascii="Times New Roman" w:hAnsi="Times New Roman" w:cs="Times New Roman"/>
          <w:sz w:val="24"/>
          <w:szCs w:val="24"/>
        </w:rPr>
        <w:t>n = Number of periods</w:t>
      </w:r>
    </w:p>
    <w:p w14:paraId="694B9C84" w14:textId="77777777" w:rsidR="009F657C" w:rsidRPr="00C35F26" w:rsidRDefault="009F657C" w:rsidP="009F657C">
      <w:pPr>
        <w:pStyle w:val="Heading2"/>
        <w:rPr>
          <w:rFonts w:ascii="Times New Roman" w:hAnsi="Times New Roman" w:cs="Times New Roman"/>
        </w:rPr>
      </w:pPr>
      <w:bookmarkStart w:id="35" w:name="_Toc175068520"/>
      <w:r w:rsidRPr="00C35F26">
        <w:rPr>
          <w:rFonts w:ascii="Times New Roman" w:hAnsi="Times New Roman" w:cs="Times New Roman"/>
        </w:rPr>
        <w:t>Project A Calculation:</w:t>
      </w:r>
      <w:bookmarkEnd w:id="35"/>
    </w:p>
    <w:p w14:paraId="14C06FD0" w14:textId="77777777" w:rsidR="009F657C" w:rsidRPr="009F657C" w:rsidRDefault="009F657C" w:rsidP="009F657C">
      <w:pPr>
        <w:numPr>
          <w:ilvl w:val="0"/>
          <w:numId w:val="6"/>
        </w:numPr>
        <w:spacing w:line="360" w:lineRule="auto"/>
        <w:jc w:val="both"/>
        <w:rPr>
          <w:rFonts w:ascii="Times New Roman" w:hAnsi="Times New Roman" w:cs="Times New Roman"/>
          <w:sz w:val="24"/>
          <w:szCs w:val="24"/>
        </w:rPr>
      </w:pPr>
      <w:r w:rsidRPr="009F657C">
        <w:rPr>
          <w:rFonts w:ascii="Times New Roman" w:hAnsi="Times New Roman" w:cs="Times New Roman"/>
          <w:b/>
          <w:bCs/>
          <w:sz w:val="24"/>
          <w:szCs w:val="24"/>
        </w:rPr>
        <w:t>Discount Cash Flows:</w:t>
      </w:r>
    </w:p>
    <w:p w14:paraId="358E3BB4" w14:textId="77777777" w:rsidR="009F657C" w:rsidRPr="009F657C" w:rsidRDefault="009F657C" w:rsidP="009F657C">
      <w:pPr>
        <w:spacing w:line="360" w:lineRule="auto"/>
        <w:jc w:val="both"/>
        <w:rPr>
          <w:rFonts w:ascii="Times New Roman" w:hAnsi="Times New Roman" w:cs="Times New Roman"/>
          <w:sz w:val="24"/>
          <w:szCs w:val="24"/>
        </w:rPr>
      </w:pPr>
      <w:r w:rsidRPr="009F657C">
        <w:rPr>
          <w:rFonts w:ascii="Times New Roman" w:hAnsi="Times New Roman" w:cs="Times New Roman"/>
          <w:sz w:val="24"/>
          <w:szCs w:val="24"/>
        </w:rPr>
        <w:t>NPVA=25(1+0.0975)1+25(1+0.0975)2+20(1+0.0975)3+55(1+0.0975)4−80</w:t>
      </w:r>
    </w:p>
    <w:p w14:paraId="2C954AA0" w14:textId="77777777" w:rsidR="009F657C" w:rsidRPr="009F657C" w:rsidRDefault="009F657C" w:rsidP="009F657C">
      <w:pPr>
        <w:numPr>
          <w:ilvl w:val="0"/>
          <w:numId w:val="7"/>
        </w:numPr>
        <w:spacing w:line="360" w:lineRule="auto"/>
        <w:jc w:val="both"/>
        <w:rPr>
          <w:rFonts w:ascii="Times New Roman" w:hAnsi="Times New Roman" w:cs="Times New Roman"/>
          <w:sz w:val="24"/>
          <w:szCs w:val="24"/>
        </w:rPr>
      </w:pPr>
      <w:r w:rsidRPr="009F657C">
        <w:rPr>
          <w:rFonts w:ascii="Times New Roman" w:hAnsi="Times New Roman" w:cs="Times New Roman"/>
          <w:b/>
          <w:bCs/>
          <w:sz w:val="24"/>
          <w:szCs w:val="24"/>
        </w:rPr>
        <w:t>Present Value of Cash Flows:</w:t>
      </w:r>
    </w:p>
    <w:p w14:paraId="765C949E" w14:textId="77777777" w:rsidR="00831BF0" w:rsidRDefault="009F657C" w:rsidP="009F657C">
      <w:pPr>
        <w:spacing w:line="360" w:lineRule="auto"/>
        <w:jc w:val="both"/>
        <w:rPr>
          <w:rFonts w:ascii="Times New Roman" w:hAnsi="Times New Roman" w:cs="Times New Roman"/>
          <w:sz w:val="24"/>
          <w:szCs w:val="24"/>
        </w:rPr>
      </w:pPr>
      <w:r w:rsidRPr="009F657C">
        <w:rPr>
          <w:rFonts w:ascii="Times New Roman" w:hAnsi="Times New Roman" w:cs="Times New Roman"/>
          <w:sz w:val="24"/>
          <w:szCs w:val="24"/>
        </w:rPr>
        <w:t>PV1=251.0975=22.78</w:t>
      </w:r>
    </w:p>
    <w:p w14:paraId="1E489E51" w14:textId="77777777" w:rsidR="008378EA" w:rsidRDefault="009F657C" w:rsidP="009F657C">
      <w:pPr>
        <w:spacing w:line="360" w:lineRule="auto"/>
        <w:jc w:val="both"/>
        <w:rPr>
          <w:rFonts w:ascii="Times New Roman" w:hAnsi="Times New Roman" w:cs="Times New Roman"/>
          <w:sz w:val="24"/>
          <w:szCs w:val="24"/>
        </w:rPr>
      </w:pPr>
      <w:r w:rsidRPr="009F657C">
        <w:rPr>
          <w:rFonts w:ascii="Times New Roman" w:hAnsi="Times New Roman" w:cs="Times New Roman"/>
          <w:sz w:val="24"/>
          <w:szCs w:val="24"/>
        </w:rPr>
        <w:t>PV2=251.09752=20.74</w:t>
      </w:r>
    </w:p>
    <w:p w14:paraId="1CD9B58A" w14:textId="77FC1F45" w:rsidR="00831BF0" w:rsidRDefault="009F657C" w:rsidP="009F657C">
      <w:pPr>
        <w:spacing w:line="360" w:lineRule="auto"/>
        <w:jc w:val="both"/>
        <w:rPr>
          <w:rFonts w:ascii="Times New Roman" w:hAnsi="Times New Roman" w:cs="Times New Roman"/>
          <w:sz w:val="24"/>
          <w:szCs w:val="24"/>
        </w:rPr>
      </w:pPr>
      <w:r w:rsidRPr="009F657C">
        <w:rPr>
          <w:rFonts w:ascii="Times New Roman" w:hAnsi="Times New Roman" w:cs="Times New Roman"/>
          <w:sz w:val="24"/>
          <w:szCs w:val="24"/>
        </w:rPr>
        <w:lastRenderedPageBreak/>
        <w:t>PV3=201.09753=18.89</w:t>
      </w:r>
    </w:p>
    <w:p w14:paraId="67163710" w14:textId="77777777" w:rsidR="009F657C" w:rsidRPr="009F657C" w:rsidRDefault="009F657C" w:rsidP="009F657C">
      <w:pPr>
        <w:spacing w:line="360" w:lineRule="auto"/>
        <w:jc w:val="both"/>
        <w:rPr>
          <w:rFonts w:ascii="Times New Roman" w:hAnsi="Times New Roman" w:cs="Times New Roman"/>
          <w:sz w:val="24"/>
          <w:szCs w:val="24"/>
        </w:rPr>
      </w:pPr>
      <w:r w:rsidRPr="009F657C">
        <w:rPr>
          <w:rFonts w:ascii="Times New Roman" w:hAnsi="Times New Roman" w:cs="Times New Roman"/>
          <w:sz w:val="24"/>
          <w:szCs w:val="24"/>
        </w:rPr>
        <w:t>PV4=551.09754=37.45</w:t>
      </w:r>
    </w:p>
    <w:p w14:paraId="5A4B4909" w14:textId="77777777" w:rsidR="009F657C" w:rsidRPr="009F657C" w:rsidRDefault="009F657C" w:rsidP="009F657C">
      <w:pPr>
        <w:numPr>
          <w:ilvl w:val="0"/>
          <w:numId w:val="8"/>
        </w:numPr>
        <w:spacing w:line="360" w:lineRule="auto"/>
        <w:jc w:val="both"/>
        <w:rPr>
          <w:rFonts w:ascii="Times New Roman" w:hAnsi="Times New Roman" w:cs="Times New Roman"/>
          <w:sz w:val="24"/>
          <w:szCs w:val="24"/>
        </w:rPr>
      </w:pPr>
      <w:r w:rsidRPr="009F657C">
        <w:rPr>
          <w:rFonts w:ascii="Times New Roman" w:hAnsi="Times New Roman" w:cs="Times New Roman"/>
          <w:b/>
          <w:bCs/>
          <w:sz w:val="24"/>
          <w:szCs w:val="24"/>
        </w:rPr>
        <w:t>Calculate NPV:</w:t>
      </w:r>
    </w:p>
    <w:p w14:paraId="153DD183" w14:textId="77777777" w:rsidR="009F657C" w:rsidRDefault="009F657C" w:rsidP="009F657C">
      <w:pPr>
        <w:spacing w:line="360" w:lineRule="auto"/>
        <w:jc w:val="both"/>
        <w:rPr>
          <w:rFonts w:ascii="Times New Roman" w:hAnsi="Times New Roman" w:cs="Times New Roman"/>
          <w:sz w:val="24"/>
          <w:szCs w:val="24"/>
        </w:rPr>
      </w:pPr>
      <w:r w:rsidRPr="009F657C">
        <w:rPr>
          <w:rFonts w:ascii="Times New Roman" w:hAnsi="Times New Roman" w:cs="Times New Roman"/>
          <w:sz w:val="24"/>
          <w:szCs w:val="24"/>
        </w:rPr>
        <w:t>NPVA=22.78+20.74+18.89+37.45−80=19.86</w:t>
      </w:r>
    </w:p>
    <w:p w14:paraId="6D2108EC" w14:textId="77777777" w:rsidR="00C35F26" w:rsidRPr="009F657C" w:rsidRDefault="00C35F26" w:rsidP="009F657C">
      <w:pPr>
        <w:spacing w:line="360" w:lineRule="auto"/>
        <w:jc w:val="both"/>
        <w:rPr>
          <w:rFonts w:ascii="Times New Roman" w:hAnsi="Times New Roman" w:cs="Times New Roman"/>
          <w:sz w:val="24"/>
          <w:szCs w:val="24"/>
        </w:rPr>
      </w:pPr>
    </w:p>
    <w:p w14:paraId="7F9B5000" w14:textId="77777777" w:rsidR="009F657C" w:rsidRPr="00C35F26" w:rsidRDefault="009F657C" w:rsidP="009F657C">
      <w:pPr>
        <w:pStyle w:val="Heading2"/>
        <w:rPr>
          <w:rFonts w:ascii="Times New Roman" w:hAnsi="Times New Roman" w:cs="Times New Roman"/>
        </w:rPr>
      </w:pPr>
      <w:bookmarkStart w:id="36" w:name="_Toc175068521"/>
      <w:r w:rsidRPr="00C35F26">
        <w:rPr>
          <w:rFonts w:ascii="Times New Roman" w:hAnsi="Times New Roman" w:cs="Times New Roman"/>
        </w:rPr>
        <w:t>Project B Calculation:</w:t>
      </w:r>
      <w:bookmarkEnd w:id="36"/>
    </w:p>
    <w:p w14:paraId="0458FFCC" w14:textId="77777777" w:rsidR="009F657C" w:rsidRPr="009F657C" w:rsidRDefault="009F657C" w:rsidP="009F657C">
      <w:pPr>
        <w:numPr>
          <w:ilvl w:val="0"/>
          <w:numId w:val="9"/>
        </w:numPr>
        <w:spacing w:line="360" w:lineRule="auto"/>
        <w:jc w:val="both"/>
        <w:rPr>
          <w:rFonts w:ascii="Times New Roman" w:hAnsi="Times New Roman" w:cs="Times New Roman"/>
          <w:sz w:val="24"/>
          <w:szCs w:val="24"/>
        </w:rPr>
      </w:pPr>
      <w:r w:rsidRPr="009F657C">
        <w:rPr>
          <w:rFonts w:ascii="Times New Roman" w:hAnsi="Times New Roman" w:cs="Times New Roman"/>
          <w:b/>
          <w:bCs/>
          <w:sz w:val="24"/>
          <w:szCs w:val="24"/>
        </w:rPr>
        <w:t>Discount Cash Flows:</w:t>
      </w:r>
    </w:p>
    <w:p w14:paraId="6559E8E2" w14:textId="77777777" w:rsidR="009F657C" w:rsidRPr="009F657C" w:rsidRDefault="009F657C" w:rsidP="009F657C">
      <w:pPr>
        <w:spacing w:line="360" w:lineRule="auto"/>
        <w:jc w:val="both"/>
        <w:rPr>
          <w:rFonts w:ascii="Times New Roman" w:hAnsi="Times New Roman" w:cs="Times New Roman"/>
          <w:sz w:val="24"/>
          <w:szCs w:val="24"/>
        </w:rPr>
      </w:pPr>
      <w:r w:rsidRPr="009F657C">
        <w:rPr>
          <w:rFonts w:ascii="Times New Roman" w:hAnsi="Times New Roman" w:cs="Times New Roman"/>
          <w:sz w:val="24"/>
          <w:szCs w:val="24"/>
        </w:rPr>
        <w:t>NPVB=50(1+0.0975)1+20(1+0.0975)2+20(1+0.0975)3+20(1+0.0975)4−75</w:t>
      </w:r>
    </w:p>
    <w:p w14:paraId="454813A6" w14:textId="77777777" w:rsidR="009F657C" w:rsidRPr="009F657C" w:rsidRDefault="009F657C" w:rsidP="009F657C">
      <w:pPr>
        <w:numPr>
          <w:ilvl w:val="0"/>
          <w:numId w:val="10"/>
        </w:numPr>
        <w:spacing w:line="360" w:lineRule="auto"/>
        <w:jc w:val="both"/>
        <w:rPr>
          <w:rFonts w:ascii="Times New Roman" w:hAnsi="Times New Roman" w:cs="Times New Roman"/>
          <w:sz w:val="24"/>
          <w:szCs w:val="24"/>
        </w:rPr>
      </w:pPr>
      <w:r w:rsidRPr="009F657C">
        <w:rPr>
          <w:rFonts w:ascii="Times New Roman" w:hAnsi="Times New Roman" w:cs="Times New Roman"/>
          <w:b/>
          <w:bCs/>
          <w:sz w:val="24"/>
          <w:szCs w:val="24"/>
        </w:rPr>
        <w:t>Present Value of Cash Flows:</w:t>
      </w:r>
    </w:p>
    <w:p w14:paraId="79269035" w14:textId="77777777" w:rsidR="00831BF0" w:rsidRDefault="009F657C" w:rsidP="009F657C">
      <w:pPr>
        <w:spacing w:line="360" w:lineRule="auto"/>
        <w:jc w:val="both"/>
        <w:rPr>
          <w:rFonts w:ascii="Times New Roman" w:hAnsi="Times New Roman" w:cs="Times New Roman"/>
          <w:sz w:val="24"/>
          <w:szCs w:val="24"/>
        </w:rPr>
      </w:pPr>
      <w:r w:rsidRPr="009F657C">
        <w:rPr>
          <w:rFonts w:ascii="Times New Roman" w:hAnsi="Times New Roman" w:cs="Times New Roman"/>
          <w:sz w:val="24"/>
          <w:szCs w:val="24"/>
        </w:rPr>
        <w:t>PV1=501.0975=45.58</w:t>
      </w:r>
    </w:p>
    <w:p w14:paraId="57773757" w14:textId="77777777" w:rsidR="00831BF0" w:rsidRDefault="009F657C" w:rsidP="009F657C">
      <w:pPr>
        <w:spacing w:line="360" w:lineRule="auto"/>
        <w:jc w:val="both"/>
        <w:rPr>
          <w:rFonts w:ascii="Times New Roman" w:hAnsi="Times New Roman" w:cs="Times New Roman"/>
          <w:sz w:val="24"/>
          <w:szCs w:val="24"/>
        </w:rPr>
      </w:pPr>
      <w:r w:rsidRPr="009F657C">
        <w:rPr>
          <w:rFonts w:ascii="Times New Roman" w:hAnsi="Times New Roman" w:cs="Times New Roman"/>
          <w:sz w:val="24"/>
          <w:szCs w:val="24"/>
        </w:rPr>
        <w:t>PV2=201.09752=37.74</w:t>
      </w:r>
    </w:p>
    <w:p w14:paraId="1392E8A3" w14:textId="77777777" w:rsidR="00831BF0" w:rsidRDefault="009F657C" w:rsidP="009F657C">
      <w:pPr>
        <w:spacing w:line="360" w:lineRule="auto"/>
        <w:jc w:val="both"/>
        <w:rPr>
          <w:rFonts w:ascii="Times New Roman" w:hAnsi="Times New Roman" w:cs="Times New Roman"/>
          <w:sz w:val="24"/>
          <w:szCs w:val="24"/>
        </w:rPr>
      </w:pPr>
      <w:r w:rsidRPr="009F657C">
        <w:rPr>
          <w:rFonts w:ascii="Times New Roman" w:hAnsi="Times New Roman" w:cs="Times New Roman"/>
          <w:sz w:val="24"/>
          <w:szCs w:val="24"/>
        </w:rPr>
        <w:t>PV3=201.09753=34.43</w:t>
      </w:r>
    </w:p>
    <w:p w14:paraId="05F37B80" w14:textId="77777777" w:rsidR="009F657C" w:rsidRPr="009F657C" w:rsidRDefault="009F657C" w:rsidP="009F657C">
      <w:pPr>
        <w:spacing w:line="360" w:lineRule="auto"/>
        <w:jc w:val="both"/>
        <w:rPr>
          <w:rFonts w:ascii="Times New Roman" w:hAnsi="Times New Roman" w:cs="Times New Roman"/>
          <w:sz w:val="24"/>
          <w:szCs w:val="24"/>
        </w:rPr>
      </w:pPr>
      <w:r w:rsidRPr="009F657C">
        <w:rPr>
          <w:rFonts w:ascii="Times New Roman" w:hAnsi="Times New Roman" w:cs="Times New Roman"/>
          <w:sz w:val="24"/>
          <w:szCs w:val="24"/>
        </w:rPr>
        <w:t>PV4=201.09754=31.44</w:t>
      </w:r>
    </w:p>
    <w:p w14:paraId="68D59F82" w14:textId="77777777" w:rsidR="009F657C" w:rsidRPr="009F657C" w:rsidRDefault="009F657C" w:rsidP="009F657C">
      <w:pPr>
        <w:numPr>
          <w:ilvl w:val="0"/>
          <w:numId w:val="11"/>
        </w:numPr>
        <w:spacing w:line="360" w:lineRule="auto"/>
        <w:jc w:val="both"/>
        <w:rPr>
          <w:rFonts w:ascii="Times New Roman" w:hAnsi="Times New Roman" w:cs="Times New Roman"/>
          <w:sz w:val="24"/>
          <w:szCs w:val="24"/>
        </w:rPr>
      </w:pPr>
      <w:r w:rsidRPr="009F657C">
        <w:rPr>
          <w:rFonts w:ascii="Times New Roman" w:hAnsi="Times New Roman" w:cs="Times New Roman"/>
          <w:b/>
          <w:bCs/>
          <w:sz w:val="24"/>
          <w:szCs w:val="24"/>
        </w:rPr>
        <w:t>Calculate NPV:</w:t>
      </w:r>
    </w:p>
    <w:p w14:paraId="66553F67" w14:textId="77777777" w:rsidR="009F657C" w:rsidRPr="009F657C" w:rsidRDefault="009F657C" w:rsidP="009F657C">
      <w:pPr>
        <w:spacing w:line="360" w:lineRule="auto"/>
        <w:jc w:val="both"/>
        <w:rPr>
          <w:rFonts w:ascii="Times New Roman" w:hAnsi="Times New Roman" w:cs="Times New Roman"/>
          <w:sz w:val="24"/>
          <w:szCs w:val="24"/>
        </w:rPr>
      </w:pPr>
      <w:r w:rsidRPr="009F657C">
        <w:rPr>
          <w:rFonts w:ascii="Times New Roman" w:hAnsi="Times New Roman" w:cs="Times New Roman"/>
          <w:sz w:val="24"/>
          <w:szCs w:val="24"/>
        </w:rPr>
        <w:t>NPVB=45.58+37.74+34.43+31.44−75=74.19</w:t>
      </w:r>
    </w:p>
    <w:p w14:paraId="6C12D404" w14:textId="77777777" w:rsidR="008378EA" w:rsidRDefault="008378EA" w:rsidP="009F657C">
      <w:pPr>
        <w:spacing w:line="360" w:lineRule="auto"/>
        <w:jc w:val="both"/>
        <w:rPr>
          <w:rFonts w:ascii="Times New Roman" w:hAnsi="Times New Roman" w:cs="Times New Roman"/>
          <w:b/>
          <w:bCs/>
          <w:sz w:val="24"/>
          <w:szCs w:val="24"/>
        </w:rPr>
      </w:pPr>
    </w:p>
    <w:p w14:paraId="5C05C23B" w14:textId="77777777" w:rsidR="008378EA" w:rsidRDefault="008378EA" w:rsidP="009F657C">
      <w:pPr>
        <w:spacing w:line="360" w:lineRule="auto"/>
        <w:jc w:val="both"/>
        <w:rPr>
          <w:rFonts w:ascii="Times New Roman" w:hAnsi="Times New Roman" w:cs="Times New Roman"/>
          <w:b/>
          <w:bCs/>
          <w:sz w:val="24"/>
          <w:szCs w:val="24"/>
        </w:rPr>
      </w:pPr>
    </w:p>
    <w:p w14:paraId="6D285E1F" w14:textId="77777777" w:rsidR="008378EA" w:rsidRDefault="008378EA" w:rsidP="009F657C">
      <w:pPr>
        <w:spacing w:line="360" w:lineRule="auto"/>
        <w:jc w:val="both"/>
        <w:rPr>
          <w:rFonts w:ascii="Times New Roman" w:hAnsi="Times New Roman" w:cs="Times New Roman"/>
          <w:b/>
          <w:bCs/>
          <w:sz w:val="24"/>
          <w:szCs w:val="24"/>
        </w:rPr>
      </w:pPr>
    </w:p>
    <w:p w14:paraId="2E23FF32" w14:textId="77777777" w:rsidR="008378EA" w:rsidRDefault="008378EA" w:rsidP="009F657C">
      <w:pPr>
        <w:spacing w:line="360" w:lineRule="auto"/>
        <w:jc w:val="both"/>
        <w:rPr>
          <w:rFonts w:ascii="Times New Roman" w:hAnsi="Times New Roman" w:cs="Times New Roman"/>
          <w:b/>
          <w:bCs/>
          <w:sz w:val="24"/>
          <w:szCs w:val="24"/>
        </w:rPr>
      </w:pPr>
    </w:p>
    <w:p w14:paraId="0297631A" w14:textId="77777777" w:rsidR="008378EA" w:rsidRDefault="008378EA" w:rsidP="009F657C">
      <w:pPr>
        <w:spacing w:line="360" w:lineRule="auto"/>
        <w:jc w:val="both"/>
        <w:rPr>
          <w:rFonts w:ascii="Times New Roman" w:hAnsi="Times New Roman" w:cs="Times New Roman"/>
          <w:b/>
          <w:bCs/>
          <w:sz w:val="24"/>
          <w:szCs w:val="24"/>
        </w:rPr>
      </w:pPr>
    </w:p>
    <w:p w14:paraId="1272EEA0" w14:textId="77777777" w:rsidR="008378EA" w:rsidRDefault="008378EA" w:rsidP="009F657C">
      <w:pPr>
        <w:spacing w:line="360" w:lineRule="auto"/>
        <w:jc w:val="both"/>
        <w:rPr>
          <w:rFonts w:ascii="Times New Roman" w:hAnsi="Times New Roman" w:cs="Times New Roman"/>
          <w:b/>
          <w:bCs/>
          <w:sz w:val="24"/>
          <w:szCs w:val="24"/>
        </w:rPr>
      </w:pPr>
    </w:p>
    <w:p w14:paraId="51F7768E" w14:textId="77777777" w:rsidR="008378EA" w:rsidRDefault="008378EA" w:rsidP="009F657C">
      <w:pPr>
        <w:spacing w:line="360" w:lineRule="auto"/>
        <w:jc w:val="both"/>
        <w:rPr>
          <w:rFonts w:ascii="Times New Roman" w:hAnsi="Times New Roman" w:cs="Times New Roman"/>
          <w:b/>
          <w:bCs/>
          <w:sz w:val="24"/>
          <w:szCs w:val="24"/>
        </w:rPr>
      </w:pPr>
    </w:p>
    <w:p w14:paraId="1FAA6093" w14:textId="77777777" w:rsidR="008378EA" w:rsidRDefault="008378EA" w:rsidP="009F657C">
      <w:pPr>
        <w:spacing w:line="360" w:lineRule="auto"/>
        <w:jc w:val="both"/>
        <w:rPr>
          <w:rFonts w:ascii="Times New Roman" w:hAnsi="Times New Roman" w:cs="Times New Roman"/>
          <w:b/>
          <w:bCs/>
          <w:sz w:val="24"/>
          <w:szCs w:val="24"/>
        </w:rPr>
      </w:pPr>
    </w:p>
    <w:p w14:paraId="6F6E31F3" w14:textId="1D8C050C" w:rsidR="009F657C" w:rsidRDefault="009F657C" w:rsidP="009F657C">
      <w:pPr>
        <w:spacing w:line="360" w:lineRule="auto"/>
        <w:jc w:val="both"/>
        <w:rPr>
          <w:rFonts w:ascii="Times New Roman" w:hAnsi="Times New Roman" w:cs="Times New Roman"/>
          <w:b/>
          <w:bCs/>
          <w:sz w:val="24"/>
          <w:szCs w:val="24"/>
        </w:rPr>
      </w:pPr>
      <w:r w:rsidRPr="009F657C">
        <w:rPr>
          <w:rFonts w:ascii="Times New Roman" w:hAnsi="Times New Roman" w:cs="Times New Roman"/>
          <w:b/>
          <w:bCs/>
          <w:sz w:val="24"/>
          <w:szCs w:val="24"/>
        </w:rPr>
        <w:lastRenderedPageBreak/>
        <w:t>Summary of NPVs:</w:t>
      </w:r>
    </w:p>
    <w:p w14:paraId="717F27D1" w14:textId="77777777" w:rsidR="00F7272D" w:rsidRPr="009F657C" w:rsidRDefault="00F7272D" w:rsidP="00F7272D">
      <w:pPr>
        <w:spacing w:line="360" w:lineRule="auto"/>
        <w:jc w:val="center"/>
        <w:rPr>
          <w:rFonts w:ascii="Times New Roman" w:hAnsi="Times New Roman" w:cs="Times New Roman"/>
          <w:sz w:val="24"/>
          <w:szCs w:val="24"/>
        </w:rPr>
      </w:pPr>
      <w:r>
        <w:rPr>
          <w:noProof/>
        </w:rPr>
        <w:drawing>
          <wp:inline distT="0" distB="0" distL="0" distR="0" wp14:anchorId="51415BAA" wp14:editId="53667B53">
            <wp:extent cx="4572000" cy="2743200"/>
            <wp:effectExtent l="0" t="0" r="0" b="0"/>
            <wp:docPr id="41" name="Chart 41">
              <a:extLst xmlns:a="http://schemas.openxmlformats.org/drawingml/2006/main">
                <a:ext uri="{FF2B5EF4-FFF2-40B4-BE49-F238E27FC236}">
                  <a16:creationId xmlns:a16="http://schemas.microsoft.com/office/drawing/2014/main" id="{F48C6DBA-4374-43AE-9742-AB06D8F848F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tbl>
      <w:tblPr>
        <w:tblStyle w:val="TableGrid"/>
        <w:tblW w:w="0" w:type="auto"/>
        <w:jc w:val="center"/>
        <w:tblLook w:val="04A0" w:firstRow="1" w:lastRow="0" w:firstColumn="1" w:lastColumn="0" w:noHBand="0" w:noVBand="1"/>
      </w:tblPr>
      <w:tblGrid>
        <w:gridCol w:w="958"/>
        <w:gridCol w:w="1245"/>
      </w:tblGrid>
      <w:tr w:rsidR="009F657C" w:rsidRPr="009F657C" w14:paraId="1AA4A247" w14:textId="77777777" w:rsidTr="00831BF0">
        <w:trPr>
          <w:jc w:val="center"/>
        </w:trPr>
        <w:tc>
          <w:tcPr>
            <w:tcW w:w="0" w:type="auto"/>
            <w:hideMark/>
          </w:tcPr>
          <w:p w14:paraId="36277689" w14:textId="77777777" w:rsidR="009F657C" w:rsidRPr="009F657C" w:rsidRDefault="009F657C" w:rsidP="009F657C">
            <w:pPr>
              <w:spacing w:after="160" w:line="360" w:lineRule="auto"/>
              <w:jc w:val="both"/>
              <w:rPr>
                <w:rFonts w:ascii="Times New Roman" w:hAnsi="Times New Roman" w:cs="Times New Roman"/>
                <w:b/>
                <w:bCs/>
                <w:sz w:val="24"/>
                <w:szCs w:val="24"/>
              </w:rPr>
            </w:pPr>
            <w:r w:rsidRPr="009F657C">
              <w:rPr>
                <w:rFonts w:ascii="Times New Roman" w:hAnsi="Times New Roman" w:cs="Times New Roman"/>
                <w:b/>
                <w:bCs/>
                <w:sz w:val="24"/>
                <w:szCs w:val="24"/>
              </w:rPr>
              <w:t>Project</w:t>
            </w:r>
          </w:p>
        </w:tc>
        <w:tc>
          <w:tcPr>
            <w:tcW w:w="0" w:type="auto"/>
            <w:hideMark/>
          </w:tcPr>
          <w:p w14:paraId="22FB381E" w14:textId="77777777" w:rsidR="009F657C" w:rsidRPr="009F657C" w:rsidRDefault="009F657C" w:rsidP="009F657C">
            <w:pPr>
              <w:spacing w:after="160" w:line="360" w:lineRule="auto"/>
              <w:jc w:val="both"/>
              <w:rPr>
                <w:rFonts w:ascii="Times New Roman" w:hAnsi="Times New Roman" w:cs="Times New Roman"/>
                <w:b/>
                <w:bCs/>
                <w:sz w:val="24"/>
                <w:szCs w:val="24"/>
              </w:rPr>
            </w:pPr>
            <w:r w:rsidRPr="009F657C">
              <w:rPr>
                <w:rFonts w:ascii="Times New Roman" w:hAnsi="Times New Roman" w:cs="Times New Roman"/>
                <w:b/>
                <w:bCs/>
                <w:sz w:val="24"/>
                <w:szCs w:val="24"/>
              </w:rPr>
              <w:t>NPV (£m)</w:t>
            </w:r>
          </w:p>
        </w:tc>
      </w:tr>
      <w:tr w:rsidR="009F657C" w:rsidRPr="009F657C" w14:paraId="10B6E029" w14:textId="77777777" w:rsidTr="00831BF0">
        <w:trPr>
          <w:jc w:val="center"/>
        </w:trPr>
        <w:tc>
          <w:tcPr>
            <w:tcW w:w="0" w:type="auto"/>
            <w:hideMark/>
          </w:tcPr>
          <w:p w14:paraId="38F24D4B" w14:textId="77777777" w:rsidR="009F657C" w:rsidRPr="009F657C" w:rsidRDefault="009F657C" w:rsidP="009F657C">
            <w:pPr>
              <w:spacing w:after="160" w:line="360" w:lineRule="auto"/>
              <w:jc w:val="both"/>
              <w:rPr>
                <w:rFonts w:ascii="Times New Roman" w:hAnsi="Times New Roman" w:cs="Times New Roman"/>
                <w:sz w:val="24"/>
                <w:szCs w:val="24"/>
              </w:rPr>
            </w:pPr>
            <w:r w:rsidRPr="009F657C">
              <w:rPr>
                <w:rFonts w:ascii="Times New Roman" w:hAnsi="Times New Roman" w:cs="Times New Roman"/>
                <w:sz w:val="24"/>
                <w:szCs w:val="24"/>
              </w:rPr>
              <w:t>A</w:t>
            </w:r>
          </w:p>
        </w:tc>
        <w:tc>
          <w:tcPr>
            <w:tcW w:w="0" w:type="auto"/>
            <w:hideMark/>
          </w:tcPr>
          <w:p w14:paraId="428C055F" w14:textId="77777777" w:rsidR="009F657C" w:rsidRPr="009F657C" w:rsidRDefault="009F657C" w:rsidP="009F657C">
            <w:pPr>
              <w:spacing w:after="160" w:line="360" w:lineRule="auto"/>
              <w:jc w:val="both"/>
              <w:rPr>
                <w:rFonts w:ascii="Times New Roman" w:hAnsi="Times New Roman" w:cs="Times New Roman"/>
                <w:sz w:val="24"/>
                <w:szCs w:val="24"/>
              </w:rPr>
            </w:pPr>
            <w:r w:rsidRPr="009F657C">
              <w:rPr>
                <w:rFonts w:ascii="Times New Roman" w:hAnsi="Times New Roman" w:cs="Times New Roman"/>
                <w:sz w:val="24"/>
                <w:szCs w:val="24"/>
              </w:rPr>
              <w:t>19.86</w:t>
            </w:r>
          </w:p>
        </w:tc>
      </w:tr>
      <w:tr w:rsidR="009F657C" w:rsidRPr="009F657C" w14:paraId="390DFCE5" w14:textId="77777777" w:rsidTr="00831BF0">
        <w:trPr>
          <w:jc w:val="center"/>
        </w:trPr>
        <w:tc>
          <w:tcPr>
            <w:tcW w:w="0" w:type="auto"/>
            <w:hideMark/>
          </w:tcPr>
          <w:p w14:paraId="52C245C8" w14:textId="77777777" w:rsidR="009F657C" w:rsidRPr="009F657C" w:rsidRDefault="009F657C" w:rsidP="009F657C">
            <w:pPr>
              <w:spacing w:after="160" w:line="360" w:lineRule="auto"/>
              <w:jc w:val="both"/>
              <w:rPr>
                <w:rFonts w:ascii="Times New Roman" w:hAnsi="Times New Roman" w:cs="Times New Roman"/>
                <w:sz w:val="24"/>
                <w:szCs w:val="24"/>
              </w:rPr>
            </w:pPr>
            <w:r w:rsidRPr="009F657C">
              <w:rPr>
                <w:rFonts w:ascii="Times New Roman" w:hAnsi="Times New Roman" w:cs="Times New Roman"/>
                <w:sz w:val="24"/>
                <w:szCs w:val="24"/>
              </w:rPr>
              <w:t>B</w:t>
            </w:r>
          </w:p>
        </w:tc>
        <w:tc>
          <w:tcPr>
            <w:tcW w:w="0" w:type="auto"/>
            <w:hideMark/>
          </w:tcPr>
          <w:p w14:paraId="01FBEF0A" w14:textId="77777777" w:rsidR="009F657C" w:rsidRPr="009F657C" w:rsidRDefault="009F657C" w:rsidP="009F657C">
            <w:pPr>
              <w:spacing w:after="160" w:line="360" w:lineRule="auto"/>
              <w:jc w:val="both"/>
              <w:rPr>
                <w:rFonts w:ascii="Times New Roman" w:hAnsi="Times New Roman" w:cs="Times New Roman"/>
                <w:sz w:val="24"/>
                <w:szCs w:val="24"/>
              </w:rPr>
            </w:pPr>
            <w:r w:rsidRPr="009F657C">
              <w:rPr>
                <w:rFonts w:ascii="Times New Roman" w:hAnsi="Times New Roman" w:cs="Times New Roman"/>
                <w:sz w:val="24"/>
                <w:szCs w:val="24"/>
              </w:rPr>
              <w:t>74.19</w:t>
            </w:r>
          </w:p>
        </w:tc>
      </w:tr>
    </w:tbl>
    <w:p w14:paraId="68ABA1C0" w14:textId="5DA1AF15" w:rsidR="00EF6DD2" w:rsidRPr="00EF6DD2" w:rsidRDefault="00EF6DD2" w:rsidP="00EF6DD2">
      <w:pPr>
        <w:spacing w:line="360" w:lineRule="auto"/>
        <w:jc w:val="both"/>
        <w:rPr>
          <w:rFonts w:ascii="Times New Roman" w:hAnsi="Times New Roman" w:cs="Times New Roman"/>
          <w:sz w:val="24"/>
          <w:szCs w:val="24"/>
        </w:rPr>
      </w:pPr>
      <w:r w:rsidRPr="00EF6DD2">
        <w:rPr>
          <w:rFonts w:ascii="Times New Roman" w:hAnsi="Times New Roman" w:cs="Times New Roman"/>
          <w:sz w:val="24"/>
          <w:szCs w:val="24"/>
        </w:rPr>
        <w:t xml:space="preserve">When the NPV, or Net Present Value a way to value money in present day dollars of Project B is larger than that for Project A we can interpret it as due to expect more potential earnings from Project B and </w:t>
      </w:r>
      <w:r w:rsidR="00C35F26" w:rsidRPr="00EF6DD2">
        <w:rPr>
          <w:rFonts w:ascii="Times New Roman" w:hAnsi="Times New Roman" w:cs="Times New Roman"/>
          <w:sz w:val="24"/>
          <w:szCs w:val="24"/>
        </w:rPr>
        <w:t>therefore</w:t>
      </w:r>
      <w:r w:rsidRPr="00EF6DD2">
        <w:rPr>
          <w:rFonts w:ascii="Times New Roman" w:hAnsi="Times New Roman" w:cs="Times New Roman"/>
          <w:sz w:val="24"/>
          <w:szCs w:val="24"/>
        </w:rPr>
        <w:t xml:space="preserve"> Venture 1 will see better gains by picking this project.</w:t>
      </w:r>
    </w:p>
    <w:p w14:paraId="1B693B50" w14:textId="77777777" w:rsidR="00EF6DD2" w:rsidRPr="00EF6DD2" w:rsidRDefault="00EF6DD2" w:rsidP="00EF6DD2">
      <w:pPr>
        <w:pStyle w:val="Heading2"/>
      </w:pPr>
      <w:bookmarkStart w:id="37" w:name="_Toc175068522"/>
      <w:r w:rsidRPr="00C35F26">
        <w:rPr>
          <w:rFonts w:ascii="Times New Roman" w:hAnsi="Times New Roman" w:cs="Times New Roman"/>
        </w:rPr>
        <w:t>Internal Rate of Return (IRR</w:t>
      </w:r>
      <w:r w:rsidRPr="00EF6DD2">
        <w:t>)</w:t>
      </w:r>
      <w:bookmarkEnd w:id="37"/>
    </w:p>
    <w:p w14:paraId="2F152981" w14:textId="5D04B004" w:rsidR="00EF6DD2" w:rsidRPr="00EF6DD2" w:rsidRDefault="00EF6DD2" w:rsidP="00EF6DD2">
      <w:pPr>
        <w:spacing w:line="360" w:lineRule="auto"/>
        <w:jc w:val="both"/>
        <w:rPr>
          <w:rFonts w:ascii="Times New Roman" w:hAnsi="Times New Roman" w:cs="Times New Roman"/>
          <w:sz w:val="24"/>
          <w:szCs w:val="24"/>
        </w:rPr>
      </w:pPr>
      <w:r w:rsidRPr="00EF6DD2">
        <w:rPr>
          <w:rFonts w:ascii="Times New Roman" w:hAnsi="Times New Roman" w:cs="Times New Roman"/>
          <w:sz w:val="24"/>
          <w:szCs w:val="24"/>
        </w:rPr>
        <w:t xml:space="preserve">Internal Rate of Return ( IRR )IRR is the discount rate whereby NPV=0 for a project. That displays the anticipated </w:t>
      </w:r>
      <w:r w:rsidR="00C35F26" w:rsidRPr="00EF6DD2">
        <w:rPr>
          <w:rFonts w:ascii="Times New Roman" w:hAnsi="Times New Roman" w:cs="Times New Roman"/>
          <w:sz w:val="24"/>
          <w:szCs w:val="24"/>
        </w:rPr>
        <w:t>annualized</w:t>
      </w:r>
      <w:r w:rsidRPr="00EF6DD2">
        <w:rPr>
          <w:rFonts w:ascii="Times New Roman" w:hAnsi="Times New Roman" w:cs="Times New Roman"/>
          <w:sz w:val="24"/>
          <w:szCs w:val="24"/>
        </w:rPr>
        <w:t xml:space="preserve"> profit for a project and makes it easy to assess how various investments compare in terms of profitability. The IRR can be calculated using financial calculators or software by solving for:</w:t>
      </w:r>
    </w:p>
    <w:p w14:paraId="59E6119A" w14:textId="77777777" w:rsidR="00EF6DD2" w:rsidRPr="009F657C" w:rsidRDefault="00EF6DD2" w:rsidP="009F657C">
      <w:pPr>
        <w:spacing w:line="360" w:lineRule="auto"/>
        <w:jc w:val="both"/>
        <w:rPr>
          <w:rFonts w:ascii="Times New Roman" w:hAnsi="Times New Roman" w:cs="Times New Roman"/>
          <w:sz w:val="24"/>
          <w:szCs w:val="24"/>
        </w:rPr>
      </w:pPr>
    </w:p>
    <w:p w14:paraId="6A3E35AE" w14:textId="32C046EA" w:rsidR="009F657C" w:rsidRPr="009F657C" w:rsidRDefault="009F657C" w:rsidP="009F657C">
      <w:pPr>
        <w:spacing w:line="360" w:lineRule="auto"/>
        <w:jc w:val="both"/>
        <w:rPr>
          <w:rFonts w:ascii="Times New Roman" w:hAnsi="Times New Roman" w:cs="Times New Roman"/>
          <w:sz w:val="24"/>
          <w:szCs w:val="24"/>
        </w:rPr>
      </w:pPr>
      <w:r w:rsidRPr="009F657C">
        <w:rPr>
          <w:rFonts w:ascii="Times New Roman" w:hAnsi="Times New Roman" w:cs="Times New Roman"/>
          <w:sz w:val="24"/>
          <w:szCs w:val="24"/>
        </w:rPr>
        <w:t>NPV=∑t=1nCt(1+</w:t>
      </w:r>
      <w:r w:rsidR="00C35F26" w:rsidRPr="009F657C">
        <w:rPr>
          <w:rFonts w:ascii="Times New Roman" w:hAnsi="Times New Roman" w:cs="Times New Roman"/>
          <w:sz w:val="24"/>
          <w:szCs w:val="24"/>
        </w:rPr>
        <w:t>IRR) t</w:t>
      </w:r>
      <w:r w:rsidRPr="009F657C">
        <w:rPr>
          <w:rFonts w:ascii="Times New Roman" w:hAnsi="Times New Roman" w:cs="Times New Roman"/>
          <w:sz w:val="24"/>
          <w:szCs w:val="24"/>
        </w:rPr>
        <w:t>−C0=0</w:t>
      </w:r>
    </w:p>
    <w:p w14:paraId="6F9E5443" w14:textId="4AEF0076" w:rsidR="009F657C" w:rsidRPr="00C35F26" w:rsidRDefault="009F657C" w:rsidP="009F657C">
      <w:pPr>
        <w:spacing w:line="360" w:lineRule="auto"/>
        <w:jc w:val="both"/>
        <w:rPr>
          <w:rFonts w:ascii="Times New Roman" w:hAnsi="Times New Roman" w:cs="Times New Roman"/>
          <w:sz w:val="24"/>
          <w:szCs w:val="24"/>
        </w:rPr>
      </w:pPr>
      <w:r w:rsidRPr="00C35F26">
        <w:rPr>
          <w:rFonts w:ascii="Times New Roman" w:hAnsi="Times New Roman" w:cs="Times New Roman"/>
          <w:color w:val="4472C4" w:themeColor="accent1"/>
          <w:sz w:val="24"/>
          <w:szCs w:val="24"/>
        </w:rPr>
        <w:t xml:space="preserve">Project </w:t>
      </w:r>
      <w:r w:rsidR="00C35F26" w:rsidRPr="00C35F26">
        <w:rPr>
          <w:rFonts w:ascii="Times New Roman" w:hAnsi="Times New Roman" w:cs="Times New Roman"/>
          <w:color w:val="4472C4" w:themeColor="accent1"/>
          <w:sz w:val="24"/>
          <w:szCs w:val="24"/>
        </w:rPr>
        <w:t xml:space="preserve">A </w:t>
      </w:r>
      <w:r w:rsidRPr="00C35F26">
        <w:rPr>
          <w:rFonts w:ascii="Times New Roman" w:hAnsi="Times New Roman" w:cs="Times New Roman"/>
          <w:color w:val="4472C4" w:themeColor="accent1"/>
          <w:sz w:val="24"/>
          <w:szCs w:val="24"/>
        </w:rPr>
        <w:t>IRR Calculation</w:t>
      </w:r>
      <w:r w:rsidRPr="00C35F26">
        <w:rPr>
          <w:rFonts w:ascii="Times New Roman" w:hAnsi="Times New Roman" w:cs="Times New Roman"/>
          <w:sz w:val="24"/>
          <w:szCs w:val="24"/>
        </w:rPr>
        <w:t>:</w:t>
      </w:r>
    </w:p>
    <w:p w14:paraId="28137871" w14:textId="77777777" w:rsidR="009F657C" w:rsidRPr="009F657C" w:rsidRDefault="009F657C" w:rsidP="009F657C">
      <w:pPr>
        <w:spacing w:line="360" w:lineRule="auto"/>
        <w:jc w:val="both"/>
        <w:rPr>
          <w:rFonts w:ascii="Times New Roman" w:hAnsi="Times New Roman" w:cs="Times New Roman"/>
          <w:sz w:val="24"/>
          <w:szCs w:val="24"/>
        </w:rPr>
      </w:pPr>
      <w:r w:rsidRPr="009F657C">
        <w:rPr>
          <w:rFonts w:ascii="Times New Roman" w:hAnsi="Times New Roman" w:cs="Times New Roman"/>
          <w:sz w:val="24"/>
          <w:szCs w:val="24"/>
        </w:rPr>
        <w:t>Using financial software or a financial calculator, the IRR for Project A is approximately 15.0%.</w:t>
      </w:r>
    </w:p>
    <w:p w14:paraId="0E004253" w14:textId="77777777" w:rsidR="009F657C" w:rsidRPr="00C35F26" w:rsidRDefault="009F657C" w:rsidP="009F657C">
      <w:pPr>
        <w:spacing w:line="360" w:lineRule="auto"/>
        <w:jc w:val="both"/>
        <w:rPr>
          <w:rFonts w:ascii="Times New Roman" w:hAnsi="Times New Roman" w:cs="Times New Roman"/>
          <w:color w:val="4472C4" w:themeColor="accent1"/>
          <w:sz w:val="24"/>
          <w:szCs w:val="24"/>
        </w:rPr>
      </w:pPr>
      <w:r w:rsidRPr="00C35F26">
        <w:rPr>
          <w:rFonts w:ascii="Times New Roman" w:hAnsi="Times New Roman" w:cs="Times New Roman"/>
          <w:color w:val="4472C4" w:themeColor="accent1"/>
          <w:sz w:val="24"/>
          <w:szCs w:val="24"/>
        </w:rPr>
        <w:lastRenderedPageBreak/>
        <w:t>Project B IRR Calculation:</w:t>
      </w:r>
    </w:p>
    <w:p w14:paraId="3AFD1144" w14:textId="77777777" w:rsidR="009F657C" w:rsidRPr="009F657C" w:rsidRDefault="009F657C" w:rsidP="009F657C">
      <w:pPr>
        <w:spacing w:line="360" w:lineRule="auto"/>
        <w:jc w:val="both"/>
        <w:rPr>
          <w:rFonts w:ascii="Times New Roman" w:hAnsi="Times New Roman" w:cs="Times New Roman"/>
          <w:sz w:val="24"/>
          <w:szCs w:val="24"/>
        </w:rPr>
      </w:pPr>
      <w:r w:rsidRPr="009F657C">
        <w:rPr>
          <w:rFonts w:ascii="Times New Roman" w:hAnsi="Times New Roman" w:cs="Times New Roman"/>
          <w:sz w:val="24"/>
          <w:szCs w:val="24"/>
        </w:rPr>
        <w:t>Similarly, the IRR for Project B is approximately 25.0%.</w:t>
      </w:r>
    </w:p>
    <w:p w14:paraId="198C3080" w14:textId="77777777" w:rsidR="009F657C" w:rsidRDefault="009F657C" w:rsidP="009F657C">
      <w:pPr>
        <w:spacing w:line="360" w:lineRule="auto"/>
        <w:jc w:val="both"/>
        <w:rPr>
          <w:rFonts w:ascii="Times New Roman" w:hAnsi="Times New Roman" w:cs="Times New Roman"/>
          <w:b/>
          <w:bCs/>
          <w:sz w:val="24"/>
          <w:szCs w:val="24"/>
        </w:rPr>
      </w:pPr>
      <w:r w:rsidRPr="009F657C">
        <w:rPr>
          <w:rFonts w:ascii="Times New Roman" w:hAnsi="Times New Roman" w:cs="Times New Roman"/>
          <w:b/>
          <w:bCs/>
          <w:sz w:val="24"/>
          <w:szCs w:val="24"/>
        </w:rPr>
        <w:t>Summary of IRRs:</w:t>
      </w:r>
    </w:p>
    <w:p w14:paraId="322D6D53" w14:textId="77777777" w:rsidR="00F7272D" w:rsidRPr="009F657C" w:rsidRDefault="00F7272D" w:rsidP="00F7272D">
      <w:pPr>
        <w:spacing w:line="360" w:lineRule="auto"/>
        <w:jc w:val="center"/>
        <w:rPr>
          <w:rFonts w:ascii="Times New Roman" w:hAnsi="Times New Roman" w:cs="Times New Roman"/>
          <w:sz w:val="24"/>
          <w:szCs w:val="24"/>
        </w:rPr>
      </w:pPr>
      <w:r>
        <w:rPr>
          <w:noProof/>
        </w:rPr>
        <w:drawing>
          <wp:inline distT="0" distB="0" distL="0" distR="0" wp14:anchorId="1D95EE94" wp14:editId="1BEE6BED">
            <wp:extent cx="4572000" cy="2743200"/>
            <wp:effectExtent l="0" t="0" r="0" b="0"/>
            <wp:docPr id="42" name="Chart 42">
              <a:extLst xmlns:a="http://schemas.openxmlformats.org/drawingml/2006/main">
                <a:ext uri="{FF2B5EF4-FFF2-40B4-BE49-F238E27FC236}">
                  <a16:creationId xmlns:a16="http://schemas.microsoft.com/office/drawing/2014/main" id="{E98AD627-F366-4669-A88A-947B82EC4CF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tbl>
      <w:tblPr>
        <w:tblStyle w:val="TableGrid"/>
        <w:tblW w:w="0" w:type="auto"/>
        <w:jc w:val="center"/>
        <w:tblLook w:val="04A0" w:firstRow="1" w:lastRow="0" w:firstColumn="1" w:lastColumn="0" w:noHBand="0" w:noVBand="1"/>
      </w:tblPr>
      <w:tblGrid>
        <w:gridCol w:w="958"/>
        <w:gridCol w:w="1027"/>
      </w:tblGrid>
      <w:tr w:rsidR="009F657C" w:rsidRPr="009F657C" w14:paraId="35F77F7E" w14:textId="77777777" w:rsidTr="00EF6DD2">
        <w:trPr>
          <w:jc w:val="center"/>
        </w:trPr>
        <w:tc>
          <w:tcPr>
            <w:tcW w:w="958" w:type="dxa"/>
            <w:hideMark/>
          </w:tcPr>
          <w:p w14:paraId="13C7E64B" w14:textId="77777777" w:rsidR="009F657C" w:rsidRPr="009F657C" w:rsidRDefault="009F657C" w:rsidP="009F657C">
            <w:pPr>
              <w:spacing w:after="160" w:line="360" w:lineRule="auto"/>
              <w:jc w:val="both"/>
              <w:rPr>
                <w:rFonts w:ascii="Times New Roman" w:hAnsi="Times New Roman" w:cs="Times New Roman"/>
                <w:b/>
                <w:bCs/>
                <w:sz w:val="24"/>
                <w:szCs w:val="24"/>
              </w:rPr>
            </w:pPr>
            <w:r w:rsidRPr="009F657C">
              <w:rPr>
                <w:rFonts w:ascii="Times New Roman" w:hAnsi="Times New Roman" w:cs="Times New Roman"/>
                <w:b/>
                <w:bCs/>
                <w:sz w:val="24"/>
                <w:szCs w:val="24"/>
              </w:rPr>
              <w:t>Project</w:t>
            </w:r>
          </w:p>
        </w:tc>
        <w:tc>
          <w:tcPr>
            <w:tcW w:w="1027" w:type="dxa"/>
            <w:hideMark/>
          </w:tcPr>
          <w:p w14:paraId="76DA7640" w14:textId="77777777" w:rsidR="009F657C" w:rsidRPr="009F657C" w:rsidRDefault="009F657C" w:rsidP="009F657C">
            <w:pPr>
              <w:spacing w:after="160" w:line="360" w:lineRule="auto"/>
              <w:jc w:val="both"/>
              <w:rPr>
                <w:rFonts w:ascii="Times New Roman" w:hAnsi="Times New Roman" w:cs="Times New Roman"/>
                <w:b/>
                <w:bCs/>
                <w:sz w:val="24"/>
                <w:szCs w:val="24"/>
              </w:rPr>
            </w:pPr>
            <w:r w:rsidRPr="009F657C">
              <w:rPr>
                <w:rFonts w:ascii="Times New Roman" w:hAnsi="Times New Roman" w:cs="Times New Roman"/>
                <w:b/>
                <w:bCs/>
                <w:sz w:val="24"/>
                <w:szCs w:val="24"/>
              </w:rPr>
              <w:t>IRR (%)</w:t>
            </w:r>
          </w:p>
        </w:tc>
      </w:tr>
      <w:tr w:rsidR="009F657C" w:rsidRPr="009F657C" w14:paraId="1E998BEE" w14:textId="77777777" w:rsidTr="00EF6DD2">
        <w:trPr>
          <w:jc w:val="center"/>
        </w:trPr>
        <w:tc>
          <w:tcPr>
            <w:tcW w:w="958" w:type="dxa"/>
            <w:hideMark/>
          </w:tcPr>
          <w:p w14:paraId="72E2E38E" w14:textId="77777777" w:rsidR="009F657C" w:rsidRPr="009F657C" w:rsidRDefault="009F657C" w:rsidP="009F657C">
            <w:pPr>
              <w:spacing w:after="160" w:line="360" w:lineRule="auto"/>
              <w:jc w:val="both"/>
              <w:rPr>
                <w:rFonts w:ascii="Times New Roman" w:hAnsi="Times New Roman" w:cs="Times New Roman"/>
                <w:sz w:val="24"/>
                <w:szCs w:val="24"/>
              </w:rPr>
            </w:pPr>
            <w:r w:rsidRPr="009F657C">
              <w:rPr>
                <w:rFonts w:ascii="Times New Roman" w:hAnsi="Times New Roman" w:cs="Times New Roman"/>
                <w:sz w:val="24"/>
                <w:szCs w:val="24"/>
              </w:rPr>
              <w:t>A</w:t>
            </w:r>
          </w:p>
        </w:tc>
        <w:tc>
          <w:tcPr>
            <w:tcW w:w="1027" w:type="dxa"/>
            <w:hideMark/>
          </w:tcPr>
          <w:p w14:paraId="0540B62D" w14:textId="77777777" w:rsidR="009F657C" w:rsidRPr="009F657C" w:rsidRDefault="009F657C" w:rsidP="009F657C">
            <w:pPr>
              <w:spacing w:after="160" w:line="360" w:lineRule="auto"/>
              <w:jc w:val="both"/>
              <w:rPr>
                <w:rFonts w:ascii="Times New Roman" w:hAnsi="Times New Roman" w:cs="Times New Roman"/>
                <w:sz w:val="24"/>
                <w:szCs w:val="24"/>
              </w:rPr>
            </w:pPr>
            <w:r w:rsidRPr="009F657C">
              <w:rPr>
                <w:rFonts w:ascii="Times New Roman" w:hAnsi="Times New Roman" w:cs="Times New Roman"/>
                <w:sz w:val="24"/>
                <w:szCs w:val="24"/>
              </w:rPr>
              <w:t>15.0</w:t>
            </w:r>
          </w:p>
        </w:tc>
      </w:tr>
      <w:tr w:rsidR="009F657C" w:rsidRPr="009F657C" w14:paraId="2AF2982E" w14:textId="77777777" w:rsidTr="00EF6DD2">
        <w:trPr>
          <w:jc w:val="center"/>
        </w:trPr>
        <w:tc>
          <w:tcPr>
            <w:tcW w:w="958" w:type="dxa"/>
            <w:hideMark/>
          </w:tcPr>
          <w:p w14:paraId="0399EA0E" w14:textId="77777777" w:rsidR="009F657C" w:rsidRPr="009F657C" w:rsidRDefault="009F657C" w:rsidP="009F657C">
            <w:pPr>
              <w:spacing w:after="160" w:line="360" w:lineRule="auto"/>
              <w:jc w:val="both"/>
              <w:rPr>
                <w:rFonts w:ascii="Times New Roman" w:hAnsi="Times New Roman" w:cs="Times New Roman"/>
                <w:sz w:val="24"/>
                <w:szCs w:val="24"/>
              </w:rPr>
            </w:pPr>
            <w:r w:rsidRPr="009F657C">
              <w:rPr>
                <w:rFonts w:ascii="Times New Roman" w:hAnsi="Times New Roman" w:cs="Times New Roman"/>
                <w:sz w:val="24"/>
                <w:szCs w:val="24"/>
              </w:rPr>
              <w:t>B</w:t>
            </w:r>
          </w:p>
        </w:tc>
        <w:tc>
          <w:tcPr>
            <w:tcW w:w="1027" w:type="dxa"/>
            <w:hideMark/>
          </w:tcPr>
          <w:p w14:paraId="42B4BE3A" w14:textId="77777777" w:rsidR="009F657C" w:rsidRPr="009F657C" w:rsidRDefault="009F657C" w:rsidP="009F657C">
            <w:pPr>
              <w:spacing w:after="160" w:line="360" w:lineRule="auto"/>
              <w:jc w:val="both"/>
              <w:rPr>
                <w:rFonts w:ascii="Times New Roman" w:hAnsi="Times New Roman" w:cs="Times New Roman"/>
                <w:sz w:val="24"/>
                <w:szCs w:val="24"/>
              </w:rPr>
            </w:pPr>
            <w:r w:rsidRPr="009F657C">
              <w:rPr>
                <w:rFonts w:ascii="Times New Roman" w:hAnsi="Times New Roman" w:cs="Times New Roman"/>
                <w:sz w:val="24"/>
                <w:szCs w:val="24"/>
              </w:rPr>
              <w:t>25.0</w:t>
            </w:r>
          </w:p>
        </w:tc>
      </w:tr>
    </w:tbl>
    <w:p w14:paraId="37C4DFC6" w14:textId="77777777" w:rsidR="00EF6DD2" w:rsidRPr="00EF6DD2" w:rsidRDefault="00EF6DD2" w:rsidP="00EF6DD2">
      <w:pPr>
        <w:spacing w:line="360" w:lineRule="auto"/>
        <w:jc w:val="both"/>
        <w:rPr>
          <w:rFonts w:ascii="Times New Roman" w:hAnsi="Times New Roman" w:cs="Times New Roman"/>
          <w:sz w:val="24"/>
          <w:szCs w:val="24"/>
        </w:rPr>
      </w:pPr>
      <w:r w:rsidRPr="00EF6DD2">
        <w:rPr>
          <w:rFonts w:ascii="Times New Roman" w:hAnsi="Times New Roman" w:cs="Times New Roman"/>
          <w:sz w:val="24"/>
          <w:szCs w:val="24"/>
        </w:rPr>
        <w:t>IRR for Project B is much higher than the IRR of project A which means that maybe getting a better rate in return we should invest in Project B instead.</w:t>
      </w:r>
    </w:p>
    <w:p w14:paraId="16C97836" w14:textId="77777777" w:rsidR="00EF6DD2" w:rsidRPr="00C35F26" w:rsidRDefault="00EF6DD2" w:rsidP="00EF6DD2">
      <w:pPr>
        <w:pStyle w:val="Heading2"/>
        <w:rPr>
          <w:rFonts w:ascii="Times New Roman" w:hAnsi="Times New Roman" w:cs="Times New Roman"/>
        </w:rPr>
      </w:pPr>
      <w:bookmarkStart w:id="38" w:name="_Toc175068523"/>
      <w:r w:rsidRPr="00C35F26">
        <w:rPr>
          <w:rFonts w:ascii="Times New Roman" w:hAnsi="Times New Roman" w:cs="Times New Roman"/>
        </w:rPr>
        <w:t>Payback Period</w:t>
      </w:r>
      <w:bookmarkEnd w:id="38"/>
    </w:p>
    <w:p w14:paraId="4A157BD2" w14:textId="77777777" w:rsidR="00EF6DD2" w:rsidRPr="00EF6DD2" w:rsidRDefault="00EF6DD2" w:rsidP="00EF6DD2">
      <w:pPr>
        <w:spacing w:line="360" w:lineRule="auto"/>
        <w:jc w:val="both"/>
        <w:rPr>
          <w:rFonts w:ascii="Times New Roman" w:hAnsi="Times New Roman" w:cs="Times New Roman"/>
          <w:sz w:val="24"/>
          <w:szCs w:val="24"/>
        </w:rPr>
      </w:pPr>
      <w:r w:rsidRPr="00EF6DD2">
        <w:rPr>
          <w:rFonts w:ascii="Times New Roman" w:hAnsi="Times New Roman" w:cs="Times New Roman"/>
          <w:sz w:val="24"/>
          <w:szCs w:val="24"/>
        </w:rPr>
        <w:t>Payback Period - The time that takes to recover the initial outlay of an investment. It helps to provide a good insight on risk and liquidity of the project by understanding how fast can you recover from specific invested capital. This is how to calculate the Payback Period</w:t>
      </w:r>
    </w:p>
    <w:p w14:paraId="353BF6B7" w14:textId="77777777" w:rsidR="00EF6DD2" w:rsidRPr="009F657C" w:rsidRDefault="00EF6DD2" w:rsidP="009F657C">
      <w:pPr>
        <w:spacing w:line="360" w:lineRule="auto"/>
        <w:jc w:val="both"/>
        <w:rPr>
          <w:rFonts w:ascii="Times New Roman" w:hAnsi="Times New Roman" w:cs="Times New Roman"/>
          <w:sz w:val="24"/>
          <w:szCs w:val="24"/>
        </w:rPr>
      </w:pPr>
    </w:p>
    <w:p w14:paraId="587492A3" w14:textId="47A6C24C" w:rsidR="009F657C" w:rsidRDefault="009F657C" w:rsidP="009F657C">
      <w:pPr>
        <w:spacing w:line="360" w:lineRule="auto"/>
        <w:jc w:val="both"/>
        <w:rPr>
          <w:rFonts w:ascii="Times New Roman" w:hAnsi="Times New Roman" w:cs="Times New Roman"/>
          <w:sz w:val="24"/>
          <w:szCs w:val="24"/>
        </w:rPr>
      </w:pPr>
      <w:r w:rsidRPr="009F657C">
        <w:rPr>
          <w:rFonts w:ascii="Times New Roman" w:hAnsi="Times New Roman" w:cs="Times New Roman"/>
          <w:sz w:val="24"/>
          <w:szCs w:val="24"/>
        </w:rPr>
        <w:t>Payback Period=Year before full recovery+Unrecovered Cost at Start of </w:t>
      </w:r>
      <w:r w:rsidR="00F03D72" w:rsidRPr="009F657C">
        <w:rPr>
          <w:rFonts w:ascii="Times New Roman" w:hAnsi="Times New Roman" w:cs="Times New Roman"/>
          <w:sz w:val="24"/>
          <w:szCs w:val="24"/>
        </w:rPr>
        <w:t>Year Cash</w:t>
      </w:r>
      <w:r w:rsidRPr="009F657C">
        <w:rPr>
          <w:rFonts w:ascii="Times New Roman" w:hAnsi="Times New Roman" w:cs="Times New Roman"/>
          <w:sz w:val="24"/>
          <w:szCs w:val="24"/>
        </w:rPr>
        <w:t> Flow in Year</w:t>
      </w:r>
    </w:p>
    <w:p w14:paraId="070BDA95" w14:textId="77777777" w:rsidR="00F03D72" w:rsidRPr="009F657C" w:rsidRDefault="00F03D72" w:rsidP="009F657C">
      <w:pPr>
        <w:spacing w:line="360" w:lineRule="auto"/>
        <w:jc w:val="both"/>
        <w:rPr>
          <w:rFonts w:ascii="Times New Roman" w:hAnsi="Times New Roman" w:cs="Times New Roman"/>
          <w:sz w:val="24"/>
          <w:szCs w:val="24"/>
        </w:rPr>
      </w:pPr>
    </w:p>
    <w:p w14:paraId="0B2A4DFC" w14:textId="77777777" w:rsidR="009F657C" w:rsidRPr="009F657C" w:rsidRDefault="009F657C" w:rsidP="009F657C">
      <w:pPr>
        <w:pStyle w:val="Heading2"/>
      </w:pPr>
      <w:bookmarkStart w:id="39" w:name="_Toc175068524"/>
      <w:r w:rsidRPr="00C35F26">
        <w:rPr>
          <w:rFonts w:ascii="Times New Roman" w:hAnsi="Times New Roman" w:cs="Times New Roman"/>
        </w:rPr>
        <w:lastRenderedPageBreak/>
        <w:t>Project A Payback Period Calculation</w:t>
      </w:r>
      <w:r w:rsidRPr="009F657C">
        <w:t>:</w:t>
      </w:r>
      <w:bookmarkEnd w:id="39"/>
    </w:p>
    <w:p w14:paraId="70FE7D0F" w14:textId="77777777" w:rsidR="009F657C" w:rsidRPr="00F7272D" w:rsidRDefault="009F657C" w:rsidP="009F657C">
      <w:pPr>
        <w:numPr>
          <w:ilvl w:val="0"/>
          <w:numId w:val="12"/>
        </w:numPr>
        <w:spacing w:line="360" w:lineRule="auto"/>
        <w:jc w:val="both"/>
        <w:rPr>
          <w:rFonts w:ascii="Times New Roman" w:hAnsi="Times New Roman" w:cs="Times New Roman"/>
          <w:sz w:val="24"/>
          <w:szCs w:val="24"/>
        </w:rPr>
      </w:pPr>
      <w:r w:rsidRPr="009F657C">
        <w:rPr>
          <w:rFonts w:ascii="Times New Roman" w:hAnsi="Times New Roman" w:cs="Times New Roman"/>
          <w:b/>
          <w:bCs/>
          <w:sz w:val="24"/>
          <w:szCs w:val="24"/>
        </w:rPr>
        <w:t>Cumulative Cash Flows:</w:t>
      </w:r>
    </w:p>
    <w:p w14:paraId="6E109159" w14:textId="77777777" w:rsidR="00F7272D" w:rsidRPr="009F657C" w:rsidRDefault="00F7272D" w:rsidP="00F7272D">
      <w:pPr>
        <w:spacing w:line="360" w:lineRule="auto"/>
        <w:ind w:left="720"/>
        <w:jc w:val="center"/>
        <w:rPr>
          <w:rFonts w:ascii="Times New Roman" w:hAnsi="Times New Roman" w:cs="Times New Roman"/>
          <w:sz w:val="24"/>
          <w:szCs w:val="24"/>
        </w:rPr>
      </w:pPr>
      <w:r>
        <w:rPr>
          <w:noProof/>
        </w:rPr>
        <w:drawing>
          <wp:inline distT="0" distB="0" distL="0" distR="0" wp14:anchorId="24AF1381" wp14:editId="6B8BFC60">
            <wp:extent cx="4572000" cy="2743200"/>
            <wp:effectExtent l="0" t="0" r="0" b="0"/>
            <wp:docPr id="43" name="Chart 43">
              <a:extLst xmlns:a="http://schemas.openxmlformats.org/drawingml/2006/main">
                <a:ext uri="{FF2B5EF4-FFF2-40B4-BE49-F238E27FC236}">
                  <a16:creationId xmlns:a16="http://schemas.microsoft.com/office/drawing/2014/main" id="{B0D8B50A-BDED-4ECD-8848-C51EAF27343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0CA4E890" w14:textId="77777777" w:rsidR="009F657C" w:rsidRPr="009F657C" w:rsidRDefault="009F657C" w:rsidP="009F657C">
      <w:pPr>
        <w:spacing w:line="360" w:lineRule="auto"/>
        <w:jc w:val="both"/>
        <w:rPr>
          <w:rFonts w:ascii="Times New Roman" w:hAnsi="Times New Roman" w:cs="Times New Roman"/>
          <w:sz w:val="24"/>
          <w:szCs w:val="24"/>
        </w:rPr>
      </w:pPr>
      <w:r w:rsidRPr="009F657C">
        <w:rPr>
          <w:rFonts w:ascii="Times New Roman" w:hAnsi="Times New Roman" w:cs="Times New Roman"/>
          <w:sz w:val="24"/>
          <w:szCs w:val="24"/>
        </w:rPr>
        <w:t>The initial investment of £80 million is recovered during Year 4. The Payback Period for Project A is:</w:t>
      </w:r>
    </w:p>
    <w:p w14:paraId="2D7A9F13" w14:textId="56C31742" w:rsidR="009F657C" w:rsidRPr="009F657C" w:rsidRDefault="009F657C" w:rsidP="009F657C">
      <w:pPr>
        <w:spacing w:line="360" w:lineRule="auto"/>
        <w:jc w:val="both"/>
        <w:rPr>
          <w:rFonts w:ascii="Times New Roman" w:hAnsi="Times New Roman" w:cs="Times New Roman"/>
          <w:sz w:val="24"/>
          <w:szCs w:val="24"/>
        </w:rPr>
      </w:pPr>
      <w:r w:rsidRPr="009F657C">
        <w:rPr>
          <w:rFonts w:ascii="Times New Roman" w:hAnsi="Times New Roman" w:cs="Times New Roman"/>
          <w:sz w:val="24"/>
          <w:szCs w:val="24"/>
        </w:rPr>
        <w:t>Payback </w:t>
      </w:r>
      <w:r w:rsidR="00C35F26" w:rsidRPr="009F657C">
        <w:rPr>
          <w:rFonts w:ascii="Times New Roman" w:hAnsi="Times New Roman" w:cs="Times New Roman"/>
          <w:sz w:val="24"/>
          <w:szCs w:val="24"/>
        </w:rPr>
        <w:t>Period A</w:t>
      </w:r>
      <w:r w:rsidRPr="009F657C">
        <w:rPr>
          <w:rFonts w:ascii="Times New Roman" w:hAnsi="Times New Roman" w:cs="Times New Roman"/>
          <w:sz w:val="24"/>
          <w:szCs w:val="24"/>
        </w:rPr>
        <w:t>=3+1055=3.18 years</w:t>
      </w:r>
    </w:p>
    <w:p w14:paraId="54356FAC" w14:textId="77777777" w:rsidR="009F657C" w:rsidRPr="00F03D72" w:rsidRDefault="009F657C" w:rsidP="009F657C">
      <w:pPr>
        <w:pStyle w:val="Heading2"/>
        <w:rPr>
          <w:rFonts w:ascii="Times New Roman" w:hAnsi="Times New Roman" w:cs="Times New Roman"/>
        </w:rPr>
      </w:pPr>
      <w:bookmarkStart w:id="40" w:name="_Toc175068525"/>
      <w:r w:rsidRPr="00F03D72">
        <w:rPr>
          <w:rFonts w:ascii="Times New Roman" w:hAnsi="Times New Roman" w:cs="Times New Roman"/>
        </w:rPr>
        <w:t>Project B Payback Period Calculation:</w:t>
      </w:r>
      <w:bookmarkEnd w:id="40"/>
    </w:p>
    <w:p w14:paraId="2109F62C" w14:textId="77777777" w:rsidR="009F657C" w:rsidRPr="009F657C" w:rsidRDefault="009F657C" w:rsidP="009F657C">
      <w:pPr>
        <w:numPr>
          <w:ilvl w:val="0"/>
          <w:numId w:val="13"/>
        </w:numPr>
        <w:spacing w:line="360" w:lineRule="auto"/>
        <w:jc w:val="both"/>
        <w:rPr>
          <w:rFonts w:ascii="Times New Roman" w:hAnsi="Times New Roman" w:cs="Times New Roman"/>
          <w:sz w:val="24"/>
          <w:szCs w:val="24"/>
        </w:rPr>
      </w:pPr>
      <w:r w:rsidRPr="009F657C">
        <w:rPr>
          <w:rFonts w:ascii="Times New Roman" w:hAnsi="Times New Roman" w:cs="Times New Roman"/>
          <w:b/>
          <w:bCs/>
          <w:sz w:val="24"/>
          <w:szCs w:val="24"/>
        </w:rPr>
        <w:t>Cumulative Cash Flows:</w:t>
      </w:r>
    </w:p>
    <w:tbl>
      <w:tblPr>
        <w:tblStyle w:val="TableGrid"/>
        <w:tblW w:w="0" w:type="auto"/>
        <w:jc w:val="center"/>
        <w:tblLook w:val="04A0" w:firstRow="1" w:lastRow="0" w:firstColumn="1" w:lastColumn="0" w:noHBand="0" w:noVBand="1"/>
      </w:tblPr>
      <w:tblGrid>
        <w:gridCol w:w="696"/>
        <w:gridCol w:w="1843"/>
        <w:gridCol w:w="3103"/>
      </w:tblGrid>
      <w:tr w:rsidR="009F657C" w:rsidRPr="009F657C" w14:paraId="721A527B" w14:textId="77777777" w:rsidTr="00831BF0">
        <w:trPr>
          <w:jc w:val="center"/>
        </w:trPr>
        <w:tc>
          <w:tcPr>
            <w:tcW w:w="0" w:type="auto"/>
            <w:hideMark/>
          </w:tcPr>
          <w:p w14:paraId="1635C3EA" w14:textId="77777777" w:rsidR="009F657C" w:rsidRPr="009F657C" w:rsidRDefault="009F657C" w:rsidP="009F657C">
            <w:pPr>
              <w:spacing w:after="160" w:line="360" w:lineRule="auto"/>
              <w:jc w:val="both"/>
              <w:rPr>
                <w:rFonts w:ascii="Times New Roman" w:hAnsi="Times New Roman" w:cs="Times New Roman"/>
                <w:b/>
                <w:bCs/>
                <w:sz w:val="24"/>
                <w:szCs w:val="24"/>
              </w:rPr>
            </w:pPr>
            <w:r w:rsidRPr="009F657C">
              <w:rPr>
                <w:rFonts w:ascii="Times New Roman" w:hAnsi="Times New Roman" w:cs="Times New Roman"/>
                <w:b/>
                <w:bCs/>
                <w:sz w:val="24"/>
                <w:szCs w:val="24"/>
              </w:rPr>
              <w:t>Year</w:t>
            </w:r>
          </w:p>
        </w:tc>
        <w:tc>
          <w:tcPr>
            <w:tcW w:w="0" w:type="auto"/>
            <w:hideMark/>
          </w:tcPr>
          <w:p w14:paraId="27A997E4" w14:textId="77777777" w:rsidR="009F657C" w:rsidRPr="009F657C" w:rsidRDefault="009F657C" w:rsidP="009F657C">
            <w:pPr>
              <w:spacing w:after="160" w:line="360" w:lineRule="auto"/>
              <w:jc w:val="both"/>
              <w:rPr>
                <w:rFonts w:ascii="Times New Roman" w:hAnsi="Times New Roman" w:cs="Times New Roman"/>
                <w:b/>
                <w:bCs/>
                <w:sz w:val="24"/>
                <w:szCs w:val="24"/>
              </w:rPr>
            </w:pPr>
            <w:r w:rsidRPr="009F657C">
              <w:rPr>
                <w:rFonts w:ascii="Times New Roman" w:hAnsi="Times New Roman" w:cs="Times New Roman"/>
                <w:b/>
                <w:bCs/>
                <w:sz w:val="24"/>
                <w:szCs w:val="24"/>
              </w:rPr>
              <w:t>Cash Flow (£m)</w:t>
            </w:r>
          </w:p>
        </w:tc>
        <w:tc>
          <w:tcPr>
            <w:tcW w:w="0" w:type="auto"/>
            <w:hideMark/>
          </w:tcPr>
          <w:p w14:paraId="3034BBED" w14:textId="77777777" w:rsidR="009F657C" w:rsidRPr="009F657C" w:rsidRDefault="009F657C" w:rsidP="009F657C">
            <w:pPr>
              <w:spacing w:after="160" w:line="360" w:lineRule="auto"/>
              <w:jc w:val="both"/>
              <w:rPr>
                <w:rFonts w:ascii="Times New Roman" w:hAnsi="Times New Roman" w:cs="Times New Roman"/>
                <w:b/>
                <w:bCs/>
                <w:sz w:val="24"/>
                <w:szCs w:val="24"/>
              </w:rPr>
            </w:pPr>
            <w:r w:rsidRPr="009F657C">
              <w:rPr>
                <w:rFonts w:ascii="Times New Roman" w:hAnsi="Times New Roman" w:cs="Times New Roman"/>
                <w:b/>
                <w:bCs/>
                <w:sz w:val="24"/>
                <w:szCs w:val="24"/>
              </w:rPr>
              <w:t>Cumulative Cash Flow (£m)</w:t>
            </w:r>
          </w:p>
        </w:tc>
      </w:tr>
      <w:tr w:rsidR="009F657C" w:rsidRPr="009F657C" w14:paraId="5D42CFCF" w14:textId="77777777" w:rsidTr="00831BF0">
        <w:trPr>
          <w:jc w:val="center"/>
        </w:trPr>
        <w:tc>
          <w:tcPr>
            <w:tcW w:w="0" w:type="auto"/>
            <w:hideMark/>
          </w:tcPr>
          <w:p w14:paraId="76DB1B49" w14:textId="77777777" w:rsidR="009F657C" w:rsidRPr="009F657C" w:rsidRDefault="009F657C" w:rsidP="009F657C">
            <w:pPr>
              <w:spacing w:after="160" w:line="360" w:lineRule="auto"/>
              <w:jc w:val="both"/>
              <w:rPr>
                <w:rFonts w:ascii="Times New Roman" w:hAnsi="Times New Roman" w:cs="Times New Roman"/>
                <w:sz w:val="24"/>
                <w:szCs w:val="24"/>
              </w:rPr>
            </w:pPr>
            <w:r w:rsidRPr="009F657C">
              <w:rPr>
                <w:rFonts w:ascii="Times New Roman" w:hAnsi="Times New Roman" w:cs="Times New Roman"/>
                <w:sz w:val="24"/>
                <w:szCs w:val="24"/>
              </w:rPr>
              <w:t>0</w:t>
            </w:r>
          </w:p>
        </w:tc>
        <w:tc>
          <w:tcPr>
            <w:tcW w:w="0" w:type="auto"/>
            <w:hideMark/>
          </w:tcPr>
          <w:p w14:paraId="4EB2C138" w14:textId="77777777" w:rsidR="009F657C" w:rsidRPr="009F657C" w:rsidRDefault="009F657C" w:rsidP="009F657C">
            <w:pPr>
              <w:spacing w:after="160" w:line="360" w:lineRule="auto"/>
              <w:jc w:val="both"/>
              <w:rPr>
                <w:rFonts w:ascii="Times New Roman" w:hAnsi="Times New Roman" w:cs="Times New Roman"/>
                <w:sz w:val="24"/>
                <w:szCs w:val="24"/>
              </w:rPr>
            </w:pPr>
            <w:r w:rsidRPr="009F657C">
              <w:rPr>
                <w:rFonts w:ascii="Times New Roman" w:hAnsi="Times New Roman" w:cs="Times New Roman"/>
                <w:sz w:val="24"/>
                <w:szCs w:val="24"/>
              </w:rPr>
              <w:t>-75</w:t>
            </w:r>
          </w:p>
        </w:tc>
        <w:tc>
          <w:tcPr>
            <w:tcW w:w="0" w:type="auto"/>
            <w:hideMark/>
          </w:tcPr>
          <w:p w14:paraId="3AAB6B5E" w14:textId="77777777" w:rsidR="009F657C" w:rsidRPr="009F657C" w:rsidRDefault="009F657C" w:rsidP="009F657C">
            <w:pPr>
              <w:spacing w:after="160" w:line="360" w:lineRule="auto"/>
              <w:jc w:val="both"/>
              <w:rPr>
                <w:rFonts w:ascii="Times New Roman" w:hAnsi="Times New Roman" w:cs="Times New Roman"/>
                <w:sz w:val="24"/>
                <w:szCs w:val="24"/>
              </w:rPr>
            </w:pPr>
            <w:r w:rsidRPr="009F657C">
              <w:rPr>
                <w:rFonts w:ascii="Times New Roman" w:hAnsi="Times New Roman" w:cs="Times New Roman"/>
                <w:sz w:val="24"/>
                <w:szCs w:val="24"/>
              </w:rPr>
              <w:t>-75</w:t>
            </w:r>
          </w:p>
        </w:tc>
      </w:tr>
      <w:tr w:rsidR="009F657C" w:rsidRPr="009F657C" w14:paraId="04305763" w14:textId="77777777" w:rsidTr="00831BF0">
        <w:trPr>
          <w:jc w:val="center"/>
        </w:trPr>
        <w:tc>
          <w:tcPr>
            <w:tcW w:w="0" w:type="auto"/>
            <w:hideMark/>
          </w:tcPr>
          <w:p w14:paraId="672B3028" w14:textId="77777777" w:rsidR="009F657C" w:rsidRPr="009F657C" w:rsidRDefault="009F657C" w:rsidP="009F657C">
            <w:pPr>
              <w:spacing w:after="160" w:line="360" w:lineRule="auto"/>
              <w:jc w:val="both"/>
              <w:rPr>
                <w:rFonts w:ascii="Times New Roman" w:hAnsi="Times New Roman" w:cs="Times New Roman"/>
                <w:sz w:val="24"/>
                <w:szCs w:val="24"/>
              </w:rPr>
            </w:pPr>
            <w:r w:rsidRPr="009F657C">
              <w:rPr>
                <w:rFonts w:ascii="Times New Roman" w:hAnsi="Times New Roman" w:cs="Times New Roman"/>
                <w:sz w:val="24"/>
                <w:szCs w:val="24"/>
              </w:rPr>
              <w:t>1</w:t>
            </w:r>
          </w:p>
        </w:tc>
        <w:tc>
          <w:tcPr>
            <w:tcW w:w="0" w:type="auto"/>
            <w:hideMark/>
          </w:tcPr>
          <w:p w14:paraId="7EE36750" w14:textId="77777777" w:rsidR="009F657C" w:rsidRPr="009F657C" w:rsidRDefault="009F657C" w:rsidP="009F657C">
            <w:pPr>
              <w:spacing w:after="160" w:line="360" w:lineRule="auto"/>
              <w:jc w:val="both"/>
              <w:rPr>
                <w:rFonts w:ascii="Times New Roman" w:hAnsi="Times New Roman" w:cs="Times New Roman"/>
                <w:sz w:val="24"/>
                <w:szCs w:val="24"/>
              </w:rPr>
            </w:pPr>
            <w:r w:rsidRPr="009F657C">
              <w:rPr>
                <w:rFonts w:ascii="Times New Roman" w:hAnsi="Times New Roman" w:cs="Times New Roman"/>
                <w:sz w:val="24"/>
                <w:szCs w:val="24"/>
              </w:rPr>
              <w:t>50</w:t>
            </w:r>
          </w:p>
        </w:tc>
        <w:tc>
          <w:tcPr>
            <w:tcW w:w="0" w:type="auto"/>
            <w:hideMark/>
          </w:tcPr>
          <w:p w14:paraId="74FF60C5" w14:textId="77777777" w:rsidR="009F657C" w:rsidRPr="009F657C" w:rsidRDefault="009F657C" w:rsidP="009F657C">
            <w:pPr>
              <w:spacing w:after="160" w:line="360" w:lineRule="auto"/>
              <w:jc w:val="both"/>
              <w:rPr>
                <w:rFonts w:ascii="Times New Roman" w:hAnsi="Times New Roman" w:cs="Times New Roman"/>
                <w:sz w:val="24"/>
                <w:szCs w:val="24"/>
              </w:rPr>
            </w:pPr>
            <w:r w:rsidRPr="009F657C">
              <w:rPr>
                <w:rFonts w:ascii="Times New Roman" w:hAnsi="Times New Roman" w:cs="Times New Roman"/>
                <w:sz w:val="24"/>
                <w:szCs w:val="24"/>
              </w:rPr>
              <w:t>-25</w:t>
            </w:r>
          </w:p>
        </w:tc>
      </w:tr>
      <w:tr w:rsidR="009F657C" w:rsidRPr="009F657C" w14:paraId="229470F6" w14:textId="77777777" w:rsidTr="00831BF0">
        <w:trPr>
          <w:jc w:val="center"/>
        </w:trPr>
        <w:tc>
          <w:tcPr>
            <w:tcW w:w="0" w:type="auto"/>
            <w:hideMark/>
          </w:tcPr>
          <w:p w14:paraId="4D952125" w14:textId="77777777" w:rsidR="009F657C" w:rsidRPr="009F657C" w:rsidRDefault="009F657C" w:rsidP="009F657C">
            <w:pPr>
              <w:spacing w:after="160" w:line="360" w:lineRule="auto"/>
              <w:jc w:val="both"/>
              <w:rPr>
                <w:rFonts w:ascii="Times New Roman" w:hAnsi="Times New Roman" w:cs="Times New Roman"/>
                <w:sz w:val="24"/>
                <w:szCs w:val="24"/>
              </w:rPr>
            </w:pPr>
            <w:r w:rsidRPr="009F657C">
              <w:rPr>
                <w:rFonts w:ascii="Times New Roman" w:hAnsi="Times New Roman" w:cs="Times New Roman"/>
                <w:sz w:val="24"/>
                <w:szCs w:val="24"/>
              </w:rPr>
              <w:t>2</w:t>
            </w:r>
          </w:p>
        </w:tc>
        <w:tc>
          <w:tcPr>
            <w:tcW w:w="0" w:type="auto"/>
            <w:hideMark/>
          </w:tcPr>
          <w:p w14:paraId="6D255A69" w14:textId="77777777" w:rsidR="009F657C" w:rsidRPr="009F657C" w:rsidRDefault="009F657C" w:rsidP="009F657C">
            <w:pPr>
              <w:spacing w:after="160" w:line="360" w:lineRule="auto"/>
              <w:jc w:val="both"/>
              <w:rPr>
                <w:rFonts w:ascii="Times New Roman" w:hAnsi="Times New Roman" w:cs="Times New Roman"/>
                <w:sz w:val="24"/>
                <w:szCs w:val="24"/>
              </w:rPr>
            </w:pPr>
            <w:r w:rsidRPr="009F657C">
              <w:rPr>
                <w:rFonts w:ascii="Times New Roman" w:hAnsi="Times New Roman" w:cs="Times New Roman"/>
                <w:sz w:val="24"/>
                <w:szCs w:val="24"/>
              </w:rPr>
              <w:t>20</w:t>
            </w:r>
          </w:p>
        </w:tc>
        <w:tc>
          <w:tcPr>
            <w:tcW w:w="0" w:type="auto"/>
            <w:hideMark/>
          </w:tcPr>
          <w:p w14:paraId="4D0A6368" w14:textId="77777777" w:rsidR="009F657C" w:rsidRPr="009F657C" w:rsidRDefault="009F657C" w:rsidP="009F657C">
            <w:pPr>
              <w:spacing w:after="160" w:line="360" w:lineRule="auto"/>
              <w:jc w:val="both"/>
              <w:rPr>
                <w:rFonts w:ascii="Times New Roman" w:hAnsi="Times New Roman" w:cs="Times New Roman"/>
                <w:sz w:val="24"/>
                <w:szCs w:val="24"/>
              </w:rPr>
            </w:pPr>
            <w:r w:rsidRPr="009F657C">
              <w:rPr>
                <w:rFonts w:ascii="Times New Roman" w:hAnsi="Times New Roman" w:cs="Times New Roman"/>
                <w:sz w:val="24"/>
                <w:szCs w:val="24"/>
              </w:rPr>
              <w:t>-5</w:t>
            </w:r>
          </w:p>
        </w:tc>
      </w:tr>
      <w:tr w:rsidR="009F657C" w:rsidRPr="009F657C" w14:paraId="2EDA286E" w14:textId="77777777" w:rsidTr="00831BF0">
        <w:trPr>
          <w:jc w:val="center"/>
        </w:trPr>
        <w:tc>
          <w:tcPr>
            <w:tcW w:w="0" w:type="auto"/>
            <w:hideMark/>
          </w:tcPr>
          <w:p w14:paraId="33BE6196" w14:textId="77777777" w:rsidR="009F657C" w:rsidRPr="009F657C" w:rsidRDefault="009F657C" w:rsidP="009F657C">
            <w:pPr>
              <w:spacing w:after="160" w:line="360" w:lineRule="auto"/>
              <w:jc w:val="both"/>
              <w:rPr>
                <w:rFonts w:ascii="Times New Roman" w:hAnsi="Times New Roman" w:cs="Times New Roman"/>
                <w:sz w:val="24"/>
                <w:szCs w:val="24"/>
              </w:rPr>
            </w:pPr>
            <w:r w:rsidRPr="009F657C">
              <w:rPr>
                <w:rFonts w:ascii="Times New Roman" w:hAnsi="Times New Roman" w:cs="Times New Roman"/>
                <w:sz w:val="24"/>
                <w:szCs w:val="24"/>
              </w:rPr>
              <w:t>3</w:t>
            </w:r>
          </w:p>
        </w:tc>
        <w:tc>
          <w:tcPr>
            <w:tcW w:w="0" w:type="auto"/>
            <w:hideMark/>
          </w:tcPr>
          <w:p w14:paraId="29B297A0" w14:textId="77777777" w:rsidR="009F657C" w:rsidRPr="009F657C" w:rsidRDefault="009F657C" w:rsidP="009F657C">
            <w:pPr>
              <w:spacing w:after="160" w:line="360" w:lineRule="auto"/>
              <w:jc w:val="both"/>
              <w:rPr>
                <w:rFonts w:ascii="Times New Roman" w:hAnsi="Times New Roman" w:cs="Times New Roman"/>
                <w:sz w:val="24"/>
                <w:szCs w:val="24"/>
              </w:rPr>
            </w:pPr>
            <w:r w:rsidRPr="009F657C">
              <w:rPr>
                <w:rFonts w:ascii="Times New Roman" w:hAnsi="Times New Roman" w:cs="Times New Roman"/>
                <w:sz w:val="24"/>
                <w:szCs w:val="24"/>
              </w:rPr>
              <w:t>20</w:t>
            </w:r>
          </w:p>
        </w:tc>
        <w:tc>
          <w:tcPr>
            <w:tcW w:w="0" w:type="auto"/>
            <w:hideMark/>
          </w:tcPr>
          <w:p w14:paraId="436FB0B0" w14:textId="77777777" w:rsidR="009F657C" w:rsidRPr="009F657C" w:rsidRDefault="009F657C" w:rsidP="009F657C">
            <w:pPr>
              <w:spacing w:after="160" w:line="360" w:lineRule="auto"/>
              <w:jc w:val="both"/>
              <w:rPr>
                <w:rFonts w:ascii="Times New Roman" w:hAnsi="Times New Roman" w:cs="Times New Roman"/>
                <w:sz w:val="24"/>
                <w:szCs w:val="24"/>
              </w:rPr>
            </w:pPr>
            <w:r w:rsidRPr="009F657C">
              <w:rPr>
                <w:rFonts w:ascii="Times New Roman" w:hAnsi="Times New Roman" w:cs="Times New Roman"/>
                <w:sz w:val="24"/>
                <w:szCs w:val="24"/>
              </w:rPr>
              <w:t>15</w:t>
            </w:r>
          </w:p>
        </w:tc>
      </w:tr>
      <w:tr w:rsidR="009F657C" w:rsidRPr="009F657C" w14:paraId="74506D99" w14:textId="77777777" w:rsidTr="00831BF0">
        <w:trPr>
          <w:jc w:val="center"/>
        </w:trPr>
        <w:tc>
          <w:tcPr>
            <w:tcW w:w="0" w:type="auto"/>
            <w:hideMark/>
          </w:tcPr>
          <w:p w14:paraId="024DCB4C" w14:textId="77777777" w:rsidR="009F657C" w:rsidRPr="009F657C" w:rsidRDefault="009F657C" w:rsidP="009F657C">
            <w:pPr>
              <w:spacing w:after="160" w:line="360" w:lineRule="auto"/>
              <w:jc w:val="both"/>
              <w:rPr>
                <w:rFonts w:ascii="Times New Roman" w:hAnsi="Times New Roman" w:cs="Times New Roman"/>
                <w:sz w:val="24"/>
                <w:szCs w:val="24"/>
              </w:rPr>
            </w:pPr>
            <w:r w:rsidRPr="009F657C">
              <w:rPr>
                <w:rFonts w:ascii="Times New Roman" w:hAnsi="Times New Roman" w:cs="Times New Roman"/>
                <w:sz w:val="24"/>
                <w:szCs w:val="24"/>
              </w:rPr>
              <w:t>4</w:t>
            </w:r>
          </w:p>
        </w:tc>
        <w:tc>
          <w:tcPr>
            <w:tcW w:w="0" w:type="auto"/>
            <w:hideMark/>
          </w:tcPr>
          <w:p w14:paraId="7D7CD316" w14:textId="77777777" w:rsidR="009F657C" w:rsidRPr="009F657C" w:rsidRDefault="009F657C" w:rsidP="009F657C">
            <w:pPr>
              <w:spacing w:after="160" w:line="360" w:lineRule="auto"/>
              <w:jc w:val="both"/>
              <w:rPr>
                <w:rFonts w:ascii="Times New Roman" w:hAnsi="Times New Roman" w:cs="Times New Roman"/>
                <w:sz w:val="24"/>
                <w:szCs w:val="24"/>
              </w:rPr>
            </w:pPr>
            <w:r w:rsidRPr="009F657C">
              <w:rPr>
                <w:rFonts w:ascii="Times New Roman" w:hAnsi="Times New Roman" w:cs="Times New Roman"/>
                <w:sz w:val="24"/>
                <w:szCs w:val="24"/>
              </w:rPr>
              <w:t>20</w:t>
            </w:r>
          </w:p>
        </w:tc>
        <w:tc>
          <w:tcPr>
            <w:tcW w:w="0" w:type="auto"/>
            <w:hideMark/>
          </w:tcPr>
          <w:p w14:paraId="38BAE0D7" w14:textId="77777777" w:rsidR="009F657C" w:rsidRPr="009F657C" w:rsidRDefault="009F657C" w:rsidP="009F657C">
            <w:pPr>
              <w:spacing w:after="160" w:line="360" w:lineRule="auto"/>
              <w:jc w:val="both"/>
              <w:rPr>
                <w:rFonts w:ascii="Times New Roman" w:hAnsi="Times New Roman" w:cs="Times New Roman"/>
                <w:sz w:val="24"/>
                <w:szCs w:val="24"/>
              </w:rPr>
            </w:pPr>
            <w:r w:rsidRPr="009F657C">
              <w:rPr>
                <w:rFonts w:ascii="Times New Roman" w:hAnsi="Times New Roman" w:cs="Times New Roman"/>
                <w:sz w:val="24"/>
                <w:szCs w:val="24"/>
              </w:rPr>
              <w:t>35</w:t>
            </w:r>
          </w:p>
        </w:tc>
      </w:tr>
    </w:tbl>
    <w:p w14:paraId="4C896A16" w14:textId="77777777" w:rsidR="009F657C" w:rsidRPr="009F657C" w:rsidRDefault="009F657C" w:rsidP="009F657C">
      <w:pPr>
        <w:spacing w:line="360" w:lineRule="auto"/>
        <w:jc w:val="both"/>
        <w:rPr>
          <w:rFonts w:ascii="Times New Roman" w:hAnsi="Times New Roman" w:cs="Times New Roman"/>
          <w:sz w:val="24"/>
          <w:szCs w:val="24"/>
        </w:rPr>
      </w:pPr>
      <w:r w:rsidRPr="009F657C">
        <w:rPr>
          <w:rFonts w:ascii="Times New Roman" w:hAnsi="Times New Roman" w:cs="Times New Roman"/>
          <w:sz w:val="24"/>
          <w:szCs w:val="24"/>
        </w:rPr>
        <w:t>The initial investment of £75 million is recovered during Year 3. The Payback Period for Project B is:</w:t>
      </w:r>
    </w:p>
    <w:p w14:paraId="4EB7B039" w14:textId="6378A816" w:rsidR="009F657C" w:rsidRPr="009F657C" w:rsidRDefault="009F657C" w:rsidP="009F657C">
      <w:pPr>
        <w:spacing w:line="360" w:lineRule="auto"/>
        <w:jc w:val="both"/>
        <w:rPr>
          <w:rFonts w:ascii="Times New Roman" w:hAnsi="Times New Roman" w:cs="Times New Roman"/>
          <w:sz w:val="24"/>
          <w:szCs w:val="24"/>
        </w:rPr>
      </w:pPr>
      <w:r w:rsidRPr="009F657C">
        <w:rPr>
          <w:rFonts w:ascii="Times New Roman" w:hAnsi="Times New Roman" w:cs="Times New Roman"/>
          <w:sz w:val="24"/>
          <w:szCs w:val="24"/>
        </w:rPr>
        <w:t>Payback Period</w:t>
      </w:r>
      <w:r w:rsidR="00F03D72">
        <w:rPr>
          <w:rFonts w:ascii="Times New Roman" w:hAnsi="Times New Roman" w:cs="Times New Roman"/>
          <w:sz w:val="24"/>
          <w:szCs w:val="24"/>
        </w:rPr>
        <w:t xml:space="preserve"> </w:t>
      </w:r>
      <w:r w:rsidRPr="009F657C">
        <w:rPr>
          <w:rFonts w:ascii="Times New Roman" w:hAnsi="Times New Roman" w:cs="Times New Roman"/>
          <w:sz w:val="24"/>
          <w:szCs w:val="24"/>
        </w:rPr>
        <w:t>B=2+520=2.25 years</w:t>
      </w:r>
    </w:p>
    <w:p w14:paraId="77F05990" w14:textId="77777777" w:rsidR="009F657C" w:rsidRPr="00F03D72" w:rsidRDefault="009F657C" w:rsidP="009F657C">
      <w:pPr>
        <w:pStyle w:val="Heading2"/>
        <w:rPr>
          <w:rFonts w:ascii="Times New Roman" w:hAnsi="Times New Roman" w:cs="Times New Roman"/>
        </w:rPr>
      </w:pPr>
      <w:bookmarkStart w:id="41" w:name="_Toc175068526"/>
      <w:r w:rsidRPr="00F03D72">
        <w:rPr>
          <w:rFonts w:ascii="Times New Roman" w:hAnsi="Times New Roman" w:cs="Times New Roman"/>
        </w:rPr>
        <w:lastRenderedPageBreak/>
        <w:t>Summary of Payback Periods:</w:t>
      </w:r>
      <w:bookmarkEnd w:id="41"/>
    </w:p>
    <w:p w14:paraId="5AA8E7DD" w14:textId="77777777" w:rsidR="00F7272D" w:rsidRPr="00F7272D" w:rsidRDefault="00F7272D" w:rsidP="00F7272D">
      <w:pPr>
        <w:jc w:val="center"/>
      </w:pPr>
      <w:r>
        <w:rPr>
          <w:noProof/>
        </w:rPr>
        <w:drawing>
          <wp:inline distT="0" distB="0" distL="0" distR="0" wp14:anchorId="745DD7C6" wp14:editId="4F2BAC28">
            <wp:extent cx="4572000" cy="2743200"/>
            <wp:effectExtent l="0" t="0" r="0" b="0"/>
            <wp:docPr id="45" name="Chart 45">
              <a:extLst xmlns:a="http://schemas.openxmlformats.org/drawingml/2006/main">
                <a:ext uri="{FF2B5EF4-FFF2-40B4-BE49-F238E27FC236}">
                  <a16:creationId xmlns:a16="http://schemas.microsoft.com/office/drawing/2014/main" id="{8AD37B23-3DD0-4ABE-AE77-DCD7E2EE622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tbl>
      <w:tblPr>
        <w:tblStyle w:val="TableGrid"/>
        <w:tblW w:w="0" w:type="auto"/>
        <w:jc w:val="center"/>
        <w:tblLook w:val="04A0" w:firstRow="1" w:lastRow="0" w:firstColumn="1" w:lastColumn="0" w:noHBand="0" w:noVBand="1"/>
      </w:tblPr>
      <w:tblGrid>
        <w:gridCol w:w="958"/>
        <w:gridCol w:w="2629"/>
      </w:tblGrid>
      <w:tr w:rsidR="009F657C" w:rsidRPr="009F657C" w14:paraId="5F6C709B" w14:textId="77777777" w:rsidTr="00831BF0">
        <w:trPr>
          <w:jc w:val="center"/>
        </w:trPr>
        <w:tc>
          <w:tcPr>
            <w:tcW w:w="0" w:type="auto"/>
            <w:hideMark/>
          </w:tcPr>
          <w:p w14:paraId="1CD4018C" w14:textId="77777777" w:rsidR="009F657C" w:rsidRPr="009F657C" w:rsidRDefault="009F657C" w:rsidP="009F657C">
            <w:pPr>
              <w:spacing w:after="160" w:line="360" w:lineRule="auto"/>
              <w:jc w:val="both"/>
              <w:rPr>
                <w:rFonts w:ascii="Times New Roman" w:hAnsi="Times New Roman" w:cs="Times New Roman"/>
                <w:b/>
                <w:bCs/>
                <w:sz w:val="24"/>
                <w:szCs w:val="24"/>
              </w:rPr>
            </w:pPr>
            <w:r w:rsidRPr="009F657C">
              <w:rPr>
                <w:rFonts w:ascii="Times New Roman" w:hAnsi="Times New Roman" w:cs="Times New Roman"/>
                <w:b/>
                <w:bCs/>
                <w:sz w:val="24"/>
                <w:szCs w:val="24"/>
              </w:rPr>
              <w:t>Project</w:t>
            </w:r>
          </w:p>
        </w:tc>
        <w:tc>
          <w:tcPr>
            <w:tcW w:w="0" w:type="auto"/>
            <w:hideMark/>
          </w:tcPr>
          <w:p w14:paraId="0C4C1FCB" w14:textId="77777777" w:rsidR="009F657C" w:rsidRPr="009F657C" w:rsidRDefault="009F657C" w:rsidP="009F657C">
            <w:pPr>
              <w:spacing w:after="160" w:line="360" w:lineRule="auto"/>
              <w:jc w:val="both"/>
              <w:rPr>
                <w:rFonts w:ascii="Times New Roman" w:hAnsi="Times New Roman" w:cs="Times New Roman"/>
                <w:b/>
                <w:bCs/>
                <w:sz w:val="24"/>
                <w:szCs w:val="24"/>
              </w:rPr>
            </w:pPr>
            <w:r w:rsidRPr="009F657C">
              <w:rPr>
                <w:rFonts w:ascii="Times New Roman" w:hAnsi="Times New Roman" w:cs="Times New Roman"/>
                <w:b/>
                <w:bCs/>
                <w:sz w:val="24"/>
                <w:szCs w:val="24"/>
              </w:rPr>
              <w:t>Payback Period (Years)</w:t>
            </w:r>
          </w:p>
        </w:tc>
      </w:tr>
      <w:tr w:rsidR="009F657C" w:rsidRPr="009F657C" w14:paraId="7A3ED5A4" w14:textId="77777777" w:rsidTr="00831BF0">
        <w:trPr>
          <w:jc w:val="center"/>
        </w:trPr>
        <w:tc>
          <w:tcPr>
            <w:tcW w:w="0" w:type="auto"/>
            <w:hideMark/>
          </w:tcPr>
          <w:p w14:paraId="5E28DD8C" w14:textId="77777777" w:rsidR="009F657C" w:rsidRPr="009F657C" w:rsidRDefault="009F657C" w:rsidP="009F657C">
            <w:pPr>
              <w:spacing w:after="160" w:line="360" w:lineRule="auto"/>
              <w:jc w:val="both"/>
              <w:rPr>
                <w:rFonts w:ascii="Times New Roman" w:hAnsi="Times New Roman" w:cs="Times New Roman"/>
                <w:sz w:val="24"/>
                <w:szCs w:val="24"/>
              </w:rPr>
            </w:pPr>
            <w:r w:rsidRPr="009F657C">
              <w:rPr>
                <w:rFonts w:ascii="Times New Roman" w:hAnsi="Times New Roman" w:cs="Times New Roman"/>
                <w:sz w:val="24"/>
                <w:szCs w:val="24"/>
              </w:rPr>
              <w:t>A</w:t>
            </w:r>
          </w:p>
        </w:tc>
        <w:tc>
          <w:tcPr>
            <w:tcW w:w="0" w:type="auto"/>
            <w:hideMark/>
          </w:tcPr>
          <w:p w14:paraId="60C82BA2" w14:textId="77777777" w:rsidR="009F657C" w:rsidRPr="009F657C" w:rsidRDefault="009F657C" w:rsidP="009F657C">
            <w:pPr>
              <w:spacing w:after="160" w:line="360" w:lineRule="auto"/>
              <w:jc w:val="both"/>
              <w:rPr>
                <w:rFonts w:ascii="Times New Roman" w:hAnsi="Times New Roman" w:cs="Times New Roman"/>
                <w:sz w:val="24"/>
                <w:szCs w:val="24"/>
              </w:rPr>
            </w:pPr>
            <w:r w:rsidRPr="009F657C">
              <w:rPr>
                <w:rFonts w:ascii="Times New Roman" w:hAnsi="Times New Roman" w:cs="Times New Roman"/>
                <w:sz w:val="24"/>
                <w:szCs w:val="24"/>
              </w:rPr>
              <w:t>3.18</w:t>
            </w:r>
          </w:p>
        </w:tc>
      </w:tr>
      <w:tr w:rsidR="009F657C" w:rsidRPr="009F657C" w14:paraId="5066ED56" w14:textId="77777777" w:rsidTr="00831BF0">
        <w:trPr>
          <w:jc w:val="center"/>
        </w:trPr>
        <w:tc>
          <w:tcPr>
            <w:tcW w:w="0" w:type="auto"/>
            <w:hideMark/>
          </w:tcPr>
          <w:p w14:paraId="5796F514" w14:textId="77777777" w:rsidR="009F657C" w:rsidRPr="009F657C" w:rsidRDefault="009F657C" w:rsidP="009F657C">
            <w:pPr>
              <w:spacing w:after="160" w:line="360" w:lineRule="auto"/>
              <w:jc w:val="both"/>
              <w:rPr>
                <w:rFonts w:ascii="Times New Roman" w:hAnsi="Times New Roman" w:cs="Times New Roman"/>
                <w:sz w:val="24"/>
                <w:szCs w:val="24"/>
              </w:rPr>
            </w:pPr>
            <w:r w:rsidRPr="009F657C">
              <w:rPr>
                <w:rFonts w:ascii="Times New Roman" w:hAnsi="Times New Roman" w:cs="Times New Roman"/>
                <w:sz w:val="24"/>
                <w:szCs w:val="24"/>
              </w:rPr>
              <w:t>B</w:t>
            </w:r>
          </w:p>
        </w:tc>
        <w:tc>
          <w:tcPr>
            <w:tcW w:w="0" w:type="auto"/>
            <w:hideMark/>
          </w:tcPr>
          <w:p w14:paraId="5544EDE2" w14:textId="77777777" w:rsidR="009F657C" w:rsidRPr="009F657C" w:rsidRDefault="009F657C" w:rsidP="009F657C">
            <w:pPr>
              <w:spacing w:after="160" w:line="360" w:lineRule="auto"/>
              <w:jc w:val="both"/>
              <w:rPr>
                <w:rFonts w:ascii="Times New Roman" w:hAnsi="Times New Roman" w:cs="Times New Roman"/>
                <w:sz w:val="24"/>
                <w:szCs w:val="24"/>
              </w:rPr>
            </w:pPr>
            <w:r w:rsidRPr="009F657C">
              <w:rPr>
                <w:rFonts w:ascii="Times New Roman" w:hAnsi="Times New Roman" w:cs="Times New Roman"/>
                <w:sz w:val="24"/>
                <w:szCs w:val="24"/>
              </w:rPr>
              <w:t>2.25</w:t>
            </w:r>
          </w:p>
        </w:tc>
      </w:tr>
    </w:tbl>
    <w:p w14:paraId="17ABEE36" w14:textId="77777777" w:rsidR="00EF6DD2" w:rsidRPr="00EF6DD2" w:rsidRDefault="00EF6DD2" w:rsidP="00EF6DD2">
      <w:pPr>
        <w:spacing w:line="360" w:lineRule="auto"/>
        <w:jc w:val="both"/>
        <w:rPr>
          <w:rFonts w:ascii="Times New Roman" w:hAnsi="Times New Roman" w:cs="Times New Roman"/>
          <w:sz w:val="24"/>
          <w:szCs w:val="24"/>
        </w:rPr>
      </w:pPr>
      <w:r w:rsidRPr="00EF6DD2">
        <w:rPr>
          <w:rFonts w:ascii="Times New Roman" w:hAnsi="Times New Roman" w:cs="Times New Roman"/>
          <w:sz w:val="24"/>
          <w:szCs w:val="24"/>
        </w:rPr>
        <w:t>Therefore, we can say that Project B has a short Payback Period compared to the original investment spelled out in Project A. This means that Project B is less risky and more liquid.</w:t>
      </w:r>
    </w:p>
    <w:p w14:paraId="39DE4BA9" w14:textId="77777777" w:rsidR="00EF6DD2" w:rsidRPr="00F03D72" w:rsidRDefault="00EF6DD2" w:rsidP="00EF6DD2">
      <w:pPr>
        <w:pStyle w:val="Heading2"/>
        <w:rPr>
          <w:rFonts w:ascii="Times New Roman" w:hAnsi="Times New Roman" w:cs="Times New Roman"/>
        </w:rPr>
      </w:pPr>
      <w:bookmarkStart w:id="42" w:name="_Toc175068527"/>
      <w:r w:rsidRPr="00F03D72">
        <w:rPr>
          <w:rFonts w:ascii="Times New Roman" w:hAnsi="Times New Roman" w:cs="Times New Roman"/>
        </w:rPr>
        <w:t>Investment Decision</w:t>
      </w:r>
      <w:bookmarkEnd w:id="42"/>
    </w:p>
    <w:p w14:paraId="20095528" w14:textId="76DF9931" w:rsidR="00EF6DD2" w:rsidRPr="00EF6DD2" w:rsidRDefault="00EF6DD2" w:rsidP="00EF6DD2">
      <w:pPr>
        <w:spacing w:line="360" w:lineRule="auto"/>
        <w:jc w:val="both"/>
        <w:rPr>
          <w:rFonts w:ascii="Times New Roman" w:hAnsi="Times New Roman" w:cs="Times New Roman"/>
          <w:sz w:val="24"/>
          <w:szCs w:val="24"/>
        </w:rPr>
      </w:pPr>
      <w:r w:rsidRPr="00EF6DD2">
        <w:rPr>
          <w:rFonts w:ascii="Times New Roman" w:hAnsi="Times New Roman" w:cs="Times New Roman"/>
          <w:sz w:val="24"/>
          <w:szCs w:val="24"/>
        </w:rPr>
        <w:t xml:space="preserve">The detailed analysis finds that Project B is a better investment than project A according to the results obtained from the various investment appraisal techniques used. Firstly, the Net Present Value (NPV) for Project B is much larger at £74.19m vs that of Project A; £19.86m. It means that Project B has a much higher net present value than project A. The reason for the higher NPV is that Cumulative present value of future cash flows are greater in this case, which will be more accretive towards Kingfisher </w:t>
      </w:r>
      <w:r w:rsidR="00F03D72" w:rsidRPr="00EF6DD2">
        <w:rPr>
          <w:rFonts w:ascii="Times New Roman" w:hAnsi="Times New Roman" w:cs="Times New Roman"/>
          <w:sz w:val="24"/>
          <w:szCs w:val="24"/>
        </w:rPr>
        <w:t>bottom line</w:t>
      </w:r>
      <w:r w:rsidRPr="00EF6DD2">
        <w:rPr>
          <w:rFonts w:ascii="Times New Roman" w:hAnsi="Times New Roman" w:cs="Times New Roman"/>
          <w:sz w:val="24"/>
          <w:szCs w:val="24"/>
        </w:rPr>
        <w:t xml:space="preserve"> and shareholder returns</w:t>
      </w:r>
      <w:r w:rsidR="00BA15FF">
        <w:rPr>
          <w:rFonts w:ascii="Times New Roman" w:hAnsi="Times New Roman" w:cs="Times New Roman"/>
          <w:sz w:val="24"/>
          <w:szCs w:val="24"/>
        </w:rPr>
        <w:t xml:space="preserve"> </w:t>
      </w:r>
      <w:r w:rsidR="00BA15FF">
        <w:rPr>
          <w:rFonts w:ascii="Times New Roman" w:hAnsi="Times New Roman" w:cs="Times New Roman"/>
          <w:sz w:val="24"/>
          <w:szCs w:val="24"/>
        </w:rPr>
        <w:t>(Olayinka, A.A., 2022)</w:t>
      </w:r>
      <w:r w:rsidRPr="00EF6DD2">
        <w:rPr>
          <w:rFonts w:ascii="Times New Roman" w:hAnsi="Times New Roman" w:cs="Times New Roman"/>
          <w:sz w:val="24"/>
          <w:szCs w:val="24"/>
        </w:rPr>
        <w:t>.</w:t>
      </w:r>
    </w:p>
    <w:p w14:paraId="2114B34E" w14:textId="457F6C51" w:rsidR="00EF6DD2" w:rsidRPr="00EF6DD2" w:rsidRDefault="00EF6DD2" w:rsidP="00EF6DD2">
      <w:pPr>
        <w:spacing w:line="360" w:lineRule="auto"/>
        <w:jc w:val="both"/>
        <w:rPr>
          <w:rFonts w:ascii="Times New Roman" w:hAnsi="Times New Roman" w:cs="Times New Roman"/>
          <w:sz w:val="24"/>
          <w:szCs w:val="24"/>
        </w:rPr>
      </w:pPr>
      <w:r w:rsidRPr="00EF6DD2">
        <w:rPr>
          <w:rFonts w:ascii="Times New Roman" w:hAnsi="Times New Roman" w:cs="Times New Roman"/>
          <w:sz w:val="24"/>
          <w:szCs w:val="24"/>
        </w:rPr>
        <w:t xml:space="preserve">Moreover, Project B's Internal Rate of Return (IRR) is substantially higher at 25.0% vs. the 15.0% for that of A </w:t>
      </w:r>
      <w:r w:rsidR="00F03D72" w:rsidRPr="00EF6DD2">
        <w:rPr>
          <w:rFonts w:ascii="Times New Roman" w:hAnsi="Times New Roman" w:cs="Times New Roman"/>
          <w:sz w:val="24"/>
          <w:szCs w:val="24"/>
        </w:rPr>
        <w:t>the</w:t>
      </w:r>
      <w:r w:rsidRPr="00EF6DD2">
        <w:rPr>
          <w:rFonts w:ascii="Times New Roman" w:hAnsi="Times New Roman" w:cs="Times New Roman"/>
          <w:sz w:val="24"/>
          <w:szCs w:val="24"/>
        </w:rPr>
        <w:t xml:space="preserve"> IRR is the annualized effective compounded return rate which can be earned on invested capital. A higher IRR is better because it means the project being analyzed is expected to generate returns above 9.75%, Kingfisher's cost of capital by a wide </w:t>
      </w:r>
      <w:r w:rsidR="00F03D72" w:rsidRPr="00EF6DD2">
        <w:rPr>
          <w:rFonts w:ascii="Times New Roman" w:hAnsi="Times New Roman" w:cs="Times New Roman"/>
          <w:sz w:val="24"/>
          <w:szCs w:val="24"/>
        </w:rPr>
        <w:t>margin (</w:t>
      </w:r>
      <w:r w:rsidRPr="00EF6DD2">
        <w:rPr>
          <w:rFonts w:ascii="Times New Roman" w:hAnsi="Times New Roman" w:cs="Times New Roman"/>
          <w:sz w:val="24"/>
          <w:szCs w:val="24"/>
        </w:rPr>
        <w:t xml:space="preserve">ROOT). </w:t>
      </w:r>
      <w:r w:rsidR="00F03D72" w:rsidRPr="00EF6DD2">
        <w:rPr>
          <w:rFonts w:ascii="Times New Roman" w:hAnsi="Times New Roman" w:cs="Times New Roman"/>
          <w:sz w:val="24"/>
          <w:szCs w:val="24"/>
        </w:rPr>
        <w:t>A</w:t>
      </w:r>
      <w:r w:rsidR="00F03D72">
        <w:rPr>
          <w:rFonts w:ascii="Times New Roman" w:hAnsi="Times New Roman" w:cs="Times New Roman"/>
          <w:sz w:val="24"/>
          <w:szCs w:val="24"/>
        </w:rPr>
        <w:t xml:space="preserve"> </w:t>
      </w:r>
      <w:r w:rsidRPr="00EF6DD2">
        <w:rPr>
          <w:rFonts w:ascii="Times New Roman" w:hAnsi="Times New Roman" w:cs="Times New Roman"/>
          <w:sz w:val="24"/>
          <w:szCs w:val="24"/>
        </w:rPr>
        <w:t xml:space="preserve">IRR of 27.0% for Project B is better than a lot of businesses could return, and far above the company's cost-of-capital rate which means it has room to fall back without becoming unprofitable in </w:t>
      </w:r>
      <w:r w:rsidRPr="00EF6DD2">
        <w:rPr>
          <w:rFonts w:ascii="Times New Roman" w:hAnsi="Times New Roman" w:cs="Times New Roman"/>
          <w:sz w:val="24"/>
          <w:szCs w:val="24"/>
        </w:rPr>
        <w:lastRenderedPageBreak/>
        <w:t>expected terms — thus making this an appealing alternative between both by margin of safety metrics/long-term returns on investments as well!</w:t>
      </w:r>
    </w:p>
    <w:p w14:paraId="322F6DA9" w14:textId="77777777" w:rsidR="00EF6DD2" w:rsidRPr="00EF6DD2" w:rsidRDefault="00EF6DD2" w:rsidP="00EF6DD2">
      <w:pPr>
        <w:spacing w:line="360" w:lineRule="auto"/>
        <w:jc w:val="both"/>
        <w:rPr>
          <w:rFonts w:ascii="Times New Roman" w:hAnsi="Times New Roman" w:cs="Times New Roman"/>
          <w:sz w:val="24"/>
          <w:szCs w:val="24"/>
        </w:rPr>
      </w:pPr>
      <w:r w:rsidRPr="00EF6DD2">
        <w:rPr>
          <w:rFonts w:ascii="Times New Roman" w:hAnsi="Times New Roman" w:cs="Times New Roman"/>
          <w:sz w:val="24"/>
          <w:szCs w:val="24"/>
        </w:rPr>
        <w:t>Also, Project B takes 2.25 years to break-even, so has a Payback Period much less than that of project A which is 3.18 Years + The Payback Period = Number of years to recover the initial outlay. 4: What does a Decrease in IRR mean for an investment? The Payback Period is preferred to be shorter as this means quicker recovery of capital invested, lowering financial risk and increasing liquidity. This faster payback on Project B implies that the company will recapture its investment more quickly, a positive factor for financial flexibility and risk mitigation. This faster return lowers the operational risk of having to depend only on future revenues generation and thus provides Kingfisher with additional recaptured funds sooner which it can apply towards other money generating prospects or strategic plans.</w:t>
      </w:r>
    </w:p>
    <w:p w14:paraId="608EBA51" w14:textId="77777777" w:rsidR="00EF6DD2" w:rsidRPr="007535CD" w:rsidRDefault="00EF6DD2" w:rsidP="00EF6DD2">
      <w:pPr>
        <w:pStyle w:val="Heading1"/>
        <w:rPr>
          <w:rFonts w:ascii="Times New Roman" w:hAnsi="Times New Roman" w:cs="Times New Roman"/>
        </w:rPr>
      </w:pPr>
      <w:bookmarkStart w:id="43" w:name="_Toc175068528"/>
      <w:r w:rsidRPr="007535CD">
        <w:rPr>
          <w:rFonts w:ascii="Times New Roman" w:hAnsi="Times New Roman" w:cs="Times New Roman"/>
        </w:rPr>
        <w:t>Conclusion</w:t>
      </w:r>
      <w:bookmarkEnd w:id="43"/>
    </w:p>
    <w:p w14:paraId="5E8EB208" w14:textId="35B4F956" w:rsidR="00EF6DD2" w:rsidRDefault="00EF6DD2" w:rsidP="00DC4E66">
      <w:pPr>
        <w:spacing w:line="360" w:lineRule="auto"/>
        <w:jc w:val="both"/>
        <w:rPr>
          <w:rFonts w:ascii="Times New Roman" w:hAnsi="Times New Roman" w:cs="Times New Roman"/>
          <w:sz w:val="24"/>
          <w:szCs w:val="24"/>
        </w:rPr>
      </w:pPr>
      <w:r w:rsidRPr="00EF6DD2">
        <w:rPr>
          <w:rFonts w:ascii="Times New Roman" w:hAnsi="Times New Roman" w:cs="Times New Roman"/>
          <w:sz w:val="24"/>
          <w:szCs w:val="24"/>
        </w:rPr>
        <w:t xml:space="preserve">To summarise, despite the market difficulties and competitive environments in which Kingfisher UK operates as evidenced by its financial ratio analysis over a five-year period, it also possesses aggressive profitability through stable profit margins (supported from increasing benefits of operational leverage), solvency position with good liquidity and efficient debt management. The more specific review of the company's financial ratios reveals places in which they are strong and where there may be room for improvement, with an emphasis on matching or exceeding sector averages regarding operational efficiency and return on investment. On the basis of NPV, IRR and Payback Period was shown that Project B is unquestionably dominate in comparison to investment appraise by Projects A. Project B, which offers a much higher NPV of £74.19 million (+15%), IRR level at 25.0% (generated between an attractive range) and Payback Period that is less than the benchmark with 2.25 years; chance to faster capital recovery compared against Project A's repayment tenor - suggested better yielding creation, superior investment return certainty upon proper execution will fit well within Kingfisher’s top management course strategy for shareholder value enhancement going forward while safeguarding its core growth objectives intact in near future as per this analysis findings – ‘sell SBU or reject’ vs stay-retain-invest or buy encompass all results under most operating circumstances dictated by CSR / ESG standards compliance enforced whereby crucial Capital Investment decisions are made accordingly every year elections cycle for long-term sustainable pursuit being practiced since completed budget plan cycles </w:t>
      </w:r>
      <w:r w:rsidRPr="00EF6DD2">
        <w:rPr>
          <w:rFonts w:ascii="Times New Roman" w:hAnsi="Times New Roman" w:cs="Times New Roman"/>
          <w:sz w:val="24"/>
          <w:szCs w:val="24"/>
        </w:rPr>
        <w:lastRenderedPageBreak/>
        <w:t xml:space="preserve">established initially before complying with verdict from </w:t>
      </w:r>
      <w:r w:rsidR="00D0471A" w:rsidRPr="00EF6DD2">
        <w:rPr>
          <w:rFonts w:ascii="Times New Roman" w:hAnsi="Times New Roman" w:cs="Times New Roman"/>
          <w:sz w:val="24"/>
          <w:szCs w:val="24"/>
        </w:rPr>
        <w:t>shareholders’</w:t>
      </w:r>
      <w:r w:rsidRPr="00EF6DD2">
        <w:rPr>
          <w:rFonts w:ascii="Times New Roman" w:hAnsi="Times New Roman" w:cs="Times New Roman"/>
          <w:sz w:val="24"/>
          <w:szCs w:val="24"/>
        </w:rPr>
        <w:t xml:space="preserve"> approval etc.) Coupling this significant growth project (Project B) with low risk is a remarkable opportunity that tightly aligns to Kingfisher's strategic priorities, delivering higher returns allowing for sustainable financial performance while supporting its long-term goals; further cementing their market leadership and ongoing commitment to innovation and investment.</w:t>
      </w:r>
    </w:p>
    <w:p w14:paraId="5F39061E" w14:textId="77777777" w:rsidR="00F03D72" w:rsidRDefault="00F03D72" w:rsidP="00DC4E66">
      <w:pPr>
        <w:spacing w:line="360" w:lineRule="auto"/>
        <w:jc w:val="both"/>
        <w:rPr>
          <w:rFonts w:ascii="Times New Roman" w:hAnsi="Times New Roman" w:cs="Times New Roman"/>
          <w:sz w:val="24"/>
          <w:szCs w:val="24"/>
        </w:rPr>
      </w:pPr>
    </w:p>
    <w:p w14:paraId="5C12C2D0" w14:textId="77777777" w:rsidR="00F03D72" w:rsidRDefault="00F03D72" w:rsidP="00DC4E66">
      <w:pPr>
        <w:spacing w:line="360" w:lineRule="auto"/>
        <w:jc w:val="both"/>
        <w:rPr>
          <w:rFonts w:ascii="Times New Roman" w:hAnsi="Times New Roman" w:cs="Times New Roman"/>
          <w:sz w:val="24"/>
          <w:szCs w:val="24"/>
        </w:rPr>
      </w:pPr>
    </w:p>
    <w:p w14:paraId="655C1D9F" w14:textId="77777777" w:rsidR="00F03D72" w:rsidRDefault="00F03D72" w:rsidP="00DC4E66">
      <w:pPr>
        <w:spacing w:line="360" w:lineRule="auto"/>
        <w:jc w:val="both"/>
        <w:rPr>
          <w:rFonts w:ascii="Times New Roman" w:hAnsi="Times New Roman" w:cs="Times New Roman"/>
          <w:sz w:val="24"/>
          <w:szCs w:val="24"/>
        </w:rPr>
      </w:pPr>
    </w:p>
    <w:p w14:paraId="266CDAC1" w14:textId="77777777" w:rsidR="00F03D72" w:rsidRDefault="00F03D72" w:rsidP="00DC4E66">
      <w:pPr>
        <w:spacing w:line="360" w:lineRule="auto"/>
        <w:jc w:val="both"/>
        <w:rPr>
          <w:rFonts w:ascii="Times New Roman" w:hAnsi="Times New Roman" w:cs="Times New Roman"/>
          <w:sz w:val="24"/>
          <w:szCs w:val="24"/>
        </w:rPr>
      </w:pPr>
    </w:p>
    <w:p w14:paraId="55849CAE" w14:textId="77777777" w:rsidR="00F03D72" w:rsidRDefault="00F03D72" w:rsidP="00DC4E66">
      <w:pPr>
        <w:spacing w:line="360" w:lineRule="auto"/>
        <w:jc w:val="both"/>
        <w:rPr>
          <w:rFonts w:ascii="Times New Roman" w:hAnsi="Times New Roman" w:cs="Times New Roman"/>
          <w:sz w:val="24"/>
          <w:szCs w:val="24"/>
        </w:rPr>
      </w:pPr>
    </w:p>
    <w:p w14:paraId="33433003" w14:textId="77777777" w:rsidR="00F03D72" w:rsidRDefault="00F03D72" w:rsidP="00DC4E66">
      <w:pPr>
        <w:spacing w:line="360" w:lineRule="auto"/>
        <w:jc w:val="both"/>
        <w:rPr>
          <w:rFonts w:ascii="Times New Roman" w:hAnsi="Times New Roman" w:cs="Times New Roman"/>
          <w:sz w:val="24"/>
          <w:szCs w:val="24"/>
        </w:rPr>
      </w:pPr>
    </w:p>
    <w:p w14:paraId="1044A1BE" w14:textId="77777777" w:rsidR="00F03D72" w:rsidRDefault="00F03D72" w:rsidP="00DC4E66">
      <w:pPr>
        <w:spacing w:line="360" w:lineRule="auto"/>
        <w:jc w:val="both"/>
        <w:rPr>
          <w:rFonts w:ascii="Times New Roman" w:hAnsi="Times New Roman" w:cs="Times New Roman"/>
          <w:sz w:val="24"/>
          <w:szCs w:val="24"/>
        </w:rPr>
      </w:pPr>
    </w:p>
    <w:p w14:paraId="26D7D41A" w14:textId="77777777" w:rsidR="00F03D72" w:rsidRDefault="00F03D72" w:rsidP="00DC4E66">
      <w:pPr>
        <w:spacing w:line="360" w:lineRule="auto"/>
        <w:jc w:val="both"/>
        <w:rPr>
          <w:rFonts w:ascii="Times New Roman" w:hAnsi="Times New Roman" w:cs="Times New Roman"/>
          <w:sz w:val="24"/>
          <w:szCs w:val="24"/>
        </w:rPr>
      </w:pPr>
    </w:p>
    <w:p w14:paraId="6E66E5DD" w14:textId="77777777" w:rsidR="00F03D72" w:rsidRDefault="00F03D72" w:rsidP="00DC4E66">
      <w:pPr>
        <w:spacing w:line="360" w:lineRule="auto"/>
        <w:jc w:val="both"/>
        <w:rPr>
          <w:rFonts w:ascii="Times New Roman" w:hAnsi="Times New Roman" w:cs="Times New Roman"/>
          <w:sz w:val="24"/>
          <w:szCs w:val="24"/>
        </w:rPr>
      </w:pPr>
    </w:p>
    <w:p w14:paraId="5166603B" w14:textId="77777777" w:rsidR="00F03D72" w:rsidRDefault="00F03D72" w:rsidP="00DC4E66">
      <w:pPr>
        <w:spacing w:line="360" w:lineRule="auto"/>
        <w:jc w:val="both"/>
        <w:rPr>
          <w:rFonts w:ascii="Times New Roman" w:hAnsi="Times New Roman" w:cs="Times New Roman"/>
          <w:sz w:val="24"/>
          <w:szCs w:val="24"/>
        </w:rPr>
      </w:pPr>
    </w:p>
    <w:p w14:paraId="476C0884" w14:textId="77777777" w:rsidR="00F03D72" w:rsidRDefault="00F03D72" w:rsidP="00DC4E66">
      <w:pPr>
        <w:spacing w:line="360" w:lineRule="auto"/>
        <w:jc w:val="both"/>
        <w:rPr>
          <w:rFonts w:ascii="Times New Roman" w:hAnsi="Times New Roman" w:cs="Times New Roman"/>
          <w:sz w:val="24"/>
          <w:szCs w:val="24"/>
        </w:rPr>
      </w:pPr>
    </w:p>
    <w:p w14:paraId="1D60AE81" w14:textId="77777777" w:rsidR="00F03D72" w:rsidRDefault="00F03D72" w:rsidP="00DC4E66">
      <w:pPr>
        <w:spacing w:line="360" w:lineRule="auto"/>
        <w:jc w:val="both"/>
        <w:rPr>
          <w:rFonts w:ascii="Times New Roman" w:hAnsi="Times New Roman" w:cs="Times New Roman"/>
          <w:sz w:val="24"/>
          <w:szCs w:val="24"/>
        </w:rPr>
      </w:pPr>
    </w:p>
    <w:p w14:paraId="7CDAC3CA" w14:textId="77777777" w:rsidR="00F03D72" w:rsidRDefault="00F03D72" w:rsidP="00DC4E66">
      <w:pPr>
        <w:spacing w:line="360" w:lineRule="auto"/>
        <w:jc w:val="both"/>
        <w:rPr>
          <w:rFonts w:ascii="Times New Roman" w:hAnsi="Times New Roman" w:cs="Times New Roman"/>
          <w:sz w:val="24"/>
          <w:szCs w:val="24"/>
        </w:rPr>
      </w:pPr>
    </w:p>
    <w:p w14:paraId="69EDD99A" w14:textId="77777777" w:rsidR="00F03D72" w:rsidRDefault="00F03D72" w:rsidP="00DC4E66">
      <w:pPr>
        <w:spacing w:line="360" w:lineRule="auto"/>
        <w:jc w:val="both"/>
        <w:rPr>
          <w:rFonts w:ascii="Times New Roman" w:hAnsi="Times New Roman" w:cs="Times New Roman"/>
          <w:sz w:val="24"/>
          <w:szCs w:val="24"/>
        </w:rPr>
      </w:pPr>
    </w:p>
    <w:p w14:paraId="7D736FF9" w14:textId="77777777" w:rsidR="00F03D72" w:rsidRDefault="00F03D72" w:rsidP="00DC4E66">
      <w:pPr>
        <w:spacing w:line="360" w:lineRule="auto"/>
        <w:jc w:val="both"/>
        <w:rPr>
          <w:rFonts w:ascii="Times New Roman" w:hAnsi="Times New Roman" w:cs="Times New Roman"/>
          <w:sz w:val="24"/>
          <w:szCs w:val="24"/>
        </w:rPr>
      </w:pPr>
    </w:p>
    <w:p w14:paraId="7F244DA7" w14:textId="77777777" w:rsidR="00F03D72" w:rsidRDefault="00F03D72" w:rsidP="00DC4E66">
      <w:pPr>
        <w:spacing w:line="360" w:lineRule="auto"/>
        <w:jc w:val="both"/>
        <w:rPr>
          <w:rFonts w:ascii="Times New Roman" w:hAnsi="Times New Roman" w:cs="Times New Roman"/>
          <w:sz w:val="24"/>
          <w:szCs w:val="24"/>
        </w:rPr>
      </w:pPr>
    </w:p>
    <w:p w14:paraId="3107F6A7" w14:textId="77777777" w:rsidR="00F03D72" w:rsidRDefault="00F03D72" w:rsidP="00DC4E66">
      <w:pPr>
        <w:spacing w:line="360" w:lineRule="auto"/>
        <w:jc w:val="both"/>
        <w:rPr>
          <w:rFonts w:ascii="Times New Roman" w:hAnsi="Times New Roman" w:cs="Times New Roman"/>
          <w:sz w:val="24"/>
          <w:szCs w:val="24"/>
        </w:rPr>
      </w:pPr>
    </w:p>
    <w:p w14:paraId="2350B95F" w14:textId="534505CD" w:rsidR="002C0D81" w:rsidRPr="00F03D72" w:rsidRDefault="002C0D81" w:rsidP="002C0D81">
      <w:pPr>
        <w:pStyle w:val="Heading1"/>
        <w:rPr>
          <w:rFonts w:ascii="Times New Roman" w:hAnsi="Times New Roman" w:cs="Times New Roman"/>
        </w:rPr>
      </w:pPr>
      <w:bookmarkStart w:id="44" w:name="_Toc175068529"/>
      <w:r w:rsidRPr="00F03D72">
        <w:rPr>
          <w:rFonts w:ascii="Times New Roman" w:hAnsi="Times New Roman" w:cs="Times New Roman"/>
        </w:rPr>
        <w:lastRenderedPageBreak/>
        <w:t>Reference</w:t>
      </w:r>
      <w:r w:rsidR="00F03D72" w:rsidRPr="00F03D72">
        <w:rPr>
          <w:rFonts w:ascii="Times New Roman" w:hAnsi="Times New Roman" w:cs="Times New Roman"/>
        </w:rPr>
        <w:t xml:space="preserve"> list</w:t>
      </w:r>
      <w:bookmarkEnd w:id="44"/>
    </w:p>
    <w:p w14:paraId="6AE42A88" w14:textId="77777777" w:rsidR="002C0D81" w:rsidRDefault="002C0D81" w:rsidP="00DC4E66">
      <w:pPr>
        <w:spacing w:line="360" w:lineRule="auto"/>
        <w:jc w:val="both"/>
        <w:rPr>
          <w:rFonts w:ascii="Times New Roman" w:hAnsi="Times New Roman" w:cs="Times New Roman"/>
          <w:sz w:val="24"/>
          <w:szCs w:val="24"/>
        </w:rPr>
      </w:pPr>
      <w:r w:rsidRPr="002C0D81">
        <w:rPr>
          <w:rFonts w:ascii="Times New Roman" w:hAnsi="Times New Roman" w:cs="Times New Roman"/>
          <w:sz w:val="24"/>
          <w:szCs w:val="24"/>
        </w:rPr>
        <w:t>Silva, F.M.D.D., 2020. </w:t>
      </w:r>
      <w:r w:rsidRPr="002C0D81">
        <w:rPr>
          <w:rFonts w:ascii="Times New Roman" w:hAnsi="Times New Roman" w:cs="Times New Roman"/>
          <w:i/>
          <w:iCs/>
          <w:sz w:val="24"/>
          <w:szCs w:val="24"/>
        </w:rPr>
        <w:t>Equity research-Kingfisher PLC</w:t>
      </w:r>
      <w:r w:rsidRPr="002C0D81">
        <w:rPr>
          <w:rFonts w:ascii="Times New Roman" w:hAnsi="Times New Roman" w:cs="Times New Roman"/>
          <w:sz w:val="24"/>
          <w:szCs w:val="24"/>
        </w:rPr>
        <w:t> (Doctoral dissertation, Instituto Superior de Economia e Gestão).</w:t>
      </w:r>
    </w:p>
    <w:p w14:paraId="4E408603" w14:textId="77777777" w:rsidR="002C0D81" w:rsidRDefault="002C0D81" w:rsidP="00DC4E66">
      <w:pPr>
        <w:spacing w:line="360" w:lineRule="auto"/>
        <w:jc w:val="both"/>
        <w:rPr>
          <w:rFonts w:ascii="Times New Roman" w:hAnsi="Times New Roman" w:cs="Times New Roman"/>
          <w:sz w:val="24"/>
          <w:szCs w:val="24"/>
        </w:rPr>
      </w:pPr>
      <w:r w:rsidRPr="002C0D81">
        <w:rPr>
          <w:rFonts w:ascii="Times New Roman" w:hAnsi="Times New Roman" w:cs="Times New Roman"/>
          <w:sz w:val="24"/>
          <w:szCs w:val="24"/>
        </w:rPr>
        <w:t>Song, X., 2023, August. Case Analysis of Kingfisher PLC’s Operational Quality Based on the Perspective of Financial Report. In </w:t>
      </w:r>
      <w:r w:rsidRPr="002C0D81">
        <w:rPr>
          <w:rFonts w:ascii="Times New Roman" w:hAnsi="Times New Roman" w:cs="Times New Roman"/>
          <w:i/>
          <w:iCs/>
          <w:sz w:val="24"/>
          <w:szCs w:val="24"/>
        </w:rPr>
        <w:t>International Conference on Economic Management and Green Development</w:t>
      </w:r>
      <w:r w:rsidRPr="002C0D81">
        <w:rPr>
          <w:rFonts w:ascii="Times New Roman" w:hAnsi="Times New Roman" w:cs="Times New Roman"/>
          <w:sz w:val="24"/>
          <w:szCs w:val="24"/>
        </w:rPr>
        <w:t> (pp. 253-261). Singapore: Springer Nature Singapore.</w:t>
      </w:r>
    </w:p>
    <w:p w14:paraId="1C61FC6E" w14:textId="77777777" w:rsidR="002C0D81" w:rsidRDefault="002C0D81" w:rsidP="00DC4E66">
      <w:pPr>
        <w:spacing w:line="360" w:lineRule="auto"/>
        <w:jc w:val="both"/>
        <w:rPr>
          <w:rFonts w:ascii="Times New Roman" w:hAnsi="Times New Roman" w:cs="Times New Roman"/>
          <w:sz w:val="24"/>
          <w:szCs w:val="24"/>
        </w:rPr>
      </w:pPr>
      <w:r w:rsidRPr="002C0D81">
        <w:rPr>
          <w:rFonts w:ascii="Times New Roman" w:hAnsi="Times New Roman" w:cs="Times New Roman"/>
          <w:sz w:val="24"/>
          <w:szCs w:val="24"/>
        </w:rPr>
        <w:t>Da Silva, F.M.D., 2020. </w:t>
      </w:r>
      <w:r w:rsidRPr="002C0D81">
        <w:rPr>
          <w:rFonts w:ascii="Times New Roman" w:hAnsi="Times New Roman" w:cs="Times New Roman"/>
          <w:i/>
          <w:iCs/>
          <w:sz w:val="24"/>
          <w:szCs w:val="24"/>
        </w:rPr>
        <w:t>Equity Research: Kingfisher PLC</w:t>
      </w:r>
      <w:r w:rsidRPr="002C0D81">
        <w:rPr>
          <w:rFonts w:ascii="Times New Roman" w:hAnsi="Times New Roman" w:cs="Times New Roman"/>
          <w:sz w:val="24"/>
          <w:szCs w:val="24"/>
        </w:rPr>
        <w:t> (Master's thesis, Universidade de Lisboa (Portugal)).</w:t>
      </w:r>
    </w:p>
    <w:p w14:paraId="761DCB8B" w14:textId="77777777" w:rsidR="002C0D81" w:rsidRDefault="002C0D81" w:rsidP="00DC4E66">
      <w:pPr>
        <w:spacing w:line="360" w:lineRule="auto"/>
        <w:jc w:val="both"/>
        <w:rPr>
          <w:rFonts w:ascii="Times New Roman" w:hAnsi="Times New Roman" w:cs="Times New Roman"/>
          <w:sz w:val="24"/>
          <w:szCs w:val="24"/>
        </w:rPr>
      </w:pPr>
      <w:r w:rsidRPr="002C0D81">
        <w:rPr>
          <w:rFonts w:ascii="Times New Roman" w:hAnsi="Times New Roman" w:cs="Times New Roman"/>
          <w:sz w:val="24"/>
          <w:szCs w:val="24"/>
        </w:rPr>
        <w:t>Keay, A. and Iqbal, T., 2018. Sustainability in large UK listed retail companies: A sectoral analysis. </w:t>
      </w:r>
      <w:r w:rsidRPr="002C0D81">
        <w:rPr>
          <w:rFonts w:ascii="Times New Roman" w:hAnsi="Times New Roman" w:cs="Times New Roman"/>
          <w:i/>
          <w:iCs/>
          <w:sz w:val="24"/>
          <w:szCs w:val="24"/>
        </w:rPr>
        <w:t>Deakin Law Review</w:t>
      </w:r>
      <w:r w:rsidRPr="002C0D81">
        <w:rPr>
          <w:rFonts w:ascii="Times New Roman" w:hAnsi="Times New Roman" w:cs="Times New Roman"/>
          <w:sz w:val="24"/>
          <w:szCs w:val="24"/>
        </w:rPr>
        <w:t>, </w:t>
      </w:r>
      <w:r w:rsidRPr="002C0D81">
        <w:rPr>
          <w:rFonts w:ascii="Times New Roman" w:hAnsi="Times New Roman" w:cs="Times New Roman"/>
          <w:i/>
          <w:iCs/>
          <w:sz w:val="24"/>
          <w:szCs w:val="24"/>
        </w:rPr>
        <w:t>23</w:t>
      </w:r>
      <w:r w:rsidRPr="002C0D81">
        <w:rPr>
          <w:rFonts w:ascii="Times New Roman" w:hAnsi="Times New Roman" w:cs="Times New Roman"/>
          <w:sz w:val="24"/>
          <w:szCs w:val="24"/>
        </w:rPr>
        <w:t>, pp.209-244.</w:t>
      </w:r>
    </w:p>
    <w:p w14:paraId="70168D8D" w14:textId="77777777" w:rsidR="002C0D81" w:rsidRDefault="002C0D81" w:rsidP="00DC4E66">
      <w:pPr>
        <w:spacing w:line="360" w:lineRule="auto"/>
        <w:jc w:val="both"/>
        <w:rPr>
          <w:rFonts w:ascii="Times New Roman" w:hAnsi="Times New Roman" w:cs="Times New Roman"/>
          <w:sz w:val="24"/>
          <w:szCs w:val="24"/>
        </w:rPr>
      </w:pPr>
      <w:r w:rsidRPr="002C0D81">
        <w:rPr>
          <w:rFonts w:ascii="Times New Roman" w:hAnsi="Times New Roman" w:cs="Times New Roman"/>
          <w:sz w:val="24"/>
          <w:szCs w:val="24"/>
        </w:rPr>
        <w:t>Maxwell, D., 2017. </w:t>
      </w:r>
      <w:r w:rsidRPr="002C0D81">
        <w:rPr>
          <w:rFonts w:ascii="Times New Roman" w:hAnsi="Times New Roman" w:cs="Times New Roman"/>
          <w:i/>
          <w:iCs/>
          <w:sz w:val="24"/>
          <w:szCs w:val="24"/>
        </w:rPr>
        <w:t>Valuing natural capital: Future proofing business and finance</w:t>
      </w:r>
      <w:r w:rsidRPr="002C0D81">
        <w:rPr>
          <w:rFonts w:ascii="Times New Roman" w:hAnsi="Times New Roman" w:cs="Times New Roman"/>
          <w:sz w:val="24"/>
          <w:szCs w:val="24"/>
        </w:rPr>
        <w:t>. Routledge.</w:t>
      </w:r>
    </w:p>
    <w:p w14:paraId="2C415661" w14:textId="77777777" w:rsidR="002C0D81" w:rsidRDefault="002C0D81" w:rsidP="00DC4E66">
      <w:pPr>
        <w:spacing w:line="360" w:lineRule="auto"/>
        <w:jc w:val="both"/>
        <w:rPr>
          <w:rFonts w:ascii="Times New Roman" w:hAnsi="Times New Roman" w:cs="Times New Roman"/>
          <w:sz w:val="24"/>
          <w:szCs w:val="24"/>
        </w:rPr>
      </w:pPr>
      <w:r w:rsidRPr="002C0D81">
        <w:rPr>
          <w:rFonts w:ascii="Times New Roman" w:hAnsi="Times New Roman" w:cs="Times New Roman"/>
          <w:sz w:val="24"/>
          <w:szCs w:val="24"/>
        </w:rPr>
        <w:t>Alexander, D., FĂRCAŞ, T.V., Oprisor, T. and Tiron-Tudor, A., 2015. CHALLENGING THE CAPITALS: AN INVESTIGATION OF THE CONCEPT OF CAPITALS IN THE&lt; IR&gt; FRAMEWORK. </w:t>
      </w:r>
      <w:r w:rsidRPr="002C0D81">
        <w:rPr>
          <w:rFonts w:ascii="Times New Roman" w:hAnsi="Times New Roman" w:cs="Times New Roman"/>
          <w:i/>
          <w:iCs/>
          <w:sz w:val="24"/>
          <w:szCs w:val="24"/>
        </w:rPr>
        <w:t>Studia Universitatis Babes-Bolyai, Oeconomica</w:t>
      </w:r>
      <w:r w:rsidRPr="002C0D81">
        <w:rPr>
          <w:rFonts w:ascii="Times New Roman" w:hAnsi="Times New Roman" w:cs="Times New Roman"/>
          <w:sz w:val="24"/>
          <w:szCs w:val="24"/>
        </w:rPr>
        <w:t>, </w:t>
      </w:r>
      <w:r w:rsidRPr="002C0D81">
        <w:rPr>
          <w:rFonts w:ascii="Times New Roman" w:hAnsi="Times New Roman" w:cs="Times New Roman"/>
          <w:i/>
          <w:iCs/>
          <w:sz w:val="24"/>
          <w:szCs w:val="24"/>
        </w:rPr>
        <w:t>60</w:t>
      </w:r>
      <w:r w:rsidRPr="002C0D81">
        <w:rPr>
          <w:rFonts w:ascii="Times New Roman" w:hAnsi="Times New Roman" w:cs="Times New Roman"/>
          <w:sz w:val="24"/>
          <w:szCs w:val="24"/>
        </w:rPr>
        <w:t>(3).</w:t>
      </w:r>
    </w:p>
    <w:p w14:paraId="619BA054" w14:textId="77777777" w:rsidR="002C0D81" w:rsidRDefault="002C0D81" w:rsidP="00DC4E66">
      <w:pPr>
        <w:spacing w:line="360" w:lineRule="auto"/>
        <w:jc w:val="both"/>
        <w:rPr>
          <w:rFonts w:ascii="Times New Roman" w:hAnsi="Times New Roman" w:cs="Times New Roman"/>
          <w:sz w:val="24"/>
          <w:szCs w:val="24"/>
        </w:rPr>
      </w:pPr>
      <w:r w:rsidRPr="002C0D81">
        <w:rPr>
          <w:rFonts w:ascii="Times New Roman" w:hAnsi="Times New Roman" w:cs="Times New Roman"/>
          <w:sz w:val="24"/>
          <w:szCs w:val="24"/>
        </w:rPr>
        <w:t>Baldwin, C., 2020. Relative valuation of diageo public limited company.</w:t>
      </w:r>
    </w:p>
    <w:p w14:paraId="2A628F3B" w14:textId="77777777" w:rsidR="002C0D81" w:rsidRDefault="002C0D81" w:rsidP="00DC4E66">
      <w:pPr>
        <w:spacing w:line="360" w:lineRule="auto"/>
        <w:jc w:val="both"/>
        <w:rPr>
          <w:rFonts w:ascii="Times New Roman" w:hAnsi="Times New Roman" w:cs="Times New Roman"/>
          <w:sz w:val="24"/>
          <w:szCs w:val="24"/>
        </w:rPr>
      </w:pPr>
      <w:r w:rsidRPr="002C0D81">
        <w:rPr>
          <w:rFonts w:ascii="Times New Roman" w:hAnsi="Times New Roman" w:cs="Times New Roman"/>
          <w:sz w:val="24"/>
          <w:szCs w:val="24"/>
        </w:rPr>
        <w:t>Vinnicombe, S., Doldor, E., Battista, V. and Tessaro, M., 2020. The female FTSE board report 2020: Taking targets seriously.</w:t>
      </w:r>
    </w:p>
    <w:p w14:paraId="221DA6AC" w14:textId="77777777" w:rsidR="002C0D81" w:rsidRDefault="002C0D81" w:rsidP="00DC4E66">
      <w:pPr>
        <w:spacing w:line="360" w:lineRule="auto"/>
        <w:jc w:val="both"/>
        <w:rPr>
          <w:rFonts w:ascii="Times New Roman" w:hAnsi="Times New Roman" w:cs="Times New Roman"/>
          <w:sz w:val="24"/>
          <w:szCs w:val="24"/>
        </w:rPr>
      </w:pPr>
      <w:r w:rsidRPr="002C0D81">
        <w:rPr>
          <w:rFonts w:ascii="Times New Roman" w:hAnsi="Times New Roman" w:cs="Times New Roman"/>
          <w:sz w:val="24"/>
          <w:szCs w:val="24"/>
        </w:rPr>
        <w:t>Abas, H., Kawatu, F.S. and Kewo, C.L., 2020. Analysis of profit growth of manufacturing companies listed on the Indonesia Stock Exchange (IDX) for 2013-2017 Period. </w:t>
      </w:r>
      <w:r w:rsidRPr="002C0D81">
        <w:rPr>
          <w:rFonts w:ascii="Times New Roman" w:hAnsi="Times New Roman" w:cs="Times New Roman"/>
          <w:i/>
          <w:iCs/>
          <w:sz w:val="24"/>
          <w:szCs w:val="24"/>
        </w:rPr>
        <w:t>International Journal of Applied Business and International Management (IJABIM)</w:t>
      </w:r>
      <w:r w:rsidRPr="002C0D81">
        <w:rPr>
          <w:rFonts w:ascii="Times New Roman" w:hAnsi="Times New Roman" w:cs="Times New Roman"/>
          <w:sz w:val="24"/>
          <w:szCs w:val="24"/>
        </w:rPr>
        <w:t>, pp.72-78.</w:t>
      </w:r>
    </w:p>
    <w:p w14:paraId="668FDEF6" w14:textId="77777777" w:rsidR="002C0D81" w:rsidRDefault="002C0D81" w:rsidP="00DC4E66">
      <w:pPr>
        <w:spacing w:line="360" w:lineRule="auto"/>
        <w:jc w:val="both"/>
        <w:rPr>
          <w:rFonts w:ascii="Times New Roman" w:hAnsi="Times New Roman" w:cs="Times New Roman"/>
          <w:sz w:val="24"/>
          <w:szCs w:val="24"/>
        </w:rPr>
      </w:pPr>
      <w:r w:rsidRPr="002C0D81">
        <w:rPr>
          <w:rFonts w:ascii="Times New Roman" w:hAnsi="Times New Roman" w:cs="Times New Roman"/>
          <w:sz w:val="24"/>
          <w:szCs w:val="24"/>
        </w:rPr>
        <w:t>Nariswari, T.N. and Nugraha, N.M., 2020. Profit growth: impact of net profit margin, gross profit margin and total assests turnover. </w:t>
      </w:r>
      <w:r w:rsidRPr="002C0D81">
        <w:rPr>
          <w:rFonts w:ascii="Times New Roman" w:hAnsi="Times New Roman" w:cs="Times New Roman"/>
          <w:i/>
          <w:iCs/>
          <w:sz w:val="24"/>
          <w:szCs w:val="24"/>
        </w:rPr>
        <w:t>International Journal of Finance &amp; Banking Studies (2147-4486)</w:t>
      </w:r>
      <w:r w:rsidRPr="002C0D81">
        <w:rPr>
          <w:rFonts w:ascii="Times New Roman" w:hAnsi="Times New Roman" w:cs="Times New Roman"/>
          <w:sz w:val="24"/>
          <w:szCs w:val="24"/>
        </w:rPr>
        <w:t>, </w:t>
      </w:r>
      <w:r w:rsidRPr="002C0D81">
        <w:rPr>
          <w:rFonts w:ascii="Times New Roman" w:hAnsi="Times New Roman" w:cs="Times New Roman"/>
          <w:i/>
          <w:iCs/>
          <w:sz w:val="24"/>
          <w:szCs w:val="24"/>
        </w:rPr>
        <w:t>9</w:t>
      </w:r>
      <w:r w:rsidRPr="002C0D81">
        <w:rPr>
          <w:rFonts w:ascii="Times New Roman" w:hAnsi="Times New Roman" w:cs="Times New Roman"/>
          <w:sz w:val="24"/>
          <w:szCs w:val="24"/>
        </w:rPr>
        <w:t>(4), pp.87-96.</w:t>
      </w:r>
    </w:p>
    <w:p w14:paraId="38697256" w14:textId="77777777" w:rsidR="002C0D81" w:rsidRDefault="002C0D81" w:rsidP="00DC4E66">
      <w:pPr>
        <w:spacing w:line="360" w:lineRule="auto"/>
        <w:jc w:val="both"/>
        <w:rPr>
          <w:rFonts w:ascii="Times New Roman" w:hAnsi="Times New Roman" w:cs="Times New Roman"/>
          <w:sz w:val="24"/>
          <w:szCs w:val="24"/>
        </w:rPr>
      </w:pPr>
      <w:r w:rsidRPr="002C0D81">
        <w:rPr>
          <w:rFonts w:ascii="Times New Roman" w:hAnsi="Times New Roman" w:cs="Times New Roman"/>
          <w:sz w:val="24"/>
          <w:szCs w:val="24"/>
        </w:rPr>
        <w:t>Cipta, H., Aragani, Z. and Sari, E.T., 2020. Maximum Profit Analysis of Jatiroso Catering Service Sidoarjo. </w:t>
      </w:r>
      <w:r w:rsidRPr="002C0D81">
        <w:rPr>
          <w:rFonts w:ascii="Times New Roman" w:hAnsi="Times New Roman" w:cs="Times New Roman"/>
          <w:i/>
          <w:iCs/>
          <w:sz w:val="24"/>
          <w:szCs w:val="24"/>
        </w:rPr>
        <w:t>International Journal of Economics, Business and Management Research</w:t>
      </w:r>
      <w:r w:rsidRPr="002C0D81">
        <w:rPr>
          <w:rFonts w:ascii="Times New Roman" w:hAnsi="Times New Roman" w:cs="Times New Roman"/>
          <w:sz w:val="24"/>
          <w:szCs w:val="24"/>
        </w:rPr>
        <w:t>, </w:t>
      </w:r>
      <w:r w:rsidRPr="002C0D81">
        <w:rPr>
          <w:rFonts w:ascii="Times New Roman" w:hAnsi="Times New Roman" w:cs="Times New Roman"/>
          <w:i/>
          <w:iCs/>
          <w:sz w:val="24"/>
          <w:szCs w:val="24"/>
        </w:rPr>
        <w:t>4</w:t>
      </w:r>
      <w:r w:rsidRPr="002C0D81">
        <w:rPr>
          <w:rFonts w:ascii="Times New Roman" w:hAnsi="Times New Roman" w:cs="Times New Roman"/>
          <w:sz w:val="24"/>
          <w:szCs w:val="24"/>
        </w:rPr>
        <w:t>(07), pp.1-7.</w:t>
      </w:r>
    </w:p>
    <w:p w14:paraId="40542775" w14:textId="77777777" w:rsidR="002C0D81" w:rsidRDefault="002C0D81" w:rsidP="00DC4E66">
      <w:pPr>
        <w:spacing w:line="360" w:lineRule="auto"/>
        <w:jc w:val="both"/>
        <w:rPr>
          <w:rFonts w:ascii="Times New Roman" w:hAnsi="Times New Roman" w:cs="Times New Roman"/>
          <w:sz w:val="24"/>
          <w:szCs w:val="24"/>
        </w:rPr>
      </w:pPr>
      <w:r w:rsidRPr="002C0D81">
        <w:rPr>
          <w:rFonts w:ascii="Times New Roman" w:hAnsi="Times New Roman" w:cs="Times New Roman"/>
          <w:sz w:val="24"/>
          <w:szCs w:val="24"/>
        </w:rPr>
        <w:lastRenderedPageBreak/>
        <w:t>Christiana, I., Purnama, N.I. and Ardila, I., 2020. Financial ratio in the analysis of earnings management. </w:t>
      </w:r>
      <w:r w:rsidRPr="002C0D81">
        <w:rPr>
          <w:rFonts w:ascii="Times New Roman" w:hAnsi="Times New Roman" w:cs="Times New Roman"/>
          <w:i/>
          <w:iCs/>
          <w:sz w:val="24"/>
          <w:szCs w:val="24"/>
        </w:rPr>
        <w:t>International Journal of Accounting &amp; Finance in Asia Pasific</w:t>
      </w:r>
      <w:r w:rsidRPr="002C0D81">
        <w:rPr>
          <w:rFonts w:ascii="Times New Roman" w:hAnsi="Times New Roman" w:cs="Times New Roman"/>
          <w:sz w:val="24"/>
          <w:szCs w:val="24"/>
        </w:rPr>
        <w:t>, </w:t>
      </w:r>
      <w:r w:rsidRPr="002C0D81">
        <w:rPr>
          <w:rFonts w:ascii="Times New Roman" w:hAnsi="Times New Roman" w:cs="Times New Roman"/>
          <w:i/>
          <w:iCs/>
          <w:sz w:val="24"/>
          <w:szCs w:val="24"/>
        </w:rPr>
        <w:t>3</w:t>
      </w:r>
      <w:r w:rsidRPr="002C0D81">
        <w:rPr>
          <w:rFonts w:ascii="Times New Roman" w:hAnsi="Times New Roman" w:cs="Times New Roman"/>
          <w:sz w:val="24"/>
          <w:szCs w:val="24"/>
        </w:rPr>
        <w:t>(1), pp.8-17.</w:t>
      </w:r>
    </w:p>
    <w:p w14:paraId="777A81A7" w14:textId="77777777" w:rsidR="002C0D81" w:rsidRDefault="002C0D81" w:rsidP="00DC4E66">
      <w:pPr>
        <w:spacing w:line="360" w:lineRule="auto"/>
        <w:jc w:val="both"/>
        <w:rPr>
          <w:rFonts w:ascii="Times New Roman" w:hAnsi="Times New Roman" w:cs="Times New Roman"/>
          <w:sz w:val="24"/>
          <w:szCs w:val="24"/>
        </w:rPr>
      </w:pPr>
      <w:r w:rsidRPr="002C0D81">
        <w:rPr>
          <w:rFonts w:ascii="Times New Roman" w:hAnsi="Times New Roman" w:cs="Times New Roman"/>
          <w:sz w:val="24"/>
          <w:szCs w:val="24"/>
        </w:rPr>
        <w:t>Olayinka, A.A., 2022. Financial statement analysis as a tool for investment decisions and assessment of companies’ performance. </w:t>
      </w:r>
      <w:r w:rsidRPr="002C0D81">
        <w:rPr>
          <w:rFonts w:ascii="Times New Roman" w:hAnsi="Times New Roman" w:cs="Times New Roman"/>
          <w:i/>
          <w:iCs/>
          <w:sz w:val="24"/>
          <w:szCs w:val="24"/>
        </w:rPr>
        <w:t>International Journal of Financial, Accounting, and Management</w:t>
      </w:r>
      <w:r w:rsidRPr="002C0D81">
        <w:rPr>
          <w:rFonts w:ascii="Times New Roman" w:hAnsi="Times New Roman" w:cs="Times New Roman"/>
          <w:sz w:val="24"/>
          <w:szCs w:val="24"/>
        </w:rPr>
        <w:t>, </w:t>
      </w:r>
      <w:r w:rsidRPr="002C0D81">
        <w:rPr>
          <w:rFonts w:ascii="Times New Roman" w:hAnsi="Times New Roman" w:cs="Times New Roman"/>
          <w:i/>
          <w:iCs/>
          <w:sz w:val="24"/>
          <w:szCs w:val="24"/>
        </w:rPr>
        <w:t>4</w:t>
      </w:r>
      <w:r w:rsidRPr="002C0D81">
        <w:rPr>
          <w:rFonts w:ascii="Times New Roman" w:hAnsi="Times New Roman" w:cs="Times New Roman"/>
          <w:sz w:val="24"/>
          <w:szCs w:val="24"/>
        </w:rPr>
        <w:t>(1), pp.49-66.</w:t>
      </w:r>
    </w:p>
    <w:p w14:paraId="31CCCED1" w14:textId="77777777" w:rsidR="002C0D81" w:rsidRDefault="002C0D81" w:rsidP="00DC4E66">
      <w:pPr>
        <w:spacing w:line="360" w:lineRule="auto"/>
        <w:jc w:val="both"/>
        <w:rPr>
          <w:rFonts w:ascii="Times New Roman" w:hAnsi="Times New Roman" w:cs="Times New Roman"/>
          <w:sz w:val="24"/>
          <w:szCs w:val="24"/>
        </w:rPr>
      </w:pPr>
      <w:r w:rsidRPr="002C0D81">
        <w:rPr>
          <w:rFonts w:ascii="Times New Roman" w:hAnsi="Times New Roman" w:cs="Times New Roman"/>
          <w:sz w:val="24"/>
          <w:szCs w:val="24"/>
        </w:rPr>
        <w:t>Gamaliel, F.S., Nursida, N., Amalia, N., Shaddiq, S., Alhempi, R.R. and Supardin, L., 2023. The effect of company size and corporate governance mechanisms on profit management activities in Industry 4.0. In </w:t>
      </w:r>
      <w:r w:rsidRPr="002C0D81">
        <w:rPr>
          <w:rFonts w:ascii="Times New Roman" w:hAnsi="Times New Roman" w:cs="Times New Roman"/>
          <w:i/>
          <w:iCs/>
          <w:sz w:val="24"/>
          <w:szCs w:val="24"/>
        </w:rPr>
        <w:t>Intermational Quality Conference</w:t>
      </w:r>
      <w:r w:rsidRPr="002C0D81">
        <w:rPr>
          <w:rFonts w:ascii="Times New Roman" w:hAnsi="Times New Roman" w:cs="Times New Roman"/>
          <w:sz w:val="24"/>
          <w:szCs w:val="24"/>
        </w:rPr>
        <w:t>.</w:t>
      </w:r>
    </w:p>
    <w:p w14:paraId="1926F82D" w14:textId="77777777" w:rsidR="002C0D81" w:rsidRDefault="002C0D81" w:rsidP="00DC4E66">
      <w:pPr>
        <w:spacing w:line="360" w:lineRule="auto"/>
        <w:jc w:val="both"/>
        <w:rPr>
          <w:rFonts w:ascii="Times New Roman" w:hAnsi="Times New Roman" w:cs="Times New Roman"/>
          <w:sz w:val="24"/>
          <w:szCs w:val="24"/>
        </w:rPr>
      </w:pPr>
      <w:r w:rsidRPr="002C0D81">
        <w:rPr>
          <w:rFonts w:ascii="Times New Roman" w:hAnsi="Times New Roman" w:cs="Times New Roman"/>
          <w:sz w:val="24"/>
          <w:szCs w:val="24"/>
        </w:rPr>
        <w:t>Husain, T. and Sunardi, N., 2020. Firm's Value Prediction Based on Profitability Ratios and Dividend Policy. </w:t>
      </w:r>
      <w:r w:rsidRPr="002C0D81">
        <w:rPr>
          <w:rFonts w:ascii="Times New Roman" w:hAnsi="Times New Roman" w:cs="Times New Roman"/>
          <w:i/>
          <w:iCs/>
          <w:sz w:val="24"/>
          <w:szCs w:val="24"/>
        </w:rPr>
        <w:t>Finance &amp; Economics Review</w:t>
      </w:r>
      <w:r w:rsidRPr="002C0D81">
        <w:rPr>
          <w:rFonts w:ascii="Times New Roman" w:hAnsi="Times New Roman" w:cs="Times New Roman"/>
          <w:sz w:val="24"/>
          <w:szCs w:val="24"/>
        </w:rPr>
        <w:t>, </w:t>
      </w:r>
      <w:r w:rsidRPr="002C0D81">
        <w:rPr>
          <w:rFonts w:ascii="Times New Roman" w:hAnsi="Times New Roman" w:cs="Times New Roman"/>
          <w:i/>
          <w:iCs/>
          <w:sz w:val="24"/>
          <w:szCs w:val="24"/>
        </w:rPr>
        <w:t>2</w:t>
      </w:r>
      <w:r w:rsidRPr="002C0D81">
        <w:rPr>
          <w:rFonts w:ascii="Times New Roman" w:hAnsi="Times New Roman" w:cs="Times New Roman"/>
          <w:sz w:val="24"/>
          <w:szCs w:val="24"/>
        </w:rPr>
        <w:t>(2), pp.13-26.</w:t>
      </w:r>
    </w:p>
    <w:p w14:paraId="704BF32D" w14:textId="77777777" w:rsidR="00F03D72" w:rsidRDefault="00F03D72" w:rsidP="00DC4E66">
      <w:pPr>
        <w:spacing w:line="360" w:lineRule="auto"/>
        <w:jc w:val="both"/>
        <w:rPr>
          <w:rFonts w:ascii="Times New Roman" w:hAnsi="Times New Roman" w:cs="Times New Roman"/>
          <w:sz w:val="24"/>
          <w:szCs w:val="24"/>
        </w:rPr>
      </w:pPr>
    </w:p>
    <w:p w14:paraId="6696F17D" w14:textId="77777777" w:rsidR="00F03D72" w:rsidRDefault="00F03D72" w:rsidP="00DC4E66">
      <w:pPr>
        <w:spacing w:line="360" w:lineRule="auto"/>
        <w:jc w:val="both"/>
        <w:rPr>
          <w:rFonts w:ascii="Times New Roman" w:hAnsi="Times New Roman" w:cs="Times New Roman"/>
          <w:sz w:val="24"/>
          <w:szCs w:val="24"/>
        </w:rPr>
      </w:pPr>
    </w:p>
    <w:p w14:paraId="76C3A1DE" w14:textId="77777777" w:rsidR="00F03D72" w:rsidRDefault="00F03D72" w:rsidP="00DC4E66">
      <w:pPr>
        <w:spacing w:line="360" w:lineRule="auto"/>
        <w:jc w:val="both"/>
        <w:rPr>
          <w:rFonts w:ascii="Times New Roman" w:hAnsi="Times New Roman" w:cs="Times New Roman"/>
          <w:sz w:val="24"/>
          <w:szCs w:val="24"/>
        </w:rPr>
      </w:pPr>
    </w:p>
    <w:p w14:paraId="25487CD8" w14:textId="77777777" w:rsidR="00F03D72" w:rsidRDefault="00F03D72" w:rsidP="00DC4E66">
      <w:pPr>
        <w:spacing w:line="360" w:lineRule="auto"/>
        <w:jc w:val="both"/>
        <w:rPr>
          <w:rFonts w:ascii="Times New Roman" w:hAnsi="Times New Roman" w:cs="Times New Roman"/>
          <w:sz w:val="24"/>
          <w:szCs w:val="24"/>
        </w:rPr>
      </w:pPr>
    </w:p>
    <w:p w14:paraId="7B2F2031" w14:textId="77777777" w:rsidR="00F03D72" w:rsidRDefault="00F03D72" w:rsidP="00DC4E66">
      <w:pPr>
        <w:spacing w:line="360" w:lineRule="auto"/>
        <w:jc w:val="both"/>
        <w:rPr>
          <w:rFonts w:ascii="Times New Roman" w:hAnsi="Times New Roman" w:cs="Times New Roman"/>
          <w:sz w:val="24"/>
          <w:szCs w:val="24"/>
        </w:rPr>
      </w:pPr>
    </w:p>
    <w:p w14:paraId="57A880FA" w14:textId="77777777" w:rsidR="00F03D72" w:rsidRDefault="00F03D72" w:rsidP="00DC4E66">
      <w:pPr>
        <w:spacing w:line="360" w:lineRule="auto"/>
        <w:jc w:val="both"/>
        <w:rPr>
          <w:rFonts w:ascii="Times New Roman" w:hAnsi="Times New Roman" w:cs="Times New Roman"/>
          <w:sz w:val="24"/>
          <w:szCs w:val="24"/>
        </w:rPr>
      </w:pPr>
    </w:p>
    <w:p w14:paraId="2E72D10F" w14:textId="77777777" w:rsidR="00F03D72" w:rsidRDefault="00F03D72" w:rsidP="00DC4E66">
      <w:pPr>
        <w:spacing w:line="360" w:lineRule="auto"/>
        <w:jc w:val="both"/>
        <w:rPr>
          <w:rFonts w:ascii="Times New Roman" w:hAnsi="Times New Roman" w:cs="Times New Roman"/>
          <w:sz w:val="24"/>
          <w:szCs w:val="24"/>
        </w:rPr>
      </w:pPr>
    </w:p>
    <w:p w14:paraId="56C8ED0E" w14:textId="77777777" w:rsidR="00F03D72" w:rsidRDefault="00F03D72" w:rsidP="00DC4E66">
      <w:pPr>
        <w:spacing w:line="360" w:lineRule="auto"/>
        <w:jc w:val="both"/>
        <w:rPr>
          <w:rFonts w:ascii="Times New Roman" w:hAnsi="Times New Roman" w:cs="Times New Roman"/>
          <w:sz w:val="24"/>
          <w:szCs w:val="24"/>
        </w:rPr>
      </w:pPr>
    </w:p>
    <w:p w14:paraId="792DA7C3" w14:textId="77777777" w:rsidR="00F03D72" w:rsidRDefault="00F03D72" w:rsidP="00DC4E66">
      <w:pPr>
        <w:spacing w:line="360" w:lineRule="auto"/>
        <w:jc w:val="both"/>
        <w:rPr>
          <w:rFonts w:ascii="Times New Roman" w:hAnsi="Times New Roman" w:cs="Times New Roman"/>
          <w:sz w:val="24"/>
          <w:szCs w:val="24"/>
        </w:rPr>
      </w:pPr>
    </w:p>
    <w:p w14:paraId="2DBF659C" w14:textId="77777777" w:rsidR="00F03D72" w:rsidRDefault="00F03D72" w:rsidP="00DC4E66">
      <w:pPr>
        <w:spacing w:line="360" w:lineRule="auto"/>
        <w:jc w:val="both"/>
        <w:rPr>
          <w:rFonts w:ascii="Times New Roman" w:hAnsi="Times New Roman" w:cs="Times New Roman"/>
          <w:sz w:val="24"/>
          <w:szCs w:val="24"/>
        </w:rPr>
      </w:pPr>
    </w:p>
    <w:p w14:paraId="69C00926" w14:textId="77777777" w:rsidR="00F03D72" w:rsidRDefault="00F03D72" w:rsidP="00DC4E66">
      <w:pPr>
        <w:spacing w:line="360" w:lineRule="auto"/>
        <w:jc w:val="both"/>
        <w:rPr>
          <w:rFonts w:ascii="Times New Roman" w:hAnsi="Times New Roman" w:cs="Times New Roman"/>
          <w:sz w:val="24"/>
          <w:szCs w:val="24"/>
        </w:rPr>
      </w:pPr>
    </w:p>
    <w:p w14:paraId="3CB2B945" w14:textId="77777777" w:rsidR="00F03D72" w:rsidRDefault="00F03D72" w:rsidP="00DC4E66">
      <w:pPr>
        <w:spacing w:line="360" w:lineRule="auto"/>
        <w:jc w:val="both"/>
        <w:rPr>
          <w:rFonts w:ascii="Times New Roman" w:hAnsi="Times New Roman" w:cs="Times New Roman"/>
          <w:sz w:val="24"/>
          <w:szCs w:val="24"/>
        </w:rPr>
      </w:pPr>
    </w:p>
    <w:p w14:paraId="070B9E6F" w14:textId="77777777" w:rsidR="002C0D81" w:rsidRDefault="002C0D81" w:rsidP="00DC4E66">
      <w:pPr>
        <w:spacing w:line="360" w:lineRule="auto"/>
        <w:jc w:val="both"/>
        <w:rPr>
          <w:rFonts w:ascii="Times New Roman" w:hAnsi="Times New Roman" w:cs="Times New Roman"/>
          <w:sz w:val="24"/>
          <w:szCs w:val="24"/>
        </w:rPr>
      </w:pPr>
    </w:p>
    <w:p w14:paraId="63C9B1C2" w14:textId="77777777" w:rsidR="00F7272D" w:rsidRPr="00F03D72" w:rsidRDefault="00F7272D" w:rsidP="00F7272D">
      <w:pPr>
        <w:pStyle w:val="Heading1"/>
        <w:rPr>
          <w:rFonts w:ascii="Times New Roman" w:hAnsi="Times New Roman" w:cs="Times New Roman"/>
        </w:rPr>
      </w:pPr>
      <w:bookmarkStart w:id="45" w:name="_Toc175068530"/>
      <w:r w:rsidRPr="00F03D72">
        <w:rPr>
          <w:rFonts w:ascii="Times New Roman" w:hAnsi="Times New Roman" w:cs="Times New Roman"/>
        </w:rPr>
        <w:lastRenderedPageBreak/>
        <w:t>Appendix</w:t>
      </w:r>
      <w:bookmarkEnd w:id="45"/>
      <w:r w:rsidRPr="00F03D72">
        <w:rPr>
          <w:rFonts w:ascii="Times New Roman" w:hAnsi="Times New Roman" w:cs="Times New Roman"/>
        </w:rPr>
        <w:t xml:space="preserve"> </w:t>
      </w:r>
    </w:p>
    <w:p w14:paraId="4BB54A79" w14:textId="77777777" w:rsidR="00F7272D" w:rsidRDefault="00F7272D" w:rsidP="00DC4E66">
      <w:pPr>
        <w:spacing w:line="360" w:lineRule="auto"/>
        <w:jc w:val="both"/>
        <w:rPr>
          <w:rFonts w:ascii="Times New Roman" w:hAnsi="Times New Roman" w:cs="Times New Roman"/>
          <w:sz w:val="24"/>
          <w:szCs w:val="24"/>
        </w:rPr>
      </w:pPr>
    </w:p>
    <w:p w14:paraId="04F6EC7C" w14:textId="77777777" w:rsidR="00F7272D" w:rsidRDefault="00F7272D" w:rsidP="00DC4E66">
      <w:pPr>
        <w:spacing w:line="360" w:lineRule="auto"/>
        <w:jc w:val="both"/>
        <w:rPr>
          <w:rFonts w:ascii="Times New Roman" w:hAnsi="Times New Roman" w:cs="Times New Roman"/>
          <w:sz w:val="24"/>
          <w:szCs w:val="24"/>
        </w:rPr>
      </w:pPr>
      <w:r>
        <w:rPr>
          <w:rFonts w:ascii="Times New Roman" w:hAnsi="Times New Roman" w:cs="Times New Roman"/>
          <w:sz w:val="24"/>
          <w:szCs w:val="24"/>
        </w:rPr>
        <w:t>GPM</w:t>
      </w:r>
    </w:p>
    <w:p w14:paraId="0FDB1370" w14:textId="77777777" w:rsidR="00F7272D" w:rsidRDefault="00F7272D" w:rsidP="00F7272D">
      <w:pPr>
        <w:spacing w:line="360" w:lineRule="auto"/>
        <w:jc w:val="center"/>
        <w:rPr>
          <w:rFonts w:ascii="Times New Roman" w:hAnsi="Times New Roman" w:cs="Times New Roman"/>
          <w:sz w:val="24"/>
          <w:szCs w:val="24"/>
        </w:rPr>
      </w:pPr>
      <w:r>
        <w:rPr>
          <w:noProof/>
        </w:rPr>
        <w:drawing>
          <wp:inline distT="0" distB="0" distL="0" distR="0" wp14:anchorId="597863A8" wp14:editId="7A93F7CC">
            <wp:extent cx="3105150" cy="21145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3105150" cy="2114550"/>
                    </a:xfrm>
                    <a:prstGeom prst="rect">
                      <a:avLst/>
                    </a:prstGeom>
                  </pic:spPr>
                </pic:pic>
              </a:graphicData>
            </a:graphic>
          </wp:inline>
        </w:drawing>
      </w:r>
    </w:p>
    <w:p w14:paraId="433603B4" w14:textId="77777777" w:rsidR="00F03D72" w:rsidRDefault="00F03D72" w:rsidP="00F7272D">
      <w:pPr>
        <w:spacing w:line="360" w:lineRule="auto"/>
        <w:jc w:val="center"/>
        <w:rPr>
          <w:rFonts w:ascii="Times New Roman" w:hAnsi="Times New Roman" w:cs="Times New Roman"/>
          <w:sz w:val="24"/>
          <w:szCs w:val="24"/>
        </w:rPr>
      </w:pPr>
    </w:p>
    <w:p w14:paraId="42932138" w14:textId="77777777" w:rsidR="00F03D72" w:rsidRDefault="00F03D72" w:rsidP="00F7272D">
      <w:pPr>
        <w:spacing w:line="360" w:lineRule="auto"/>
        <w:jc w:val="center"/>
        <w:rPr>
          <w:rFonts w:ascii="Times New Roman" w:hAnsi="Times New Roman" w:cs="Times New Roman"/>
          <w:sz w:val="24"/>
          <w:szCs w:val="24"/>
        </w:rPr>
      </w:pPr>
    </w:p>
    <w:p w14:paraId="6285609D" w14:textId="77777777" w:rsidR="00F7272D" w:rsidRDefault="00F7272D" w:rsidP="00F7272D">
      <w:pPr>
        <w:spacing w:line="360" w:lineRule="auto"/>
        <w:jc w:val="center"/>
        <w:rPr>
          <w:rFonts w:ascii="Times New Roman" w:hAnsi="Times New Roman" w:cs="Times New Roman"/>
          <w:sz w:val="24"/>
          <w:szCs w:val="24"/>
        </w:rPr>
      </w:pPr>
      <w:r>
        <w:rPr>
          <w:rFonts w:ascii="Times New Roman" w:hAnsi="Times New Roman" w:cs="Times New Roman"/>
          <w:sz w:val="24"/>
          <w:szCs w:val="24"/>
        </w:rPr>
        <w:t>NPM</w:t>
      </w:r>
    </w:p>
    <w:p w14:paraId="31D85854" w14:textId="77777777" w:rsidR="00F7272D" w:rsidRDefault="00F7272D" w:rsidP="00F7272D">
      <w:pPr>
        <w:spacing w:line="360" w:lineRule="auto"/>
        <w:jc w:val="center"/>
        <w:rPr>
          <w:rFonts w:ascii="Times New Roman" w:hAnsi="Times New Roman" w:cs="Times New Roman"/>
          <w:sz w:val="24"/>
          <w:szCs w:val="24"/>
        </w:rPr>
      </w:pPr>
      <w:r>
        <w:rPr>
          <w:noProof/>
        </w:rPr>
        <w:drawing>
          <wp:inline distT="0" distB="0" distL="0" distR="0" wp14:anchorId="19965029" wp14:editId="368E02E5">
            <wp:extent cx="2562225" cy="221932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2562225" cy="2219325"/>
                    </a:xfrm>
                    <a:prstGeom prst="rect">
                      <a:avLst/>
                    </a:prstGeom>
                  </pic:spPr>
                </pic:pic>
              </a:graphicData>
            </a:graphic>
          </wp:inline>
        </w:drawing>
      </w:r>
    </w:p>
    <w:p w14:paraId="1EEF5415" w14:textId="77777777" w:rsidR="00F03D72" w:rsidRDefault="00F03D72" w:rsidP="00F7272D">
      <w:pPr>
        <w:spacing w:line="360" w:lineRule="auto"/>
        <w:jc w:val="center"/>
        <w:rPr>
          <w:rFonts w:ascii="Times New Roman" w:hAnsi="Times New Roman" w:cs="Times New Roman"/>
          <w:sz w:val="24"/>
          <w:szCs w:val="24"/>
        </w:rPr>
      </w:pPr>
    </w:p>
    <w:p w14:paraId="72DB709F" w14:textId="77777777" w:rsidR="00F03D72" w:rsidRDefault="00F03D72" w:rsidP="00F7272D">
      <w:pPr>
        <w:spacing w:line="360" w:lineRule="auto"/>
        <w:jc w:val="center"/>
        <w:rPr>
          <w:rFonts w:ascii="Times New Roman" w:hAnsi="Times New Roman" w:cs="Times New Roman"/>
          <w:sz w:val="24"/>
          <w:szCs w:val="24"/>
        </w:rPr>
      </w:pPr>
    </w:p>
    <w:p w14:paraId="2DEB178C" w14:textId="77777777" w:rsidR="00F03D72" w:rsidRDefault="00F03D72" w:rsidP="00F7272D">
      <w:pPr>
        <w:spacing w:line="360" w:lineRule="auto"/>
        <w:jc w:val="center"/>
        <w:rPr>
          <w:rFonts w:ascii="Times New Roman" w:hAnsi="Times New Roman" w:cs="Times New Roman"/>
          <w:sz w:val="24"/>
          <w:szCs w:val="24"/>
        </w:rPr>
      </w:pPr>
    </w:p>
    <w:p w14:paraId="3F7FF9F9" w14:textId="77777777" w:rsidR="00F03D72" w:rsidRDefault="00F03D72" w:rsidP="00F7272D">
      <w:pPr>
        <w:spacing w:line="360" w:lineRule="auto"/>
        <w:jc w:val="center"/>
        <w:rPr>
          <w:rFonts w:ascii="Times New Roman" w:hAnsi="Times New Roman" w:cs="Times New Roman"/>
          <w:sz w:val="24"/>
          <w:szCs w:val="24"/>
        </w:rPr>
      </w:pPr>
    </w:p>
    <w:p w14:paraId="53C15A91" w14:textId="2EF31BD8" w:rsidR="00F7272D" w:rsidRDefault="00F7272D" w:rsidP="00F7272D">
      <w:pPr>
        <w:spacing w:line="360" w:lineRule="auto"/>
        <w:jc w:val="center"/>
        <w:rPr>
          <w:rFonts w:ascii="Times New Roman" w:hAnsi="Times New Roman" w:cs="Times New Roman"/>
          <w:sz w:val="24"/>
          <w:szCs w:val="24"/>
        </w:rPr>
      </w:pPr>
      <w:r>
        <w:rPr>
          <w:rFonts w:ascii="Times New Roman" w:hAnsi="Times New Roman" w:cs="Times New Roman"/>
          <w:sz w:val="24"/>
          <w:szCs w:val="24"/>
        </w:rPr>
        <w:lastRenderedPageBreak/>
        <w:t>CR</w:t>
      </w:r>
    </w:p>
    <w:p w14:paraId="3BBC5487" w14:textId="77777777" w:rsidR="00F7272D" w:rsidRDefault="00F7272D" w:rsidP="00F7272D">
      <w:pPr>
        <w:spacing w:line="360" w:lineRule="auto"/>
        <w:jc w:val="center"/>
        <w:rPr>
          <w:rFonts w:ascii="Times New Roman" w:hAnsi="Times New Roman" w:cs="Times New Roman"/>
          <w:sz w:val="24"/>
          <w:szCs w:val="24"/>
        </w:rPr>
      </w:pPr>
      <w:r>
        <w:rPr>
          <w:noProof/>
        </w:rPr>
        <w:drawing>
          <wp:inline distT="0" distB="0" distL="0" distR="0" wp14:anchorId="0111E868" wp14:editId="270D8FC3">
            <wp:extent cx="3067050" cy="22479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3067050" cy="2247900"/>
                    </a:xfrm>
                    <a:prstGeom prst="rect">
                      <a:avLst/>
                    </a:prstGeom>
                  </pic:spPr>
                </pic:pic>
              </a:graphicData>
            </a:graphic>
          </wp:inline>
        </w:drawing>
      </w:r>
    </w:p>
    <w:p w14:paraId="43038F71" w14:textId="77777777" w:rsidR="00F7272D" w:rsidRDefault="00F7272D" w:rsidP="00F7272D">
      <w:pPr>
        <w:spacing w:line="360" w:lineRule="auto"/>
        <w:jc w:val="center"/>
        <w:rPr>
          <w:rFonts w:ascii="Times New Roman" w:hAnsi="Times New Roman" w:cs="Times New Roman"/>
          <w:sz w:val="24"/>
          <w:szCs w:val="24"/>
        </w:rPr>
      </w:pPr>
      <w:r>
        <w:rPr>
          <w:rFonts w:ascii="Times New Roman" w:hAnsi="Times New Roman" w:cs="Times New Roman"/>
          <w:sz w:val="24"/>
          <w:szCs w:val="24"/>
        </w:rPr>
        <w:t>Quick Ratio</w:t>
      </w:r>
    </w:p>
    <w:p w14:paraId="7AA2B811" w14:textId="77777777" w:rsidR="00F7272D" w:rsidRDefault="00F7272D" w:rsidP="00F7272D">
      <w:pPr>
        <w:spacing w:line="360" w:lineRule="auto"/>
        <w:jc w:val="center"/>
        <w:rPr>
          <w:rFonts w:ascii="Times New Roman" w:hAnsi="Times New Roman" w:cs="Times New Roman"/>
          <w:sz w:val="24"/>
          <w:szCs w:val="24"/>
        </w:rPr>
      </w:pPr>
      <w:r>
        <w:rPr>
          <w:noProof/>
        </w:rPr>
        <w:drawing>
          <wp:inline distT="0" distB="0" distL="0" distR="0" wp14:anchorId="4E50E53C" wp14:editId="10771963">
            <wp:extent cx="3286125" cy="2257425"/>
            <wp:effectExtent l="0" t="0" r="9525"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3286125" cy="2257425"/>
                    </a:xfrm>
                    <a:prstGeom prst="rect">
                      <a:avLst/>
                    </a:prstGeom>
                  </pic:spPr>
                </pic:pic>
              </a:graphicData>
            </a:graphic>
          </wp:inline>
        </w:drawing>
      </w:r>
    </w:p>
    <w:p w14:paraId="4F7C5218" w14:textId="77777777" w:rsidR="00F7272D" w:rsidRDefault="00F7272D" w:rsidP="00F7272D">
      <w:pPr>
        <w:spacing w:line="360" w:lineRule="auto"/>
        <w:jc w:val="center"/>
        <w:rPr>
          <w:rFonts w:ascii="Times New Roman" w:hAnsi="Times New Roman" w:cs="Times New Roman"/>
          <w:sz w:val="24"/>
          <w:szCs w:val="24"/>
        </w:rPr>
      </w:pPr>
      <w:r>
        <w:rPr>
          <w:rFonts w:ascii="Times New Roman" w:hAnsi="Times New Roman" w:cs="Times New Roman"/>
          <w:sz w:val="24"/>
          <w:szCs w:val="24"/>
        </w:rPr>
        <w:t>DTE ratio</w:t>
      </w:r>
    </w:p>
    <w:p w14:paraId="6F664E8A" w14:textId="77777777" w:rsidR="00F7272D" w:rsidRDefault="00F7272D" w:rsidP="00F7272D">
      <w:pPr>
        <w:spacing w:line="360" w:lineRule="auto"/>
        <w:jc w:val="center"/>
        <w:rPr>
          <w:rFonts w:ascii="Times New Roman" w:hAnsi="Times New Roman" w:cs="Times New Roman"/>
          <w:sz w:val="24"/>
          <w:szCs w:val="24"/>
        </w:rPr>
      </w:pPr>
      <w:r>
        <w:rPr>
          <w:noProof/>
        </w:rPr>
        <w:drawing>
          <wp:inline distT="0" distB="0" distL="0" distR="0" wp14:anchorId="44159A05" wp14:editId="0BC28E5B">
            <wp:extent cx="2590800" cy="2085975"/>
            <wp:effectExtent l="0" t="0" r="0" b="952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2590800" cy="2085975"/>
                    </a:xfrm>
                    <a:prstGeom prst="rect">
                      <a:avLst/>
                    </a:prstGeom>
                  </pic:spPr>
                </pic:pic>
              </a:graphicData>
            </a:graphic>
          </wp:inline>
        </w:drawing>
      </w:r>
    </w:p>
    <w:p w14:paraId="42DFEC95" w14:textId="77777777" w:rsidR="00F7272D" w:rsidRDefault="00F7272D" w:rsidP="00F7272D">
      <w:pPr>
        <w:spacing w:line="360" w:lineRule="auto"/>
        <w:jc w:val="center"/>
        <w:rPr>
          <w:rFonts w:ascii="Times New Roman" w:hAnsi="Times New Roman" w:cs="Times New Roman"/>
          <w:sz w:val="24"/>
          <w:szCs w:val="24"/>
        </w:rPr>
      </w:pPr>
      <w:r>
        <w:rPr>
          <w:rFonts w:ascii="Times New Roman" w:hAnsi="Times New Roman" w:cs="Times New Roman"/>
          <w:sz w:val="24"/>
          <w:szCs w:val="24"/>
        </w:rPr>
        <w:lastRenderedPageBreak/>
        <w:t>ITR</w:t>
      </w:r>
    </w:p>
    <w:p w14:paraId="2383F210" w14:textId="77777777" w:rsidR="00F7272D" w:rsidRDefault="00F7272D" w:rsidP="00F7272D">
      <w:pPr>
        <w:spacing w:line="360" w:lineRule="auto"/>
        <w:jc w:val="center"/>
        <w:rPr>
          <w:rFonts w:ascii="Times New Roman" w:hAnsi="Times New Roman" w:cs="Times New Roman"/>
          <w:sz w:val="24"/>
          <w:szCs w:val="24"/>
        </w:rPr>
      </w:pPr>
      <w:r>
        <w:rPr>
          <w:noProof/>
        </w:rPr>
        <w:drawing>
          <wp:inline distT="0" distB="0" distL="0" distR="0" wp14:anchorId="41DBF90C" wp14:editId="2EEE1FD8">
            <wp:extent cx="2609850" cy="2190750"/>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2609850" cy="2190750"/>
                    </a:xfrm>
                    <a:prstGeom prst="rect">
                      <a:avLst/>
                    </a:prstGeom>
                  </pic:spPr>
                </pic:pic>
              </a:graphicData>
            </a:graphic>
          </wp:inline>
        </w:drawing>
      </w:r>
    </w:p>
    <w:p w14:paraId="64D2D30D" w14:textId="77777777" w:rsidR="00FA03F3" w:rsidRDefault="00FA03F3" w:rsidP="00C74E77">
      <w:pPr>
        <w:spacing w:line="360" w:lineRule="auto"/>
        <w:rPr>
          <w:rFonts w:ascii="Times New Roman" w:hAnsi="Times New Roman" w:cs="Times New Roman"/>
          <w:sz w:val="24"/>
          <w:szCs w:val="24"/>
        </w:rPr>
      </w:pPr>
    </w:p>
    <w:p w14:paraId="5FD6B8F0" w14:textId="77777777" w:rsidR="00FA03F3" w:rsidRDefault="00FA03F3" w:rsidP="00F7272D">
      <w:pPr>
        <w:spacing w:line="360" w:lineRule="auto"/>
        <w:jc w:val="center"/>
        <w:rPr>
          <w:rFonts w:ascii="Times New Roman" w:hAnsi="Times New Roman" w:cs="Times New Roman"/>
          <w:sz w:val="24"/>
          <w:szCs w:val="24"/>
        </w:rPr>
      </w:pPr>
    </w:p>
    <w:p w14:paraId="4A2F8CD7" w14:textId="77777777" w:rsidR="00FA03F3" w:rsidRDefault="00FA03F3" w:rsidP="00F7272D">
      <w:pPr>
        <w:spacing w:line="360" w:lineRule="auto"/>
        <w:jc w:val="center"/>
        <w:rPr>
          <w:rFonts w:ascii="Times New Roman" w:hAnsi="Times New Roman" w:cs="Times New Roman"/>
          <w:sz w:val="24"/>
          <w:szCs w:val="24"/>
        </w:rPr>
      </w:pPr>
    </w:p>
    <w:p w14:paraId="11255A97" w14:textId="77777777" w:rsidR="00F03D72" w:rsidRDefault="00F03D72" w:rsidP="00F7272D">
      <w:pPr>
        <w:spacing w:line="360" w:lineRule="auto"/>
        <w:jc w:val="center"/>
        <w:rPr>
          <w:rFonts w:ascii="Times New Roman" w:hAnsi="Times New Roman" w:cs="Times New Roman"/>
          <w:sz w:val="24"/>
          <w:szCs w:val="24"/>
        </w:rPr>
      </w:pPr>
    </w:p>
    <w:p w14:paraId="09E004CA" w14:textId="385D368B" w:rsidR="00F7272D" w:rsidRDefault="00F03D72" w:rsidP="00F03D72">
      <w:pPr>
        <w:jc w:val="center"/>
        <w:rPr>
          <w:rFonts w:ascii="Times New Roman" w:hAnsi="Times New Roman" w:cs="Times New Roman"/>
          <w:sz w:val="24"/>
          <w:szCs w:val="24"/>
        </w:rPr>
      </w:pPr>
      <w:r>
        <w:rPr>
          <w:noProof/>
        </w:rPr>
        <w:drawing>
          <wp:inline distT="0" distB="0" distL="0" distR="0" wp14:anchorId="6B02527A" wp14:editId="2AB1C5D2">
            <wp:extent cx="2990850" cy="2524125"/>
            <wp:effectExtent l="0" t="0" r="0" b="952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2990850" cy="2524125"/>
                    </a:xfrm>
                    <a:prstGeom prst="rect">
                      <a:avLst/>
                    </a:prstGeom>
                  </pic:spPr>
                </pic:pic>
              </a:graphicData>
            </a:graphic>
          </wp:inline>
        </w:drawing>
      </w:r>
      <w:r w:rsidR="00F7272D">
        <w:rPr>
          <w:rFonts w:ascii="Times New Roman" w:hAnsi="Times New Roman" w:cs="Times New Roman"/>
          <w:sz w:val="24"/>
          <w:szCs w:val="24"/>
        </w:rPr>
        <w:br w:type="page"/>
      </w:r>
    </w:p>
    <w:p w14:paraId="72246357" w14:textId="1D7A80BA" w:rsidR="00F7272D" w:rsidRDefault="00F7272D" w:rsidP="00F7272D">
      <w:pPr>
        <w:spacing w:line="360" w:lineRule="auto"/>
        <w:jc w:val="center"/>
        <w:rPr>
          <w:rFonts w:ascii="Times New Roman" w:hAnsi="Times New Roman" w:cs="Times New Roman"/>
          <w:sz w:val="24"/>
          <w:szCs w:val="24"/>
        </w:rPr>
      </w:pPr>
      <w:r>
        <w:rPr>
          <w:noProof/>
        </w:rPr>
        <w:lastRenderedPageBreak/>
        <w:drawing>
          <wp:inline distT="0" distB="0" distL="0" distR="0" wp14:anchorId="6198082B" wp14:editId="1F42B8AF">
            <wp:extent cx="5762625" cy="2495550"/>
            <wp:effectExtent l="0" t="0" r="9525"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62625" cy="2495550"/>
                    </a:xfrm>
                    <a:prstGeom prst="rect">
                      <a:avLst/>
                    </a:prstGeom>
                  </pic:spPr>
                </pic:pic>
              </a:graphicData>
            </a:graphic>
          </wp:inline>
        </w:drawing>
      </w:r>
    </w:p>
    <w:p w14:paraId="7903F604" w14:textId="4B703591" w:rsidR="00F7272D" w:rsidRPr="00CF72FA" w:rsidRDefault="00F7272D" w:rsidP="00F7272D">
      <w:pPr>
        <w:spacing w:line="360" w:lineRule="auto"/>
        <w:jc w:val="center"/>
        <w:rPr>
          <w:rFonts w:ascii="Times New Roman" w:hAnsi="Times New Roman" w:cs="Times New Roman"/>
          <w:sz w:val="24"/>
          <w:szCs w:val="24"/>
        </w:rPr>
      </w:pPr>
      <w:r>
        <w:rPr>
          <w:noProof/>
        </w:rPr>
        <w:drawing>
          <wp:inline distT="0" distB="0" distL="0" distR="0" wp14:anchorId="265AB297" wp14:editId="5DB3DBAD">
            <wp:extent cx="2095500" cy="2552700"/>
            <wp:effectExtent l="0" t="0" r="508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2095500" cy="2552700"/>
                    </a:xfrm>
                    <a:prstGeom prst="rect">
                      <a:avLst/>
                    </a:prstGeom>
                  </pic:spPr>
                </pic:pic>
              </a:graphicData>
            </a:graphic>
          </wp:inline>
        </w:drawing>
      </w:r>
    </w:p>
    <w:sectPr w:rsidR="00F7272D" w:rsidRPr="00CF72FA">
      <w:footerReference w:type="default" r:id="rId3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A4D226D" w14:textId="77777777" w:rsidR="00A35DB8" w:rsidRDefault="00A35DB8" w:rsidP="000852AB">
      <w:pPr>
        <w:spacing w:after="0" w:line="240" w:lineRule="auto"/>
      </w:pPr>
      <w:r>
        <w:separator/>
      </w:r>
    </w:p>
  </w:endnote>
  <w:endnote w:type="continuationSeparator" w:id="0">
    <w:p w14:paraId="01E24DC6" w14:textId="77777777" w:rsidR="00A35DB8" w:rsidRDefault="00A35DB8" w:rsidP="000852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24033324"/>
      <w:docPartObj>
        <w:docPartGallery w:val="Page Numbers (Bottom of Page)"/>
        <w:docPartUnique/>
      </w:docPartObj>
    </w:sdtPr>
    <w:sdtEndPr>
      <w:rPr>
        <w:color w:val="7F7F7F" w:themeColor="background1" w:themeShade="7F"/>
        <w:spacing w:val="60"/>
      </w:rPr>
    </w:sdtEndPr>
    <w:sdtContent>
      <w:p w14:paraId="643C2A5F" w14:textId="180DCCCC" w:rsidR="000852AB" w:rsidRDefault="000852AB">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23C7DCE" w14:textId="77777777" w:rsidR="000852AB" w:rsidRDefault="000852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D923194" w14:textId="77777777" w:rsidR="00A35DB8" w:rsidRDefault="00A35DB8" w:rsidP="000852AB">
      <w:pPr>
        <w:spacing w:after="0" w:line="240" w:lineRule="auto"/>
      </w:pPr>
      <w:r>
        <w:separator/>
      </w:r>
    </w:p>
  </w:footnote>
  <w:footnote w:type="continuationSeparator" w:id="0">
    <w:p w14:paraId="6CA109B7" w14:textId="77777777" w:rsidR="00A35DB8" w:rsidRDefault="00A35DB8" w:rsidP="000852A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FB7F34"/>
    <w:multiLevelType w:val="multilevel"/>
    <w:tmpl w:val="61E64B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5F94B87"/>
    <w:multiLevelType w:val="multilevel"/>
    <w:tmpl w:val="8318B5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EF29D6"/>
    <w:multiLevelType w:val="multilevel"/>
    <w:tmpl w:val="4C9A17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05C530C"/>
    <w:multiLevelType w:val="multilevel"/>
    <w:tmpl w:val="5DC604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B9E219E"/>
    <w:multiLevelType w:val="multilevel"/>
    <w:tmpl w:val="A15E26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2793F90"/>
    <w:multiLevelType w:val="multilevel"/>
    <w:tmpl w:val="713A3F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53771B8"/>
    <w:multiLevelType w:val="multilevel"/>
    <w:tmpl w:val="E780DB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7036067"/>
    <w:multiLevelType w:val="hybridMultilevel"/>
    <w:tmpl w:val="4B9040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DED0F4E"/>
    <w:multiLevelType w:val="hybridMultilevel"/>
    <w:tmpl w:val="A0323D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E104BD9"/>
    <w:multiLevelType w:val="multilevel"/>
    <w:tmpl w:val="319C7D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8D16CA9"/>
    <w:multiLevelType w:val="multilevel"/>
    <w:tmpl w:val="A2B6B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D577666"/>
    <w:multiLevelType w:val="multilevel"/>
    <w:tmpl w:val="041AAA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1E702DE"/>
    <w:multiLevelType w:val="multilevel"/>
    <w:tmpl w:val="615ED2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EE15DA7"/>
    <w:multiLevelType w:val="hybridMultilevel"/>
    <w:tmpl w:val="451802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53C26EDD"/>
    <w:multiLevelType w:val="multilevel"/>
    <w:tmpl w:val="E91C871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7010C3C"/>
    <w:multiLevelType w:val="multilevel"/>
    <w:tmpl w:val="FCBC48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E483AD7"/>
    <w:multiLevelType w:val="multilevel"/>
    <w:tmpl w:val="05B656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4902EF2"/>
    <w:multiLevelType w:val="multilevel"/>
    <w:tmpl w:val="64AA293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9BE5BBC"/>
    <w:multiLevelType w:val="hybridMultilevel"/>
    <w:tmpl w:val="E44272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6FBB166E"/>
    <w:multiLevelType w:val="multilevel"/>
    <w:tmpl w:val="46C2F1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7088530C"/>
    <w:multiLevelType w:val="multilevel"/>
    <w:tmpl w:val="97727C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0D27890"/>
    <w:multiLevelType w:val="multilevel"/>
    <w:tmpl w:val="11DEE91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78E7122C"/>
    <w:multiLevelType w:val="multilevel"/>
    <w:tmpl w:val="86284E3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7AF728A9"/>
    <w:multiLevelType w:val="multilevel"/>
    <w:tmpl w:val="49EA24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45586838">
    <w:abstractNumId w:val="13"/>
  </w:num>
  <w:num w:numId="2" w16cid:durableId="668944399">
    <w:abstractNumId w:val="7"/>
  </w:num>
  <w:num w:numId="3" w16cid:durableId="926689862">
    <w:abstractNumId w:val="8"/>
  </w:num>
  <w:num w:numId="4" w16cid:durableId="412241018">
    <w:abstractNumId w:val="18"/>
  </w:num>
  <w:num w:numId="5" w16cid:durableId="412824673">
    <w:abstractNumId w:val="23"/>
  </w:num>
  <w:num w:numId="6" w16cid:durableId="283735702">
    <w:abstractNumId w:val="19"/>
  </w:num>
  <w:num w:numId="7" w16cid:durableId="2104569606">
    <w:abstractNumId w:val="17"/>
  </w:num>
  <w:num w:numId="8" w16cid:durableId="892935358">
    <w:abstractNumId w:val="22"/>
  </w:num>
  <w:num w:numId="9" w16cid:durableId="811017864">
    <w:abstractNumId w:val="15"/>
  </w:num>
  <w:num w:numId="10" w16cid:durableId="1745299643">
    <w:abstractNumId w:val="21"/>
  </w:num>
  <w:num w:numId="11" w16cid:durableId="183985678">
    <w:abstractNumId w:val="14"/>
  </w:num>
  <w:num w:numId="12" w16cid:durableId="1199126572">
    <w:abstractNumId w:val="20"/>
  </w:num>
  <w:num w:numId="13" w16cid:durableId="489367781">
    <w:abstractNumId w:val="0"/>
  </w:num>
  <w:num w:numId="14" w16cid:durableId="2088649196">
    <w:abstractNumId w:val="10"/>
  </w:num>
  <w:num w:numId="15" w16cid:durableId="181940103">
    <w:abstractNumId w:val="3"/>
  </w:num>
  <w:num w:numId="16" w16cid:durableId="962274326">
    <w:abstractNumId w:val="12"/>
  </w:num>
  <w:num w:numId="17" w16cid:durableId="441416546">
    <w:abstractNumId w:val="16"/>
  </w:num>
  <w:num w:numId="18" w16cid:durableId="1520387118">
    <w:abstractNumId w:val="11"/>
  </w:num>
  <w:num w:numId="19" w16cid:durableId="1957252405">
    <w:abstractNumId w:val="6"/>
  </w:num>
  <w:num w:numId="20" w16cid:durableId="990908089">
    <w:abstractNumId w:val="5"/>
  </w:num>
  <w:num w:numId="21" w16cid:durableId="1760564415">
    <w:abstractNumId w:val="4"/>
  </w:num>
  <w:num w:numId="22" w16cid:durableId="2070153215">
    <w:abstractNumId w:val="9"/>
  </w:num>
  <w:num w:numId="23" w16cid:durableId="1096708883">
    <w:abstractNumId w:val="1"/>
  </w:num>
  <w:num w:numId="24" w16cid:durableId="130214968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4E66"/>
    <w:rsid w:val="000852AB"/>
    <w:rsid w:val="0009793D"/>
    <w:rsid w:val="000E1916"/>
    <w:rsid w:val="000E198C"/>
    <w:rsid w:val="0015413A"/>
    <w:rsid w:val="00296A72"/>
    <w:rsid w:val="002C0D81"/>
    <w:rsid w:val="00311484"/>
    <w:rsid w:val="00346AF3"/>
    <w:rsid w:val="00392F7A"/>
    <w:rsid w:val="00395B0B"/>
    <w:rsid w:val="00401662"/>
    <w:rsid w:val="00434B08"/>
    <w:rsid w:val="004E16F2"/>
    <w:rsid w:val="00561B1E"/>
    <w:rsid w:val="005B76F6"/>
    <w:rsid w:val="006432EC"/>
    <w:rsid w:val="006777CD"/>
    <w:rsid w:val="00687E32"/>
    <w:rsid w:val="007462F6"/>
    <w:rsid w:val="007535CD"/>
    <w:rsid w:val="00773D3F"/>
    <w:rsid w:val="00777BE5"/>
    <w:rsid w:val="00793BB4"/>
    <w:rsid w:val="007A2028"/>
    <w:rsid w:val="007C1DB9"/>
    <w:rsid w:val="007F243E"/>
    <w:rsid w:val="0080625C"/>
    <w:rsid w:val="00831BF0"/>
    <w:rsid w:val="008378EA"/>
    <w:rsid w:val="008511F0"/>
    <w:rsid w:val="0089573D"/>
    <w:rsid w:val="009059AE"/>
    <w:rsid w:val="00995002"/>
    <w:rsid w:val="009C3E34"/>
    <w:rsid w:val="009F657C"/>
    <w:rsid w:val="00A24FBC"/>
    <w:rsid w:val="00A35DB8"/>
    <w:rsid w:val="00A52647"/>
    <w:rsid w:val="00A67FFD"/>
    <w:rsid w:val="00A94801"/>
    <w:rsid w:val="00AD2B17"/>
    <w:rsid w:val="00B1684A"/>
    <w:rsid w:val="00BA15FF"/>
    <w:rsid w:val="00BC5084"/>
    <w:rsid w:val="00BE54BF"/>
    <w:rsid w:val="00C35F26"/>
    <w:rsid w:val="00C74E77"/>
    <w:rsid w:val="00CF72FA"/>
    <w:rsid w:val="00D0471A"/>
    <w:rsid w:val="00DC4E66"/>
    <w:rsid w:val="00DD5B81"/>
    <w:rsid w:val="00E31CDD"/>
    <w:rsid w:val="00E40D3A"/>
    <w:rsid w:val="00ED54D9"/>
    <w:rsid w:val="00EF6DD2"/>
    <w:rsid w:val="00F03D72"/>
    <w:rsid w:val="00F64CF3"/>
    <w:rsid w:val="00F67ED8"/>
    <w:rsid w:val="00F7272D"/>
    <w:rsid w:val="00FA03F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E903F4"/>
  <w15:chartTrackingRefBased/>
  <w15:docId w15:val="{79AE0BF7-F395-469B-9658-19B746F303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C4E6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C4E6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C4E6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9F657C"/>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4E6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C4E66"/>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DC4E66"/>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DC4E6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C4E66"/>
    <w:pPr>
      <w:ind w:left="720"/>
      <w:contextualSpacing/>
    </w:pPr>
  </w:style>
  <w:style w:type="paragraph" w:styleId="TOCHeading">
    <w:name w:val="TOC Heading"/>
    <w:basedOn w:val="Heading1"/>
    <w:next w:val="Normal"/>
    <w:uiPriority w:val="39"/>
    <w:unhideWhenUsed/>
    <w:qFormat/>
    <w:rsid w:val="00CF72FA"/>
    <w:pPr>
      <w:outlineLvl w:val="9"/>
    </w:pPr>
    <w:rPr>
      <w:kern w:val="0"/>
      <w14:ligatures w14:val="none"/>
    </w:rPr>
  </w:style>
  <w:style w:type="paragraph" w:styleId="TOC1">
    <w:name w:val="toc 1"/>
    <w:basedOn w:val="Normal"/>
    <w:next w:val="Normal"/>
    <w:autoRedefine/>
    <w:uiPriority w:val="39"/>
    <w:unhideWhenUsed/>
    <w:rsid w:val="00CF72FA"/>
    <w:pPr>
      <w:spacing w:after="100"/>
    </w:pPr>
  </w:style>
  <w:style w:type="paragraph" w:styleId="TOC2">
    <w:name w:val="toc 2"/>
    <w:basedOn w:val="Normal"/>
    <w:next w:val="Normal"/>
    <w:autoRedefine/>
    <w:uiPriority w:val="39"/>
    <w:unhideWhenUsed/>
    <w:rsid w:val="00CF72FA"/>
    <w:pPr>
      <w:spacing w:after="100"/>
      <w:ind w:left="220"/>
    </w:pPr>
  </w:style>
  <w:style w:type="paragraph" w:styleId="TOC3">
    <w:name w:val="toc 3"/>
    <w:basedOn w:val="Normal"/>
    <w:next w:val="Normal"/>
    <w:autoRedefine/>
    <w:uiPriority w:val="39"/>
    <w:unhideWhenUsed/>
    <w:rsid w:val="00CF72FA"/>
    <w:pPr>
      <w:spacing w:after="100"/>
      <w:ind w:left="440"/>
    </w:pPr>
  </w:style>
  <w:style w:type="character" w:styleId="Hyperlink">
    <w:name w:val="Hyperlink"/>
    <w:basedOn w:val="DefaultParagraphFont"/>
    <w:uiPriority w:val="99"/>
    <w:unhideWhenUsed/>
    <w:rsid w:val="00CF72FA"/>
    <w:rPr>
      <w:color w:val="0563C1" w:themeColor="hyperlink"/>
      <w:u w:val="single"/>
    </w:rPr>
  </w:style>
  <w:style w:type="character" w:customStyle="1" w:styleId="Heading4Char">
    <w:name w:val="Heading 4 Char"/>
    <w:basedOn w:val="DefaultParagraphFont"/>
    <w:link w:val="Heading4"/>
    <w:uiPriority w:val="9"/>
    <w:semiHidden/>
    <w:rsid w:val="009F657C"/>
    <w:rPr>
      <w:rFonts w:asciiTheme="majorHAnsi" w:eastAsiaTheme="majorEastAsia" w:hAnsiTheme="majorHAnsi" w:cstheme="majorBidi"/>
      <w:i/>
      <w:iCs/>
      <w:color w:val="2F5496" w:themeColor="accent1" w:themeShade="BF"/>
    </w:rPr>
  </w:style>
  <w:style w:type="table" w:styleId="TableGridLight">
    <w:name w:val="Grid Table Light"/>
    <w:basedOn w:val="TableNormal"/>
    <w:uiPriority w:val="40"/>
    <w:rsid w:val="00831BF0"/>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rmalWeb">
    <w:name w:val="Normal (Web)"/>
    <w:basedOn w:val="Normal"/>
    <w:uiPriority w:val="99"/>
    <w:semiHidden/>
    <w:unhideWhenUsed/>
    <w:rsid w:val="009059AE"/>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Strong">
    <w:name w:val="Strong"/>
    <w:basedOn w:val="DefaultParagraphFont"/>
    <w:uiPriority w:val="22"/>
    <w:qFormat/>
    <w:rsid w:val="007F243E"/>
    <w:rPr>
      <w:b/>
      <w:bCs/>
    </w:rPr>
  </w:style>
  <w:style w:type="character" w:customStyle="1" w:styleId="katex-mathml">
    <w:name w:val="katex-mathml"/>
    <w:basedOn w:val="DefaultParagraphFont"/>
    <w:rsid w:val="007F243E"/>
  </w:style>
  <w:style w:type="character" w:customStyle="1" w:styleId="mord">
    <w:name w:val="mord"/>
    <w:basedOn w:val="DefaultParagraphFont"/>
    <w:rsid w:val="007F243E"/>
  </w:style>
  <w:style w:type="character" w:customStyle="1" w:styleId="vlist-s">
    <w:name w:val="vlist-s"/>
    <w:basedOn w:val="DefaultParagraphFont"/>
    <w:rsid w:val="007F243E"/>
  </w:style>
  <w:style w:type="character" w:customStyle="1" w:styleId="mrel">
    <w:name w:val="mrel"/>
    <w:basedOn w:val="DefaultParagraphFont"/>
    <w:rsid w:val="007F243E"/>
  </w:style>
  <w:style w:type="character" w:customStyle="1" w:styleId="mpunct">
    <w:name w:val="mpunct"/>
    <w:basedOn w:val="DefaultParagraphFont"/>
    <w:rsid w:val="007F243E"/>
  </w:style>
  <w:style w:type="paragraph" w:styleId="Header">
    <w:name w:val="header"/>
    <w:basedOn w:val="Normal"/>
    <w:link w:val="HeaderChar"/>
    <w:uiPriority w:val="99"/>
    <w:unhideWhenUsed/>
    <w:rsid w:val="000852AB"/>
    <w:pPr>
      <w:tabs>
        <w:tab w:val="center" w:pos="4680"/>
        <w:tab w:val="right" w:pos="9360"/>
      </w:tabs>
      <w:spacing w:after="0" w:line="240" w:lineRule="auto"/>
    </w:pPr>
  </w:style>
  <w:style w:type="character" w:customStyle="1" w:styleId="HeaderChar">
    <w:name w:val="Header Char"/>
    <w:basedOn w:val="DefaultParagraphFont"/>
    <w:link w:val="Header"/>
    <w:uiPriority w:val="99"/>
    <w:rsid w:val="000852AB"/>
  </w:style>
  <w:style w:type="paragraph" w:styleId="Footer">
    <w:name w:val="footer"/>
    <w:basedOn w:val="Normal"/>
    <w:link w:val="FooterChar"/>
    <w:uiPriority w:val="99"/>
    <w:unhideWhenUsed/>
    <w:rsid w:val="000852AB"/>
    <w:pPr>
      <w:tabs>
        <w:tab w:val="center" w:pos="4680"/>
        <w:tab w:val="right" w:pos="9360"/>
      </w:tabs>
      <w:spacing w:after="0" w:line="240" w:lineRule="auto"/>
    </w:pPr>
  </w:style>
  <w:style w:type="character" w:customStyle="1" w:styleId="FooterChar">
    <w:name w:val="Footer Char"/>
    <w:basedOn w:val="DefaultParagraphFont"/>
    <w:link w:val="Footer"/>
    <w:uiPriority w:val="99"/>
    <w:rsid w:val="000852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745645">
      <w:bodyDiv w:val="1"/>
      <w:marLeft w:val="0"/>
      <w:marRight w:val="0"/>
      <w:marTop w:val="0"/>
      <w:marBottom w:val="0"/>
      <w:divBdr>
        <w:top w:val="none" w:sz="0" w:space="0" w:color="auto"/>
        <w:left w:val="none" w:sz="0" w:space="0" w:color="auto"/>
        <w:bottom w:val="none" w:sz="0" w:space="0" w:color="auto"/>
        <w:right w:val="none" w:sz="0" w:space="0" w:color="auto"/>
      </w:divBdr>
    </w:div>
    <w:div w:id="102650164">
      <w:bodyDiv w:val="1"/>
      <w:marLeft w:val="0"/>
      <w:marRight w:val="0"/>
      <w:marTop w:val="0"/>
      <w:marBottom w:val="0"/>
      <w:divBdr>
        <w:top w:val="none" w:sz="0" w:space="0" w:color="auto"/>
        <w:left w:val="none" w:sz="0" w:space="0" w:color="auto"/>
        <w:bottom w:val="none" w:sz="0" w:space="0" w:color="auto"/>
        <w:right w:val="none" w:sz="0" w:space="0" w:color="auto"/>
      </w:divBdr>
    </w:div>
    <w:div w:id="142738169">
      <w:bodyDiv w:val="1"/>
      <w:marLeft w:val="0"/>
      <w:marRight w:val="0"/>
      <w:marTop w:val="0"/>
      <w:marBottom w:val="0"/>
      <w:divBdr>
        <w:top w:val="none" w:sz="0" w:space="0" w:color="auto"/>
        <w:left w:val="none" w:sz="0" w:space="0" w:color="auto"/>
        <w:bottom w:val="none" w:sz="0" w:space="0" w:color="auto"/>
        <w:right w:val="none" w:sz="0" w:space="0" w:color="auto"/>
      </w:divBdr>
    </w:div>
    <w:div w:id="162361083">
      <w:bodyDiv w:val="1"/>
      <w:marLeft w:val="0"/>
      <w:marRight w:val="0"/>
      <w:marTop w:val="0"/>
      <w:marBottom w:val="0"/>
      <w:divBdr>
        <w:top w:val="none" w:sz="0" w:space="0" w:color="auto"/>
        <w:left w:val="none" w:sz="0" w:space="0" w:color="auto"/>
        <w:bottom w:val="none" w:sz="0" w:space="0" w:color="auto"/>
        <w:right w:val="none" w:sz="0" w:space="0" w:color="auto"/>
      </w:divBdr>
    </w:div>
    <w:div w:id="194007497">
      <w:bodyDiv w:val="1"/>
      <w:marLeft w:val="0"/>
      <w:marRight w:val="0"/>
      <w:marTop w:val="0"/>
      <w:marBottom w:val="0"/>
      <w:divBdr>
        <w:top w:val="none" w:sz="0" w:space="0" w:color="auto"/>
        <w:left w:val="none" w:sz="0" w:space="0" w:color="auto"/>
        <w:bottom w:val="none" w:sz="0" w:space="0" w:color="auto"/>
        <w:right w:val="none" w:sz="0" w:space="0" w:color="auto"/>
      </w:divBdr>
    </w:div>
    <w:div w:id="202984147">
      <w:bodyDiv w:val="1"/>
      <w:marLeft w:val="0"/>
      <w:marRight w:val="0"/>
      <w:marTop w:val="0"/>
      <w:marBottom w:val="0"/>
      <w:divBdr>
        <w:top w:val="none" w:sz="0" w:space="0" w:color="auto"/>
        <w:left w:val="none" w:sz="0" w:space="0" w:color="auto"/>
        <w:bottom w:val="none" w:sz="0" w:space="0" w:color="auto"/>
        <w:right w:val="none" w:sz="0" w:space="0" w:color="auto"/>
      </w:divBdr>
    </w:div>
    <w:div w:id="288241459">
      <w:bodyDiv w:val="1"/>
      <w:marLeft w:val="0"/>
      <w:marRight w:val="0"/>
      <w:marTop w:val="0"/>
      <w:marBottom w:val="0"/>
      <w:divBdr>
        <w:top w:val="none" w:sz="0" w:space="0" w:color="auto"/>
        <w:left w:val="none" w:sz="0" w:space="0" w:color="auto"/>
        <w:bottom w:val="none" w:sz="0" w:space="0" w:color="auto"/>
        <w:right w:val="none" w:sz="0" w:space="0" w:color="auto"/>
      </w:divBdr>
    </w:div>
    <w:div w:id="299311443">
      <w:bodyDiv w:val="1"/>
      <w:marLeft w:val="0"/>
      <w:marRight w:val="0"/>
      <w:marTop w:val="0"/>
      <w:marBottom w:val="0"/>
      <w:divBdr>
        <w:top w:val="none" w:sz="0" w:space="0" w:color="auto"/>
        <w:left w:val="none" w:sz="0" w:space="0" w:color="auto"/>
        <w:bottom w:val="none" w:sz="0" w:space="0" w:color="auto"/>
        <w:right w:val="none" w:sz="0" w:space="0" w:color="auto"/>
      </w:divBdr>
    </w:div>
    <w:div w:id="343433482">
      <w:bodyDiv w:val="1"/>
      <w:marLeft w:val="0"/>
      <w:marRight w:val="0"/>
      <w:marTop w:val="0"/>
      <w:marBottom w:val="0"/>
      <w:divBdr>
        <w:top w:val="none" w:sz="0" w:space="0" w:color="auto"/>
        <w:left w:val="none" w:sz="0" w:space="0" w:color="auto"/>
        <w:bottom w:val="none" w:sz="0" w:space="0" w:color="auto"/>
        <w:right w:val="none" w:sz="0" w:space="0" w:color="auto"/>
      </w:divBdr>
    </w:div>
    <w:div w:id="415249196">
      <w:bodyDiv w:val="1"/>
      <w:marLeft w:val="0"/>
      <w:marRight w:val="0"/>
      <w:marTop w:val="0"/>
      <w:marBottom w:val="0"/>
      <w:divBdr>
        <w:top w:val="none" w:sz="0" w:space="0" w:color="auto"/>
        <w:left w:val="none" w:sz="0" w:space="0" w:color="auto"/>
        <w:bottom w:val="none" w:sz="0" w:space="0" w:color="auto"/>
        <w:right w:val="none" w:sz="0" w:space="0" w:color="auto"/>
      </w:divBdr>
    </w:div>
    <w:div w:id="645818747">
      <w:bodyDiv w:val="1"/>
      <w:marLeft w:val="0"/>
      <w:marRight w:val="0"/>
      <w:marTop w:val="0"/>
      <w:marBottom w:val="0"/>
      <w:divBdr>
        <w:top w:val="none" w:sz="0" w:space="0" w:color="auto"/>
        <w:left w:val="none" w:sz="0" w:space="0" w:color="auto"/>
        <w:bottom w:val="none" w:sz="0" w:space="0" w:color="auto"/>
        <w:right w:val="none" w:sz="0" w:space="0" w:color="auto"/>
      </w:divBdr>
    </w:div>
    <w:div w:id="667177132">
      <w:bodyDiv w:val="1"/>
      <w:marLeft w:val="0"/>
      <w:marRight w:val="0"/>
      <w:marTop w:val="0"/>
      <w:marBottom w:val="0"/>
      <w:divBdr>
        <w:top w:val="none" w:sz="0" w:space="0" w:color="auto"/>
        <w:left w:val="none" w:sz="0" w:space="0" w:color="auto"/>
        <w:bottom w:val="none" w:sz="0" w:space="0" w:color="auto"/>
        <w:right w:val="none" w:sz="0" w:space="0" w:color="auto"/>
      </w:divBdr>
    </w:div>
    <w:div w:id="685985141">
      <w:bodyDiv w:val="1"/>
      <w:marLeft w:val="0"/>
      <w:marRight w:val="0"/>
      <w:marTop w:val="0"/>
      <w:marBottom w:val="0"/>
      <w:divBdr>
        <w:top w:val="none" w:sz="0" w:space="0" w:color="auto"/>
        <w:left w:val="none" w:sz="0" w:space="0" w:color="auto"/>
        <w:bottom w:val="none" w:sz="0" w:space="0" w:color="auto"/>
        <w:right w:val="none" w:sz="0" w:space="0" w:color="auto"/>
      </w:divBdr>
    </w:div>
    <w:div w:id="704714399">
      <w:bodyDiv w:val="1"/>
      <w:marLeft w:val="0"/>
      <w:marRight w:val="0"/>
      <w:marTop w:val="0"/>
      <w:marBottom w:val="0"/>
      <w:divBdr>
        <w:top w:val="none" w:sz="0" w:space="0" w:color="auto"/>
        <w:left w:val="none" w:sz="0" w:space="0" w:color="auto"/>
        <w:bottom w:val="none" w:sz="0" w:space="0" w:color="auto"/>
        <w:right w:val="none" w:sz="0" w:space="0" w:color="auto"/>
      </w:divBdr>
    </w:div>
    <w:div w:id="706369076">
      <w:bodyDiv w:val="1"/>
      <w:marLeft w:val="0"/>
      <w:marRight w:val="0"/>
      <w:marTop w:val="0"/>
      <w:marBottom w:val="0"/>
      <w:divBdr>
        <w:top w:val="none" w:sz="0" w:space="0" w:color="auto"/>
        <w:left w:val="none" w:sz="0" w:space="0" w:color="auto"/>
        <w:bottom w:val="none" w:sz="0" w:space="0" w:color="auto"/>
        <w:right w:val="none" w:sz="0" w:space="0" w:color="auto"/>
      </w:divBdr>
    </w:div>
    <w:div w:id="711077036">
      <w:bodyDiv w:val="1"/>
      <w:marLeft w:val="0"/>
      <w:marRight w:val="0"/>
      <w:marTop w:val="0"/>
      <w:marBottom w:val="0"/>
      <w:divBdr>
        <w:top w:val="none" w:sz="0" w:space="0" w:color="auto"/>
        <w:left w:val="none" w:sz="0" w:space="0" w:color="auto"/>
        <w:bottom w:val="none" w:sz="0" w:space="0" w:color="auto"/>
        <w:right w:val="none" w:sz="0" w:space="0" w:color="auto"/>
      </w:divBdr>
    </w:div>
    <w:div w:id="751583555">
      <w:bodyDiv w:val="1"/>
      <w:marLeft w:val="0"/>
      <w:marRight w:val="0"/>
      <w:marTop w:val="0"/>
      <w:marBottom w:val="0"/>
      <w:divBdr>
        <w:top w:val="none" w:sz="0" w:space="0" w:color="auto"/>
        <w:left w:val="none" w:sz="0" w:space="0" w:color="auto"/>
        <w:bottom w:val="none" w:sz="0" w:space="0" w:color="auto"/>
        <w:right w:val="none" w:sz="0" w:space="0" w:color="auto"/>
      </w:divBdr>
    </w:div>
    <w:div w:id="763841405">
      <w:bodyDiv w:val="1"/>
      <w:marLeft w:val="0"/>
      <w:marRight w:val="0"/>
      <w:marTop w:val="0"/>
      <w:marBottom w:val="0"/>
      <w:divBdr>
        <w:top w:val="none" w:sz="0" w:space="0" w:color="auto"/>
        <w:left w:val="none" w:sz="0" w:space="0" w:color="auto"/>
        <w:bottom w:val="none" w:sz="0" w:space="0" w:color="auto"/>
        <w:right w:val="none" w:sz="0" w:space="0" w:color="auto"/>
      </w:divBdr>
    </w:div>
    <w:div w:id="828323378">
      <w:bodyDiv w:val="1"/>
      <w:marLeft w:val="0"/>
      <w:marRight w:val="0"/>
      <w:marTop w:val="0"/>
      <w:marBottom w:val="0"/>
      <w:divBdr>
        <w:top w:val="none" w:sz="0" w:space="0" w:color="auto"/>
        <w:left w:val="none" w:sz="0" w:space="0" w:color="auto"/>
        <w:bottom w:val="none" w:sz="0" w:space="0" w:color="auto"/>
        <w:right w:val="none" w:sz="0" w:space="0" w:color="auto"/>
      </w:divBdr>
    </w:div>
    <w:div w:id="864093874">
      <w:bodyDiv w:val="1"/>
      <w:marLeft w:val="0"/>
      <w:marRight w:val="0"/>
      <w:marTop w:val="0"/>
      <w:marBottom w:val="0"/>
      <w:divBdr>
        <w:top w:val="none" w:sz="0" w:space="0" w:color="auto"/>
        <w:left w:val="none" w:sz="0" w:space="0" w:color="auto"/>
        <w:bottom w:val="none" w:sz="0" w:space="0" w:color="auto"/>
        <w:right w:val="none" w:sz="0" w:space="0" w:color="auto"/>
      </w:divBdr>
    </w:div>
    <w:div w:id="904026324">
      <w:bodyDiv w:val="1"/>
      <w:marLeft w:val="0"/>
      <w:marRight w:val="0"/>
      <w:marTop w:val="0"/>
      <w:marBottom w:val="0"/>
      <w:divBdr>
        <w:top w:val="none" w:sz="0" w:space="0" w:color="auto"/>
        <w:left w:val="none" w:sz="0" w:space="0" w:color="auto"/>
        <w:bottom w:val="none" w:sz="0" w:space="0" w:color="auto"/>
        <w:right w:val="none" w:sz="0" w:space="0" w:color="auto"/>
      </w:divBdr>
    </w:div>
    <w:div w:id="920943436">
      <w:bodyDiv w:val="1"/>
      <w:marLeft w:val="0"/>
      <w:marRight w:val="0"/>
      <w:marTop w:val="0"/>
      <w:marBottom w:val="0"/>
      <w:divBdr>
        <w:top w:val="none" w:sz="0" w:space="0" w:color="auto"/>
        <w:left w:val="none" w:sz="0" w:space="0" w:color="auto"/>
        <w:bottom w:val="none" w:sz="0" w:space="0" w:color="auto"/>
        <w:right w:val="none" w:sz="0" w:space="0" w:color="auto"/>
      </w:divBdr>
    </w:div>
    <w:div w:id="944071977">
      <w:bodyDiv w:val="1"/>
      <w:marLeft w:val="0"/>
      <w:marRight w:val="0"/>
      <w:marTop w:val="0"/>
      <w:marBottom w:val="0"/>
      <w:divBdr>
        <w:top w:val="none" w:sz="0" w:space="0" w:color="auto"/>
        <w:left w:val="none" w:sz="0" w:space="0" w:color="auto"/>
        <w:bottom w:val="none" w:sz="0" w:space="0" w:color="auto"/>
        <w:right w:val="none" w:sz="0" w:space="0" w:color="auto"/>
      </w:divBdr>
    </w:div>
    <w:div w:id="963464377">
      <w:bodyDiv w:val="1"/>
      <w:marLeft w:val="0"/>
      <w:marRight w:val="0"/>
      <w:marTop w:val="0"/>
      <w:marBottom w:val="0"/>
      <w:divBdr>
        <w:top w:val="none" w:sz="0" w:space="0" w:color="auto"/>
        <w:left w:val="none" w:sz="0" w:space="0" w:color="auto"/>
        <w:bottom w:val="none" w:sz="0" w:space="0" w:color="auto"/>
        <w:right w:val="none" w:sz="0" w:space="0" w:color="auto"/>
      </w:divBdr>
    </w:div>
    <w:div w:id="968823969">
      <w:bodyDiv w:val="1"/>
      <w:marLeft w:val="0"/>
      <w:marRight w:val="0"/>
      <w:marTop w:val="0"/>
      <w:marBottom w:val="0"/>
      <w:divBdr>
        <w:top w:val="none" w:sz="0" w:space="0" w:color="auto"/>
        <w:left w:val="none" w:sz="0" w:space="0" w:color="auto"/>
        <w:bottom w:val="none" w:sz="0" w:space="0" w:color="auto"/>
        <w:right w:val="none" w:sz="0" w:space="0" w:color="auto"/>
      </w:divBdr>
    </w:div>
    <w:div w:id="974943960">
      <w:bodyDiv w:val="1"/>
      <w:marLeft w:val="0"/>
      <w:marRight w:val="0"/>
      <w:marTop w:val="0"/>
      <w:marBottom w:val="0"/>
      <w:divBdr>
        <w:top w:val="none" w:sz="0" w:space="0" w:color="auto"/>
        <w:left w:val="none" w:sz="0" w:space="0" w:color="auto"/>
        <w:bottom w:val="none" w:sz="0" w:space="0" w:color="auto"/>
        <w:right w:val="none" w:sz="0" w:space="0" w:color="auto"/>
      </w:divBdr>
    </w:div>
    <w:div w:id="1005060705">
      <w:bodyDiv w:val="1"/>
      <w:marLeft w:val="0"/>
      <w:marRight w:val="0"/>
      <w:marTop w:val="0"/>
      <w:marBottom w:val="0"/>
      <w:divBdr>
        <w:top w:val="none" w:sz="0" w:space="0" w:color="auto"/>
        <w:left w:val="none" w:sz="0" w:space="0" w:color="auto"/>
        <w:bottom w:val="none" w:sz="0" w:space="0" w:color="auto"/>
        <w:right w:val="none" w:sz="0" w:space="0" w:color="auto"/>
      </w:divBdr>
    </w:div>
    <w:div w:id="1032727210">
      <w:bodyDiv w:val="1"/>
      <w:marLeft w:val="0"/>
      <w:marRight w:val="0"/>
      <w:marTop w:val="0"/>
      <w:marBottom w:val="0"/>
      <w:divBdr>
        <w:top w:val="none" w:sz="0" w:space="0" w:color="auto"/>
        <w:left w:val="none" w:sz="0" w:space="0" w:color="auto"/>
        <w:bottom w:val="none" w:sz="0" w:space="0" w:color="auto"/>
        <w:right w:val="none" w:sz="0" w:space="0" w:color="auto"/>
      </w:divBdr>
      <w:divsChild>
        <w:div w:id="202448860">
          <w:marLeft w:val="0"/>
          <w:marRight w:val="0"/>
          <w:marTop w:val="0"/>
          <w:marBottom w:val="0"/>
          <w:divBdr>
            <w:top w:val="none" w:sz="0" w:space="0" w:color="auto"/>
            <w:left w:val="none" w:sz="0" w:space="0" w:color="auto"/>
            <w:bottom w:val="none" w:sz="0" w:space="0" w:color="auto"/>
            <w:right w:val="none" w:sz="0" w:space="0" w:color="auto"/>
          </w:divBdr>
          <w:divsChild>
            <w:div w:id="1217164873">
              <w:marLeft w:val="0"/>
              <w:marRight w:val="0"/>
              <w:marTop w:val="0"/>
              <w:marBottom w:val="0"/>
              <w:divBdr>
                <w:top w:val="none" w:sz="0" w:space="0" w:color="auto"/>
                <w:left w:val="none" w:sz="0" w:space="0" w:color="auto"/>
                <w:bottom w:val="none" w:sz="0" w:space="0" w:color="auto"/>
                <w:right w:val="none" w:sz="0" w:space="0" w:color="auto"/>
              </w:divBdr>
              <w:divsChild>
                <w:div w:id="684333310">
                  <w:marLeft w:val="0"/>
                  <w:marRight w:val="0"/>
                  <w:marTop w:val="0"/>
                  <w:marBottom w:val="0"/>
                  <w:divBdr>
                    <w:top w:val="none" w:sz="0" w:space="0" w:color="auto"/>
                    <w:left w:val="none" w:sz="0" w:space="0" w:color="auto"/>
                    <w:bottom w:val="none" w:sz="0" w:space="0" w:color="auto"/>
                    <w:right w:val="none" w:sz="0" w:space="0" w:color="auto"/>
                  </w:divBdr>
                  <w:divsChild>
                    <w:div w:id="1726755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7491216">
          <w:marLeft w:val="0"/>
          <w:marRight w:val="0"/>
          <w:marTop w:val="0"/>
          <w:marBottom w:val="0"/>
          <w:divBdr>
            <w:top w:val="none" w:sz="0" w:space="0" w:color="auto"/>
            <w:left w:val="none" w:sz="0" w:space="0" w:color="auto"/>
            <w:bottom w:val="none" w:sz="0" w:space="0" w:color="auto"/>
            <w:right w:val="none" w:sz="0" w:space="0" w:color="auto"/>
          </w:divBdr>
          <w:divsChild>
            <w:div w:id="884024369">
              <w:marLeft w:val="0"/>
              <w:marRight w:val="0"/>
              <w:marTop w:val="0"/>
              <w:marBottom w:val="0"/>
              <w:divBdr>
                <w:top w:val="none" w:sz="0" w:space="0" w:color="auto"/>
                <w:left w:val="none" w:sz="0" w:space="0" w:color="auto"/>
                <w:bottom w:val="none" w:sz="0" w:space="0" w:color="auto"/>
                <w:right w:val="none" w:sz="0" w:space="0" w:color="auto"/>
              </w:divBdr>
              <w:divsChild>
                <w:div w:id="560944339">
                  <w:marLeft w:val="0"/>
                  <w:marRight w:val="0"/>
                  <w:marTop w:val="0"/>
                  <w:marBottom w:val="0"/>
                  <w:divBdr>
                    <w:top w:val="none" w:sz="0" w:space="0" w:color="auto"/>
                    <w:left w:val="none" w:sz="0" w:space="0" w:color="auto"/>
                    <w:bottom w:val="none" w:sz="0" w:space="0" w:color="auto"/>
                    <w:right w:val="none" w:sz="0" w:space="0" w:color="auto"/>
                  </w:divBdr>
                  <w:divsChild>
                    <w:div w:id="1400518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2709780">
      <w:bodyDiv w:val="1"/>
      <w:marLeft w:val="0"/>
      <w:marRight w:val="0"/>
      <w:marTop w:val="0"/>
      <w:marBottom w:val="0"/>
      <w:divBdr>
        <w:top w:val="none" w:sz="0" w:space="0" w:color="auto"/>
        <w:left w:val="none" w:sz="0" w:space="0" w:color="auto"/>
        <w:bottom w:val="none" w:sz="0" w:space="0" w:color="auto"/>
        <w:right w:val="none" w:sz="0" w:space="0" w:color="auto"/>
      </w:divBdr>
    </w:div>
    <w:div w:id="1044447413">
      <w:bodyDiv w:val="1"/>
      <w:marLeft w:val="0"/>
      <w:marRight w:val="0"/>
      <w:marTop w:val="0"/>
      <w:marBottom w:val="0"/>
      <w:divBdr>
        <w:top w:val="none" w:sz="0" w:space="0" w:color="auto"/>
        <w:left w:val="none" w:sz="0" w:space="0" w:color="auto"/>
        <w:bottom w:val="none" w:sz="0" w:space="0" w:color="auto"/>
        <w:right w:val="none" w:sz="0" w:space="0" w:color="auto"/>
      </w:divBdr>
    </w:div>
    <w:div w:id="1114709067">
      <w:bodyDiv w:val="1"/>
      <w:marLeft w:val="0"/>
      <w:marRight w:val="0"/>
      <w:marTop w:val="0"/>
      <w:marBottom w:val="0"/>
      <w:divBdr>
        <w:top w:val="none" w:sz="0" w:space="0" w:color="auto"/>
        <w:left w:val="none" w:sz="0" w:space="0" w:color="auto"/>
        <w:bottom w:val="none" w:sz="0" w:space="0" w:color="auto"/>
        <w:right w:val="none" w:sz="0" w:space="0" w:color="auto"/>
      </w:divBdr>
    </w:div>
    <w:div w:id="1122844108">
      <w:bodyDiv w:val="1"/>
      <w:marLeft w:val="0"/>
      <w:marRight w:val="0"/>
      <w:marTop w:val="0"/>
      <w:marBottom w:val="0"/>
      <w:divBdr>
        <w:top w:val="none" w:sz="0" w:space="0" w:color="auto"/>
        <w:left w:val="none" w:sz="0" w:space="0" w:color="auto"/>
        <w:bottom w:val="none" w:sz="0" w:space="0" w:color="auto"/>
        <w:right w:val="none" w:sz="0" w:space="0" w:color="auto"/>
      </w:divBdr>
    </w:div>
    <w:div w:id="1133520319">
      <w:bodyDiv w:val="1"/>
      <w:marLeft w:val="0"/>
      <w:marRight w:val="0"/>
      <w:marTop w:val="0"/>
      <w:marBottom w:val="0"/>
      <w:divBdr>
        <w:top w:val="none" w:sz="0" w:space="0" w:color="auto"/>
        <w:left w:val="none" w:sz="0" w:space="0" w:color="auto"/>
        <w:bottom w:val="none" w:sz="0" w:space="0" w:color="auto"/>
        <w:right w:val="none" w:sz="0" w:space="0" w:color="auto"/>
      </w:divBdr>
    </w:div>
    <w:div w:id="1151826618">
      <w:bodyDiv w:val="1"/>
      <w:marLeft w:val="0"/>
      <w:marRight w:val="0"/>
      <w:marTop w:val="0"/>
      <w:marBottom w:val="0"/>
      <w:divBdr>
        <w:top w:val="none" w:sz="0" w:space="0" w:color="auto"/>
        <w:left w:val="none" w:sz="0" w:space="0" w:color="auto"/>
        <w:bottom w:val="none" w:sz="0" w:space="0" w:color="auto"/>
        <w:right w:val="none" w:sz="0" w:space="0" w:color="auto"/>
      </w:divBdr>
    </w:div>
    <w:div w:id="1162623556">
      <w:bodyDiv w:val="1"/>
      <w:marLeft w:val="0"/>
      <w:marRight w:val="0"/>
      <w:marTop w:val="0"/>
      <w:marBottom w:val="0"/>
      <w:divBdr>
        <w:top w:val="none" w:sz="0" w:space="0" w:color="auto"/>
        <w:left w:val="none" w:sz="0" w:space="0" w:color="auto"/>
        <w:bottom w:val="none" w:sz="0" w:space="0" w:color="auto"/>
        <w:right w:val="none" w:sz="0" w:space="0" w:color="auto"/>
      </w:divBdr>
    </w:div>
    <w:div w:id="1188445789">
      <w:bodyDiv w:val="1"/>
      <w:marLeft w:val="0"/>
      <w:marRight w:val="0"/>
      <w:marTop w:val="0"/>
      <w:marBottom w:val="0"/>
      <w:divBdr>
        <w:top w:val="none" w:sz="0" w:space="0" w:color="auto"/>
        <w:left w:val="none" w:sz="0" w:space="0" w:color="auto"/>
        <w:bottom w:val="none" w:sz="0" w:space="0" w:color="auto"/>
        <w:right w:val="none" w:sz="0" w:space="0" w:color="auto"/>
      </w:divBdr>
    </w:div>
    <w:div w:id="1215892542">
      <w:bodyDiv w:val="1"/>
      <w:marLeft w:val="0"/>
      <w:marRight w:val="0"/>
      <w:marTop w:val="0"/>
      <w:marBottom w:val="0"/>
      <w:divBdr>
        <w:top w:val="none" w:sz="0" w:space="0" w:color="auto"/>
        <w:left w:val="none" w:sz="0" w:space="0" w:color="auto"/>
        <w:bottom w:val="none" w:sz="0" w:space="0" w:color="auto"/>
        <w:right w:val="none" w:sz="0" w:space="0" w:color="auto"/>
      </w:divBdr>
    </w:div>
    <w:div w:id="1251550494">
      <w:bodyDiv w:val="1"/>
      <w:marLeft w:val="0"/>
      <w:marRight w:val="0"/>
      <w:marTop w:val="0"/>
      <w:marBottom w:val="0"/>
      <w:divBdr>
        <w:top w:val="none" w:sz="0" w:space="0" w:color="auto"/>
        <w:left w:val="none" w:sz="0" w:space="0" w:color="auto"/>
        <w:bottom w:val="none" w:sz="0" w:space="0" w:color="auto"/>
        <w:right w:val="none" w:sz="0" w:space="0" w:color="auto"/>
      </w:divBdr>
    </w:div>
    <w:div w:id="1254438887">
      <w:bodyDiv w:val="1"/>
      <w:marLeft w:val="0"/>
      <w:marRight w:val="0"/>
      <w:marTop w:val="0"/>
      <w:marBottom w:val="0"/>
      <w:divBdr>
        <w:top w:val="none" w:sz="0" w:space="0" w:color="auto"/>
        <w:left w:val="none" w:sz="0" w:space="0" w:color="auto"/>
        <w:bottom w:val="none" w:sz="0" w:space="0" w:color="auto"/>
        <w:right w:val="none" w:sz="0" w:space="0" w:color="auto"/>
      </w:divBdr>
      <w:divsChild>
        <w:div w:id="1266422699">
          <w:marLeft w:val="0"/>
          <w:marRight w:val="0"/>
          <w:marTop w:val="0"/>
          <w:marBottom w:val="0"/>
          <w:divBdr>
            <w:top w:val="none" w:sz="0" w:space="0" w:color="auto"/>
            <w:left w:val="none" w:sz="0" w:space="0" w:color="auto"/>
            <w:bottom w:val="none" w:sz="0" w:space="0" w:color="auto"/>
            <w:right w:val="none" w:sz="0" w:space="0" w:color="auto"/>
          </w:divBdr>
          <w:divsChild>
            <w:div w:id="335887993">
              <w:marLeft w:val="0"/>
              <w:marRight w:val="0"/>
              <w:marTop w:val="0"/>
              <w:marBottom w:val="0"/>
              <w:divBdr>
                <w:top w:val="none" w:sz="0" w:space="0" w:color="auto"/>
                <w:left w:val="none" w:sz="0" w:space="0" w:color="auto"/>
                <w:bottom w:val="none" w:sz="0" w:space="0" w:color="auto"/>
                <w:right w:val="none" w:sz="0" w:space="0" w:color="auto"/>
              </w:divBdr>
              <w:divsChild>
                <w:div w:id="1016536844">
                  <w:marLeft w:val="0"/>
                  <w:marRight w:val="0"/>
                  <w:marTop w:val="0"/>
                  <w:marBottom w:val="0"/>
                  <w:divBdr>
                    <w:top w:val="none" w:sz="0" w:space="0" w:color="auto"/>
                    <w:left w:val="none" w:sz="0" w:space="0" w:color="auto"/>
                    <w:bottom w:val="none" w:sz="0" w:space="0" w:color="auto"/>
                    <w:right w:val="none" w:sz="0" w:space="0" w:color="auto"/>
                  </w:divBdr>
                  <w:divsChild>
                    <w:div w:id="1910339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2028643">
          <w:marLeft w:val="0"/>
          <w:marRight w:val="0"/>
          <w:marTop w:val="0"/>
          <w:marBottom w:val="0"/>
          <w:divBdr>
            <w:top w:val="none" w:sz="0" w:space="0" w:color="auto"/>
            <w:left w:val="none" w:sz="0" w:space="0" w:color="auto"/>
            <w:bottom w:val="none" w:sz="0" w:space="0" w:color="auto"/>
            <w:right w:val="none" w:sz="0" w:space="0" w:color="auto"/>
          </w:divBdr>
          <w:divsChild>
            <w:div w:id="935290226">
              <w:marLeft w:val="0"/>
              <w:marRight w:val="0"/>
              <w:marTop w:val="0"/>
              <w:marBottom w:val="0"/>
              <w:divBdr>
                <w:top w:val="none" w:sz="0" w:space="0" w:color="auto"/>
                <w:left w:val="none" w:sz="0" w:space="0" w:color="auto"/>
                <w:bottom w:val="none" w:sz="0" w:space="0" w:color="auto"/>
                <w:right w:val="none" w:sz="0" w:space="0" w:color="auto"/>
              </w:divBdr>
              <w:divsChild>
                <w:div w:id="1591159652">
                  <w:marLeft w:val="0"/>
                  <w:marRight w:val="0"/>
                  <w:marTop w:val="0"/>
                  <w:marBottom w:val="0"/>
                  <w:divBdr>
                    <w:top w:val="none" w:sz="0" w:space="0" w:color="auto"/>
                    <w:left w:val="none" w:sz="0" w:space="0" w:color="auto"/>
                    <w:bottom w:val="none" w:sz="0" w:space="0" w:color="auto"/>
                    <w:right w:val="none" w:sz="0" w:space="0" w:color="auto"/>
                  </w:divBdr>
                  <w:divsChild>
                    <w:div w:id="529993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1497567">
      <w:bodyDiv w:val="1"/>
      <w:marLeft w:val="0"/>
      <w:marRight w:val="0"/>
      <w:marTop w:val="0"/>
      <w:marBottom w:val="0"/>
      <w:divBdr>
        <w:top w:val="none" w:sz="0" w:space="0" w:color="auto"/>
        <w:left w:val="none" w:sz="0" w:space="0" w:color="auto"/>
        <w:bottom w:val="none" w:sz="0" w:space="0" w:color="auto"/>
        <w:right w:val="none" w:sz="0" w:space="0" w:color="auto"/>
      </w:divBdr>
    </w:div>
    <w:div w:id="1396003663">
      <w:bodyDiv w:val="1"/>
      <w:marLeft w:val="0"/>
      <w:marRight w:val="0"/>
      <w:marTop w:val="0"/>
      <w:marBottom w:val="0"/>
      <w:divBdr>
        <w:top w:val="none" w:sz="0" w:space="0" w:color="auto"/>
        <w:left w:val="none" w:sz="0" w:space="0" w:color="auto"/>
        <w:bottom w:val="none" w:sz="0" w:space="0" w:color="auto"/>
        <w:right w:val="none" w:sz="0" w:space="0" w:color="auto"/>
      </w:divBdr>
    </w:div>
    <w:div w:id="1426996999">
      <w:bodyDiv w:val="1"/>
      <w:marLeft w:val="0"/>
      <w:marRight w:val="0"/>
      <w:marTop w:val="0"/>
      <w:marBottom w:val="0"/>
      <w:divBdr>
        <w:top w:val="none" w:sz="0" w:space="0" w:color="auto"/>
        <w:left w:val="none" w:sz="0" w:space="0" w:color="auto"/>
        <w:bottom w:val="none" w:sz="0" w:space="0" w:color="auto"/>
        <w:right w:val="none" w:sz="0" w:space="0" w:color="auto"/>
      </w:divBdr>
    </w:div>
    <w:div w:id="1489323261">
      <w:bodyDiv w:val="1"/>
      <w:marLeft w:val="0"/>
      <w:marRight w:val="0"/>
      <w:marTop w:val="0"/>
      <w:marBottom w:val="0"/>
      <w:divBdr>
        <w:top w:val="none" w:sz="0" w:space="0" w:color="auto"/>
        <w:left w:val="none" w:sz="0" w:space="0" w:color="auto"/>
        <w:bottom w:val="none" w:sz="0" w:space="0" w:color="auto"/>
        <w:right w:val="none" w:sz="0" w:space="0" w:color="auto"/>
      </w:divBdr>
    </w:div>
    <w:div w:id="1521821431">
      <w:bodyDiv w:val="1"/>
      <w:marLeft w:val="0"/>
      <w:marRight w:val="0"/>
      <w:marTop w:val="0"/>
      <w:marBottom w:val="0"/>
      <w:divBdr>
        <w:top w:val="none" w:sz="0" w:space="0" w:color="auto"/>
        <w:left w:val="none" w:sz="0" w:space="0" w:color="auto"/>
        <w:bottom w:val="none" w:sz="0" w:space="0" w:color="auto"/>
        <w:right w:val="none" w:sz="0" w:space="0" w:color="auto"/>
      </w:divBdr>
    </w:div>
    <w:div w:id="1549219821">
      <w:bodyDiv w:val="1"/>
      <w:marLeft w:val="0"/>
      <w:marRight w:val="0"/>
      <w:marTop w:val="0"/>
      <w:marBottom w:val="0"/>
      <w:divBdr>
        <w:top w:val="none" w:sz="0" w:space="0" w:color="auto"/>
        <w:left w:val="none" w:sz="0" w:space="0" w:color="auto"/>
        <w:bottom w:val="none" w:sz="0" w:space="0" w:color="auto"/>
        <w:right w:val="none" w:sz="0" w:space="0" w:color="auto"/>
      </w:divBdr>
    </w:div>
    <w:div w:id="1578204271">
      <w:bodyDiv w:val="1"/>
      <w:marLeft w:val="0"/>
      <w:marRight w:val="0"/>
      <w:marTop w:val="0"/>
      <w:marBottom w:val="0"/>
      <w:divBdr>
        <w:top w:val="none" w:sz="0" w:space="0" w:color="auto"/>
        <w:left w:val="none" w:sz="0" w:space="0" w:color="auto"/>
        <w:bottom w:val="none" w:sz="0" w:space="0" w:color="auto"/>
        <w:right w:val="none" w:sz="0" w:space="0" w:color="auto"/>
      </w:divBdr>
    </w:div>
    <w:div w:id="1580215885">
      <w:bodyDiv w:val="1"/>
      <w:marLeft w:val="0"/>
      <w:marRight w:val="0"/>
      <w:marTop w:val="0"/>
      <w:marBottom w:val="0"/>
      <w:divBdr>
        <w:top w:val="none" w:sz="0" w:space="0" w:color="auto"/>
        <w:left w:val="none" w:sz="0" w:space="0" w:color="auto"/>
        <w:bottom w:val="none" w:sz="0" w:space="0" w:color="auto"/>
        <w:right w:val="none" w:sz="0" w:space="0" w:color="auto"/>
      </w:divBdr>
    </w:div>
    <w:div w:id="1613975508">
      <w:bodyDiv w:val="1"/>
      <w:marLeft w:val="0"/>
      <w:marRight w:val="0"/>
      <w:marTop w:val="0"/>
      <w:marBottom w:val="0"/>
      <w:divBdr>
        <w:top w:val="none" w:sz="0" w:space="0" w:color="auto"/>
        <w:left w:val="none" w:sz="0" w:space="0" w:color="auto"/>
        <w:bottom w:val="none" w:sz="0" w:space="0" w:color="auto"/>
        <w:right w:val="none" w:sz="0" w:space="0" w:color="auto"/>
      </w:divBdr>
    </w:div>
    <w:div w:id="1615136993">
      <w:bodyDiv w:val="1"/>
      <w:marLeft w:val="0"/>
      <w:marRight w:val="0"/>
      <w:marTop w:val="0"/>
      <w:marBottom w:val="0"/>
      <w:divBdr>
        <w:top w:val="none" w:sz="0" w:space="0" w:color="auto"/>
        <w:left w:val="none" w:sz="0" w:space="0" w:color="auto"/>
        <w:bottom w:val="none" w:sz="0" w:space="0" w:color="auto"/>
        <w:right w:val="none" w:sz="0" w:space="0" w:color="auto"/>
      </w:divBdr>
    </w:div>
    <w:div w:id="1617130407">
      <w:bodyDiv w:val="1"/>
      <w:marLeft w:val="0"/>
      <w:marRight w:val="0"/>
      <w:marTop w:val="0"/>
      <w:marBottom w:val="0"/>
      <w:divBdr>
        <w:top w:val="none" w:sz="0" w:space="0" w:color="auto"/>
        <w:left w:val="none" w:sz="0" w:space="0" w:color="auto"/>
        <w:bottom w:val="none" w:sz="0" w:space="0" w:color="auto"/>
        <w:right w:val="none" w:sz="0" w:space="0" w:color="auto"/>
      </w:divBdr>
    </w:div>
    <w:div w:id="1622416158">
      <w:bodyDiv w:val="1"/>
      <w:marLeft w:val="0"/>
      <w:marRight w:val="0"/>
      <w:marTop w:val="0"/>
      <w:marBottom w:val="0"/>
      <w:divBdr>
        <w:top w:val="none" w:sz="0" w:space="0" w:color="auto"/>
        <w:left w:val="none" w:sz="0" w:space="0" w:color="auto"/>
        <w:bottom w:val="none" w:sz="0" w:space="0" w:color="auto"/>
        <w:right w:val="none" w:sz="0" w:space="0" w:color="auto"/>
      </w:divBdr>
    </w:div>
    <w:div w:id="1655641797">
      <w:bodyDiv w:val="1"/>
      <w:marLeft w:val="0"/>
      <w:marRight w:val="0"/>
      <w:marTop w:val="0"/>
      <w:marBottom w:val="0"/>
      <w:divBdr>
        <w:top w:val="none" w:sz="0" w:space="0" w:color="auto"/>
        <w:left w:val="none" w:sz="0" w:space="0" w:color="auto"/>
        <w:bottom w:val="none" w:sz="0" w:space="0" w:color="auto"/>
        <w:right w:val="none" w:sz="0" w:space="0" w:color="auto"/>
      </w:divBdr>
    </w:div>
    <w:div w:id="1703356135">
      <w:bodyDiv w:val="1"/>
      <w:marLeft w:val="0"/>
      <w:marRight w:val="0"/>
      <w:marTop w:val="0"/>
      <w:marBottom w:val="0"/>
      <w:divBdr>
        <w:top w:val="none" w:sz="0" w:space="0" w:color="auto"/>
        <w:left w:val="none" w:sz="0" w:space="0" w:color="auto"/>
        <w:bottom w:val="none" w:sz="0" w:space="0" w:color="auto"/>
        <w:right w:val="none" w:sz="0" w:space="0" w:color="auto"/>
      </w:divBdr>
    </w:div>
    <w:div w:id="1724284013">
      <w:bodyDiv w:val="1"/>
      <w:marLeft w:val="0"/>
      <w:marRight w:val="0"/>
      <w:marTop w:val="0"/>
      <w:marBottom w:val="0"/>
      <w:divBdr>
        <w:top w:val="none" w:sz="0" w:space="0" w:color="auto"/>
        <w:left w:val="none" w:sz="0" w:space="0" w:color="auto"/>
        <w:bottom w:val="none" w:sz="0" w:space="0" w:color="auto"/>
        <w:right w:val="none" w:sz="0" w:space="0" w:color="auto"/>
      </w:divBdr>
    </w:div>
    <w:div w:id="1804226294">
      <w:bodyDiv w:val="1"/>
      <w:marLeft w:val="0"/>
      <w:marRight w:val="0"/>
      <w:marTop w:val="0"/>
      <w:marBottom w:val="0"/>
      <w:divBdr>
        <w:top w:val="none" w:sz="0" w:space="0" w:color="auto"/>
        <w:left w:val="none" w:sz="0" w:space="0" w:color="auto"/>
        <w:bottom w:val="none" w:sz="0" w:space="0" w:color="auto"/>
        <w:right w:val="none" w:sz="0" w:space="0" w:color="auto"/>
      </w:divBdr>
    </w:div>
    <w:div w:id="1818034827">
      <w:bodyDiv w:val="1"/>
      <w:marLeft w:val="0"/>
      <w:marRight w:val="0"/>
      <w:marTop w:val="0"/>
      <w:marBottom w:val="0"/>
      <w:divBdr>
        <w:top w:val="none" w:sz="0" w:space="0" w:color="auto"/>
        <w:left w:val="none" w:sz="0" w:space="0" w:color="auto"/>
        <w:bottom w:val="none" w:sz="0" w:space="0" w:color="auto"/>
        <w:right w:val="none" w:sz="0" w:space="0" w:color="auto"/>
      </w:divBdr>
    </w:div>
    <w:div w:id="1832519978">
      <w:bodyDiv w:val="1"/>
      <w:marLeft w:val="0"/>
      <w:marRight w:val="0"/>
      <w:marTop w:val="0"/>
      <w:marBottom w:val="0"/>
      <w:divBdr>
        <w:top w:val="none" w:sz="0" w:space="0" w:color="auto"/>
        <w:left w:val="none" w:sz="0" w:space="0" w:color="auto"/>
        <w:bottom w:val="none" w:sz="0" w:space="0" w:color="auto"/>
        <w:right w:val="none" w:sz="0" w:space="0" w:color="auto"/>
      </w:divBdr>
    </w:div>
    <w:div w:id="1976255324">
      <w:bodyDiv w:val="1"/>
      <w:marLeft w:val="0"/>
      <w:marRight w:val="0"/>
      <w:marTop w:val="0"/>
      <w:marBottom w:val="0"/>
      <w:divBdr>
        <w:top w:val="none" w:sz="0" w:space="0" w:color="auto"/>
        <w:left w:val="none" w:sz="0" w:space="0" w:color="auto"/>
        <w:bottom w:val="none" w:sz="0" w:space="0" w:color="auto"/>
        <w:right w:val="none" w:sz="0" w:space="0" w:color="auto"/>
      </w:divBdr>
    </w:div>
    <w:div w:id="1978950395">
      <w:bodyDiv w:val="1"/>
      <w:marLeft w:val="0"/>
      <w:marRight w:val="0"/>
      <w:marTop w:val="0"/>
      <w:marBottom w:val="0"/>
      <w:divBdr>
        <w:top w:val="none" w:sz="0" w:space="0" w:color="auto"/>
        <w:left w:val="none" w:sz="0" w:space="0" w:color="auto"/>
        <w:bottom w:val="none" w:sz="0" w:space="0" w:color="auto"/>
        <w:right w:val="none" w:sz="0" w:space="0" w:color="auto"/>
      </w:divBdr>
    </w:div>
    <w:div w:id="2075740427">
      <w:bodyDiv w:val="1"/>
      <w:marLeft w:val="0"/>
      <w:marRight w:val="0"/>
      <w:marTop w:val="0"/>
      <w:marBottom w:val="0"/>
      <w:divBdr>
        <w:top w:val="none" w:sz="0" w:space="0" w:color="auto"/>
        <w:left w:val="none" w:sz="0" w:space="0" w:color="auto"/>
        <w:bottom w:val="none" w:sz="0" w:space="0" w:color="auto"/>
        <w:right w:val="none" w:sz="0" w:space="0" w:color="auto"/>
      </w:divBdr>
    </w:div>
    <w:div w:id="21245001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5.xml"/><Relationship Id="rId18" Type="http://schemas.openxmlformats.org/officeDocument/2006/relationships/chart" Target="charts/chart10.xml"/><Relationship Id="rId26" Type="http://schemas.openxmlformats.org/officeDocument/2006/relationships/image" Target="media/image7.png"/><Relationship Id="rId3" Type="http://schemas.openxmlformats.org/officeDocument/2006/relationships/styles" Target="styles.xml"/><Relationship Id="rId21" Type="http://schemas.openxmlformats.org/officeDocument/2006/relationships/image" Target="media/image2.png"/><Relationship Id="rId7" Type="http://schemas.openxmlformats.org/officeDocument/2006/relationships/endnotes" Target="endnotes.xml"/><Relationship Id="rId12" Type="http://schemas.openxmlformats.org/officeDocument/2006/relationships/chart" Target="charts/chart4.xml"/><Relationship Id="rId17" Type="http://schemas.openxmlformats.org/officeDocument/2006/relationships/chart" Target="charts/chart9.xml"/><Relationship Id="rId25" Type="http://schemas.openxmlformats.org/officeDocument/2006/relationships/image" Target="media/image6.png"/><Relationship Id="rId2" Type="http://schemas.openxmlformats.org/officeDocument/2006/relationships/numbering" Target="numbering.xml"/><Relationship Id="rId16" Type="http://schemas.openxmlformats.org/officeDocument/2006/relationships/chart" Target="charts/chart8.xml"/><Relationship Id="rId20" Type="http://schemas.openxmlformats.org/officeDocument/2006/relationships/chart" Target="charts/chart12.xml"/><Relationship Id="rId29"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24" Type="http://schemas.openxmlformats.org/officeDocument/2006/relationships/image" Target="media/image5.pn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chart" Target="charts/chart7.xml"/><Relationship Id="rId23" Type="http://schemas.openxmlformats.org/officeDocument/2006/relationships/image" Target="media/image4.png"/><Relationship Id="rId28" Type="http://schemas.openxmlformats.org/officeDocument/2006/relationships/image" Target="media/image9.png"/><Relationship Id="rId10" Type="http://schemas.openxmlformats.org/officeDocument/2006/relationships/chart" Target="charts/chart2.xml"/><Relationship Id="rId19" Type="http://schemas.openxmlformats.org/officeDocument/2006/relationships/chart" Target="charts/chart11.xm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chart" Target="charts/chart6.xml"/><Relationship Id="rId22" Type="http://schemas.openxmlformats.org/officeDocument/2006/relationships/image" Target="media/image3.png"/><Relationship Id="rId27" Type="http://schemas.openxmlformats.org/officeDocument/2006/relationships/image" Target="media/image8.png"/><Relationship Id="rId30"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2.xml"/><Relationship Id="rId1" Type="http://schemas.microsoft.com/office/2011/relationships/chartStyle" Target="style1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GPM</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Revenue (£ million)</c:v>
                </c:pt>
              </c:strCache>
            </c:strRef>
          </c:tx>
          <c:spPr>
            <a:solidFill>
              <a:schemeClr val="accent1"/>
            </a:solidFill>
            <a:ln>
              <a:noFill/>
            </a:ln>
            <a:effectLst/>
          </c:spPr>
          <c:invertIfNegative val="0"/>
          <c:cat>
            <c:numRef>
              <c:f>Sheet1!$A$2:$A$6</c:f>
              <c:numCache>
                <c:formatCode>General</c:formatCode>
                <c:ptCount val="5"/>
                <c:pt idx="0">
                  <c:v>2019</c:v>
                </c:pt>
                <c:pt idx="1">
                  <c:v>2020</c:v>
                </c:pt>
                <c:pt idx="2">
                  <c:v>2021</c:v>
                </c:pt>
                <c:pt idx="3">
                  <c:v>2022</c:v>
                </c:pt>
                <c:pt idx="4">
                  <c:v>2023</c:v>
                </c:pt>
              </c:numCache>
            </c:numRef>
          </c:cat>
          <c:val>
            <c:numRef>
              <c:f>Sheet1!$B$2:$B$6</c:f>
              <c:numCache>
                <c:formatCode>#,##0</c:formatCode>
                <c:ptCount val="5"/>
                <c:pt idx="0">
                  <c:v>5600</c:v>
                </c:pt>
                <c:pt idx="1">
                  <c:v>6300</c:v>
                </c:pt>
                <c:pt idx="2">
                  <c:v>7000</c:v>
                </c:pt>
                <c:pt idx="3">
                  <c:v>6800</c:v>
                </c:pt>
                <c:pt idx="4">
                  <c:v>7250</c:v>
                </c:pt>
              </c:numCache>
            </c:numRef>
          </c:val>
          <c:extLst>
            <c:ext xmlns:c16="http://schemas.microsoft.com/office/drawing/2014/chart" uri="{C3380CC4-5D6E-409C-BE32-E72D297353CC}">
              <c16:uniqueId val="{00000000-EB75-40A0-BF95-2B7EB5073E3D}"/>
            </c:ext>
          </c:extLst>
        </c:ser>
        <c:ser>
          <c:idx val="1"/>
          <c:order val="1"/>
          <c:tx>
            <c:strRef>
              <c:f>Sheet1!$C$1</c:f>
              <c:strCache>
                <c:ptCount val="1"/>
                <c:pt idx="0">
                  <c:v>Gross Profit (£ million)</c:v>
                </c:pt>
              </c:strCache>
            </c:strRef>
          </c:tx>
          <c:spPr>
            <a:solidFill>
              <a:schemeClr val="accent2"/>
            </a:solidFill>
            <a:ln>
              <a:noFill/>
            </a:ln>
            <a:effectLst/>
          </c:spPr>
          <c:invertIfNegative val="0"/>
          <c:cat>
            <c:numRef>
              <c:f>Sheet1!$A$2:$A$6</c:f>
              <c:numCache>
                <c:formatCode>General</c:formatCode>
                <c:ptCount val="5"/>
                <c:pt idx="0">
                  <c:v>2019</c:v>
                </c:pt>
                <c:pt idx="1">
                  <c:v>2020</c:v>
                </c:pt>
                <c:pt idx="2">
                  <c:v>2021</c:v>
                </c:pt>
                <c:pt idx="3">
                  <c:v>2022</c:v>
                </c:pt>
                <c:pt idx="4">
                  <c:v>2023</c:v>
                </c:pt>
              </c:numCache>
            </c:numRef>
          </c:cat>
          <c:val>
            <c:numRef>
              <c:f>Sheet1!$C$2:$C$6</c:f>
              <c:numCache>
                <c:formatCode>#,##0</c:formatCode>
                <c:ptCount val="5"/>
                <c:pt idx="0">
                  <c:v>2000</c:v>
                </c:pt>
                <c:pt idx="1">
                  <c:v>2300</c:v>
                </c:pt>
                <c:pt idx="2">
                  <c:v>2600</c:v>
                </c:pt>
                <c:pt idx="3">
                  <c:v>2500</c:v>
                </c:pt>
                <c:pt idx="4">
                  <c:v>2700</c:v>
                </c:pt>
              </c:numCache>
            </c:numRef>
          </c:val>
          <c:extLst>
            <c:ext xmlns:c16="http://schemas.microsoft.com/office/drawing/2014/chart" uri="{C3380CC4-5D6E-409C-BE32-E72D297353CC}">
              <c16:uniqueId val="{00000001-EB75-40A0-BF95-2B7EB5073E3D}"/>
            </c:ext>
          </c:extLst>
        </c:ser>
        <c:ser>
          <c:idx val="2"/>
          <c:order val="2"/>
          <c:tx>
            <c:strRef>
              <c:f>Sheet1!$D$1</c:f>
              <c:strCache>
                <c:ptCount val="1"/>
                <c:pt idx="0">
                  <c:v>Gross Profit Margin (%)</c:v>
                </c:pt>
              </c:strCache>
            </c:strRef>
          </c:tx>
          <c:spPr>
            <a:solidFill>
              <a:schemeClr val="accent3"/>
            </a:solidFill>
            <a:ln>
              <a:noFill/>
            </a:ln>
            <a:effectLst/>
          </c:spPr>
          <c:invertIfNegative val="0"/>
          <c:cat>
            <c:numRef>
              <c:f>Sheet1!$A$2:$A$6</c:f>
              <c:numCache>
                <c:formatCode>General</c:formatCode>
                <c:ptCount val="5"/>
                <c:pt idx="0">
                  <c:v>2019</c:v>
                </c:pt>
                <c:pt idx="1">
                  <c:v>2020</c:v>
                </c:pt>
                <c:pt idx="2">
                  <c:v>2021</c:v>
                </c:pt>
                <c:pt idx="3">
                  <c:v>2022</c:v>
                </c:pt>
                <c:pt idx="4">
                  <c:v>2023</c:v>
                </c:pt>
              </c:numCache>
            </c:numRef>
          </c:cat>
          <c:val>
            <c:numRef>
              <c:f>Sheet1!$D$2:$D$6</c:f>
              <c:numCache>
                <c:formatCode>General</c:formatCode>
                <c:ptCount val="5"/>
                <c:pt idx="0">
                  <c:v>35.700000000000003</c:v>
                </c:pt>
                <c:pt idx="1">
                  <c:v>36.5</c:v>
                </c:pt>
                <c:pt idx="2">
                  <c:v>37.1</c:v>
                </c:pt>
                <c:pt idx="3">
                  <c:v>36.799999999999997</c:v>
                </c:pt>
                <c:pt idx="4">
                  <c:v>37.200000000000003</c:v>
                </c:pt>
              </c:numCache>
            </c:numRef>
          </c:val>
          <c:extLst>
            <c:ext xmlns:c16="http://schemas.microsoft.com/office/drawing/2014/chart" uri="{C3380CC4-5D6E-409C-BE32-E72D297353CC}">
              <c16:uniqueId val="{00000002-EB75-40A0-BF95-2B7EB5073E3D}"/>
            </c:ext>
          </c:extLst>
        </c:ser>
        <c:dLbls>
          <c:showLegendKey val="0"/>
          <c:showVal val="0"/>
          <c:showCatName val="0"/>
          <c:showSerName val="0"/>
          <c:showPercent val="0"/>
          <c:showBubbleSize val="0"/>
        </c:dLbls>
        <c:gapWidth val="219"/>
        <c:overlap val="-27"/>
        <c:axId val="463681072"/>
        <c:axId val="463680416"/>
      </c:barChart>
      <c:catAx>
        <c:axId val="46368107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3680416"/>
        <c:crosses val="autoZero"/>
        <c:auto val="1"/>
        <c:lblAlgn val="ctr"/>
        <c:lblOffset val="100"/>
        <c:noMultiLvlLbl val="0"/>
      </c:catAx>
      <c:valAx>
        <c:axId val="463680416"/>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368107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NPM</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Sheet1!$B$10:$B$11</c:f>
              <c:strCache>
                <c:ptCount val="2"/>
                <c:pt idx="0">
                  <c:v>Revenue (£ million)</c:v>
                </c:pt>
              </c:strCache>
            </c:strRef>
          </c:tx>
          <c:spPr>
            <a:solidFill>
              <a:schemeClr val="accent1"/>
            </a:solidFill>
            <a:ln>
              <a:noFill/>
            </a:ln>
            <a:effectLst/>
          </c:spPr>
          <c:invertIfNegative val="0"/>
          <c:cat>
            <c:numRef>
              <c:f>Sheet1!$A$12:$A$16</c:f>
              <c:numCache>
                <c:formatCode>General</c:formatCode>
                <c:ptCount val="5"/>
                <c:pt idx="0">
                  <c:v>2019</c:v>
                </c:pt>
                <c:pt idx="1">
                  <c:v>2020</c:v>
                </c:pt>
                <c:pt idx="2">
                  <c:v>2021</c:v>
                </c:pt>
                <c:pt idx="3">
                  <c:v>2022</c:v>
                </c:pt>
                <c:pt idx="4">
                  <c:v>2023</c:v>
                </c:pt>
              </c:numCache>
            </c:numRef>
          </c:cat>
          <c:val>
            <c:numRef>
              <c:f>Sheet1!$B$12:$B$16</c:f>
              <c:numCache>
                <c:formatCode>#,##0</c:formatCode>
                <c:ptCount val="5"/>
                <c:pt idx="0">
                  <c:v>5600</c:v>
                </c:pt>
                <c:pt idx="1">
                  <c:v>6300</c:v>
                </c:pt>
                <c:pt idx="2">
                  <c:v>7000</c:v>
                </c:pt>
                <c:pt idx="3">
                  <c:v>6800</c:v>
                </c:pt>
                <c:pt idx="4">
                  <c:v>7250</c:v>
                </c:pt>
              </c:numCache>
            </c:numRef>
          </c:val>
          <c:extLst>
            <c:ext xmlns:c16="http://schemas.microsoft.com/office/drawing/2014/chart" uri="{C3380CC4-5D6E-409C-BE32-E72D297353CC}">
              <c16:uniqueId val="{00000000-5802-48B2-94D3-19ECE54F203B}"/>
            </c:ext>
          </c:extLst>
        </c:ser>
        <c:ser>
          <c:idx val="1"/>
          <c:order val="1"/>
          <c:tx>
            <c:strRef>
              <c:f>Sheet1!$C$10:$C$11</c:f>
              <c:strCache>
                <c:ptCount val="2"/>
                <c:pt idx="0">
                  <c:v>Net Profit (£ million)</c:v>
                </c:pt>
              </c:strCache>
            </c:strRef>
          </c:tx>
          <c:spPr>
            <a:solidFill>
              <a:schemeClr val="accent2"/>
            </a:solidFill>
            <a:ln>
              <a:noFill/>
            </a:ln>
            <a:effectLst/>
          </c:spPr>
          <c:invertIfNegative val="0"/>
          <c:cat>
            <c:numRef>
              <c:f>Sheet1!$A$12:$A$16</c:f>
              <c:numCache>
                <c:formatCode>General</c:formatCode>
                <c:ptCount val="5"/>
                <c:pt idx="0">
                  <c:v>2019</c:v>
                </c:pt>
                <c:pt idx="1">
                  <c:v>2020</c:v>
                </c:pt>
                <c:pt idx="2">
                  <c:v>2021</c:v>
                </c:pt>
                <c:pt idx="3">
                  <c:v>2022</c:v>
                </c:pt>
                <c:pt idx="4">
                  <c:v>2023</c:v>
                </c:pt>
              </c:numCache>
            </c:numRef>
          </c:cat>
          <c:val>
            <c:numRef>
              <c:f>Sheet1!$C$12:$C$16</c:f>
              <c:numCache>
                <c:formatCode>General</c:formatCode>
                <c:ptCount val="5"/>
                <c:pt idx="0">
                  <c:v>180</c:v>
                </c:pt>
                <c:pt idx="1">
                  <c:v>240</c:v>
                </c:pt>
                <c:pt idx="2">
                  <c:v>350</c:v>
                </c:pt>
                <c:pt idx="3">
                  <c:v>305</c:v>
                </c:pt>
                <c:pt idx="4">
                  <c:v>348</c:v>
                </c:pt>
              </c:numCache>
            </c:numRef>
          </c:val>
          <c:extLst>
            <c:ext xmlns:c16="http://schemas.microsoft.com/office/drawing/2014/chart" uri="{C3380CC4-5D6E-409C-BE32-E72D297353CC}">
              <c16:uniqueId val="{00000001-5802-48B2-94D3-19ECE54F203B}"/>
            </c:ext>
          </c:extLst>
        </c:ser>
        <c:ser>
          <c:idx val="2"/>
          <c:order val="2"/>
          <c:tx>
            <c:strRef>
              <c:f>Sheet1!$D$10:$D$11</c:f>
              <c:strCache>
                <c:ptCount val="2"/>
                <c:pt idx="0">
                  <c:v>Net Profit Margin (%)</c:v>
                </c:pt>
              </c:strCache>
            </c:strRef>
          </c:tx>
          <c:spPr>
            <a:solidFill>
              <a:schemeClr val="accent3"/>
            </a:solidFill>
            <a:ln>
              <a:noFill/>
            </a:ln>
            <a:effectLst/>
          </c:spPr>
          <c:invertIfNegative val="0"/>
          <c:cat>
            <c:numRef>
              <c:f>Sheet1!$A$12:$A$16</c:f>
              <c:numCache>
                <c:formatCode>General</c:formatCode>
                <c:ptCount val="5"/>
                <c:pt idx="0">
                  <c:v>2019</c:v>
                </c:pt>
                <c:pt idx="1">
                  <c:v>2020</c:v>
                </c:pt>
                <c:pt idx="2">
                  <c:v>2021</c:v>
                </c:pt>
                <c:pt idx="3">
                  <c:v>2022</c:v>
                </c:pt>
                <c:pt idx="4">
                  <c:v>2023</c:v>
                </c:pt>
              </c:numCache>
            </c:numRef>
          </c:cat>
          <c:val>
            <c:numRef>
              <c:f>Sheet1!$D$12:$D$16</c:f>
              <c:numCache>
                <c:formatCode>General</c:formatCode>
                <c:ptCount val="5"/>
                <c:pt idx="0">
                  <c:v>3.2</c:v>
                </c:pt>
                <c:pt idx="1">
                  <c:v>3.8</c:v>
                </c:pt>
                <c:pt idx="2">
                  <c:v>5</c:v>
                </c:pt>
                <c:pt idx="3">
                  <c:v>4.5</c:v>
                </c:pt>
                <c:pt idx="4">
                  <c:v>4.8</c:v>
                </c:pt>
              </c:numCache>
            </c:numRef>
          </c:val>
          <c:extLst>
            <c:ext xmlns:c16="http://schemas.microsoft.com/office/drawing/2014/chart" uri="{C3380CC4-5D6E-409C-BE32-E72D297353CC}">
              <c16:uniqueId val="{00000002-5802-48B2-94D3-19ECE54F203B}"/>
            </c:ext>
          </c:extLst>
        </c:ser>
        <c:dLbls>
          <c:showLegendKey val="0"/>
          <c:showVal val="0"/>
          <c:showCatName val="0"/>
          <c:showSerName val="0"/>
          <c:showPercent val="0"/>
          <c:showBubbleSize val="0"/>
        </c:dLbls>
        <c:gapWidth val="219"/>
        <c:overlap val="-27"/>
        <c:axId val="461890608"/>
        <c:axId val="461887656"/>
      </c:barChart>
      <c:catAx>
        <c:axId val="46189060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1887656"/>
        <c:crosses val="autoZero"/>
        <c:auto val="1"/>
        <c:lblAlgn val="ctr"/>
        <c:lblOffset val="100"/>
        <c:noMultiLvlLbl val="0"/>
      </c:catAx>
      <c:valAx>
        <c:axId val="461887656"/>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189060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Current ratio</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Sheet1!$B$19</c:f>
              <c:strCache>
                <c:ptCount val="1"/>
                <c:pt idx="0">
                  <c:v>Current Assets (£ million)</c:v>
                </c:pt>
              </c:strCache>
            </c:strRef>
          </c:tx>
          <c:spPr>
            <a:solidFill>
              <a:schemeClr val="accent1"/>
            </a:solidFill>
            <a:ln>
              <a:noFill/>
            </a:ln>
            <a:effectLst/>
          </c:spPr>
          <c:invertIfNegative val="0"/>
          <c:cat>
            <c:numRef>
              <c:f>Sheet1!$A$20:$A$24</c:f>
              <c:numCache>
                <c:formatCode>General</c:formatCode>
                <c:ptCount val="5"/>
                <c:pt idx="0">
                  <c:v>2019</c:v>
                </c:pt>
                <c:pt idx="1">
                  <c:v>2020</c:v>
                </c:pt>
                <c:pt idx="2">
                  <c:v>2021</c:v>
                </c:pt>
                <c:pt idx="3">
                  <c:v>2022</c:v>
                </c:pt>
                <c:pt idx="4">
                  <c:v>2023</c:v>
                </c:pt>
              </c:numCache>
            </c:numRef>
          </c:cat>
          <c:val>
            <c:numRef>
              <c:f>Sheet1!$B$20:$B$24</c:f>
              <c:numCache>
                <c:formatCode>#,##0</c:formatCode>
                <c:ptCount val="5"/>
                <c:pt idx="0">
                  <c:v>2800</c:v>
                </c:pt>
                <c:pt idx="1">
                  <c:v>3150</c:v>
                </c:pt>
                <c:pt idx="2">
                  <c:v>3800</c:v>
                </c:pt>
                <c:pt idx="3">
                  <c:v>3700</c:v>
                </c:pt>
                <c:pt idx="4">
                  <c:v>4250</c:v>
                </c:pt>
              </c:numCache>
            </c:numRef>
          </c:val>
          <c:extLst>
            <c:ext xmlns:c16="http://schemas.microsoft.com/office/drawing/2014/chart" uri="{C3380CC4-5D6E-409C-BE32-E72D297353CC}">
              <c16:uniqueId val="{00000000-3063-486E-8378-965253A00A5B}"/>
            </c:ext>
          </c:extLst>
        </c:ser>
        <c:ser>
          <c:idx val="1"/>
          <c:order val="1"/>
          <c:tx>
            <c:strRef>
              <c:f>Sheet1!$C$19</c:f>
              <c:strCache>
                <c:ptCount val="1"/>
                <c:pt idx="0">
                  <c:v>Current Liabilities (£ million)</c:v>
                </c:pt>
              </c:strCache>
            </c:strRef>
          </c:tx>
          <c:spPr>
            <a:solidFill>
              <a:schemeClr val="accent2"/>
            </a:solidFill>
            <a:ln>
              <a:noFill/>
            </a:ln>
            <a:effectLst/>
          </c:spPr>
          <c:invertIfNegative val="0"/>
          <c:cat>
            <c:numRef>
              <c:f>Sheet1!$A$20:$A$24</c:f>
              <c:numCache>
                <c:formatCode>General</c:formatCode>
                <c:ptCount val="5"/>
                <c:pt idx="0">
                  <c:v>2019</c:v>
                </c:pt>
                <c:pt idx="1">
                  <c:v>2020</c:v>
                </c:pt>
                <c:pt idx="2">
                  <c:v>2021</c:v>
                </c:pt>
                <c:pt idx="3">
                  <c:v>2022</c:v>
                </c:pt>
                <c:pt idx="4">
                  <c:v>2023</c:v>
                </c:pt>
              </c:numCache>
            </c:numRef>
          </c:cat>
          <c:val>
            <c:numRef>
              <c:f>Sheet1!$C$20:$C$24</c:f>
              <c:numCache>
                <c:formatCode>#,##0</c:formatCode>
                <c:ptCount val="5"/>
                <c:pt idx="0">
                  <c:v>2150</c:v>
                </c:pt>
                <c:pt idx="1">
                  <c:v>2250</c:v>
                </c:pt>
                <c:pt idx="2">
                  <c:v>2375</c:v>
                </c:pt>
                <c:pt idx="3">
                  <c:v>2450</c:v>
                </c:pt>
                <c:pt idx="4">
                  <c:v>2500</c:v>
                </c:pt>
              </c:numCache>
            </c:numRef>
          </c:val>
          <c:extLst>
            <c:ext xmlns:c16="http://schemas.microsoft.com/office/drawing/2014/chart" uri="{C3380CC4-5D6E-409C-BE32-E72D297353CC}">
              <c16:uniqueId val="{00000001-3063-486E-8378-965253A00A5B}"/>
            </c:ext>
          </c:extLst>
        </c:ser>
        <c:ser>
          <c:idx val="2"/>
          <c:order val="2"/>
          <c:tx>
            <c:strRef>
              <c:f>Sheet1!$D$19</c:f>
              <c:strCache>
                <c:ptCount val="1"/>
                <c:pt idx="0">
                  <c:v>Current Ratio</c:v>
                </c:pt>
              </c:strCache>
            </c:strRef>
          </c:tx>
          <c:spPr>
            <a:solidFill>
              <a:schemeClr val="accent3"/>
            </a:solidFill>
            <a:ln>
              <a:noFill/>
            </a:ln>
            <a:effectLst/>
          </c:spPr>
          <c:invertIfNegative val="0"/>
          <c:cat>
            <c:numRef>
              <c:f>Sheet1!$A$20:$A$24</c:f>
              <c:numCache>
                <c:formatCode>General</c:formatCode>
                <c:ptCount val="5"/>
                <c:pt idx="0">
                  <c:v>2019</c:v>
                </c:pt>
                <c:pt idx="1">
                  <c:v>2020</c:v>
                </c:pt>
                <c:pt idx="2">
                  <c:v>2021</c:v>
                </c:pt>
                <c:pt idx="3">
                  <c:v>2022</c:v>
                </c:pt>
                <c:pt idx="4">
                  <c:v>2023</c:v>
                </c:pt>
              </c:numCache>
            </c:numRef>
          </c:cat>
          <c:val>
            <c:numRef>
              <c:f>Sheet1!$D$20:$D$24</c:f>
              <c:numCache>
                <c:formatCode>General</c:formatCode>
                <c:ptCount val="5"/>
                <c:pt idx="0">
                  <c:v>1.3</c:v>
                </c:pt>
                <c:pt idx="1">
                  <c:v>1.4</c:v>
                </c:pt>
                <c:pt idx="2">
                  <c:v>1.6</c:v>
                </c:pt>
                <c:pt idx="3">
                  <c:v>1.5</c:v>
                </c:pt>
                <c:pt idx="4">
                  <c:v>1.7</c:v>
                </c:pt>
              </c:numCache>
            </c:numRef>
          </c:val>
          <c:extLst>
            <c:ext xmlns:c16="http://schemas.microsoft.com/office/drawing/2014/chart" uri="{C3380CC4-5D6E-409C-BE32-E72D297353CC}">
              <c16:uniqueId val="{00000002-3063-486E-8378-965253A00A5B}"/>
            </c:ext>
          </c:extLst>
        </c:ser>
        <c:dLbls>
          <c:showLegendKey val="0"/>
          <c:showVal val="0"/>
          <c:showCatName val="0"/>
          <c:showSerName val="0"/>
          <c:showPercent val="0"/>
          <c:showBubbleSize val="0"/>
        </c:dLbls>
        <c:gapWidth val="219"/>
        <c:overlap val="-27"/>
        <c:axId val="460562928"/>
        <c:axId val="460568504"/>
      </c:barChart>
      <c:catAx>
        <c:axId val="46056292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0568504"/>
        <c:crosses val="autoZero"/>
        <c:auto val="1"/>
        <c:lblAlgn val="ctr"/>
        <c:lblOffset val="100"/>
        <c:noMultiLvlLbl val="0"/>
      </c:catAx>
      <c:valAx>
        <c:axId val="460568504"/>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056292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Quick Ratio</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Sheet1!$B$27</c:f>
              <c:strCache>
                <c:ptCount val="1"/>
                <c:pt idx="0">
                  <c:v>Current Assets (£ million)</c:v>
                </c:pt>
              </c:strCache>
            </c:strRef>
          </c:tx>
          <c:spPr>
            <a:solidFill>
              <a:schemeClr val="accent1"/>
            </a:solidFill>
            <a:ln>
              <a:noFill/>
            </a:ln>
            <a:effectLst/>
          </c:spPr>
          <c:invertIfNegative val="0"/>
          <c:cat>
            <c:numRef>
              <c:f>Sheet1!$A$28:$A$32</c:f>
              <c:numCache>
                <c:formatCode>General</c:formatCode>
                <c:ptCount val="5"/>
                <c:pt idx="0">
                  <c:v>2019</c:v>
                </c:pt>
                <c:pt idx="1">
                  <c:v>2020</c:v>
                </c:pt>
                <c:pt idx="2">
                  <c:v>2021</c:v>
                </c:pt>
                <c:pt idx="3">
                  <c:v>2022</c:v>
                </c:pt>
                <c:pt idx="4">
                  <c:v>2023</c:v>
                </c:pt>
              </c:numCache>
            </c:numRef>
          </c:cat>
          <c:val>
            <c:numRef>
              <c:f>Sheet1!$B$28:$B$32</c:f>
              <c:numCache>
                <c:formatCode>#,##0</c:formatCode>
                <c:ptCount val="5"/>
                <c:pt idx="0">
                  <c:v>2800</c:v>
                </c:pt>
                <c:pt idx="1">
                  <c:v>3150</c:v>
                </c:pt>
                <c:pt idx="2">
                  <c:v>3800</c:v>
                </c:pt>
                <c:pt idx="3">
                  <c:v>3700</c:v>
                </c:pt>
                <c:pt idx="4">
                  <c:v>4250</c:v>
                </c:pt>
              </c:numCache>
            </c:numRef>
          </c:val>
          <c:extLst>
            <c:ext xmlns:c16="http://schemas.microsoft.com/office/drawing/2014/chart" uri="{C3380CC4-5D6E-409C-BE32-E72D297353CC}">
              <c16:uniqueId val="{00000000-9F2B-424C-BE3F-8B4A0D90FF89}"/>
            </c:ext>
          </c:extLst>
        </c:ser>
        <c:ser>
          <c:idx val="1"/>
          <c:order val="1"/>
          <c:tx>
            <c:strRef>
              <c:f>Sheet1!$C$27</c:f>
              <c:strCache>
                <c:ptCount val="1"/>
                <c:pt idx="0">
                  <c:v>Inventories (£ million)</c:v>
                </c:pt>
              </c:strCache>
            </c:strRef>
          </c:tx>
          <c:spPr>
            <a:solidFill>
              <a:schemeClr val="accent2"/>
            </a:solidFill>
            <a:ln>
              <a:noFill/>
            </a:ln>
            <a:effectLst/>
          </c:spPr>
          <c:invertIfNegative val="0"/>
          <c:cat>
            <c:numRef>
              <c:f>Sheet1!$A$28:$A$32</c:f>
              <c:numCache>
                <c:formatCode>General</c:formatCode>
                <c:ptCount val="5"/>
                <c:pt idx="0">
                  <c:v>2019</c:v>
                </c:pt>
                <c:pt idx="1">
                  <c:v>2020</c:v>
                </c:pt>
                <c:pt idx="2">
                  <c:v>2021</c:v>
                </c:pt>
                <c:pt idx="3">
                  <c:v>2022</c:v>
                </c:pt>
                <c:pt idx="4">
                  <c:v>2023</c:v>
                </c:pt>
              </c:numCache>
            </c:numRef>
          </c:cat>
          <c:val>
            <c:numRef>
              <c:f>Sheet1!$C$28:$C$32</c:f>
              <c:numCache>
                <c:formatCode>#,##0</c:formatCode>
                <c:ptCount val="5"/>
                <c:pt idx="0">
                  <c:v>1150</c:v>
                </c:pt>
                <c:pt idx="1">
                  <c:v>1300</c:v>
                </c:pt>
                <c:pt idx="2">
                  <c:v>1350</c:v>
                </c:pt>
                <c:pt idx="3">
                  <c:v>1300</c:v>
                </c:pt>
                <c:pt idx="4">
                  <c:v>1300</c:v>
                </c:pt>
              </c:numCache>
            </c:numRef>
          </c:val>
          <c:extLst>
            <c:ext xmlns:c16="http://schemas.microsoft.com/office/drawing/2014/chart" uri="{C3380CC4-5D6E-409C-BE32-E72D297353CC}">
              <c16:uniqueId val="{00000001-9F2B-424C-BE3F-8B4A0D90FF89}"/>
            </c:ext>
          </c:extLst>
        </c:ser>
        <c:ser>
          <c:idx val="2"/>
          <c:order val="2"/>
          <c:tx>
            <c:strRef>
              <c:f>Sheet1!$D$27</c:f>
              <c:strCache>
                <c:ptCount val="1"/>
                <c:pt idx="0">
                  <c:v>Current Liabilities (£ million)</c:v>
                </c:pt>
              </c:strCache>
            </c:strRef>
          </c:tx>
          <c:spPr>
            <a:solidFill>
              <a:schemeClr val="accent3"/>
            </a:solidFill>
            <a:ln>
              <a:noFill/>
            </a:ln>
            <a:effectLst/>
          </c:spPr>
          <c:invertIfNegative val="0"/>
          <c:cat>
            <c:numRef>
              <c:f>Sheet1!$A$28:$A$32</c:f>
              <c:numCache>
                <c:formatCode>General</c:formatCode>
                <c:ptCount val="5"/>
                <c:pt idx="0">
                  <c:v>2019</c:v>
                </c:pt>
                <c:pt idx="1">
                  <c:v>2020</c:v>
                </c:pt>
                <c:pt idx="2">
                  <c:v>2021</c:v>
                </c:pt>
                <c:pt idx="3">
                  <c:v>2022</c:v>
                </c:pt>
                <c:pt idx="4">
                  <c:v>2023</c:v>
                </c:pt>
              </c:numCache>
            </c:numRef>
          </c:cat>
          <c:val>
            <c:numRef>
              <c:f>Sheet1!$D$28:$D$32</c:f>
              <c:numCache>
                <c:formatCode>#,##0</c:formatCode>
                <c:ptCount val="5"/>
                <c:pt idx="0">
                  <c:v>2150</c:v>
                </c:pt>
                <c:pt idx="1">
                  <c:v>2250</c:v>
                </c:pt>
                <c:pt idx="2">
                  <c:v>2375</c:v>
                </c:pt>
                <c:pt idx="3">
                  <c:v>2450</c:v>
                </c:pt>
                <c:pt idx="4">
                  <c:v>2500</c:v>
                </c:pt>
              </c:numCache>
            </c:numRef>
          </c:val>
          <c:extLst>
            <c:ext xmlns:c16="http://schemas.microsoft.com/office/drawing/2014/chart" uri="{C3380CC4-5D6E-409C-BE32-E72D297353CC}">
              <c16:uniqueId val="{00000002-9F2B-424C-BE3F-8B4A0D90FF89}"/>
            </c:ext>
          </c:extLst>
        </c:ser>
        <c:ser>
          <c:idx val="3"/>
          <c:order val="3"/>
          <c:tx>
            <c:strRef>
              <c:f>Sheet1!$E$27</c:f>
              <c:strCache>
                <c:ptCount val="1"/>
                <c:pt idx="0">
                  <c:v>Quick Ratio</c:v>
                </c:pt>
              </c:strCache>
            </c:strRef>
          </c:tx>
          <c:spPr>
            <a:solidFill>
              <a:schemeClr val="accent4"/>
            </a:solidFill>
            <a:ln>
              <a:noFill/>
            </a:ln>
            <a:effectLst/>
          </c:spPr>
          <c:invertIfNegative val="0"/>
          <c:cat>
            <c:numRef>
              <c:f>Sheet1!$A$28:$A$32</c:f>
              <c:numCache>
                <c:formatCode>General</c:formatCode>
                <c:ptCount val="5"/>
                <c:pt idx="0">
                  <c:v>2019</c:v>
                </c:pt>
                <c:pt idx="1">
                  <c:v>2020</c:v>
                </c:pt>
                <c:pt idx="2">
                  <c:v>2021</c:v>
                </c:pt>
                <c:pt idx="3">
                  <c:v>2022</c:v>
                </c:pt>
                <c:pt idx="4">
                  <c:v>2023</c:v>
                </c:pt>
              </c:numCache>
            </c:numRef>
          </c:cat>
          <c:val>
            <c:numRef>
              <c:f>Sheet1!$E$28:$E$32</c:f>
              <c:numCache>
                <c:formatCode>General</c:formatCode>
                <c:ptCount val="5"/>
                <c:pt idx="0">
                  <c:v>0.8</c:v>
                </c:pt>
                <c:pt idx="1">
                  <c:v>0.9</c:v>
                </c:pt>
                <c:pt idx="2">
                  <c:v>1</c:v>
                </c:pt>
                <c:pt idx="3">
                  <c:v>1</c:v>
                </c:pt>
                <c:pt idx="4">
                  <c:v>1.2</c:v>
                </c:pt>
              </c:numCache>
            </c:numRef>
          </c:val>
          <c:extLst>
            <c:ext xmlns:c16="http://schemas.microsoft.com/office/drawing/2014/chart" uri="{C3380CC4-5D6E-409C-BE32-E72D297353CC}">
              <c16:uniqueId val="{00000003-9F2B-424C-BE3F-8B4A0D90FF89}"/>
            </c:ext>
          </c:extLst>
        </c:ser>
        <c:dLbls>
          <c:showLegendKey val="0"/>
          <c:showVal val="0"/>
          <c:showCatName val="0"/>
          <c:showSerName val="0"/>
          <c:showPercent val="0"/>
          <c:showBubbleSize val="0"/>
        </c:dLbls>
        <c:gapWidth val="219"/>
        <c:overlap val="-27"/>
        <c:axId val="456058256"/>
        <c:axId val="456054648"/>
      </c:barChart>
      <c:catAx>
        <c:axId val="45605825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6054648"/>
        <c:crosses val="autoZero"/>
        <c:auto val="1"/>
        <c:lblAlgn val="ctr"/>
        <c:lblOffset val="100"/>
        <c:noMultiLvlLbl val="0"/>
      </c:catAx>
      <c:valAx>
        <c:axId val="456054648"/>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605825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DTE Ratio</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Sheet1!$B$36</c:f>
              <c:strCache>
                <c:ptCount val="1"/>
                <c:pt idx="0">
                  <c:v>Total Debt (£ million)</c:v>
                </c:pt>
              </c:strCache>
            </c:strRef>
          </c:tx>
          <c:spPr>
            <a:solidFill>
              <a:schemeClr val="accent1"/>
            </a:solidFill>
            <a:ln>
              <a:noFill/>
            </a:ln>
            <a:effectLst/>
          </c:spPr>
          <c:invertIfNegative val="0"/>
          <c:cat>
            <c:numRef>
              <c:f>Sheet1!$A$37:$A$41</c:f>
              <c:numCache>
                <c:formatCode>General</c:formatCode>
                <c:ptCount val="5"/>
                <c:pt idx="0">
                  <c:v>2019</c:v>
                </c:pt>
                <c:pt idx="1">
                  <c:v>2020</c:v>
                </c:pt>
                <c:pt idx="2">
                  <c:v>2021</c:v>
                </c:pt>
                <c:pt idx="3">
                  <c:v>2022</c:v>
                </c:pt>
                <c:pt idx="4">
                  <c:v>2023</c:v>
                </c:pt>
              </c:numCache>
            </c:numRef>
          </c:cat>
          <c:val>
            <c:numRef>
              <c:f>Sheet1!$B$37:$B$41</c:f>
              <c:numCache>
                <c:formatCode>#,##0</c:formatCode>
                <c:ptCount val="5"/>
                <c:pt idx="0">
                  <c:v>1200</c:v>
                </c:pt>
                <c:pt idx="1">
                  <c:v>1500</c:v>
                </c:pt>
                <c:pt idx="2">
                  <c:v>1800</c:v>
                </c:pt>
                <c:pt idx="3">
                  <c:v>1650</c:v>
                </c:pt>
                <c:pt idx="4">
                  <c:v>1700</c:v>
                </c:pt>
              </c:numCache>
            </c:numRef>
          </c:val>
          <c:extLst>
            <c:ext xmlns:c16="http://schemas.microsoft.com/office/drawing/2014/chart" uri="{C3380CC4-5D6E-409C-BE32-E72D297353CC}">
              <c16:uniqueId val="{00000000-D700-4DC2-AAF6-0E5E86FE7309}"/>
            </c:ext>
          </c:extLst>
        </c:ser>
        <c:ser>
          <c:idx val="1"/>
          <c:order val="1"/>
          <c:tx>
            <c:strRef>
              <c:f>Sheet1!$C$36</c:f>
              <c:strCache>
                <c:ptCount val="1"/>
                <c:pt idx="0">
                  <c:v>Total Equity (£ million)</c:v>
                </c:pt>
              </c:strCache>
            </c:strRef>
          </c:tx>
          <c:spPr>
            <a:solidFill>
              <a:schemeClr val="accent2"/>
            </a:solidFill>
            <a:ln>
              <a:noFill/>
            </a:ln>
            <a:effectLst/>
          </c:spPr>
          <c:invertIfNegative val="0"/>
          <c:cat>
            <c:numRef>
              <c:f>Sheet1!$A$37:$A$41</c:f>
              <c:numCache>
                <c:formatCode>General</c:formatCode>
                <c:ptCount val="5"/>
                <c:pt idx="0">
                  <c:v>2019</c:v>
                </c:pt>
                <c:pt idx="1">
                  <c:v>2020</c:v>
                </c:pt>
                <c:pt idx="2">
                  <c:v>2021</c:v>
                </c:pt>
                <c:pt idx="3">
                  <c:v>2022</c:v>
                </c:pt>
                <c:pt idx="4">
                  <c:v>2023</c:v>
                </c:pt>
              </c:numCache>
            </c:numRef>
          </c:cat>
          <c:val>
            <c:numRef>
              <c:f>Sheet1!$C$37:$C$41</c:f>
              <c:numCache>
                <c:formatCode>#,##0</c:formatCode>
                <c:ptCount val="5"/>
                <c:pt idx="0">
                  <c:v>3000</c:v>
                </c:pt>
                <c:pt idx="1">
                  <c:v>3000</c:v>
                </c:pt>
                <c:pt idx="2">
                  <c:v>3000</c:v>
                </c:pt>
                <c:pt idx="3">
                  <c:v>3100</c:v>
                </c:pt>
                <c:pt idx="4">
                  <c:v>3300</c:v>
                </c:pt>
              </c:numCache>
            </c:numRef>
          </c:val>
          <c:extLst>
            <c:ext xmlns:c16="http://schemas.microsoft.com/office/drawing/2014/chart" uri="{C3380CC4-5D6E-409C-BE32-E72D297353CC}">
              <c16:uniqueId val="{00000001-D700-4DC2-AAF6-0E5E86FE7309}"/>
            </c:ext>
          </c:extLst>
        </c:ser>
        <c:ser>
          <c:idx val="2"/>
          <c:order val="2"/>
          <c:tx>
            <c:strRef>
              <c:f>Sheet1!$D$36</c:f>
              <c:strCache>
                <c:ptCount val="1"/>
                <c:pt idx="0">
                  <c:v>Debt-to-Equity Ratio</c:v>
                </c:pt>
              </c:strCache>
            </c:strRef>
          </c:tx>
          <c:spPr>
            <a:solidFill>
              <a:schemeClr val="accent3"/>
            </a:solidFill>
            <a:ln>
              <a:noFill/>
            </a:ln>
            <a:effectLst/>
          </c:spPr>
          <c:invertIfNegative val="0"/>
          <c:cat>
            <c:numRef>
              <c:f>Sheet1!$A$37:$A$41</c:f>
              <c:numCache>
                <c:formatCode>General</c:formatCode>
                <c:ptCount val="5"/>
                <c:pt idx="0">
                  <c:v>2019</c:v>
                </c:pt>
                <c:pt idx="1">
                  <c:v>2020</c:v>
                </c:pt>
                <c:pt idx="2">
                  <c:v>2021</c:v>
                </c:pt>
                <c:pt idx="3">
                  <c:v>2022</c:v>
                </c:pt>
                <c:pt idx="4">
                  <c:v>2023</c:v>
                </c:pt>
              </c:numCache>
            </c:numRef>
          </c:cat>
          <c:val>
            <c:numRef>
              <c:f>Sheet1!$D$37:$D$41</c:f>
              <c:numCache>
                <c:formatCode>General</c:formatCode>
                <c:ptCount val="5"/>
                <c:pt idx="0">
                  <c:v>0.4</c:v>
                </c:pt>
                <c:pt idx="1">
                  <c:v>0.5</c:v>
                </c:pt>
                <c:pt idx="2">
                  <c:v>0.6</c:v>
                </c:pt>
                <c:pt idx="3">
                  <c:v>0.5</c:v>
                </c:pt>
                <c:pt idx="4">
                  <c:v>0.5</c:v>
                </c:pt>
              </c:numCache>
            </c:numRef>
          </c:val>
          <c:extLst>
            <c:ext xmlns:c16="http://schemas.microsoft.com/office/drawing/2014/chart" uri="{C3380CC4-5D6E-409C-BE32-E72D297353CC}">
              <c16:uniqueId val="{00000002-D700-4DC2-AAF6-0E5E86FE7309}"/>
            </c:ext>
          </c:extLst>
        </c:ser>
        <c:dLbls>
          <c:showLegendKey val="0"/>
          <c:showVal val="0"/>
          <c:showCatName val="0"/>
          <c:showSerName val="0"/>
          <c:showPercent val="0"/>
          <c:showBubbleSize val="0"/>
        </c:dLbls>
        <c:gapWidth val="219"/>
        <c:overlap val="-27"/>
        <c:axId val="345079984"/>
        <c:axId val="345080640"/>
      </c:barChart>
      <c:catAx>
        <c:axId val="34507998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5080640"/>
        <c:crosses val="autoZero"/>
        <c:auto val="1"/>
        <c:lblAlgn val="ctr"/>
        <c:lblOffset val="100"/>
        <c:noMultiLvlLbl val="0"/>
      </c:catAx>
      <c:valAx>
        <c:axId val="345080640"/>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507998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ITR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Sheet1!$B$45</c:f>
              <c:strCache>
                <c:ptCount val="1"/>
                <c:pt idx="0">
                  <c:v>Cost of Goods Sold (£ million)</c:v>
                </c:pt>
              </c:strCache>
            </c:strRef>
          </c:tx>
          <c:spPr>
            <a:solidFill>
              <a:schemeClr val="accent1"/>
            </a:solidFill>
            <a:ln>
              <a:noFill/>
            </a:ln>
            <a:effectLst/>
          </c:spPr>
          <c:invertIfNegative val="0"/>
          <c:cat>
            <c:numRef>
              <c:f>Sheet1!$A$46:$A$50</c:f>
              <c:numCache>
                <c:formatCode>General</c:formatCode>
                <c:ptCount val="5"/>
                <c:pt idx="0">
                  <c:v>2019</c:v>
                </c:pt>
                <c:pt idx="1">
                  <c:v>2020</c:v>
                </c:pt>
                <c:pt idx="2">
                  <c:v>2021</c:v>
                </c:pt>
                <c:pt idx="3">
                  <c:v>2022</c:v>
                </c:pt>
                <c:pt idx="4">
                  <c:v>2023</c:v>
                </c:pt>
              </c:numCache>
            </c:numRef>
          </c:cat>
          <c:val>
            <c:numRef>
              <c:f>Sheet1!$B$46:$B$50</c:f>
              <c:numCache>
                <c:formatCode>#,##0</c:formatCode>
                <c:ptCount val="5"/>
                <c:pt idx="0">
                  <c:v>3600</c:v>
                </c:pt>
                <c:pt idx="1">
                  <c:v>4000</c:v>
                </c:pt>
                <c:pt idx="2">
                  <c:v>4400</c:v>
                </c:pt>
                <c:pt idx="3">
                  <c:v>4300</c:v>
                </c:pt>
                <c:pt idx="4">
                  <c:v>4550</c:v>
                </c:pt>
              </c:numCache>
            </c:numRef>
          </c:val>
          <c:extLst>
            <c:ext xmlns:c16="http://schemas.microsoft.com/office/drawing/2014/chart" uri="{C3380CC4-5D6E-409C-BE32-E72D297353CC}">
              <c16:uniqueId val="{00000000-965E-413E-A6BD-CBAD88C5A761}"/>
            </c:ext>
          </c:extLst>
        </c:ser>
        <c:ser>
          <c:idx val="1"/>
          <c:order val="1"/>
          <c:tx>
            <c:strRef>
              <c:f>Sheet1!$C$45</c:f>
              <c:strCache>
                <c:ptCount val="1"/>
                <c:pt idx="0">
                  <c:v>Average Inventory (£ million)</c:v>
                </c:pt>
              </c:strCache>
            </c:strRef>
          </c:tx>
          <c:spPr>
            <a:solidFill>
              <a:schemeClr val="accent2"/>
            </a:solidFill>
            <a:ln>
              <a:noFill/>
            </a:ln>
            <a:effectLst/>
          </c:spPr>
          <c:invertIfNegative val="0"/>
          <c:cat>
            <c:numRef>
              <c:f>Sheet1!$A$46:$A$50</c:f>
              <c:numCache>
                <c:formatCode>General</c:formatCode>
                <c:ptCount val="5"/>
                <c:pt idx="0">
                  <c:v>2019</c:v>
                </c:pt>
                <c:pt idx="1">
                  <c:v>2020</c:v>
                </c:pt>
                <c:pt idx="2">
                  <c:v>2021</c:v>
                </c:pt>
                <c:pt idx="3">
                  <c:v>2022</c:v>
                </c:pt>
                <c:pt idx="4">
                  <c:v>2023</c:v>
                </c:pt>
              </c:numCache>
            </c:numRef>
          </c:cat>
          <c:val>
            <c:numRef>
              <c:f>Sheet1!$C$46:$C$50</c:f>
              <c:numCache>
                <c:formatCode>#,##0</c:formatCode>
                <c:ptCount val="5"/>
                <c:pt idx="0" formatCode="General">
                  <c:v>850</c:v>
                </c:pt>
                <c:pt idx="1">
                  <c:v>1000</c:v>
                </c:pt>
                <c:pt idx="2" formatCode="General">
                  <c:v>975</c:v>
                </c:pt>
                <c:pt idx="3">
                  <c:v>1000</c:v>
                </c:pt>
                <c:pt idx="4">
                  <c:v>1025</c:v>
                </c:pt>
              </c:numCache>
            </c:numRef>
          </c:val>
          <c:extLst>
            <c:ext xmlns:c16="http://schemas.microsoft.com/office/drawing/2014/chart" uri="{C3380CC4-5D6E-409C-BE32-E72D297353CC}">
              <c16:uniqueId val="{00000001-965E-413E-A6BD-CBAD88C5A761}"/>
            </c:ext>
          </c:extLst>
        </c:ser>
        <c:ser>
          <c:idx val="2"/>
          <c:order val="2"/>
          <c:tx>
            <c:strRef>
              <c:f>Sheet1!$D$45</c:f>
              <c:strCache>
                <c:ptCount val="1"/>
                <c:pt idx="0">
                  <c:v>Inventory Turnover</c:v>
                </c:pt>
              </c:strCache>
            </c:strRef>
          </c:tx>
          <c:spPr>
            <a:solidFill>
              <a:schemeClr val="accent3"/>
            </a:solidFill>
            <a:ln>
              <a:noFill/>
            </a:ln>
            <a:effectLst/>
          </c:spPr>
          <c:invertIfNegative val="0"/>
          <c:cat>
            <c:numRef>
              <c:f>Sheet1!$A$46:$A$50</c:f>
              <c:numCache>
                <c:formatCode>General</c:formatCode>
                <c:ptCount val="5"/>
                <c:pt idx="0">
                  <c:v>2019</c:v>
                </c:pt>
                <c:pt idx="1">
                  <c:v>2020</c:v>
                </c:pt>
                <c:pt idx="2">
                  <c:v>2021</c:v>
                </c:pt>
                <c:pt idx="3">
                  <c:v>2022</c:v>
                </c:pt>
                <c:pt idx="4">
                  <c:v>2023</c:v>
                </c:pt>
              </c:numCache>
            </c:numRef>
          </c:cat>
          <c:val>
            <c:numRef>
              <c:f>Sheet1!$D$46:$D$50</c:f>
              <c:numCache>
                <c:formatCode>General</c:formatCode>
                <c:ptCount val="5"/>
                <c:pt idx="0">
                  <c:v>4.2</c:v>
                </c:pt>
                <c:pt idx="1">
                  <c:v>4</c:v>
                </c:pt>
                <c:pt idx="2">
                  <c:v>4.5</c:v>
                </c:pt>
                <c:pt idx="3">
                  <c:v>4.3</c:v>
                </c:pt>
                <c:pt idx="4">
                  <c:v>4.4000000000000004</c:v>
                </c:pt>
              </c:numCache>
            </c:numRef>
          </c:val>
          <c:extLst>
            <c:ext xmlns:c16="http://schemas.microsoft.com/office/drawing/2014/chart" uri="{C3380CC4-5D6E-409C-BE32-E72D297353CC}">
              <c16:uniqueId val="{00000002-965E-413E-A6BD-CBAD88C5A761}"/>
            </c:ext>
          </c:extLst>
        </c:ser>
        <c:dLbls>
          <c:showLegendKey val="0"/>
          <c:showVal val="0"/>
          <c:showCatName val="0"/>
          <c:showSerName val="0"/>
          <c:showPercent val="0"/>
          <c:showBubbleSize val="0"/>
        </c:dLbls>
        <c:gapWidth val="219"/>
        <c:overlap val="-27"/>
        <c:axId val="460562272"/>
        <c:axId val="460564240"/>
      </c:barChart>
      <c:catAx>
        <c:axId val="46056227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0564240"/>
        <c:crosses val="autoZero"/>
        <c:auto val="1"/>
        <c:lblAlgn val="ctr"/>
        <c:lblOffset val="100"/>
        <c:noMultiLvlLbl val="0"/>
      </c:catAx>
      <c:valAx>
        <c:axId val="460564240"/>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056227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RTR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Sheet1!$B$54</c:f>
              <c:strCache>
                <c:ptCount val="1"/>
                <c:pt idx="0">
                  <c:v>Revenue (£ million)</c:v>
                </c:pt>
              </c:strCache>
            </c:strRef>
          </c:tx>
          <c:spPr>
            <a:solidFill>
              <a:schemeClr val="accent1"/>
            </a:solidFill>
            <a:ln>
              <a:noFill/>
            </a:ln>
            <a:effectLst/>
          </c:spPr>
          <c:invertIfNegative val="0"/>
          <c:cat>
            <c:numRef>
              <c:f>Sheet1!$A$55:$A$59</c:f>
              <c:numCache>
                <c:formatCode>General</c:formatCode>
                <c:ptCount val="5"/>
                <c:pt idx="0">
                  <c:v>2019</c:v>
                </c:pt>
                <c:pt idx="1">
                  <c:v>2020</c:v>
                </c:pt>
                <c:pt idx="2">
                  <c:v>2021</c:v>
                </c:pt>
                <c:pt idx="3">
                  <c:v>2022</c:v>
                </c:pt>
                <c:pt idx="4">
                  <c:v>2023</c:v>
                </c:pt>
              </c:numCache>
            </c:numRef>
          </c:cat>
          <c:val>
            <c:numRef>
              <c:f>Sheet1!$B$55:$B$59</c:f>
              <c:numCache>
                <c:formatCode>#,##0</c:formatCode>
                <c:ptCount val="5"/>
                <c:pt idx="0">
                  <c:v>5600</c:v>
                </c:pt>
                <c:pt idx="1">
                  <c:v>6300</c:v>
                </c:pt>
                <c:pt idx="2">
                  <c:v>7000</c:v>
                </c:pt>
                <c:pt idx="3">
                  <c:v>6800</c:v>
                </c:pt>
                <c:pt idx="4">
                  <c:v>7250</c:v>
                </c:pt>
              </c:numCache>
            </c:numRef>
          </c:val>
          <c:extLst>
            <c:ext xmlns:c16="http://schemas.microsoft.com/office/drawing/2014/chart" uri="{C3380CC4-5D6E-409C-BE32-E72D297353CC}">
              <c16:uniqueId val="{00000000-C18A-47A1-8528-650E3AADE267}"/>
            </c:ext>
          </c:extLst>
        </c:ser>
        <c:ser>
          <c:idx val="1"/>
          <c:order val="1"/>
          <c:tx>
            <c:strRef>
              <c:f>Sheet1!$C$54</c:f>
              <c:strCache>
                <c:ptCount val="1"/>
                <c:pt idx="0">
                  <c:v>Average Receivables (£ million)</c:v>
                </c:pt>
              </c:strCache>
            </c:strRef>
          </c:tx>
          <c:spPr>
            <a:solidFill>
              <a:schemeClr val="accent2"/>
            </a:solidFill>
            <a:ln>
              <a:noFill/>
            </a:ln>
            <a:effectLst/>
          </c:spPr>
          <c:invertIfNegative val="0"/>
          <c:cat>
            <c:numRef>
              <c:f>Sheet1!$A$55:$A$59</c:f>
              <c:numCache>
                <c:formatCode>General</c:formatCode>
                <c:ptCount val="5"/>
                <c:pt idx="0">
                  <c:v>2019</c:v>
                </c:pt>
                <c:pt idx="1">
                  <c:v>2020</c:v>
                </c:pt>
                <c:pt idx="2">
                  <c:v>2021</c:v>
                </c:pt>
                <c:pt idx="3">
                  <c:v>2022</c:v>
                </c:pt>
                <c:pt idx="4">
                  <c:v>2023</c:v>
                </c:pt>
              </c:numCache>
            </c:numRef>
          </c:cat>
          <c:val>
            <c:numRef>
              <c:f>Sheet1!$C$55:$C$59</c:f>
              <c:numCache>
                <c:formatCode>General</c:formatCode>
                <c:ptCount val="5"/>
                <c:pt idx="0">
                  <c:v>660</c:v>
                </c:pt>
                <c:pt idx="1">
                  <c:v>700</c:v>
                </c:pt>
                <c:pt idx="2">
                  <c:v>750</c:v>
                </c:pt>
                <c:pt idx="3">
                  <c:v>745</c:v>
                </c:pt>
                <c:pt idx="4">
                  <c:v>770</c:v>
                </c:pt>
              </c:numCache>
            </c:numRef>
          </c:val>
          <c:extLst>
            <c:ext xmlns:c16="http://schemas.microsoft.com/office/drawing/2014/chart" uri="{C3380CC4-5D6E-409C-BE32-E72D297353CC}">
              <c16:uniqueId val="{00000001-C18A-47A1-8528-650E3AADE267}"/>
            </c:ext>
          </c:extLst>
        </c:ser>
        <c:ser>
          <c:idx val="2"/>
          <c:order val="2"/>
          <c:tx>
            <c:strRef>
              <c:f>Sheet1!$D$54</c:f>
              <c:strCache>
                <c:ptCount val="1"/>
                <c:pt idx="0">
                  <c:v>Receivables Turnover</c:v>
                </c:pt>
              </c:strCache>
            </c:strRef>
          </c:tx>
          <c:spPr>
            <a:solidFill>
              <a:schemeClr val="accent3"/>
            </a:solidFill>
            <a:ln>
              <a:noFill/>
            </a:ln>
            <a:effectLst/>
          </c:spPr>
          <c:invertIfNegative val="0"/>
          <c:cat>
            <c:numRef>
              <c:f>Sheet1!$A$55:$A$59</c:f>
              <c:numCache>
                <c:formatCode>General</c:formatCode>
                <c:ptCount val="5"/>
                <c:pt idx="0">
                  <c:v>2019</c:v>
                </c:pt>
                <c:pt idx="1">
                  <c:v>2020</c:v>
                </c:pt>
                <c:pt idx="2">
                  <c:v>2021</c:v>
                </c:pt>
                <c:pt idx="3">
                  <c:v>2022</c:v>
                </c:pt>
                <c:pt idx="4">
                  <c:v>2023</c:v>
                </c:pt>
              </c:numCache>
            </c:numRef>
          </c:cat>
          <c:val>
            <c:numRef>
              <c:f>Sheet1!$D$55:$D$59</c:f>
              <c:numCache>
                <c:formatCode>General</c:formatCode>
                <c:ptCount val="5"/>
                <c:pt idx="0">
                  <c:v>8.5</c:v>
                </c:pt>
                <c:pt idx="1">
                  <c:v>9</c:v>
                </c:pt>
                <c:pt idx="2">
                  <c:v>9.3000000000000007</c:v>
                </c:pt>
                <c:pt idx="3">
                  <c:v>9.1</c:v>
                </c:pt>
                <c:pt idx="4">
                  <c:v>9.4</c:v>
                </c:pt>
              </c:numCache>
            </c:numRef>
          </c:val>
          <c:extLst>
            <c:ext xmlns:c16="http://schemas.microsoft.com/office/drawing/2014/chart" uri="{C3380CC4-5D6E-409C-BE32-E72D297353CC}">
              <c16:uniqueId val="{00000002-C18A-47A1-8528-650E3AADE267}"/>
            </c:ext>
          </c:extLst>
        </c:ser>
        <c:dLbls>
          <c:showLegendKey val="0"/>
          <c:showVal val="0"/>
          <c:showCatName val="0"/>
          <c:showSerName val="0"/>
          <c:showPercent val="0"/>
          <c:showBubbleSize val="0"/>
        </c:dLbls>
        <c:gapWidth val="219"/>
        <c:overlap val="-27"/>
        <c:axId val="456053008"/>
        <c:axId val="456059568"/>
      </c:barChart>
      <c:catAx>
        <c:axId val="45605300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6059568"/>
        <c:crosses val="autoZero"/>
        <c:auto val="1"/>
        <c:lblAlgn val="ctr"/>
        <c:lblOffset val="100"/>
        <c:noMultiLvlLbl val="0"/>
      </c:catAx>
      <c:valAx>
        <c:axId val="456059568"/>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605300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Compare with other companys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Sheet1!$A$63:$B$63</c:f>
              <c:strCache>
                <c:ptCount val="2"/>
                <c:pt idx="0">
                  <c:v>2023</c:v>
                </c:pt>
                <c:pt idx="1">
                  <c:v>Kingfisher</c:v>
                </c:pt>
              </c:strCache>
            </c:strRef>
          </c:tx>
          <c:spPr>
            <a:solidFill>
              <a:schemeClr val="accent1"/>
            </a:solidFill>
            <a:ln>
              <a:noFill/>
            </a:ln>
            <a:effectLst/>
          </c:spPr>
          <c:invertIfNegative val="0"/>
          <c:cat>
            <c:strRef>
              <c:f>Sheet1!$C$62:$I$62</c:f>
              <c:strCache>
                <c:ptCount val="7"/>
                <c:pt idx="0">
                  <c:v>Gross Profit Margin (%)</c:v>
                </c:pt>
                <c:pt idx="1">
                  <c:v>Net Profit Margin (%)</c:v>
                </c:pt>
                <c:pt idx="2">
                  <c:v>Current Ratio</c:v>
                </c:pt>
                <c:pt idx="3">
                  <c:v>Quick Ratio</c:v>
                </c:pt>
                <c:pt idx="4">
                  <c:v>Debt-to-Equity Ratio</c:v>
                </c:pt>
                <c:pt idx="5">
                  <c:v>Inventory Turnover</c:v>
                </c:pt>
                <c:pt idx="6">
                  <c:v>Receivables Turnover</c:v>
                </c:pt>
              </c:strCache>
            </c:strRef>
          </c:cat>
          <c:val>
            <c:numRef>
              <c:f>Sheet1!$C$63:$I$63</c:f>
              <c:numCache>
                <c:formatCode>General</c:formatCode>
                <c:ptCount val="7"/>
                <c:pt idx="0">
                  <c:v>37.200000000000003</c:v>
                </c:pt>
                <c:pt idx="1">
                  <c:v>4.8</c:v>
                </c:pt>
                <c:pt idx="2">
                  <c:v>1.7</c:v>
                </c:pt>
                <c:pt idx="3">
                  <c:v>1.2</c:v>
                </c:pt>
                <c:pt idx="4">
                  <c:v>0.5</c:v>
                </c:pt>
                <c:pt idx="5">
                  <c:v>4.4000000000000004</c:v>
                </c:pt>
                <c:pt idx="6">
                  <c:v>9.4</c:v>
                </c:pt>
              </c:numCache>
            </c:numRef>
          </c:val>
          <c:extLst>
            <c:ext xmlns:c16="http://schemas.microsoft.com/office/drawing/2014/chart" uri="{C3380CC4-5D6E-409C-BE32-E72D297353CC}">
              <c16:uniqueId val="{00000000-6D05-456E-9DA0-8C463125A526}"/>
            </c:ext>
          </c:extLst>
        </c:ser>
        <c:ser>
          <c:idx val="1"/>
          <c:order val="1"/>
          <c:tx>
            <c:strRef>
              <c:f>Sheet1!$A$64:$B$64</c:f>
              <c:strCache>
                <c:ptCount val="2"/>
                <c:pt idx="0">
                  <c:v>2023</c:v>
                </c:pt>
                <c:pt idx="1">
                  <c:v>Homebase</c:v>
                </c:pt>
              </c:strCache>
            </c:strRef>
          </c:tx>
          <c:spPr>
            <a:solidFill>
              <a:schemeClr val="accent2"/>
            </a:solidFill>
            <a:ln>
              <a:noFill/>
            </a:ln>
            <a:effectLst/>
          </c:spPr>
          <c:invertIfNegative val="0"/>
          <c:cat>
            <c:strRef>
              <c:f>Sheet1!$C$62:$I$62</c:f>
              <c:strCache>
                <c:ptCount val="7"/>
                <c:pt idx="0">
                  <c:v>Gross Profit Margin (%)</c:v>
                </c:pt>
                <c:pt idx="1">
                  <c:v>Net Profit Margin (%)</c:v>
                </c:pt>
                <c:pt idx="2">
                  <c:v>Current Ratio</c:v>
                </c:pt>
                <c:pt idx="3">
                  <c:v>Quick Ratio</c:v>
                </c:pt>
                <c:pt idx="4">
                  <c:v>Debt-to-Equity Ratio</c:v>
                </c:pt>
                <c:pt idx="5">
                  <c:v>Inventory Turnover</c:v>
                </c:pt>
                <c:pt idx="6">
                  <c:v>Receivables Turnover</c:v>
                </c:pt>
              </c:strCache>
            </c:strRef>
          </c:cat>
          <c:val>
            <c:numRef>
              <c:f>Sheet1!$C$64:$I$64</c:f>
              <c:numCache>
                <c:formatCode>General</c:formatCode>
                <c:ptCount val="7"/>
                <c:pt idx="0">
                  <c:v>35.799999999999997</c:v>
                </c:pt>
                <c:pt idx="1">
                  <c:v>4.5</c:v>
                </c:pt>
                <c:pt idx="2">
                  <c:v>1.5</c:v>
                </c:pt>
                <c:pt idx="3">
                  <c:v>1.1000000000000001</c:v>
                </c:pt>
                <c:pt idx="4">
                  <c:v>0.6</c:v>
                </c:pt>
                <c:pt idx="5">
                  <c:v>4.0999999999999996</c:v>
                </c:pt>
                <c:pt idx="6">
                  <c:v>8.9</c:v>
                </c:pt>
              </c:numCache>
            </c:numRef>
          </c:val>
          <c:extLst>
            <c:ext xmlns:c16="http://schemas.microsoft.com/office/drawing/2014/chart" uri="{C3380CC4-5D6E-409C-BE32-E72D297353CC}">
              <c16:uniqueId val="{00000001-6D05-456E-9DA0-8C463125A526}"/>
            </c:ext>
          </c:extLst>
        </c:ser>
        <c:ser>
          <c:idx val="2"/>
          <c:order val="2"/>
          <c:tx>
            <c:strRef>
              <c:f>Sheet1!$A$65:$B$65</c:f>
              <c:strCache>
                <c:ptCount val="2"/>
                <c:pt idx="0">
                  <c:v>2023</c:v>
                </c:pt>
                <c:pt idx="1">
                  <c:v>B&amp;Q</c:v>
                </c:pt>
              </c:strCache>
            </c:strRef>
          </c:tx>
          <c:spPr>
            <a:solidFill>
              <a:schemeClr val="accent3"/>
            </a:solidFill>
            <a:ln>
              <a:noFill/>
            </a:ln>
            <a:effectLst/>
          </c:spPr>
          <c:invertIfNegative val="0"/>
          <c:cat>
            <c:strRef>
              <c:f>Sheet1!$C$62:$I$62</c:f>
              <c:strCache>
                <c:ptCount val="7"/>
                <c:pt idx="0">
                  <c:v>Gross Profit Margin (%)</c:v>
                </c:pt>
                <c:pt idx="1">
                  <c:v>Net Profit Margin (%)</c:v>
                </c:pt>
                <c:pt idx="2">
                  <c:v>Current Ratio</c:v>
                </c:pt>
                <c:pt idx="3">
                  <c:v>Quick Ratio</c:v>
                </c:pt>
                <c:pt idx="4">
                  <c:v>Debt-to-Equity Ratio</c:v>
                </c:pt>
                <c:pt idx="5">
                  <c:v>Inventory Turnover</c:v>
                </c:pt>
                <c:pt idx="6">
                  <c:v>Receivables Turnover</c:v>
                </c:pt>
              </c:strCache>
            </c:strRef>
          </c:cat>
          <c:val>
            <c:numRef>
              <c:f>Sheet1!$C$65:$I$65</c:f>
              <c:numCache>
                <c:formatCode>General</c:formatCode>
                <c:ptCount val="7"/>
                <c:pt idx="0">
                  <c:v>36.5</c:v>
                </c:pt>
                <c:pt idx="1">
                  <c:v>4.5999999999999996</c:v>
                </c:pt>
                <c:pt idx="2">
                  <c:v>1.6</c:v>
                </c:pt>
                <c:pt idx="3">
                  <c:v>1</c:v>
                </c:pt>
                <c:pt idx="4">
                  <c:v>0.4</c:v>
                </c:pt>
                <c:pt idx="5">
                  <c:v>4.3</c:v>
                </c:pt>
                <c:pt idx="6">
                  <c:v>9</c:v>
                </c:pt>
              </c:numCache>
            </c:numRef>
          </c:val>
          <c:extLst>
            <c:ext xmlns:c16="http://schemas.microsoft.com/office/drawing/2014/chart" uri="{C3380CC4-5D6E-409C-BE32-E72D297353CC}">
              <c16:uniqueId val="{00000002-6D05-456E-9DA0-8C463125A526}"/>
            </c:ext>
          </c:extLst>
        </c:ser>
        <c:ser>
          <c:idx val="3"/>
          <c:order val="3"/>
          <c:tx>
            <c:strRef>
              <c:f>Sheet1!$A$66:$B$66</c:f>
              <c:strCache>
                <c:ptCount val="2"/>
                <c:pt idx="0">
                  <c:v>2023</c:v>
                </c:pt>
                <c:pt idx="1">
                  <c:v>Sector Average</c:v>
                </c:pt>
              </c:strCache>
            </c:strRef>
          </c:tx>
          <c:spPr>
            <a:solidFill>
              <a:schemeClr val="accent4"/>
            </a:solidFill>
            <a:ln>
              <a:noFill/>
            </a:ln>
            <a:effectLst/>
          </c:spPr>
          <c:invertIfNegative val="0"/>
          <c:cat>
            <c:strRef>
              <c:f>Sheet1!$C$62:$I$62</c:f>
              <c:strCache>
                <c:ptCount val="7"/>
                <c:pt idx="0">
                  <c:v>Gross Profit Margin (%)</c:v>
                </c:pt>
                <c:pt idx="1">
                  <c:v>Net Profit Margin (%)</c:v>
                </c:pt>
                <c:pt idx="2">
                  <c:v>Current Ratio</c:v>
                </c:pt>
                <c:pt idx="3">
                  <c:v>Quick Ratio</c:v>
                </c:pt>
                <c:pt idx="4">
                  <c:v>Debt-to-Equity Ratio</c:v>
                </c:pt>
                <c:pt idx="5">
                  <c:v>Inventory Turnover</c:v>
                </c:pt>
                <c:pt idx="6">
                  <c:v>Receivables Turnover</c:v>
                </c:pt>
              </c:strCache>
            </c:strRef>
          </c:cat>
          <c:val>
            <c:numRef>
              <c:f>Sheet1!$C$66:$I$66</c:f>
              <c:numCache>
                <c:formatCode>General</c:formatCode>
                <c:ptCount val="7"/>
                <c:pt idx="0">
                  <c:v>36.5</c:v>
                </c:pt>
                <c:pt idx="1">
                  <c:v>4.5999999999999996</c:v>
                </c:pt>
                <c:pt idx="2">
                  <c:v>1.6</c:v>
                </c:pt>
                <c:pt idx="3">
                  <c:v>1.1000000000000001</c:v>
                </c:pt>
                <c:pt idx="4">
                  <c:v>0.5</c:v>
                </c:pt>
                <c:pt idx="5">
                  <c:v>4.3</c:v>
                </c:pt>
                <c:pt idx="6">
                  <c:v>9.1</c:v>
                </c:pt>
              </c:numCache>
            </c:numRef>
          </c:val>
          <c:extLst>
            <c:ext xmlns:c16="http://schemas.microsoft.com/office/drawing/2014/chart" uri="{C3380CC4-5D6E-409C-BE32-E72D297353CC}">
              <c16:uniqueId val="{00000003-6D05-456E-9DA0-8C463125A526}"/>
            </c:ext>
          </c:extLst>
        </c:ser>
        <c:dLbls>
          <c:showLegendKey val="0"/>
          <c:showVal val="0"/>
          <c:showCatName val="0"/>
          <c:showSerName val="0"/>
          <c:showPercent val="0"/>
          <c:showBubbleSize val="0"/>
        </c:dLbls>
        <c:gapWidth val="150"/>
        <c:overlap val="100"/>
        <c:axId val="469229464"/>
        <c:axId val="469228480"/>
      </c:barChart>
      <c:catAx>
        <c:axId val="46922946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9228480"/>
        <c:crosses val="autoZero"/>
        <c:auto val="1"/>
        <c:lblAlgn val="ctr"/>
        <c:lblOffset val="100"/>
        <c:noMultiLvlLbl val="0"/>
      </c:catAx>
      <c:valAx>
        <c:axId val="46922848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922946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Sheet1!$B$70</c:f>
              <c:strCache>
                <c:ptCount val="1"/>
                <c:pt idx="0">
                  <c:v>NPV (£m)</c:v>
                </c:pt>
              </c:strCache>
            </c:strRef>
          </c:tx>
          <c:spPr>
            <a:solidFill>
              <a:schemeClr val="accent1"/>
            </a:solidFill>
            <a:ln>
              <a:noFill/>
            </a:ln>
            <a:effectLst/>
          </c:spPr>
          <c:invertIfNegative val="0"/>
          <c:cat>
            <c:strRef>
              <c:f>Sheet1!$A$71:$A$72</c:f>
              <c:strCache>
                <c:ptCount val="2"/>
                <c:pt idx="0">
                  <c:v>A</c:v>
                </c:pt>
                <c:pt idx="1">
                  <c:v>B</c:v>
                </c:pt>
              </c:strCache>
            </c:strRef>
          </c:cat>
          <c:val>
            <c:numRef>
              <c:f>Sheet1!$B$71:$B$72</c:f>
              <c:numCache>
                <c:formatCode>General</c:formatCode>
                <c:ptCount val="2"/>
                <c:pt idx="0">
                  <c:v>19.86</c:v>
                </c:pt>
                <c:pt idx="1">
                  <c:v>74.19</c:v>
                </c:pt>
              </c:numCache>
            </c:numRef>
          </c:val>
          <c:extLst>
            <c:ext xmlns:c16="http://schemas.microsoft.com/office/drawing/2014/chart" uri="{C3380CC4-5D6E-409C-BE32-E72D297353CC}">
              <c16:uniqueId val="{00000000-4D5A-445B-840E-C9625EBE77BF}"/>
            </c:ext>
          </c:extLst>
        </c:ser>
        <c:dLbls>
          <c:showLegendKey val="0"/>
          <c:showVal val="0"/>
          <c:showCatName val="0"/>
          <c:showSerName val="0"/>
          <c:showPercent val="0"/>
          <c:showBubbleSize val="0"/>
        </c:dLbls>
        <c:gapWidth val="219"/>
        <c:overlap val="-27"/>
        <c:axId val="461885688"/>
        <c:axId val="461890936"/>
      </c:barChart>
      <c:catAx>
        <c:axId val="46188568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1890936"/>
        <c:crosses val="autoZero"/>
        <c:auto val="1"/>
        <c:lblAlgn val="ctr"/>
        <c:lblOffset val="100"/>
        <c:noMultiLvlLbl val="0"/>
      </c:catAx>
      <c:valAx>
        <c:axId val="46189093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188568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Sheet1!$B$75</c:f>
              <c:strCache>
                <c:ptCount val="1"/>
                <c:pt idx="0">
                  <c:v>IRR (%)</c:v>
                </c:pt>
              </c:strCache>
            </c:strRef>
          </c:tx>
          <c:spPr>
            <a:solidFill>
              <a:schemeClr val="accent1"/>
            </a:solidFill>
            <a:ln>
              <a:noFill/>
            </a:ln>
            <a:effectLst/>
          </c:spPr>
          <c:invertIfNegative val="0"/>
          <c:cat>
            <c:strRef>
              <c:f>Sheet1!$A$76:$A$77</c:f>
              <c:strCache>
                <c:ptCount val="2"/>
                <c:pt idx="0">
                  <c:v>A</c:v>
                </c:pt>
                <c:pt idx="1">
                  <c:v>B</c:v>
                </c:pt>
              </c:strCache>
            </c:strRef>
          </c:cat>
          <c:val>
            <c:numRef>
              <c:f>Sheet1!$B$76:$B$77</c:f>
              <c:numCache>
                <c:formatCode>General</c:formatCode>
                <c:ptCount val="2"/>
                <c:pt idx="0">
                  <c:v>15</c:v>
                </c:pt>
                <c:pt idx="1">
                  <c:v>25</c:v>
                </c:pt>
              </c:numCache>
            </c:numRef>
          </c:val>
          <c:extLst>
            <c:ext xmlns:c16="http://schemas.microsoft.com/office/drawing/2014/chart" uri="{C3380CC4-5D6E-409C-BE32-E72D297353CC}">
              <c16:uniqueId val="{00000000-1C6C-4CBD-A3EA-B6020553192F}"/>
            </c:ext>
          </c:extLst>
        </c:ser>
        <c:dLbls>
          <c:showLegendKey val="0"/>
          <c:showVal val="0"/>
          <c:showCatName val="0"/>
          <c:showSerName val="0"/>
          <c:showPercent val="0"/>
          <c:showBubbleSize val="0"/>
        </c:dLbls>
        <c:gapWidth val="219"/>
        <c:overlap val="-27"/>
        <c:axId val="456062848"/>
        <c:axId val="456061208"/>
      </c:barChart>
      <c:catAx>
        <c:axId val="45606284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6061208"/>
        <c:crosses val="autoZero"/>
        <c:auto val="1"/>
        <c:lblAlgn val="ctr"/>
        <c:lblOffset val="100"/>
        <c:noMultiLvlLbl val="0"/>
      </c:catAx>
      <c:valAx>
        <c:axId val="45606120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606284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Sheet1!$B$80</c:f>
              <c:strCache>
                <c:ptCount val="1"/>
                <c:pt idx="0">
                  <c:v>Cash Flow (£m)</c:v>
                </c:pt>
              </c:strCache>
            </c:strRef>
          </c:tx>
          <c:spPr>
            <a:solidFill>
              <a:schemeClr val="accent1"/>
            </a:solidFill>
            <a:ln>
              <a:noFill/>
            </a:ln>
            <a:effectLst/>
          </c:spPr>
          <c:invertIfNegative val="0"/>
          <c:cat>
            <c:numRef>
              <c:f>Sheet1!$A$81:$A$85</c:f>
              <c:numCache>
                <c:formatCode>General</c:formatCode>
                <c:ptCount val="5"/>
                <c:pt idx="0">
                  <c:v>0</c:v>
                </c:pt>
                <c:pt idx="1">
                  <c:v>1</c:v>
                </c:pt>
                <c:pt idx="2">
                  <c:v>2</c:v>
                </c:pt>
                <c:pt idx="3">
                  <c:v>3</c:v>
                </c:pt>
                <c:pt idx="4">
                  <c:v>4</c:v>
                </c:pt>
              </c:numCache>
            </c:numRef>
          </c:cat>
          <c:val>
            <c:numRef>
              <c:f>Sheet1!$B$81:$B$85</c:f>
              <c:numCache>
                <c:formatCode>General</c:formatCode>
                <c:ptCount val="5"/>
                <c:pt idx="0">
                  <c:v>-80</c:v>
                </c:pt>
                <c:pt idx="1">
                  <c:v>25</c:v>
                </c:pt>
                <c:pt idx="2">
                  <c:v>25</c:v>
                </c:pt>
                <c:pt idx="3">
                  <c:v>20</c:v>
                </c:pt>
                <c:pt idx="4">
                  <c:v>55</c:v>
                </c:pt>
              </c:numCache>
            </c:numRef>
          </c:val>
          <c:extLst>
            <c:ext xmlns:c16="http://schemas.microsoft.com/office/drawing/2014/chart" uri="{C3380CC4-5D6E-409C-BE32-E72D297353CC}">
              <c16:uniqueId val="{00000000-E2FE-41B6-8C93-0C07117DCA3B}"/>
            </c:ext>
          </c:extLst>
        </c:ser>
        <c:ser>
          <c:idx val="1"/>
          <c:order val="1"/>
          <c:tx>
            <c:strRef>
              <c:f>Sheet1!$C$80</c:f>
              <c:strCache>
                <c:ptCount val="1"/>
                <c:pt idx="0">
                  <c:v>Cumulative Cash Flow (£m)</c:v>
                </c:pt>
              </c:strCache>
            </c:strRef>
          </c:tx>
          <c:spPr>
            <a:solidFill>
              <a:schemeClr val="accent2"/>
            </a:solidFill>
            <a:ln>
              <a:noFill/>
            </a:ln>
            <a:effectLst/>
          </c:spPr>
          <c:invertIfNegative val="0"/>
          <c:cat>
            <c:numRef>
              <c:f>Sheet1!$A$81:$A$85</c:f>
              <c:numCache>
                <c:formatCode>General</c:formatCode>
                <c:ptCount val="5"/>
                <c:pt idx="0">
                  <c:v>0</c:v>
                </c:pt>
                <c:pt idx="1">
                  <c:v>1</c:v>
                </c:pt>
                <c:pt idx="2">
                  <c:v>2</c:v>
                </c:pt>
                <c:pt idx="3">
                  <c:v>3</c:v>
                </c:pt>
                <c:pt idx="4">
                  <c:v>4</c:v>
                </c:pt>
              </c:numCache>
            </c:numRef>
          </c:cat>
          <c:val>
            <c:numRef>
              <c:f>Sheet1!$C$81:$C$85</c:f>
              <c:numCache>
                <c:formatCode>General</c:formatCode>
                <c:ptCount val="5"/>
                <c:pt idx="0">
                  <c:v>-80</c:v>
                </c:pt>
                <c:pt idx="1">
                  <c:v>-55</c:v>
                </c:pt>
                <c:pt idx="2">
                  <c:v>-30</c:v>
                </c:pt>
                <c:pt idx="3">
                  <c:v>-10</c:v>
                </c:pt>
                <c:pt idx="4">
                  <c:v>45</c:v>
                </c:pt>
              </c:numCache>
            </c:numRef>
          </c:val>
          <c:extLst>
            <c:ext xmlns:c16="http://schemas.microsoft.com/office/drawing/2014/chart" uri="{C3380CC4-5D6E-409C-BE32-E72D297353CC}">
              <c16:uniqueId val="{00000001-E2FE-41B6-8C93-0C07117DCA3B}"/>
            </c:ext>
          </c:extLst>
        </c:ser>
        <c:dLbls>
          <c:showLegendKey val="0"/>
          <c:showVal val="0"/>
          <c:showCatName val="0"/>
          <c:showSerName val="0"/>
          <c:showPercent val="0"/>
          <c:showBubbleSize val="0"/>
        </c:dLbls>
        <c:gapWidth val="219"/>
        <c:overlap val="-27"/>
        <c:axId val="456051696"/>
        <c:axId val="456059896"/>
      </c:barChart>
      <c:catAx>
        <c:axId val="45605169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6059896"/>
        <c:crosses val="autoZero"/>
        <c:auto val="1"/>
        <c:lblAlgn val="ctr"/>
        <c:lblOffset val="100"/>
        <c:noMultiLvlLbl val="0"/>
      </c:catAx>
      <c:valAx>
        <c:axId val="45605989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605169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Sheet1!$B$88</c:f>
              <c:strCache>
                <c:ptCount val="1"/>
                <c:pt idx="0">
                  <c:v>Payback Period (Years)</c:v>
                </c:pt>
              </c:strCache>
            </c:strRef>
          </c:tx>
          <c:spPr>
            <a:solidFill>
              <a:schemeClr val="accent1"/>
            </a:solidFill>
            <a:ln>
              <a:noFill/>
            </a:ln>
            <a:effectLst/>
          </c:spPr>
          <c:invertIfNegative val="0"/>
          <c:cat>
            <c:strRef>
              <c:f>Sheet1!$A$89:$A$90</c:f>
              <c:strCache>
                <c:ptCount val="2"/>
                <c:pt idx="0">
                  <c:v>A</c:v>
                </c:pt>
                <c:pt idx="1">
                  <c:v>B</c:v>
                </c:pt>
              </c:strCache>
            </c:strRef>
          </c:cat>
          <c:val>
            <c:numRef>
              <c:f>Sheet1!$B$89:$B$90</c:f>
              <c:numCache>
                <c:formatCode>General</c:formatCode>
                <c:ptCount val="2"/>
                <c:pt idx="0">
                  <c:v>3.18</c:v>
                </c:pt>
                <c:pt idx="1">
                  <c:v>2.25</c:v>
                </c:pt>
              </c:numCache>
            </c:numRef>
          </c:val>
          <c:extLst>
            <c:ext xmlns:c16="http://schemas.microsoft.com/office/drawing/2014/chart" uri="{C3380CC4-5D6E-409C-BE32-E72D297353CC}">
              <c16:uniqueId val="{00000000-85E6-41C0-89C0-01CD8C8C009A}"/>
            </c:ext>
          </c:extLst>
        </c:ser>
        <c:dLbls>
          <c:showLegendKey val="0"/>
          <c:showVal val="0"/>
          <c:showCatName val="0"/>
          <c:showSerName val="0"/>
          <c:showPercent val="0"/>
          <c:showBubbleSize val="0"/>
        </c:dLbls>
        <c:gapWidth val="219"/>
        <c:overlap val="-27"/>
        <c:axId val="506261176"/>
        <c:axId val="506259536"/>
      </c:barChart>
      <c:catAx>
        <c:axId val="50626117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6259536"/>
        <c:crosses val="autoZero"/>
        <c:auto val="1"/>
        <c:lblAlgn val="ctr"/>
        <c:lblOffset val="100"/>
        <c:noMultiLvlLbl val="0"/>
      </c:catAx>
      <c:valAx>
        <c:axId val="50625953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626117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3159CE-DAAE-423B-B9BD-68A59A86A3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241</TotalTime>
  <Pages>35</Pages>
  <Words>5895</Words>
  <Characters>33607</Characters>
  <Application>Microsoft Office Word</Application>
  <DocSecurity>0</DocSecurity>
  <Lines>280</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39424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Hamza 239523</dc:creator>
  <cp:keywords/>
  <dc:description/>
  <cp:lastModifiedBy>DELL</cp:lastModifiedBy>
  <cp:revision>42</cp:revision>
  <dcterms:created xsi:type="dcterms:W3CDTF">2024-07-29T12:38:00Z</dcterms:created>
  <dcterms:modified xsi:type="dcterms:W3CDTF">2024-08-21T09:38:00Z</dcterms:modified>
</cp:coreProperties>
</file>