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sz w:val="28"/>
          <w:szCs w:val="36"/>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方正仿宋简体" w:cs="Times New Roman"/>
          <w:b/>
          <w:bCs/>
          <w:i/>
          <w:iCs/>
          <w:color w:val="FF0000"/>
          <w:sz w:val="40"/>
          <w:szCs w:val="40"/>
        </w:rPr>
      </w:pPr>
      <w:r>
        <w:rPr>
          <w:rFonts w:hint="default" w:ascii="Times New Roman" w:hAnsi="Times New Roman" w:eastAsia="方正仿宋简体" w:cs="Times New Roman"/>
          <w:b/>
          <w:bCs/>
          <w:i/>
          <w:iCs/>
          <w:color w:val="FF0000"/>
          <w:sz w:val="40"/>
          <w:szCs w:val="40"/>
        </w:rPr>
        <w:t>Shape the future with differentiated marketing</w:t>
      </w:r>
    </w:p>
    <w:p>
      <w:pPr>
        <w:spacing w:line="480" w:lineRule="auto"/>
        <w:jc w:val="center"/>
        <w:rPr>
          <w:rFonts w:ascii="Times New Roman" w:hAnsi="Times New Roman" w:eastAsia="方正仿宋简体" w:cs="Times New Roman"/>
          <w:b/>
          <w:bCs/>
          <w:i/>
          <w:iCs/>
          <w:color w:val="FF0000"/>
          <w:sz w:val="40"/>
          <w:szCs w:val="40"/>
        </w:rPr>
      </w:pPr>
    </w:p>
    <w:p/>
    <w:p/>
    <w:p/>
    <w:p/>
    <w:p/>
    <w:p>
      <w:r>
        <w:drawing>
          <wp:inline distT="0" distB="0" distL="114300" distR="114300">
            <wp:extent cx="6189345" cy="4154805"/>
            <wp:effectExtent l="0" t="0" r="13335" b="571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4"/>
                    <a:srcRect t="12343" b="24566"/>
                    <a:stretch>
                      <a:fillRect/>
                    </a:stretch>
                  </pic:blipFill>
                  <pic:spPr>
                    <a:xfrm>
                      <a:off x="0" y="0"/>
                      <a:ext cx="6189345" cy="4154805"/>
                    </a:xfrm>
                    <a:prstGeom prst="rect">
                      <a:avLst/>
                    </a:prstGeom>
                  </pic:spPr>
                </pic:pic>
              </a:graphicData>
            </a:graphic>
          </wp:inline>
        </w:drawing>
      </w:r>
    </w:p>
    <w:p/>
    <w:p/>
    <w:p/>
    <w:p>
      <w:pPr>
        <w:ind w:firstLine="562" w:firstLineChars="200"/>
        <w:rPr>
          <w:rFonts w:ascii="Times New Roman" w:hAnsi="Times New Roman" w:eastAsia="方正仿宋简体" w:cs="Times New Roman"/>
          <w:b/>
          <w:bCs/>
          <w:color w:val="FF0000"/>
          <w:sz w:val="28"/>
          <w:szCs w:val="28"/>
          <w:lang w:eastAsia="en-GB"/>
        </w:rPr>
      </w:pPr>
      <w:r>
        <w:rPr>
          <w:rFonts w:ascii="Times New Roman" w:hAnsi="Times New Roman" w:eastAsia="方正仿宋简体" w:cs="Times New Roman"/>
          <w:b/>
          <w:bCs/>
          <w:color w:val="FF0000"/>
          <w:sz w:val="28"/>
          <w:szCs w:val="28"/>
        </w:rPr>
        <w:t xml:space="preserve">MODULE NAME:  </w:t>
      </w:r>
      <w:r>
        <w:rPr>
          <w:rFonts w:hint="eastAsia" w:ascii="Times New Roman" w:hAnsi="Times New Roman" w:eastAsia="方正仿宋简体" w:cs="Times New Roman"/>
          <w:b/>
          <w:bCs/>
          <w:color w:val="FF0000"/>
          <w:sz w:val="28"/>
          <w:szCs w:val="28"/>
        </w:rPr>
        <w:t xml:space="preserve">    </w:t>
      </w:r>
      <w:r>
        <w:rPr>
          <w:rFonts w:ascii="Times New Roman" w:hAnsi="Times New Roman" w:eastAsia="方正仿宋简体" w:cs="Times New Roman"/>
          <w:b/>
          <w:bCs/>
          <w:color w:val="FF0000"/>
          <w:sz w:val="28"/>
          <w:szCs w:val="28"/>
        </w:rPr>
        <w:t>Marketing Management</w:t>
      </w:r>
      <w:r>
        <w:rPr>
          <w:rFonts w:ascii="Times New Roman" w:hAnsi="Times New Roman" w:eastAsia="方正仿宋简体" w:cs="Times New Roman"/>
          <w:b/>
          <w:bCs/>
          <w:color w:val="FF0000"/>
          <w:sz w:val="28"/>
          <w:szCs w:val="28"/>
          <w:lang w:eastAsia="en-GB"/>
        </w:rPr>
        <w:t>(BMMB7012)</w:t>
      </w:r>
    </w:p>
    <w:p>
      <w:pPr>
        <w:ind w:firstLine="562" w:firstLineChars="200"/>
        <w:rPr>
          <w:rFonts w:ascii="Times New Roman" w:hAnsi="Times New Roman" w:eastAsia="方正仿宋简体" w:cs="Times New Roman"/>
          <w:b/>
          <w:bCs/>
          <w:color w:val="FF0000"/>
          <w:sz w:val="28"/>
          <w:szCs w:val="28"/>
        </w:rPr>
      </w:pPr>
      <w:r>
        <w:rPr>
          <w:rFonts w:ascii="Times New Roman" w:hAnsi="Times New Roman" w:eastAsia="方正仿宋简体" w:cs="Times New Roman"/>
          <w:b/>
          <w:bCs/>
          <w:color w:val="FF0000"/>
          <w:sz w:val="28"/>
          <w:szCs w:val="28"/>
        </w:rPr>
        <w:t xml:space="preserve">NAME:           </w:t>
      </w:r>
      <w:r>
        <w:rPr>
          <w:rFonts w:hint="eastAsia" w:ascii="Times New Roman" w:hAnsi="Times New Roman" w:eastAsia="方正仿宋简体" w:cs="Times New Roman"/>
          <w:b/>
          <w:bCs/>
          <w:color w:val="FF0000"/>
          <w:sz w:val="28"/>
          <w:szCs w:val="28"/>
        </w:rPr>
        <w:t xml:space="preserve">     </w:t>
      </w:r>
      <w:r>
        <w:rPr>
          <w:rFonts w:ascii="Times New Roman" w:hAnsi="Times New Roman" w:eastAsia="方正仿宋简体" w:cs="Times New Roman"/>
          <w:b/>
          <w:bCs/>
          <w:color w:val="FF0000"/>
          <w:sz w:val="28"/>
          <w:szCs w:val="28"/>
        </w:rPr>
        <w:t>Hongcheng Lv</w:t>
      </w:r>
    </w:p>
    <w:p>
      <w:pPr>
        <w:ind w:firstLine="562" w:firstLineChars="200"/>
        <w:rPr>
          <w:rFonts w:ascii="Times New Roman" w:hAnsi="Times New Roman" w:eastAsia="方正仿宋简体" w:cs="Times New Roman"/>
          <w:b/>
          <w:bCs/>
          <w:sz w:val="28"/>
          <w:szCs w:val="28"/>
        </w:rPr>
      </w:pPr>
      <w:r>
        <w:rPr>
          <w:rFonts w:ascii="Times New Roman" w:hAnsi="Times New Roman" w:eastAsia="方正仿宋简体" w:cs="Times New Roman"/>
          <w:b/>
          <w:bCs/>
          <w:color w:val="FF0000"/>
          <w:sz w:val="28"/>
          <w:szCs w:val="28"/>
        </w:rPr>
        <w:t xml:space="preserve">STUDENT NUMBER: </w:t>
      </w:r>
      <w:r>
        <w:rPr>
          <w:rFonts w:hint="eastAsia" w:ascii="Times New Roman" w:hAnsi="Times New Roman" w:eastAsia="方正仿宋简体" w:cs="Times New Roman"/>
          <w:b/>
          <w:bCs/>
          <w:color w:val="FF0000"/>
          <w:sz w:val="28"/>
          <w:szCs w:val="28"/>
        </w:rPr>
        <w:t xml:space="preserve">  </w:t>
      </w:r>
      <w:r>
        <w:rPr>
          <w:rFonts w:ascii="Times New Roman" w:hAnsi="Times New Roman" w:eastAsia="方正仿宋简体" w:cs="Times New Roman"/>
          <w:b/>
          <w:bCs/>
          <w:color w:val="FF0000"/>
          <w:sz w:val="28"/>
          <w:szCs w:val="28"/>
        </w:rPr>
        <w:t>2218228</w:t>
      </w:r>
      <w:r>
        <w:rPr>
          <w:rFonts w:ascii="Times New Roman" w:hAnsi="Times New Roman" w:eastAsia="方正仿宋简体" w:cs="Times New Roman"/>
          <w:b/>
          <w:bCs/>
          <w:sz w:val="28"/>
          <w:szCs w:val="28"/>
        </w:rPr>
        <w:br w:type="page"/>
      </w:r>
    </w:p>
    <w:p>
      <w:pPr>
        <w:jc w:val="center"/>
        <w:rPr>
          <w:rFonts w:ascii="Times New Roman" w:hAnsi="Times New Roman" w:eastAsia="方正仿宋简体" w:cs="Times New Roman"/>
          <w:b/>
          <w:bCs/>
          <w:sz w:val="28"/>
          <w:szCs w:val="28"/>
        </w:rPr>
      </w:pPr>
      <w:r>
        <w:rPr>
          <w:rFonts w:ascii="Times New Roman" w:hAnsi="Times New Roman" w:eastAsia="方正仿宋简体" w:cs="Times New Roman"/>
          <w:b/>
          <w:bCs/>
          <w:sz w:val="28"/>
          <w:szCs w:val="28"/>
        </w:rPr>
        <w:t>Contents</w:t>
      </w:r>
    </w:p>
    <w:sdt>
      <w:sdtPr>
        <w:rPr>
          <w:rFonts w:hint="default" w:ascii="Times New Roman" w:hAnsi="Times New Roman" w:eastAsia="宋体" w:cs="Times New Roman"/>
          <w:sz w:val="24"/>
          <w:szCs w:val="24"/>
        </w:rPr>
        <w:id w:val="147465771"/>
        <w15:color w:val="DBDBDB"/>
        <w:docPartObj>
          <w:docPartGallery w:val="Table of Contents"/>
          <w:docPartUnique/>
        </w:docPartObj>
      </w:sdtPr>
      <w:sdtEndPr>
        <w:rPr>
          <w:rFonts w:ascii="宋体" w:hAnsi="宋体" w:eastAsia="宋体"/>
        </w:rPr>
      </w:sdtEndPr>
      <w:sdtContent>
        <w:p>
          <w:pPr>
            <w:keepNext w:val="0"/>
            <w:keepLines w:val="0"/>
            <w:pageBreakBefore w:val="0"/>
            <w:widowControl w:val="0"/>
            <w:kinsoku/>
            <w:wordWrap/>
            <w:overflowPunct/>
            <w:topLinePunct w:val="0"/>
            <w:autoSpaceDE/>
            <w:autoSpaceDN/>
            <w:bidi w:val="0"/>
            <w:adjustRightInd/>
            <w:snapToGrid/>
            <w:spacing w:line="480" w:lineRule="auto"/>
            <w:ind w:left="0" w:leftChars="0"/>
            <w:jc w:val="center"/>
            <w:textAlignment w:val="auto"/>
            <w:rPr>
              <w:rFonts w:hint="default" w:ascii="Times New Roman" w:hAnsi="Times New Roman" w:cs="Times New Roman"/>
              <w:sz w:val="24"/>
              <w:szCs w:val="24"/>
            </w:rPr>
          </w:pPr>
        </w:p>
        <w:p>
          <w:pPr>
            <w:pStyle w:val="3"/>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_Toc17937 </w:instrText>
          </w:r>
          <w:r>
            <w:rPr>
              <w:rFonts w:hint="default" w:ascii="Times New Roman" w:hAnsi="Times New Roman" w:cs="Times New Roman"/>
              <w:sz w:val="24"/>
              <w:szCs w:val="24"/>
            </w:rPr>
            <w:fldChar w:fldCharType="separate"/>
          </w:r>
          <w:r>
            <w:rPr>
              <w:rFonts w:hint="default" w:ascii="Times New Roman" w:hAnsi="Times New Roman" w:eastAsia="方正仿宋简体" w:cs="Times New Roman"/>
              <w:bCs/>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3"/>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_Toc8638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1. Overview of Haitian Taste Industry Group, the research object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_Toc8638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3"/>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_Toc31015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 Analysis of Haitian's marketing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_Toc31015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_Toc28939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2.1 Product distribution of Haitian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_Toc28939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_Toc5813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2.2 Analysis of marketing environment of Haitian Taste Industry (PEST analysis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_Toc5813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_Toc9896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2.2.1 Political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_Toc9896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_Toc14640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2.2.2 Economic and environmental aspects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_Toc10979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2.2.3 Socio-environmental aspects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_Toc18581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2.2.4 Technical Environment Aspects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_Toc18581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_Toc2827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2.3 Haitian's marketing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_Toc21816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2.3.1 Investment of marketing resources of Haitian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_Toc21877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2.3.2 Haitian's marketing brand building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_Toc15902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2.4 Customer Group Analysis of Haitian Taste Industry (STP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_Toc15902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_Toc30453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2.4.1 Market Segmentation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_Toc30453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_Toc10025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2.4.2 Target Market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_Toc10025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_Toc11479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2.4.3 Market Positioning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_Toc11479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_Toc9626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2.5 Competitiveness Analysis of Haitian Taste Industry (Porter 5 Force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_Toc9626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_Toc30680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2.5.1 Bargaining power of 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_Toc30680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_Toc32186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2.5.2 Purchaser's bargaining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_Toc8113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2.5.3 Competitive ability of current competitors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_Toc8113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_Toc25253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2.5.4 Potential Competitor's Ability to Enter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2"/>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_Toc5169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2.5.5 Substitution capacity of substitutes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_Toc29065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2.6 Exploration of differentiated development of Haitian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_Toc29065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3"/>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_Toc8188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3. Main 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_Toc8188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3"/>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_Toc11232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4. Suggestions for optimizing the marketing model of Haitian Taste Industry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_Toc11232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_Toc17000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4.1 Develop high-end seasoning products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_Toc17000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_Toc4201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4.2 Strengthen the marketing of subdivided products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_Toc28938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4.3 Develop products with health concepts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_Toc28938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_Toc12521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4.4 Continue to expand the channel advantage in the catering industry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_Toc12521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_Toc18167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4.5 Implement more targeted campaigns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3"/>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_Toc21245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rPr>
            <w:t>References</w:t>
          </w:r>
          <w:r>
            <w:rPr>
              <w:rFonts w:hint="default" w:ascii="Times New Roman" w:hAnsi="Times New Roman" w:eastAsia="宋体" w:cs="Times New Roman"/>
              <w:bCs/>
              <w:sz w:val="24"/>
              <w:szCs w:val="24"/>
              <w:lang w:eastAsia="zh-CN"/>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_Toc21245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keepNext w:val="0"/>
            <w:keepLines w:val="0"/>
            <w:pageBreakBefore w:val="0"/>
            <w:widowControl w:val="0"/>
            <w:kinsoku/>
            <w:wordWrap/>
            <w:overflowPunct/>
            <w:topLinePunct w:val="0"/>
            <w:autoSpaceDE/>
            <w:autoSpaceDN/>
            <w:bidi w:val="0"/>
            <w:adjustRightInd/>
            <w:snapToGrid/>
            <w:spacing w:line="480" w:lineRule="auto"/>
            <w:ind w:left="0" w:leftChars="0"/>
            <w:textAlignment w:val="auto"/>
          </w:pPr>
          <w:r>
            <w:rPr>
              <w:rFonts w:hint="default" w:ascii="Times New Roman" w:hAnsi="Times New Roman" w:cs="Times New Roman"/>
              <w:sz w:val="24"/>
              <w:szCs w:val="24"/>
            </w:rPr>
            <w:fldChar w:fldCharType="end"/>
          </w:r>
        </w:p>
      </w:sdtContent>
    </w:sdt>
    <w:p>
      <w:r>
        <w:rPr>
          <w:rFonts w:ascii="Times New Roman" w:hAnsi="Times New Roman" w:eastAsia="方正仿宋简体" w:cs="Times New Roman"/>
          <w:b/>
          <w:bCs/>
          <w:sz w:val="28"/>
          <w:szCs w:val="28"/>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8"/>
          <w:szCs w:val="28"/>
        </w:rPr>
      </w:pPr>
      <w:bookmarkStart w:id="0" w:name="_Toc21763"/>
      <w:r>
        <w:rPr>
          <w:rFonts w:hint="default" w:ascii="Times New Roman" w:hAnsi="Times New Roman" w:cs="Times New Roman"/>
          <w:b/>
          <w:bCs/>
          <w:sz w:val="28"/>
          <w:szCs w:val="28"/>
        </w:rPr>
        <w:t>Shape the future with differentiated marketing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Analysis and reshaping of Haitian Taste Industry marketing model</w:t>
      </w:r>
    </w:p>
    <w:p>
      <w:pPr>
        <w:spacing w:line="480" w:lineRule="auto"/>
        <w:rPr>
          <w:rFonts w:ascii="Times New Roman" w:hAnsi="Times New Roman" w:eastAsia="方正仿宋简体" w:cs="Times New Roman"/>
          <w:b/>
          <w:bCs/>
          <w:sz w:val="28"/>
          <w:szCs w:val="28"/>
        </w:rPr>
      </w:pPr>
    </w:p>
    <w:p>
      <w:pPr>
        <w:spacing w:line="480" w:lineRule="auto"/>
        <w:outlineLvl w:val="0"/>
        <w:rPr>
          <w:rFonts w:hint="default" w:ascii="Times New Roman" w:hAnsi="Times New Roman" w:cs="Times New Roman"/>
          <w:sz w:val="24"/>
          <w:szCs w:val="24"/>
        </w:rPr>
      </w:pPr>
      <w:bookmarkStart w:id="1" w:name="_Toc17937"/>
      <w:r>
        <w:rPr>
          <w:rFonts w:ascii="Times New Roman" w:hAnsi="Times New Roman" w:eastAsia="方正仿宋简体" w:cs="Times New Roman"/>
          <w:b/>
          <w:bCs/>
          <w:sz w:val="28"/>
          <w:szCs w:val="28"/>
        </w:rPr>
        <w:t>Executive Summary</w:t>
      </w:r>
      <w:bookmarkEnd w:id="0"/>
      <w:bookmarkEnd w:id="1"/>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As a leading brand in China's condiment industry, Haitian Seasoning Food Co., Ltd. has gradually established its leading edge in the Chinese market. This paper aims to strategically reshape the marketing model of Haitian Taste Industry by systematically combing the marketing strategy and enterprise competitiveness of Haitian Taste Industry. As an industry with relatively low entry barriers, the condiments field has become increasingly competitive in China and the international market. As a leading enterprise in the industry, how to maintain long-term development advantages and establish more solid market barriers through product and marketing differentiation is an urgent problem that Haitian Taste needs to face. In the research process, the author used the PEST analysis model, STP theory and Porter's five forces model to systematically analyze Haitian's development environment, product strategy and competitive advantage. The results of the study show that Haitian Taste should implement a more accurate differentiation strategy in terms of product development and marketing strategy, and maintain its leading edge in the market by developing high-end products, improving the promotion of potential products, launching green and healthy products, strengthening channel maintenance in the catering industry, and carrying out more targeted publicity.</w:t>
      </w:r>
    </w:p>
    <w:p>
      <w:pPr>
        <w:rPr>
          <w:rFonts w:hint="default" w:ascii="Times New Roman" w:hAnsi="Times New Roman" w:cs="Times New Roman"/>
          <w:sz w:val="24"/>
          <w:szCs w:val="24"/>
        </w:rPr>
      </w:pPr>
      <w:r>
        <w:rPr>
          <w:rFonts w:hint="default" w:ascii="Times New Roman" w:hAnsi="Times New Roman" w:cs="Times New Roman"/>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0"/>
        <w:rPr>
          <w:rFonts w:hint="default" w:ascii="Times New Roman" w:hAnsi="Times New Roman" w:cs="Times New Roman"/>
          <w:b/>
          <w:bCs/>
          <w:sz w:val="24"/>
          <w:szCs w:val="24"/>
        </w:rPr>
      </w:pPr>
      <w:bookmarkStart w:id="2" w:name="_Toc8638"/>
      <w:r>
        <w:rPr>
          <w:rFonts w:hint="default" w:ascii="Times New Roman" w:hAnsi="Times New Roman" w:cs="Times New Roman"/>
          <w:b/>
          <w:bCs/>
          <w:sz w:val="24"/>
          <w:szCs w:val="24"/>
        </w:rPr>
        <w:t>1. Overview of Haitian Taste Industry Group, the research object</w:t>
      </w:r>
      <w:bookmarkEnd w:id="2"/>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Haitian Taste Group is an excellent enterprise in the global condiment industry, with a number of world-class automatic packaging production lines and industry-advanced laboratories, with an annual output value of more than 20 billion yuan. Haitian products are not only sold in the Chinese market, but also sold to more than 80 countries and regions around the world. Haitian is a listed company on the Shanghai Stock Exchange (stock code 603288</w:t>
      </w:r>
      <w:r>
        <w:rPr>
          <w:rFonts w:hint="eastAsia" w:ascii="Times New Roman" w:hAnsi="Times New Roman" w:cs="Times New Roman"/>
          <w:sz w:val="24"/>
          <w:szCs w:val="24"/>
          <w:lang w:eastAsia="zh-CN"/>
        </w:rPr>
        <w:t>）</w:t>
      </w:r>
      <w:r>
        <w:rPr>
          <w:rFonts w:hint="default" w:ascii="Times New Roman" w:hAnsi="Times New Roman" w:cs="Times New Roman"/>
          <w:sz w:val="24"/>
          <w:szCs w:val="24"/>
        </w:rPr>
        <w:t>with revenue of RMB22.792 billion and net profit of RMB6.403 billion in 2020. Despite the test of the new crown pneumonia epidemic, Haitian Taste continues to ride the wind and waves in the vast blue ocean of FMCG with years of accumulation and layout in the FMCG industry (China FMCG Report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2020). In 2021, the production and sales volume of Haitian Taste Group were 4.3 million tons and 4.335 million tons respectively, of which the production and sales of Haitian soy sauce ranked first in the industry for 25 consecutive years. Kantar Worldpanel's 2021 Asia Brand Division Footprint Report, Haitian ranked 4th among FMCG brands in China; At the same time, Haitian was awarded by Kantar Worldpanel as the 2021 China Top 10 Brand in All Food Categories and the Top 10 Brands of 2021 Chinese Consumers' First Choice (WANG Qiang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2022).</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0"/>
        <w:rPr>
          <w:rFonts w:hint="default" w:ascii="Times New Roman" w:hAnsi="Times New Roman" w:cs="Times New Roman"/>
          <w:b/>
          <w:bCs/>
          <w:sz w:val="24"/>
          <w:szCs w:val="24"/>
        </w:rPr>
      </w:pPr>
      <w:bookmarkStart w:id="3" w:name="_Toc31015"/>
      <w:r>
        <w:rPr>
          <w:rFonts w:hint="default" w:ascii="Times New Roman" w:hAnsi="Times New Roman" w:cs="Times New Roman"/>
          <w:b/>
          <w:bCs/>
          <w:sz w:val="24"/>
          <w:szCs w:val="24"/>
        </w:rPr>
        <w:t>2. Analysis of Haitian's marketing strategy</w:t>
      </w:r>
      <w:bookmarkEnd w:id="3"/>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4" w:name="_Toc28939"/>
      <w:r>
        <w:rPr>
          <w:rFonts w:hint="default" w:ascii="Times New Roman" w:hAnsi="Times New Roman" w:cs="Times New Roman"/>
          <w:b/>
          <w:bCs/>
          <w:sz w:val="24"/>
          <w:szCs w:val="24"/>
        </w:rPr>
        <w:t>2.1 Product distribution of Haitian</w:t>
      </w:r>
      <w:bookmarkEnd w:id="4"/>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Haitian products cover soy sauce, oyster sauce, sauce, vinegar, chicken essence, monosodium glutamate, cooking wine and other condiments. Haitian soy sauce production and sales have ranked first in the Chinese market for 25 consecutive years, with a total annual output of 2.65 million tons; Haitian oyster sauce is in an absolute leading position in sales, the second largest item after soy sauce, with a total annual output of 960,000 tons, becoming one of the necessary condiments in the kitchen; Haitian sauce is in the leading position, with a total output of 300,000 tons, and has successively launched signature bibimbap sauce, shiitake mushroom sauce and other products, all of which have received good market feedback.</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5" w:name="_Toc5813"/>
      <w:r>
        <w:rPr>
          <w:rFonts w:hint="default" w:ascii="Times New Roman" w:hAnsi="Times New Roman" w:cs="Times New Roman"/>
          <w:b/>
          <w:bCs/>
          <w:sz w:val="24"/>
          <w:szCs w:val="24"/>
        </w:rPr>
        <w:t>2.2 Analysis of marketing environment of Haitian Taste Industry (PEST analysis method)</w:t>
      </w:r>
      <w:bookmarkEnd w:id="5"/>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In today's increasingly fierce market competition, the macro environment faced by enterprises is always changing (Weiguang Liu</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2005), PEST analysis is an important method to help enterprises review the external macro environment. Although similar companies in the market are standing together, Haitian is still facing a unique marketing environment compared to the vast majority of companies.</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6" w:name="_Toc9896"/>
      <w:r>
        <w:rPr>
          <w:rFonts w:hint="default" w:ascii="Times New Roman" w:hAnsi="Times New Roman" w:cs="Times New Roman"/>
          <w:b/>
          <w:bCs/>
          <w:sz w:val="24"/>
          <w:szCs w:val="24"/>
        </w:rPr>
        <w:t>2.2.1 Political environment.</w:t>
      </w:r>
      <w:bookmarkEnd w:id="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With a population of 1.4 billion, no matter what stage of economic and social development it is in, eating tastefully is the most important thing for Chinese. In recent years, many countries have issued stricter food safety laws, improved food safety standards (Tu Yongqian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2013), and reduced vicious competition in the condiment market.</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7" w:name="_Toc14640"/>
      <w:r>
        <w:rPr>
          <w:rFonts w:hint="default" w:ascii="Times New Roman" w:hAnsi="Times New Roman" w:cs="Times New Roman"/>
          <w:b/>
          <w:bCs/>
          <w:sz w:val="24"/>
          <w:szCs w:val="24"/>
        </w:rPr>
        <w:t>2.2.2 Economic and environmental aspects</w:t>
      </w:r>
      <w:bookmarkEnd w:id="7"/>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Stable consumer demand is the core driving force for the development of the scale of the condiment industry. As incomes continue to grow, people's consumption habits gradually upgrade (Chris Carroll and Lawrence H. Summers, Sep.</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1989), and this rule also applies to the condiment industry. The development of the economy has promoted food consumption represented by condiments, and food consumption expenditure accounts for 17.98% of the average income of Chinese.</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8" w:name="_Toc10979"/>
      <w:r>
        <w:rPr>
          <w:rFonts w:hint="default" w:ascii="Times New Roman" w:hAnsi="Times New Roman" w:cs="Times New Roman"/>
          <w:b/>
          <w:bCs/>
          <w:sz w:val="24"/>
          <w:szCs w:val="24"/>
        </w:rPr>
        <w:t>2.2.3 Socio-environmental aspects</w:t>
      </w:r>
      <w:bookmarkEnd w:id="8"/>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China has a large land and a growing environment for crops required for the production of various condiments; Chinese has a traditional habit of eating with pickles, and with the impact of the new crown pneumonia epidemic, more and more people choose to cook at home or choose to order takeaway, providing a broad market for Haitian products.</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9" w:name="_Toc18581"/>
      <w:r>
        <w:rPr>
          <w:rFonts w:hint="default" w:ascii="Times New Roman" w:hAnsi="Times New Roman" w:cs="Times New Roman"/>
          <w:b/>
          <w:bCs/>
          <w:sz w:val="24"/>
          <w:szCs w:val="24"/>
        </w:rPr>
        <w:t>2.2.4 Technical Environment Aspects</w:t>
      </w:r>
      <w:bookmarkEnd w:id="9"/>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The development of automated production technology, fermentation technology, automatic packaging technology and e-commerce technology has brought new vitality to traditional industries, which is conducive to improving the production efficiency of Haitian Taste Industry.</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10" w:name="_Toc2827"/>
      <w:r>
        <w:rPr>
          <w:rFonts w:hint="default" w:ascii="Times New Roman" w:hAnsi="Times New Roman" w:cs="Times New Roman"/>
          <w:b/>
          <w:bCs/>
          <w:sz w:val="24"/>
          <w:szCs w:val="24"/>
        </w:rPr>
        <w:t>2.3 Haitian's marketing model</w:t>
      </w:r>
      <w:bookmarkEnd w:id="1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Marketing is the social and managerial process by creating and exchanging products and values that allow individuals or groups to satisfy their desires and needs (Philip Kotler</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2009). From the underlying logic, marketing is the fundamental guarantee of corporate profitability, but also an important channel to build a brand and win customer loyalty (Terry Hunt, etc.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2008), a level of enterprise marketing is directly related to product reputation and enterprise development ability, especially in the Internet, self-media, media highly developed era, whether the product can stand out from a large number of competing products, effective marketing is particularly important. Haitian has invested a lot of resources in marketing, and the brand image is deeply rooted in China.</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11" w:name="_Toc21816"/>
      <w:r>
        <w:rPr>
          <w:rFonts w:hint="default" w:ascii="Times New Roman" w:hAnsi="Times New Roman" w:cs="Times New Roman"/>
          <w:b/>
          <w:bCs/>
          <w:sz w:val="24"/>
          <w:szCs w:val="24"/>
        </w:rPr>
        <w:t>2.3.1 Investment of marketing resources of Haitian</w:t>
      </w:r>
      <w:bookmarkEnd w:id="11"/>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Building a marketing team capable of strong internal and external collaboration is the foundation of effective marketing (Chris Pemberton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2018). Haitian has formed an effective marketing network by strengthening the organizational leadership of the marketing business, and realized the value of marketing work through integrated marketing (David Pickton, 2004). A marketing committee led by the executive vice president of the group company was established to carry out the top-level design of the marketing strategy. In terms of marketing path, Haitian mainly adopts the distributor-based sales model, adopts the settlement method of "first payment before goods", maximizes the coverage of market terminals, the marketing network covers 31 provincial-level administrative regions, more than 320 prefecture-level cities, and more than 2,000 county markets in China, and its products are distributed throughout China's major supermarket chains, wholesale farmers' markets at all levels, urban and rural convenience stores, retail stores, and exported to more than 80 countries and regions around the world. At the same time, it also pays attention to online new retail, deepens cooperation with O2O platforms, strengthens cooperation with community group buying, and major platform e-commerce, and gradually establishes a sales model suitable for its own development. In terms of human resources, Haitian has always maintained the leading edge of products with high R&amp;D investment, and introduced a large number of scientific researchers; In terms of financial resources, Haitian not only occupies the taste of Chinese, but also occupies the visual of many people with high exposure through TV advertising, offline promotion, outdoor advertising and other forms.</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12" w:name="_Toc21877"/>
      <w:r>
        <w:rPr>
          <w:rFonts w:hint="default" w:ascii="Times New Roman" w:hAnsi="Times New Roman" w:cs="Times New Roman"/>
          <w:b/>
          <w:bCs/>
          <w:sz w:val="24"/>
          <w:szCs w:val="24"/>
        </w:rPr>
        <w:t>2.3.2 Haitian's marketing brand building</w:t>
      </w:r>
      <w:bookmarkEnd w:id="12"/>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While actively innovating to tap the potential of the consumer market, Haitian strengthens product promotion and image packaging, and strengthens the brand influence of products through IMC, a new tool for value management (David Picton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2004). Haitian broadcast promotional videos in the prime time cycle of the TV station with the widest audience in the country, creating a simple but guaranteed product quality image, filmed a corporate brand feature film, broadcast on China Central Television, showing the brand concept of "Haitian, carefully drying every bottle of soy sauce", telling the story of Haitian people perfectly integrating traditional brewing and drying with scientific and technological intelligence. At the same time, Haitian set up an "online mall" to create an online brand community (MV Willis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2022) to serve consumers who have no time to walk into the supermarket, and to show mouth-watering food scenes with videos on the product page.</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13" w:name="_Toc15902"/>
      <w:r>
        <w:rPr>
          <w:rFonts w:hint="default" w:ascii="Times New Roman" w:hAnsi="Times New Roman" w:cs="Times New Roman"/>
          <w:b/>
          <w:bCs/>
          <w:sz w:val="24"/>
          <w:szCs w:val="24"/>
        </w:rPr>
        <w:t>2.4 Customer Group Analysis of Haitian Taste Industry (STP Theory)</w:t>
      </w:r>
      <w:bookmarkEnd w:id="13"/>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Haitian's products cover the main needs of people for condiments in their daily cooking, trying to transform from a traditional condiment company to a well-rounded food company. Today, when the business environment has been relatively developed, the phenomenon of sustainable short-sighted marketing still exists (Villarino, etc., 2015). According to the STP theory, a systematic analysis of Haitian's customer group is carried out.</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14" w:name="_Toc30453"/>
      <w:r>
        <w:rPr>
          <w:rFonts w:hint="default" w:ascii="Times New Roman" w:hAnsi="Times New Roman" w:cs="Times New Roman"/>
          <w:b/>
          <w:bCs/>
          <w:sz w:val="24"/>
          <w:szCs w:val="24"/>
        </w:rPr>
        <w:t>2.4.1 Market Segmentation</w:t>
      </w:r>
      <w:bookmarkEnd w:id="14"/>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Different customer groups have different first needs for products, and the response to external stimuli such as promotion and advertising is inconsistent, which is the basic logic of product segmentation (Weinstein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2004). Soy sauce and oyster sauce are Haitian's most well-known products, and the main consumers derived from them are housewives, and in recent years, due to the impact of the new crown pneumonia epidemic, the catering consumption scene has gradually shifted to home, which has greatly boosted the market space for condiments. Effective marketing managers must not only introduce new products, but also imaginatively improve existing products to meet increasingly complex and changing consumer needs (David L Rainey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2005). Rice sauce is Haitian's relatively new product, Haitian's first instant sauce in the true sense, and its target customers are busy young people in a fast-paced lifestyle.</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15" w:name="_Toc10025"/>
      <w:r>
        <w:rPr>
          <w:rFonts w:hint="default" w:ascii="Times New Roman" w:hAnsi="Times New Roman" w:cs="Times New Roman"/>
          <w:b/>
          <w:bCs/>
          <w:sz w:val="24"/>
          <w:szCs w:val="24"/>
        </w:rPr>
        <w:t>2.4.2 Target Market</w:t>
      </w:r>
      <w:bookmarkEnd w:id="15"/>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Find and own customers by imagining the consumer group of an innovative product by determining the attributes of the product itself</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At present, Haitian Taste Industry's products are mainly distributed in catering, family, processing channels, the corresponding proportion is about 50%, 30%, 20%, catering channels are still Haitian's most advantageous channel, in 2021 China's catering industry chain rate reached 18% (Agne Blazyte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2022), far lower than the United States 53.3% and Japan 48.9%, with the increase of catering enterprise chain rate, Haitian condiment demand in catering channels will continue to increase. In terms of household channels, Haitian led the industry in 2021 with 149 million household coverage, 79.2% penetration rate and 2.5% growth rate, which means that 1 in every 3.5 households use Haitian products.</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16" w:name="_Toc11479"/>
      <w:r>
        <w:rPr>
          <w:rFonts w:hint="default" w:ascii="Times New Roman" w:hAnsi="Times New Roman" w:cs="Times New Roman"/>
          <w:b/>
          <w:bCs/>
          <w:sz w:val="24"/>
          <w:szCs w:val="24"/>
        </w:rPr>
        <w:t>2.4.3 Market Positioning</w:t>
      </w:r>
      <w:bookmarkEnd w:id="1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If the enterprise only stays in the stage of "meeting the demand", it cannot win the favor of customers, and entering the customer's mind is the best way to win the customer's choice (Al Ries and Jack Trout, 2001). Haitian Taste Industry products account for about 20% of China's condiment market share, but Haitian products are still mainly low-to-medium prices, in recent years, Haitian has tried to add fruits, vegetables, fungi, seafood, meat, egg yolks and other auxiliary materials to its unique sauces, trying to develop high-end products, but it seems that it has not brought more surprises to consumers.</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17" w:name="_Toc9626"/>
      <w:r>
        <w:rPr>
          <w:rFonts w:hint="default" w:ascii="Times New Roman" w:hAnsi="Times New Roman" w:cs="Times New Roman"/>
          <w:b/>
          <w:bCs/>
          <w:sz w:val="24"/>
          <w:szCs w:val="24"/>
        </w:rPr>
        <w:t>2.5 Competitiveness Analysis of Haitian Taste Industry (Porter 5 Force Model)</w:t>
      </w:r>
      <w:bookmarkEnd w:id="17"/>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As a strategic management model currently used as a business best practice, Porter's Five Forces model has lasting vitality (Rice, John, 2022). The following will discover Haitian's competitive advantage in the industry through Porter's five forces model, laying the foundation for a differentiated product strategy.</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18" w:name="_Toc30680"/>
      <w:r>
        <w:rPr>
          <w:rFonts w:hint="default" w:ascii="Times New Roman" w:hAnsi="Times New Roman" w:cs="Times New Roman"/>
          <w:b/>
          <w:bCs/>
          <w:sz w:val="24"/>
          <w:szCs w:val="24"/>
        </w:rPr>
        <w:t>2.5.1 Bargaining power of suppliers</w:t>
      </w:r>
      <w:bookmarkEnd w:id="18"/>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The competition pattern of China's condiment market is relatively fragmented, and the overall situation has formed a superpower led by Haitian Taste Industry, and it is feasible to reduce costs through intensive procurement of raw materials (Ying Shi</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2021). At the same time, China has a large land and vast resources, a large geographical span of north and south, sufficient supply of raw materials for condiments, no dependence on a few suppliers, and strong bargaining power for the upstream.</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19" w:name="_Toc32186"/>
      <w:r>
        <w:rPr>
          <w:rFonts w:hint="default" w:ascii="Times New Roman" w:hAnsi="Times New Roman" w:cs="Times New Roman"/>
          <w:b/>
          <w:bCs/>
          <w:sz w:val="24"/>
          <w:szCs w:val="24"/>
        </w:rPr>
        <w:t>2.5.2 Purchaser's bargaining power</w:t>
      </w:r>
      <w:bookmarkEnd w:id="19"/>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Even without relying on the internet, traditional marketing channels are still an important tool for many businesses (Indeed Editorial Team</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2021). Most of the condiment industry adopts the sales policy of spot goods, while Haitian implements a sales policy of "pay first and then supply" by virtue of its own channel control ability and bargaining power. Although the main products have a strong competitive advantage in the market because they are in the low and medium price range, simply changing the price is not the best solution to all pricing problems (Thomas T. Nagle, etc., 2017).</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20" w:name="_Toc8113"/>
      <w:r>
        <w:rPr>
          <w:rFonts w:hint="default" w:ascii="Times New Roman" w:hAnsi="Times New Roman" w:cs="Times New Roman"/>
          <w:b/>
          <w:bCs/>
          <w:sz w:val="24"/>
          <w:szCs w:val="24"/>
        </w:rPr>
        <w:t>2.5.3 Competitive ability of current competitors</w:t>
      </w:r>
      <w:bookmarkEnd w:id="2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In 2020, the global sauces and spices market generated about $190 billion in revenue, and revenue from all segments is expected to continue to grow by 2025 (Statista</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2021), specifically for the soy sauce segment, the market size is expected to reach $55.8 billion by 2025, and major manufacturers such as Haitian face huge growth opportunities (Kbvresearch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2019). According to the sales scale and business layout, China's soy sauce-based condiment companies can be divided into four echelons: Haitian Taste Industry ranks first in the industry in terms of market share and operating income, its sales network is distributed throughout the country, and all regions are balanced and occupy absolute advantages; Yummy Fresh and Lee Kum Kee ranked second in terms of revenue and production capacity. Although Qianhe and other companies are in the downstream of the competition, Qianhe's competitive strategy is to maintain the sales volume of 10-20 yuan products, which currently accounts for about 50% in the price band, and set up a special catering department to lay out low-end catering. Lee Kum Kee regards the catering channel as its main sales channel, and has strong channel stickiness, which poses a market threat to Haitian from the differentiated competition. Only by enhancing the ability to understand customers, competitors, and channel members can companies continuously sense and act on current and future market events and trends (David W. Cravens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2013).</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21" w:name="_Toc25253"/>
      <w:r>
        <w:rPr>
          <w:rFonts w:hint="default" w:ascii="Times New Roman" w:hAnsi="Times New Roman" w:cs="Times New Roman"/>
          <w:b/>
          <w:bCs/>
          <w:sz w:val="24"/>
          <w:szCs w:val="24"/>
        </w:rPr>
        <w:t>2.5.4 Potential Competitor's Ability to Enter</w:t>
      </w:r>
      <w:bookmarkEnd w:id="21"/>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If a business wants to be an effective player within an industry, it must understand the type of competition in the industry (Philip Kotler, Gary Armstrong, 2020). Whether it can meet the regulatory requirements of the industry is one of the challenges faced by new entrants in the condiment industry, small enterprises with less competitiveness will be expelled from the market, which makes room for leading enterprises such as Haitian to grow, marketing, logistics and supply chain, and organizational management reshape the company's marketing resources and capabilities (Ying Ye, etc., 2018), and new entrants will also face high channel barriers. For enterprises in today's era, it is easy to embark on the road of e-commerce and further consolidate the competitive advantage of the point of sale through e-commerce networks (Tereza Semerádová, etc., 2022), Haitian has not been particularly outstanding in this regard, and the proportion of online sales is very small.</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2"/>
        <w:rPr>
          <w:rFonts w:hint="default" w:ascii="Times New Roman" w:hAnsi="Times New Roman" w:cs="Times New Roman"/>
          <w:b/>
          <w:bCs/>
          <w:sz w:val="24"/>
          <w:szCs w:val="24"/>
        </w:rPr>
      </w:pPr>
      <w:bookmarkStart w:id="22" w:name="_Toc5169"/>
      <w:r>
        <w:rPr>
          <w:rFonts w:hint="default" w:ascii="Times New Roman" w:hAnsi="Times New Roman" w:cs="Times New Roman"/>
          <w:b/>
          <w:bCs/>
          <w:sz w:val="24"/>
          <w:szCs w:val="24"/>
        </w:rPr>
        <w:t>2.5.5 Substitution capacity of substitutes</w:t>
      </w:r>
      <w:bookmarkEnd w:id="22"/>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Substitute competitors are more latent competitors, and it is even more difficult to complete this substitution process (Wnag yuehui 2017). Condiments, as ingredients for daily cooking, are the core elements of Chinese characteristic food culture, and there are relatively fixed needs, and there is no obvious alternative product. Condiment companies continue to enrich their product structure and carry out product innovation, but competitors outside the industry have little substitution for the main condiments.</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23" w:name="_Toc29065"/>
      <w:r>
        <w:rPr>
          <w:rFonts w:hint="default" w:ascii="Times New Roman" w:hAnsi="Times New Roman" w:cs="Times New Roman"/>
          <w:b/>
          <w:bCs/>
          <w:sz w:val="24"/>
          <w:szCs w:val="24"/>
        </w:rPr>
        <w:t>2.6 Exploration of differentiated development of Haitian</w:t>
      </w:r>
      <w:bookmarkEnd w:id="23"/>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maintain the current development situation, Haitian is gradually embarking on the road of differentiated development. Differentiating the products and services offered by the company, establishing something unique in the industry (Michael E. Porter</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1983), when the product is truly different in the market, this differentiation strategy can build consumer awareness and trust in the product, even if the price of the product changes, the consumer's sensitivity will be reduced (Dominique-Ferreira, Sérgio, 2016). Haitian has developed pickles in various flavors and is expected to serve as a dietary companion for people to travel and eat urgently, but there are also concerns about the health effects of pickled foods (Zhu Dan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2022). In August 2022, Haitian also tried to sell a variety of fermented fruit and vegetable juice drinks online to fill the market gap, but the market response was relatively flat.</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0"/>
        <w:rPr>
          <w:rFonts w:hint="default" w:ascii="Times New Roman" w:hAnsi="Times New Roman" w:cs="Times New Roman"/>
          <w:b/>
          <w:bCs/>
          <w:sz w:val="24"/>
          <w:szCs w:val="24"/>
        </w:rPr>
      </w:pPr>
      <w:bookmarkStart w:id="24" w:name="_Toc8188"/>
      <w:r>
        <w:rPr>
          <w:rFonts w:hint="default" w:ascii="Times New Roman" w:hAnsi="Times New Roman" w:cs="Times New Roman"/>
          <w:b/>
          <w:bCs/>
          <w:sz w:val="24"/>
          <w:szCs w:val="24"/>
        </w:rPr>
        <w:t>3. Main conclusions</w:t>
      </w:r>
      <w:bookmarkEnd w:id="24"/>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As a fast-moving consumer goods manufacturer producing condiments, it is indeed not easy for Haitian to occupy a leading position in the industry for a long time, but there are also market challenges and hidden worries about development. Through the PEST model analysis, this paper shows that today's political, economic, social and technological environment is conducive to the sustainable development of Haitian Taste Industry. Through STP analysis, Haitian's market segmentation, target market and market positioning were further clarified. Through the analysis of Porter's five forces model, the competitive advantages of Haitian are further sorted out. In general, Haitian's sales model has promoted people's loyalty to the brand to a certain extent, and sometimes stimulated people's desire to consume, this offline + online, integration + innovative product marketing method, has a certain era, but as a consumer goods closely related to people's lives, these efforts can not support the sustainable development of Haitian. The main manifestations are: First, Haitian's condiments target the middle and low end, but lack the layout of high-end products, and do not occupy a leading position in the field of high-end products. Second, although soy sauce, oyster sauce and other products have a high market share, the market share of most products is still not high. Third, although the product shows a trend of diversification, the development of green and healthy products is not high. Fourth, although a perfect marketing network has been established, the channel competition pressure in the catering industry is greater, and there is a possibility of being surpassed by competitors. Fifth, although multi-dimensional publicity has been carried out, product publicity still appears to be more conservative. To achieve sustainable and healthy development, Haitian Taste needs more accurate product launch and differentiated marketing strategies.</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0"/>
        <w:rPr>
          <w:rFonts w:hint="default" w:ascii="Times New Roman" w:hAnsi="Times New Roman" w:cs="Times New Roman"/>
          <w:b/>
          <w:bCs/>
          <w:sz w:val="24"/>
          <w:szCs w:val="24"/>
        </w:rPr>
      </w:pPr>
      <w:bookmarkStart w:id="25" w:name="_Toc11232"/>
      <w:r>
        <w:rPr>
          <w:rFonts w:hint="default" w:ascii="Times New Roman" w:hAnsi="Times New Roman" w:cs="Times New Roman"/>
          <w:b/>
          <w:bCs/>
          <w:sz w:val="24"/>
          <w:szCs w:val="24"/>
        </w:rPr>
        <w:t>4. Suggestions for optimizing the marketing model of Haitian Taste Industry</w:t>
      </w:r>
      <w:bookmarkEnd w:id="25"/>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To sum up, in order to maintain its leading edge in the market for a long time, Haitian Taste Industry needs to scientifically carry out product layout and differentiated marketing model planning. If a company is product-oriented rather than marketing-oriented, it will undoubtedly lose business (Canton and Irving D</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1987). It is recommended to use the integrated marketing methodology as a guide to comprehensively carry out marketing strategy optimization:</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26" w:name="_Toc17000"/>
      <w:r>
        <w:rPr>
          <w:rFonts w:hint="default" w:ascii="Times New Roman" w:hAnsi="Times New Roman" w:cs="Times New Roman"/>
          <w:b/>
          <w:bCs/>
          <w:sz w:val="24"/>
          <w:szCs w:val="24"/>
        </w:rPr>
        <w:t>4.1 Develop high-end seasoning products</w:t>
      </w:r>
      <w:bookmarkEnd w:id="2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Combined with the trend of consumption upgrading in the condiment market</w:t>
      </w:r>
      <w:r>
        <w:rPr>
          <w:rFonts w:hint="eastAsia" w:ascii="Times New Roman" w:hAnsi="Times New Roman" w:cs="Times New Roman"/>
          <w:sz w:val="24"/>
          <w:szCs w:val="24"/>
          <w:lang w:eastAsia="zh-CN"/>
        </w:rPr>
        <w:t>（</w:t>
      </w:r>
      <w:r>
        <w:rPr>
          <w:rFonts w:hint="eastAsia" w:ascii="Times New Roman" w:hAnsi="Times New Roman" w:cs="Times New Roman"/>
          <w:sz w:val="24"/>
          <w:szCs w:val="24"/>
          <w:lang w:val="en-US" w:eastAsia="zh-CN"/>
        </w:rPr>
        <w:t>Wang Yu,2017</w:t>
      </w:r>
      <w:bookmarkStart w:id="33" w:name="_GoBack"/>
      <w:bookmarkEnd w:id="33"/>
      <w:r>
        <w:rPr>
          <w:rFonts w:hint="eastAsia" w:ascii="Times New Roman" w:hAnsi="Times New Roman" w:cs="Times New Roman"/>
          <w:sz w:val="24"/>
          <w:szCs w:val="24"/>
          <w:lang w:eastAsia="zh-CN"/>
        </w:rPr>
        <w:t>）</w:t>
      </w:r>
      <w:r>
        <w:rPr>
          <w:rFonts w:hint="default" w:ascii="Times New Roman" w:hAnsi="Times New Roman" w:cs="Times New Roman"/>
          <w:sz w:val="24"/>
          <w:szCs w:val="24"/>
        </w:rPr>
        <w:t>, the condiment industry presents a trend of upgrading the product structure to the high-end direction, and the number of high-end condiments consumption will increase year by year, it is recommended to pay more attention to the condiment brand, quality and application scenarios, develop high-end condiments, realize the multi-dimensional layout of products, and gradually form a leading advantage in the high-end condiment market.</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27" w:name="_Toc4201"/>
      <w:r>
        <w:rPr>
          <w:rFonts w:hint="default" w:ascii="Times New Roman" w:hAnsi="Times New Roman" w:cs="Times New Roman"/>
          <w:b/>
          <w:bCs/>
          <w:sz w:val="24"/>
          <w:szCs w:val="24"/>
        </w:rPr>
        <w:t>4.2 Strengthen the marketing of subdivided products</w:t>
      </w:r>
      <w:bookmarkEnd w:id="27"/>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Enhance the marketing of Haitian sauce, soybean sauce and other products, form a collective competitive advantage of products, and establish a broader "moat".</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28" w:name="_Toc28938"/>
      <w:r>
        <w:rPr>
          <w:rFonts w:hint="default" w:ascii="Times New Roman" w:hAnsi="Times New Roman" w:cs="Times New Roman"/>
          <w:b/>
          <w:bCs/>
          <w:sz w:val="24"/>
          <w:szCs w:val="24"/>
        </w:rPr>
        <w:t>4.3 Develop products with health concepts</w:t>
      </w:r>
      <w:bookmarkEnd w:id="28"/>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Consumers' unremitting pursuit of a healthy and better life has prompted the food industry to pay more and more attention to the health and safety of food itself, and countries around the world have also regulated the production and operation behavior of food enterprises from the legal level.</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29" w:name="_Toc12521"/>
      <w:r>
        <w:rPr>
          <w:rFonts w:hint="default" w:ascii="Times New Roman" w:hAnsi="Times New Roman" w:cs="Times New Roman"/>
          <w:b/>
          <w:bCs/>
          <w:sz w:val="24"/>
          <w:szCs w:val="24"/>
        </w:rPr>
        <w:t>4.4 Continue to expand the channel advantage in the catering industry</w:t>
      </w:r>
      <w:bookmarkEnd w:id="29"/>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With the improvement of the degree of chain of catering enterprises, enterprises that occupy the leading edge in the catering industry will have more room for development, and in the face of market competitors, Haitian can develop more diversified condiments, enhance the frequency of communication with the catering industry, and firmly occupy the channel advantage.</w:t>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outlineLvl w:val="1"/>
        <w:rPr>
          <w:rFonts w:hint="default" w:ascii="Times New Roman" w:hAnsi="Times New Roman" w:cs="Times New Roman"/>
          <w:b/>
          <w:bCs/>
          <w:sz w:val="24"/>
          <w:szCs w:val="24"/>
        </w:rPr>
      </w:pPr>
      <w:bookmarkStart w:id="30" w:name="_Toc18167"/>
      <w:r>
        <w:rPr>
          <w:rFonts w:hint="default" w:ascii="Times New Roman" w:hAnsi="Times New Roman" w:cs="Times New Roman"/>
          <w:b/>
          <w:bCs/>
          <w:sz w:val="24"/>
          <w:szCs w:val="24"/>
        </w:rPr>
        <w:t>4.5 Implement more targeted campaigns</w:t>
      </w:r>
      <w:bookmarkEnd w:id="3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Pay attention to the use of the influence and communication power of self-media, strengthen the publicity of the concept of health, strengthen the publicity of the international market, and improve the influence of products in the global market.</w:t>
      </w:r>
    </w:p>
    <w:p>
      <w:pPr>
        <w:rPr>
          <w:rFonts w:hint="default" w:ascii="Times New Roman" w:hAnsi="Times New Roman" w:cs="Times New Roman"/>
          <w:sz w:val="24"/>
          <w:szCs w:val="24"/>
        </w:rPr>
      </w:pPr>
      <w:r>
        <w:rPr>
          <w:rFonts w:hint="default" w:ascii="Times New Roman" w:hAnsi="Times New Roman" w:cs="Times New Roman"/>
          <w:sz w:val="24"/>
          <w:szCs w:val="24"/>
        </w:rPr>
        <w:br w:type="page"/>
      </w:r>
    </w:p>
    <w:p>
      <w:pPr>
        <w:spacing w:line="480" w:lineRule="auto"/>
        <w:outlineLvl w:val="0"/>
        <w:rPr>
          <w:rFonts w:hint="eastAsia" w:ascii="Times New Roman" w:hAnsi="Times New Roman" w:eastAsia="宋体" w:cs="Times New Roman"/>
          <w:b/>
          <w:bCs/>
          <w:sz w:val="24"/>
          <w:lang w:eastAsia="zh-CN"/>
        </w:rPr>
      </w:pPr>
      <w:bookmarkStart w:id="31" w:name="_Toc2674"/>
      <w:bookmarkStart w:id="32" w:name="_Toc21245"/>
      <w:r>
        <w:rPr>
          <w:rFonts w:ascii="Times New Roman" w:hAnsi="Times New Roman" w:eastAsia="宋体" w:cs="Times New Roman"/>
          <w:b/>
          <w:bCs/>
          <w:sz w:val="24"/>
        </w:rPr>
        <w:t>References</w:t>
      </w:r>
      <w:bookmarkEnd w:id="31"/>
      <w:r>
        <w:rPr>
          <w:rFonts w:hint="eastAsia" w:ascii="Times New Roman" w:hAnsi="Times New Roman" w:eastAsia="宋体" w:cs="Times New Roman"/>
          <w:b/>
          <w:bCs/>
          <w:sz w:val="24"/>
          <w:lang w:eastAsia="zh-CN"/>
        </w:rPr>
        <w:t>：</w:t>
      </w:r>
      <w:bookmarkEnd w:id="32"/>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Armstrong, G. (Gary M.. et al. (2020)</w:t>
      </w:r>
      <w:r>
        <w:rPr>
          <w:rFonts w:hint="default" w:ascii="Times New Roman" w:hAnsi="Times New Roman" w:eastAsia="宋体" w:cs="Times New Roman"/>
          <w:b w:val="0"/>
          <w:bCs w:val="0"/>
          <w:i/>
          <w:iCs/>
          <w:caps w:val="0"/>
          <w:color w:val="222222"/>
          <w:spacing w:val="0"/>
          <w:sz w:val="24"/>
          <w:szCs w:val="24"/>
          <w:shd w:val="clear" w:fill="FFFFFF"/>
          <w:lang w:val="en-US" w:eastAsia="zh-CN"/>
        </w:rPr>
        <w:t xml:space="preserve"> Marketing : an introduction. Fourteenth edition</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 Harlow: Pearson Education Limited.</w:t>
      </w:r>
    </w:p>
    <w:p>
      <w:pPr>
        <w:pStyle w:val="5"/>
        <w:keepNext w:val="0"/>
        <w:keepLines w:val="0"/>
        <w:pageBreakBefore w:val="0"/>
        <w:widowControl/>
        <w:suppressLineNumbers w:val="0"/>
        <w:kinsoku/>
        <w:wordWrap w:val="0"/>
        <w:overflowPunct/>
        <w:topLinePunct w:val="0"/>
        <w:autoSpaceDE/>
        <w:autoSpaceDN/>
        <w:bidi w:val="0"/>
        <w:adjustRightInd/>
        <w:snapToGrid/>
        <w:spacing w:before="0" w:beforeAutospacing="0" w:after="0" w:afterAutospacing="0" w:line="480" w:lineRule="auto"/>
        <w:ind w:right="0" w:firstLine="480" w:firstLineChars="200"/>
        <w:jc w:val="left"/>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fldChar w:fldCharType="begin"/>
      </w:r>
      <w:r>
        <w:rPr>
          <w:rFonts w:hint="default" w:ascii="Times New Roman" w:hAnsi="Times New Roman" w:cs="Times New Roman"/>
          <w:b w:val="0"/>
          <w:bCs w:val="0"/>
          <w:i w:val="0"/>
          <w:iCs w:val="0"/>
          <w:caps w:val="0"/>
          <w:color w:val="auto"/>
          <w:spacing w:val="0"/>
          <w:sz w:val="24"/>
          <w:szCs w:val="24"/>
          <w:shd w:val="clear" w:fill="FFFFFF"/>
          <w:lang w:val="en-US" w:eastAsia="zh-CN"/>
        </w:rPr>
        <w:instrText xml:space="preserve"> HYPERLINK "https://www.statista.com/aboutus/our-research-commitment" </w:instrText>
      </w:r>
      <w:r>
        <w:rPr>
          <w:rFonts w:hint="default" w:ascii="Times New Roman" w:hAnsi="Times New Roman" w:cs="Times New Roman"/>
          <w:b w:val="0"/>
          <w:bCs w:val="0"/>
          <w:i w:val="0"/>
          <w:iCs w:val="0"/>
          <w:caps w:val="0"/>
          <w:color w:val="auto"/>
          <w:spacing w:val="0"/>
          <w:sz w:val="24"/>
          <w:szCs w:val="24"/>
          <w:shd w:val="clear" w:fill="FFFFFF"/>
          <w:lang w:val="en-US" w:eastAsia="zh-CN"/>
        </w:rPr>
        <w:fldChar w:fldCharType="separate"/>
      </w:r>
      <w:r>
        <w:rPr>
          <w:rFonts w:hint="default" w:ascii="Times New Roman" w:hAnsi="Times New Roman" w:cs="Times New Roman"/>
          <w:b w:val="0"/>
          <w:bCs w:val="0"/>
          <w:i w:val="0"/>
          <w:iCs w:val="0"/>
          <w:caps w:val="0"/>
          <w:color w:val="auto"/>
          <w:spacing w:val="0"/>
          <w:sz w:val="24"/>
          <w:szCs w:val="24"/>
          <w:shd w:val="clear" w:fill="FFFFFF"/>
          <w:lang w:val="en-US" w:eastAsia="zh-CN"/>
        </w:rPr>
        <w:t>Blazyte</w:t>
      </w:r>
      <w:r>
        <w:rPr>
          <w:rFonts w:hint="default" w:ascii="Times New Roman" w:hAnsi="Times New Roman" w:cs="Times New Roman"/>
          <w:b w:val="0"/>
          <w:bCs w:val="0"/>
          <w:i w:val="0"/>
          <w:iCs w:val="0"/>
          <w:caps w:val="0"/>
          <w:color w:val="auto"/>
          <w:spacing w:val="0"/>
          <w:sz w:val="24"/>
          <w:szCs w:val="24"/>
          <w:shd w:val="clear" w:fill="FFFFFF"/>
          <w:lang w:val="en-US" w:eastAsia="zh-CN"/>
        </w:rPr>
        <w:fldChar w:fldCharType="end"/>
      </w:r>
      <w:r>
        <w:rPr>
          <w:rFonts w:hint="eastAsia" w:ascii="Times New Roman" w:hAnsi="Times New Roman" w:cs="Times New Roman"/>
          <w:b w:val="0"/>
          <w:bCs w:val="0"/>
          <w:i w:val="0"/>
          <w:iCs w:val="0"/>
          <w:caps w:val="0"/>
          <w:color w:val="auto"/>
          <w:spacing w:val="0"/>
          <w:sz w:val="24"/>
          <w:szCs w:val="24"/>
          <w:shd w:val="clear" w:fill="FFFFFF"/>
          <w:lang w:val="en-US" w:eastAsia="zh-CN"/>
        </w:rPr>
        <w:t>,A,.(2022).</w:t>
      </w:r>
      <w:r>
        <w:rPr>
          <w:rFonts w:hint="default" w:ascii="Times New Roman" w:hAnsi="Times New Roman" w:cs="Times New Roman"/>
          <w:b w:val="0"/>
          <w:bCs w:val="0"/>
          <w:i w:val="0"/>
          <w:iCs w:val="0"/>
          <w:caps w:val="0"/>
          <w:color w:val="auto"/>
          <w:spacing w:val="0"/>
          <w:sz w:val="24"/>
          <w:szCs w:val="24"/>
          <w:shd w:val="clear" w:fill="FFFFFF"/>
          <w:lang w:val="en-US" w:eastAsia="zh-CN"/>
        </w:rPr>
        <w:t>Share of chain stores in the total number of catering industry outlets in China from 2018 to 2021</w:t>
      </w:r>
      <w:r>
        <w:rPr>
          <w:rFonts w:hint="eastAsia" w:ascii="Times New Roman" w:hAnsi="Times New Roman" w:cs="Times New Roman"/>
          <w:b w:val="0"/>
          <w:bCs w:val="0"/>
          <w:i w:val="0"/>
          <w:iCs w:val="0"/>
          <w:caps w:val="0"/>
          <w:color w:val="auto"/>
          <w:spacing w:val="0"/>
          <w:sz w:val="24"/>
          <w:szCs w:val="24"/>
          <w:shd w:val="clear" w:fill="FFFFFF"/>
          <w:lang w:val="en-US" w:eastAsia="zh-CN"/>
        </w:rPr>
        <w:t>.</w:t>
      </w:r>
      <w:r>
        <w:rPr>
          <w:rFonts w:hint="default" w:ascii="Times New Roman" w:hAnsi="Times New Roman" w:cs="Times New Roman"/>
          <w:b w:val="0"/>
          <w:bCs w:val="0"/>
          <w:i w:val="0"/>
          <w:iCs w:val="0"/>
          <w:caps w:val="0"/>
          <w:color w:val="auto"/>
          <w:spacing w:val="0"/>
          <w:sz w:val="24"/>
          <w:szCs w:val="24"/>
          <w:shd w:val="clear" w:fill="FFFFFF"/>
          <w:lang w:val="en-US" w:eastAsia="zh-CN"/>
        </w:rPr>
        <w:t>[online] Available at: &lt;</w:t>
      </w:r>
      <w:r>
        <w:rPr>
          <w:rFonts w:hint="eastAsia" w:ascii="Times New Roman" w:hAnsi="Times New Roman" w:cs="Times New Roman"/>
          <w:b w:val="0"/>
          <w:bCs w:val="0"/>
          <w:i w:val="0"/>
          <w:iCs w:val="0"/>
          <w:caps w:val="0"/>
          <w:color w:val="auto"/>
          <w:spacing w:val="0"/>
          <w:sz w:val="24"/>
          <w:szCs w:val="24"/>
          <w:shd w:val="clear" w:fill="FFFFFF"/>
          <w:lang w:val="en-US" w:eastAsia="zh-CN"/>
        </w:rPr>
        <w:t>https://www.statista.com/statistics/1260572/china-catering-industry-chain-store-penetration-rate/&gt;.</w:t>
      </w:r>
      <w:r>
        <w:rPr>
          <w:rFonts w:hint="default" w:ascii="Times New Roman" w:hAnsi="Times New Roman" w:cs="Times New Roman"/>
          <w:b w:val="0"/>
          <w:bCs w:val="0"/>
          <w:i w:val="0"/>
          <w:iCs w:val="0"/>
          <w:caps w:val="0"/>
          <w:color w:val="auto"/>
          <w:spacing w:val="0"/>
          <w:sz w:val="24"/>
          <w:szCs w:val="24"/>
          <w:shd w:val="clear" w:fill="FFFFFF"/>
          <w:lang w:val="en-US" w:eastAsia="zh-CN"/>
        </w:rPr>
        <w:t xml:space="preserve">[Accessed </w:t>
      </w:r>
      <w:r>
        <w:rPr>
          <w:rFonts w:hint="eastAsia" w:ascii="Times New Roman" w:hAnsi="Times New Roman" w:cs="Times New Roman"/>
          <w:b w:val="0"/>
          <w:bCs w:val="0"/>
          <w:i w:val="0"/>
          <w:iCs w:val="0"/>
          <w:caps w:val="0"/>
          <w:color w:val="auto"/>
          <w:spacing w:val="0"/>
          <w:sz w:val="24"/>
          <w:szCs w:val="24"/>
          <w:shd w:val="clear" w:fill="FFFFFF"/>
          <w:lang w:val="en-US" w:eastAsia="zh-CN"/>
        </w:rPr>
        <w:t>7</w:t>
      </w:r>
      <w:r>
        <w:rPr>
          <w:rFonts w:hint="default" w:ascii="Times New Roman" w:hAnsi="Times New Roman" w:cs="Times New Roman"/>
          <w:b w:val="0"/>
          <w:bCs w:val="0"/>
          <w:i w:val="0"/>
          <w:iCs w:val="0"/>
          <w:caps w:val="0"/>
          <w:color w:val="auto"/>
          <w:spacing w:val="0"/>
          <w:sz w:val="24"/>
          <w:szCs w:val="24"/>
          <w:shd w:val="clear" w:fill="FFFFFF"/>
          <w:lang w:val="en-US" w:eastAsia="zh-CN"/>
        </w:rPr>
        <w:t xml:space="preserve"> dec 2022].</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Canton, I.D. (1987) ‘</w:t>
      </w:r>
      <w:r>
        <w:rPr>
          <w:rFonts w:hint="default" w:ascii="Times New Roman" w:hAnsi="Times New Roman" w:eastAsia="宋体" w:cs="Times New Roman"/>
          <w:b w:val="0"/>
          <w:bCs w:val="0"/>
          <w:i/>
          <w:iCs/>
          <w:caps w:val="0"/>
          <w:color w:val="222222"/>
          <w:spacing w:val="0"/>
          <w:sz w:val="24"/>
          <w:szCs w:val="24"/>
          <w:shd w:val="clear" w:fill="FFFFFF"/>
          <w:lang w:val="en-US" w:eastAsia="zh-CN"/>
        </w:rPr>
        <w:t>Marketing myopia revisited’</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 Marketing news, 21(6), p. 1–.</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begin"/>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instrText xml:space="preserve"> HYPERLINK "https://www.nber.org/people/christopher_carroll" </w:instrTex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separate"/>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Carroll</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end"/>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,C.</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 </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 xml:space="preserve">and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begin"/>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instrText xml:space="preserve"> HYPERLINK "https://www.nber.org/people/lawrence_summers" </w:instrTex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separate"/>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Summers</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end"/>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，L.H.,(1989).</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Consumption Growth Parallels Income Growth: Some New Evidence</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,[online] Available at</w:t>
      </w:r>
      <w:r>
        <w:rPr>
          <w:rFonts w:hint="default" w:ascii="Times New Roman" w:hAnsi="Times New Roman" w:eastAsia="宋体" w:cs="Times New Roman"/>
          <w:b w:val="0"/>
          <w:bCs w:val="0"/>
          <w:i w:val="0"/>
          <w:iCs w:val="0"/>
          <w:caps w:val="0"/>
          <w:color w:val="auto"/>
          <w:spacing w:val="0"/>
          <w:kern w:val="2"/>
          <w:sz w:val="24"/>
          <w:szCs w:val="24"/>
          <w:shd w:val="clear" w:fill="FFFFFF"/>
          <w:lang w:val="en-US" w:eastAsia="zh-CN" w:bidi="ar-SA"/>
        </w:rPr>
        <w:t>:&lt;</w:t>
      </w:r>
      <w:r>
        <w:rPr>
          <w:rFonts w:hint="default" w:ascii="Times New Roman" w:hAnsi="Times New Roman" w:eastAsia="宋体" w:cs="Times New Roman"/>
          <w:color w:val="auto"/>
          <w:sz w:val="24"/>
          <w:szCs w:val="24"/>
        </w:rPr>
        <w:fldChar w:fldCharType="begin"/>
      </w:r>
      <w:r>
        <w:rPr>
          <w:rFonts w:hint="default" w:ascii="Times New Roman" w:hAnsi="Times New Roman" w:eastAsia="宋体" w:cs="Times New Roman"/>
          <w:color w:val="auto"/>
          <w:sz w:val="24"/>
          <w:szCs w:val="24"/>
        </w:rPr>
        <w:instrText xml:space="preserve"> HYPERLINK "https://www.nber.org/papers/w3090" </w:instrText>
      </w:r>
      <w:r>
        <w:rPr>
          <w:rFonts w:hint="default" w:ascii="Times New Roman" w:hAnsi="Times New Roman" w:eastAsia="宋体" w:cs="Times New Roman"/>
          <w:color w:val="auto"/>
          <w:sz w:val="24"/>
          <w:szCs w:val="24"/>
        </w:rPr>
        <w:fldChar w:fldCharType="separate"/>
      </w:r>
      <w:r>
        <w:rPr>
          <w:rStyle w:val="9"/>
          <w:rFonts w:hint="default" w:ascii="Times New Roman" w:hAnsi="Times New Roman" w:eastAsia="宋体" w:cs="Times New Roman"/>
          <w:color w:val="auto"/>
          <w:sz w:val="24"/>
          <w:szCs w:val="24"/>
        </w:rPr>
        <w:t>Consumption Growth Parallels Income Growth: Some New Evidence | NBER</w:t>
      </w:r>
      <w:r>
        <w:rPr>
          <w:rFonts w:hint="default" w:ascii="Times New Roman" w:hAnsi="Times New Roman" w:eastAsia="宋体" w:cs="Times New Roman"/>
          <w:color w:val="auto"/>
          <w:sz w:val="24"/>
          <w:szCs w:val="24"/>
        </w:rPr>
        <w:fldChar w:fldCharType="end"/>
      </w:r>
      <w:r>
        <w:rPr>
          <w:rFonts w:hint="default" w:ascii="Times New Roman" w:hAnsi="Times New Roman" w:eastAsia="宋体" w:cs="Times New Roman"/>
          <w:b w:val="0"/>
          <w:bCs w:val="0"/>
          <w:i w:val="0"/>
          <w:iCs w:val="0"/>
          <w:caps w:val="0"/>
          <w:color w:val="auto"/>
          <w:spacing w:val="0"/>
          <w:kern w:val="2"/>
          <w:sz w:val="24"/>
          <w:szCs w:val="24"/>
          <w:shd w:val="clear" w:fill="FFFFFF"/>
          <w:lang w:val="en-US" w:eastAsia="zh-CN" w:bidi="ar-SA"/>
        </w:rPr>
        <w:t>&gt;</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.[Accessed 10 Dec 2022].</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宋体" w:cs="Times New Roman"/>
          <w:b w:val="0"/>
          <w:bCs w:val="0"/>
          <w:i w:val="0"/>
          <w:iCs w:val="0"/>
          <w:caps w:val="0"/>
          <w:color w:val="222222"/>
          <w:spacing w:val="0"/>
          <w:sz w:val="24"/>
          <w:szCs w:val="24"/>
          <w:shd w:val="clear" w:fill="FFFFFF"/>
          <w:lang w:val="en-US" w:eastAsia="zh-CN"/>
        </w:rPr>
      </w:pP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 xml:space="preserve">Cravens, D.W. and Piercy, N. (2012) </w:t>
      </w:r>
      <w:r>
        <w:rPr>
          <w:rFonts w:hint="eastAsia" w:ascii="Times New Roman" w:hAnsi="Times New Roman" w:eastAsia="宋体" w:cs="Times New Roman"/>
          <w:b w:val="0"/>
          <w:bCs w:val="0"/>
          <w:i/>
          <w:iCs/>
          <w:caps w:val="0"/>
          <w:color w:val="222222"/>
          <w:spacing w:val="0"/>
          <w:sz w:val="24"/>
          <w:szCs w:val="24"/>
          <w:shd w:val="clear" w:fill="FFFFFF"/>
          <w:lang w:val="en-US" w:eastAsia="zh-CN"/>
        </w:rPr>
        <w:t>Strategic marketing.</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 xml:space="preserve"> 10th ed. New York: McGraw-Hill.</w:t>
      </w:r>
    </w:p>
    <w:p>
      <w:pPr>
        <w:pStyle w:val="5"/>
        <w:keepNext w:val="0"/>
        <w:keepLines w:val="0"/>
        <w:pageBreakBefore w:val="0"/>
        <w:widowControl/>
        <w:suppressLineNumbers w:val="0"/>
        <w:kinsoku/>
        <w:wordWrap w:val="0"/>
        <w:overflowPunct/>
        <w:topLinePunct w:val="0"/>
        <w:autoSpaceDE/>
        <w:autoSpaceDN/>
        <w:bidi w:val="0"/>
        <w:adjustRightInd/>
        <w:snapToGrid/>
        <w:spacing w:before="0" w:beforeAutospacing="0" w:after="0" w:afterAutospacing="0" w:line="480" w:lineRule="auto"/>
        <w:ind w:right="0" w:firstLine="480" w:firstLineChars="200"/>
        <w:jc w:val="left"/>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t>Dolnicar, S., Grün, B. and Leisch, F. (2018) Market Segmentation Analysis : understanding it, doing it, and making it useful. Singapore: Springer. Available at: &lt;https://doi.org/10.1007/978-981-10-8818-6&gt;.[Accessed 8 dec 2022].</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right="0" w:firstLine="480" w:firstLineChars="20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t xml:space="preserve">Dominique-Ferreira, S., Vasconcelos, H. and Proença, J.F. (2016) ‘Determinants of customer price sensitivity: an empirical analysis’, The Journal of services marketing, 30(3), pp. 327–340. </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eastAsia" w:ascii="Times New Roman" w:hAnsi="Times New Roman" w:cs="Times New Roman"/>
          <w:b w:val="0"/>
          <w:bCs w:val="0"/>
          <w:i w:val="0"/>
          <w:iCs w:val="0"/>
          <w:caps w:val="0"/>
          <w:color w:val="auto"/>
          <w:spacing w:val="0"/>
          <w:sz w:val="24"/>
          <w:szCs w:val="24"/>
          <w:shd w:val="clear" w:fill="FFFFFF"/>
          <w:lang w:val="en-US" w:eastAsia="zh-CN"/>
        </w:rPr>
      </w:pPr>
      <w:r>
        <w:rPr>
          <w:rFonts w:hint="eastAsia" w:ascii="Times New Roman" w:hAnsi="Times New Roman" w:cs="Times New Roman"/>
          <w:b w:val="0"/>
          <w:bCs w:val="0"/>
          <w:i w:val="0"/>
          <w:iCs w:val="0"/>
          <w:caps w:val="0"/>
          <w:color w:val="auto"/>
          <w:spacing w:val="0"/>
          <w:sz w:val="24"/>
          <w:szCs w:val="24"/>
          <w:shd w:val="clear" w:fill="FFFFFF"/>
          <w:lang w:val="en-US" w:eastAsia="zh-CN"/>
        </w:rPr>
        <w:t>Humby, C., Hunt, T. and Phillips, T. (2008) Scoring points how Tesco continues to win customer loyalty. 2nd ed. London : Kogan Page Limited.</w:t>
      </w:r>
    </w:p>
    <w:p>
      <w:pPr>
        <w:keepNext w:val="0"/>
        <w:keepLines w:val="0"/>
        <w:pageBreakBefore w:val="0"/>
        <w:widowControl w:val="0"/>
        <w:numPr>
          <w:ilvl w:val="0"/>
          <w:numId w:val="0"/>
        </w:numPr>
        <w:kinsoku/>
        <w:wordWrap w:val="0"/>
        <w:overflowPunct/>
        <w:topLinePunct w:val="0"/>
        <w:autoSpaceDE/>
        <w:autoSpaceDN/>
        <w:bidi w:val="0"/>
        <w:adjustRightInd/>
        <w:snapToGrid/>
        <w:spacing w:line="480" w:lineRule="auto"/>
        <w:ind w:right="0" w:firstLine="480" w:firstLineChars="200"/>
        <w:jc w:val="left"/>
        <w:textAlignment w:val="auto"/>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Indeed，E.T,.(2021).</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Marketing</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Communication Channels: Strategies and Examples</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[online] Available at: &lt;</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begin"/>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instrText xml:space="preserve"> HYPERLINK "https://www.indeed.com/career-advice/career-development/communication-channels-marketing" </w:instrTex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separate"/>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https://www.indeed.com/career-advice/career-development/communication-channels-marketing</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fldChar w:fldCharType="end"/>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&gt;.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 xml:space="preserve">[Accessed </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6</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 xml:space="preserve"> dec 2022].</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eastAsia="微软雅黑" w:cs="Times New Roman"/>
          <w:b w:val="0"/>
          <w:bCs w:val="0"/>
          <w:i w:val="0"/>
          <w:iCs w:val="0"/>
          <w:caps w:val="0"/>
          <w:color w:val="auto"/>
          <w:spacing w:val="0"/>
          <w:sz w:val="24"/>
          <w:szCs w:val="24"/>
          <w:shd w:val="clear" w:fill="FFFFFF"/>
        </w:rPr>
      </w:pPr>
      <w:r>
        <w:rPr>
          <w:rStyle w:val="9"/>
          <w:rFonts w:hint="default" w:ascii="Times New Roman" w:hAnsi="Times New Roman" w:eastAsia="宋体" w:cs="Times New Roman"/>
          <w:b w:val="0"/>
          <w:bCs w:val="0"/>
          <w:color w:val="auto"/>
          <w:sz w:val="24"/>
          <w:szCs w:val="24"/>
        </w:rPr>
        <w:t>Kbvresearch</w:t>
      </w:r>
      <w:r>
        <w:rPr>
          <w:rStyle w:val="9"/>
          <w:rFonts w:hint="default" w:ascii="Times New Roman" w:hAnsi="Times New Roman" w:cs="Times New Roman"/>
          <w:b w:val="0"/>
          <w:bCs w:val="0"/>
          <w:color w:val="auto"/>
          <w:sz w:val="24"/>
          <w:szCs w:val="24"/>
          <w:lang w:val="en-US" w:eastAsia="zh-CN"/>
        </w:rPr>
        <w:t>,(2019).</w:t>
      </w:r>
      <w:r>
        <w:rPr>
          <w:rFonts w:hint="default" w:ascii="Times New Roman" w:hAnsi="Times New Roman" w:cs="Times New Roman"/>
          <w:b w:val="0"/>
          <w:bCs w:val="0"/>
          <w:i w:val="0"/>
          <w:iCs w:val="0"/>
          <w:caps w:val="0"/>
          <w:color w:val="auto"/>
          <w:spacing w:val="0"/>
          <w:sz w:val="24"/>
          <w:szCs w:val="24"/>
          <w:shd w:val="clear" w:fill="FFFFFF"/>
        </w:rPr>
        <w:t>Global Soy Sauce Market By Type (Brewed and Blended) By Application (Food Industry and Household) By Region, Industry Analysis and Forecast, 2019 - 2025</w:t>
      </w:r>
      <w:r>
        <w:rPr>
          <w:rFonts w:hint="default" w:ascii="Times New Roman" w:hAnsi="Times New Roman" w:eastAsia="宋体" w:cs="Times New Roman"/>
          <w:b w:val="0"/>
          <w:bCs w:val="0"/>
          <w:i w:val="0"/>
          <w:iCs w:val="0"/>
          <w:caps w:val="0"/>
          <w:color w:val="auto"/>
          <w:spacing w:val="0"/>
          <w:sz w:val="24"/>
          <w:szCs w:val="24"/>
          <w:shd w:val="clear" w:fill="FFFFFF"/>
          <w:lang w:val="en-US" w:eastAsia="zh-CN"/>
        </w:rPr>
        <w:t>.</w:t>
      </w:r>
      <w:r>
        <w:rPr>
          <w:rFonts w:hint="default" w:ascii="Times New Roman" w:hAnsi="Times New Roman" w:eastAsia="微软雅黑" w:cs="Times New Roman"/>
          <w:b w:val="0"/>
          <w:bCs w:val="0"/>
          <w:i w:val="0"/>
          <w:iCs w:val="0"/>
          <w:caps w:val="0"/>
          <w:color w:val="auto"/>
          <w:spacing w:val="0"/>
          <w:sz w:val="24"/>
          <w:szCs w:val="24"/>
          <w:shd w:val="clear" w:fill="FFFFFF"/>
        </w:rPr>
        <w:t xml:space="preserve">[online] Available at: </w:t>
      </w:r>
      <w:r>
        <w:rPr>
          <w:rFonts w:hint="default" w:ascii="Times New Roman" w:hAnsi="Times New Roman" w:eastAsia="宋体" w:cs="Times New Roman"/>
          <w:b w:val="0"/>
          <w:bCs w:val="0"/>
          <w:i w:val="0"/>
          <w:iCs w:val="0"/>
          <w:caps w:val="0"/>
          <w:color w:val="auto"/>
          <w:spacing w:val="0"/>
          <w:sz w:val="24"/>
          <w:szCs w:val="24"/>
          <w:shd w:val="clear" w:fill="FFFFFF"/>
          <w:lang w:val="en-US" w:eastAsia="zh-CN"/>
        </w:rPr>
        <w:t>&lt;</w:t>
      </w:r>
      <w:r>
        <w:rPr>
          <w:rFonts w:hint="default" w:ascii="Times New Roman" w:hAnsi="Times New Roman" w:eastAsia="宋体" w:cs="Times New Roman"/>
          <w:b w:val="0"/>
          <w:bCs w:val="0"/>
          <w:color w:val="auto"/>
          <w:sz w:val="24"/>
          <w:szCs w:val="24"/>
        </w:rPr>
        <w:fldChar w:fldCharType="begin"/>
      </w:r>
      <w:r>
        <w:rPr>
          <w:rFonts w:hint="default" w:ascii="Times New Roman" w:hAnsi="Times New Roman" w:eastAsia="宋体" w:cs="Times New Roman"/>
          <w:b w:val="0"/>
          <w:bCs w:val="0"/>
          <w:color w:val="auto"/>
          <w:sz w:val="24"/>
          <w:szCs w:val="24"/>
        </w:rPr>
        <w:instrText xml:space="preserve"> HYPERLINK "https://www.kbvresearch.com/soy-sauce-market/" </w:instrText>
      </w:r>
      <w:r>
        <w:rPr>
          <w:rFonts w:hint="default" w:ascii="Times New Roman" w:hAnsi="Times New Roman" w:eastAsia="宋体" w:cs="Times New Roman"/>
          <w:b w:val="0"/>
          <w:bCs w:val="0"/>
          <w:color w:val="auto"/>
          <w:sz w:val="24"/>
          <w:szCs w:val="24"/>
        </w:rPr>
        <w:fldChar w:fldCharType="separate"/>
      </w:r>
      <w:r>
        <w:rPr>
          <w:rStyle w:val="9"/>
          <w:rFonts w:hint="default" w:ascii="Times New Roman" w:hAnsi="Times New Roman" w:eastAsia="宋体" w:cs="Times New Roman"/>
          <w:b w:val="0"/>
          <w:bCs w:val="0"/>
          <w:color w:val="auto"/>
          <w:sz w:val="24"/>
          <w:szCs w:val="24"/>
        </w:rPr>
        <w:t>Soy Sauce Market Size, Share &amp; Top Market Players 2025 (kbvresearch.com)</w:t>
      </w:r>
      <w:r>
        <w:rPr>
          <w:rFonts w:hint="default" w:ascii="Times New Roman" w:hAnsi="Times New Roman" w:eastAsia="宋体" w:cs="Times New Roman"/>
          <w:b w:val="0"/>
          <w:bCs w:val="0"/>
          <w:color w:val="auto"/>
          <w:sz w:val="24"/>
          <w:szCs w:val="24"/>
        </w:rPr>
        <w:fldChar w:fldCharType="end"/>
      </w:r>
      <w:r>
        <w:rPr>
          <w:rFonts w:hint="default" w:ascii="Times New Roman" w:hAnsi="Times New Roman" w:eastAsia="宋体" w:cs="Times New Roman"/>
          <w:b w:val="0"/>
          <w:bCs w:val="0"/>
          <w:color w:val="auto"/>
          <w:sz w:val="24"/>
          <w:szCs w:val="24"/>
          <w:lang w:val="en-US" w:eastAsia="zh-CN"/>
        </w:rPr>
        <w:t>&gt;</w:t>
      </w:r>
      <w:r>
        <w:rPr>
          <w:rFonts w:hint="eastAsia" w:ascii="Times New Roman" w:hAnsi="Times New Roman" w:eastAsia="宋体" w:cs="Times New Roman"/>
          <w:b w:val="0"/>
          <w:bCs w:val="0"/>
          <w:color w:val="auto"/>
          <w:sz w:val="24"/>
          <w:szCs w:val="24"/>
          <w:lang w:val="en-US" w:eastAsia="zh-CN"/>
        </w:rPr>
        <w:t>.</w:t>
      </w:r>
      <w:r>
        <w:rPr>
          <w:rFonts w:hint="default" w:ascii="Times New Roman" w:hAnsi="Times New Roman" w:eastAsia="微软雅黑" w:cs="Times New Roman"/>
          <w:b w:val="0"/>
          <w:bCs w:val="0"/>
          <w:i w:val="0"/>
          <w:iCs w:val="0"/>
          <w:caps w:val="0"/>
          <w:color w:val="auto"/>
          <w:spacing w:val="0"/>
          <w:sz w:val="24"/>
          <w:szCs w:val="24"/>
          <w:shd w:val="clear" w:fill="FFFFFF"/>
        </w:rPr>
        <w:t xml:space="preserve">[Accessed </w:t>
      </w:r>
      <w:r>
        <w:rPr>
          <w:rFonts w:hint="default" w:ascii="Times New Roman" w:hAnsi="Times New Roman" w:eastAsia="微软雅黑" w:cs="Times New Roman"/>
          <w:b w:val="0"/>
          <w:bCs w:val="0"/>
          <w:i w:val="0"/>
          <w:iCs w:val="0"/>
          <w:caps w:val="0"/>
          <w:color w:val="auto"/>
          <w:spacing w:val="0"/>
          <w:sz w:val="24"/>
          <w:szCs w:val="24"/>
          <w:shd w:val="clear" w:fill="FFFFFF"/>
          <w:lang w:val="en-US" w:eastAsia="zh-CN"/>
        </w:rPr>
        <w:t>5</w:t>
      </w:r>
      <w:r>
        <w:rPr>
          <w:rFonts w:hint="default" w:ascii="Times New Roman" w:hAnsi="Times New Roman" w:eastAsia="微软雅黑" w:cs="Times New Roman"/>
          <w:b w:val="0"/>
          <w:bCs w:val="0"/>
          <w:i w:val="0"/>
          <w:iCs w:val="0"/>
          <w:caps w:val="0"/>
          <w:color w:val="auto"/>
          <w:spacing w:val="0"/>
          <w:sz w:val="24"/>
          <w:szCs w:val="24"/>
          <w:shd w:val="clear" w:fill="FFFFFF"/>
        </w:rPr>
        <w:t xml:space="preserve"> </w:t>
      </w:r>
      <w:r>
        <w:rPr>
          <w:rFonts w:hint="default" w:ascii="Times New Roman" w:hAnsi="Times New Roman" w:eastAsia="微软雅黑" w:cs="Times New Roman"/>
          <w:b w:val="0"/>
          <w:bCs w:val="0"/>
          <w:i w:val="0"/>
          <w:iCs w:val="0"/>
          <w:caps w:val="0"/>
          <w:color w:val="auto"/>
          <w:spacing w:val="0"/>
          <w:sz w:val="24"/>
          <w:szCs w:val="24"/>
          <w:shd w:val="clear" w:fill="FFFFFF"/>
          <w:lang w:val="en-US" w:eastAsia="zh-CN"/>
        </w:rPr>
        <w:t>dec</w:t>
      </w:r>
      <w:r>
        <w:rPr>
          <w:rFonts w:hint="default" w:ascii="Times New Roman" w:hAnsi="Times New Roman" w:eastAsia="微软雅黑" w:cs="Times New Roman"/>
          <w:b w:val="0"/>
          <w:bCs w:val="0"/>
          <w:i w:val="0"/>
          <w:iCs w:val="0"/>
          <w:caps w:val="0"/>
          <w:color w:val="auto"/>
          <w:spacing w:val="0"/>
          <w:sz w:val="24"/>
          <w:szCs w:val="24"/>
          <w:shd w:val="clear" w:fill="FFFFFF"/>
        </w:rPr>
        <w:t xml:space="preserve"> 20</w:t>
      </w:r>
      <w:r>
        <w:rPr>
          <w:rFonts w:hint="default" w:ascii="Times New Roman" w:hAnsi="Times New Roman" w:eastAsia="微软雅黑" w:cs="Times New Roman"/>
          <w:b w:val="0"/>
          <w:bCs w:val="0"/>
          <w:i w:val="0"/>
          <w:iCs w:val="0"/>
          <w:caps w:val="0"/>
          <w:color w:val="auto"/>
          <w:spacing w:val="0"/>
          <w:sz w:val="24"/>
          <w:szCs w:val="24"/>
          <w:shd w:val="clear" w:fill="FFFFFF"/>
          <w:lang w:val="en-US" w:eastAsia="zh-CN"/>
        </w:rPr>
        <w:t>22</w:t>
      </w:r>
      <w:r>
        <w:rPr>
          <w:rFonts w:hint="default" w:ascii="Times New Roman" w:hAnsi="Times New Roman" w:eastAsia="微软雅黑" w:cs="Times New Roman"/>
          <w:b w:val="0"/>
          <w:bCs w:val="0"/>
          <w:i w:val="0"/>
          <w:iCs w:val="0"/>
          <w:caps w:val="0"/>
          <w:color w:val="auto"/>
          <w:spacing w:val="0"/>
          <w:sz w:val="24"/>
          <w:szCs w:val="24"/>
          <w:shd w:val="clear" w:fill="FFFFFF"/>
        </w:rPr>
        <w:t>].</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方正仿宋简体" w:cs="Times New Roman"/>
          <w:kern w:val="2"/>
          <w:sz w:val="24"/>
          <w:szCs w:val="24"/>
          <w:lang w:val="en-US" w:eastAsia="zh-CN" w:bidi="ar-SA"/>
        </w:rPr>
      </w:pPr>
      <w:r>
        <w:rPr>
          <w:rFonts w:hint="eastAsia" w:ascii="Times New Roman" w:hAnsi="Times New Roman" w:eastAsia="方正仿宋简体" w:cs="Times New Roman"/>
          <w:kern w:val="2"/>
          <w:sz w:val="24"/>
          <w:szCs w:val="24"/>
          <w:lang w:val="en-US" w:eastAsia="zh-CN" w:bidi="ar-SA"/>
        </w:rPr>
        <w:t>Kotler, P. (2009) Marketing management. 1st ed. Place of publication not identified: Pearson/Prentice Hall.</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Liu W.G.,(2005).A Brief Talk on the Marketing in the Crisis.Journal of Mudanjiang Institute of Education,2005(2),p.118-119</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eastAsia"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t>Nagle,</w:t>
      </w:r>
      <w:r>
        <w:rPr>
          <w:rFonts w:hint="eastAsia" w:ascii="Times New Roman" w:hAnsi="Times New Roman" w:cs="Times New Roman"/>
          <w:b w:val="0"/>
          <w:bCs w:val="0"/>
          <w:i w:val="0"/>
          <w:iCs w:val="0"/>
          <w:caps w:val="0"/>
          <w:color w:val="auto"/>
          <w:spacing w:val="0"/>
          <w:sz w:val="24"/>
          <w:szCs w:val="24"/>
          <w:shd w:val="clear" w:fill="FFFFFF"/>
          <w:lang w:val="en-US" w:eastAsia="zh-CN"/>
        </w:rPr>
        <w:t xml:space="preserve">T.T. and </w:t>
      </w:r>
      <w:r>
        <w:rPr>
          <w:rFonts w:hint="default" w:ascii="Times New Roman" w:hAnsi="Times New Roman" w:cs="Times New Roman"/>
          <w:b w:val="0"/>
          <w:bCs w:val="0"/>
          <w:i w:val="0"/>
          <w:iCs w:val="0"/>
          <w:caps w:val="0"/>
          <w:color w:val="auto"/>
          <w:spacing w:val="0"/>
          <w:sz w:val="24"/>
          <w:szCs w:val="24"/>
          <w:shd w:val="clear" w:fill="FFFFFF"/>
          <w:lang w:val="en-US" w:eastAsia="zh-CN"/>
        </w:rPr>
        <w:t>Müller</w:t>
      </w:r>
      <w:r>
        <w:rPr>
          <w:rFonts w:hint="eastAsia" w:ascii="Times New Roman" w:hAnsi="Times New Roman" w:cs="Times New Roman"/>
          <w:b w:val="0"/>
          <w:bCs w:val="0"/>
          <w:i w:val="0"/>
          <w:iCs w:val="0"/>
          <w:caps w:val="0"/>
          <w:color w:val="auto"/>
          <w:spacing w:val="0"/>
          <w:sz w:val="24"/>
          <w:szCs w:val="24"/>
          <w:shd w:val="clear" w:fill="FFFFFF"/>
          <w:lang w:val="en-US" w:eastAsia="zh-CN"/>
        </w:rPr>
        <w:t>. G.,(2017).</w:t>
      </w:r>
      <w:r>
        <w:rPr>
          <w:rFonts w:hint="default" w:ascii="Times New Roman" w:hAnsi="Times New Roman" w:cs="Times New Roman"/>
          <w:b w:val="0"/>
          <w:bCs w:val="0"/>
          <w:i w:val="0"/>
          <w:iCs w:val="0"/>
          <w:caps w:val="0"/>
          <w:color w:val="auto"/>
          <w:spacing w:val="0"/>
          <w:sz w:val="24"/>
          <w:szCs w:val="24"/>
          <w:shd w:val="clear" w:fill="FFFFFF"/>
          <w:lang w:val="en-US" w:eastAsia="zh-CN"/>
        </w:rPr>
        <w:t>The Strategy and Tactics of Pricing</w:t>
      </w:r>
      <w:r>
        <w:rPr>
          <w:rFonts w:hint="eastAsia" w:ascii="Times New Roman" w:hAnsi="Times New Roman" w:cs="Times New Roman"/>
          <w:b w:val="0"/>
          <w:bCs w:val="0"/>
          <w:i w:val="0"/>
          <w:iCs w:val="0"/>
          <w:caps w:val="0"/>
          <w:color w:val="auto"/>
          <w:spacing w:val="0"/>
          <w:sz w:val="24"/>
          <w:szCs w:val="24"/>
          <w:shd w:val="clear" w:fill="FFFFFF"/>
          <w:lang w:val="en-US" w:eastAsia="zh-CN"/>
        </w:rPr>
        <w:t>.New York: Routledge.</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eastAsia" w:ascii="Times New Roman" w:hAnsi="Times New Roman" w:cs="Times New Roman"/>
          <w:b w:val="0"/>
          <w:bCs w:val="0"/>
          <w:i w:val="0"/>
          <w:iCs w:val="0"/>
          <w:caps w:val="0"/>
          <w:color w:val="auto"/>
          <w:spacing w:val="0"/>
          <w:sz w:val="24"/>
          <w:szCs w:val="24"/>
          <w:shd w:val="clear" w:fill="FFFFFF"/>
          <w:lang w:val="en-US" w:eastAsia="zh-CN"/>
        </w:rPr>
      </w:pPr>
      <w:r>
        <w:rPr>
          <w:rFonts w:hint="eastAsia" w:ascii="Times New Roman" w:hAnsi="Times New Roman" w:cs="Times New Roman"/>
          <w:b w:val="0"/>
          <w:bCs w:val="0"/>
          <w:i w:val="0"/>
          <w:iCs w:val="0"/>
          <w:caps w:val="0"/>
          <w:color w:val="auto"/>
          <w:spacing w:val="0"/>
          <w:sz w:val="24"/>
          <w:szCs w:val="24"/>
          <w:shd w:val="clear" w:fill="FFFFFF"/>
          <w:lang w:val="en-US" w:eastAsia="zh-CN"/>
        </w:rPr>
        <w:t>Willis, M.V. (2022) Digital marketing strategies for value co-creation : models and approaches for online brand communities. Basingstoke: Palgrave Macmillan.</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eastAsia="微软雅黑" w:cs="Times New Roman"/>
          <w:i w:val="0"/>
          <w:iCs w:val="0"/>
          <w:caps w:val="0"/>
          <w:color w:val="auto"/>
          <w:spacing w:val="0"/>
          <w:sz w:val="24"/>
          <w:szCs w:val="24"/>
          <w:shd w:val="clear" w:fill="FFFFFF"/>
        </w:rPr>
      </w:pPr>
      <w:r>
        <w:rPr>
          <w:rFonts w:hint="default" w:ascii="Times New Roman" w:hAnsi="Times New Roman" w:eastAsia="Arial" w:cs="Times New Roman"/>
          <w:i w:val="0"/>
          <w:iCs w:val="0"/>
          <w:caps w:val="0"/>
          <w:color w:val="auto"/>
          <w:spacing w:val="0"/>
          <w:sz w:val="24"/>
          <w:szCs w:val="24"/>
          <w:shd w:val="clear" w:fill="FFFFFF"/>
        </w:rPr>
        <w:t>Pemberton</w:t>
      </w:r>
      <w:r>
        <w:rPr>
          <w:rFonts w:hint="default" w:ascii="Times New Roman" w:hAnsi="Times New Roman" w:eastAsia="宋体" w:cs="Times New Roman"/>
          <w:i w:val="0"/>
          <w:iCs w:val="0"/>
          <w:caps w:val="0"/>
          <w:color w:val="auto"/>
          <w:spacing w:val="0"/>
          <w:sz w:val="24"/>
          <w:szCs w:val="24"/>
          <w:shd w:val="clear" w:fill="FFFFFF"/>
          <w:lang w:val="en-US" w:eastAsia="zh-CN"/>
        </w:rPr>
        <w:t>.C.,(2018).</w:t>
      </w:r>
      <w:r>
        <w:rPr>
          <w:rFonts w:hint="default" w:ascii="Times New Roman" w:hAnsi="Times New Roman" w:eastAsia="Arial" w:cs="Times New Roman"/>
          <w:b w:val="0"/>
          <w:bCs w:val="0"/>
          <w:i w:val="0"/>
          <w:iCs w:val="0"/>
          <w:caps w:val="0"/>
          <w:color w:val="auto"/>
          <w:spacing w:val="0"/>
          <w:sz w:val="24"/>
          <w:szCs w:val="24"/>
          <w:shd w:val="clear" w:fill="FFFFFF"/>
        </w:rPr>
        <w:t>Design the Right Marketing Organization for the Next Decade</w:t>
      </w:r>
      <w:r>
        <w:rPr>
          <w:rFonts w:hint="default" w:ascii="Times New Roman" w:hAnsi="Times New Roman" w:eastAsia="宋体" w:cs="Times New Roman"/>
          <w:b w:val="0"/>
          <w:bCs w:val="0"/>
          <w:i w:val="0"/>
          <w:iCs w:val="0"/>
          <w:caps w:val="0"/>
          <w:color w:val="auto"/>
          <w:spacing w:val="0"/>
          <w:sz w:val="24"/>
          <w:szCs w:val="24"/>
          <w:shd w:val="clear" w:fill="FFFFFF"/>
          <w:lang w:val="en-US" w:eastAsia="zh-CN"/>
        </w:rPr>
        <w:t>.</w:t>
      </w:r>
      <w:r>
        <w:rPr>
          <w:rFonts w:hint="default" w:ascii="Times New Roman" w:hAnsi="Times New Roman" w:eastAsia="微软雅黑" w:cs="Times New Roman"/>
          <w:i w:val="0"/>
          <w:iCs w:val="0"/>
          <w:caps w:val="0"/>
          <w:color w:val="auto"/>
          <w:spacing w:val="0"/>
          <w:sz w:val="24"/>
          <w:szCs w:val="24"/>
          <w:shd w:val="clear" w:fill="FFFFFF"/>
        </w:rPr>
        <w:t xml:space="preserve">[online] Available at: </w:t>
      </w:r>
      <w:r>
        <w:rPr>
          <w:rFonts w:hint="default" w:ascii="Times New Roman" w:hAnsi="Times New Roman" w:eastAsia="宋体" w:cs="Times New Roman"/>
          <w:b/>
          <w:bCs/>
          <w:i w:val="0"/>
          <w:iCs w:val="0"/>
          <w:caps w:val="0"/>
          <w:color w:val="auto"/>
          <w:spacing w:val="0"/>
          <w:sz w:val="24"/>
          <w:szCs w:val="24"/>
          <w:shd w:val="clear" w:fill="FFFFFF"/>
          <w:lang w:val="en-US" w:eastAsia="zh-CN"/>
        </w:rPr>
        <w:t>&lt;</w:t>
      </w:r>
      <w:r>
        <w:rPr>
          <w:rFonts w:hint="default" w:ascii="Times New Roman" w:hAnsi="Times New Roman" w:eastAsia="宋体" w:cs="Times New Roman"/>
          <w:color w:val="auto"/>
          <w:sz w:val="24"/>
          <w:szCs w:val="24"/>
        </w:rPr>
        <w:fldChar w:fldCharType="begin"/>
      </w:r>
      <w:r>
        <w:rPr>
          <w:rFonts w:hint="default" w:ascii="Times New Roman" w:hAnsi="Times New Roman" w:eastAsia="宋体" w:cs="Times New Roman"/>
          <w:color w:val="auto"/>
          <w:sz w:val="24"/>
          <w:szCs w:val="24"/>
        </w:rPr>
        <w:instrText xml:space="preserve"> HYPERLINK "https://www.gartner.com/en/marketing/insights/articles/design-the-right-marketing-organization-for-the-next-decade" </w:instrText>
      </w:r>
      <w:r>
        <w:rPr>
          <w:rFonts w:hint="default" w:ascii="Times New Roman" w:hAnsi="Times New Roman" w:eastAsia="宋体" w:cs="Times New Roman"/>
          <w:color w:val="auto"/>
          <w:sz w:val="24"/>
          <w:szCs w:val="24"/>
        </w:rPr>
        <w:fldChar w:fldCharType="separate"/>
      </w:r>
      <w:r>
        <w:rPr>
          <w:rStyle w:val="9"/>
          <w:rFonts w:hint="default" w:ascii="Times New Roman" w:hAnsi="Times New Roman" w:eastAsia="宋体" w:cs="Times New Roman"/>
          <w:color w:val="auto"/>
          <w:sz w:val="24"/>
          <w:szCs w:val="24"/>
        </w:rPr>
        <w:t>Design the Right Marketing Organization for the Next Decade (gartner.com)</w:t>
      </w:r>
      <w:r>
        <w:rPr>
          <w:rFonts w:hint="default" w:ascii="Times New Roman" w:hAnsi="Times New Roman" w:eastAsia="宋体" w:cs="Times New Roman"/>
          <w:color w:val="auto"/>
          <w:sz w:val="24"/>
          <w:szCs w:val="24"/>
        </w:rPr>
        <w:fldChar w:fldCharType="end"/>
      </w:r>
      <w:r>
        <w:rPr>
          <w:rFonts w:hint="default" w:ascii="Times New Roman" w:hAnsi="Times New Roman" w:eastAsia="宋体" w:cs="Times New Roman"/>
          <w:color w:val="auto"/>
          <w:sz w:val="24"/>
          <w:szCs w:val="24"/>
          <w:lang w:val="en-US" w:eastAsia="zh-CN"/>
        </w:rPr>
        <w:t>&gt;</w:t>
      </w:r>
      <w:r>
        <w:rPr>
          <w:rFonts w:hint="eastAsia" w:ascii="Times New Roman" w:hAnsi="Times New Roman" w:eastAsia="宋体" w:cs="Times New Roman"/>
          <w:color w:val="auto"/>
          <w:sz w:val="24"/>
          <w:szCs w:val="24"/>
          <w:lang w:val="en-US" w:eastAsia="zh-CN"/>
        </w:rPr>
        <w:t>.</w:t>
      </w:r>
      <w:r>
        <w:rPr>
          <w:rFonts w:hint="default" w:ascii="Times New Roman" w:hAnsi="Times New Roman" w:eastAsia="微软雅黑" w:cs="Times New Roman"/>
          <w:i w:val="0"/>
          <w:iCs w:val="0"/>
          <w:caps w:val="0"/>
          <w:color w:val="auto"/>
          <w:spacing w:val="0"/>
          <w:sz w:val="24"/>
          <w:szCs w:val="24"/>
          <w:shd w:val="clear" w:fill="FFFFFF"/>
        </w:rPr>
        <w:t xml:space="preserve">[Accessed </w:t>
      </w:r>
      <w:r>
        <w:rPr>
          <w:rFonts w:hint="default" w:ascii="Times New Roman" w:hAnsi="Times New Roman" w:eastAsia="微软雅黑" w:cs="Times New Roman"/>
          <w:i w:val="0"/>
          <w:iCs w:val="0"/>
          <w:caps w:val="0"/>
          <w:color w:val="auto"/>
          <w:spacing w:val="0"/>
          <w:sz w:val="24"/>
          <w:szCs w:val="24"/>
          <w:shd w:val="clear" w:fill="FFFFFF"/>
          <w:lang w:val="en-US" w:eastAsia="zh-CN"/>
        </w:rPr>
        <w:t>5</w:t>
      </w:r>
      <w:r>
        <w:rPr>
          <w:rFonts w:hint="default" w:ascii="Times New Roman" w:hAnsi="Times New Roman" w:eastAsia="微软雅黑" w:cs="Times New Roman"/>
          <w:i w:val="0"/>
          <w:iCs w:val="0"/>
          <w:caps w:val="0"/>
          <w:color w:val="auto"/>
          <w:spacing w:val="0"/>
          <w:sz w:val="24"/>
          <w:szCs w:val="24"/>
          <w:shd w:val="clear" w:fill="FFFFFF"/>
        </w:rPr>
        <w:t xml:space="preserve"> </w:t>
      </w:r>
      <w:r>
        <w:rPr>
          <w:rFonts w:hint="default" w:ascii="Times New Roman" w:hAnsi="Times New Roman" w:eastAsia="微软雅黑" w:cs="Times New Roman"/>
          <w:i w:val="0"/>
          <w:iCs w:val="0"/>
          <w:caps w:val="0"/>
          <w:color w:val="auto"/>
          <w:spacing w:val="0"/>
          <w:sz w:val="24"/>
          <w:szCs w:val="24"/>
          <w:shd w:val="clear" w:fill="FFFFFF"/>
          <w:lang w:val="en-US" w:eastAsia="zh-CN"/>
        </w:rPr>
        <w:t>dec</w:t>
      </w:r>
      <w:r>
        <w:rPr>
          <w:rFonts w:hint="default" w:ascii="Times New Roman" w:hAnsi="Times New Roman" w:eastAsia="微软雅黑" w:cs="Times New Roman"/>
          <w:i w:val="0"/>
          <w:iCs w:val="0"/>
          <w:caps w:val="0"/>
          <w:color w:val="auto"/>
          <w:spacing w:val="0"/>
          <w:sz w:val="24"/>
          <w:szCs w:val="24"/>
          <w:shd w:val="clear" w:fill="FFFFFF"/>
        </w:rPr>
        <w:t xml:space="preserve"> 20</w:t>
      </w:r>
      <w:r>
        <w:rPr>
          <w:rFonts w:hint="default" w:ascii="Times New Roman" w:hAnsi="Times New Roman" w:eastAsia="微软雅黑" w:cs="Times New Roman"/>
          <w:i w:val="0"/>
          <w:iCs w:val="0"/>
          <w:caps w:val="0"/>
          <w:color w:val="auto"/>
          <w:spacing w:val="0"/>
          <w:sz w:val="24"/>
          <w:szCs w:val="24"/>
          <w:shd w:val="clear" w:fill="FFFFFF"/>
          <w:lang w:val="en-US" w:eastAsia="zh-CN"/>
        </w:rPr>
        <w:t>22</w:t>
      </w:r>
      <w:r>
        <w:rPr>
          <w:rFonts w:hint="default" w:ascii="Times New Roman" w:hAnsi="Times New Roman" w:eastAsia="微软雅黑" w:cs="Times New Roman"/>
          <w:i w:val="0"/>
          <w:iCs w:val="0"/>
          <w:caps w:val="0"/>
          <w:color w:val="auto"/>
          <w:spacing w:val="0"/>
          <w:sz w:val="24"/>
          <w:szCs w:val="24"/>
          <w:shd w:val="clear" w:fill="FFFFFF"/>
        </w:rPr>
        <w:t>].</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eastAsia" w:ascii="Times New Roman" w:hAnsi="Times New Roman" w:cs="Times New Roman"/>
          <w:b w:val="0"/>
          <w:bCs w:val="0"/>
          <w:i w:val="0"/>
          <w:iCs w:val="0"/>
          <w:caps w:val="0"/>
          <w:color w:val="auto"/>
          <w:spacing w:val="0"/>
          <w:sz w:val="24"/>
          <w:szCs w:val="24"/>
          <w:shd w:val="clear" w:fill="FFFFFF"/>
          <w:lang w:val="en-US" w:eastAsia="zh-CN"/>
        </w:rPr>
      </w:pPr>
      <w:r>
        <w:rPr>
          <w:rFonts w:hint="eastAsia" w:ascii="Times New Roman" w:hAnsi="Times New Roman" w:cs="Times New Roman"/>
          <w:b w:val="0"/>
          <w:bCs w:val="0"/>
          <w:i w:val="0"/>
          <w:iCs w:val="0"/>
          <w:caps w:val="0"/>
          <w:color w:val="auto"/>
          <w:spacing w:val="0"/>
          <w:sz w:val="24"/>
          <w:szCs w:val="24"/>
          <w:shd w:val="clear" w:fill="FFFFFF"/>
          <w:lang w:val="en-US" w:eastAsia="zh-CN"/>
        </w:rPr>
        <w:t>Pickton, D. and Broderick, A. (2004) Integrated marketing communications. 2nd ed. Place of publication not identified: Prentice Hall Fiancial Times.</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Pickton, D. and Broderick, A.</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 xml:space="preserve"> (2004) Integrated marketing communications. 2nd ed. Place of publication not identified: Prentice Hall Fiancial Times.</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eastAsia" w:ascii="Times New Roman" w:hAnsi="Times New Roman" w:cs="Times New Roman"/>
          <w:b w:val="0"/>
          <w:bCs w:val="0"/>
          <w:i w:val="0"/>
          <w:iCs w:val="0"/>
          <w:caps w:val="0"/>
          <w:color w:val="auto"/>
          <w:spacing w:val="0"/>
          <w:sz w:val="24"/>
          <w:szCs w:val="24"/>
          <w:shd w:val="clear" w:fill="FFFFFF"/>
          <w:lang w:val="en-US" w:eastAsia="zh-CN"/>
        </w:rPr>
        <w:fldChar w:fldCharType="begin"/>
      </w:r>
      <w:r>
        <w:rPr>
          <w:rFonts w:hint="eastAsia" w:ascii="Times New Roman" w:hAnsi="Times New Roman" w:cs="Times New Roman"/>
          <w:b w:val="0"/>
          <w:bCs w:val="0"/>
          <w:i w:val="0"/>
          <w:iCs w:val="0"/>
          <w:caps w:val="0"/>
          <w:color w:val="auto"/>
          <w:spacing w:val="0"/>
          <w:sz w:val="24"/>
          <w:szCs w:val="24"/>
          <w:shd w:val="clear" w:fill="FFFFFF"/>
          <w:lang w:val="en-US" w:eastAsia="zh-CN"/>
        </w:rPr>
        <w:instrText xml:space="preserve"> HYPERLINK "https://www.amazon.com/Michael-E-Porter/e/B000AQ3BBY/ref=dp_byline_cont_book_1" </w:instrText>
      </w:r>
      <w:r>
        <w:rPr>
          <w:rFonts w:hint="eastAsia" w:ascii="Times New Roman" w:hAnsi="Times New Roman" w:cs="Times New Roman"/>
          <w:b w:val="0"/>
          <w:bCs w:val="0"/>
          <w:i w:val="0"/>
          <w:iCs w:val="0"/>
          <w:caps w:val="0"/>
          <w:color w:val="auto"/>
          <w:spacing w:val="0"/>
          <w:sz w:val="24"/>
          <w:szCs w:val="24"/>
          <w:shd w:val="clear" w:fill="FFFFFF"/>
          <w:lang w:val="en-US" w:eastAsia="zh-CN"/>
        </w:rPr>
        <w:fldChar w:fldCharType="separate"/>
      </w:r>
      <w:r>
        <w:rPr>
          <w:rFonts w:hint="default" w:ascii="Times New Roman" w:hAnsi="Times New Roman" w:cs="Times New Roman"/>
          <w:b w:val="0"/>
          <w:bCs w:val="0"/>
          <w:i w:val="0"/>
          <w:iCs w:val="0"/>
          <w:caps w:val="0"/>
          <w:color w:val="auto"/>
          <w:spacing w:val="0"/>
          <w:sz w:val="24"/>
          <w:szCs w:val="24"/>
          <w:shd w:val="clear" w:fill="FFFFFF"/>
          <w:lang w:val="en-US" w:eastAsia="zh-CN"/>
        </w:rPr>
        <w:t>Porter</w:t>
      </w:r>
      <w:r>
        <w:rPr>
          <w:rFonts w:hint="default" w:ascii="Times New Roman" w:hAnsi="Times New Roman" w:cs="Times New Roman"/>
          <w:b w:val="0"/>
          <w:bCs w:val="0"/>
          <w:i w:val="0"/>
          <w:iCs w:val="0"/>
          <w:caps w:val="0"/>
          <w:color w:val="auto"/>
          <w:spacing w:val="0"/>
          <w:sz w:val="24"/>
          <w:szCs w:val="24"/>
          <w:shd w:val="clear" w:fill="FFFFFF"/>
          <w:lang w:val="en-US" w:eastAsia="zh-CN"/>
        </w:rPr>
        <w:fldChar w:fldCharType="end"/>
      </w:r>
      <w:r>
        <w:rPr>
          <w:rFonts w:hint="eastAsia" w:ascii="Times New Roman" w:hAnsi="Times New Roman" w:cs="Times New Roman"/>
          <w:b w:val="0"/>
          <w:bCs w:val="0"/>
          <w:i w:val="0"/>
          <w:iCs w:val="0"/>
          <w:caps w:val="0"/>
          <w:color w:val="auto"/>
          <w:spacing w:val="0"/>
          <w:sz w:val="24"/>
          <w:szCs w:val="24"/>
          <w:shd w:val="clear" w:fill="FFFFFF"/>
          <w:lang w:val="en-US" w:eastAsia="zh-CN"/>
        </w:rPr>
        <w:t>,M.E.,(1983).Case in competitive strategy,</w:t>
      </w:r>
      <w:r>
        <w:rPr>
          <w:rFonts w:hint="eastAsia" w:ascii="Times New Roman" w:hAnsi="Times New Roman" w:eastAsia="方正仿宋简体" w:cs="Times New Roman"/>
          <w:kern w:val="2"/>
          <w:sz w:val="24"/>
          <w:szCs w:val="24"/>
          <w:lang w:val="en-US" w:eastAsia="zh-CN" w:bidi="ar-SA"/>
        </w:rPr>
        <w:t xml:space="preserve">Place of publication not identified: </w:t>
      </w:r>
      <w:r>
        <w:rPr>
          <w:rFonts w:hint="default" w:ascii="Times New Roman" w:hAnsi="Times New Roman" w:cs="Times New Roman"/>
          <w:b w:val="0"/>
          <w:bCs w:val="0"/>
          <w:i w:val="0"/>
          <w:iCs w:val="0"/>
          <w:caps w:val="0"/>
          <w:color w:val="auto"/>
          <w:spacing w:val="0"/>
          <w:sz w:val="24"/>
          <w:szCs w:val="24"/>
          <w:shd w:val="clear" w:fill="FFFFFF"/>
          <w:lang w:val="en-US" w:eastAsia="zh-CN"/>
        </w:rPr>
        <w:t>Free Press</w:t>
      </w:r>
      <w:r>
        <w:rPr>
          <w:rFonts w:hint="eastAsia" w:ascii="Times New Roman" w:hAnsi="Times New Roman" w:cs="Times New Roman"/>
          <w:b w:val="0"/>
          <w:bCs w:val="0"/>
          <w:i w:val="0"/>
          <w:iCs w:val="0"/>
          <w:caps w:val="0"/>
          <w:color w:val="auto"/>
          <w:spacing w:val="0"/>
          <w:sz w:val="24"/>
          <w:szCs w:val="24"/>
          <w:shd w:val="clear" w:fill="FFFFFF"/>
          <w:lang w:val="en-US" w:eastAsia="zh-CN"/>
        </w:rPr>
        <w:t>.</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t>Rainey, D.L. (2005) Product innovation : leading change through integrated product development. Cambridge: Cambridge University Press.</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eastAsia" w:ascii="Times New Roman" w:hAnsi="Times New Roman" w:cs="Times New Roman"/>
          <w:b w:val="0"/>
          <w:bCs w:val="0"/>
          <w:i w:val="0"/>
          <w:iCs w:val="0"/>
          <w:caps w:val="0"/>
          <w:color w:val="auto"/>
          <w:spacing w:val="0"/>
          <w:sz w:val="24"/>
          <w:szCs w:val="24"/>
          <w:shd w:val="clear" w:fill="FFFFFF"/>
          <w:lang w:val="en-US" w:eastAsia="zh-CN"/>
        </w:rPr>
        <w:t>Rice, J. (2022) ‘Adaptation of Porter’s Five Forces Model to Risk Management’, Defense acquisition research journal, 29(100), pp. 126–139.</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Ries, A. and Trout, J. (2001) Positioning : the battle for your mind. [New ed.]. New York: McGraw-Hill.</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eastAsia" w:ascii="Times New Roman" w:hAnsi="Times New Roman" w:cs="Times New Roman"/>
          <w:b w:val="0"/>
          <w:bCs w:val="0"/>
          <w:i w:val="0"/>
          <w:iCs w:val="0"/>
          <w:caps w:val="0"/>
          <w:color w:val="auto"/>
          <w:spacing w:val="0"/>
          <w:sz w:val="24"/>
          <w:szCs w:val="24"/>
          <w:shd w:val="clear" w:fill="FFFFFF"/>
          <w:lang w:val="en-US" w:eastAsia="zh-CN"/>
        </w:rPr>
      </w:pPr>
      <w:r>
        <w:rPr>
          <w:rFonts w:hint="eastAsia" w:ascii="Times New Roman" w:hAnsi="Times New Roman" w:cs="Times New Roman"/>
          <w:b w:val="0"/>
          <w:bCs w:val="0"/>
          <w:i w:val="0"/>
          <w:iCs w:val="0"/>
          <w:caps w:val="0"/>
          <w:color w:val="auto"/>
          <w:spacing w:val="0"/>
          <w:sz w:val="24"/>
          <w:szCs w:val="24"/>
          <w:shd w:val="clear" w:fill="FFFFFF"/>
          <w:lang w:val="en-US" w:eastAsia="zh-CN"/>
        </w:rPr>
        <w:t>Semerádová, T. and Weinlich, P. (2022) Moving businesses online and embracing e-commerce : impact and opportunities caused by COVID-19. Edited by T. Semerádová and P. Weinlich. Hershey, Pennsylvania: Business Science Reference.</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eastAsia="方正仿宋简体" w:cs="Times New Roman"/>
          <w:color w:val="auto"/>
          <w:kern w:val="2"/>
          <w:sz w:val="24"/>
          <w:szCs w:val="24"/>
          <w:lang w:val="en-US" w:eastAsia="zh-CN" w:bidi="ar-SA"/>
        </w:rPr>
      </w:pPr>
      <w:r>
        <w:rPr>
          <w:rStyle w:val="8"/>
          <w:rFonts w:hint="default" w:ascii="Times New Roman" w:hAnsi="Times New Roman" w:eastAsia="宋体" w:cs="Times New Roman"/>
          <w:color w:val="auto"/>
          <w:sz w:val="24"/>
          <w:szCs w:val="24"/>
        </w:rPr>
        <w:t>Statista</w:t>
      </w:r>
      <w:r>
        <w:rPr>
          <w:rFonts w:hint="eastAsia" w:ascii="Times New Roman" w:hAnsi="Times New Roman" w:eastAsia="方正仿宋简体" w:cs="Times New Roman"/>
          <w:color w:val="auto"/>
          <w:kern w:val="2"/>
          <w:sz w:val="24"/>
          <w:szCs w:val="24"/>
          <w:lang w:val="en-US" w:eastAsia="zh-CN" w:bidi="ar-SA"/>
        </w:rPr>
        <w:t>,.(2021)</w:t>
      </w:r>
      <w:r>
        <w:rPr>
          <w:rFonts w:hint="default" w:ascii="Times New Roman" w:hAnsi="Times New Roman" w:eastAsia="方正仿宋简体" w:cs="Times New Roman"/>
          <w:color w:val="auto"/>
          <w:kern w:val="2"/>
          <w:sz w:val="24"/>
          <w:szCs w:val="24"/>
          <w:lang w:val="en-US" w:eastAsia="zh-CN" w:bidi="ar-SA"/>
        </w:rPr>
        <w:t xml:space="preserve"> </w:t>
      </w:r>
      <w:r>
        <w:rPr>
          <w:rFonts w:hint="eastAsia" w:ascii="Times New Roman" w:hAnsi="Times New Roman" w:eastAsia="方正仿宋简体" w:cs="Times New Roman"/>
          <w:color w:val="auto"/>
          <w:kern w:val="2"/>
          <w:sz w:val="24"/>
          <w:szCs w:val="24"/>
          <w:lang w:val="en-US" w:eastAsia="zh-CN" w:bidi="ar-SA"/>
        </w:rPr>
        <w:t>.</w:t>
      </w:r>
      <w:r>
        <w:rPr>
          <w:rFonts w:hint="default" w:ascii="Times New Roman" w:hAnsi="Times New Roman" w:eastAsia="方正仿宋简体" w:cs="Times New Roman"/>
          <w:color w:val="auto"/>
          <w:kern w:val="2"/>
          <w:sz w:val="24"/>
          <w:szCs w:val="24"/>
          <w:lang w:val="en-US" w:eastAsia="zh-CN" w:bidi="ar-SA"/>
        </w:rPr>
        <w:t>Revenue of the sauces market worldwide 2015-2025</w:t>
      </w:r>
      <w:r>
        <w:rPr>
          <w:rFonts w:hint="eastAsia" w:ascii="Times New Roman" w:hAnsi="Times New Roman" w:eastAsia="方正仿宋简体" w:cs="Times New Roman"/>
          <w:color w:val="auto"/>
          <w:kern w:val="2"/>
          <w:sz w:val="24"/>
          <w:szCs w:val="24"/>
          <w:lang w:val="en-US" w:eastAsia="zh-CN" w:bidi="ar-SA"/>
        </w:rPr>
        <w:t>, [online] Available at:&lt;</w:t>
      </w:r>
      <w:r>
        <w:rPr>
          <w:rFonts w:hint="default" w:ascii="Times New Roman" w:hAnsi="Times New Roman" w:eastAsia="宋体" w:cs="Times New Roman"/>
          <w:color w:val="auto"/>
          <w:sz w:val="24"/>
          <w:szCs w:val="24"/>
        </w:rPr>
        <w:fldChar w:fldCharType="begin"/>
      </w:r>
      <w:r>
        <w:rPr>
          <w:rFonts w:hint="default" w:ascii="Times New Roman" w:hAnsi="Times New Roman" w:eastAsia="宋体" w:cs="Times New Roman"/>
          <w:color w:val="auto"/>
          <w:sz w:val="24"/>
          <w:szCs w:val="24"/>
        </w:rPr>
        <w:instrText xml:space="preserve"> HYPERLINK "https://www.statista.com/forecasts/1250575/revenue-of-the-sauces-market-worldwide" </w:instrText>
      </w:r>
      <w:r>
        <w:rPr>
          <w:rFonts w:hint="default" w:ascii="Times New Roman" w:hAnsi="Times New Roman" w:eastAsia="宋体" w:cs="Times New Roman"/>
          <w:color w:val="auto"/>
          <w:sz w:val="24"/>
          <w:szCs w:val="24"/>
        </w:rPr>
        <w:fldChar w:fldCharType="separate"/>
      </w:r>
      <w:r>
        <w:rPr>
          <w:rStyle w:val="8"/>
          <w:rFonts w:hint="default" w:ascii="Times New Roman" w:hAnsi="Times New Roman" w:eastAsia="宋体" w:cs="Times New Roman"/>
          <w:color w:val="auto"/>
          <w:sz w:val="24"/>
          <w:szCs w:val="24"/>
        </w:rPr>
        <w:t>Global: revenue of the sauces market 2015-2025 | Statista</w:t>
      </w:r>
      <w:r>
        <w:rPr>
          <w:rFonts w:hint="default" w:ascii="Times New Roman" w:hAnsi="Times New Roman" w:eastAsia="宋体" w:cs="Times New Roman"/>
          <w:color w:val="auto"/>
          <w:sz w:val="24"/>
          <w:szCs w:val="24"/>
        </w:rPr>
        <w:fldChar w:fldCharType="end"/>
      </w:r>
      <w:r>
        <w:rPr>
          <w:rFonts w:hint="default" w:ascii="Times New Roman" w:hAnsi="Times New Roman" w:eastAsia="宋体" w:cs="Times New Roman"/>
          <w:color w:val="auto"/>
          <w:sz w:val="24"/>
          <w:szCs w:val="24"/>
          <w:lang w:val="en-US" w:eastAsia="zh-CN"/>
        </w:rPr>
        <w:t>&gt;</w:t>
      </w:r>
      <w:r>
        <w:rPr>
          <w:rFonts w:hint="eastAsia" w:ascii="Times New Roman" w:hAnsi="Times New Roman" w:eastAsia="方正仿宋简体" w:cs="Times New Roman"/>
          <w:color w:val="auto"/>
          <w:kern w:val="2"/>
          <w:sz w:val="24"/>
          <w:szCs w:val="24"/>
          <w:lang w:val="en-US" w:eastAsia="zh-CN" w:bidi="ar-SA"/>
        </w:rPr>
        <w:t xml:space="preserve">[Accessed </w:t>
      </w:r>
      <w:r>
        <w:rPr>
          <w:rFonts w:hint="default" w:ascii="Times New Roman" w:hAnsi="Times New Roman" w:eastAsia="方正仿宋简体" w:cs="Times New Roman"/>
          <w:color w:val="auto"/>
          <w:kern w:val="2"/>
          <w:sz w:val="24"/>
          <w:szCs w:val="24"/>
          <w:lang w:val="en-US" w:eastAsia="zh-CN" w:bidi="ar-SA"/>
        </w:rPr>
        <w:t> Jul 19, 2021</w:t>
      </w:r>
      <w:r>
        <w:rPr>
          <w:rFonts w:hint="eastAsia" w:ascii="Times New Roman" w:hAnsi="Times New Roman" w:eastAsia="方正仿宋简体" w:cs="Times New Roman"/>
          <w:color w:val="auto"/>
          <w:kern w:val="2"/>
          <w:sz w:val="24"/>
          <w:szCs w:val="24"/>
          <w:lang w:val="en-US" w:eastAsia="zh-CN" w:bidi="ar-SA"/>
        </w:rPr>
        <w:t>]</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Tu Y.Q.,（2013）. International regulation and legal guarantee of food safety.China Law Science,6(4): p.135-148</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eastAsia" w:ascii="Times New Roman" w:hAnsi="Times New Roman" w:cs="Times New Roman"/>
          <w:b w:val="0"/>
          <w:bCs w:val="0"/>
          <w:i w:val="0"/>
          <w:iCs w:val="0"/>
          <w:caps w:val="0"/>
          <w:color w:val="auto"/>
          <w:spacing w:val="0"/>
          <w:sz w:val="24"/>
          <w:szCs w:val="24"/>
          <w:shd w:val="clear" w:fill="FFFFFF"/>
          <w:lang w:val="en-US" w:eastAsia="zh-CN"/>
        </w:rPr>
      </w:pPr>
      <w:r>
        <w:rPr>
          <w:rFonts w:hint="eastAsia" w:ascii="Times New Roman" w:hAnsi="Times New Roman" w:cs="Times New Roman"/>
          <w:b w:val="0"/>
          <w:bCs w:val="0"/>
          <w:i w:val="0"/>
          <w:iCs w:val="0"/>
          <w:caps w:val="0"/>
          <w:color w:val="auto"/>
          <w:spacing w:val="0"/>
          <w:sz w:val="24"/>
          <w:szCs w:val="24"/>
          <w:shd w:val="clear" w:fill="FFFFFF"/>
          <w:lang w:val="en-US" w:eastAsia="zh-CN"/>
        </w:rPr>
        <w:t xml:space="preserve">Villarino, J. and Font, X. (2015) ‘Sustainability marketing myopia: The lack of persuasiveness in sustainability communication’, Journal of vacation marketing, 21(4), pp. 326–335. </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Wang Y,Du X and Feng Y.,（2017）.Marketing.Beijing:Beijing Institute of Technology Press.</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default" w:ascii="Times New Roman" w:hAnsi="Times New Roman" w:eastAsia="方正仿宋简体" w:cs="Times New Roman"/>
          <w:kern w:val="2"/>
          <w:sz w:val="24"/>
          <w:szCs w:val="24"/>
          <w:lang w:val="en-US" w:eastAsia="zh-CN" w:bidi="ar-SA"/>
        </w:rPr>
      </w:pPr>
      <w:r>
        <w:rPr>
          <w:rFonts w:hint="default" w:ascii="Times New Roman" w:hAnsi="Times New Roman" w:eastAsia="方正仿宋简体" w:cs="Times New Roman"/>
          <w:kern w:val="2"/>
          <w:sz w:val="24"/>
          <w:szCs w:val="24"/>
          <w:lang w:val="en-US" w:eastAsia="zh-CN" w:bidi="ar-SA"/>
        </w:rPr>
        <w:t>WANG, Q.</w:t>
      </w:r>
      <w:r>
        <w:rPr>
          <w:rFonts w:hint="eastAsia" w:ascii="Times New Roman" w:hAnsi="Times New Roman" w:eastAsia="方正仿宋简体" w:cs="Times New Roman"/>
          <w:kern w:val="2"/>
          <w:sz w:val="24"/>
          <w:szCs w:val="24"/>
          <w:lang w:val="en-US" w:eastAsia="zh-CN" w:bidi="ar-SA"/>
        </w:rPr>
        <w:t>（</w:t>
      </w:r>
      <w:r>
        <w:rPr>
          <w:rFonts w:hint="default" w:ascii="Times New Roman" w:hAnsi="Times New Roman" w:eastAsia="方正仿宋简体" w:cs="Times New Roman"/>
          <w:kern w:val="2"/>
          <w:sz w:val="24"/>
          <w:szCs w:val="24"/>
          <w:lang w:val="en-US" w:eastAsia="zh-CN" w:bidi="ar-SA"/>
        </w:rPr>
        <w:t>2022</w:t>
      </w:r>
      <w:r>
        <w:rPr>
          <w:rFonts w:hint="eastAsia" w:ascii="Times New Roman" w:hAnsi="Times New Roman" w:eastAsia="方正仿宋简体" w:cs="Times New Roman"/>
          <w:kern w:val="2"/>
          <w:sz w:val="24"/>
          <w:szCs w:val="24"/>
          <w:lang w:val="en-US" w:eastAsia="zh-CN" w:bidi="ar-SA"/>
        </w:rPr>
        <w:t>）</w:t>
      </w:r>
      <w:r>
        <w:rPr>
          <w:rFonts w:hint="default" w:ascii="Times New Roman" w:hAnsi="Times New Roman" w:eastAsia="方正仿宋简体" w:cs="Times New Roman"/>
          <w:kern w:val="2"/>
          <w:sz w:val="24"/>
          <w:szCs w:val="24"/>
          <w:lang w:val="en-US" w:eastAsia="zh-CN" w:bidi="ar-SA"/>
        </w:rPr>
        <w:t>.Kantar Worldpanel publishes brand footprint report Yili ranks first in the list of brands with the most consumer choices Yili wins the favor of 1.3 billion consumers and firmly ranks as the "preferred brand" in the Chinese market.</w:t>
      </w:r>
      <w:r>
        <w:rPr>
          <w:rFonts w:hint="default" w:ascii="Times New Roman" w:hAnsi="Times New Roman" w:eastAsia="方正仿宋简体" w:cs="Times New Roman"/>
          <w:i/>
          <w:iCs/>
          <w:kern w:val="2"/>
          <w:sz w:val="24"/>
          <w:szCs w:val="24"/>
          <w:lang w:val="en-US" w:eastAsia="zh-CN" w:bidi="ar-SA"/>
        </w:rPr>
        <w:t>China Times</w:t>
      </w:r>
      <w:r>
        <w:rPr>
          <w:rFonts w:hint="eastAsia" w:ascii="Times New Roman" w:hAnsi="Times New Roman" w:eastAsia="方正仿宋简体" w:cs="Times New Roman"/>
          <w:i/>
          <w:iCs/>
          <w:kern w:val="2"/>
          <w:sz w:val="24"/>
          <w:szCs w:val="24"/>
          <w:lang w:val="en-US" w:eastAsia="zh-CN" w:bidi="ar-SA"/>
        </w:rPr>
        <w:t>,</w:t>
      </w:r>
      <w:r>
        <w:rPr>
          <w:rFonts w:hint="default" w:ascii="Times New Roman" w:hAnsi="Times New Roman" w:eastAsia="方正仿宋简体" w:cs="Times New Roman"/>
          <w:kern w:val="2"/>
          <w:sz w:val="24"/>
          <w:szCs w:val="24"/>
          <w:lang w:val="en-US" w:eastAsia="zh-CN" w:bidi="ar-SA"/>
        </w:rPr>
        <w:t>1 July,p4.</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t>Weinstein, A.</w:t>
      </w:r>
      <w:r>
        <w:rPr>
          <w:rFonts w:hint="eastAsia" w:ascii="Times New Roman" w:hAnsi="Times New Roman" w:cs="Times New Roman"/>
          <w:b w:val="0"/>
          <w:bCs w:val="0"/>
          <w:i w:val="0"/>
          <w:iCs w:val="0"/>
          <w:caps w:val="0"/>
          <w:color w:val="auto"/>
          <w:spacing w:val="0"/>
          <w:sz w:val="24"/>
          <w:szCs w:val="24"/>
          <w:shd w:val="clear" w:fill="FFFFFF"/>
          <w:lang w:val="en-US" w:eastAsia="zh-CN"/>
        </w:rPr>
        <w:t>,</w:t>
      </w:r>
      <w:r>
        <w:rPr>
          <w:rFonts w:hint="default" w:ascii="Times New Roman" w:hAnsi="Times New Roman" w:cs="Times New Roman"/>
          <w:b w:val="0"/>
          <w:bCs w:val="0"/>
          <w:i w:val="0"/>
          <w:iCs w:val="0"/>
          <w:caps w:val="0"/>
          <w:color w:val="auto"/>
          <w:spacing w:val="0"/>
          <w:sz w:val="24"/>
          <w:szCs w:val="24"/>
          <w:shd w:val="clear" w:fill="FFFFFF"/>
          <w:lang w:val="en-US" w:eastAsia="zh-CN"/>
        </w:rPr>
        <w:t xml:space="preserve"> (2004) Handbook of market segmentation : strategic targeting for business and technology firms. Third edition. New York: Routledge.</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t xml:space="preserve">Ye, Y., Lau, K.H. and Teo, L.K.Y. (2018) ‘Drivers and barriers of omni-channel retailing in China: A case study of the fashion and apparel industry’, International journal of retail &amp; distribution management, 46(7), pp. 657–689. </w:t>
      </w:r>
    </w:p>
    <w:p>
      <w:pPr>
        <w:pStyle w:val="5"/>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480" w:firstLineChars="20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cs="Times New Roman"/>
          <w:b w:val="0"/>
          <w:bCs w:val="0"/>
          <w:i w:val="0"/>
          <w:iCs w:val="0"/>
          <w:caps w:val="0"/>
          <w:color w:val="auto"/>
          <w:spacing w:val="0"/>
          <w:sz w:val="24"/>
          <w:szCs w:val="24"/>
          <w:shd w:val="clear" w:fill="FFFFFF"/>
          <w:lang w:val="en-US" w:eastAsia="zh-CN"/>
        </w:rPr>
        <w:t>Ying.</w:t>
      </w:r>
      <w:r>
        <w:rPr>
          <w:rFonts w:hint="eastAsia" w:ascii="Times New Roman" w:hAnsi="Times New Roman" w:cs="Times New Roman"/>
          <w:b w:val="0"/>
          <w:bCs w:val="0"/>
          <w:i w:val="0"/>
          <w:iCs w:val="0"/>
          <w:caps w:val="0"/>
          <w:color w:val="auto"/>
          <w:spacing w:val="0"/>
          <w:sz w:val="24"/>
          <w:szCs w:val="24"/>
          <w:shd w:val="clear" w:fill="FFFFFF"/>
          <w:lang w:val="en-US" w:eastAsia="zh-CN"/>
        </w:rPr>
        <w:t>S.,</w:t>
      </w:r>
      <w:r>
        <w:rPr>
          <w:rFonts w:hint="default" w:ascii="Times New Roman" w:hAnsi="Times New Roman" w:cs="Times New Roman"/>
          <w:b w:val="0"/>
          <w:bCs w:val="0"/>
          <w:i w:val="0"/>
          <w:iCs w:val="0"/>
          <w:caps w:val="0"/>
          <w:color w:val="auto"/>
          <w:spacing w:val="0"/>
          <w:sz w:val="24"/>
          <w:szCs w:val="24"/>
          <w:shd w:val="clear" w:fill="FFFFFF"/>
          <w:lang w:val="en-US" w:eastAsia="zh-CN"/>
        </w:rPr>
        <w:t xml:space="preserve"> </w:t>
      </w:r>
      <w:r>
        <w:rPr>
          <w:rFonts w:hint="eastAsia" w:ascii="Times New Roman" w:hAnsi="Times New Roman" w:cs="Times New Roman"/>
          <w:b w:val="0"/>
          <w:bCs w:val="0"/>
          <w:i w:val="0"/>
          <w:iCs w:val="0"/>
          <w:caps w:val="0"/>
          <w:color w:val="auto"/>
          <w:spacing w:val="0"/>
          <w:sz w:val="24"/>
          <w:szCs w:val="24"/>
          <w:shd w:val="clear" w:fill="FFFFFF"/>
          <w:lang w:val="en-US" w:eastAsia="zh-CN"/>
        </w:rPr>
        <w:t>(2021)</w:t>
      </w:r>
      <w:r>
        <w:rPr>
          <w:rFonts w:hint="default" w:ascii="Times New Roman" w:hAnsi="Times New Roman" w:cs="Times New Roman"/>
          <w:b w:val="0"/>
          <w:bCs w:val="0"/>
          <w:i w:val="0"/>
          <w:iCs w:val="0"/>
          <w:caps w:val="0"/>
          <w:color w:val="auto"/>
          <w:spacing w:val="0"/>
          <w:sz w:val="24"/>
          <w:szCs w:val="24"/>
          <w:shd w:val="clear" w:fill="FFFFFF"/>
          <w:lang w:val="en-US" w:eastAsia="zh-CN"/>
        </w:rPr>
        <w:t>Research on the intensive procurement mode of enterprises.Think Tank Times,2021(2)</w:t>
      </w:r>
      <w:r>
        <w:rPr>
          <w:rFonts w:hint="eastAsia" w:ascii="Times New Roman" w:hAnsi="Times New Roman" w:cs="Times New Roman"/>
          <w:b w:val="0"/>
          <w:bCs w:val="0"/>
          <w:i w:val="0"/>
          <w:iCs w:val="0"/>
          <w:caps w:val="0"/>
          <w:color w:val="auto"/>
          <w:spacing w:val="0"/>
          <w:sz w:val="24"/>
          <w:szCs w:val="24"/>
          <w:shd w:val="clear" w:fill="FFFFFF"/>
          <w:lang w:val="en-US" w:eastAsia="zh-CN"/>
        </w:rPr>
        <w:t>, p.</w:t>
      </w:r>
      <w:r>
        <w:rPr>
          <w:rFonts w:hint="default" w:ascii="Times New Roman" w:hAnsi="Times New Roman" w:cs="Times New Roman"/>
          <w:b w:val="0"/>
          <w:bCs w:val="0"/>
          <w:i w:val="0"/>
          <w:iCs w:val="0"/>
          <w:caps w:val="0"/>
          <w:color w:val="auto"/>
          <w:spacing w:val="0"/>
          <w:sz w:val="24"/>
          <w:szCs w:val="24"/>
          <w:shd w:val="clear" w:fill="FFFFFF"/>
          <w:lang w:val="en-US" w:eastAsia="zh-CN"/>
        </w:rPr>
        <w:t xml:space="preserve"> 75-76</w:t>
      </w:r>
      <w:r>
        <w:rPr>
          <w:rFonts w:hint="eastAsia" w:ascii="Times New Roman" w:hAnsi="Times New Roman" w:cs="Times New Roman"/>
          <w:b w:val="0"/>
          <w:bCs w:val="0"/>
          <w:i w:val="0"/>
          <w:iCs w:val="0"/>
          <w:caps w:val="0"/>
          <w:color w:val="auto"/>
          <w:spacing w:val="0"/>
          <w:sz w:val="24"/>
          <w:szCs w:val="24"/>
          <w:shd w:val="clear" w:fill="FFFFFF"/>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480" w:lineRule="auto"/>
        <w:ind w:right="0" w:firstLine="480" w:firstLineChars="200"/>
        <w:jc w:val="both"/>
        <w:textAlignment w:val="auto"/>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ZHU,D., (2022)Carefully choose when buying cured meat foods.China Food Industry.19(3),p.38</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rPr>
      </w:pPr>
    </w:p>
    <w:sectPr>
      <w:pgSz w:w="11906" w:h="16838"/>
      <w:pgMar w:top="1417" w:right="1417" w:bottom="1417" w:left="141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方正仿宋简体">
    <w:panose1 w:val="02000000000000000000"/>
    <w:charset w:val="86"/>
    <w:family w:val="auto"/>
    <w:pitch w:val="default"/>
    <w:sig w:usb0="A00002BF" w:usb1="184F6CFA" w:usb2="00000012" w:usb3="00000000" w:csb0="00040001" w:csb1="0000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8231ED"/>
    <w:rsid w:val="04A46CB4"/>
    <w:rsid w:val="062A342B"/>
    <w:rsid w:val="07C60C4D"/>
    <w:rsid w:val="0919027A"/>
    <w:rsid w:val="0C26247C"/>
    <w:rsid w:val="0CF3634C"/>
    <w:rsid w:val="15434EC3"/>
    <w:rsid w:val="1F6B2F54"/>
    <w:rsid w:val="213C3913"/>
    <w:rsid w:val="214D162F"/>
    <w:rsid w:val="254856B7"/>
    <w:rsid w:val="29423CBE"/>
    <w:rsid w:val="3B83686A"/>
    <w:rsid w:val="419655A8"/>
    <w:rsid w:val="48F73B7D"/>
    <w:rsid w:val="48FB5330"/>
    <w:rsid w:val="4B251F56"/>
    <w:rsid w:val="51210FA7"/>
    <w:rsid w:val="52574391"/>
    <w:rsid w:val="52EF6909"/>
    <w:rsid w:val="57CE3A74"/>
    <w:rsid w:val="5A147AEB"/>
    <w:rsid w:val="60A33B3E"/>
    <w:rsid w:val="61194FDB"/>
    <w:rsid w:val="61813705"/>
    <w:rsid w:val="69B5409C"/>
    <w:rsid w:val="6A507938"/>
    <w:rsid w:val="6C0C3560"/>
    <w:rsid w:val="6C423597"/>
    <w:rsid w:val="74376338"/>
    <w:rsid w:val="7D6929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toc 1"/>
    <w:basedOn w:val="1"/>
    <w:next w:val="1"/>
    <w:qFormat/>
    <w:uiPriority w:val="0"/>
  </w:style>
  <w:style w:type="paragraph" w:styleId="4">
    <w:name w:val="toc 2"/>
    <w:basedOn w:val="1"/>
    <w:next w:val="1"/>
    <w:qFormat/>
    <w:uiPriority w:val="0"/>
    <w:pPr>
      <w:ind w:left="420" w:leftChars="200"/>
    </w:p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FollowedHyperlink"/>
    <w:basedOn w:val="7"/>
    <w:qFormat/>
    <w:uiPriority w:val="0"/>
    <w:rPr>
      <w:color w:val="800080"/>
      <w:u w:val="single"/>
    </w:rPr>
  </w:style>
  <w:style w:type="character" w:styleId="9">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47</TotalTime>
  <ScaleCrop>false</ScaleCrop>
  <LinksUpToDate>false</LinksUpToDate>
  <CharactersWithSpaces>0</CharactersWithSpaces>
  <Application>WPS Office_11.8.2.11716_F1E327BC-269C-435d-A152-05C5408002CA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2022-12-13T09:54:00Z</dcterms:created>
  <dc:creator>吕宏成</dc:creator>
  <cp:lastModifiedBy>吕宏成</cp:lastModifiedBy>
  <dcterms:modified xsi:type="dcterms:W3CDTF">2022-12-16T11:05:47Z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2052-11.8.2.11716</vt:lpwstr>
  </property>
  <property fmtid="{D5CDD505-2E9C-101B-9397-08002B2CF9AE}" pid="3" name="ICV">
    <vt:lpwstr>62A3EFA69BFF44C7AB4D86F839A93C2A</vt:lpwstr>
  </property>
</Properties>
</file>