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F87D10" w14:textId="18E2A0A3" w:rsidR="004F68A4" w:rsidRPr="004F68A4" w:rsidRDefault="004F68A4" w:rsidP="004F68A4">
      <w:pPr>
        <w:jc w:val="center"/>
      </w:pPr>
      <w:r>
        <w:rPr>
          <w:noProof/>
        </w:rPr>
        <w:drawing>
          <wp:inline distT="0" distB="0" distL="0" distR="0" wp14:anchorId="49394E2D" wp14:editId="06B5C50C">
            <wp:extent cx="4293129" cy="1689100"/>
            <wp:effectExtent l="0" t="0" r="0" b="6350"/>
            <wp:docPr id="2019368110" name="Picture 2019368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4299829" cy="1691736"/>
                    </a:xfrm>
                    <a:prstGeom prst="rect">
                      <a:avLst/>
                    </a:prstGeom>
                  </pic:spPr>
                </pic:pic>
              </a:graphicData>
            </a:graphic>
          </wp:inline>
        </w:drawing>
      </w:r>
    </w:p>
    <w:p w14:paraId="6DE06AD4" w14:textId="7DC2A155" w:rsidR="001F3979" w:rsidRDefault="00000000">
      <w:pPr>
        <w:pStyle w:val="Title"/>
        <w:spacing w:before="2200"/>
        <w:jc w:val="center"/>
      </w:pPr>
      <w:r>
        <w:rPr>
          <w:rFonts w:ascii="Arial" w:hAnsi="Arial"/>
          <w:sz w:val="24"/>
        </w:rPr>
        <w:t>International Market Entry Strategy and Marketing Mix of Adidas in Germany and India</w:t>
      </w:r>
    </w:p>
    <w:p w14:paraId="417B1F0A" w14:textId="77777777" w:rsidR="004F68A4" w:rsidRDefault="004F68A4">
      <w:pPr>
        <w:spacing w:after="100" w:line="276" w:lineRule="auto"/>
        <w:jc w:val="center"/>
        <w:rPr>
          <w:b/>
        </w:rPr>
      </w:pPr>
    </w:p>
    <w:p w14:paraId="0319489D" w14:textId="77777777" w:rsidR="004F68A4" w:rsidRDefault="004F68A4">
      <w:pPr>
        <w:spacing w:after="100" w:line="276" w:lineRule="auto"/>
        <w:jc w:val="center"/>
        <w:rPr>
          <w:b/>
        </w:rPr>
      </w:pPr>
    </w:p>
    <w:p w14:paraId="5636931C" w14:textId="0654FEDB" w:rsidR="004F68A4" w:rsidRDefault="004F68A4" w:rsidP="004F68A4">
      <w:pPr>
        <w:spacing w:after="100" w:line="276" w:lineRule="auto"/>
        <w:jc w:val="center"/>
        <w:rPr>
          <w:b/>
        </w:rPr>
      </w:pPr>
      <w:r>
        <w:rPr>
          <w:noProof/>
        </w:rPr>
        <w:drawing>
          <wp:inline distT="0" distB="0" distL="0" distR="0" wp14:anchorId="5AEAFDC7" wp14:editId="6A6A1C61">
            <wp:extent cx="2609850" cy="1752600"/>
            <wp:effectExtent l="0" t="0" r="0" b="0"/>
            <wp:docPr id="321816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9850" cy="1752600"/>
                    </a:xfrm>
                    <a:prstGeom prst="rect">
                      <a:avLst/>
                    </a:prstGeom>
                    <a:noFill/>
                    <a:ln>
                      <a:noFill/>
                    </a:ln>
                  </pic:spPr>
                </pic:pic>
              </a:graphicData>
            </a:graphic>
          </wp:inline>
        </w:drawing>
      </w:r>
    </w:p>
    <w:p w14:paraId="556F2DE4" w14:textId="5CAC39E9" w:rsidR="001F3979" w:rsidRDefault="00000000">
      <w:pPr>
        <w:spacing w:after="100" w:line="276" w:lineRule="auto"/>
        <w:jc w:val="center"/>
      </w:pPr>
      <w:proofErr w:type="spellStart"/>
      <w:r>
        <w:rPr>
          <w:b/>
        </w:rPr>
        <w:t>Programme</w:t>
      </w:r>
      <w:proofErr w:type="spellEnd"/>
      <w:r>
        <w:rPr>
          <w:b/>
        </w:rPr>
        <w:t>:</w:t>
      </w:r>
      <w:r>
        <w:t xml:space="preserve"> Master of Business Administration</w:t>
      </w:r>
    </w:p>
    <w:p w14:paraId="25406CCE" w14:textId="77777777" w:rsidR="001F3979" w:rsidRDefault="00000000">
      <w:pPr>
        <w:spacing w:after="100" w:line="276" w:lineRule="auto"/>
        <w:jc w:val="center"/>
      </w:pPr>
      <w:r>
        <w:rPr>
          <w:b/>
        </w:rPr>
        <w:t>Module:</w:t>
      </w:r>
      <w:r>
        <w:t xml:space="preserve"> International Marketing: Principles and Practices</w:t>
      </w:r>
    </w:p>
    <w:p w14:paraId="339AE0AC" w14:textId="77777777" w:rsidR="001F3979" w:rsidRDefault="00000000">
      <w:pPr>
        <w:spacing w:after="100" w:line="276" w:lineRule="auto"/>
        <w:jc w:val="center"/>
      </w:pPr>
      <w:r>
        <w:rPr>
          <w:b/>
        </w:rPr>
        <w:t>Module code:</w:t>
      </w:r>
      <w:r>
        <w:t xml:space="preserve"> LCMB7026</w:t>
      </w:r>
    </w:p>
    <w:p w14:paraId="57A9E50C" w14:textId="77777777" w:rsidR="001F3979" w:rsidRDefault="00000000">
      <w:pPr>
        <w:spacing w:after="100" w:line="276" w:lineRule="auto"/>
        <w:jc w:val="center"/>
      </w:pPr>
      <w:r>
        <w:rPr>
          <w:b/>
        </w:rPr>
        <w:t>Assessment:</w:t>
      </w:r>
      <w:r>
        <w:t xml:space="preserve"> Individual Report</w:t>
      </w:r>
    </w:p>
    <w:p w14:paraId="2BC4F0E6" w14:textId="2BCDB58B" w:rsidR="001F3979" w:rsidRDefault="00000000">
      <w:pPr>
        <w:spacing w:after="100" w:line="276" w:lineRule="auto"/>
        <w:jc w:val="center"/>
      </w:pPr>
      <w:r>
        <w:rPr>
          <w:b/>
        </w:rPr>
        <w:t>Student name:</w:t>
      </w:r>
      <w:r>
        <w:t xml:space="preserve"> </w:t>
      </w:r>
      <w:r w:rsidR="00CC4745">
        <w:t>Dharmesh Tanwar</w:t>
      </w:r>
    </w:p>
    <w:p w14:paraId="3D5A84D7" w14:textId="51E39678" w:rsidR="001F3979" w:rsidRDefault="00000000">
      <w:pPr>
        <w:spacing w:after="100" w:line="276" w:lineRule="auto"/>
        <w:jc w:val="center"/>
      </w:pPr>
      <w:r>
        <w:rPr>
          <w:b/>
        </w:rPr>
        <w:t>Student ID:</w:t>
      </w:r>
      <w:r>
        <w:t xml:space="preserve"> </w:t>
      </w:r>
      <w:r w:rsidR="00CC4745">
        <w:t>2531862</w:t>
      </w:r>
    </w:p>
    <w:p w14:paraId="54A70B6A" w14:textId="4A0A691D" w:rsidR="001F3979" w:rsidRDefault="00000000">
      <w:pPr>
        <w:spacing w:after="100" w:line="276" w:lineRule="auto"/>
        <w:jc w:val="center"/>
      </w:pPr>
      <w:r>
        <w:rPr>
          <w:b/>
        </w:rPr>
        <w:t>Lecturer:</w:t>
      </w:r>
      <w:r>
        <w:t xml:space="preserve"> </w:t>
      </w:r>
      <w:r w:rsidR="00CC4745" w:rsidRPr="00CC4745">
        <w:rPr>
          <w:b/>
          <w:bCs/>
        </w:rPr>
        <w:t xml:space="preserve">Dr </w:t>
      </w:r>
      <w:proofErr w:type="spellStart"/>
      <w:r w:rsidR="00CC4745" w:rsidRPr="00CC4745">
        <w:rPr>
          <w:b/>
          <w:bCs/>
        </w:rPr>
        <w:t>Piyumika</w:t>
      </w:r>
      <w:proofErr w:type="spellEnd"/>
      <w:r w:rsidR="00CC4745" w:rsidRPr="00CC4745">
        <w:rPr>
          <w:b/>
          <w:bCs/>
        </w:rPr>
        <w:t xml:space="preserve"> Gamage</w:t>
      </w:r>
    </w:p>
    <w:p w14:paraId="276DBD26" w14:textId="77777777" w:rsidR="001F3979" w:rsidRDefault="00000000">
      <w:pPr>
        <w:spacing w:after="100" w:line="276" w:lineRule="auto"/>
        <w:jc w:val="center"/>
      </w:pPr>
      <w:r>
        <w:rPr>
          <w:b/>
        </w:rPr>
        <w:t>Submission date:</w:t>
      </w:r>
      <w:r>
        <w:t xml:space="preserve"> 13 August 2026</w:t>
      </w:r>
    </w:p>
    <w:p w14:paraId="294E4821" w14:textId="77777777" w:rsidR="001F3979" w:rsidRDefault="00000000">
      <w:r>
        <w:br w:type="page"/>
      </w:r>
    </w:p>
    <w:p w14:paraId="3B31F135" w14:textId="77777777" w:rsidR="001F3979" w:rsidRDefault="00000000">
      <w:pPr>
        <w:pStyle w:val="Heading1"/>
        <w:spacing w:after="100" w:line="276" w:lineRule="auto"/>
        <w:jc w:val="center"/>
      </w:pPr>
      <w:bookmarkStart w:id="0" w:name="_Toc237353501"/>
      <w:r>
        <w:rPr>
          <w:rFonts w:ascii="Arial" w:hAnsi="Arial"/>
          <w:sz w:val="24"/>
        </w:rPr>
        <w:lastRenderedPageBreak/>
        <w:t>Table of Contents</w:t>
      </w:r>
      <w:bookmarkEnd w:id="0"/>
    </w:p>
    <w:p w14:paraId="05FF4238" w14:textId="77777777" w:rsidR="00210B8A" w:rsidRDefault="00000000">
      <w:pPr>
        <w:pStyle w:val="TOC1"/>
        <w:tabs>
          <w:tab w:val="right" w:leader="dot" w:pos="9016"/>
        </w:tabs>
        <w:rPr>
          <w:noProof/>
        </w:rPr>
      </w:pPr>
      <w:r>
        <w:fldChar w:fldCharType="begin"/>
      </w:r>
      <w:r>
        <w:instrText>TOC \o "1-3" \h \z \u</w:instrText>
      </w:r>
      <w:r>
        <w:fldChar w:fldCharType="separate"/>
      </w:r>
      <w:hyperlink w:anchor="_Toc237353501" w:history="1">
        <w:r w:rsidR="00210B8A" w:rsidRPr="00BA7966">
          <w:rPr>
            <w:rStyle w:val="Hyperlink"/>
            <w:noProof/>
          </w:rPr>
          <w:t>Table of Contents</w:t>
        </w:r>
        <w:r w:rsidR="00210B8A">
          <w:rPr>
            <w:noProof/>
            <w:webHidden/>
          </w:rPr>
          <w:tab/>
        </w:r>
        <w:r w:rsidR="00210B8A">
          <w:rPr>
            <w:noProof/>
            <w:webHidden/>
          </w:rPr>
          <w:fldChar w:fldCharType="begin"/>
        </w:r>
        <w:r w:rsidR="00210B8A">
          <w:rPr>
            <w:noProof/>
            <w:webHidden/>
          </w:rPr>
          <w:instrText xml:space="preserve"> PAGEREF _Toc237353501 \h </w:instrText>
        </w:r>
        <w:r w:rsidR="00210B8A">
          <w:rPr>
            <w:noProof/>
            <w:webHidden/>
          </w:rPr>
        </w:r>
        <w:r w:rsidR="00210B8A">
          <w:rPr>
            <w:noProof/>
            <w:webHidden/>
          </w:rPr>
          <w:fldChar w:fldCharType="separate"/>
        </w:r>
        <w:r w:rsidR="00210B8A">
          <w:rPr>
            <w:noProof/>
            <w:webHidden/>
          </w:rPr>
          <w:t>1</w:t>
        </w:r>
        <w:r w:rsidR="00210B8A">
          <w:rPr>
            <w:noProof/>
            <w:webHidden/>
          </w:rPr>
          <w:fldChar w:fldCharType="end"/>
        </w:r>
      </w:hyperlink>
    </w:p>
    <w:p w14:paraId="2C9C0828" w14:textId="77777777" w:rsidR="00210B8A" w:rsidRDefault="00210B8A">
      <w:pPr>
        <w:pStyle w:val="TOC1"/>
        <w:tabs>
          <w:tab w:val="right" w:leader="dot" w:pos="9016"/>
        </w:tabs>
        <w:rPr>
          <w:noProof/>
        </w:rPr>
      </w:pPr>
      <w:hyperlink w:anchor="_Toc237353502" w:history="1">
        <w:r w:rsidRPr="00BA7966">
          <w:rPr>
            <w:rStyle w:val="Hyperlink"/>
            <w:noProof/>
          </w:rPr>
          <w:t>Section 1: International Marketing Report</w:t>
        </w:r>
        <w:r>
          <w:rPr>
            <w:noProof/>
            <w:webHidden/>
          </w:rPr>
          <w:tab/>
        </w:r>
        <w:r>
          <w:rPr>
            <w:noProof/>
            <w:webHidden/>
          </w:rPr>
          <w:fldChar w:fldCharType="begin"/>
        </w:r>
        <w:r>
          <w:rPr>
            <w:noProof/>
            <w:webHidden/>
          </w:rPr>
          <w:instrText xml:space="preserve"> PAGEREF _Toc237353502 \h </w:instrText>
        </w:r>
        <w:r>
          <w:rPr>
            <w:noProof/>
            <w:webHidden/>
          </w:rPr>
        </w:r>
        <w:r>
          <w:rPr>
            <w:noProof/>
            <w:webHidden/>
          </w:rPr>
          <w:fldChar w:fldCharType="separate"/>
        </w:r>
        <w:r>
          <w:rPr>
            <w:noProof/>
            <w:webHidden/>
          </w:rPr>
          <w:t>1</w:t>
        </w:r>
        <w:r>
          <w:rPr>
            <w:noProof/>
            <w:webHidden/>
          </w:rPr>
          <w:fldChar w:fldCharType="end"/>
        </w:r>
      </w:hyperlink>
    </w:p>
    <w:p w14:paraId="78F1A7A4" w14:textId="77777777" w:rsidR="00210B8A" w:rsidRDefault="00210B8A">
      <w:pPr>
        <w:pStyle w:val="TOC2"/>
        <w:tabs>
          <w:tab w:val="right" w:leader="dot" w:pos="9016"/>
        </w:tabs>
        <w:rPr>
          <w:noProof/>
        </w:rPr>
      </w:pPr>
      <w:hyperlink w:anchor="_Toc237353503" w:history="1">
        <w:r w:rsidRPr="00BA7966">
          <w:rPr>
            <w:rStyle w:val="Hyperlink"/>
            <w:noProof/>
          </w:rPr>
          <w:t>1. Introduction</w:t>
        </w:r>
        <w:r>
          <w:rPr>
            <w:noProof/>
            <w:webHidden/>
          </w:rPr>
          <w:tab/>
        </w:r>
        <w:r>
          <w:rPr>
            <w:noProof/>
            <w:webHidden/>
          </w:rPr>
          <w:fldChar w:fldCharType="begin"/>
        </w:r>
        <w:r>
          <w:rPr>
            <w:noProof/>
            <w:webHidden/>
          </w:rPr>
          <w:instrText xml:space="preserve"> PAGEREF _Toc237353503 \h </w:instrText>
        </w:r>
        <w:r>
          <w:rPr>
            <w:noProof/>
            <w:webHidden/>
          </w:rPr>
        </w:r>
        <w:r>
          <w:rPr>
            <w:noProof/>
            <w:webHidden/>
          </w:rPr>
          <w:fldChar w:fldCharType="separate"/>
        </w:r>
        <w:r>
          <w:rPr>
            <w:noProof/>
            <w:webHidden/>
          </w:rPr>
          <w:t>1</w:t>
        </w:r>
        <w:r>
          <w:rPr>
            <w:noProof/>
            <w:webHidden/>
          </w:rPr>
          <w:fldChar w:fldCharType="end"/>
        </w:r>
      </w:hyperlink>
    </w:p>
    <w:p w14:paraId="69B938DC" w14:textId="77777777" w:rsidR="00210B8A" w:rsidRDefault="00210B8A">
      <w:pPr>
        <w:pStyle w:val="TOC3"/>
        <w:tabs>
          <w:tab w:val="right" w:leader="dot" w:pos="9016"/>
        </w:tabs>
        <w:rPr>
          <w:noProof/>
        </w:rPr>
      </w:pPr>
      <w:hyperlink w:anchor="_Toc237353504" w:history="1">
        <w:r w:rsidRPr="00BA7966">
          <w:rPr>
            <w:rStyle w:val="Hyperlink"/>
            <w:noProof/>
          </w:rPr>
          <w:t>1.1 Research approach and evidence limitations</w:t>
        </w:r>
        <w:r>
          <w:rPr>
            <w:noProof/>
            <w:webHidden/>
          </w:rPr>
          <w:tab/>
        </w:r>
        <w:r>
          <w:rPr>
            <w:noProof/>
            <w:webHidden/>
          </w:rPr>
          <w:fldChar w:fldCharType="begin"/>
        </w:r>
        <w:r>
          <w:rPr>
            <w:noProof/>
            <w:webHidden/>
          </w:rPr>
          <w:instrText xml:space="preserve"> PAGEREF _Toc237353504 \h </w:instrText>
        </w:r>
        <w:r>
          <w:rPr>
            <w:noProof/>
            <w:webHidden/>
          </w:rPr>
        </w:r>
        <w:r>
          <w:rPr>
            <w:noProof/>
            <w:webHidden/>
          </w:rPr>
          <w:fldChar w:fldCharType="separate"/>
        </w:r>
        <w:r>
          <w:rPr>
            <w:noProof/>
            <w:webHidden/>
          </w:rPr>
          <w:t>1</w:t>
        </w:r>
        <w:r>
          <w:rPr>
            <w:noProof/>
            <w:webHidden/>
          </w:rPr>
          <w:fldChar w:fldCharType="end"/>
        </w:r>
      </w:hyperlink>
    </w:p>
    <w:p w14:paraId="01C73A8D" w14:textId="77777777" w:rsidR="00210B8A" w:rsidRDefault="00210B8A">
      <w:pPr>
        <w:pStyle w:val="TOC2"/>
        <w:tabs>
          <w:tab w:val="right" w:leader="dot" w:pos="9016"/>
        </w:tabs>
        <w:rPr>
          <w:noProof/>
        </w:rPr>
      </w:pPr>
      <w:hyperlink w:anchor="_Toc237353505" w:history="1">
        <w:r w:rsidRPr="00BA7966">
          <w:rPr>
            <w:rStyle w:val="Hyperlink"/>
            <w:noProof/>
          </w:rPr>
          <w:t>2. Brand and Product Context</w:t>
        </w:r>
        <w:r>
          <w:rPr>
            <w:noProof/>
            <w:webHidden/>
          </w:rPr>
          <w:tab/>
        </w:r>
        <w:r>
          <w:rPr>
            <w:noProof/>
            <w:webHidden/>
          </w:rPr>
          <w:fldChar w:fldCharType="begin"/>
        </w:r>
        <w:r>
          <w:rPr>
            <w:noProof/>
            <w:webHidden/>
          </w:rPr>
          <w:instrText xml:space="preserve"> PAGEREF _Toc237353505 \h </w:instrText>
        </w:r>
        <w:r>
          <w:rPr>
            <w:noProof/>
            <w:webHidden/>
          </w:rPr>
        </w:r>
        <w:r>
          <w:rPr>
            <w:noProof/>
            <w:webHidden/>
          </w:rPr>
          <w:fldChar w:fldCharType="separate"/>
        </w:r>
        <w:r>
          <w:rPr>
            <w:noProof/>
            <w:webHidden/>
          </w:rPr>
          <w:t>1</w:t>
        </w:r>
        <w:r>
          <w:rPr>
            <w:noProof/>
            <w:webHidden/>
          </w:rPr>
          <w:fldChar w:fldCharType="end"/>
        </w:r>
      </w:hyperlink>
    </w:p>
    <w:p w14:paraId="531DD28B" w14:textId="77777777" w:rsidR="00210B8A" w:rsidRDefault="00210B8A">
      <w:pPr>
        <w:pStyle w:val="TOC2"/>
        <w:tabs>
          <w:tab w:val="right" w:leader="dot" w:pos="9016"/>
        </w:tabs>
        <w:rPr>
          <w:noProof/>
        </w:rPr>
      </w:pPr>
      <w:hyperlink w:anchor="_Toc237353506" w:history="1">
        <w:r w:rsidRPr="00BA7966">
          <w:rPr>
            <w:rStyle w:val="Hyperlink"/>
            <w:noProof/>
          </w:rPr>
          <w:t>3. Comparative Market Analysis</w:t>
        </w:r>
        <w:r>
          <w:rPr>
            <w:noProof/>
            <w:webHidden/>
          </w:rPr>
          <w:tab/>
        </w:r>
        <w:r>
          <w:rPr>
            <w:noProof/>
            <w:webHidden/>
          </w:rPr>
          <w:fldChar w:fldCharType="begin"/>
        </w:r>
        <w:r>
          <w:rPr>
            <w:noProof/>
            <w:webHidden/>
          </w:rPr>
          <w:instrText xml:space="preserve"> PAGEREF _Toc237353506 \h </w:instrText>
        </w:r>
        <w:r>
          <w:rPr>
            <w:noProof/>
            <w:webHidden/>
          </w:rPr>
        </w:r>
        <w:r>
          <w:rPr>
            <w:noProof/>
            <w:webHidden/>
          </w:rPr>
          <w:fldChar w:fldCharType="separate"/>
        </w:r>
        <w:r>
          <w:rPr>
            <w:noProof/>
            <w:webHidden/>
          </w:rPr>
          <w:t>1</w:t>
        </w:r>
        <w:r>
          <w:rPr>
            <w:noProof/>
            <w:webHidden/>
          </w:rPr>
          <w:fldChar w:fldCharType="end"/>
        </w:r>
      </w:hyperlink>
    </w:p>
    <w:p w14:paraId="3A22F57E" w14:textId="77777777" w:rsidR="00210B8A" w:rsidRDefault="00210B8A">
      <w:pPr>
        <w:pStyle w:val="TOC3"/>
        <w:tabs>
          <w:tab w:val="right" w:leader="dot" w:pos="9016"/>
        </w:tabs>
        <w:rPr>
          <w:noProof/>
        </w:rPr>
      </w:pPr>
      <w:hyperlink w:anchor="_Toc237353507" w:history="1">
        <w:r w:rsidRPr="00BA7966">
          <w:rPr>
            <w:rStyle w:val="Hyperlink"/>
            <w:noProof/>
          </w:rPr>
          <w:t>3.1 PESTEL comparison</w:t>
        </w:r>
        <w:r>
          <w:rPr>
            <w:noProof/>
            <w:webHidden/>
          </w:rPr>
          <w:tab/>
        </w:r>
        <w:r>
          <w:rPr>
            <w:noProof/>
            <w:webHidden/>
          </w:rPr>
          <w:fldChar w:fldCharType="begin"/>
        </w:r>
        <w:r>
          <w:rPr>
            <w:noProof/>
            <w:webHidden/>
          </w:rPr>
          <w:instrText xml:space="preserve"> PAGEREF _Toc237353507 \h </w:instrText>
        </w:r>
        <w:r>
          <w:rPr>
            <w:noProof/>
            <w:webHidden/>
          </w:rPr>
        </w:r>
        <w:r>
          <w:rPr>
            <w:noProof/>
            <w:webHidden/>
          </w:rPr>
          <w:fldChar w:fldCharType="separate"/>
        </w:r>
        <w:r>
          <w:rPr>
            <w:noProof/>
            <w:webHidden/>
          </w:rPr>
          <w:t>1</w:t>
        </w:r>
        <w:r>
          <w:rPr>
            <w:noProof/>
            <w:webHidden/>
          </w:rPr>
          <w:fldChar w:fldCharType="end"/>
        </w:r>
      </w:hyperlink>
    </w:p>
    <w:p w14:paraId="6A30A8D4" w14:textId="77777777" w:rsidR="00210B8A" w:rsidRDefault="00210B8A">
      <w:pPr>
        <w:pStyle w:val="TOC3"/>
        <w:tabs>
          <w:tab w:val="right" w:leader="dot" w:pos="9016"/>
        </w:tabs>
        <w:rPr>
          <w:noProof/>
        </w:rPr>
      </w:pPr>
      <w:hyperlink w:anchor="_Toc237353508" w:history="1">
        <w:r w:rsidRPr="00BA7966">
          <w:rPr>
            <w:rStyle w:val="Hyperlink"/>
            <w:noProof/>
          </w:rPr>
          <w:t>3.2 Hofstede comparison and limitations</w:t>
        </w:r>
        <w:r>
          <w:rPr>
            <w:noProof/>
            <w:webHidden/>
          </w:rPr>
          <w:tab/>
        </w:r>
        <w:r>
          <w:rPr>
            <w:noProof/>
            <w:webHidden/>
          </w:rPr>
          <w:fldChar w:fldCharType="begin"/>
        </w:r>
        <w:r>
          <w:rPr>
            <w:noProof/>
            <w:webHidden/>
          </w:rPr>
          <w:instrText xml:space="preserve"> PAGEREF _Toc237353508 \h </w:instrText>
        </w:r>
        <w:r>
          <w:rPr>
            <w:noProof/>
            <w:webHidden/>
          </w:rPr>
        </w:r>
        <w:r>
          <w:rPr>
            <w:noProof/>
            <w:webHidden/>
          </w:rPr>
          <w:fldChar w:fldCharType="separate"/>
        </w:r>
        <w:r>
          <w:rPr>
            <w:noProof/>
            <w:webHidden/>
          </w:rPr>
          <w:t>1</w:t>
        </w:r>
        <w:r>
          <w:rPr>
            <w:noProof/>
            <w:webHidden/>
          </w:rPr>
          <w:fldChar w:fldCharType="end"/>
        </w:r>
      </w:hyperlink>
    </w:p>
    <w:p w14:paraId="67C9C6D9" w14:textId="77777777" w:rsidR="00210B8A" w:rsidRDefault="00210B8A">
      <w:pPr>
        <w:pStyle w:val="TOC2"/>
        <w:tabs>
          <w:tab w:val="right" w:leader="dot" w:pos="9016"/>
        </w:tabs>
        <w:rPr>
          <w:noProof/>
        </w:rPr>
      </w:pPr>
      <w:hyperlink w:anchor="_Toc237353509" w:history="1">
        <w:r w:rsidRPr="00BA7966">
          <w:rPr>
            <w:rStyle w:val="Hyperlink"/>
            <w:noProof/>
          </w:rPr>
          <w:t>4. Comparative STP Strategy</w:t>
        </w:r>
        <w:r>
          <w:rPr>
            <w:noProof/>
            <w:webHidden/>
          </w:rPr>
          <w:tab/>
        </w:r>
        <w:r>
          <w:rPr>
            <w:noProof/>
            <w:webHidden/>
          </w:rPr>
          <w:fldChar w:fldCharType="begin"/>
        </w:r>
        <w:r>
          <w:rPr>
            <w:noProof/>
            <w:webHidden/>
          </w:rPr>
          <w:instrText xml:space="preserve"> PAGEREF _Toc237353509 \h </w:instrText>
        </w:r>
        <w:r>
          <w:rPr>
            <w:noProof/>
            <w:webHidden/>
          </w:rPr>
        </w:r>
        <w:r>
          <w:rPr>
            <w:noProof/>
            <w:webHidden/>
          </w:rPr>
          <w:fldChar w:fldCharType="separate"/>
        </w:r>
        <w:r>
          <w:rPr>
            <w:noProof/>
            <w:webHidden/>
          </w:rPr>
          <w:t>1</w:t>
        </w:r>
        <w:r>
          <w:rPr>
            <w:noProof/>
            <w:webHidden/>
          </w:rPr>
          <w:fldChar w:fldCharType="end"/>
        </w:r>
      </w:hyperlink>
    </w:p>
    <w:p w14:paraId="42DE5A02" w14:textId="77777777" w:rsidR="00210B8A" w:rsidRDefault="00210B8A">
      <w:pPr>
        <w:pStyle w:val="TOC3"/>
        <w:tabs>
          <w:tab w:val="right" w:leader="dot" w:pos="9016"/>
        </w:tabs>
        <w:rPr>
          <w:noProof/>
        </w:rPr>
      </w:pPr>
      <w:hyperlink w:anchor="_Toc237353510" w:history="1">
        <w:r w:rsidRPr="00BA7966">
          <w:rPr>
            <w:rStyle w:val="Hyperlink"/>
            <w:noProof/>
          </w:rPr>
          <w:t>4.1 Segmentation</w:t>
        </w:r>
        <w:r>
          <w:rPr>
            <w:noProof/>
            <w:webHidden/>
          </w:rPr>
          <w:tab/>
        </w:r>
        <w:r>
          <w:rPr>
            <w:noProof/>
            <w:webHidden/>
          </w:rPr>
          <w:fldChar w:fldCharType="begin"/>
        </w:r>
        <w:r>
          <w:rPr>
            <w:noProof/>
            <w:webHidden/>
          </w:rPr>
          <w:instrText xml:space="preserve"> PAGEREF _Toc237353510 \h </w:instrText>
        </w:r>
        <w:r>
          <w:rPr>
            <w:noProof/>
            <w:webHidden/>
          </w:rPr>
        </w:r>
        <w:r>
          <w:rPr>
            <w:noProof/>
            <w:webHidden/>
          </w:rPr>
          <w:fldChar w:fldCharType="separate"/>
        </w:r>
        <w:r>
          <w:rPr>
            <w:noProof/>
            <w:webHidden/>
          </w:rPr>
          <w:t>1</w:t>
        </w:r>
        <w:r>
          <w:rPr>
            <w:noProof/>
            <w:webHidden/>
          </w:rPr>
          <w:fldChar w:fldCharType="end"/>
        </w:r>
      </w:hyperlink>
    </w:p>
    <w:p w14:paraId="672FDD22" w14:textId="77777777" w:rsidR="00210B8A" w:rsidRDefault="00210B8A">
      <w:pPr>
        <w:pStyle w:val="TOC3"/>
        <w:tabs>
          <w:tab w:val="right" w:leader="dot" w:pos="9016"/>
        </w:tabs>
        <w:rPr>
          <w:noProof/>
        </w:rPr>
      </w:pPr>
      <w:hyperlink w:anchor="_Toc237353511" w:history="1">
        <w:r w:rsidRPr="00BA7966">
          <w:rPr>
            <w:rStyle w:val="Hyperlink"/>
            <w:noProof/>
          </w:rPr>
          <w:t>4.2 Targeting</w:t>
        </w:r>
        <w:r>
          <w:rPr>
            <w:noProof/>
            <w:webHidden/>
          </w:rPr>
          <w:tab/>
        </w:r>
        <w:r>
          <w:rPr>
            <w:noProof/>
            <w:webHidden/>
          </w:rPr>
          <w:fldChar w:fldCharType="begin"/>
        </w:r>
        <w:r>
          <w:rPr>
            <w:noProof/>
            <w:webHidden/>
          </w:rPr>
          <w:instrText xml:space="preserve"> PAGEREF _Toc237353511 \h </w:instrText>
        </w:r>
        <w:r>
          <w:rPr>
            <w:noProof/>
            <w:webHidden/>
          </w:rPr>
        </w:r>
        <w:r>
          <w:rPr>
            <w:noProof/>
            <w:webHidden/>
          </w:rPr>
          <w:fldChar w:fldCharType="separate"/>
        </w:r>
        <w:r>
          <w:rPr>
            <w:noProof/>
            <w:webHidden/>
          </w:rPr>
          <w:t>1</w:t>
        </w:r>
        <w:r>
          <w:rPr>
            <w:noProof/>
            <w:webHidden/>
          </w:rPr>
          <w:fldChar w:fldCharType="end"/>
        </w:r>
      </w:hyperlink>
    </w:p>
    <w:p w14:paraId="32435C76" w14:textId="77777777" w:rsidR="00210B8A" w:rsidRDefault="00210B8A">
      <w:pPr>
        <w:pStyle w:val="TOC3"/>
        <w:tabs>
          <w:tab w:val="right" w:leader="dot" w:pos="9016"/>
        </w:tabs>
        <w:rPr>
          <w:noProof/>
        </w:rPr>
      </w:pPr>
      <w:hyperlink w:anchor="_Toc237353512" w:history="1">
        <w:r w:rsidRPr="00BA7966">
          <w:rPr>
            <w:rStyle w:val="Hyperlink"/>
            <w:noProof/>
          </w:rPr>
          <w:t>4.3 Positioning</w:t>
        </w:r>
        <w:r>
          <w:rPr>
            <w:noProof/>
            <w:webHidden/>
          </w:rPr>
          <w:tab/>
        </w:r>
        <w:r>
          <w:rPr>
            <w:noProof/>
            <w:webHidden/>
          </w:rPr>
          <w:fldChar w:fldCharType="begin"/>
        </w:r>
        <w:r>
          <w:rPr>
            <w:noProof/>
            <w:webHidden/>
          </w:rPr>
          <w:instrText xml:space="preserve"> PAGEREF _Toc237353512 \h </w:instrText>
        </w:r>
        <w:r>
          <w:rPr>
            <w:noProof/>
            <w:webHidden/>
          </w:rPr>
        </w:r>
        <w:r>
          <w:rPr>
            <w:noProof/>
            <w:webHidden/>
          </w:rPr>
          <w:fldChar w:fldCharType="separate"/>
        </w:r>
        <w:r>
          <w:rPr>
            <w:noProof/>
            <w:webHidden/>
          </w:rPr>
          <w:t>1</w:t>
        </w:r>
        <w:r>
          <w:rPr>
            <w:noProof/>
            <w:webHidden/>
          </w:rPr>
          <w:fldChar w:fldCharType="end"/>
        </w:r>
      </w:hyperlink>
    </w:p>
    <w:p w14:paraId="5D3EDF0D" w14:textId="77777777" w:rsidR="00210B8A" w:rsidRDefault="00210B8A">
      <w:pPr>
        <w:pStyle w:val="TOC2"/>
        <w:tabs>
          <w:tab w:val="right" w:leader="dot" w:pos="9016"/>
        </w:tabs>
        <w:rPr>
          <w:noProof/>
        </w:rPr>
      </w:pPr>
      <w:hyperlink w:anchor="_Toc237353513" w:history="1">
        <w:r w:rsidRPr="00BA7966">
          <w:rPr>
            <w:rStyle w:val="Hyperlink"/>
            <w:noProof/>
          </w:rPr>
          <w:t>5. Comparative International Marketing Mix</w:t>
        </w:r>
        <w:r>
          <w:rPr>
            <w:noProof/>
            <w:webHidden/>
          </w:rPr>
          <w:tab/>
        </w:r>
        <w:r>
          <w:rPr>
            <w:noProof/>
            <w:webHidden/>
          </w:rPr>
          <w:fldChar w:fldCharType="begin"/>
        </w:r>
        <w:r>
          <w:rPr>
            <w:noProof/>
            <w:webHidden/>
          </w:rPr>
          <w:instrText xml:space="preserve"> PAGEREF _Toc237353513 \h </w:instrText>
        </w:r>
        <w:r>
          <w:rPr>
            <w:noProof/>
            <w:webHidden/>
          </w:rPr>
        </w:r>
        <w:r>
          <w:rPr>
            <w:noProof/>
            <w:webHidden/>
          </w:rPr>
          <w:fldChar w:fldCharType="separate"/>
        </w:r>
        <w:r>
          <w:rPr>
            <w:noProof/>
            <w:webHidden/>
          </w:rPr>
          <w:t>1</w:t>
        </w:r>
        <w:r>
          <w:rPr>
            <w:noProof/>
            <w:webHidden/>
          </w:rPr>
          <w:fldChar w:fldCharType="end"/>
        </w:r>
      </w:hyperlink>
    </w:p>
    <w:p w14:paraId="4FFFDACD" w14:textId="77777777" w:rsidR="00210B8A" w:rsidRDefault="00210B8A">
      <w:pPr>
        <w:pStyle w:val="TOC3"/>
        <w:tabs>
          <w:tab w:val="right" w:leader="dot" w:pos="9016"/>
        </w:tabs>
        <w:rPr>
          <w:noProof/>
        </w:rPr>
      </w:pPr>
      <w:hyperlink w:anchor="_Toc237353514" w:history="1">
        <w:r w:rsidRPr="00BA7966">
          <w:rPr>
            <w:rStyle w:val="Hyperlink"/>
            <w:noProof/>
          </w:rPr>
          <w:t>5.1 Product</w:t>
        </w:r>
        <w:r>
          <w:rPr>
            <w:noProof/>
            <w:webHidden/>
          </w:rPr>
          <w:tab/>
        </w:r>
        <w:r>
          <w:rPr>
            <w:noProof/>
            <w:webHidden/>
          </w:rPr>
          <w:fldChar w:fldCharType="begin"/>
        </w:r>
        <w:r>
          <w:rPr>
            <w:noProof/>
            <w:webHidden/>
          </w:rPr>
          <w:instrText xml:space="preserve"> PAGEREF _Toc237353514 \h </w:instrText>
        </w:r>
        <w:r>
          <w:rPr>
            <w:noProof/>
            <w:webHidden/>
          </w:rPr>
        </w:r>
        <w:r>
          <w:rPr>
            <w:noProof/>
            <w:webHidden/>
          </w:rPr>
          <w:fldChar w:fldCharType="separate"/>
        </w:r>
        <w:r>
          <w:rPr>
            <w:noProof/>
            <w:webHidden/>
          </w:rPr>
          <w:t>1</w:t>
        </w:r>
        <w:r>
          <w:rPr>
            <w:noProof/>
            <w:webHidden/>
          </w:rPr>
          <w:fldChar w:fldCharType="end"/>
        </w:r>
      </w:hyperlink>
    </w:p>
    <w:p w14:paraId="2579C596" w14:textId="77777777" w:rsidR="00210B8A" w:rsidRDefault="00210B8A">
      <w:pPr>
        <w:pStyle w:val="TOC3"/>
        <w:tabs>
          <w:tab w:val="right" w:leader="dot" w:pos="9016"/>
        </w:tabs>
        <w:rPr>
          <w:noProof/>
        </w:rPr>
      </w:pPr>
      <w:hyperlink w:anchor="_Toc237353515" w:history="1">
        <w:r w:rsidRPr="00BA7966">
          <w:rPr>
            <w:rStyle w:val="Hyperlink"/>
            <w:noProof/>
          </w:rPr>
          <w:t>5.2 Price</w:t>
        </w:r>
        <w:r>
          <w:rPr>
            <w:noProof/>
            <w:webHidden/>
          </w:rPr>
          <w:tab/>
        </w:r>
        <w:r>
          <w:rPr>
            <w:noProof/>
            <w:webHidden/>
          </w:rPr>
          <w:fldChar w:fldCharType="begin"/>
        </w:r>
        <w:r>
          <w:rPr>
            <w:noProof/>
            <w:webHidden/>
          </w:rPr>
          <w:instrText xml:space="preserve"> PAGEREF _Toc237353515 \h </w:instrText>
        </w:r>
        <w:r>
          <w:rPr>
            <w:noProof/>
            <w:webHidden/>
          </w:rPr>
        </w:r>
        <w:r>
          <w:rPr>
            <w:noProof/>
            <w:webHidden/>
          </w:rPr>
          <w:fldChar w:fldCharType="separate"/>
        </w:r>
        <w:r>
          <w:rPr>
            <w:noProof/>
            <w:webHidden/>
          </w:rPr>
          <w:t>1</w:t>
        </w:r>
        <w:r>
          <w:rPr>
            <w:noProof/>
            <w:webHidden/>
          </w:rPr>
          <w:fldChar w:fldCharType="end"/>
        </w:r>
      </w:hyperlink>
    </w:p>
    <w:p w14:paraId="4B9DE089" w14:textId="77777777" w:rsidR="00210B8A" w:rsidRDefault="00210B8A">
      <w:pPr>
        <w:pStyle w:val="TOC3"/>
        <w:tabs>
          <w:tab w:val="right" w:leader="dot" w:pos="9016"/>
        </w:tabs>
        <w:rPr>
          <w:noProof/>
        </w:rPr>
      </w:pPr>
      <w:hyperlink w:anchor="_Toc237353516" w:history="1">
        <w:r w:rsidRPr="00BA7966">
          <w:rPr>
            <w:rStyle w:val="Hyperlink"/>
            <w:noProof/>
          </w:rPr>
          <w:t>5.3 Place</w:t>
        </w:r>
        <w:r>
          <w:rPr>
            <w:noProof/>
            <w:webHidden/>
          </w:rPr>
          <w:tab/>
        </w:r>
        <w:r>
          <w:rPr>
            <w:noProof/>
            <w:webHidden/>
          </w:rPr>
          <w:fldChar w:fldCharType="begin"/>
        </w:r>
        <w:r>
          <w:rPr>
            <w:noProof/>
            <w:webHidden/>
          </w:rPr>
          <w:instrText xml:space="preserve"> PAGEREF _Toc237353516 \h </w:instrText>
        </w:r>
        <w:r>
          <w:rPr>
            <w:noProof/>
            <w:webHidden/>
          </w:rPr>
        </w:r>
        <w:r>
          <w:rPr>
            <w:noProof/>
            <w:webHidden/>
          </w:rPr>
          <w:fldChar w:fldCharType="separate"/>
        </w:r>
        <w:r>
          <w:rPr>
            <w:noProof/>
            <w:webHidden/>
          </w:rPr>
          <w:t>1</w:t>
        </w:r>
        <w:r>
          <w:rPr>
            <w:noProof/>
            <w:webHidden/>
          </w:rPr>
          <w:fldChar w:fldCharType="end"/>
        </w:r>
      </w:hyperlink>
    </w:p>
    <w:p w14:paraId="02BBC7D5" w14:textId="77777777" w:rsidR="00210B8A" w:rsidRDefault="00210B8A">
      <w:pPr>
        <w:pStyle w:val="TOC3"/>
        <w:tabs>
          <w:tab w:val="right" w:leader="dot" w:pos="9016"/>
        </w:tabs>
        <w:rPr>
          <w:noProof/>
        </w:rPr>
      </w:pPr>
      <w:hyperlink w:anchor="_Toc237353517" w:history="1">
        <w:r w:rsidRPr="00BA7966">
          <w:rPr>
            <w:rStyle w:val="Hyperlink"/>
            <w:noProof/>
          </w:rPr>
          <w:t>5.4 Promotion</w:t>
        </w:r>
        <w:r>
          <w:rPr>
            <w:noProof/>
            <w:webHidden/>
          </w:rPr>
          <w:tab/>
        </w:r>
        <w:r>
          <w:rPr>
            <w:noProof/>
            <w:webHidden/>
          </w:rPr>
          <w:fldChar w:fldCharType="begin"/>
        </w:r>
        <w:r>
          <w:rPr>
            <w:noProof/>
            <w:webHidden/>
          </w:rPr>
          <w:instrText xml:space="preserve"> PAGEREF _Toc237353517 \h </w:instrText>
        </w:r>
        <w:r>
          <w:rPr>
            <w:noProof/>
            <w:webHidden/>
          </w:rPr>
        </w:r>
        <w:r>
          <w:rPr>
            <w:noProof/>
            <w:webHidden/>
          </w:rPr>
          <w:fldChar w:fldCharType="separate"/>
        </w:r>
        <w:r>
          <w:rPr>
            <w:noProof/>
            <w:webHidden/>
          </w:rPr>
          <w:t>1</w:t>
        </w:r>
        <w:r>
          <w:rPr>
            <w:noProof/>
            <w:webHidden/>
          </w:rPr>
          <w:fldChar w:fldCharType="end"/>
        </w:r>
      </w:hyperlink>
    </w:p>
    <w:p w14:paraId="78EDE49B" w14:textId="77777777" w:rsidR="00210B8A" w:rsidRDefault="00210B8A">
      <w:pPr>
        <w:pStyle w:val="TOC3"/>
        <w:tabs>
          <w:tab w:val="right" w:leader="dot" w:pos="9016"/>
        </w:tabs>
        <w:rPr>
          <w:noProof/>
        </w:rPr>
      </w:pPr>
      <w:hyperlink w:anchor="_Toc237353518" w:history="1">
        <w:r w:rsidRPr="00BA7966">
          <w:rPr>
            <w:rStyle w:val="Hyperlink"/>
            <w:noProof/>
          </w:rPr>
          <w:t>5.5 People</w:t>
        </w:r>
        <w:r>
          <w:rPr>
            <w:noProof/>
            <w:webHidden/>
          </w:rPr>
          <w:tab/>
        </w:r>
        <w:r>
          <w:rPr>
            <w:noProof/>
            <w:webHidden/>
          </w:rPr>
          <w:fldChar w:fldCharType="begin"/>
        </w:r>
        <w:r>
          <w:rPr>
            <w:noProof/>
            <w:webHidden/>
          </w:rPr>
          <w:instrText xml:space="preserve"> PAGEREF _Toc237353518 \h </w:instrText>
        </w:r>
        <w:r>
          <w:rPr>
            <w:noProof/>
            <w:webHidden/>
          </w:rPr>
        </w:r>
        <w:r>
          <w:rPr>
            <w:noProof/>
            <w:webHidden/>
          </w:rPr>
          <w:fldChar w:fldCharType="separate"/>
        </w:r>
        <w:r>
          <w:rPr>
            <w:noProof/>
            <w:webHidden/>
          </w:rPr>
          <w:t>1</w:t>
        </w:r>
        <w:r>
          <w:rPr>
            <w:noProof/>
            <w:webHidden/>
          </w:rPr>
          <w:fldChar w:fldCharType="end"/>
        </w:r>
      </w:hyperlink>
    </w:p>
    <w:p w14:paraId="59681149" w14:textId="77777777" w:rsidR="00210B8A" w:rsidRDefault="00210B8A">
      <w:pPr>
        <w:pStyle w:val="TOC3"/>
        <w:tabs>
          <w:tab w:val="right" w:leader="dot" w:pos="9016"/>
        </w:tabs>
        <w:rPr>
          <w:noProof/>
        </w:rPr>
      </w:pPr>
      <w:hyperlink w:anchor="_Toc237353519" w:history="1">
        <w:r w:rsidRPr="00BA7966">
          <w:rPr>
            <w:rStyle w:val="Hyperlink"/>
            <w:noProof/>
          </w:rPr>
          <w:t>5.6 Process</w:t>
        </w:r>
        <w:r>
          <w:rPr>
            <w:noProof/>
            <w:webHidden/>
          </w:rPr>
          <w:tab/>
        </w:r>
        <w:r>
          <w:rPr>
            <w:noProof/>
            <w:webHidden/>
          </w:rPr>
          <w:fldChar w:fldCharType="begin"/>
        </w:r>
        <w:r>
          <w:rPr>
            <w:noProof/>
            <w:webHidden/>
          </w:rPr>
          <w:instrText xml:space="preserve"> PAGEREF _Toc237353519 \h </w:instrText>
        </w:r>
        <w:r>
          <w:rPr>
            <w:noProof/>
            <w:webHidden/>
          </w:rPr>
        </w:r>
        <w:r>
          <w:rPr>
            <w:noProof/>
            <w:webHidden/>
          </w:rPr>
          <w:fldChar w:fldCharType="separate"/>
        </w:r>
        <w:r>
          <w:rPr>
            <w:noProof/>
            <w:webHidden/>
          </w:rPr>
          <w:t>1</w:t>
        </w:r>
        <w:r>
          <w:rPr>
            <w:noProof/>
            <w:webHidden/>
          </w:rPr>
          <w:fldChar w:fldCharType="end"/>
        </w:r>
      </w:hyperlink>
    </w:p>
    <w:p w14:paraId="086BFB8F" w14:textId="77777777" w:rsidR="00210B8A" w:rsidRDefault="00210B8A">
      <w:pPr>
        <w:pStyle w:val="TOC3"/>
        <w:tabs>
          <w:tab w:val="right" w:leader="dot" w:pos="9016"/>
        </w:tabs>
        <w:rPr>
          <w:noProof/>
        </w:rPr>
      </w:pPr>
      <w:hyperlink w:anchor="_Toc237353520" w:history="1">
        <w:r w:rsidRPr="00BA7966">
          <w:rPr>
            <w:rStyle w:val="Hyperlink"/>
            <w:noProof/>
          </w:rPr>
          <w:t>5.7 Physical evidence</w:t>
        </w:r>
        <w:r>
          <w:rPr>
            <w:noProof/>
            <w:webHidden/>
          </w:rPr>
          <w:tab/>
        </w:r>
        <w:r>
          <w:rPr>
            <w:noProof/>
            <w:webHidden/>
          </w:rPr>
          <w:fldChar w:fldCharType="begin"/>
        </w:r>
        <w:r>
          <w:rPr>
            <w:noProof/>
            <w:webHidden/>
          </w:rPr>
          <w:instrText xml:space="preserve"> PAGEREF _Toc237353520 \h </w:instrText>
        </w:r>
        <w:r>
          <w:rPr>
            <w:noProof/>
            <w:webHidden/>
          </w:rPr>
        </w:r>
        <w:r>
          <w:rPr>
            <w:noProof/>
            <w:webHidden/>
          </w:rPr>
          <w:fldChar w:fldCharType="separate"/>
        </w:r>
        <w:r>
          <w:rPr>
            <w:noProof/>
            <w:webHidden/>
          </w:rPr>
          <w:t>1</w:t>
        </w:r>
        <w:r>
          <w:rPr>
            <w:noProof/>
            <w:webHidden/>
          </w:rPr>
          <w:fldChar w:fldCharType="end"/>
        </w:r>
      </w:hyperlink>
    </w:p>
    <w:p w14:paraId="319E4EDA" w14:textId="77777777" w:rsidR="00210B8A" w:rsidRDefault="00210B8A">
      <w:pPr>
        <w:pStyle w:val="TOC2"/>
        <w:tabs>
          <w:tab w:val="right" w:leader="dot" w:pos="9016"/>
        </w:tabs>
        <w:rPr>
          <w:noProof/>
        </w:rPr>
      </w:pPr>
      <w:hyperlink w:anchor="_Toc237353521" w:history="1">
        <w:r w:rsidRPr="00BA7966">
          <w:rPr>
            <w:rStyle w:val="Hyperlink"/>
            <w:noProof/>
          </w:rPr>
          <w:t>6. India Market Entry and Development Strategy</w:t>
        </w:r>
        <w:r>
          <w:rPr>
            <w:noProof/>
            <w:webHidden/>
          </w:rPr>
          <w:tab/>
        </w:r>
        <w:r>
          <w:rPr>
            <w:noProof/>
            <w:webHidden/>
          </w:rPr>
          <w:fldChar w:fldCharType="begin"/>
        </w:r>
        <w:r>
          <w:rPr>
            <w:noProof/>
            <w:webHidden/>
          </w:rPr>
          <w:instrText xml:space="preserve"> PAGEREF _Toc237353521 \h </w:instrText>
        </w:r>
        <w:r>
          <w:rPr>
            <w:noProof/>
            <w:webHidden/>
          </w:rPr>
        </w:r>
        <w:r>
          <w:rPr>
            <w:noProof/>
            <w:webHidden/>
          </w:rPr>
          <w:fldChar w:fldCharType="separate"/>
        </w:r>
        <w:r>
          <w:rPr>
            <w:noProof/>
            <w:webHidden/>
          </w:rPr>
          <w:t>1</w:t>
        </w:r>
        <w:r>
          <w:rPr>
            <w:noProof/>
            <w:webHidden/>
          </w:rPr>
          <w:fldChar w:fldCharType="end"/>
        </w:r>
      </w:hyperlink>
    </w:p>
    <w:p w14:paraId="2143D9FD" w14:textId="77777777" w:rsidR="00210B8A" w:rsidRDefault="00210B8A">
      <w:pPr>
        <w:pStyle w:val="TOC2"/>
        <w:tabs>
          <w:tab w:val="right" w:leader="dot" w:pos="9016"/>
        </w:tabs>
        <w:rPr>
          <w:noProof/>
        </w:rPr>
      </w:pPr>
      <w:hyperlink w:anchor="_Toc237353522" w:history="1">
        <w:r w:rsidRPr="00BA7966">
          <w:rPr>
            <w:rStyle w:val="Hyperlink"/>
            <w:noProof/>
          </w:rPr>
          <w:t>7. Ethical Issue: Germany’s Number-44 Football-Shirt Controversy</w:t>
        </w:r>
        <w:r>
          <w:rPr>
            <w:noProof/>
            <w:webHidden/>
          </w:rPr>
          <w:tab/>
        </w:r>
        <w:r>
          <w:rPr>
            <w:noProof/>
            <w:webHidden/>
          </w:rPr>
          <w:fldChar w:fldCharType="begin"/>
        </w:r>
        <w:r>
          <w:rPr>
            <w:noProof/>
            <w:webHidden/>
          </w:rPr>
          <w:instrText xml:space="preserve"> PAGEREF _Toc237353522 \h </w:instrText>
        </w:r>
        <w:r>
          <w:rPr>
            <w:noProof/>
            <w:webHidden/>
          </w:rPr>
        </w:r>
        <w:r>
          <w:rPr>
            <w:noProof/>
            <w:webHidden/>
          </w:rPr>
          <w:fldChar w:fldCharType="separate"/>
        </w:r>
        <w:r>
          <w:rPr>
            <w:noProof/>
            <w:webHidden/>
          </w:rPr>
          <w:t>1</w:t>
        </w:r>
        <w:r>
          <w:rPr>
            <w:noProof/>
            <w:webHidden/>
          </w:rPr>
          <w:fldChar w:fldCharType="end"/>
        </w:r>
      </w:hyperlink>
    </w:p>
    <w:p w14:paraId="430E7BC1" w14:textId="77777777" w:rsidR="00210B8A" w:rsidRDefault="00210B8A">
      <w:pPr>
        <w:pStyle w:val="TOC2"/>
        <w:tabs>
          <w:tab w:val="right" w:leader="dot" w:pos="9016"/>
        </w:tabs>
        <w:rPr>
          <w:noProof/>
        </w:rPr>
      </w:pPr>
      <w:hyperlink w:anchor="_Toc237353523" w:history="1">
        <w:r w:rsidRPr="00BA7966">
          <w:rPr>
            <w:rStyle w:val="Hyperlink"/>
            <w:noProof/>
          </w:rPr>
          <w:t>8. Recommendations</w:t>
        </w:r>
        <w:r>
          <w:rPr>
            <w:noProof/>
            <w:webHidden/>
          </w:rPr>
          <w:tab/>
        </w:r>
        <w:r>
          <w:rPr>
            <w:noProof/>
            <w:webHidden/>
          </w:rPr>
          <w:fldChar w:fldCharType="begin"/>
        </w:r>
        <w:r>
          <w:rPr>
            <w:noProof/>
            <w:webHidden/>
          </w:rPr>
          <w:instrText xml:space="preserve"> PAGEREF _Toc237353523 \h </w:instrText>
        </w:r>
        <w:r>
          <w:rPr>
            <w:noProof/>
            <w:webHidden/>
          </w:rPr>
        </w:r>
        <w:r>
          <w:rPr>
            <w:noProof/>
            <w:webHidden/>
          </w:rPr>
          <w:fldChar w:fldCharType="separate"/>
        </w:r>
        <w:r>
          <w:rPr>
            <w:noProof/>
            <w:webHidden/>
          </w:rPr>
          <w:t>1</w:t>
        </w:r>
        <w:r>
          <w:rPr>
            <w:noProof/>
            <w:webHidden/>
          </w:rPr>
          <w:fldChar w:fldCharType="end"/>
        </w:r>
      </w:hyperlink>
    </w:p>
    <w:p w14:paraId="1DAE6179" w14:textId="77777777" w:rsidR="00210B8A" w:rsidRDefault="00210B8A">
      <w:pPr>
        <w:pStyle w:val="TOC3"/>
        <w:tabs>
          <w:tab w:val="right" w:leader="dot" w:pos="9016"/>
        </w:tabs>
        <w:rPr>
          <w:noProof/>
        </w:rPr>
      </w:pPr>
      <w:hyperlink w:anchor="_Toc237353524" w:history="1">
        <w:r w:rsidRPr="00BA7966">
          <w:rPr>
            <w:rStyle w:val="Hyperlink"/>
            <w:noProof/>
          </w:rPr>
          <w:t>8.1 Build a two-speed product and price architecture in India</w:t>
        </w:r>
        <w:r>
          <w:rPr>
            <w:noProof/>
            <w:webHidden/>
          </w:rPr>
          <w:tab/>
        </w:r>
        <w:r>
          <w:rPr>
            <w:noProof/>
            <w:webHidden/>
          </w:rPr>
          <w:fldChar w:fldCharType="begin"/>
        </w:r>
        <w:r>
          <w:rPr>
            <w:noProof/>
            <w:webHidden/>
          </w:rPr>
          <w:instrText xml:space="preserve"> PAGEREF _Toc237353524 \h </w:instrText>
        </w:r>
        <w:r>
          <w:rPr>
            <w:noProof/>
            <w:webHidden/>
          </w:rPr>
        </w:r>
        <w:r>
          <w:rPr>
            <w:noProof/>
            <w:webHidden/>
          </w:rPr>
          <w:fldChar w:fldCharType="separate"/>
        </w:r>
        <w:r>
          <w:rPr>
            <w:noProof/>
            <w:webHidden/>
          </w:rPr>
          <w:t>1</w:t>
        </w:r>
        <w:r>
          <w:rPr>
            <w:noProof/>
            <w:webHidden/>
          </w:rPr>
          <w:fldChar w:fldCharType="end"/>
        </w:r>
      </w:hyperlink>
    </w:p>
    <w:p w14:paraId="45DE27F0" w14:textId="77777777" w:rsidR="00210B8A" w:rsidRDefault="00210B8A">
      <w:pPr>
        <w:pStyle w:val="TOC3"/>
        <w:tabs>
          <w:tab w:val="right" w:leader="dot" w:pos="9016"/>
        </w:tabs>
        <w:rPr>
          <w:noProof/>
        </w:rPr>
      </w:pPr>
      <w:hyperlink w:anchor="_Toc237353525" w:history="1">
        <w:r w:rsidRPr="00BA7966">
          <w:rPr>
            <w:rStyle w:val="Hyperlink"/>
            <w:noProof/>
          </w:rPr>
          <w:t>8.2 Convert cricket reach into multi-sport lifetime value</w:t>
        </w:r>
        <w:r>
          <w:rPr>
            <w:noProof/>
            <w:webHidden/>
          </w:rPr>
          <w:tab/>
        </w:r>
        <w:r>
          <w:rPr>
            <w:noProof/>
            <w:webHidden/>
          </w:rPr>
          <w:fldChar w:fldCharType="begin"/>
        </w:r>
        <w:r>
          <w:rPr>
            <w:noProof/>
            <w:webHidden/>
          </w:rPr>
          <w:instrText xml:space="preserve"> PAGEREF _Toc237353525 \h </w:instrText>
        </w:r>
        <w:r>
          <w:rPr>
            <w:noProof/>
            <w:webHidden/>
          </w:rPr>
        </w:r>
        <w:r>
          <w:rPr>
            <w:noProof/>
            <w:webHidden/>
          </w:rPr>
          <w:fldChar w:fldCharType="separate"/>
        </w:r>
        <w:r>
          <w:rPr>
            <w:noProof/>
            <w:webHidden/>
          </w:rPr>
          <w:t>1</w:t>
        </w:r>
        <w:r>
          <w:rPr>
            <w:noProof/>
            <w:webHidden/>
          </w:rPr>
          <w:fldChar w:fldCharType="end"/>
        </w:r>
      </w:hyperlink>
    </w:p>
    <w:p w14:paraId="76AEF8E0" w14:textId="77777777" w:rsidR="00210B8A" w:rsidRDefault="00210B8A">
      <w:pPr>
        <w:pStyle w:val="TOC3"/>
        <w:tabs>
          <w:tab w:val="right" w:leader="dot" w:pos="9016"/>
        </w:tabs>
        <w:rPr>
          <w:noProof/>
        </w:rPr>
      </w:pPr>
      <w:hyperlink w:anchor="_Toc237353526" w:history="1">
        <w:r w:rsidRPr="00BA7966">
          <w:rPr>
            <w:rStyle w:val="Hyperlink"/>
            <w:noProof/>
          </w:rPr>
          <w:t>8.3 Use city-level evidence for Indian expansion</w:t>
        </w:r>
        <w:r>
          <w:rPr>
            <w:noProof/>
            <w:webHidden/>
          </w:rPr>
          <w:tab/>
        </w:r>
        <w:r>
          <w:rPr>
            <w:noProof/>
            <w:webHidden/>
          </w:rPr>
          <w:fldChar w:fldCharType="begin"/>
        </w:r>
        <w:r>
          <w:rPr>
            <w:noProof/>
            <w:webHidden/>
          </w:rPr>
          <w:instrText xml:space="preserve"> PAGEREF _Toc237353526 \h </w:instrText>
        </w:r>
        <w:r>
          <w:rPr>
            <w:noProof/>
            <w:webHidden/>
          </w:rPr>
        </w:r>
        <w:r>
          <w:rPr>
            <w:noProof/>
            <w:webHidden/>
          </w:rPr>
          <w:fldChar w:fldCharType="separate"/>
        </w:r>
        <w:r>
          <w:rPr>
            <w:noProof/>
            <w:webHidden/>
          </w:rPr>
          <w:t>1</w:t>
        </w:r>
        <w:r>
          <w:rPr>
            <w:noProof/>
            <w:webHidden/>
          </w:rPr>
          <w:fldChar w:fldCharType="end"/>
        </w:r>
      </w:hyperlink>
    </w:p>
    <w:p w14:paraId="318EAFA6" w14:textId="77777777" w:rsidR="00210B8A" w:rsidRDefault="00210B8A">
      <w:pPr>
        <w:pStyle w:val="TOC3"/>
        <w:tabs>
          <w:tab w:val="right" w:leader="dot" w:pos="9016"/>
        </w:tabs>
        <w:rPr>
          <w:noProof/>
        </w:rPr>
      </w:pPr>
      <w:hyperlink w:anchor="_Toc237353527" w:history="1">
        <w:r w:rsidRPr="00BA7966">
          <w:rPr>
            <w:rStyle w:val="Hyperlink"/>
            <w:noProof/>
          </w:rPr>
          <w:t>8.4 Institutionalise cultural and ethical design assurance</w:t>
        </w:r>
        <w:r>
          <w:rPr>
            <w:noProof/>
            <w:webHidden/>
          </w:rPr>
          <w:tab/>
        </w:r>
        <w:r>
          <w:rPr>
            <w:noProof/>
            <w:webHidden/>
          </w:rPr>
          <w:fldChar w:fldCharType="begin"/>
        </w:r>
        <w:r>
          <w:rPr>
            <w:noProof/>
            <w:webHidden/>
          </w:rPr>
          <w:instrText xml:space="preserve"> PAGEREF _Toc237353527 \h </w:instrText>
        </w:r>
        <w:r>
          <w:rPr>
            <w:noProof/>
            <w:webHidden/>
          </w:rPr>
        </w:r>
        <w:r>
          <w:rPr>
            <w:noProof/>
            <w:webHidden/>
          </w:rPr>
          <w:fldChar w:fldCharType="separate"/>
        </w:r>
        <w:r>
          <w:rPr>
            <w:noProof/>
            <w:webHidden/>
          </w:rPr>
          <w:t>1</w:t>
        </w:r>
        <w:r>
          <w:rPr>
            <w:noProof/>
            <w:webHidden/>
          </w:rPr>
          <w:fldChar w:fldCharType="end"/>
        </w:r>
      </w:hyperlink>
    </w:p>
    <w:p w14:paraId="49F539F6" w14:textId="77777777" w:rsidR="00210B8A" w:rsidRDefault="00210B8A">
      <w:pPr>
        <w:pStyle w:val="TOC3"/>
        <w:tabs>
          <w:tab w:val="right" w:leader="dot" w:pos="9016"/>
        </w:tabs>
        <w:rPr>
          <w:noProof/>
        </w:rPr>
      </w:pPr>
      <w:hyperlink w:anchor="_Toc237353528" w:history="1">
        <w:r w:rsidRPr="00BA7966">
          <w:rPr>
            <w:rStyle w:val="Hyperlink"/>
            <w:noProof/>
          </w:rPr>
          <w:t>8.5 Make environmental claims product-specific and verifiable</w:t>
        </w:r>
        <w:r>
          <w:rPr>
            <w:noProof/>
            <w:webHidden/>
          </w:rPr>
          <w:tab/>
        </w:r>
        <w:r>
          <w:rPr>
            <w:noProof/>
            <w:webHidden/>
          </w:rPr>
          <w:fldChar w:fldCharType="begin"/>
        </w:r>
        <w:r>
          <w:rPr>
            <w:noProof/>
            <w:webHidden/>
          </w:rPr>
          <w:instrText xml:space="preserve"> PAGEREF _Toc237353528 \h </w:instrText>
        </w:r>
        <w:r>
          <w:rPr>
            <w:noProof/>
            <w:webHidden/>
          </w:rPr>
        </w:r>
        <w:r>
          <w:rPr>
            <w:noProof/>
            <w:webHidden/>
          </w:rPr>
          <w:fldChar w:fldCharType="separate"/>
        </w:r>
        <w:r>
          <w:rPr>
            <w:noProof/>
            <w:webHidden/>
          </w:rPr>
          <w:t>1</w:t>
        </w:r>
        <w:r>
          <w:rPr>
            <w:noProof/>
            <w:webHidden/>
          </w:rPr>
          <w:fldChar w:fldCharType="end"/>
        </w:r>
      </w:hyperlink>
    </w:p>
    <w:p w14:paraId="5FBD7738" w14:textId="77777777" w:rsidR="00210B8A" w:rsidRDefault="00210B8A">
      <w:pPr>
        <w:pStyle w:val="TOC3"/>
        <w:tabs>
          <w:tab w:val="right" w:leader="dot" w:pos="9016"/>
        </w:tabs>
        <w:rPr>
          <w:noProof/>
        </w:rPr>
      </w:pPr>
      <w:hyperlink w:anchor="_Toc237353529" w:history="1">
        <w:r w:rsidRPr="00BA7966">
          <w:rPr>
            <w:rStyle w:val="Hyperlink"/>
            <w:noProof/>
          </w:rPr>
          <w:t>8.6 Govern the omnichannel experience as one brand</w:t>
        </w:r>
        <w:r>
          <w:rPr>
            <w:noProof/>
            <w:webHidden/>
          </w:rPr>
          <w:tab/>
        </w:r>
        <w:r>
          <w:rPr>
            <w:noProof/>
            <w:webHidden/>
          </w:rPr>
          <w:fldChar w:fldCharType="begin"/>
        </w:r>
        <w:r>
          <w:rPr>
            <w:noProof/>
            <w:webHidden/>
          </w:rPr>
          <w:instrText xml:space="preserve"> PAGEREF _Toc237353529 \h </w:instrText>
        </w:r>
        <w:r>
          <w:rPr>
            <w:noProof/>
            <w:webHidden/>
          </w:rPr>
        </w:r>
        <w:r>
          <w:rPr>
            <w:noProof/>
            <w:webHidden/>
          </w:rPr>
          <w:fldChar w:fldCharType="separate"/>
        </w:r>
        <w:r>
          <w:rPr>
            <w:noProof/>
            <w:webHidden/>
          </w:rPr>
          <w:t>1</w:t>
        </w:r>
        <w:r>
          <w:rPr>
            <w:noProof/>
            <w:webHidden/>
          </w:rPr>
          <w:fldChar w:fldCharType="end"/>
        </w:r>
      </w:hyperlink>
    </w:p>
    <w:p w14:paraId="02938BEB" w14:textId="77777777" w:rsidR="00210B8A" w:rsidRDefault="00210B8A">
      <w:pPr>
        <w:pStyle w:val="TOC3"/>
        <w:tabs>
          <w:tab w:val="right" w:leader="dot" w:pos="9016"/>
        </w:tabs>
        <w:rPr>
          <w:noProof/>
        </w:rPr>
      </w:pPr>
      <w:hyperlink w:anchor="_Toc237353530" w:history="1">
        <w:r w:rsidRPr="00BA7966">
          <w:rPr>
            <w:rStyle w:val="Hyperlink"/>
            <w:noProof/>
          </w:rPr>
          <w:t>8.7 Implementation roadmap</w:t>
        </w:r>
        <w:r>
          <w:rPr>
            <w:noProof/>
            <w:webHidden/>
          </w:rPr>
          <w:tab/>
        </w:r>
        <w:r>
          <w:rPr>
            <w:noProof/>
            <w:webHidden/>
          </w:rPr>
          <w:fldChar w:fldCharType="begin"/>
        </w:r>
        <w:r>
          <w:rPr>
            <w:noProof/>
            <w:webHidden/>
          </w:rPr>
          <w:instrText xml:space="preserve"> PAGEREF _Toc237353530 \h </w:instrText>
        </w:r>
        <w:r>
          <w:rPr>
            <w:noProof/>
            <w:webHidden/>
          </w:rPr>
        </w:r>
        <w:r>
          <w:rPr>
            <w:noProof/>
            <w:webHidden/>
          </w:rPr>
          <w:fldChar w:fldCharType="separate"/>
        </w:r>
        <w:r>
          <w:rPr>
            <w:noProof/>
            <w:webHidden/>
          </w:rPr>
          <w:t>1</w:t>
        </w:r>
        <w:r>
          <w:rPr>
            <w:noProof/>
            <w:webHidden/>
          </w:rPr>
          <w:fldChar w:fldCharType="end"/>
        </w:r>
      </w:hyperlink>
    </w:p>
    <w:p w14:paraId="716B7169" w14:textId="77777777" w:rsidR="00210B8A" w:rsidRDefault="00210B8A">
      <w:pPr>
        <w:pStyle w:val="TOC2"/>
        <w:tabs>
          <w:tab w:val="right" w:leader="dot" w:pos="9016"/>
        </w:tabs>
        <w:rPr>
          <w:noProof/>
        </w:rPr>
      </w:pPr>
      <w:hyperlink w:anchor="_Toc237353531" w:history="1">
        <w:r w:rsidRPr="00BA7966">
          <w:rPr>
            <w:rStyle w:val="Hyperlink"/>
            <w:noProof/>
          </w:rPr>
          <w:t>9. Conclusion</w:t>
        </w:r>
        <w:r>
          <w:rPr>
            <w:noProof/>
            <w:webHidden/>
          </w:rPr>
          <w:tab/>
        </w:r>
        <w:r>
          <w:rPr>
            <w:noProof/>
            <w:webHidden/>
          </w:rPr>
          <w:fldChar w:fldCharType="begin"/>
        </w:r>
        <w:r>
          <w:rPr>
            <w:noProof/>
            <w:webHidden/>
          </w:rPr>
          <w:instrText xml:space="preserve"> PAGEREF _Toc237353531 \h </w:instrText>
        </w:r>
        <w:r>
          <w:rPr>
            <w:noProof/>
            <w:webHidden/>
          </w:rPr>
        </w:r>
        <w:r>
          <w:rPr>
            <w:noProof/>
            <w:webHidden/>
          </w:rPr>
          <w:fldChar w:fldCharType="separate"/>
        </w:r>
        <w:r>
          <w:rPr>
            <w:noProof/>
            <w:webHidden/>
          </w:rPr>
          <w:t>1</w:t>
        </w:r>
        <w:r>
          <w:rPr>
            <w:noProof/>
            <w:webHidden/>
          </w:rPr>
          <w:fldChar w:fldCharType="end"/>
        </w:r>
      </w:hyperlink>
    </w:p>
    <w:p w14:paraId="41EACE72" w14:textId="77777777" w:rsidR="00210B8A" w:rsidRDefault="00210B8A">
      <w:pPr>
        <w:pStyle w:val="TOC1"/>
        <w:tabs>
          <w:tab w:val="right" w:leader="dot" w:pos="9016"/>
        </w:tabs>
        <w:rPr>
          <w:noProof/>
        </w:rPr>
      </w:pPr>
      <w:hyperlink w:anchor="_Toc237353532" w:history="1">
        <w:r w:rsidRPr="00BA7966">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_Toc237353532 \h </w:instrText>
        </w:r>
        <w:r>
          <w:rPr>
            <w:noProof/>
            <w:webHidden/>
          </w:rPr>
        </w:r>
        <w:r>
          <w:rPr>
            <w:noProof/>
            <w:webHidden/>
          </w:rPr>
          <w:fldChar w:fldCharType="separate"/>
        </w:r>
        <w:r>
          <w:rPr>
            <w:noProof/>
            <w:webHidden/>
          </w:rPr>
          <w:t>1</w:t>
        </w:r>
        <w:r>
          <w:rPr>
            <w:noProof/>
            <w:webHidden/>
          </w:rPr>
          <w:fldChar w:fldCharType="end"/>
        </w:r>
      </w:hyperlink>
    </w:p>
    <w:p w14:paraId="67FEBB36" w14:textId="77777777" w:rsidR="00210B8A" w:rsidRDefault="00210B8A">
      <w:pPr>
        <w:pStyle w:val="TOC2"/>
        <w:tabs>
          <w:tab w:val="right" w:leader="dot" w:pos="9016"/>
        </w:tabs>
        <w:rPr>
          <w:noProof/>
        </w:rPr>
      </w:pPr>
      <w:hyperlink w:anchor="_Toc237353533" w:history="1">
        <w:r w:rsidRPr="00BA7966">
          <w:rPr>
            <w:rStyle w:val="Hyperlink"/>
            <w:noProof/>
          </w:rPr>
          <w:t>10.1 Description</w:t>
        </w:r>
        <w:r>
          <w:rPr>
            <w:noProof/>
            <w:webHidden/>
          </w:rPr>
          <w:tab/>
        </w:r>
        <w:r>
          <w:rPr>
            <w:noProof/>
            <w:webHidden/>
          </w:rPr>
          <w:fldChar w:fldCharType="begin"/>
        </w:r>
        <w:r>
          <w:rPr>
            <w:noProof/>
            <w:webHidden/>
          </w:rPr>
          <w:instrText xml:space="preserve"> PAGEREF _Toc237353533 \h </w:instrText>
        </w:r>
        <w:r>
          <w:rPr>
            <w:noProof/>
            <w:webHidden/>
          </w:rPr>
        </w:r>
        <w:r>
          <w:rPr>
            <w:noProof/>
            <w:webHidden/>
          </w:rPr>
          <w:fldChar w:fldCharType="separate"/>
        </w:r>
        <w:r>
          <w:rPr>
            <w:noProof/>
            <w:webHidden/>
          </w:rPr>
          <w:t>1</w:t>
        </w:r>
        <w:r>
          <w:rPr>
            <w:noProof/>
            <w:webHidden/>
          </w:rPr>
          <w:fldChar w:fldCharType="end"/>
        </w:r>
      </w:hyperlink>
    </w:p>
    <w:p w14:paraId="3260F19E" w14:textId="77777777" w:rsidR="00210B8A" w:rsidRDefault="00210B8A">
      <w:pPr>
        <w:pStyle w:val="TOC2"/>
        <w:tabs>
          <w:tab w:val="right" w:leader="dot" w:pos="9016"/>
        </w:tabs>
        <w:rPr>
          <w:noProof/>
        </w:rPr>
      </w:pPr>
      <w:hyperlink w:anchor="_Toc237353534" w:history="1">
        <w:r w:rsidRPr="00BA7966">
          <w:rPr>
            <w:rStyle w:val="Hyperlink"/>
            <w:noProof/>
          </w:rPr>
          <w:t>10.2 Feelings</w:t>
        </w:r>
        <w:r>
          <w:rPr>
            <w:noProof/>
            <w:webHidden/>
          </w:rPr>
          <w:tab/>
        </w:r>
        <w:r>
          <w:rPr>
            <w:noProof/>
            <w:webHidden/>
          </w:rPr>
          <w:fldChar w:fldCharType="begin"/>
        </w:r>
        <w:r>
          <w:rPr>
            <w:noProof/>
            <w:webHidden/>
          </w:rPr>
          <w:instrText xml:space="preserve"> PAGEREF _Toc237353534 \h </w:instrText>
        </w:r>
        <w:r>
          <w:rPr>
            <w:noProof/>
            <w:webHidden/>
          </w:rPr>
        </w:r>
        <w:r>
          <w:rPr>
            <w:noProof/>
            <w:webHidden/>
          </w:rPr>
          <w:fldChar w:fldCharType="separate"/>
        </w:r>
        <w:r>
          <w:rPr>
            <w:noProof/>
            <w:webHidden/>
          </w:rPr>
          <w:t>1</w:t>
        </w:r>
        <w:r>
          <w:rPr>
            <w:noProof/>
            <w:webHidden/>
          </w:rPr>
          <w:fldChar w:fldCharType="end"/>
        </w:r>
      </w:hyperlink>
    </w:p>
    <w:p w14:paraId="4C21FC8F" w14:textId="77777777" w:rsidR="00210B8A" w:rsidRDefault="00210B8A">
      <w:pPr>
        <w:pStyle w:val="TOC2"/>
        <w:tabs>
          <w:tab w:val="right" w:leader="dot" w:pos="9016"/>
        </w:tabs>
        <w:rPr>
          <w:noProof/>
        </w:rPr>
      </w:pPr>
      <w:hyperlink w:anchor="_Toc237353535" w:history="1">
        <w:r w:rsidRPr="00BA7966">
          <w:rPr>
            <w:rStyle w:val="Hyperlink"/>
            <w:noProof/>
          </w:rPr>
          <w:t>10.3 Evaluation</w:t>
        </w:r>
        <w:r>
          <w:rPr>
            <w:noProof/>
            <w:webHidden/>
          </w:rPr>
          <w:tab/>
        </w:r>
        <w:r>
          <w:rPr>
            <w:noProof/>
            <w:webHidden/>
          </w:rPr>
          <w:fldChar w:fldCharType="begin"/>
        </w:r>
        <w:r>
          <w:rPr>
            <w:noProof/>
            <w:webHidden/>
          </w:rPr>
          <w:instrText xml:space="preserve"> PAGEREF _Toc237353535 \h </w:instrText>
        </w:r>
        <w:r>
          <w:rPr>
            <w:noProof/>
            <w:webHidden/>
          </w:rPr>
        </w:r>
        <w:r>
          <w:rPr>
            <w:noProof/>
            <w:webHidden/>
          </w:rPr>
          <w:fldChar w:fldCharType="separate"/>
        </w:r>
        <w:r>
          <w:rPr>
            <w:noProof/>
            <w:webHidden/>
          </w:rPr>
          <w:t>1</w:t>
        </w:r>
        <w:r>
          <w:rPr>
            <w:noProof/>
            <w:webHidden/>
          </w:rPr>
          <w:fldChar w:fldCharType="end"/>
        </w:r>
      </w:hyperlink>
    </w:p>
    <w:p w14:paraId="4EE2E2B3" w14:textId="77777777" w:rsidR="00210B8A" w:rsidRDefault="00210B8A">
      <w:pPr>
        <w:pStyle w:val="TOC2"/>
        <w:tabs>
          <w:tab w:val="right" w:leader="dot" w:pos="9016"/>
        </w:tabs>
        <w:rPr>
          <w:noProof/>
        </w:rPr>
      </w:pPr>
      <w:hyperlink w:anchor="_Toc237353536" w:history="1">
        <w:r w:rsidRPr="00BA7966">
          <w:rPr>
            <w:rStyle w:val="Hyperlink"/>
            <w:noProof/>
          </w:rPr>
          <w:t>10.4 Analysis</w:t>
        </w:r>
        <w:r>
          <w:rPr>
            <w:noProof/>
            <w:webHidden/>
          </w:rPr>
          <w:tab/>
        </w:r>
        <w:r>
          <w:rPr>
            <w:noProof/>
            <w:webHidden/>
          </w:rPr>
          <w:fldChar w:fldCharType="begin"/>
        </w:r>
        <w:r>
          <w:rPr>
            <w:noProof/>
            <w:webHidden/>
          </w:rPr>
          <w:instrText xml:space="preserve"> PAGEREF _Toc237353536 \h </w:instrText>
        </w:r>
        <w:r>
          <w:rPr>
            <w:noProof/>
            <w:webHidden/>
          </w:rPr>
        </w:r>
        <w:r>
          <w:rPr>
            <w:noProof/>
            <w:webHidden/>
          </w:rPr>
          <w:fldChar w:fldCharType="separate"/>
        </w:r>
        <w:r>
          <w:rPr>
            <w:noProof/>
            <w:webHidden/>
          </w:rPr>
          <w:t>1</w:t>
        </w:r>
        <w:r>
          <w:rPr>
            <w:noProof/>
            <w:webHidden/>
          </w:rPr>
          <w:fldChar w:fldCharType="end"/>
        </w:r>
      </w:hyperlink>
    </w:p>
    <w:p w14:paraId="711FC451" w14:textId="77777777" w:rsidR="00210B8A" w:rsidRDefault="00210B8A">
      <w:pPr>
        <w:pStyle w:val="TOC2"/>
        <w:tabs>
          <w:tab w:val="right" w:leader="dot" w:pos="9016"/>
        </w:tabs>
        <w:rPr>
          <w:noProof/>
        </w:rPr>
      </w:pPr>
      <w:hyperlink w:anchor="_Toc237353537" w:history="1">
        <w:r w:rsidRPr="00BA7966">
          <w:rPr>
            <w:rStyle w:val="Hyperlink"/>
            <w:noProof/>
          </w:rPr>
          <w:t>10.5 Conclusion</w:t>
        </w:r>
        <w:r>
          <w:rPr>
            <w:noProof/>
            <w:webHidden/>
          </w:rPr>
          <w:tab/>
        </w:r>
        <w:r>
          <w:rPr>
            <w:noProof/>
            <w:webHidden/>
          </w:rPr>
          <w:fldChar w:fldCharType="begin"/>
        </w:r>
        <w:r>
          <w:rPr>
            <w:noProof/>
            <w:webHidden/>
          </w:rPr>
          <w:instrText xml:space="preserve"> PAGEREF _Toc237353537 \h </w:instrText>
        </w:r>
        <w:r>
          <w:rPr>
            <w:noProof/>
            <w:webHidden/>
          </w:rPr>
        </w:r>
        <w:r>
          <w:rPr>
            <w:noProof/>
            <w:webHidden/>
          </w:rPr>
          <w:fldChar w:fldCharType="separate"/>
        </w:r>
        <w:r>
          <w:rPr>
            <w:noProof/>
            <w:webHidden/>
          </w:rPr>
          <w:t>1</w:t>
        </w:r>
        <w:r>
          <w:rPr>
            <w:noProof/>
            <w:webHidden/>
          </w:rPr>
          <w:fldChar w:fldCharType="end"/>
        </w:r>
      </w:hyperlink>
    </w:p>
    <w:p w14:paraId="6ABB48B7" w14:textId="77777777" w:rsidR="00210B8A" w:rsidRDefault="00210B8A">
      <w:pPr>
        <w:pStyle w:val="TOC2"/>
        <w:tabs>
          <w:tab w:val="right" w:leader="dot" w:pos="9016"/>
        </w:tabs>
        <w:rPr>
          <w:noProof/>
        </w:rPr>
      </w:pPr>
      <w:hyperlink w:anchor="_Toc237353538" w:history="1">
        <w:r w:rsidRPr="00BA7966">
          <w:rPr>
            <w:rStyle w:val="Hyperlink"/>
            <w:noProof/>
          </w:rPr>
          <w:t>10.6 Action Plan</w:t>
        </w:r>
        <w:r>
          <w:rPr>
            <w:noProof/>
            <w:webHidden/>
          </w:rPr>
          <w:tab/>
        </w:r>
        <w:r>
          <w:rPr>
            <w:noProof/>
            <w:webHidden/>
          </w:rPr>
          <w:fldChar w:fldCharType="begin"/>
        </w:r>
        <w:r>
          <w:rPr>
            <w:noProof/>
            <w:webHidden/>
          </w:rPr>
          <w:instrText xml:space="preserve"> PAGEREF _Toc237353538 \h </w:instrText>
        </w:r>
        <w:r>
          <w:rPr>
            <w:noProof/>
            <w:webHidden/>
          </w:rPr>
        </w:r>
        <w:r>
          <w:rPr>
            <w:noProof/>
            <w:webHidden/>
          </w:rPr>
          <w:fldChar w:fldCharType="separate"/>
        </w:r>
        <w:r>
          <w:rPr>
            <w:noProof/>
            <w:webHidden/>
          </w:rPr>
          <w:t>1</w:t>
        </w:r>
        <w:r>
          <w:rPr>
            <w:noProof/>
            <w:webHidden/>
          </w:rPr>
          <w:fldChar w:fldCharType="end"/>
        </w:r>
      </w:hyperlink>
    </w:p>
    <w:p w14:paraId="2DE186E6" w14:textId="77777777" w:rsidR="00210B8A" w:rsidRDefault="00210B8A">
      <w:pPr>
        <w:pStyle w:val="TOC1"/>
        <w:tabs>
          <w:tab w:val="right" w:leader="dot" w:pos="9016"/>
        </w:tabs>
        <w:rPr>
          <w:noProof/>
        </w:rPr>
      </w:pPr>
      <w:hyperlink w:anchor="_Toc237353539" w:history="1">
        <w:r w:rsidRPr="00BA7966">
          <w:rPr>
            <w:rStyle w:val="Hyperlink"/>
            <w:noProof/>
          </w:rPr>
          <w:t>Reference List</w:t>
        </w:r>
        <w:r>
          <w:rPr>
            <w:noProof/>
            <w:webHidden/>
          </w:rPr>
          <w:tab/>
        </w:r>
        <w:r>
          <w:rPr>
            <w:noProof/>
            <w:webHidden/>
          </w:rPr>
          <w:fldChar w:fldCharType="begin"/>
        </w:r>
        <w:r>
          <w:rPr>
            <w:noProof/>
            <w:webHidden/>
          </w:rPr>
          <w:instrText xml:space="preserve"> PAGEREF _Toc237353539 \h </w:instrText>
        </w:r>
        <w:r>
          <w:rPr>
            <w:noProof/>
            <w:webHidden/>
          </w:rPr>
        </w:r>
        <w:r>
          <w:rPr>
            <w:noProof/>
            <w:webHidden/>
          </w:rPr>
          <w:fldChar w:fldCharType="separate"/>
        </w:r>
        <w:r>
          <w:rPr>
            <w:noProof/>
            <w:webHidden/>
          </w:rPr>
          <w:t>1</w:t>
        </w:r>
        <w:r>
          <w:rPr>
            <w:noProof/>
            <w:webHidden/>
          </w:rPr>
          <w:fldChar w:fldCharType="end"/>
        </w:r>
      </w:hyperlink>
    </w:p>
    <w:p w14:paraId="7DAC6164" w14:textId="2405045E" w:rsidR="001F3979" w:rsidRDefault="00000000" w:rsidP="00210B8A">
      <w:pPr>
        <w:spacing w:line="276" w:lineRule="auto"/>
      </w:pPr>
      <w:r>
        <w:fldChar w:fldCharType="end"/>
      </w:r>
    </w:p>
    <w:p w14:paraId="592135B5" w14:textId="77777777" w:rsidR="001F3979" w:rsidRDefault="00000000">
      <w:r>
        <w:br w:type="page"/>
      </w:r>
    </w:p>
    <w:p w14:paraId="6A164EAC" w14:textId="77777777" w:rsidR="001F3979" w:rsidRDefault="00000000">
      <w:pPr>
        <w:pStyle w:val="Heading1"/>
      </w:pPr>
      <w:bookmarkStart w:id="1" w:name="_Toc237353502"/>
      <w:r>
        <w:lastRenderedPageBreak/>
        <w:t>Section 1: International Marketing Report</w:t>
      </w:r>
      <w:bookmarkEnd w:id="1"/>
    </w:p>
    <w:p w14:paraId="74D5083A" w14:textId="77777777" w:rsidR="001F3979" w:rsidRDefault="00000000">
      <w:pPr>
        <w:pStyle w:val="Heading2"/>
      </w:pPr>
      <w:bookmarkStart w:id="2" w:name="_Toc237353503"/>
      <w:r>
        <w:t>1. Introduction</w:t>
      </w:r>
      <w:bookmarkEnd w:id="2"/>
    </w:p>
    <w:p w14:paraId="3C144601" w14:textId="30BFA394" w:rsidR="00210B8A" w:rsidRDefault="00210B8A" w:rsidP="00210B8A">
      <w:r>
        <w:t xml:space="preserve">International marketing is not just domestic marketing, carried across borders in a sort of simple way. It basically makes a firm choose, w here do we keep things the same, and where do we quietly shift—like which brand assets should stay globally consistent, and which elements need adaptation to institutions, purchasing power, retail infrastructure and consumer meanings (Hollensen, 2020; </w:t>
      </w:r>
      <w:proofErr w:type="spellStart"/>
      <w:r>
        <w:t>Kotabe</w:t>
      </w:r>
      <w:proofErr w:type="spellEnd"/>
      <w:r>
        <w:t xml:space="preserve"> and Helsen, 2022). A systematic review doesn’t really give some clean, universal “</w:t>
      </w:r>
      <w:proofErr w:type="spellStart"/>
      <w:r>
        <w:t>standardisation</w:t>
      </w:r>
      <w:proofErr w:type="spellEnd"/>
      <w:r>
        <w:t xml:space="preserve"> beats adaptation” answer either; performance seems to depend on how well strategy, market conditions and </w:t>
      </w:r>
      <w:proofErr w:type="spellStart"/>
      <w:r>
        <w:t>organisational</w:t>
      </w:r>
      <w:proofErr w:type="spellEnd"/>
      <w:r>
        <w:t xml:space="preserve"> capability actually match up (Mandler et al., 2021). And the more recent product adaptation studies also keep warning that the costs to implement, and the performance outcomes, are often not described with enough clarity (</w:t>
      </w:r>
      <w:proofErr w:type="spellStart"/>
      <w:r>
        <w:t>Tsougkou</w:t>
      </w:r>
      <w:proofErr w:type="spellEnd"/>
      <w:r>
        <w:t xml:space="preserve"> et al., 2025). </w:t>
      </w:r>
    </w:p>
    <w:p w14:paraId="3A1EB5CC" w14:textId="1C241ED5" w:rsidR="00210B8A" w:rsidRDefault="00210B8A" w:rsidP="00210B8A">
      <w:proofErr w:type="gramStart"/>
      <w:r>
        <w:t>So</w:t>
      </w:r>
      <w:proofErr w:type="gramEnd"/>
      <w:r>
        <w:t xml:space="preserve"> this report does a critical comparison of Adidas in </w:t>
      </w:r>
      <w:proofErr w:type="gramStart"/>
      <w:r>
        <w:t>Germany ,which</w:t>
      </w:r>
      <w:proofErr w:type="gramEnd"/>
      <w:r>
        <w:t xml:space="preserve"> is its home market, and India, which is an emerging market that is strategically important. The product scope includes performance footwear and apparel, lifestyle / Originals items, and also sports merchandise that fits each country—especially football in </w:t>
      </w:r>
      <w:proofErr w:type="gramStart"/>
      <w:r>
        <w:t>Germany ,</w:t>
      </w:r>
      <w:proofErr w:type="gramEnd"/>
      <w:r>
        <w:t xml:space="preserve"> and cricket in India. </w:t>
      </w:r>
    </w:p>
    <w:p w14:paraId="42B90D6B" w14:textId="18A6C304" w:rsidR="00210B8A" w:rsidRDefault="00210B8A" w:rsidP="00210B8A">
      <w:r>
        <w:t>This comparison matters commercially, because Adidas is both a global cultural brand, and at the same time a retailer that’s locally embedded. In 2025 Adidas generated net sales of €24.811 billion; footwear accounted for 57% of sales, apparel 35</w:t>
      </w:r>
      <w:proofErr w:type="gramStart"/>
      <w:r>
        <w:t>% ,</w:t>
      </w:r>
      <w:proofErr w:type="gramEnd"/>
      <w:r>
        <w:t xml:space="preserve"> and accessories 7% (Adidas, 2026a; Adidas, 2026b). Europe still remained its biggest region with 33% of sales, while Emerging Markets, including India, made up 14%. Still, the emerging-market segment managed 17% currency-neutral Adidas-brand growth in 2025 (Adidas, 2026c). Germany gives scale, heritage and strong familiarity with the brand, whereas India offers quicker structural growth but also more income dispersion and tougher pressure to be locally relevant. </w:t>
      </w:r>
    </w:p>
    <w:p w14:paraId="7D71A38D" w14:textId="720DF2AF" w:rsidR="001F3979" w:rsidRDefault="00210B8A" w:rsidP="00210B8A">
      <w:r>
        <w:t xml:space="preserve">The report first looks at the two macro-environments using PESTEL, and the cultural settings via Hofstede’s six dimensions. After that it moves into STP, meaning segmentation, targeting and positioning, and then it reviews the seven international marketing mix elements. Next, it checks Adidas’s entry and development approach in </w:t>
      </w:r>
      <w:r>
        <w:lastRenderedPageBreak/>
        <w:t>India, then it discusses one ethical issue in Germany, and finally it lays out integrated recommendations. The core claim is that Adidas should follow disciplined “</w:t>
      </w:r>
      <w:proofErr w:type="spellStart"/>
      <w:r>
        <w:t>glocalisation</w:t>
      </w:r>
      <w:proofErr w:type="spellEnd"/>
      <w:r>
        <w:t xml:space="preserve">”: defend globally distinctive performance, design, and brand codes, while </w:t>
      </w:r>
      <w:proofErr w:type="spellStart"/>
      <w:r>
        <w:t>localising</w:t>
      </w:r>
      <w:proofErr w:type="spellEnd"/>
      <w:r>
        <w:t xml:space="preserve"> category emphasis, price architecture, cultural partnerships, demand creation, sourcing, and last-mile execution. If everything is </w:t>
      </w:r>
      <w:proofErr w:type="spellStart"/>
      <w:r>
        <w:t>standardised</w:t>
      </w:r>
      <w:proofErr w:type="spellEnd"/>
      <w:r>
        <w:t xml:space="preserve"> completely, material differences between markets get ignored, but if adaptation goes too far, the brand equity gets fragmented, and the firm loses operating economies.</w:t>
      </w:r>
    </w:p>
    <w:p w14:paraId="0B9C488B" w14:textId="77777777" w:rsidR="001F3979" w:rsidRDefault="00000000">
      <w:pPr>
        <w:pStyle w:val="Heading3"/>
      </w:pPr>
      <w:bookmarkStart w:id="3" w:name="_Toc237353504"/>
      <w:r>
        <w:t>1.1 Research approach and evidence limitations</w:t>
      </w:r>
      <w:bookmarkEnd w:id="3"/>
    </w:p>
    <w:p w14:paraId="0597BAC4" w14:textId="6D7798D1" w:rsidR="001F3979" w:rsidRDefault="00210B8A">
      <w:r w:rsidRPr="00210B8A">
        <w:t>The report uses critical secondary research, more or less triangulating peer reviewed studies, Adidas disclosures, multilateral economic evidence, official retail information, and independent news. Corporate data support reported performance and the stated strategy but they are not treated as neutral evaluation, more like a signal with limits. Adidas does not disclose complete India only sales, profitability, or channel data either, and India is instead reported inside Emerging Markets. Because of that, the country level recommendations are reasonable judgements made under incomplete information not forecasts. Also, commercial estimates for India’s sportswear market are left out, where the definitions and methods can’t really be reconciled, or matched cleanly. This whole approach is preferable to false precision</w:t>
      </w:r>
      <w:r>
        <w:t>.</w:t>
      </w:r>
    </w:p>
    <w:p w14:paraId="28E4A282" w14:textId="77777777" w:rsidR="001F3979" w:rsidRDefault="00000000">
      <w:pPr>
        <w:pStyle w:val="Heading2"/>
      </w:pPr>
      <w:bookmarkStart w:id="4" w:name="_Toc237353505"/>
      <w:r>
        <w:t>2. Brand and Product Context</w:t>
      </w:r>
      <w:bookmarkEnd w:id="4"/>
    </w:p>
    <w:p w14:paraId="352D5327" w14:textId="582175ED" w:rsidR="00210B8A" w:rsidRDefault="00210B8A" w:rsidP="00210B8A">
      <w:r>
        <w:t xml:space="preserve">Adidas brings together technical credibility, a rather deep design </w:t>
      </w:r>
      <w:proofErr w:type="gramStart"/>
      <w:r>
        <w:t>archive ,sport</w:t>
      </w:r>
      <w:proofErr w:type="gramEnd"/>
      <w:r>
        <w:t xml:space="preserve"> partnerships and lifestyle relevance in one sort of coherent story. Performance categories such as running and football sit alongside </w:t>
      </w:r>
      <w:proofErr w:type="gramStart"/>
      <w:r>
        <w:t>Originals</w:t>
      </w:r>
      <w:proofErr w:type="gramEnd"/>
      <w:r>
        <w:t xml:space="preserve"> franchises including Samba and Gazelle. </w:t>
      </w:r>
      <w:proofErr w:type="gramStart"/>
      <w:r>
        <w:t>So</w:t>
      </w:r>
      <w:proofErr w:type="gramEnd"/>
      <w:r>
        <w:t xml:space="preserve"> products end up delivering functional plus symbolic value: a shoe can be evaluated through cushioning and fit, but also while signaling identity. Functional benefits can move around relatively easily, while symbolic meanings stay culturally mediated (de </w:t>
      </w:r>
      <w:proofErr w:type="spellStart"/>
      <w:r>
        <w:t>Mooij</w:t>
      </w:r>
      <w:proofErr w:type="spellEnd"/>
      <w:r>
        <w:t xml:space="preserve">, 2019).  </w:t>
      </w:r>
    </w:p>
    <w:p w14:paraId="04C650AA" w14:textId="26DBC501" w:rsidR="001F3979" w:rsidRDefault="00210B8A" w:rsidP="00210B8A">
      <w:r>
        <w:t xml:space="preserve">Global product creation is paired with local design, sourcing, and marketing resources (Adidas, 2025a). </w:t>
      </w:r>
      <w:proofErr w:type="gramStart"/>
      <w:r>
        <w:t>Still ,</w:t>
      </w:r>
      <w:proofErr w:type="gramEnd"/>
      <w:r>
        <w:t xml:space="preserve"> 92% of 2025 production volume was manufactured in Asia, and this makes availability and price more exposed to exchange rates, trade rules and logistics (Adidas, 2026d). In India, local-for-local sourcing can shrink import </w:t>
      </w:r>
      <w:r>
        <w:lastRenderedPageBreak/>
        <w:t xml:space="preserve">dependence and cut down lead times; </w:t>
      </w:r>
      <w:proofErr w:type="gramStart"/>
      <w:r>
        <w:t>Germany ,</w:t>
      </w:r>
      <w:proofErr w:type="gramEnd"/>
      <w:r>
        <w:t xml:space="preserve"> on the other hand, benefits from mature European distribution and headquarters proximity.</w:t>
      </w:r>
    </w:p>
    <w:p w14:paraId="47114D1E" w14:textId="77777777" w:rsidR="001F3979" w:rsidRDefault="00000000">
      <w:pPr>
        <w:pStyle w:val="Heading2"/>
      </w:pPr>
      <w:bookmarkStart w:id="5" w:name="_Toc237353506"/>
      <w:r>
        <w:t>3. Comparative Market Analysis</w:t>
      </w:r>
      <w:bookmarkEnd w:id="5"/>
    </w:p>
    <w:p w14:paraId="7DC85D0C" w14:textId="77777777" w:rsidR="001F3979" w:rsidRDefault="00000000">
      <w:pPr>
        <w:pStyle w:val="Heading3"/>
      </w:pPr>
      <w:bookmarkStart w:id="6" w:name="_Toc237353507"/>
      <w:r>
        <w:t>3.1 PESTEL comparison</w:t>
      </w:r>
      <w:bookmarkEnd w:id="6"/>
    </w:p>
    <w:p w14:paraId="0AA69DCF" w14:textId="77777777" w:rsidR="001F3979" w:rsidRDefault="00000000">
      <w:pPr>
        <w:keepNext/>
      </w:pPr>
      <w:r>
        <w:rPr>
          <w:b/>
        </w:rPr>
        <w:t>Table 1. Comparative PESTEL analysis: Germany and India</w:t>
      </w:r>
    </w:p>
    <w:tbl>
      <w:tblPr>
        <w:tblStyle w:val="TableGrid"/>
        <w:tblW w:w="0" w:type="auto"/>
        <w:jc w:val="center"/>
        <w:tblLayout w:type="fixed"/>
        <w:tblLook w:val="04A0" w:firstRow="1" w:lastRow="0" w:firstColumn="1" w:lastColumn="0" w:noHBand="0" w:noVBand="1"/>
      </w:tblPr>
      <w:tblGrid>
        <w:gridCol w:w="1531"/>
        <w:gridCol w:w="2324"/>
        <w:gridCol w:w="2324"/>
        <w:gridCol w:w="2846"/>
      </w:tblGrid>
      <w:tr w:rsidR="001F3979" w14:paraId="69DEA243" w14:textId="77777777">
        <w:trPr>
          <w:tblHeader/>
          <w:jc w:val="center"/>
        </w:trPr>
        <w:tc>
          <w:tcPr>
            <w:tcW w:w="1531" w:type="dxa"/>
            <w:shd w:val="clear" w:color="auto" w:fill="D9E7F3"/>
            <w:vAlign w:val="center"/>
          </w:tcPr>
          <w:p w14:paraId="3500B8D6" w14:textId="77777777" w:rsidR="001F3979" w:rsidRDefault="00000000">
            <w:pPr>
              <w:spacing w:after="40" w:line="252" w:lineRule="auto"/>
              <w:jc w:val="left"/>
            </w:pPr>
            <w:r>
              <w:rPr>
                <w:b/>
                <w:sz w:val="17"/>
              </w:rPr>
              <w:t>Factor</w:t>
            </w:r>
          </w:p>
        </w:tc>
        <w:tc>
          <w:tcPr>
            <w:tcW w:w="2324" w:type="dxa"/>
            <w:shd w:val="clear" w:color="auto" w:fill="D9E7F3"/>
            <w:vAlign w:val="center"/>
          </w:tcPr>
          <w:p w14:paraId="77BFAAC7" w14:textId="77777777" w:rsidR="001F3979" w:rsidRDefault="00000000">
            <w:pPr>
              <w:spacing w:after="40" w:line="252" w:lineRule="auto"/>
              <w:jc w:val="left"/>
            </w:pPr>
            <w:r>
              <w:rPr>
                <w:b/>
                <w:sz w:val="17"/>
              </w:rPr>
              <w:t>Germany</w:t>
            </w:r>
          </w:p>
        </w:tc>
        <w:tc>
          <w:tcPr>
            <w:tcW w:w="2324" w:type="dxa"/>
            <w:shd w:val="clear" w:color="auto" w:fill="D9E7F3"/>
            <w:vAlign w:val="center"/>
          </w:tcPr>
          <w:p w14:paraId="0F07879C" w14:textId="77777777" w:rsidR="001F3979" w:rsidRDefault="00000000">
            <w:pPr>
              <w:spacing w:after="40" w:line="252" w:lineRule="auto"/>
              <w:jc w:val="left"/>
            </w:pPr>
            <w:r>
              <w:rPr>
                <w:b/>
                <w:sz w:val="17"/>
              </w:rPr>
              <w:t>India</w:t>
            </w:r>
          </w:p>
        </w:tc>
        <w:tc>
          <w:tcPr>
            <w:tcW w:w="2846" w:type="dxa"/>
            <w:shd w:val="clear" w:color="auto" w:fill="D9E7F3"/>
            <w:vAlign w:val="center"/>
          </w:tcPr>
          <w:p w14:paraId="2EEA3421" w14:textId="77777777" w:rsidR="001F3979" w:rsidRDefault="00000000">
            <w:pPr>
              <w:spacing w:after="40" w:line="252" w:lineRule="auto"/>
              <w:jc w:val="left"/>
            </w:pPr>
            <w:r>
              <w:rPr>
                <w:b/>
                <w:sz w:val="17"/>
              </w:rPr>
              <w:t>Strategic implication for Adidas</w:t>
            </w:r>
          </w:p>
        </w:tc>
      </w:tr>
      <w:tr w:rsidR="001F3979" w14:paraId="0F6F1E35" w14:textId="77777777">
        <w:trPr>
          <w:jc w:val="center"/>
        </w:trPr>
        <w:tc>
          <w:tcPr>
            <w:tcW w:w="1531" w:type="dxa"/>
            <w:vAlign w:val="center"/>
          </w:tcPr>
          <w:p w14:paraId="1D03E119" w14:textId="77777777" w:rsidR="001F3979" w:rsidRDefault="00000000">
            <w:pPr>
              <w:spacing w:after="40" w:line="252" w:lineRule="auto"/>
              <w:jc w:val="left"/>
            </w:pPr>
            <w:r>
              <w:rPr>
                <w:sz w:val="17"/>
              </w:rPr>
              <w:t>Political</w:t>
            </w:r>
          </w:p>
        </w:tc>
        <w:tc>
          <w:tcPr>
            <w:tcW w:w="2324" w:type="dxa"/>
            <w:vAlign w:val="center"/>
          </w:tcPr>
          <w:p w14:paraId="38DF401E" w14:textId="77777777" w:rsidR="001F3979" w:rsidRDefault="00000000">
            <w:pPr>
              <w:spacing w:after="40" w:line="252" w:lineRule="auto"/>
              <w:jc w:val="left"/>
            </w:pPr>
            <w:r>
              <w:rPr>
                <w:sz w:val="17"/>
              </w:rPr>
              <w:t>Stable federal democracy, predictable EU institutions and mature consumer governance; geopolitical and energy-security pressures remain.</w:t>
            </w:r>
          </w:p>
        </w:tc>
        <w:tc>
          <w:tcPr>
            <w:tcW w:w="2324" w:type="dxa"/>
            <w:vAlign w:val="center"/>
          </w:tcPr>
          <w:p w14:paraId="67AB960A" w14:textId="77777777" w:rsidR="001F3979" w:rsidRDefault="00000000">
            <w:pPr>
              <w:spacing w:after="40" w:line="252" w:lineRule="auto"/>
              <w:jc w:val="left"/>
            </w:pPr>
            <w:r>
              <w:rPr>
                <w:sz w:val="17"/>
              </w:rPr>
              <w:t>Stable national government but more variation in state-level implementation, infrastructure and retail administration; industrial policy favours domestic production.</w:t>
            </w:r>
          </w:p>
        </w:tc>
        <w:tc>
          <w:tcPr>
            <w:tcW w:w="2846" w:type="dxa"/>
            <w:vAlign w:val="center"/>
          </w:tcPr>
          <w:p w14:paraId="3CA7E0FD" w14:textId="77777777" w:rsidR="001F3979" w:rsidRDefault="00000000">
            <w:pPr>
              <w:spacing w:after="40" w:line="252" w:lineRule="auto"/>
              <w:jc w:val="left"/>
            </w:pPr>
            <w:r>
              <w:rPr>
                <w:sz w:val="17"/>
              </w:rPr>
              <w:t>Germany supports consistent planning. India requires national coordination plus state and city prioritisation and greater regulatory monitoring.</w:t>
            </w:r>
          </w:p>
        </w:tc>
      </w:tr>
      <w:tr w:rsidR="001F3979" w14:paraId="6471B6C0" w14:textId="77777777">
        <w:trPr>
          <w:jc w:val="center"/>
        </w:trPr>
        <w:tc>
          <w:tcPr>
            <w:tcW w:w="1531" w:type="dxa"/>
            <w:vAlign w:val="center"/>
          </w:tcPr>
          <w:p w14:paraId="34E697FE" w14:textId="77777777" w:rsidR="001F3979" w:rsidRDefault="00000000">
            <w:pPr>
              <w:spacing w:after="40" w:line="252" w:lineRule="auto"/>
              <w:jc w:val="left"/>
            </w:pPr>
            <w:r>
              <w:rPr>
                <w:sz w:val="17"/>
              </w:rPr>
              <w:t>Economic</w:t>
            </w:r>
          </w:p>
        </w:tc>
        <w:tc>
          <w:tcPr>
            <w:tcW w:w="2324" w:type="dxa"/>
            <w:vAlign w:val="center"/>
          </w:tcPr>
          <w:p w14:paraId="0D61C2B8" w14:textId="77777777" w:rsidR="001F3979" w:rsidRDefault="00000000">
            <w:pPr>
              <w:spacing w:after="40" w:line="252" w:lineRule="auto"/>
              <w:jc w:val="left"/>
            </w:pPr>
            <w:r>
              <w:rPr>
                <w:sz w:val="17"/>
              </w:rPr>
              <w:t>High purchasing power but weak recent growth; the European Commission reported only 0.2% growth in 2025 and forecast 0.6% in 2026.</w:t>
            </w:r>
          </w:p>
        </w:tc>
        <w:tc>
          <w:tcPr>
            <w:tcW w:w="2324" w:type="dxa"/>
            <w:vAlign w:val="center"/>
          </w:tcPr>
          <w:p w14:paraId="7A77BF58" w14:textId="77777777" w:rsidR="001F3979" w:rsidRDefault="00000000">
            <w:pPr>
              <w:spacing w:after="40" w:line="252" w:lineRule="auto"/>
              <w:jc w:val="left"/>
            </w:pPr>
            <w:r>
              <w:rPr>
                <w:sz w:val="17"/>
              </w:rPr>
              <w:t>Faster growth, expanding urban middle class and young consumer base, but much lower average income and high price sensitivity.</w:t>
            </w:r>
          </w:p>
        </w:tc>
        <w:tc>
          <w:tcPr>
            <w:tcW w:w="2846" w:type="dxa"/>
            <w:vAlign w:val="center"/>
          </w:tcPr>
          <w:p w14:paraId="5EF47D24" w14:textId="77777777" w:rsidR="001F3979" w:rsidRDefault="00000000">
            <w:pPr>
              <w:spacing w:after="40" w:line="252" w:lineRule="auto"/>
              <w:jc w:val="left"/>
            </w:pPr>
            <w:r>
              <w:rPr>
                <w:sz w:val="17"/>
              </w:rPr>
              <w:t>Premium performance and Originals can be broader in Germany. India needs a price ladder, smaller entry points, local sourcing and value communication.</w:t>
            </w:r>
          </w:p>
        </w:tc>
      </w:tr>
      <w:tr w:rsidR="001F3979" w14:paraId="0BFD26EF" w14:textId="77777777">
        <w:trPr>
          <w:jc w:val="center"/>
        </w:trPr>
        <w:tc>
          <w:tcPr>
            <w:tcW w:w="1531" w:type="dxa"/>
            <w:vAlign w:val="center"/>
          </w:tcPr>
          <w:p w14:paraId="797CDA6F" w14:textId="77777777" w:rsidR="001F3979" w:rsidRDefault="00000000">
            <w:pPr>
              <w:spacing w:after="40" w:line="252" w:lineRule="auto"/>
              <w:jc w:val="left"/>
            </w:pPr>
            <w:r>
              <w:rPr>
                <w:sz w:val="17"/>
              </w:rPr>
              <w:t>Social</w:t>
            </w:r>
          </w:p>
        </w:tc>
        <w:tc>
          <w:tcPr>
            <w:tcW w:w="2324" w:type="dxa"/>
            <w:vAlign w:val="center"/>
          </w:tcPr>
          <w:p w14:paraId="45D4C9BD" w14:textId="77777777" w:rsidR="001F3979" w:rsidRDefault="00000000">
            <w:pPr>
              <w:spacing w:after="40" w:line="252" w:lineRule="auto"/>
              <w:jc w:val="left"/>
            </w:pPr>
            <w:r>
              <w:rPr>
                <w:sz w:val="17"/>
              </w:rPr>
              <w:t>Mature sports participation, football heritage, ageing population, strong sustainability awareness and high brand familiarity.</w:t>
            </w:r>
          </w:p>
        </w:tc>
        <w:tc>
          <w:tcPr>
            <w:tcW w:w="2324" w:type="dxa"/>
            <w:vAlign w:val="center"/>
          </w:tcPr>
          <w:p w14:paraId="0F4C236A" w14:textId="77777777" w:rsidR="001F3979" w:rsidRDefault="00000000">
            <w:pPr>
              <w:spacing w:after="40" w:line="252" w:lineRule="auto"/>
              <w:jc w:val="left"/>
            </w:pPr>
            <w:r>
              <w:rPr>
                <w:sz w:val="17"/>
              </w:rPr>
              <w:t>Youthful, diverse and mobile-first population; cricket has exceptional cultural reach, while running, gym, football and athleisure are growing unevenly across cities and genders.</w:t>
            </w:r>
          </w:p>
        </w:tc>
        <w:tc>
          <w:tcPr>
            <w:tcW w:w="2846" w:type="dxa"/>
            <w:vAlign w:val="center"/>
          </w:tcPr>
          <w:p w14:paraId="76F7657B" w14:textId="77777777" w:rsidR="001F3979" w:rsidRDefault="00000000">
            <w:pPr>
              <w:spacing w:after="40" w:line="252" w:lineRule="auto"/>
              <w:jc w:val="left"/>
            </w:pPr>
            <w:r>
              <w:rPr>
                <w:sz w:val="17"/>
              </w:rPr>
              <w:t>Germany requires innovation and renewal in a saturated category. India requires locally meaningful sport, female inclusion and regional relevance.</w:t>
            </w:r>
          </w:p>
        </w:tc>
      </w:tr>
      <w:tr w:rsidR="001F3979" w14:paraId="459496BB" w14:textId="77777777">
        <w:trPr>
          <w:jc w:val="center"/>
        </w:trPr>
        <w:tc>
          <w:tcPr>
            <w:tcW w:w="1531" w:type="dxa"/>
            <w:vAlign w:val="center"/>
          </w:tcPr>
          <w:p w14:paraId="09CB4D0F" w14:textId="77777777" w:rsidR="001F3979" w:rsidRDefault="00000000">
            <w:pPr>
              <w:spacing w:after="40" w:line="252" w:lineRule="auto"/>
              <w:jc w:val="left"/>
            </w:pPr>
            <w:r>
              <w:rPr>
                <w:sz w:val="17"/>
              </w:rPr>
              <w:t>Technological</w:t>
            </w:r>
          </w:p>
        </w:tc>
        <w:tc>
          <w:tcPr>
            <w:tcW w:w="2324" w:type="dxa"/>
            <w:vAlign w:val="center"/>
          </w:tcPr>
          <w:p w14:paraId="5757EEB2" w14:textId="77777777" w:rsidR="001F3979" w:rsidRDefault="00000000">
            <w:pPr>
              <w:spacing w:after="40" w:line="252" w:lineRule="auto"/>
              <w:jc w:val="left"/>
            </w:pPr>
            <w:r>
              <w:rPr>
                <w:sz w:val="17"/>
              </w:rPr>
              <w:t>Advanced logistics, high digital adoption, established omnichannel expectations and strict data governance.</w:t>
            </w:r>
          </w:p>
        </w:tc>
        <w:tc>
          <w:tcPr>
            <w:tcW w:w="2324" w:type="dxa"/>
            <w:vAlign w:val="center"/>
          </w:tcPr>
          <w:p w14:paraId="636D0FFC" w14:textId="77777777" w:rsidR="001F3979" w:rsidRDefault="00000000">
            <w:pPr>
              <w:spacing w:after="40" w:line="252" w:lineRule="auto"/>
              <w:jc w:val="left"/>
            </w:pPr>
            <w:r>
              <w:rPr>
                <w:sz w:val="17"/>
              </w:rPr>
              <w:t>Rapid e-commerce, digital payments and social-commerce adoption, but service quality and connectivity vary by geography.</w:t>
            </w:r>
          </w:p>
        </w:tc>
        <w:tc>
          <w:tcPr>
            <w:tcW w:w="2846" w:type="dxa"/>
            <w:vAlign w:val="center"/>
          </w:tcPr>
          <w:p w14:paraId="6A0B10E8" w14:textId="77777777" w:rsidR="001F3979" w:rsidRDefault="00000000">
            <w:pPr>
              <w:spacing w:after="40" w:line="252" w:lineRule="auto"/>
              <w:jc w:val="left"/>
            </w:pPr>
            <w:r>
              <w:rPr>
                <w:sz w:val="17"/>
              </w:rPr>
              <w:t>Adidas should integrate stores, app and membership in both markets; India also needs marketplace governance, mobile-first design and robust last-mile partners.</w:t>
            </w:r>
          </w:p>
        </w:tc>
      </w:tr>
      <w:tr w:rsidR="001F3979" w14:paraId="377EBCE3" w14:textId="77777777">
        <w:trPr>
          <w:jc w:val="center"/>
        </w:trPr>
        <w:tc>
          <w:tcPr>
            <w:tcW w:w="1531" w:type="dxa"/>
            <w:vAlign w:val="center"/>
          </w:tcPr>
          <w:p w14:paraId="706766D6" w14:textId="77777777" w:rsidR="001F3979" w:rsidRDefault="00000000">
            <w:pPr>
              <w:spacing w:after="40" w:line="252" w:lineRule="auto"/>
              <w:jc w:val="left"/>
            </w:pPr>
            <w:r>
              <w:rPr>
                <w:sz w:val="17"/>
              </w:rPr>
              <w:t>Environmental</w:t>
            </w:r>
          </w:p>
        </w:tc>
        <w:tc>
          <w:tcPr>
            <w:tcW w:w="2324" w:type="dxa"/>
            <w:vAlign w:val="center"/>
          </w:tcPr>
          <w:p w14:paraId="49E116F4" w14:textId="77777777" w:rsidR="001F3979" w:rsidRDefault="00000000">
            <w:pPr>
              <w:spacing w:after="40" w:line="252" w:lineRule="auto"/>
              <w:jc w:val="left"/>
            </w:pPr>
            <w:r>
              <w:rPr>
                <w:sz w:val="17"/>
              </w:rPr>
              <w:t>EU climate and circularity rules increase disclosure and product-design obligations; consumers scrutinise environmental claims.</w:t>
            </w:r>
          </w:p>
        </w:tc>
        <w:tc>
          <w:tcPr>
            <w:tcW w:w="2324" w:type="dxa"/>
            <w:vAlign w:val="center"/>
          </w:tcPr>
          <w:p w14:paraId="5B3A682E" w14:textId="77777777" w:rsidR="001F3979" w:rsidRDefault="00000000">
            <w:pPr>
              <w:spacing w:after="40" w:line="252" w:lineRule="auto"/>
              <w:jc w:val="left"/>
            </w:pPr>
            <w:r>
              <w:rPr>
                <w:sz w:val="17"/>
              </w:rPr>
              <w:t>Heat, monsoon conditions, pollution and water stress influence materials and use occasions; waste infrastructure is uneven.</w:t>
            </w:r>
          </w:p>
        </w:tc>
        <w:tc>
          <w:tcPr>
            <w:tcW w:w="2846" w:type="dxa"/>
            <w:vAlign w:val="center"/>
          </w:tcPr>
          <w:p w14:paraId="6ABB88DF" w14:textId="77777777" w:rsidR="001F3979" w:rsidRDefault="00000000">
            <w:pPr>
              <w:spacing w:after="40" w:line="252" w:lineRule="auto"/>
              <w:jc w:val="left"/>
            </w:pPr>
            <w:r>
              <w:rPr>
                <w:sz w:val="17"/>
              </w:rPr>
              <w:t>Products must be climate-appropriate and environmental claims verifiable. India offers relevance for breathable, washable and durable products, not merely imported sustainability narratives.</w:t>
            </w:r>
          </w:p>
        </w:tc>
      </w:tr>
      <w:tr w:rsidR="001F3979" w14:paraId="203A00CE" w14:textId="77777777">
        <w:trPr>
          <w:jc w:val="center"/>
        </w:trPr>
        <w:tc>
          <w:tcPr>
            <w:tcW w:w="1531" w:type="dxa"/>
            <w:vAlign w:val="center"/>
          </w:tcPr>
          <w:p w14:paraId="14211D32" w14:textId="77777777" w:rsidR="001F3979" w:rsidRDefault="00000000">
            <w:pPr>
              <w:spacing w:after="40" w:line="252" w:lineRule="auto"/>
              <w:jc w:val="left"/>
            </w:pPr>
            <w:r>
              <w:rPr>
                <w:sz w:val="17"/>
              </w:rPr>
              <w:t>Legal</w:t>
            </w:r>
          </w:p>
        </w:tc>
        <w:tc>
          <w:tcPr>
            <w:tcW w:w="2324" w:type="dxa"/>
            <w:vAlign w:val="center"/>
          </w:tcPr>
          <w:p w14:paraId="5569BAA4" w14:textId="77777777" w:rsidR="001F3979" w:rsidRDefault="00000000">
            <w:pPr>
              <w:spacing w:after="40" w:line="252" w:lineRule="auto"/>
              <w:jc w:val="left"/>
            </w:pPr>
            <w:r>
              <w:rPr>
                <w:sz w:val="17"/>
              </w:rPr>
              <w:t>EU consumer, competition, labour, privacy and sustainability regimes are extensive; Nazi symbols are prohibited and historically sensitive.</w:t>
            </w:r>
          </w:p>
        </w:tc>
        <w:tc>
          <w:tcPr>
            <w:tcW w:w="2324" w:type="dxa"/>
            <w:vAlign w:val="center"/>
          </w:tcPr>
          <w:p w14:paraId="5429F740" w14:textId="77777777" w:rsidR="001F3979" w:rsidRDefault="00000000">
            <w:pPr>
              <w:spacing w:after="40" w:line="252" w:lineRule="auto"/>
              <w:jc w:val="left"/>
            </w:pPr>
            <w:r>
              <w:rPr>
                <w:sz w:val="17"/>
              </w:rPr>
              <w:t>Product standards, labelling, tax, data, advertising and foreign-investment rules require specialist compliance; footwear import controls encourage local production.</w:t>
            </w:r>
          </w:p>
        </w:tc>
        <w:tc>
          <w:tcPr>
            <w:tcW w:w="2846" w:type="dxa"/>
            <w:vAlign w:val="center"/>
          </w:tcPr>
          <w:p w14:paraId="68FF2BA3" w14:textId="77777777" w:rsidR="001F3979" w:rsidRDefault="00000000">
            <w:pPr>
              <w:spacing w:after="40" w:line="252" w:lineRule="auto"/>
              <w:jc w:val="left"/>
            </w:pPr>
            <w:r>
              <w:rPr>
                <w:sz w:val="17"/>
              </w:rPr>
              <w:t>Governance must be embedded before launch. Germany requires historical-symbol screening; India requires product certification, tax and localisation compliance.</w:t>
            </w:r>
          </w:p>
        </w:tc>
      </w:tr>
    </w:tbl>
    <w:p w14:paraId="6C3DAA96" w14:textId="77777777" w:rsidR="001F3979" w:rsidRDefault="001F3979"/>
    <w:p w14:paraId="14C62ED6" w14:textId="77777777" w:rsidR="001F3979" w:rsidRDefault="00000000">
      <w:pPr>
        <w:jc w:val="left"/>
      </w:pPr>
      <w:r>
        <w:rPr>
          <w:i/>
        </w:rPr>
        <w:t>Source: Author’s analysis based on Adidas (2026a–d), European Commission (2026), IMF (2026a–c) and Reuters (2025).</w:t>
      </w:r>
    </w:p>
    <w:p w14:paraId="4CF745B1" w14:textId="48687BBB" w:rsidR="00210B8A" w:rsidRDefault="00210B8A" w:rsidP="00210B8A">
      <w:r>
        <w:lastRenderedPageBreak/>
        <w:t xml:space="preserve">Germany’s constraint is more or less low growth and already mature </w:t>
      </w:r>
      <w:proofErr w:type="gramStart"/>
      <w:r>
        <w:t>demand ,</w:t>
      </w:r>
      <w:proofErr w:type="gramEnd"/>
      <w:r>
        <w:t xml:space="preserve"> not purchasing power. Energy shocks plus uncertainty have kind of weighed on real incomes and margins (European Commission, 2026). Adidas has to win share away from global, specialist and fashion-led rivals, so </w:t>
      </w:r>
      <w:proofErr w:type="gramStart"/>
      <w:r>
        <w:t>innovation ,</w:t>
      </w:r>
      <w:proofErr w:type="gramEnd"/>
      <w:r>
        <w:t xml:space="preserve"> retention and believable storytelling matter more than indiscriminate store growth. As a home-market institution, its conduct also carries a national sporting and historical </w:t>
      </w:r>
      <w:proofErr w:type="gramStart"/>
      <w:r>
        <w:t>weight ,</w:t>
      </w:r>
      <w:proofErr w:type="gramEnd"/>
      <w:r>
        <w:t xml:space="preserve"> almost like it means something beyond sales</w:t>
      </w:r>
    </w:p>
    <w:p w14:paraId="123AD89A" w14:textId="453975C9" w:rsidR="001F3979" w:rsidRDefault="00210B8A" w:rsidP="00210B8A">
      <w:r>
        <w:t xml:space="preserve">India mixes quicker growth with affordability pressure and plenty of market differences, while Germany’s projected growth still sits under 1% (IMF, 2026a–c). But national growth doesn’t magically translate into one uniform demand pattern: income, retail </w:t>
      </w:r>
      <w:proofErr w:type="gramStart"/>
      <w:r>
        <w:t>access ,and</w:t>
      </w:r>
      <w:proofErr w:type="gramEnd"/>
      <w:r>
        <w:t xml:space="preserve"> sport involvement vary by </w:t>
      </w:r>
      <w:proofErr w:type="gramStart"/>
      <w:r>
        <w:t>city ,</w:t>
      </w:r>
      <w:proofErr w:type="gramEnd"/>
      <w:r>
        <w:t xml:space="preserve"> gender and region. If Adidas went premium only it would overestimate purchasing power, whereas mass positioning would dilute brand equity. </w:t>
      </w:r>
      <w:proofErr w:type="gramStart"/>
      <w:r>
        <w:t>So</w:t>
      </w:r>
      <w:proofErr w:type="gramEnd"/>
      <w:r>
        <w:t xml:space="preserve"> a selective urban and digital approach, paired with a credible price ladder, is more defensible.</w:t>
      </w:r>
    </w:p>
    <w:p w14:paraId="76945958" w14:textId="77777777" w:rsidR="001F3979" w:rsidRDefault="00000000">
      <w:pPr>
        <w:keepNext/>
        <w:jc w:val="center"/>
      </w:pPr>
      <w:r>
        <w:rPr>
          <w:noProof/>
        </w:rPr>
        <w:drawing>
          <wp:inline distT="0" distB="0" distL="0" distR="0" wp14:anchorId="7D04A60A" wp14:editId="3662C585">
            <wp:extent cx="5328000" cy="2547877"/>
            <wp:effectExtent l="0" t="0" r="0" b="0"/>
            <wp:docPr id="1" name="Picture 1" descr="Figure 1. Projected real GDP growth in Germany and India, 2026" title="Figure 1. Projected real GDP growth in Germany and India, 2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dp_growth_2026.png"/>
                    <pic:cNvPicPr/>
                  </pic:nvPicPr>
                  <pic:blipFill>
                    <a:blip r:embed="rId10"/>
                    <a:stretch>
                      <a:fillRect/>
                    </a:stretch>
                  </pic:blipFill>
                  <pic:spPr>
                    <a:xfrm>
                      <a:off x="0" y="0"/>
                      <a:ext cx="5328000" cy="2547877"/>
                    </a:xfrm>
                    <a:prstGeom prst="rect">
                      <a:avLst/>
                    </a:prstGeom>
                  </pic:spPr>
                </pic:pic>
              </a:graphicData>
            </a:graphic>
          </wp:inline>
        </w:drawing>
      </w:r>
    </w:p>
    <w:p w14:paraId="34347729" w14:textId="77777777" w:rsidR="001F3979" w:rsidRDefault="00000000">
      <w:pPr>
        <w:keepNext/>
        <w:spacing w:before="60" w:after="80"/>
        <w:jc w:val="center"/>
      </w:pPr>
      <w:r>
        <w:rPr>
          <w:b/>
          <w:color w:val="214E79"/>
          <w:sz w:val="20"/>
        </w:rPr>
        <w:t>Figure 1. Projected real GDP growth in Germany and India, 2026</w:t>
      </w:r>
    </w:p>
    <w:p w14:paraId="5BCC32D7" w14:textId="77777777" w:rsidR="001F3979" w:rsidRDefault="00000000">
      <w:pPr>
        <w:jc w:val="left"/>
      </w:pPr>
      <w:r>
        <w:rPr>
          <w:i/>
        </w:rPr>
        <w:t>Source: Author’s chart based on IMF (2026a; 2026c). National growth indicates market momentum, not Adidas-specific demand.</w:t>
      </w:r>
    </w:p>
    <w:p w14:paraId="448CC9EC" w14:textId="360E54F9" w:rsidR="00210B8A" w:rsidRDefault="00210B8A" w:rsidP="00210B8A">
      <w:r>
        <w:t xml:space="preserve">Germany’s predictable framework kind of imposes intensive duties on privacy, consumer and sustainability and you can see how implementation gets heavy. India increasingly rewards </w:t>
      </w:r>
      <w:proofErr w:type="spellStart"/>
      <w:r>
        <w:t>localisation</w:t>
      </w:r>
      <w:proofErr w:type="spellEnd"/>
      <w:r>
        <w:t xml:space="preserve">, but the tricky part is that complexity, in terms of rollout, partner setup and compliance capability, becomes strategic. Competitors doing more local production, basically in response to certification and retail rules, </w:t>
      </w:r>
      <w:r>
        <w:lastRenderedPageBreak/>
        <w:t>shows the pressure clearly (Reuters, 2025). So local sourcing is not just cost reduction, it is really a market-access and responsiveness mechanism too, like more practical access.</w:t>
      </w:r>
    </w:p>
    <w:p w14:paraId="5C3B9688" w14:textId="3A42F719" w:rsidR="00210B8A" w:rsidRDefault="00210B8A" w:rsidP="00210B8A">
      <w:r>
        <w:t xml:space="preserve">Football gives legitimacy in Germany, but the crowded market is sensitive to </w:t>
      </w:r>
      <w:proofErr w:type="spellStart"/>
      <w:proofErr w:type="gramStart"/>
      <w:r>
        <w:t>commercialisation</w:t>
      </w:r>
      <w:proofErr w:type="spellEnd"/>
      <w:r>
        <w:t xml:space="preserve"> ,</w:t>
      </w:r>
      <w:proofErr w:type="gramEnd"/>
      <w:r>
        <w:t xml:space="preserve"> or at least that’s what it feels like. India’s cricket ecosystem meanwhile offers an unmatched local reach; national-team products tie performance together with fandom and gifting in one loop (Adidas India, 2026). Cricket should act as an entry </w:t>
      </w:r>
      <w:proofErr w:type="gramStart"/>
      <w:r>
        <w:t>platform ,</w:t>
      </w:r>
      <w:proofErr w:type="gramEnd"/>
      <w:r>
        <w:t xml:space="preserve"> not some rigid border. Running, training, women’s sport and athleisure can help reduce dependence on a tournament-cycle.</w:t>
      </w:r>
    </w:p>
    <w:p w14:paraId="64CC699E" w14:textId="750ACC0D" w:rsidR="001F3979" w:rsidRDefault="00210B8A" w:rsidP="00210B8A">
      <w:r>
        <w:t>Environmental adaptation also needs to go beyond generic claims. Concrete and authentic communication can shrink psychological distance, but it still cannot substitute operational evidence (Lee et al., 2024). In Germany, scrutiny tends to reward well defined lifecycle claims. In India, the relevant value may lean more on durability, heat management, and whether repair access is actually there. Credibility then needs substantiation, plus a use context design that fits real people and real settings.</w:t>
      </w:r>
    </w:p>
    <w:p w14:paraId="10FCAF3D" w14:textId="77777777" w:rsidR="001F3979" w:rsidRDefault="00000000">
      <w:pPr>
        <w:pStyle w:val="Heading3"/>
      </w:pPr>
      <w:bookmarkStart w:id="7" w:name="_Toc237353508"/>
      <w:r>
        <w:t>3.2 Hofstede comparison and limitations</w:t>
      </w:r>
      <w:bookmarkEnd w:id="7"/>
    </w:p>
    <w:p w14:paraId="48DB6CA9" w14:textId="77777777" w:rsidR="001F3979" w:rsidRDefault="00000000">
      <w:pPr>
        <w:keepNext/>
      </w:pPr>
      <w:r>
        <w:rPr>
          <w:b/>
        </w:rPr>
        <w:t>Table 2. Hofstede cultural comparison</w:t>
      </w:r>
    </w:p>
    <w:tbl>
      <w:tblPr>
        <w:tblStyle w:val="TableGrid"/>
        <w:tblW w:w="0" w:type="auto"/>
        <w:jc w:val="center"/>
        <w:tblLayout w:type="fixed"/>
        <w:tblLook w:val="04A0" w:firstRow="1" w:lastRow="0" w:firstColumn="1" w:lastColumn="0" w:noHBand="0" w:noVBand="1"/>
      </w:tblPr>
      <w:tblGrid>
        <w:gridCol w:w="1531"/>
        <w:gridCol w:w="2324"/>
        <w:gridCol w:w="2324"/>
        <w:gridCol w:w="2846"/>
      </w:tblGrid>
      <w:tr w:rsidR="001F3979" w14:paraId="73607061" w14:textId="77777777">
        <w:trPr>
          <w:tblHeader/>
          <w:jc w:val="center"/>
        </w:trPr>
        <w:tc>
          <w:tcPr>
            <w:tcW w:w="1531" w:type="dxa"/>
            <w:shd w:val="clear" w:color="auto" w:fill="D9E7F3"/>
            <w:vAlign w:val="center"/>
          </w:tcPr>
          <w:p w14:paraId="24E45D66" w14:textId="77777777" w:rsidR="001F3979" w:rsidRDefault="00000000">
            <w:pPr>
              <w:spacing w:after="40" w:line="252" w:lineRule="auto"/>
              <w:jc w:val="left"/>
            </w:pPr>
            <w:r>
              <w:rPr>
                <w:b/>
                <w:sz w:val="17"/>
              </w:rPr>
              <w:t>Dimension</w:t>
            </w:r>
          </w:p>
        </w:tc>
        <w:tc>
          <w:tcPr>
            <w:tcW w:w="2324" w:type="dxa"/>
            <w:shd w:val="clear" w:color="auto" w:fill="D9E7F3"/>
            <w:vAlign w:val="center"/>
          </w:tcPr>
          <w:p w14:paraId="67DFC8E6" w14:textId="77777777" w:rsidR="001F3979" w:rsidRDefault="00000000">
            <w:pPr>
              <w:spacing w:after="40" w:line="252" w:lineRule="auto"/>
              <w:jc w:val="left"/>
            </w:pPr>
            <w:r>
              <w:rPr>
                <w:b/>
                <w:sz w:val="17"/>
              </w:rPr>
              <w:t>Germany</w:t>
            </w:r>
          </w:p>
        </w:tc>
        <w:tc>
          <w:tcPr>
            <w:tcW w:w="2324" w:type="dxa"/>
            <w:shd w:val="clear" w:color="auto" w:fill="D9E7F3"/>
            <w:vAlign w:val="center"/>
          </w:tcPr>
          <w:p w14:paraId="0F2B1E43" w14:textId="77777777" w:rsidR="001F3979" w:rsidRDefault="00000000">
            <w:pPr>
              <w:spacing w:after="40" w:line="252" w:lineRule="auto"/>
              <w:jc w:val="left"/>
            </w:pPr>
            <w:r>
              <w:rPr>
                <w:b/>
                <w:sz w:val="17"/>
              </w:rPr>
              <w:t>India</w:t>
            </w:r>
          </w:p>
        </w:tc>
        <w:tc>
          <w:tcPr>
            <w:tcW w:w="2846" w:type="dxa"/>
            <w:shd w:val="clear" w:color="auto" w:fill="D9E7F3"/>
            <w:vAlign w:val="center"/>
          </w:tcPr>
          <w:p w14:paraId="0434A9BD" w14:textId="77777777" w:rsidR="001F3979" w:rsidRDefault="00000000">
            <w:pPr>
              <w:spacing w:after="40" w:line="252" w:lineRule="auto"/>
              <w:jc w:val="left"/>
            </w:pPr>
            <w:r>
              <w:rPr>
                <w:b/>
                <w:sz w:val="17"/>
              </w:rPr>
              <w:t>Marketing interpretation</w:t>
            </w:r>
          </w:p>
        </w:tc>
      </w:tr>
      <w:tr w:rsidR="001F3979" w14:paraId="7D0D23DB" w14:textId="77777777">
        <w:trPr>
          <w:jc w:val="center"/>
        </w:trPr>
        <w:tc>
          <w:tcPr>
            <w:tcW w:w="1531" w:type="dxa"/>
            <w:vAlign w:val="center"/>
          </w:tcPr>
          <w:p w14:paraId="55C42655" w14:textId="77777777" w:rsidR="001F3979" w:rsidRDefault="00000000">
            <w:pPr>
              <w:spacing w:after="40" w:line="252" w:lineRule="auto"/>
              <w:jc w:val="left"/>
            </w:pPr>
            <w:r>
              <w:rPr>
                <w:sz w:val="17"/>
              </w:rPr>
              <w:t>Power distance</w:t>
            </w:r>
          </w:p>
        </w:tc>
        <w:tc>
          <w:tcPr>
            <w:tcW w:w="2324" w:type="dxa"/>
            <w:vAlign w:val="center"/>
          </w:tcPr>
          <w:p w14:paraId="60FF76B3" w14:textId="77777777" w:rsidR="001F3979" w:rsidRDefault="00000000">
            <w:pPr>
              <w:spacing w:after="40" w:line="252" w:lineRule="auto"/>
              <w:jc w:val="left"/>
            </w:pPr>
            <w:r>
              <w:rPr>
                <w:sz w:val="17"/>
              </w:rPr>
              <w:t>35</w:t>
            </w:r>
          </w:p>
        </w:tc>
        <w:tc>
          <w:tcPr>
            <w:tcW w:w="2324" w:type="dxa"/>
            <w:vAlign w:val="center"/>
          </w:tcPr>
          <w:p w14:paraId="4379997A" w14:textId="77777777" w:rsidR="001F3979" w:rsidRDefault="00000000">
            <w:pPr>
              <w:spacing w:after="40" w:line="252" w:lineRule="auto"/>
              <w:jc w:val="left"/>
            </w:pPr>
            <w:r>
              <w:rPr>
                <w:sz w:val="17"/>
              </w:rPr>
              <w:t>77</w:t>
            </w:r>
          </w:p>
        </w:tc>
        <w:tc>
          <w:tcPr>
            <w:tcW w:w="2846" w:type="dxa"/>
            <w:vAlign w:val="center"/>
          </w:tcPr>
          <w:p w14:paraId="2B01BF1A" w14:textId="77777777" w:rsidR="001F3979" w:rsidRDefault="00000000">
            <w:pPr>
              <w:spacing w:after="40" w:line="252" w:lineRule="auto"/>
              <w:jc w:val="left"/>
            </w:pPr>
            <w:r>
              <w:rPr>
                <w:sz w:val="17"/>
              </w:rPr>
              <w:t>German communication can be relatively egalitarian and evidence-led; Indian campaigns may gain authority through respected athletes, experts and institutions.</w:t>
            </w:r>
          </w:p>
        </w:tc>
      </w:tr>
      <w:tr w:rsidR="001F3979" w14:paraId="004685DF" w14:textId="77777777">
        <w:trPr>
          <w:jc w:val="center"/>
        </w:trPr>
        <w:tc>
          <w:tcPr>
            <w:tcW w:w="1531" w:type="dxa"/>
            <w:vAlign w:val="center"/>
          </w:tcPr>
          <w:p w14:paraId="7C257979" w14:textId="77777777" w:rsidR="001F3979" w:rsidRDefault="00000000">
            <w:pPr>
              <w:spacing w:after="40" w:line="252" w:lineRule="auto"/>
              <w:jc w:val="left"/>
            </w:pPr>
            <w:r>
              <w:rPr>
                <w:sz w:val="17"/>
              </w:rPr>
              <w:t>Individualism</w:t>
            </w:r>
          </w:p>
        </w:tc>
        <w:tc>
          <w:tcPr>
            <w:tcW w:w="2324" w:type="dxa"/>
            <w:vAlign w:val="center"/>
          </w:tcPr>
          <w:p w14:paraId="44B20CF8" w14:textId="77777777" w:rsidR="001F3979" w:rsidRDefault="00000000">
            <w:pPr>
              <w:spacing w:after="40" w:line="252" w:lineRule="auto"/>
              <w:jc w:val="left"/>
            </w:pPr>
            <w:r>
              <w:rPr>
                <w:sz w:val="17"/>
              </w:rPr>
              <w:t>67</w:t>
            </w:r>
          </w:p>
        </w:tc>
        <w:tc>
          <w:tcPr>
            <w:tcW w:w="2324" w:type="dxa"/>
            <w:vAlign w:val="center"/>
          </w:tcPr>
          <w:p w14:paraId="7DA8633A" w14:textId="77777777" w:rsidR="001F3979" w:rsidRDefault="00000000">
            <w:pPr>
              <w:spacing w:after="40" w:line="252" w:lineRule="auto"/>
              <w:jc w:val="left"/>
            </w:pPr>
            <w:r>
              <w:rPr>
                <w:sz w:val="17"/>
              </w:rPr>
              <w:t>48</w:t>
            </w:r>
          </w:p>
        </w:tc>
        <w:tc>
          <w:tcPr>
            <w:tcW w:w="2846" w:type="dxa"/>
            <w:vAlign w:val="center"/>
          </w:tcPr>
          <w:p w14:paraId="3FF39FCE" w14:textId="77777777" w:rsidR="001F3979" w:rsidRDefault="00000000">
            <w:pPr>
              <w:spacing w:after="40" w:line="252" w:lineRule="auto"/>
              <w:jc w:val="left"/>
            </w:pPr>
            <w:r>
              <w:rPr>
                <w:sz w:val="17"/>
              </w:rPr>
              <w:t>Germany favours personal performance and self-expression; India requires a blend of individual aspiration, family approval and collective belonging.</w:t>
            </w:r>
          </w:p>
        </w:tc>
      </w:tr>
      <w:tr w:rsidR="001F3979" w14:paraId="09287674" w14:textId="77777777">
        <w:trPr>
          <w:jc w:val="center"/>
        </w:trPr>
        <w:tc>
          <w:tcPr>
            <w:tcW w:w="1531" w:type="dxa"/>
            <w:vAlign w:val="center"/>
          </w:tcPr>
          <w:p w14:paraId="2C8A5BEF" w14:textId="77777777" w:rsidR="001F3979" w:rsidRDefault="00000000">
            <w:pPr>
              <w:spacing w:after="40" w:line="252" w:lineRule="auto"/>
              <w:jc w:val="left"/>
            </w:pPr>
            <w:r>
              <w:rPr>
                <w:sz w:val="17"/>
              </w:rPr>
              <w:t>Masculinity</w:t>
            </w:r>
          </w:p>
        </w:tc>
        <w:tc>
          <w:tcPr>
            <w:tcW w:w="2324" w:type="dxa"/>
            <w:vAlign w:val="center"/>
          </w:tcPr>
          <w:p w14:paraId="52F5A1D6" w14:textId="77777777" w:rsidR="001F3979" w:rsidRDefault="00000000">
            <w:pPr>
              <w:spacing w:after="40" w:line="252" w:lineRule="auto"/>
              <w:jc w:val="left"/>
            </w:pPr>
            <w:r>
              <w:rPr>
                <w:sz w:val="17"/>
              </w:rPr>
              <w:t>66</w:t>
            </w:r>
          </w:p>
        </w:tc>
        <w:tc>
          <w:tcPr>
            <w:tcW w:w="2324" w:type="dxa"/>
            <w:vAlign w:val="center"/>
          </w:tcPr>
          <w:p w14:paraId="344E77F1" w14:textId="77777777" w:rsidR="001F3979" w:rsidRDefault="00000000">
            <w:pPr>
              <w:spacing w:after="40" w:line="252" w:lineRule="auto"/>
              <w:jc w:val="left"/>
            </w:pPr>
            <w:r>
              <w:rPr>
                <w:sz w:val="17"/>
              </w:rPr>
              <w:t>56</w:t>
            </w:r>
          </w:p>
        </w:tc>
        <w:tc>
          <w:tcPr>
            <w:tcW w:w="2846" w:type="dxa"/>
            <w:vAlign w:val="center"/>
          </w:tcPr>
          <w:p w14:paraId="415C334A" w14:textId="77777777" w:rsidR="001F3979" w:rsidRDefault="00000000">
            <w:pPr>
              <w:spacing w:after="40" w:line="252" w:lineRule="auto"/>
              <w:jc w:val="left"/>
            </w:pPr>
            <w:r>
              <w:rPr>
                <w:sz w:val="17"/>
              </w:rPr>
              <w:t>Achievement and competition are relevant in both, but inclusion and wellbeing should prevent a narrowly aggressive performance narrative.</w:t>
            </w:r>
          </w:p>
        </w:tc>
      </w:tr>
      <w:tr w:rsidR="001F3979" w14:paraId="19B235DE" w14:textId="77777777">
        <w:trPr>
          <w:jc w:val="center"/>
        </w:trPr>
        <w:tc>
          <w:tcPr>
            <w:tcW w:w="1531" w:type="dxa"/>
            <w:vAlign w:val="center"/>
          </w:tcPr>
          <w:p w14:paraId="7054E813" w14:textId="77777777" w:rsidR="001F3979" w:rsidRDefault="00000000">
            <w:pPr>
              <w:spacing w:after="40" w:line="252" w:lineRule="auto"/>
              <w:jc w:val="left"/>
            </w:pPr>
            <w:r>
              <w:rPr>
                <w:sz w:val="17"/>
              </w:rPr>
              <w:t>Uncertainty avoidance</w:t>
            </w:r>
          </w:p>
        </w:tc>
        <w:tc>
          <w:tcPr>
            <w:tcW w:w="2324" w:type="dxa"/>
            <w:vAlign w:val="center"/>
          </w:tcPr>
          <w:p w14:paraId="045819FE" w14:textId="77777777" w:rsidR="001F3979" w:rsidRDefault="00000000">
            <w:pPr>
              <w:spacing w:after="40" w:line="252" w:lineRule="auto"/>
              <w:jc w:val="left"/>
            </w:pPr>
            <w:r>
              <w:rPr>
                <w:sz w:val="17"/>
              </w:rPr>
              <w:t>65</w:t>
            </w:r>
          </w:p>
        </w:tc>
        <w:tc>
          <w:tcPr>
            <w:tcW w:w="2324" w:type="dxa"/>
            <w:vAlign w:val="center"/>
          </w:tcPr>
          <w:p w14:paraId="42E9C6C4" w14:textId="77777777" w:rsidR="001F3979" w:rsidRDefault="00000000">
            <w:pPr>
              <w:spacing w:after="40" w:line="252" w:lineRule="auto"/>
              <w:jc w:val="left"/>
            </w:pPr>
            <w:r>
              <w:rPr>
                <w:sz w:val="17"/>
              </w:rPr>
              <w:t>40</w:t>
            </w:r>
          </w:p>
        </w:tc>
        <w:tc>
          <w:tcPr>
            <w:tcW w:w="2846" w:type="dxa"/>
            <w:vAlign w:val="center"/>
          </w:tcPr>
          <w:p w14:paraId="1D7B2E76" w14:textId="77777777" w:rsidR="001F3979" w:rsidRDefault="00000000">
            <w:pPr>
              <w:spacing w:after="40" w:line="252" w:lineRule="auto"/>
              <w:jc w:val="left"/>
            </w:pPr>
            <w:r>
              <w:rPr>
                <w:sz w:val="17"/>
              </w:rPr>
              <w:t>German buyers may value specifications, guarantees and dependable service; Indian consumers may be more open to experimentation but remain highly value-conscious.</w:t>
            </w:r>
          </w:p>
        </w:tc>
      </w:tr>
      <w:tr w:rsidR="001F3979" w14:paraId="4250179C" w14:textId="77777777">
        <w:trPr>
          <w:jc w:val="center"/>
        </w:trPr>
        <w:tc>
          <w:tcPr>
            <w:tcW w:w="1531" w:type="dxa"/>
            <w:vAlign w:val="center"/>
          </w:tcPr>
          <w:p w14:paraId="64C946AF" w14:textId="77777777" w:rsidR="001F3979" w:rsidRDefault="00000000">
            <w:pPr>
              <w:spacing w:after="40" w:line="252" w:lineRule="auto"/>
              <w:jc w:val="left"/>
            </w:pPr>
            <w:r>
              <w:rPr>
                <w:sz w:val="17"/>
              </w:rPr>
              <w:t>Long-term orientation</w:t>
            </w:r>
          </w:p>
        </w:tc>
        <w:tc>
          <w:tcPr>
            <w:tcW w:w="2324" w:type="dxa"/>
            <w:vAlign w:val="center"/>
          </w:tcPr>
          <w:p w14:paraId="18A99AE4" w14:textId="77777777" w:rsidR="001F3979" w:rsidRDefault="00000000">
            <w:pPr>
              <w:spacing w:after="40" w:line="252" w:lineRule="auto"/>
              <w:jc w:val="left"/>
            </w:pPr>
            <w:r>
              <w:rPr>
                <w:sz w:val="17"/>
              </w:rPr>
              <w:t>83</w:t>
            </w:r>
          </w:p>
        </w:tc>
        <w:tc>
          <w:tcPr>
            <w:tcW w:w="2324" w:type="dxa"/>
            <w:vAlign w:val="center"/>
          </w:tcPr>
          <w:p w14:paraId="3DA7E536" w14:textId="77777777" w:rsidR="001F3979" w:rsidRDefault="00000000">
            <w:pPr>
              <w:spacing w:after="40" w:line="252" w:lineRule="auto"/>
              <w:jc w:val="left"/>
            </w:pPr>
            <w:r>
              <w:rPr>
                <w:sz w:val="17"/>
              </w:rPr>
              <w:t>51</w:t>
            </w:r>
          </w:p>
        </w:tc>
        <w:tc>
          <w:tcPr>
            <w:tcW w:w="2846" w:type="dxa"/>
            <w:vAlign w:val="center"/>
          </w:tcPr>
          <w:p w14:paraId="6D110DEC" w14:textId="77777777" w:rsidR="001F3979" w:rsidRDefault="00000000">
            <w:pPr>
              <w:spacing w:after="40" w:line="252" w:lineRule="auto"/>
              <w:jc w:val="left"/>
            </w:pPr>
            <w:r>
              <w:rPr>
                <w:sz w:val="17"/>
              </w:rPr>
              <w:t xml:space="preserve">German positioning can emphasise engineering, durability and sustained performance; India </w:t>
            </w:r>
            <w:r>
              <w:rPr>
                <w:sz w:val="17"/>
              </w:rPr>
              <w:lastRenderedPageBreak/>
              <w:t>can combine progress and tradition.</w:t>
            </w:r>
          </w:p>
        </w:tc>
      </w:tr>
      <w:tr w:rsidR="001F3979" w14:paraId="2511CB5A" w14:textId="77777777">
        <w:trPr>
          <w:jc w:val="center"/>
        </w:trPr>
        <w:tc>
          <w:tcPr>
            <w:tcW w:w="1531" w:type="dxa"/>
            <w:vAlign w:val="center"/>
          </w:tcPr>
          <w:p w14:paraId="15A6A5B3" w14:textId="77777777" w:rsidR="001F3979" w:rsidRDefault="00000000">
            <w:pPr>
              <w:spacing w:after="40" w:line="252" w:lineRule="auto"/>
              <w:jc w:val="left"/>
            </w:pPr>
            <w:r>
              <w:rPr>
                <w:sz w:val="17"/>
              </w:rPr>
              <w:lastRenderedPageBreak/>
              <w:t>Indulgence</w:t>
            </w:r>
          </w:p>
        </w:tc>
        <w:tc>
          <w:tcPr>
            <w:tcW w:w="2324" w:type="dxa"/>
            <w:vAlign w:val="center"/>
          </w:tcPr>
          <w:p w14:paraId="352F7854" w14:textId="77777777" w:rsidR="001F3979" w:rsidRDefault="00000000">
            <w:pPr>
              <w:spacing w:after="40" w:line="252" w:lineRule="auto"/>
              <w:jc w:val="left"/>
            </w:pPr>
            <w:r>
              <w:rPr>
                <w:sz w:val="17"/>
              </w:rPr>
              <w:t>40</w:t>
            </w:r>
          </w:p>
        </w:tc>
        <w:tc>
          <w:tcPr>
            <w:tcW w:w="2324" w:type="dxa"/>
            <w:vAlign w:val="center"/>
          </w:tcPr>
          <w:p w14:paraId="7928001C" w14:textId="77777777" w:rsidR="001F3979" w:rsidRDefault="00000000">
            <w:pPr>
              <w:spacing w:after="40" w:line="252" w:lineRule="auto"/>
              <w:jc w:val="left"/>
            </w:pPr>
            <w:r>
              <w:rPr>
                <w:sz w:val="17"/>
              </w:rPr>
              <w:t>26</w:t>
            </w:r>
          </w:p>
        </w:tc>
        <w:tc>
          <w:tcPr>
            <w:tcW w:w="2846" w:type="dxa"/>
            <w:vAlign w:val="center"/>
          </w:tcPr>
          <w:p w14:paraId="0E992AF6" w14:textId="77777777" w:rsidR="001F3979" w:rsidRDefault="00000000">
            <w:pPr>
              <w:spacing w:after="40" w:line="252" w:lineRule="auto"/>
              <w:jc w:val="left"/>
            </w:pPr>
            <w:r>
              <w:rPr>
                <w:sz w:val="17"/>
              </w:rPr>
              <w:t>Both cultures are relatively restrained; communication should justify purchase through performance, longevity, community or earned reward rather than pure hedonism.</w:t>
            </w:r>
          </w:p>
        </w:tc>
      </w:tr>
    </w:tbl>
    <w:p w14:paraId="36B30713" w14:textId="77777777" w:rsidR="001F3979" w:rsidRDefault="001F3979"/>
    <w:p w14:paraId="0D233368" w14:textId="77777777" w:rsidR="001F3979" w:rsidRDefault="00000000">
      <w:pPr>
        <w:jc w:val="left"/>
      </w:pPr>
      <w:r>
        <w:rPr>
          <w:i/>
        </w:rPr>
        <w:t>Source: Hofstede, Hofstede and Minkov (2010); The Culture Factor Group (2026). Scores are national-level indicators and must not be treated as individual consumer profiles.</w:t>
      </w:r>
    </w:p>
    <w:p w14:paraId="1A77C58B" w14:textId="77777777" w:rsidR="001F3979" w:rsidRDefault="00000000">
      <w:pPr>
        <w:keepNext/>
        <w:jc w:val="center"/>
      </w:pPr>
      <w:r>
        <w:rPr>
          <w:noProof/>
        </w:rPr>
        <w:drawing>
          <wp:inline distT="0" distB="0" distL="0" distR="0" wp14:anchorId="06404AC6" wp14:editId="6B813E08">
            <wp:extent cx="5328000" cy="3142154"/>
            <wp:effectExtent l="0" t="0" r="0" b="0"/>
            <wp:docPr id="2" name="Picture 2" descr="Figure 2. Hofstede cultural-dimension scores: Germany and India" title="Figure 2. Hofstede cultural-dimension scores: Germany and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fstede_comparison.png"/>
                    <pic:cNvPicPr/>
                  </pic:nvPicPr>
                  <pic:blipFill>
                    <a:blip r:embed="rId11"/>
                    <a:stretch>
                      <a:fillRect/>
                    </a:stretch>
                  </pic:blipFill>
                  <pic:spPr>
                    <a:xfrm>
                      <a:off x="0" y="0"/>
                      <a:ext cx="5328000" cy="3142154"/>
                    </a:xfrm>
                    <a:prstGeom prst="rect">
                      <a:avLst/>
                    </a:prstGeom>
                  </pic:spPr>
                </pic:pic>
              </a:graphicData>
            </a:graphic>
          </wp:inline>
        </w:drawing>
      </w:r>
    </w:p>
    <w:p w14:paraId="7FE23823" w14:textId="77777777" w:rsidR="001F3979" w:rsidRDefault="00000000">
      <w:pPr>
        <w:keepNext/>
        <w:spacing w:before="60" w:after="80"/>
        <w:jc w:val="center"/>
      </w:pPr>
      <w:r>
        <w:rPr>
          <w:b/>
          <w:color w:val="214E79"/>
          <w:sz w:val="20"/>
        </w:rPr>
        <w:t>Figure 2. Hofstede cultural-dimension scores: Germany and India</w:t>
      </w:r>
    </w:p>
    <w:p w14:paraId="2490A455" w14:textId="77777777" w:rsidR="001F3979" w:rsidRDefault="00000000">
      <w:pPr>
        <w:jc w:val="left"/>
      </w:pPr>
      <w:r>
        <w:rPr>
          <w:i/>
        </w:rPr>
        <w:t>Source: Author’s chart based on Hofstede, Hofstede and Minkov (2010) and The Culture Factor Group (2026).</w:t>
      </w:r>
    </w:p>
    <w:p w14:paraId="7EA56580" w14:textId="77777777" w:rsidR="00803D51" w:rsidRDefault="00803D51" w:rsidP="00803D51">
      <w:r>
        <w:t xml:space="preserve">Hofstede </w:t>
      </w:r>
      <w:proofErr w:type="spellStart"/>
      <w:r>
        <w:t>kinda</w:t>
      </w:r>
      <w:proofErr w:type="spellEnd"/>
      <w:r>
        <w:t xml:space="preserve"> suggests that when the same campaign lands, people can still decode it in different ways. Like, Germany positioning might bring up engineering proof and self-driven accomplishments; in India, athletes people respect, family consent and a national-team link can make things feel more aspirational, and also more shared. </w:t>
      </w:r>
      <w:proofErr w:type="gramStart"/>
      <w:r>
        <w:t>So</w:t>
      </w:r>
      <w:proofErr w:type="gramEnd"/>
      <w:r>
        <w:t xml:space="preserve"> the cricket partnership is not just about getting more reach. It also quietly shrinks the sense of cultural distance between a German-origin brand and Indian consumers (de </w:t>
      </w:r>
      <w:proofErr w:type="spellStart"/>
      <w:r>
        <w:t>Mooij</w:t>
      </w:r>
      <w:proofErr w:type="spellEnd"/>
      <w:r>
        <w:t xml:space="preserve">, 2019). For managers, the upside is that you get a tidy country framework you </w:t>
      </w:r>
      <w:r>
        <w:lastRenderedPageBreak/>
        <w:t>can compare, while the downside is that national averages may turn into lazy consumer stereotypes</w:t>
      </w:r>
    </w:p>
    <w:p w14:paraId="72A210F4" w14:textId="58260CAB" w:rsidR="00803D51" w:rsidRDefault="00803D51" w:rsidP="00803D51">
      <w:r>
        <w:t xml:space="preserve">There are two other angles that could fit. GLOBE separates cultural practices from values, and it even adds dimensions like performance orientation and humane orientation, but it was built mainly to talk about leadership and </w:t>
      </w:r>
      <w:proofErr w:type="spellStart"/>
      <w:r>
        <w:t>organisations</w:t>
      </w:r>
      <w:proofErr w:type="spellEnd"/>
      <w:r>
        <w:t xml:space="preserve"> across 62 societies not really consumer reactions (House et al., 2004). Then there is Schwartz, which offers seven linked value orientations, including embeddedness versus autonomy and hierarchy versus egalitarianism. But it comes from social values, not from workplace-style attitudes (Schwartz, 2006). It might be more theoretically deep for value conflict, only it’s less familiar as a marketing yardstick, and you would probably need extra consumer level evidence. </w:t>
      </w:r>
      <w:proofErr w:type="gramStart"/>
      <w:r>
        <w:t>So</w:t>
      </w:r>
      <w:proofErr w:type="gramEnd"/>
      <w:r>
        <w:t xml:space="preserve"> Hofstede stays, mostly because it gives directly usable Germany–India scores for </w:t>
      </w:r>
      <w:proofErr w:type="spellStart"/>
      <w:r>
        <w:t>standardised</w:t>
      </w:r>
      <w:proofErr w:type="spellEnd"/>
      <w:r>
        <w:t xml:space="preserve"> comparison, not because it wins as “best” in some absolute sense.</w:t>
      </w:r>
    </w:p>
    <w:p w14:paraId="1581AE45" w14:textId="4E714951" w:rsidR="001F3979" w:rsidRDefault="00803D51" w:rsidP="00803D51">
      <w:r>
        <w:t>Still, the use has to be conditional. Country scores can easily trigger ecological fallacy, and they obscure India’s regional, religious, class and urban variation, plus Germany’s generational splits and migrant subcultures. Also, the original workplace data are historically constrained, which is relevant here (McSweeney, 2002). A higher collectivism number cannot by itself show that metropolitan Indian sneaker buyers reject self-expression, and Germany’s individualism doesn’t automatically mean everyone purchases in a uniformly rational way. Instead, the scores should function like a hypothesis generator, and then get checked with segment data, local ethnography, social listening, and campaign experiments. That triangulated approach feels more defensible than either treating Hofstede as direct prediction, or just giving up cross-national comparison altogether.</w:t>
      </w:r>
    </w:p>
    <w:p w14:paraId="2B074903" w14:textId="77777777" w:rsidR="001F3979" w:rsidRDefault="00000000">
      <w:pPr>
        <w:pStyle w:val="Heading2"/>
      </w:pPr>
      <w:bookmarkStart w:id="8" w:name="_Toc237353509"/>
      <w:r>
        <w:t>4. Comparative STP Strategy</w:t>
      </w:r>
      <w:bookmarkEnd w:id="8"/>
    </w:p>
    <w:p w14:paraId="5188B78E" w14:textId="77777777" w:rsidR="001F3979" w:rsidRDefault="00000000">
      <w:pPr>
        <w:pStyle w:val="Heading3"/>
      </w:pPr>
      <w:bookmarkStart w:id="9" w:name="_Toc237353510"/>
      <w:r>
        <w:t>4.1 Segmentation</w:t>
      </w:r>
      <w:bookmarkEnd w:id="9"/>
    </w:p>
    <w:p w14:paraId="2D23C782" w14:textId="77777777" w:rsidR="00803D51" w:rsidRDefault="00803D51" w:rsidP="00803D51">
      <w:r>
        <w:t xml:space="preserve">Adidas uses demographic, psychographic, </w:t>
      </w:r>
      <w:proofErr w:type="spellStart"/>
      <w:r>
        <w:t>behavioural</w:t>
      </w:r>
      <w:proofErr w:type="spellEnd"/>
      <w:r>
        <w:t xml:space="preserve"> and benefit segmentation because country alone is </w:t>
      </w:r>
      <w:proofErr w:type="spellStart"/>
      <w:r>
        <w:t>kinda</w:t>
      </w:r>
      <w:proofErr w:type="spellEnd"/>
      <w:r>
        <w:t xml:space="preserve"> too coarse to predict a purchase (de </w:t>
      </w:r>
      <w:proofErr w:type="spellStart"/>
      <w:r>
        <w:t>Mooij</w:t>
      </w:r>
      <w:proofErr w:type="spellEnd"/>
      <w:r>
        <w:t xml:space="preserve">, 2019; Hollensen, 2020). Like, in Germany the priority groups are performance athletes, football participants and the people who support them, then sustainability-conscious buyers. There are also </w:t>
      </w:r>
      <w:proofErr w:type="gramStart"/>
      <w:r>
        <w:t>Originals</w:t>
      </w:r>
      <w:proofErr w:type="gramEnd"/>
      <w:r>
        <w:t xml:space="preserve"> </w:t>
      </w:r>
      <w:proofErr w:type="gramStart"/>
      <w:r>
        <w:t>consumers ,and</w:t>
      </w:r>
      <w:proofErr w:type="gramEnd"/>
      <w:r>
        <w:t xml:space="preserve"> members who want </w:t>
      </w:r>
      <w:proofErr w:type="spellStart"/>
      <w:r>
        <w:t>personalised</w:t>
      </w:r>
      <w:proofErr w:type="spellEnd"/>
      <w:r>
        <w:t xml:space="preserve"> </w:t>
      </w:r>
      <w:r>
        <w:lastRenderedPageBreak/>
        <w:t xml:space="preserve">access too. With mature logistics already in place, </w:t>
      </w:r>
      <w:proofErr w:type="spellStart"/>
      <w:r>
        <w:t>behavioural</w:t>
      </w:r>
      <w:proofErr w:type="spellEnd"/>
      <w:r>
        <w:t xml:space="preserve"> differences and category patterns tend to be more usable than just basic availability.</w:t>
      </w:r>
    </w:p>
    <w:p w14:paraId="50A99D98" w14:textId="77777777" w:rsidR="00803D51" w:rsidRDefault="00803D51" w:rsidP="00803D51"/>
    <w:p w14:paraId="02FE7D3B" w14:textId="70CB20D4" w:rsidR="001F3979" w:rsidRDefault="00803D51" w:rsidP="00803D51">
      <w:r>
        <w:t xml:space="preserve">India, on the other hand, needs a finer breakdown. Think of affluent metro sneaker buyers, runners and gym users, cricket supporters, middle-income value seekers, women moving into sport and digitally reachable tier-two consumers. </w:t>
      </w:r>
      <w:proofErr w:type="gramStart"/>
      <w:r>
        <w:t>So</w:t>
      </w:r>
      <w:proofErr w:type="gramEnd"/>
      <w:r>
        <w:t xml:space="preserve"> variables like income, climate, gender, sport and even the use occasion should be stated clearly. Otherwise, treating “Indian youth” as one uniform group would basically repeat the national-level bias that was </w:t>
      </w:r>
      <w:proofErr w:type="spellStart"/>
      <w:r>
        <w:t>criticised</w:t>
      </w:r>
      <w:proofErr w:type="spellEnd"/>
      <w:r>
        <w:t xml:space="preserve"> earlier (McSweeney, 2002).</w:t>
      </w:r>
    </w:p>
    <w:p w14:paraId="7816FDDF" w14:textId="77777777" w:rsidR="001F3979" w:rsidRDefault="00000000">
      <w:pPr>
        <w:pStyle w:val="Heading3"/>
      </w:pPr>
      <w:bookmarkStart w:id="10" w:name="_Toc237353511"/>
      <w:r>
        <w:t>4.2 Targeting</w:t>
      </w:r>
      <w:bookmarkEnd w:id="10"/>
    </w:p>
    <w:p w14:paraId="5F55E50B" w14:textId="1E630E2E" w:rsidR="00803D51" w:rsidRDefault="00803D51" w:rsidP="00803D51">
      <w:r>
        <w:t xml:space="preserve">Germany supports a somewhat differentiated targeting approach across Performance and Lifestyle: premium technical products build authority while Originals helps defend cultural relevance, yeah. In a saturated market, customer lifetime value and cross-category migration look more defensible than plain undifferentiated acquisition, (Hollensen, 2020). The catch is that assortment depth is higher and communication complexity gets </w:t>
      </w:r>
      <w:proofErr w:type="spellStart"/>
      <w:r>
        <w:t>kinda</w:t>
      </w:r>
      <w:proofErr w:type="spellEnd"/>
      <w:r>
        <w:t xml:space="preserve"> sharper.</w:t>
      </w:r>
    </w:p>
    <w:p w14:paraId="384DD693" w14:textId="64A78806" w:rsidR="00803D51" w:rsidRDefault="00803D51" w:rsidP="00803D51">
      <w:r>
        <w:t>India instead needs concentrated differentiation, for urban digitally connected 18–35-year-olds across premium performance, cricket fandom, and sportswear that stays approachable. Growth should prioritize women and adolescents too, since that segment is still kind of opening up. This decision likely gives up immediate national volume, but it reduces wasted media spend and excess inventory, especially where purchasing power and distribution are uneven. E-commerce experiments and franchise pilots should test tier-two demand, so concentration does not turn into permanent metro confinement.</w:t>
      </w:r>
    </w:p>
    <w:p w14:paraId="1D2DA098" w14:textId="77777777" w:rsidR="00803D51" w:rsidRDefault="00803D51" w:rsidP="00803D51">
      <w:pPr>
        <w:pStyle w:val="Heading2"/>
      </w:pPr>
      <w:r>
        <w:t xml:space="preserve">4.3 Positioning  </w:t>
      </w:r>
    </w:p>
    <w:p w14:paraId="336CCC96" w14:textId="612507C2" w:rsidR="00803D51" w:rsidRDefault="00803D51" w:rsidP="00803D51">
      <w:r>
        <w:t xml:space="preserve">The overall global position can be performance and identity, powered by credible sport innovation plus culture. Germany should lean into home-grown innovation, but make it feel globally relevant. India should express global performance through Indian sporting ambition, and not only through claims but through actual participation. The first should renew a familiar heritage, the second should bridge prestige with everyday </w:t>
      </w:r>
      <w:r>
        <w:lastRenderedPageBreak/>
        <w:t xml:space="preserve">participation, using cricket, local </w:t>
      </w:r>
      <w:proofErr w:type="gramStart"/>
      <w:r>
        <w:t>athletes ,</w:t>
      </w:r>
      <w:proofErr w:type="gramEnd"/>
      <w:r>
        <w:t xml:space="preserve"> suitable product formats, and community investment (de </w:t>
      </w:r>
      <w:proofErr w:type="spellStart"/>
      <w:r>
        <w:t>Mooij</w:t>
      </w:r>
      <w:proofErr w:type="spellEnd"/>
      <w:r>
        <w:t xml:space="preserve">, </w:t>
      </w:r>
      <w:proofErr w:type="gramStart"/>
      <w:r>
        <w:t>2019 ;</w:t>
      </w:r>
      <w:proofErr w:type="gramEnd"/>
      <w:r>
        <w:t xml:space="preserve"> Amani, 2023).</w:t>
      </w:r>
    </w:p>
    <w:p w14:paraId="68BDD084" w14:textId="1BB746D5" w:rsidR="001F3979" w:rsidRDefault="00803D51" w:rsidP="00803D51">
      <w:r>
        <w:t xml:space="preserve">Positioning also has to avoid a false dilemma between premium and accessibility. A controlled “good-better-best” structure can widen entry, without stripping the halo products that keep aspiration alive. The global marks, the three-stripe identity, and performance standards should stay </w:t>
      </w:r>
      <w:proofErr w:type="gramStart"/>
      <w:r>
        <w:t>consistent ;</w:t>
      </w:r>
      <w:proofErr w:type="gramEnd"/>
      <w:r>
        <w:t xml:space="preserve"> but the category storylines, the ambassadors, the price points, the sizing, and channel activation should adapt, slightly, as needed.</w:t>
      </w:r>
    </w:p>
    <w:p w14:paraId="54F544D3" w14:textId="77777777" w:rsidR="001F3979" w:rsidRDefault="00000000">
      <w:pPr>
        <w:pStyle w:val="Heading2"/>
      </w:pPr>
      <w:bookmarkStart w:id="11" w:name="_Toc237353513"/>
      <w:r>
        <w:t>5. Comparative International Marketing Mix</w:t>
      </w:r>
      <w:bookmarkEnd w:id="11"/>
    </w:p>
    <w:p w14:paraId="605E2991" w14:textId="77777777" w:rsidR="001F3979" w:rsidRDefault="00000000">
      <w:pPr>
        <w:pStyle w:val="Heading3"/>
      </w:pPr>
      <w:bookmarkStart w:id="12" w:name="_Toc237353514"/>
      <w:r>
        <w:t>5.1 Product</w:t>
      </w:r>
      <w:bookmarkEnd w:id="12"/>
    </w:p>
    <w:p w14:paraId="047848D5" w14:textId="77777777" w:rsidR="00803D51" w:rsidRDefault="00803D51" w:rsidP="00803D51">
      <w:r>
        <w:t xml:space="preserve">Germany should keep breadth across football, </w:t>
      </w:r>
      <w:proofErr w:type="gramStart"/>
      <w:r>
        <w:t>running ,</w:t>
      </w:r>
      <w:proofErr w:type="gramEnd"/>
      <w:r>
        <w:t xml:space="preserve"> outdoor, training and Originals, but backed by technical proof more or less, durability and also a few selective collaborations. Footwear still acts as the brand “heat engine” since it drove 57% of 2025 sales (Adidas, 2026b). India, meanwhile, needs to shift category weight toward cricket, breathable training </w:t>
      </w:r>
      <w:proofErr w:type="gramStart"/>
      <w:r>
        <w:t>apparel ,</w:t>
      </w:r>
      <w:proofErr w:type="gramEnd"/>
      <w:r>
        <w:t xml:space="preserve"> running, plus local sizing and women-specific fit. In general, </w:t>
      </w:r>
      <w:proofErr w:type="spellStart"/>
      <w:r>
        <w:t>standardising</w:t>
      </w:r>
      <w:proofErr w:type="spellEnd"/>
      <w:r>
        <w:t xml:space="preserve"> technology and quality helps create scale and trust; then adapting fit, climate </w:t>
      </w:r>
      <w:proofErr w:type="gramStart"/>
      <w:r>
        <w:t>suitability ,</w:t>
      </w:r>
      <w:proofErr w:type="gramEnd"/>
      <w:r>
        <w:t xml:space="preserve"> and sport relevance pushes acceptance a bit more. Still, too much </w:t>
      </w:r>
      <w:proofErr w:type="spellStart"/>
      <w:r>
        <w:t>localisation</w:t>
      </w:r>
      <w:proofErr w:type="spellEnd"/>
      <w:r>
        <w:t xml:space="preserve"> inflates development cost and might signal inferior “emerging-market” specifications, even if that’s not intended. </w:t>
      </w:r>
      <w:proofErr w:type="gramStart"/>
      <w:r>
        <w:t>So</w:t>
      </w:r>
      <w:proofErr w:type="gramEnd"/>
      <w:r>
        <w:t xml:space="preserve"> the call is modular adaptation: share common tech platforms, but validate locally the fit, assortment and release calendar, consistent with the idea that adaptation works only when capabilities and implementation quality genuinely support it (</w:t>
      </w:r>
      <w:proofErr w:type="spellStart"/>
      <w:r>
        <w:t>Tsougkou</w:t>
      </w:r>
      <w:proofErr w:type="spellEnd"/>
      <w:r>
        <w:t xml:space="preserve"> et al., 2025).</w:t>
      </w:r>
    </w:p>
    <w:p w14:paraId="158EB5A0" w14:textId="77777777" w:rsidR="00803D51" w:rsidRDefault="00803D51" w:rsidP="00803D51"/>
    <w:p w14:paraId="1EDA6EFA" w14:textId="77777777" w:rsidR="00803D51" w:rsidRDefault="00803D51" w:rsidP="00803D51">
      <w:r>
        <w:t xml:space="preserve">5.2 Price  </w:t>
      </w:r>
    </w:p>
    <w:p w14:paraId="5E005227" w14:textId="3CE03AF9" w:rsidR="001F3979" w:rsidRDefault="00803D51" w:rsidP="00803D51">
      <w:r>
        <w:t xml:space="preserve">Germany can hold a value based premium pricing stance, but if discounting gets out of control, consumers will learn to wait, and full-price credibility gets weaker. India needs a broader good-better-best ladder because economic growth doesn’t magically smooth income differences. The ₹6,599 official India T20 jersey shows premium willingness among focused </w:t>
      </w:r>
      <w:proofErr w:type="gramStart"/>
      <w:r>
        <w:t>fans ,</w:t>
      </w:r>
      <w:proofErr w:type="gramEnd"/>
      <w:r>
        <w:t xml:space="preserve"> but it doesn’t indicate broad affordability (Adidas India, 2026). Keeping global price positioning relatively standard also protects prestige and reduces arbitrage risks; local price tiers, smarter sourcing, and bundles can widen </w:t>
      </w:r>
      <w:r>
        <w:lastRenderedPageBreak/>
        <w:t xml:space="preserve">access. The downside is still brand dilution and possible channel conflict though. Because of that, Adidas should </w:t>
      </w:r>
      <w:proofErr w:type="spellStart"/>
      <w:r>
        <w:t>standardise</w:t>
      </w:r>
      <w:proofErr w:type="spellEnd"/>
      <w:r>
        <w:t xml:space="preserve"> the price architecture and quality logic rather than only fixating on nominal prices, while monitoring marketplace promotions and relying on member rewards instead of permanent discounts (Mandler et al., 2021).</w:t>
      </w:r>
    </w:p>
    <w:p w14:paraId="4D5C842C" w14:textId="77777777" w:rsidR="001F3979" w:rsidRDefault="00000000">
      <w:pPr>
        <w:pStyle w:val="Heading3"/>
      </w:pPr>
      <w:bookmarkStart w:id="13" w:name="_Toc237353516"/>
      <w:r>
        <w:t>5.3 Place</w:t>
      </w:r>
      <w:bookmarkEnd w:id="13"/>
    </w:p>
    <w:p w14:paraId="4B72ACF0" w14:textId="6F823CB2" w:rsidR="00803D51" w:rsidRDefault="00803D51" w:rsidP="00803D51">
      <w:r>
        <w:t xml:space="preserve">Germany can integrate flagships, specialists, wholesale, app and membership around </w:t>
      </w:r>
      <w:proofErr w:type="gramStart"/>
      <w:r>
        <w:t>experience  and</w:t>
      </w:r>
      <w:proofErr w:type="gramEnd"/>
      <w:r>
        <w:t xml:space="preserve"> fulfilment, </w:t>
      </w:r>
      <w:proofErr w:type="gramStart"/>
      <w:r>
        <w:t>like  in</w:t>
      </w:r>
      <w:proofErr w:type="gramEnd"/>
      <w:r>
        <w:t xml:space="preserve"> one big stitched plan, sure. India on the other hand needs flagships for control, franchises, plus marketplaces for reach, and mobile commerce for accessibility—because, you know, it’s messier there. If inventory visibility, authenticity, and service </w:t>
      </w:r>
      <w:proofErr w:type="gramStart"/>
      <w:r>
        <w:t>promises</w:t>
      </w:r>
      <w:proofErr w:type="gramEnd"/>
      <w:r>
        <w:t xml:space="preserve"> get </w:t>
      </w:r>
      <w:proofErr w:type="spellStart"/>
      <w:r>
        <w:t>standardised</w:t>
      </w:r>
      <w:proofErr w:type="spellEnd"/>
      <w:r>
        <w:t xml:space="preserve">, you end up with a coherent brand, but the channel weight has to shift because Indian infrastructure isn’t even. Still, if you spread partners too wide, you lose data and price control and also you increase counterfeit exposure, which is pretty risky. And omnichannel research says adding channels is not enough unless information and service are actually integrated (Both and Steinmann, 2023; </w:t>
      </w:r>
      <w:proofErr w:type="spellStart"/>
      <w:r>
        <w:t>Mansurali</w:t>
      </w:r>
      <w:proofErr w:type="spellEnd"/>
      <w:r>
        <w:t xml:space="preserve"> et al., 2024). Adidas should therefore sort of gate city expansion using online demand, contribution margin, returns and partner compliance, rather than store-count targets.</w:t>
      </w:r>
    </w:p>
    <w:p w14:paraId="09614ED4" w14:textId="77777777" w:rsidR="00803D51" w:rsidRDefault="00803D51" w:rsidP="00803D51">
      <w:pPr>
        <w:pStyle w:val="Heading3"/>
      </w:pPr>
      <w:r>
        <w:t xml:space="preserve">5.4 Promotion  </w:t>
      </w:r>
    </w:p>
    <w:p w14:paraId="7519D41C" w14:textId="77777777" w:rsidR="00803D51" w:rsidRDefault="00803D51" w:rsidP="00803D51">
      <w:r>
        <w:t xml:space="preserve">German promotion should blend football heritage, innovation, running communities and </w:t>
      </w:r>
      <w:proofErr w:type="gramStart"/>
      <w:r>
        <w:t>Originals</w:t>
      </w:r>
      <w:proofErr w:type="gramEnd"/>
      <w:r>
        <w:t xml:space="preserve"> culture, not just one vibe, but like a mix. India should rather privilege cricket, Indian athletes, vernacular content, and mobile-first participation while also widening women’s sport and running. Global creative codes help recognition and production efficiency, yet fully </w:t>
      </w:r>
      <w:proofErr w:type="spellStart"/>
      <w:r>
        <w:t>standardised</w:t>
      </w:r>
      <w:proofErr w:type="spellEnd"/>
      <w:r>
        <w:t xml:space="preserve"> messages can drift culturally and feel off. Deep </w:t>
      </w:r>
      <w:proofErr w:type="spellStart"/>
      <w:r>
        <w:t>localisation</w:t>
      </w:r>
      <w:proofErr w:type="spellEnd"/>
      <w:r>
        <w:t xml:space="preserve"> is more relevant, sure, but it can also fragment brand meaning, or just </w:t>
      </w:r>
      <w:proofErr w:type="spellStart"/>
      <w:r>
        <w:t>overdepend</w:t>
      </w:r>
      <w:proofErr w:type="spellEnd"/>
      <w:r>
        <w:t xml:space="preserve"> on cricket narratives. Fan-identification research supports community advocacy, although that Tanzanian football sample can’t be moved over mechanically to Indian cricket (Amani, 2023). Adidas should </w:t>
      </w:r>
      <w:proofErr w:type="spellStart"/>
      <w:r>
        <w:t>standardise</w:t>
      </w:r>
      <w:proofErr w:type="spellEnd"/>
      <w:r>
        <w:t xml:space="preserve"> its performance proposition and evidence standards, while adapting sport, language, creators, and activation, then test effects by segment, and not just assume national culture explains the response.</w:t>
      </w:r>
    </w:p>
    <w:p w14:paraId="292DB9AE" w14:textId="77777777" w:rsidR="00803D51" w:rsidRDefault="00803D51" w:rsidP="00803D51">
      <w:pPr>
        <w:pStyle w:val="Heading3"/>
      </w:pPr>
      <w:r>
        <w:lastRenderedPageBreak/>
        <w:t xml:space="preserve">5.5 People  </w:t>
      </w:r>
    </w:p>
    <w:p w14:paraId="5AA2F800" w14:textId="21E943C8" w:rsidR="00803D51" w:rsidRDefault="00803D51" w:rsidP="00803D51">
      <w:r>
        <w:t xml:space="preserve">People turn the marketing promise into service quality, making this part of the mix strategically important (Booms and Bitner, 1981). Global training standards help protect technical accuracy, ethical disclosure and complaint handling; in India there’s additionally a need for multilingual capability, women’s product expertise, and franchise consistency. </w:t>
      </w:r>
      <w:proofErr w:type="spellStart"/>
      <w:r>
        <w:t>Standardisation</w:t>
      </w:r>
      <w:proofErr w:type="spellEnd"/>
      <w:r>
        <w:t xml:space="preserve"> makes control easier but it can lead to scripted, culturally insensitive service. On the flip side, unlimited local discretion creates variability, and that’s not great either. </w:t>
      </w:r>
      <w:proofErr w:type="gramStart"/>
      <w:r>
        <w:t>So</w:t>
      </w:r>
      <w:proofErr w:type="gramEnd"/>
      <w:r>
        <w:t xml:space="preserve"> a common certification with locally designed scenarios sounds more sensible. Incentives should balance sales with fit accuracy, returns, satisfaction, compliance, and community participation, rather than chasing one score only.</w:t>
      </w:r>
    </w:p>
    <w:p w14:paraId="3910FBBB" w14:textId="77777777" w:rsidR="00803D51" w:rsidRDefault="00803D51" w:rsidP="00803D51">
      <w:pPr>
        <w:pStyle w:val="Heading3"/>
      </w:pPr>
      <w:r>
        <w:t xml:space="preserve">5.6 Process  </w:t>
      </w:r>
    </w:p>
    <w:p w14:paraId="2565C340" w14:textId="5423A85A" w:rsidR="00803D51" w:rsidRDefault="00803D51" w:rsidP="00803D51">
      <w:r>
        <w:t xml:space="preserve">Core processes—privacy, transparent returns, order visibility and safe </w:t>
      </w:r>
      <w:proofErr w:type="spellStart"/>
      <w:r>
        <w:t>personalisation</w:t>
      </w:r>
      <w:proofErr w:type="spellEnd"/>
      <w:r>
        <w:t xml:space="preserve">—should be globally non-negotiable. India still needs adapted payments, address handling, multilingual messaging, and size exchange because operational conditions differ. Global process uniformity supports control, but it can create local friction. Adaptation improves conversion, though it adds cost and more potential failure points (Both and Steinmann, 2023). Adidas should use modular local interfaces on top of common data and compliance architecture. Demand sensing should connect campaigns, searches, sell-through, and returns back into replenishment, and cultural screening has to test user-generated </w:t>
      </w:r>
      <w:proofErr w:type="spellStart"/>
      <w:r>
        <w:t>personalisation</w:t>
      </w:r>
      <w:proofErr w:type="spellEnd"/>
      <w:r>
        <w:t xml:space="preserve"> combinations before launch, not after.</w:t>
      </w:r>
    </w:p>
    <w:p w14:paraId="4C004790" w14:textId="77777777" w:rsidR="00803D51" w:rsidRDefault="00803D51" w:rsidP="00803D51">
      <w:pPr>
        <w:pStyle w:val="Heading3"/>
      </w:pPr>
      <w:r>
        <w:t xml:space="preserve">5.7 Physical evidence  </w:t>
      </w:r>
    </w:p>
    <w:p w14:paraId="1EAE9E38" w14:textId="2DC66D16" w:rsidR="001F3979" w:rsidRDefault="00803D51" w:rsidP="00803D51">
      <w:r>
        <w:t xml:space="preserve">In Germany, stores, packaging, digital information, and staff expertise should show engineering quality, and environmental claims need accessible substantiation, not just decorative green cues (Lee et al., 2024). In India, consistent store codes and verification reassure authenticity, while cricket storytelling, multilingual guidance and climate-relevant merchandising build local fit. Keeping identical physical evidence can create recognition, but it may also feel like it was imported, because it sort of </w:t>
      </w:r>
      <w:proofErr w:type="spellStart"/>
      <w:r>
        <w:t>was</w:t>
      </w:r>
      <w:proofErr w:type="spellEnd"/>
      <w:r>
        <w:t xml:space="preserve">. Unlimited </w:t>
      </w:r>
      <w:proofErr w:type="spellStart"/>
      <w:r>
        <w:t>localisation</w:t>
      </w:r>
      <w:proofErr w:type="spellEnd"/>
      <w:r>
        <w:t>, however, can weaken authenticity cues. The balanced option is a common visual system with local proof points, and not too much or too little of either.</w:t>
      </w:r>
    </w:p>
    <w:p w14:paraId="2BF87B6C" w14:textId="77777777" w:rsidR="001F3979" w:rsidRDefault="00000000">
      <w:pPr>
        <w:keepNext/>
      </w:pPr>
      <w:r>
        <w:rPr>
          <w:b/>
        </w:rPr>
        <w:lastRenderedPageBreak/>
        <w:t>Table 3. Standardisation–adaptation judgement across the 7Ps</w:t>
      </w:r>
    </w:p>
    <w:tbl>
      <w:tblPr>
        <w:tblStyle w:val="TableGrid"/>
        <w:tblW w:w="0" w:type="auto"/>
        <w:jc w:val="center"/>
        <w:tblLayout w:type="fixed"/>
        <w:tblLook w:val="04A0" w:firstRow="1" w:lastRow="0" w:firstColumn="1" w:lastColumn="0" w:noHBand="0" w:noVBand="1"/>
      </w:tblPr>
      <w:tblGrid>
        <w:gridCol w:w="1020"/>
        <w:gridCol w:w="1814"/>
        <w:gridCol w:w="1814"/>
        <w:gridCol w:w="2098"/>
        <w:gridCol w:w="2279"/>
      </w:tblGrid>
      <w:tr w:rsidR="001F3979" w14:paraId="37959542" w14:textId="77777777">
        <w:trPr>
          <w:tblHeader/>
          <w:jc w:val="center"/>
        </w:trPr>
        <w:tc>
          <w:tcPr>
            <w:tcW w:w="1020" w:type="dxa"/>
            <w:shd w:val="clear" w:color="auto" w:fill="D9E7F3"/>
            <w:vAlign w:val="center"/>
          </w:tcPr>
          <w:p w14:paraId="76A3B719" w14:textId="77777777" w:rsidR="001F3979" w:rsidRDefault="00000000">
            <w:pPr>
              <w:spacing w:after="40" w:line="252" w:lineRule="auto"/>
              <w:jc w:val="left"/>
            </w:pPr>
            <w:r>
              <w:rPr>
                <w:b/>
                <w:sz w:val="17"/>
              </w:rPr>
              <w:t>Element</w:t>
            </w:r>
          </w:p>
        </w:tc>
        <w:tc>
          <w:tcPr>
            <w:tcW w:w="1814" w:type="dxa"/>
            <w:shd w:val="clear" w:color="auto" w:fill="D9E7F3"/>
            <w:vAlign w:val="center"/>
          </w:tcPr>
          <w:p w14:paraId="01B42442" w14:textId="77777777" w:rsidR="001F3979" w:rsidRDefault="00000000">
            <w:pPr>
              <w:spacing w:after="40" w:line="252" w:lineRule="auto"/>
              <w:jc w:val="left"/>
            </w:pPr>
            <w:r>
              <w:rPr>
                <w:b/>
                <w:sz w:val="17"/>
              </w:rPr>
              <w:t>Benefit of standardisation</w:t>
            </w:r>
          </w:p>
        </w:tc>
        <w:tc>
          <w:tcPr>
            <w:tcW w:w="1814" w:type="dxa"/>
            <w:shd w:val="clear" w:color="auto" w:fill="D9E7F3"/>
            <w:vAlign w:val="center"/>
          </w:tcPr>
          <w:p w14:paraId="76DFBA49" w14:textId="77777777" w:rsidR="001F3979" w:rsidRDefault="00000000">
            <w:pPr>
              <w:spacing w:after="40" w:line="252" w:lineRule="auto"/>
              <w:jc w:val="left"/>
            </w:pPr>
            <w:r>
              <w:rPr>
                <w:b/>
                <w:sz w:val="17"/>
              </w:rPr>
              <w:t>Benefit of adaptation</w:t>
            </w:r>
          </w:p>
        </w:tc>
        <w:tc>
          <w:tcPr>
            <w:tcW w:w="2098" w:type="dxa"/>
            <w:shd w:val="clear" w:color="auto" w:fill="D9E7F3"/>
            <w:vAlign w:val="center"/>
          </w:tcPr>
          <w:p w14:paraId="7FFA7934" w14:textId="77777777" w:rsidR="001F3979" w:rsidRDefault="00000000">
            <w:pPr>
              <w:spacing w:after="40" w:line="252" w:lineRule="auto"/>
              <w:jc w:val="left"/>
            </w:pPr>
            <w:r>
              <w:rPr>
                <w:b/>
                <w:sz w:val="17"/>
              </w:rPr>
              <w:t>Principal risk/trade-off</w:t>
            </w:r>
          </w:p>
        </w:tc>
        <w:tc>
          <w:tcPr>
            <w:tcW w:w="2279" w:type="dxa"/>
            <w:shd w:val="clear" w:color="auto" w:fill="D9E7F3"/>
            <w:vAlign w:val="center"/>
          </w:tcPr>
          <w:p w14:paraId="4708CC62" w14:textId="77777777" w:rsidR="001F3979" w:rsidRDefault="00000000">
            <w:pPr>
              <w:spacing w:after="40" w:line="252" w:lineRule="auto"/>
              <w:jc w:val="left"/>
            </w:pPr>
            <w:r>
              <w:rPr>
                <w:b/>
                <w:sz w:val="17"/>
              </w:rPr>
              <w:t>Judgement</w:t>
            </w:r>
          </w:p>
        </w:tc>
      </w:tr>
      <w:tr w:rsidR="001F3979" w14:paraId="75475D22" w14:textId="77777777">
        <w:trPr>
          <w:jc w:val="center"/>
        </w:trPr>
        <w:tc>
          <w:tcPr>
            <w:tcW w:w="1020" w:type="dxa"/>
            <w:vAlign w:val="center"/>
          </w:tcPr>
          <w:p w14:paraId="008BCDA9" w14:textId="77777777" w:rsidR="001F3979" w:rsidRDefault="00000000">
            <w:pPr>
              <w:spacing w:after="40" w:line="252" w:lineRule="auto"/>
              <w:jc w:val="left"/>
            </w:pPr>
            <w:r>
              <w:rPr>
                <w:sz w:val="17"/>
              </w:rPr>
              <w:t>Product</w:t>
            </w:r>
          </w:p>
        </w:tc>
        <w:tc>
          <w:tcPr>
            <w:tcW w:w="1814" w:type="dxa"/>
            <w:vAlign w:val="center"/>
          </w:tcPr>
          <w:p w14:paraId="0E5D8737" w14:textId="77777777" w:rsidR="001F3979" w:rsidRDefault="00000000">
            <w:pPr>
              <w:spacing w:after="40" w:line="252" w:lineRule="auto"/>
              <w:jc w:val="left"/>
            </w:pPr>
            <w:r>
              <w:rPr>
                <w:sz w:val="17"/>
              </w:rPr>
              <w:t>Scale, quality and global innovation</w:t>
            </w:r>
          </w:p>
        </w:tc>
        <w:tc>
          <w:tcPr>
            <w:tcW w:w="1814" w:type="dxa"/>
            <w:vAlign w:val="center"/>
          </w:tcPr>
          <w:p w14:paraId="35191303" w14:textId="77777777" w:rsidR="001F3979" w:rsidRDefault="00000000">
            <w:pPr>
              <w:spacing w:after="40" w:line="252" w:lineRule="auto"/>
              <w:jc w:val="left"/>
            </w:pPr>
            <w:r>
              <w:rPr>
                <w:sz w:val="17"/>
              </w:rPr>
              <w:t>Climate, fit and sport relevance</w:t>
            </w:r>
          </w:p>
        </w:tc>
        <w:tc>
          <w:tcPr>
            <w:tcW w:w="2098" w:type="dxa"/>
            <w:vAlign w:val="center"/>
          </w:tcPr>
          <w:p w14:paraId="1DFB2AC1" w14:textId="77777777" w:rsidR="001F3979" w:rsidRDefault="00000000">
            <w:pPr>
              <w:spacing w:after="40" w:line="252" w:lineRule="auto"/>
              <w:jc w:val="left"/>
            </w:pPr>
            <w:r>
              <w:rPr>
                <w:sz w:val="17"/>
              </w:rPr>
              <w:t>Cost versus local acceptance</w:t>
            </w:r>
          </w:p>
        </w:tc>
        <w:tc>
          <w:tcPr>
            <w:tcW w:w="2279" w:type="dxa"/>
            <w:vAlign w:val="center"/>
          </w:tcPr>
          <w:p w14:paraId="47A3E2FA" w14:textId="77777777" w:rsidR="001F3979" w:rsidRDefault="00000000">
            <w:pPr>
              <w:spacing w:after="40" w:line="252" w:lineRule="auto"/>
              <w:jc w:val="left"/>
            </w:pPr>
            <w:r>
              <w:rPr>
                <w:sz w:val="17"/>
              </w:rPr>
              <w:t>Modular adaptation on global platforms</w:t>
            </w:r>
          </w:p>
        </w:tc>
      </w:tr>
      <w:tr w:rsidR="001F3979" w14:paraId="18546853" w14:textId="77777777">
        <w:trPr>
          <w:jc w:val="center"/>
        </w:trPr>
        <w:tc>
          <w:tcPr>
            <w:tcW w:w="1020" w:type="dxa"/>
            <w:vAlign w:val="center"/>
          </w:tcPr>
          <w:p w14:paraId="4DCCCE72" w14:textId="77777777" w:rsidR="001F3979" w:rsidRDefault="00000000">
            <w:pPr>
              <w:spacing w:after="40" w:line="252" w:lineRule="auto"/>
              <w:jc w:val="left"/>
            </w:pPr>
            <w:r>
              <w:rPr>
                <w:sz w:val="17"/>
              </w:rPr>
              <w:t>Price</w:t>
            </w:r>
          </w:p>
        </w:tc>
        <w:tc>
          <w:tcPr>
            <w:tcW w:w="1814" w:type="dxa"/>
            <w:vAlign w:val="center"/>
          </w:tcPr>
          <w:p w14:paraId="4518D73C" w14:textId="77777777" w:rsidR="001F3979" w:rsidRDefault="00000000">
            <w:pPr>
              <w:spacing w:after="40" w:line="252" w:lineRule="auto"/>
              <w:jc w:val="left"/>
            </w:pPr>
            <w:r>
              <w:rPr>
                <w:sz w:val="17"/>
              </w:rPr>
              <w:t>Prestige and channel coherence</w:t>
            </w:r>
          </w:p>
        </w:tc>
        <w:tc>
          <w:tcPr>
            <w:tcW w:w="1814" w:type="dxa"/>
            <w:vAlign w:val="center"/>
          </w:tcPr>
          <w:p w14:paraId="6506013F" w14:textId="77777777" w:rsidR="001F3979" w:rsidRDefault="00000000">
            <w:pPr>
              <w:spacing w:after="40" w:line="252" w:lineRule="auto"/>
              <w:jc w:val="left"/>
            </w:pPr>
            <w:r>
              <w:rPr>
                <w:sz w:val="17"/>
              </w:rPr>
              <w:t>Affordability and purchasing-power fit</w:t>
            </w:r>
          </w:p>
        </w:tc>
        <w:tc>
          <w:tcPr>
            <w:tcW w:w="2098" w:type="dxa"/>
            <w:vAlign w:val="center"/>
          </w:tcPr>
          <w:p w14:paraId="326AAFAB" w14:textId="77777777" w:rsidR="001F3979" w:rsidRDefault="00000000">
            <w:pPr>
              <w:spacing w:after="40" w:line="252" w:lineRule="auto"/>
              <w:jc w:val="left"/>
            </w:pPr>
            <w:r>
              <w:rPr>
                <w:sz w:val="17"/>
              </w:rPr>
              <w:t>Dilution and channel conflict</w:t>
            </w:r>
          </w:p>
        </w:tc>
        <w:tc>
          <w:tcPr>
            <w:tcW w:w="2279" w:type="dxa"/>
            <w:vAlign w:val="center"/>
          </w:tcPr>
          <w:p w14:paraId="41E20E89" w14:textId="77777777" w:rsidR="001F3979" w:rsidRDefault="00000000">
            <w:pPr>
              <w:spacing w:after="40" w:line="252" w:lineRule="auto"/>
              <w:jc w:val="left"/>
            </w:pPr>
            <w:r>
              <w:rPr>
                <w:sz w:val="17"/>
              </w:rPr>
              <w:t>Standardise architecture; localise tiers</w:t>
            </w:r>
          </w:p>
        </w:tc>
      </w:tr>
      <w:tr w:rsidR="001F3979" w14:paraId="1010A72D" w14:textId="77777777">
        <w:trPr>
          <w:jc w:val="center"/>
        </w:trPr>
        <w:tc>
          <w:tcPr>
            <w:tcW w:w="1020" w:type="dxa"/>
            <w:vAlign w:val="center"/>
          </w:tcPr>
          <w:p w14:paraId="793307B9" w14:textId="77777777" w:rsidR="001F3979" w:rsidRDefault="00000000">
            <w:pPr>
              <w:spacing w:after="40" w:line="252" w:lineRule="auto"/>
              <w:jc w:val="left"/>
            </w:pPr>
            <w:r>
              <w:rPr>
                <w:sz w:val="17"/>
              </w:rPr>
              <w:t>Place</w:t>
            </w:r>
          </w:p>
        </w:tc>
        <w:tc>
          <w:tcPr>
            <w:tcW w:w="1814" w:type="dxa"/>
            <w:vAlign w:val="center"/>
          </w:tcPr>
          <w:p w14:paraId="35BC40AA" w14:textId="77777777" w:rsidR="001F3979" w:rsidRDefault="00000000">
            <w:pPr>
              <w:spacing w:after="40" w:line="252" w:lineRule="auto"/>
              <w:jc w:val="left"/>
            </w:pPr>
            <w:r>
              <w:rPr>
                <w:sz w:val="17"/>
              </w:rPr>
              <w:t>Consistent service and data</w:t>
            </w:r>
          </w:p>
        </w:tc>
        <w:tc>
          <w:tcPr>
            <w:tcW w:w="1814" w:type="dxa"/>
            <w:vAlign w:val="center"/>
          </w:tcPr>
          <w:p w14:paraId="1209885C" w14:textId="77777777" w:rsidR="001F3979" w:rsidRDefault="00000000">
            <w:pPr>
              <w:spacing w:after="40" w:line="252" w:lineRule="auto"/>
              <w:jc w:val="left"/>
            </w:pPr>
            <w:r>
              <w:rPr>
                <w:sz w:val="17"/>
              </w:rPr>
              <w:t>Reach across India’s uneven retail system</w:t>
            </w:r>
          </w:p>
        </w:tc>
        <w:tc>
          <w:tcPr>
            <w:tcW w:w="2098" w:type="dxa"/>
            <w:vAlign w:val="center"/>
          </w:tcPr>
          <w:p w14:paraId="12C0F9A8" w14:textId="77777777" w:rsidR="001F3979" w:rsidRDefault="00000000">
            <w:pPr>
              <w:spacing w:after="40" w:line="252" w:lineRule="auto"/>
              <w:jc w:val="left"/>
            </w:pPr>
            <w:r>
              <w:rPr>
                <w:sz w:val="17"/>
              </w:rPr>
              <w:t>Control versus coverage</w:t>
            </w:r>
          </w:p>
        </w:tc>
        <w:tc>
          <w:tcPr>
            <w:tcW w:w="2279" w:type="dxa"/>
            <w:vAlign w:val="center"/>
          </w:tcPr>
          <w:p w14:paraId="10365968" w14:textId="77777777" w:rsidR="001F3979" w:rsidRDefault="00000000">
            <w:pPr>
              <w:spacing w:after="40" w:line="252" w:lineRule="auto"/>
              <w:jc w:val="left"/>
            </w:pPr>
            <w:r>
              <w:rPr>
                <w:sz w:val="17"/>
              </w:rPr>
              <w:t>Controlled hybrid network</w:t>
            </w:r>
          </w:p>
        </w:tc>
      </w:tr>
      <w:tr w:rsidR="001F3979" w14:paraId="44F76F12" w14:textId="77777777">
        <w:trPr>
          <w:jc w:val="center"/>
        </w:trPr>
        <w:tc>
          <w:tcPr>
            <w:tcW w:w="1020" w:type="dxa"/>
            <w:vAlign w:val="center"/>
          </w:tcPr>
          <w:p w14:paraId="69EA2C42" w14:textId="77777777" w:rsidR="001F3979" w:rsidRDefault="00000000">
            <w:pPr>
              <w:spacing w:after="40" w:line="252" w:lineRule="auto"/>
              <w:jc w:val="left"/>
            </w:pPr>
            <w:r>
              <w:rPr>
                <w:sz w:val="17"/>
              </w:rPr>
              <w:t>Promotion</w:t>
            </w:r>
          </w:p>
        </w:tc>
        <w:tc>
          <w:tcPr>
            <w:tcW w:w="1814" w:type="dxa"/>
            <w:vAlign w:val="center"/>
          </w:tcPr>
          <w:p w14:paraId="57B0C1AF" w14:textId="77777777" w:rsidR="001F3979" w:rsidRDefault="00000000">
            <w:pPr>
              <w:spacing w:after="40" w:line="252" w:lineRule="auto"/>
              <w:jc w:val="left"/>
            </w:pPr>
            <w:r>
              <w:rPr>
                <w:sz w:val="17"/>
              </w:rPr>
              <w:t>Recognition and production efficiency</w:t>
            </w:r>
          </w:p>
        </w:tc>
        <w:tc>
          <w:tcPr>
            <w:tcW w:w="1814" w:type="dxa"/>
            <w:vAlign w:val="center"/>
          </w:tcPr>
          <w:p w14:paraId="33032B05" w14:textId="77777777" w:rsidR="001F3979" w:rsidRDefault="00000000">
            <w:pPr>
              <w:spacing w:after="40" w:line="252" w:lineRule="auto"/>
              <w:jc w:val="left"/>
            </w:pPr>
            <w:r>
              <w:rPr>
                <w:sz w:val="17"/>
              </w:rPr>
              <w:t>Language, sport and cultural resonance</w:t>
            </w:r>
          </w:p>
        </w:tc>
        <w:tc>
          <w:tcPr>
            <w:tcW w:w="2098" w:type="dxa"/>
            <w:vAlign w:val="center"/>
          </w:tcPr>
          <w:p w14:paraId="1B962D7E" w14:textId="77777777" w:rsidR="001F3979" w:rsidRDefault="00000000">
            <w:pPr>
              <w:spacing w:after="40" w:line="252" w:lineRule="auto"/>
              <w:jc w:val="left"/>
            </w:pPr>
            <w:r>
              <w:rPr>
                <w:sz w:val="17"/>
              </w:rPr>
              <w:t>Fragmentation versus cultural distance</w:t>
            </w:r>
          </w:p>
        </w:tc>
        <w:tc>
          <w:tcPr>
            <w:tcW w:w="2279" w:type="dxa"/>
            <w:vAlign w:val="center"/>
          </w:tcPr>
          <w:p w14:paraId="6B5C09F8" w14:textId="77777777" w:rsidR="001F3979" w:rsidRDefault="00000000">
            <w:pPr>
              <w:spacing w:after="40" w:line="252" w:lineRule="auto"/>
              <w:jc w:val="left"/>
            </w:pPr>
            <w:r>
              <w:rPr>
                <w:sz w:val="17"/>
              </w:rPr>
              <w:t>Global proposition; locally tested execution</w:t>
            </w:r>
          </w:p>
        </w:tc>
      </w:tr>
      <w:tr w:rsidR="001F3979" w14:paraId="63A86634" w14:textId="77777777">
        <w:trPr>
          <w:jc w:val="center"/>
        </w:trPr>
        <w:tc>
          <w:tcPr>
            <w:tcW w:w="1020" w:type="dxa"/>
            <w:vAlign w:val="center"/>
          </w:tcPr>
          <w:p w14:paraId="636CE8AB" w14:textId="77777777" w:rsidR="001F3979" w:rsidRDefault="00000000">
            <w:pPr>
              <w:spacing w:after="40" w:line="252" w:lineRule="auto"/>
              <w:jc w:val="left"/>
            </w:pPr>
            <w:r>
              <w:rPr>
                <w:sz w:val="17"/>
              </w:rPr>
              <w:t>People</w:t>
            </w:r>
          </w:p>
        </w:tc>
        <w:tc>
          <w:tcPr>
            <w:tcW w:w="1814" w:type="dxa"/>
            <w:vAlign w:val="center"/>
          </w:tcPr>
          <w:p w14:paraId="6426CDDF" w14:textId="77777777" w:rsidR="001F3979" w:rsidRDefault="00000000">
            <w:pPr>
              <w:spacing w:after="40" w:line="252" w:lineRule="auto"/>
              <w:jc w:val="left"/>
            </w:pPr>
            <w:r>
              <w:rPr>
                <w:sz w:val="17"/>
              </w:rPr>
              <w:t>Technical and ethical consistency</w:t>
            </w:r>
          </w:p>
        </w:tc>
        <w:tc>
          <w:tcPr>
            <w:tcW w:w="1814" w:type="dxa"/>
            <w:vAlign w:val="center"/>
          </w:tcPr>
          <w:p w14:paraId="3FB4D77A" w14:textId="77777777" w:rsidR="001F3979" w:rsidRDefault="00000000">
            <w:pPr>
              <w:spacing w:after="40" w:line="252" w:lineRule="auto"/>
              <w:jc w:val="left"/>
            </w:pPr>
            <w:r>
              <w:rPr>
                <w:sz w:val="17"/>
              </w:rPr>
              <w:t>Multilingual, gender and cultural competence</w:t>
            </w:r>
          </w:p>
        </w:tc>
        <w:tc>
          <w:tcPr>
            <w:tcW w:w="2098" w:type="dxa"/>
            <w:vAlign w:val="center"/>
          </w:tcPr>
          <w:p w14:paraId="17BB39A4" w14:textId="77777777" w:rsidR="001F3979" w:rsidRDefault="00000000">
            <w:pPr>
              <w:spacing w:after="40" w:line="252" w:lineRule="auto"/>
              <w:jc w:val="left"/>
            </w:pPr>
            <w:r>
              <w:rPr>
                <w:sz w:val="17"/>
              </w:rPr>
              <w:t>Scripted service versus variability</w:t>
            </w:r>
          </w:p>
        </w:tc>
        <w:tc>
          <w:tcPr>
            <w:tcW w:w="2279" w:type="dxa"/>
            <w:vAlign w:val="center"/>
          </w:tcPr>
          <w:p w14:paraId="049F05A6" w14:textId="77777777" w:rsidR="001F3979" w:rsidRDefault="00000000">
            <w:pPr>
              <w:spacing w:after="40" w:line="252" w:lineRule="auto"/>
              <w:jc w:val="left"/>
            </w:pPr>
            <w:r>
              <w:rPr>
                <w:sz w:val="17"/>
              </w:rPr>
              <w:t>Common certification; local scenarios</w:t>
            </w:r>
          </w:p>
        </w:tc>
      </w:tr>
      <w:tr w:rsidR="001F3979" w14:paraId="1799A2CA" w14:textId="77777777">
        <w:trPr>
          <w:jc w:val="center"/>
        </w:trPr>
        <w:tc>
          <w:tcPr>
            <w:tcW w:w="1020" w:type="dxa"/>
            <w:vAlign w:val="center"/>
          </w:tcPr>
          <w:p w14:paraId="4E65BBDF" w14:textId="77777777" w:rsidR="001F3979" w:rsidRDefault="00000000">
            <w:pPr>
              <w:spacing w:after="40" w:line="252" w:lineRule="auto"/>
              <w:jc w:val="left"/>
            </w:pPr>
            <w:r>
              <w:rPr>
                <w:sz w:val="17"/>
              </w:rPr>
              <w:t>Process</w:t>
            </w:r>
          </w:p>
        </w:tc>
        <w:tc>
          <w:tcPr>
            <w:tcW w:w="1814" w:type="dxa"/>
            <w:vAlign w:val="center"/>
          </w:tcPr>
          <w:p w14:paraId="2FE531D4" w14:textId="77777777" w:rsidR="001F3979" w:rsidRDefault="00000000">
            <w:pPr>
              <w:spacing w:after="40" w:line="252" w:lineRule="auto"/>
              <w:jc w:val="left"/>
            </w:pPr>
            <w:r>
              <w:rPr>
                <w:sz w:val="17"/>
              </w:rPr>
              <w:t>Reliability, privacy and governance</w:t>
            </w:r>
          </w:p>
        </w:tc>
        <w:tc>
          <w:tcPr>
            <w:tcW w:w="1814" w:type="dxa"/>
            <w:vAlign w:val="center"/>
          </w:tcPr>
          <w:p w14:paraId="06B5675D" w14:textId="77777777" w:rsidR="001F3979" w:rsidRDefault="00000000">
            <w:pPr>
              <w:spacing w:after="40" w:line="252" w:lineRule="auto"/>
              <w:jc w:val="left"/>
            </w:pPr>
            <w:r>
              <w:rPr>
                <w:sz w:val="17"/>
              </w:rPr>
              <w:t>Local payment, delivery and exchange fit</w:t>
            </w:r>
          </w:p>
        </w:tc>
        <w:tc>
          <w:tcPr>
            <w:tcW w:w="2098" w:type="dxa"/>
            <w:vAlign w:val="center"/>
          </w:tcPr>
          <w:p w14:paraId="784B09FD" w14:textId="77777777" w:rsidR="001F3979" w:rsidRDefault="00000000">
            <w:pPr>
              <w:spacing w:after="40" w:line="252" w:lineRule="auto"/>
              <w:jc w:val="left"/>
            </w:pPr>
            <w:r>
              <w:rPr>
                <w:sz w:val="17"/>
              </w:rPr>
              <w:t>Complexity versus conversion</w:t>
            </w:r>
          </w:p>
        </w:tc>
        <w:tc>
          <w:tcPr>
            <w:tcW w:w="2279" w:type="dxa"/>
            <w:vAlign w:val="center"/>
          </w:tcPr>
          <w:p w14:paraId="71CB1961" w14:textId="77777777" w:rsidR="001F3979" w:rsidRDefault="00000000">
            <w:pPr>
              <w:spacing w:after="40" w:line="252" w:lineRule="auto"/>
              <w:jc w:val="left"/>
            </w:pPr>
            <w:r>
              <w:rPr>
                <w:sz w:val="17"/>
              </w:rPr>
              <w:t>Common backbone; modular interfaces</w:t>
            </w:r>
          </w:p>
        </w:tc>
      </w:tr>
      <w:tr w:rsidR="001F3979" w14:paraId="525E1D25" w14:textId="77777777">
        <w:trPr>
          <w:jc w:val="center"/>
        </w:trPr>
        <w:tc>
          <w:tcPr>
            <w:tcW w:w="1020" w:type="dxa"/>
            <w:vAlign w:val="center"/>
          </w:tcPr>
          <w:p w14:paraId="7C06DF4B" w14:textId="77777777" w:rsidR="001F3979" w:rsidRDefault="00000000">
            <w:pPr>
              <w:spacing w:after="40" w:line="252" w:lineRule="auto"/>
              <w:jc w:val="left"/>
            </w:pPr>
            <w:r>
              <w:rPr>
                <w:sz w:val="17"/>
              </w:rPr>
              <w:t>Physical evidence</w:t>
            </w:r>
          </w:p>
        </w:tc>
        <w:tc>
          <w:tcPr>
            <w:tcW w:w="1814" w:type="dxa"/>
            <w:vAlign w:val="center"/>
          </w:tcPr>
          <w:p w14:paraId="2EB13E21" w14:textId="77777777" w:rsidR="001F3979" w:rsidRDefault="00000000">
            <w:pPr>
              <w:spacing w:after="40" w:line="252" w:lineRule="auto"/>
              <w:jc w:val="left"/>
            </w:pPr>
            <w:r>
              <w:rPr>
                <w:sz w:val="17"/>
              </w:rPr>
              <w:t>Authenticity and recognisable quality</w:t>
            </w:r>
          </w:p>
        </w:tc>
        <w:tc>
          <w:tcPr>
            <w:tcW w:w="1814" w:type="dxa"/>
            <w:vAlign w:val="center"/>
          </w:tcPr>
          <w:p w14:paraId="60A93175" w14:textId="77777777" w:rsidR="001F3979" w:rsidRDefault="00000000">
            <w:pPr>
              <w:spacing w:after="40" w:line="252" w:lineRule="auto"/>
              <w:jc w:val="left"/>
            </w:pPr>
            <w:r>
              <w:rPr>
                <w:sz w:val="17"/>
              </w:rPr>
              <w:t>Locally credible proof and storytelling</w:t>
            </w:r>
          </w:p>
        </w:tc>
        <w:tc>
          <w:tcPr>
            <w:tcW w:w="2098" w:type="dxa"/>
            <w:vAlign w:val="center"/>
          </w:tcPr>
          <w:p w14:paraId="55DB3B8E" w14:textId="77777777" w:rsidR="001F3979" w:rsidRDefault="00000000">
            <w:pPr>
              <w:spacing w:after="40" w:line="252" w:lineRule="auto"/>
              <w:jc w:val="left"/>
            </w:pPr>
            <w:r>
              <w:rPr>
                <w:sz w:val="17"/>
              </w:rPr>
              <w:t>Imported feel versus brand inconsistency</w:t>
            </w:r>
          </w:p>
        </w:tc>
        <w:tc>
          <w:tcPr>
            <w:tcW w:w="2279" w:type="dxa"/>
            <w:vAlign w:val="center"/>
          </w:tcPr>
          <w:p w14:paraId="56889F8F" w14:textId="77777777" w:rsidR="001F3979" w:rsidRDefault="00000000">
            <w:pPr>
              <w:spacing w:after="40" w:line="252" w:lineRule="auto"/>
              <w:jc w:val="left"/>
            </w:pPr>
            <w:r>
              <w:rPr>
                <w:sz w:val="17"/>
              </w:rPr>
              <w:t>Common codes; local proof points</w:t>
            </w:r>
          </w:p>
        </w:tc>
      </w:tr>
    </w:tbl>
    <w:p w14:paraId="7F90F95E" w14:textId="77777777" w:rsidR="001F3979" w:rsidRDefault="001F3979"/>
    <w:p w14:paraId="77BB7EAF" w14:textId="77777777" w:rsidR="001F3979" w:rsidRDefault="00000000">
      <w:pPr>
        <w:jc w:val="left"/>
      </w:pPr>
      <w:r>
        <w:rPr>
          <w:i/>
        </w:rPr>
        <w:t>Source: Author’s evaluation informed by Booms and Bitner (1981), Mandler et al. (2021), Both and Steinmann (2023), Lee et al. (2024) and Tsougkou et al. (2025).</w:t>
      </w:r>
    </w:p>
    <w:p w14:paraId="6EF8035F" w14:textId="77777777" w:rsidR="001F3979" w:rsidRDefault="00000000">
      <w:r>
        <w:t>The table rejects both extremes. Selective adaptation is justified only where local relevance or operating feasibility creates value greater than added cost and complexity. Integration remains decisive: locally resonant promotion fails without stock, while affordable pricing fails if counterfeit exposure destroys trust.</w:t>
      </w:r>
    </w:p>
    <w:p w14:paraId="3BA640D5" w14:textId="77777777" w:rsidR="001F3979" w:rsidRDefault="00000000">
      <w:pPr>
        <w:pStyle w:val="Heading2"/>
      </w:pPr>
      <w:bookmarkStart w:id="14" w:name="_Toc237353521"/>
      <w:r>
        <w:t>6. India Market Entry and Development Strategy</w:t>
      </w:r>
      <w:bookmarkEnd w:id="14"/>
    </w:p>
    <w:p w14:paraId="50515DF0" w14:textId="77777777" w:rsidR="004829B5" w:rsidRDefault="004829B5" w:rsidP="004829B5">
      <w:r>
        <w:t xml:space="preserve">Adidas’s India presence is better understood as an incremental development process then a </w:t>
      </w:r>
      <w:proofErr w:type="gramStart"/>
      <w:r>
        <w:t>single entry</w:t>
      </w:r>
      <w:proofErr w:type="gramEnd"/>
      <w:r>
        <w:t xml:space="preserve"> event. The company runs via Adidas India Marketing Pvt. </w:t>
      </w:r>
      <w:proofErr w:type="gramStart"/>
      <w:r>
        <w:t>Ltd. ,</w:t>
      </w:r>
      <w:proofErr w:type="gramEnd"/>
      <w:r>
        <w:t xml:space="preserve"> brand-controlled digital </w:t>
      </w:r>
      <w:proofErr w:type="gramStart"/>
      <w:r>
        <w:t>channels ,</w:t>
      </w:r>
      <w:proofErr w:type="gramEnd"/>
      <w:r>
        <w:t xml:space="preserve"> </w:t>
      </w:r>
      <w:proofErr w:type="gramStart"/>
      <w:r>
        <w:t>stores ,</w:t>
      </w:r>
      <w:proofErr w:type="gramEnd"/>
      <w:r>
        <w:t xml:space="preserve"> franchise relationships and also wholesale or marketplace partners. This setup mixes </w:t>
      </w:r>
      <w:proofErr w:type="gramStart"/>
      <w:r>
        <w:t>ownership based</w:t>
      </w:r>
      <w:proofErr w:type="gramEnd"/>
      <w:r>
        <w:t xml:space="preserve"> control with partner enabled reach. It feels like the incremental </w:t>
      </w:r>
      <w:proofErr w:type="spellStart"/>
      <w:r>
        <w:t>internationalisation</w:t>
      </w:r>
      <w:proofErr w:type="spellEnd"/>
      <w:r>
        <w:t xml:space="preserve"> logic of Johanson and Vahlne (</w:t>
      </w:r>
      <w:proofErr w:type="gramStart"/>
      <w:r>
        <w:t>1977 ;</w:t>
      </w:r>
      <w:proofErr w:type="gramEnd"/>
      <w:r>
        <w:t xml:space="preserve"> 2009</w:t>
      </w:r>
      <w:proofErr w:type="gramStart"/>
      <w:r>
        <w:t>) :</w:t>
      </w:r>
      <w:proofErr w:type="gramEnd"/>
      <w:r>
        <w:t xml:space="preserve"> commitment tends to rise as experiential knowledge improves, yet Adidas’s large scale and global brand also dampen a part of the liabilities of foreignness</w:t>
      </w:r>
    </w:p>
    <w:p w14:paraId="5C8DA677" w14:textId="77777777" w:rsidR="004829B5" w:rsidRDefault="004829B5" w:rsidP="004829B5"/>
    <w:p w14:paraId="727605FA" w14:textId="4137FABF" w:rsidR="001F3979" w:rsidRDefault="004829B5" w:rsidP="004829B5">
      <w:r>
        <w:t xml:space="preserve">Entry mode should be viewed through five competing lenses: control of brand and data, capital exposure, speed, local learning, and reversibility. Taken together these </w:t>
      </w:r>
      <w:r>
        <w:lastRenderedPageBreak/>
        <w:t xml:space="preserve">lenses create </w:t>
      </w:r>
      <w:proofErr w:type="spellStart"/>
      <w:r>
        <w:t>trade offs</w:t>
      </w:r>
      <w:proofErr w:type="spellEnd"/>
      <w:r>
        <w:t xml:space="preserve"> instead of some one size “best” mode (Hollensen, 2020). </w:t>
      </w:r>
      <w:proofErr w:type="gramStart"/>
      <w:r>
        <w:t>So</w:t>
      </w:r>
      <w:proofErr w:type="gramEnd"/>
      <w:r>
        <w:t xml:space="preserve"> Table 4 checks the alternatives first before choosing the hybrid </w:t>
      </w:r>
      <w:proofErr w:type="gramStart"/>
      <w:r>
        <w:t>configuration..</w:t>
      </w:r>
      <w:proofErr w:type="gramEnd"/>
    </w:p>
    <w:p w14:paraId="34D04D1E" w14:textId="77777777" w:rsidR="001F3979" w:rsidRDefault="00000000">
      <w:pPr>
        <w:keepNext/>
      </w:pPr>
      <w:r>
        <w:rPr>
          <w:b/>
        </w:rPr>
        <w:t>Table 4. Critical comparison of India market-development modes</w:t>
      </w:r>
    </w:p>
    <w:tbl>
      <w:tblPr>
        <w:tblStyle w:val="TableGrid"/>
        <w:tblW w:w="0" w:type="auto"/>
        <w:jc w:val="center"/>
        <w:tblLayout w:type="fixed"/>
        <w:tblLook w:val="04A0" w:firstRow="1" w:lastRow="0" w:firstColumn="1" w:lastColumn="0" w:noHBand="0" w:noVBand="1"/>
      </w:tblPr>
      <w:tblGrid>
        <w:gridCol w:w="1191"/>
        <w:gridCol w:w="850"/>
        <w:gridCol w:w="1701"/>
        <w:gridCol w:w="2494"/>
        <w:gridCol w:w="2789"/>
      </w:tblGrid>
      <w:tr w:rsidR="001F3979" w14:paraId="3BB63E3E" w14:textId="77777777">
        <w:trPr>
          <w:tblHeader/>
          <w:jc w:val="center"/>
        </w:trPr>
        <w:tc>
          <w:tcPr>
            <w:tcW w:w="1191" w:type="dxa"/>
            <w:shd w:val="clear" w:color="auto" w:fill="D9E7F3"/>
            <w:vAlign w:val="center"/>
          </w:tcPr>
          <w:p w14:paraId="362B5722" w14:textId="77777777" w:rsidR="001F3979" w:rsidRDefault="00000000">
            <w:pPr>
              <w:spacing w:after="40" w:line="252" w:lineRule="auto"/>
              <w:jc w:val="left"/>
            </w:pPr>
            <w:r>
              <w:rPr>
                <w:b/>
                <w:sz w:val="17"/>
              </w:rPr>
              <w:t>Mode</w:t>
            </w:r>
          </w:p>
        </w:tc>
        <w:tc>
          <w:tcPr>
            <w:tcW w:w="850" w:type="dxa"/>
            <w:shd w:val="clear" w:color="auto" w:fill="D9E7F3"/>
            <w:vAlign w:val="center"/>
          </w:tcPr>
          <w:p w14:paraId="37BA8805" w14:textId="77777777" w:rsidR="001F3979" w:rsidRDefault="00000000">
            <w:pPr>
              <w:spacing w:after="40" w:line="252" w:lineRule="auto"/>
              <w:jc w:val="left"/>
            </w:pPr>
            <w:r>
              <w:rPr>
                <w:b/>
                <w:sz w:val="17"/>
              </w:rPr>
              <w:t>Control</w:t>
            </w:r>
          </w:p>
        </w:tc>
        <w:tc>
          <w:tcPr>
            <w:tcW w:w="1701" w:type="dxa"/>
            <w:shd w:val="clear" w:color="auto" w:fill="D9E7F3"/>
            <w:vAlign w:val="center"/>
          </w:tcPr>
          <w:p w14:paraId="0A010B66" w14:textId="77777777" w:rsidR="001F3979" w:rsidRDefault="00000000">
            <w:pPr>
              <w:spacing w:after="40" w:line="252" w:lineRule="auto"/>
              <w:jc w:val="left"/>
            </w:pPr>
            <w:r>
              <w:rPr>
                <w:b/>
                <w:sz w:val="17"/>
              </w:rPr>
              <w:t>Investment and speed</w:t>
            </w:r>
          </w:p>
        </w:tc>
        <w:tc>
          <w:tcPr>
            <w:tcW w:w="2494" w:type="dxa"/>
            <w:shd w:val="clear" w:color="auto" w:fill="D9E7F3"/>
            <w:vAlign w:val="center"/>
          </w:tcPr>
          <w:p w14:paraId="651F0AE4" w14:textId="77777777" w:rsidR="001F3979" w:rsidRDefault="00000000">
            <w:pPr>
              <w:spacing w:after="40" w:line="252" w:lineRule="auto"/>
              <w:jc w:val="left"/>
            </w:pPr>
            <w:r>
              <w:rPr>
                <w:b/>
                <w:sz w:val="17"/>
              </w:rPr>
              <w:t>Principal limitation</w:t>
            </w:r>
          </w:p>
        </w:tc>
        <w:tc>
          <w:tcPr>
            <w:tcW w:w="2789" w:type="dxa"/>
            <w:shd w:val="clear" w:color="auto" w:fill="D9E7F3"/>
            <w:vAlign w:val="center"/>
          </w:tcPr>
          <w:p w14:paraId="72F1A790" w14:textId="77777777" w:rsidR="001F3979" w:rsidRDefault="00000000">
            <w:pPr>
              <w:spacing w:after="40" w:line="252" w:lineRule="auto"/>
              <w:jc w:val="left"/>
            </w:pPr>
            <w:r>
              <w:rPr>
                <w:b/>
                <w:sz w:val="17"/>
              </w:rPr>
              <w:t>Judgement</w:t>
            </w:r>
          </w:p>
        </w:tc>
      </w:tr>
      <w:tr w:rsidR="001F3979" w14:paraId="283A3F53" w14:textId="77777777">
        <w:trPr>
          <w:jc w:val="center"/>
        </w:trPr>
        <w:tc>
          <w:tcPr>
            <w:tcW w:w="1191" w:type="dxa"/>
            <w:vAlign w:val="center"/>
          </w:tcPr>
          <w:p w14:paraId="597E9EF9" w14:textId="77777777" w:rsidR="001F3979" w:rsidRDefault="00000000">
            <w:pPr>
              <w:spacing w:after="40" w:line="252" w:lineRule="auto"/>
              <w:jc w:val="left"/>
            </w:pPr>
            <w:r>
              <w:rPr>
                <w:sz w:val="17"/>
              </w:rPr>
              <w:t>Export-led</w:t>
            </w:r>
          </w:p>
        </w:tc>
        <w:tc>
          <w:tcPr>
            <w:tcW w:w="850" w:type="dxa"/>
            <w:vAlign w:val="center"/>
          </w:tcPr>
          <w:p w14:paraId="69A5971D" w14:textId="77777777" w:rsidR="001F3979" w:rsidRDefault="00000000">
            <w:pPr>
              <w:spacing w:after="40" w:line="252" w:lineRule="auto"/>
              <w:jc w:val="left"/>
            </w:pPr>
            <w:r>
              <w:rPr>
                <w:sz w:val="17"/>
              </w:rPr>
              <w:t>Medium</w:t>
            </w:r>
          </w:p>
        </w:tc>
        <w:tc>
          <w:tcPr>
            <w:tcW w:w="1701" w:type="dxa"/>
            <w:vAlign w:val="center"/>
          </w:tcPr>
          <w:p w14:paraId="10A31984" w14:textId="77777777" w:rsidR="001F3979" w:rsidRDefault="00000000">
            <w:pPr>
              <w:spacing w:after="40" w:line="252" w:lineRule="auto"/>
              <w:jc w:val="left"/>
            </w:pPr>
            <w:r>
              <w:rPr>
                <w:sz w:val="17"/>
              </w:rPr>
              <w:t>Low investment; medium speed</w:t>
            </w:r>
          </w:p>
        </w:tc>
        <w:tc>
          <w:tcPr>
            <w:tcW w:w="2494" w:type="dxa"/>
            <w:vAlign w:val="center"/>
          </w:tcPr>
          <w:p w14:paraId="5C169898" w14:textId="77777777" w:rsidR="001F3979" w:rsidRDefault="00000000">
            <w:pPr>
              <w:spacing w:after="40" w:line="252" w:lineRule="auto"/>
              <w:jc w:val="left"/>
            </w:pPr>
            <w:r>
              <w:rPr>
                <w:sz w:val="17"/>
              </w:rPr>
              <w:t>Tariffs, certification, currency and replenishment exposure</w:t>
            </w:r>
          </w:p>
        </w:tc>
        <w:tc>
          <w:tcPr>
            <w:tcW w:w="2789" w:type="dxa"/>
            <w:vAlign w:val="center"/>
          </w:tcPr>
          <w:p w14:paraId="69E8EF89" w14:textId="77777777" w:rsidR="001F3979" w:rsidRDefault="00000000">
            <w:pPr>
              <w:spacing w:after="40" w:line="252" w:lineRule="auto"/>
              <w:jc w:val="left"/>
            </w:pPr>
            <w:r>
              <w:rPr>
                <w:sz w:val="17"/>
              </w:rPr>
              <w:t>Retain for halo products, not mass growth</w:t>
            </w:r>
          </w:p>
        </w:tc>
      </w:tr>
      <w:tr w:rsidR="001F3979" w14:paraId="49E44191" w14:textId="77777777">
        <w:trPr>
          <w:jc w:val="center"/>
        </w:trPr>
        <w:tc>
          <w:tcPr>
            <w:tcW w:w="1191" w:type="dxa"/>
            <w:vAlign w:val="center"/>
          </w:tcPr>
          <w:p w14:paraId="5D9C23D9" w14:textId="77777777" w:rsidR="001F3979" w:rsidRDefault="00000000">
            <w:pPr>
              <w:spacing w:after="40" w:line="252" w:lineRule="auto"/>
              <w:jc w:val="left"/>
            </w:pPr>
            <w:r>
              <w:rPr>
                <w:sz w:val="17"/>
              </w:rPr>
              <w:t>Licensing/distribution</w:t>
            </w:r>
          </w:p>
        </w:tc>
        <w:tc>
          <w:tcPr>
            <w:tcW w:w="850" w:type="dxa"/>
            <w:vAlign w:val="center"/>
          </w:tcPr>
          <w:p w14:paraId="4A182DB9" w14:textId="77777777" w:rsidR="001F3979" w:rsidRDefault="00000000">
            <w:pPr>
              <w:spacing w:after="40" w:line="252" w:lineRule="auto"/>
              <w:jc w:val="left"/>
            </w:pPr>
            <w:r>
              <w:rPr>
                <w:sz w:val="17"/>
              </w:rPr>
              <w:t>Low</w:t>
            </w:r>
          </w:p>
        </w:tc>
        <w:tc>
          <w:tcPr>
            <w:tcW w:w="1701" w:type="dxa"/>
            <w:vAlign w:val="center"/>
          </w:tcPr>
          <w:p w14:paraId="1C9EEFA5" w14:textId="77777777" w:rsidR="001F3979" w:rsidRDefault="00000000">
            <w:pPr>
              <w:spacing w:after="40" w:line="252" w:lineRule="auto"/>
              <w:jc w:val="left"/>
            </w:pPr>
            <w:r>
              <w:rPr>
                <w:sz w:val="17"/>
              </w:rPr>
              <w:t>Low investment; high speed</w:t>
            </w:r>
          </w:p>
        </w:tc>
        <w:tc>
          <w:tcPr>
            <w:tcW w:w="2494" w:type="dxa"/>
            <w:vAlign w:val="center"/>
          </w:tcPr>
          <w:p w14:paraId="185C53D4" w14:textId="77777777" w:rsidR="001F3979" w:rsidRDefault="00000000">
            <w:pPr>
              <w:spacing w:after="40" w:line="252" w:lineRule="auto"/>
              <w:jc w:val="left"/>
            </w:pPr>
            <w:r>
              <w:rPr>
                <w:sz w:val="17"/>
              </w:rPr>
              <w:t>Weak data, price, quality and brand control</w:t>
            </w:r>
          </w:p>
        </w:tc>
        <w:tc>
          <w:tcPr>
            <w:tcW w:w="2789" w:type="dxa"/>
            <w:vAlign w:val="center"/>
          </w:tcPr>
          <w:p w14:paraId="2908990D" w14:textId="77777777" w:rsidR="001F3979" w:rsidRDefault="00000000">
            <w:pPr>
              <w:spacing w:after="40" w:line="252" w:lineRule="auto"/>
              <w:jc w:val="left"/>
            </w:pPr>
            <w:r>
              <w:rPr>
                <w:sz w:val="17"/>
              </w:rPr>
              <w:t>Reject as dominant mode</w:t>
            </w:r>
          </w:p>
        </w:tc>
      </w:tr>
      <w:tr w:rsidR="001F3979" w14:paraId="16990D5C" w14:textId="77777777">
        <w:trPr>
          <w:jc w:val="center"/>
        </w:trPr>
        <w:tc>
          <w:tcPr>
            <w:tcW w:w="1191" w:type="dxa"/>
            <w:vAlign w:val="center"/>
          </w:tcPr>
          <w:p w14:paraId="54B43A35" w14:textId="77777777" w:rsidR="001F3979" w:rsidRDefault="00000000">
            <w:pPr>
              <w:spacing w:after="40" w:line="252" w:lineRule="auto"/>
              <w:jc w:val="left"/>
            </w:pPr>
            <w:r>
              <w:rPr>
                <w:sz w:val="17"/>
              </w:rPr>
              <w:t>Joint venture</w:t>
            </w:r>
          </w:p>
        </w:tc>
        <w:tc>
          <w:tcPr>
            <w:tcW w:w="850" w:type="dxa"/>
            <w:vAlign w:val="center"/>
          </w:tcPr>
          <w:p w14:paraId="2129D7A0" w14:textId="77777777" w:rsidR="001F3979" w:rsidRDefault="00000000">
            <w:pPr>
              <w:spacing w:after="40" w:line="252" w:lineRule="auto"/>
              <w:jc w:val="left"/>
            </w:pPr>
            <w:r>
              <w:rPr>
                <w:sz w:val="17"/>
              </w:rPr>
              <w:t>Shared</w:t>
            </w:r>
          </w:p>
        </w:tc>
        <w:tc>
          <w:tcPr>
            <w:tcW w:w="1701" w:type="dxa"/>
            <w:vAlign w:val="center"/>
          </w:tcPr>
          <w:p w14:paraId="5D41DCD4" w14:textId="77777777" w:rsidR="001F3979" w:rsidRDefault="00000000">
            <w:pPr>
              <w:spacing w:after="40" w:line="252" w:lineRule="auto"/>
              <w:jc w:val="left"/>
            </w:pPr>
            <w:r>
              <w:rPr>
                <w:sz w:val="17"/>
              </w:rPr>
              <w:t>Medium–high investment; medium speed</w:t>
            </w:r>
          </w:p>
        </w:tc>
        <w:tc>
          <w:tcPr>
            <w:tcW w:w="2494" w:type="dxa"/>
            <w:vAlign w:val="center"/>
          </w:tcPr>
          <w:p w14:paraId="42C1AAB3" w14:textId="77777777" w:rsidR="001F3979" w:rsidRDefault="00000000">
            <w:pPr>
              <w:spacing w:after="40" w:line="252" w:lineRule="auto"/>
              <w:jc w:val="left"/>
            </w:pPr>
            <w:r>
              <w:rPr>
                <w:sz w:val="17"/>
              </w:rPr>
              <w:t>Partner conflict and divided control, despite local knowledge</w:t>
            </w:r>
          </w:p>
        </w:tc>
        <w:tc>
          <w:tcPr>
            <w:tcW w:w="2789" w:type="dxa"/>
            <w:vAlign w:val="center"/>
          </w:tcPr>
          <w:p w14:paraId="1ABE6E45" w14:textId="77777777" w:rsidR="001F3979" w:rsidRDefault="00000000">
            <w:pPr>
              <w:spacing w:after="40" w:line="252" w:lineRule="auto"/>
              <w:jc w:val="left"/>
            </w:pPr>
            <w:r>
              <w:rPr>
                <w:sz w:val="17"/>
              </w:rPr>
              <w:t>Unnecessary for routine retail; consider only for capability gaps</w:t>
            </w:r>
          </w:p>
        </w:tc>
      </w:tr>
      <w:tr w:rsidR="001F3979" w14:paraId="744E200C" w14:textId="77777777">
        <w:trPr>
          <w:jc w:val="center"/>
        </w:trPr>
        <w:tc>
          <w:tcPr>
            <w:tcW w:w="1191" w:type="dxa"/>
            <w:vAlign w:val="center"/>
          </w:tcPr>
          <w:p w14:paraId="08A2300F" w14:textId="77777777" w:rsidR="001F3979" w:rsidRDefault="00000000">
            <w:pPr>
              <w:spacing w:after="40" w:line="252" w:lineRule="auto"/>
              <w:jc w:val="left"/>
            </w:pPr>
            <w:r>
              <w:rPr>
                <w:sz w:val="17"/>
              </w:rPr>
              <w:t>Wholly owned retail</w:t>
            </w:r>
          </w:p>
        </w:tc>
        <w:tc>
          <w:tcPr>
            <w:tcW w:w="850" w:type="dxa"/>
            <w:vAlign w:val="center"/>
          </w:tcPr>
          <w:p w14:paraId="511A5450" w14:textId="77777777" w:rsidR="001F3979" w:rsidRDefault="00000000">
            <w:pPr>
              <w:spacing w:after="40" w:line="252" w:lineRule="auto"/>
              <w:jc w:val="left"/>
            </w:pPr>
            <w:r>
              <w:rPr>
                <w:sz w:val="17"/>
              </w:rPr>
              <w:t>High</w:t>
            </w:r>
          </w:p>
        </w:tc>
        <w:tc>
          <w:tcPr>
            <w:tcW w:w="1701" w:type="dxa"/>
            <w:vAlign w:val="center"/>
          </w:tcPr>
          <w:p w14:paraId="7A2168FC" w14:textId="77777777" w:rsidR="001F3979" w:rsidRDefault="00000000">
            <w:pPr>
              <w:spacing w:after="40" w:line="252" w:lineRule="auto"/>
              <w:jc w:val="left"/>
            </w:pPr>
            <w:r>
              <w:rPr>
                <w:sz w:val="17"/>
              </w:rPr>
              <w:t>High investment; slow expansion</w:t>
            </w:r>
          </w:p>
        </w:tc>
        <w:tc>
          <w:tcPr>
            <w:tcW w:w="2494" w:type="dxa"/>
            <w:vAlign w:val="center"/>
          </w:tcPr>
          <w:p w14:paraId="6EC58946" w14:textId="77777777" w:rsidR="001F3979" w:rsidRDefault="00000000">
            <w:pPr>
              <w:spacing w:after="40" w:line="252" w:lineRule="auto"/>
              <w:jc w:val="left"/>
            </w:pPr>
            <w:r>
              <w:rPr>
                <w:sz w:val="17"/>
              </w:rPr>
              <w:t>Capital intensity and limited geographic learning</w:t>
            </w:r>
          </w:p>
        </w:tc>
        <w:tc>
          <w:tcPr>
            <w:tcW w:w="2789" w:type="dxa"/>
            <w:vAlign w:val="center"/>
          </w:tcPr>
          <w:p w14:paraId="2B303AD7" w14:textId="77777777" w:rsidR="001F3979" w:rsidRDefault="00000000">
            <w:pPr>
              <w:spacing w:after="40" w:line="252" w:lineRule="auto"/>
              <w:jc w:val="left"/>
            </w:pPr>
            <w:r>
              <w:rPr>
                <w:sz w:val="17"/>
              </w:rPr>
              <w:t>Use selectively for flagships</w:t>
            </w:r>
          </w:p>
        </w:tc>
      </w:tr>
      <w:tr w:rsidR="001F3979" w14:paraId="08036B8D" w14:textId="77777777">
        <w:trPr>
          <w:jc w:val="center"/>
        </w:trPr>
        <w:tc>
          <w:tcPr>
            <w:tcW w:w="1191" w:type="dxa"/>
            <w:vAlign w:val="center"/>
          </w:tcPr>
          <w:p w14:paraId="7430534F" w14:textId="77777777" w:rsidR="001F3979" w:rsidRDefault="00000000">
            <w:pPr>
              <w:spacing w:after="40" w:line="252" w:lineRule="auto"/>
              <w:jc w:val="left"/>
            </w:pPr>
            <w:r>
              <w:rPr>
                <w:sz w:val="17"/>
              </w:rPr>
              <w:t>Franchising</w:t>
            </w:r>
          </w:p>
        </w:tc>
        <w:tc>
          <w:tcPr>
            <w:tcW w:w="850" w:type="dxa"/>
            <w:vAlign w:val="center"/>
          </w:tcPr>
          <w:p w14:paraId="7CF8EDB7" w14:textId="77777777" w:rsidR="001F3979" w:rsidRDefault="00000000">
            <w:pPr>
              <w:spacing w:after="40" w:line="252" w:lineRule="auto"/>
              <w:jc w:val="left"/>
            </w:pPr>
            <w:r>
              <w:rPr>
                <w:sz w:val="17"/>
              </w:rPr>
              <w:t>Medium</w:t>
            </w:r>
          </w:p>
        </w:tc>
        <w:tc>
          <w:tcPr>
            <w:tcW w:w="1701" w:type="dxa"/>
            <w:vAlign w:val="center"/>
          </w:tcPr>
          <w:p w14:paraId="74C47499" w14:textId="77777777" w:rsidR="001F3979" w:rsidRDefault="00000000">
            <w:pPr>
              <w:spacing w:after="40" w:line="252" w:lineRule="auto"/>
              <w:jc w:val="left"/>
            </w:pPr>
            <w:r>
              <w:rPr>
                <w:sz w:val="17"/>
              </w:rPr>
              <w:t>Medium investment; high speed</w:t>
            </w:r>
          </w:p>
        </w:tc>
        <w:tc>
          <w:tcPr>
            <w:tcW w:w="2494" w:type="dxa"/>
            <w:vAlign w:val="center"/>
          </w:tcPr>
          <w:p w14:paraId="2FB9F9CF" w14:textId="77777777" w:rsidR="001F3979" w:rsidRDefault="00000000">
            <w:pPr>
              <w:spacing w:after="40" w:line="252" w:lineRule="auto"/>
              <w:jc w:val="left"/>
            </w:pPr>
            <w:r>
              <w:rPr>
                <w:sz w:val="17"/>
              </w:rPr>
              <w:t>Service and presentation inconsistency</w:t>
            </w:r>
          </w:p>
        </w:tc>
        <w:tc>
          <w:tcPr>
            <w:tcW w:w="2789" w:type="dxa"/>
            <w:vAlign w:val="center"/>
          </w:tcPr>
          <w:p w14:paraId="0CB14727" w14:textId="77777777" w:rsidR="001F3979" w:rsidRDefault="00000000">
            <w:pPr>
              <w:spacing w:after="40" w:line="252" w:lineRule="auto"/>
              <w:jc w:val="left"/>
            </w:pPr>
            <w:r>
              <w:rPr>
                <w:sz w:val="17"/>
              </w:rPr>
              <w:t>Use with stronger contractual governance</w:t>
            </w:r>
          </w:p>
        </w:tc>
      </w:tr>
      <w:tr w:rsidR="001F3979" w14:paraId="4DE2F974" w14:textId="77777777">
        <w:trPr>
          <w:jc w:val="center"/>
        </w:trPr>
        <w:tc>
          <w:tcPr>
            <w:tcW w:w="1191" w:type="dxa"/>
            <w:vAlign w:val="center"/>
          </w:tcPr>
          <w:p w14:paraId="0641C589" w14:textId="77777777" w:rsidR="001F3979" w:rsidRDefault="00000000">
            <w:pPr>
              <w:spacing w:after="40" w:line="252" w:lineRule="auto"/>
              <w:jc w:val="left"/>
            </w:pPr>
            <w:r>
              <w:rPr>
                <w:sz w:val="17"/>
              </w:rPr>
              <w:t>Hybrid: direct, franchise, digital and local sourcing</w:t>
            </w:r>
          </w:p>
        </w:tc>
        <w:tc>
          <w:tcPr>
            <w:tcW w:w="850" w:type="dxa"/>
            <w:vAlign w:val="center"/>
          </w:tcPr>
          <w:p w14:paraId="2443CCEC" w14:textId="77777777" w:rsidR="001F3979" w:rsidRDefault="00000000">
            <w:pPr>
              <w:spacing w:after="40" w:line="252" w:lineRule="auto"/>
              <w:jc w:val="left"/>
            </w:pPr>
            <w:r>
              <w:rPr>
                <w:sz w:val="17"/>
              </w:rPr>
              <w:t>Medium–high</w:t>
            </w:r>
          </w:p>
        </w:tc>
        <w:tc>
          <w:tcPr>
            <w:tcW w:w="1701" w:type="dxa"/>
            <w:vAlign w:val="center"/>
          </w:tcPr>
          <w:p w14:paraId="58193D65" w14:textId="77777777" w:rsidR="001F3979" w:rsidRDefault="00000000">
            <w:pPr>
              <w:spacing w:after="40" w:line="252" w:lineRule="auto"/>
              <w:jc w:val="left"/>
            </w:pPr>
            <w:r>
              <w:rPr>
                <w:sz w:val="17"/>
              </w:rPr>
              <w:t>Staged investment; high reach</w:t>
            </w:r>
          </w:p>
        </w:tc>
        <w:tc>
          <w:tcPr>
            <w:tcW w:w="2494" w:type="dxa"/>
            <w:vAlign w:val="center"/>
          </w:tcPr>
          <w:p w14:paraId="5B55265A" w14:textId="77777777" w:rsidR="001F3979" w:rsidRDefault="00000000">
            <w:pPr>
              <w:spacing w:after="40" w:line="252" w:lineRule="auto"/>
              <w:jc w:val="left"/>
            </w:pPr>
            <w:r>
              <w:rPr>
                <w:sz w:val="17"/>
              </w:rPr>
              <w:t>Coordination complexity</w:t>
            </w:r>
          </w:p>
        </w:tc>
        <w:tc>
          <w:tcPr>
            <w:tcW w:w="2789" w:type="dxa"/>
            <w:vAlign w:val="center"/>
          </w:tcPr>
          <w:p w14:paraId="6CAD42A7" w14:textId="77777777" w:rsidR="001F3979" w:rsidRDefault="00000000">
            <w:pPr>
              <w:spacing w:after="40" w:line="252" w:lineRule="auto"/>
              <w:jc w:val="left"/>
            </w:pPr>
            <w:r>
              <w:rPr>
                <w:sz w:val="17"/>
              </w:rPr>
              <w:t>Preferred because risks can be allocated by channel</w:t>
            </w:r>
          </w:p>
        </w:tc>
      </w:tr>
    </w:tbl>
    <w:p w14:paraId="1788A97D" w14:textId="77777777" w:rsidR="001F3979" w:rsidRDefault="001F3979"/>
    <w:p w14:paraId="70DAEBC9" w14:textId="77777777" w:rsidR="001F3979" w:rsidRDefault="00000000">
      <w:pPr>
        <w:jc w:val="left"/>
      </w:pPr>
      <w:r>
        <w:rPr>
          <w:i/>
        </w:rPr>
        <w:t>Source: Author’s evaluation informed by Johanson and Vahlne (2009), Hollensen (2020) and Kotabe and Helsen (2022).</w:t>
      </w:r>
    </w:p>
    <w:p w14:paraId="7722992A" w14:textId="77777777" w:rsidR="004829B5" w:rsidRDefault="004829B5" w:rsidP="004829B5">
      <w:r>
        <w:t xml:space="preserve">Exporting and licensing let Adidas keep a low commitment, but they get knocked back as lead ways to enter because import exposure and weak control don’t really match Adidas’s quality expectations, data requirements, and responsiveness needs. A joint venture might bring some institutional know how, still the split authority and partner frictions are too much, especially when franchise and local management capabilities are already there. Full ownership protects the brand </w:t>
      </w:r>
      <w:proofErr w:type="gramStart"/>
      <w:r>
        <w:t>best ,</w:t>
      </w:r>
      <w:proofErr w:type="gramEnd"/>
      <w:r>
        <w:t xml:space="preserve"> yet it also piles up capital and can slow learning across different, heterogeneous cities. Franchising can expand coverage faster, but it pushes the execution risk onto partners. </w:t>
      </w:r>
      <w:proofErr w:type="gramStart"/>
      <w:r>
        <w:t>So</w:t>
      </w:r>
      <w:proofErr w:type="gramEnd"/>
      <w:r>
        <w:t xml:space="preserve"> the hybrid choice ends up being a deliberate risk allocation decision, not a default middle ground: direct channels and flagships safeguard data and the customer experience; franchises widen reach; marketplaces pick up more digital demand; local sourcing improves cost control and speed (Hollensen, 2020; </w:t>
      </w:r>
      <w:proofErr w:type="spellStart"/>
      <w:r>
        <w:t>Kotabe</w:t>
      </w:r>
      <w:proofErr w:type="spellEnd"/>
      <w:r>
        <w:t xml:space="preserve"> and Helsen, 2022).</w:t>
      </w:r>
    </w:p>
    <w:p w14:paraId="055AC770" w14:textId="77777777" w:rsidR="004829B5" w:rsidRDefault="004829B5" w:rsidP="004829B5"/>
    <w:p w14:paraId="08149FEA" w14:textId="034A24ED" w:rsidR="004829B5" w:rsidRDefault="004829B5" w:rsidP="004829B5">
      <w:r>
        <w:t xml:space="preserve">The main downside is coordination failure. If prices, stock levels, service standards, or even data capture drift, Adidas becomes multiple versions at once. That’s why unified </w:t>
      </w:r>
      <w:r>
        <w:lastRenderedPageBreak/>
        <w:t>inventory visibility, consistent training, seller verification, service performance metrics, and contractual access to data aren’t “nice to have”, they’re selection conditions. If partner compliance slips under agreed thresholds, the more controlled modes should replace the weak channel, not just sit beside it like an extra option.</w:t>
      </w:r>
    </w:p>
    <w:p w14:paraId="47085BFE" w14:textId="60B46316" w:rsidR="004829B5" w:rsidRDefault="004829B5" w:rsidP="004829B5">
      <w:r>
        <w:t xml:space="preserve">India’s growth path justifies deeper but staged involvement (IMF, 2026c). Adidas should strengthen local product development for the core tiers, while still keeping imported “halo” items. Use cricket as a cross-sell lever into running, training, and Originals. Set city gates using demand strength, return patterns, counterfeit exposure, and partner quality scores. And build women’s sport as long-term category formation, not just short run advertising </w:t>
      </w:r>
      <w:proofErr w:type="gramStart"/>
      <w:r>
        <w:t>spend</w:t>
      </w:r>
      <w:proofErr w:type="gramEnd"/>
      <w:r>
        <w:t xml:space="preserve"> (Adidas, 2026c; Adidas India, 2026).</w:t>
      </w:r>
    </w:p>
    <w:p w14:paraId="34CE68A0" w14:textId="26BDF6DE" w:rsidR="001F3979" w:rsidRDefault="004829B5" w:rsidP="004829B5">
      <w:r>
        <w:t xml:space="preserve">Transaction cost logic and integration responsiveness also point the same way: brand specific assets push for tighter control, while geographic spread and local uncertainty make partners and phased commitment more rational (Johanson and Vahlne, 2009; </w:t>
      </w:r>
      <w:proofErr w:type="spellStart"/>
      <w:r>
        <w:t>Kotabe</w:t>
      </w:r>
      <w:proofErr w:type="spellEnd"/>
      <w:r>
        <w:t xml:space="preserve"> and Helsen, 2022). The hybrid model stays “better” only as long as its added value and learning benefits outweigh coordination costs, which is why city level gates and partner exit clauses have to be in place.</w:t>
      </w:r>
    </w:p>
    <w:p w14:paraId="6D908183" w14:textId="77777777" w:rsidR="001F3979" w:rsidRDefault="00000000">
      <w:pPr>
        <w:pStyle w:val="Heading2"/>
      </w:pPr>
      <w:bookmarkStart w:id="15" w:name="_Toc237353522"/>
      <w:r>
        <w:t>7. Ethical Issue: Germany’s Number-44 Football-Shirt Controversy</w:t>
      </w:r>
      <w:bookmarkEnd w:id="15"/>
    </w:p>
    <w:p w14:paraId="0CD900D1" w14:textId="490B2A2D" w:rsidR="004829B5" w:rsidRDefault="004829B5" w:rsidP="004829B5">
      <w:r>
        <w:t xml:space="preserve">In 2024, Adidas apparently stopped letting customers </w:t>
      </w:r>
      <w:proofErr w:type="spellStart"/>
      <w:r>
        <w:t>personalise</w:t>
      </w:r>
      <w:proofErr w:type="spellEnd"/>
      <w:r>
        <w:t xml:space="preserve"> Germany national-team shirts with the number 44, after a bunch of observers said those two sharp fours looked like runes linked to the Nazi SS. The German Football Association, plus a design partner, handled the number look, and they said the resemblance was unintended. Still, Adidas had that online retail interface running, so the combo could be bought </w:t>
      </w:r>
      <w:proofErr w:type="gramStart"/>
      <w:r>
        <w:t>there ,</w:t>
      </w:r>
      <w:proofErr w:type="gramEnd"/>
      <w:r>
        <w:t xml:space="preserve"> even as the company later blocked </w:t>
      </w:r>
      <w:proofErr w:type="spellStart"/>
      <w:r>
        <w:t>personalisation</w:t>
      </w:r>
      <w:proofErr w:type="spellEnd"/>
      <w:r>
        <w:t>. Then the number design got changed (The Guardian, 2024; Euronews, 2024).</w:t>
      </w:r>
    </w:p>
    <w:p w14:paraId="5038BB12" w14:textId="7C544C97" w:rsidR="004829B5" w:rsidRDefault="004829B5" w:rsidP="004829B5">
      <w:r>
        <w:t xml:space="preserve">Stakeholder theory </w:t>
      </w:r>
      <w:proofErr w:type="spellStart"/>
      <w:r>
        <w:t>kinda</w:t>
      </w:r>
      <w:proofErr w:type="spellEnd"/>
      <w:r>
        <w:t xml:space="preserve"> pushes back on a tight contractual </w:t>
      </w:r>
      <w:proofErr w:type="spellStart"/>
      <w:r>
        <w:t>defence</w:t>
      </w:r>
      <w:proofErr w:type="spellEnd"/>
      <w:r>
        <w:t xml:space="preserve"> like “we only did the digits</w:t>
      </w:r>
      <w:proofErr w:type="gramStart"/>
      <w:r>
        <w:t>” ,</w:t>
      </w:r>
      <w:proofErr w:type="gramEnd"/>
      <w:r>
        <w:t xml:space="preserve"> because really the football body and the design partner are not the only ones with a stake. Customers, Jewish communities, employees, and wider German society had a valid interest in keeping a branded product from echoing extremist symbolism. Adidas, in </w:t>
      </w:r>
      <w:proofErr w:type="gramStart"/>
      <w:r>
        <w:t>turn ,</w:t>
      </w:r>
      <w:proofErr w:type="gramEnd"/>
      <w:r>
        <w:t xml:space="preserve"> benefited from the interface and so shared responsibility for due diligence through the whole customer journey (Freeman, 1984). The good part is the inclusion, but it does not, all by itself, settle the tradeoffs between open </w:t>
      </w:r>
      <w:proofErr w:type="spellStart"/>
      <w:r>
        <w:t>customisation</w:t>
      </w:r>
      <w:proofErr w:type="spellEnd"/>
      <w:r>
        <w:t>, fast commercial throughput, and reducing real-world harm.</w:t>
      </w:r>
    </w:p>
    <w:p w14:paraId="215F92B5" w14:textId="11A4DA38" w:rsidR="004829B5" w:rsidRDefault="004829B5" w:rsidP="004829B5">
      <w:r>
        <w:lastRenderedPageBreak/>
        <w:t xml:space="preserve">A utilitarian check asks what choice gives the most net welfare (Crane et al., 2019). Here, blocking the “44” likely caused almost no meaningful lost sales or hassle compared with the possible social harm, offence, and the </w:t>
      </w:r>
      <w:proofErr w:type="spellStart"/>
      <w:r>
        <w:t>normalisation</w:t>
      </w:r>
      <w:proofErr w:type="spellEnd"/>
      <w:r>
        <w:t xml:space="preserve"> risk of having SS-linked imagery appear as “just a number”. </w:t>
      </w:r>
      <w:proofErr w:type="gramStart"/>
      <w:r>
        <w:t>So</w:t>
      </w:r>
      <w:proofErr w:type="gramEnd"/>
      <w:r>
        <w:t xml:space="preserve"> on that view, withdrawal was defensible. But utilitarianism can end up underweighting minorities if the combined commercial upsides get counted more heavily than the lived harm. A duty-based, or deontological, lens is tougher: people should be treated with respect, not as a means for revenue. Since opposing antisemitism and hatred is a moral duty, Adidas should prevent the symbol even if screening would shrink sales. And while intention matters, it is not a free pass when a reasonable design review could spot foreseeable pairings.</w:t>
      </w:r>
    </w:p>
    <w:p w14:paraId="14621EB6" w14:textId="3A16A42B" w:rsidR="004829B5" w:rsidRDefault="004829B5" w:rsidP="004829B5">
      <w:r>
        <w:t>This issue also kind of spread across the 7Ps. Product review apparently treated separate digits as if they were “just digits”, instead of thinking about user-generated combinations. The process lacked a solid banned-symbol library, plus no cultural red-team test. Promotion and physical evidence put the final result inside an Adidas environment, and governance seems to have failed before launch. Adidas did respond quickly, blocking the option and publicly distancing itself from hatred, which helps reduce harm, but a correction after the fact is usually less ethically strong than prevention.</w:t>
      </w:r>
    </w:p>
    <w:p w14:paraId="65F1CAE6" w14:textId="1340DACD" w:rsidR="001F3979" w:rsidRDefault="004829B5" w:rsidP="004829B5">
      <w:proofErr w:type="gramStart"/>
      <w:r>
        <w:t>So</w:t>
      </w:r>
      <w:proofErr w:type="gramEnd"/>
      <w:r>
        <w:t xml:space="preserve"> the balanced judgement is safety-by-design with proportional safeguards: cross-functional historical review for nationally sensitive products, automated screening, a human appeal route, partner accountability, and post-launch social listening. Clear, harm-based thresholds matter, because indiscriminate blocking can end up weakening expression, and it can also reproduce bias while doing so. Also, </w:t>
      </w:r>
      <w:proofErr w:type="spellStart"/>
      <w:r>
        <w:t>customisation</w:t>
      </w:r>
      <w:proofErr w:type="spellEnd"/>
      <w:r>
        <w:t xml:space="preserve"> shifts creative </w:t>
      </w:r>
      <w:proofErr w:type="gramStart"/>
      <w:r>
        <w:t>input ,</w:t>
      </w:r>
      <w:proofErr w:type="gramEnd"/>
      <w:r>
        <w:t xml:space="preserve"> but it does not shift responsibility: Adidas still sets the choice architecture and earns from the transaction. Taken together, across stakeholder reasoning, utilitarian logic, and duty-based ethics, prevention is the stronger option, even with the extra cost and a slower launch (Freeman, 1984; Crane et al., 2019).</w:t>
      </w:r>
    </w:p>
    <w:p w14:paraId="0801D437" w14:textId="77777777" w:rsidR="001F3979" w:rsidRDefault="00000000">
      <w:pPr>
        <w:pStyle w:val="Heading2"/>
      </w:pPr>
      <w:bookmarkStart w:id="16" w:name="_Toc237353523"/>
      <w:r>
        <w:lastRenderedPageBreak/>
        <w:t>8. Recommendations</w:t>
      </w:r>
      <w:bookmarkEnd w:id="16"/>
    </w:p>
    <w:p w14:paraId="493702B8" w14:textId="77777777" w:rsidR="001F3979" w:rsidRDefault="00000000">
      <w:pPr>
        <w:pStyle w:val="Heading3"/>
      </w:pPr>
      <w:bookmarkStart w:id="17" w:name="_Toc237353524"/>
      <w:r>
        <w:t>8.1 Build a two-speed product and price architecture in India</w:t>
      </w:r>
      <w:bookmarkEnd w:id="17"/>
    </w:p>
    <w:p w14:paraId="3E7B65E0" w14:textId="71A83C3E" w:rsidR="004829B5" w:rsidRDefault="004829B5" w:rsidP="004829B5">
      <w:r>
        <w:t xml:space="preserve">Adidas should sort of keep global halo products, while also expanding locally sourced core </w:t>
      </w:r>
      <w:proofErr w:type="gramStart"/>
      <w:r>
        <w:t>footwear ,</w:t>
      </w:r>
      <w:proofErr w:type="gramEnd"/>
      <w:r>
        <w:t xml:space="preserve"> climate-ready apparel, children’s products and cricket merchandise that’s actually accessible. A “good, better, best” </w:t>
      </w:r>
      <w:proofErr w:type="gramStart"/>
      <w:r>
        <w:t>ladder  needs</w:t>
      </w:r>
      <w:proofErr w:type="gramEnd"/>
      <w:r>
        <w:t xml:space="preserve"> to show real performance differences, not like, made-up prestige vibes. That helps balance the adaptation upsides, with the quality and complexity risks that </w:t>
      </w:r>
      <w:proofErr w:type="spellStart"/>
      <w:r>
        <w:t>Tsougkou</w:t>
      </w:r>
      <w:proofErr w:type="spellEnd"/>
      <w:r>
        <w:t xml:space="preserve"> et al. (2025) already flagged.  In terms of winning, it should be tracked via full price sell-</w:t>
      </w:r>
      <w:proofErr w:type="gramStart"/>
      <w:r>
        <w:t>through ,</w:t>
      </w:r>
      <w:proofErr w:type="gramEnd"/>
      <w:r>
        <w:t xml:space="preserve"> margin, repeat purchase, and movement into higher tiers.  </w:t>
      </w:r>
    </w:p>
    <w:p w14:paraId="1F000A62" w14:textId="77777777" w:rsidR="004829B5" w:rsidRDefault="004829B5" w:rsidP="004829B5">
      <w:pPr>
        <w:pStyle w:val="Heading3"/>
      </w:pPr>
      <w:r>
        <w:t xml:space="preserve">8.2 Turn cricket reach into multi-sport lifetime value  </w:t>
      </w:r>
    </w:p>
    <w:p w14:paraId="5C51DD14" w14:textId="73F9A354" w:rsidR="004829B5" w:rsidRDefault="004829B5" w:rsidP="004829B5">
      <w:r>
        <w:t xml:space="preserve">Cricket partnerships ought to feed into the Adidas membership ecosystem. Stuff like product registration, match day </w:t>
      </w:r>
      <w:proofErr w:type="gramStart"/>
      <w:r>
        <w:t>activation ,</w:t>
      </w:r>
      <w:proofErr w:type="gramEnd"/>
      <w:r>
        <w:t xml:space="preserve"> and community events can build permissioned data plus clearer fan identity. Then, gradually, those journeys can move people into running, training and Originals (Amani, 2023). Don’t judge it only by impressions. Instead, use acquisition </w:t>
      </w:r>
      <w:proofErr w:type="gramStart"/>
      <w:r>
        <w:t>cost ,</w:t>
      </w:r>
      <w:proofErr w:type="gramEnd"/>
      <w:r>
        <w:t xml:space="preserve"> a </w:t>
      </w:r>
      <w:proofErr w:type="gramStart"/>
      <w:r>
        <w:t>12 month</w:t>
      </w:r>
      <w:proofErr w:type="gramEnd"/>
      <w:r>
        <w:t xml:space="preserve"> repeat rate and cross category buying.  </w:t>
      </w:r>
    </w:p>
    <w:p w14:paraId="4B9B306A" w14:textId="77777777" w:rsidR="004829B5" w:rsidRDefault="004829B5" w:rsidP="004829B5">
      <w:pPr>
        <w:pStyle w:val="Heading3"/>
      </w:pPr>
      <w:r>
        <w:t xml:space="preserve">8.3 Build Indian expansion on city-level evidence  </w:t>
      </w:r>
    </w:p>
    <w:p w14:paraId="7A7E4430" w14:textId="681B2224" w:rsidR="004829B5" w:rsidRDefault="004829B5" w:rsidP="004829B5">
      <w:r>
        <w:t xml:space="preserve">Before Adidas opens </w:t>
      </w:r>
      <w:proofErr w:type="gramStart"/>
      <w:r>
        <w:t>flagships ,</w:t>
      </w:r>
      <w:proofErr w:type="gramEnd"/>
      <w:r>
        <w:t xml:space="preserve"> it should set thresholds for online demand, returns quality, delivery reliability, partner </w:t>
      </w:r>
      <w:proofErr w:type="gramStart"/>
      <w:r>
        <w:t>capability ,</w:t>
      </w:r>
      <w:proofErr w:type="gramEnd"/>
      <w:r>
        <w:t xml:space="preserve"> and contribution margin. Franchise stores plus temporary activations can act like demand tests. This step-by-step commitment turns uncertainty into hands-on learning, not just counting store numbers as success (Johanson and Vahlne, 2009).  </w:t>
      </w:r>
    </w:p>
    <w:p w14:paraId="590AD4DB" w14:textId="77777777" w:rsidR="004829B5" w:rsidRDefault="004829B5" w:rsidP="004829B5">
      <w:pPr>
        <w:pStyle w:val="Heading3"/>
      </w:pPr>
      <w:r>
        <w:t xml:space="preserve">8.4 Lock in cultural and ethical design assurance  </w:t>
      </w:r>
    </w:p>
    <w:p w14:paraId="56AF2700" w14:textId="26641234" w:rsidR="004829B5" w:rsidRDefault="004829B5" w:rsidP="004829B5">
      <w:r>
        <w:t xml:space="preserve">For markets that are historically sensitive, Adidas should create a cultural-risk gate before launching national products or personalization tools. Bring in local experts, use diverse employee reviews, add automated screening, and make partner accountability explicit and documented. That’s what </w:t>
      </w:r>
      <w:proofErr w:type="spellStart"/>
      <w:r>
        <w:t>operationalises</w:t>
      </w:r>
      <w:proofErr w:type="spellEnd"/>
      <w:r>
        <w:t xml:space="preserve"> stakeholder duties and responsibilities (Freeman, 1984; Crane et al., 2019). KPIs should include how many </w:t>
      </w:r>
      <w:proofErr w:type="spellStart"/>
      <w:r>
        <w:t>pre launch</w:t>
      </w:r>
      <w:proofErr w:type="spellEnd"/>
      <w:r>
        <w:t xml:space="preserve"> risks were caught, how fast escalations </w:t>
      </w:r>
      <w:proofErr w:type="gramStart"/>
      <w:r>
        <w:t>happen ,</w:t>
      </w:r>
      <w:proofErr w:type="gramEnd"/>
      <w:r>
        <w:t xml:space="preserve"> and whether issues show up again.  </w:t>
      </w:r>
    </w:p>
    <w:p w14:paraId="18781447" w14:textId="77777777" w:rsidR="004829B5" w:rsidRDefault="004829B5" w:rsidP="004829B5">
      <w:pPr>
        <w:pStyle w:val="Heading3"/>
      </w:pPr>
      <w:r>
        <w:lastRenderedPageBreak/>
        <w:t xml:space="preserve">8.5 Make environmental claims specific, and verifiable  </w:t>
      </w:r>
    </w:p>
    <w:p w14:paraId="33B54A29" w14:textId="75DFD10F" w:rsidR="004829B5" w:rsidRDefault="004829B5" w:rsidP="004829B5">
      <w:r>
        <w:t xml:space="preserve">Adidas should move away from wide sustainability statements and replace them with claims tied to defined materials, clear boundaries, and actual evidence. In Germany, communication needs to survive heavy scrutiny. In India, link sustainability with durability, repair options, and real access to local collection or take-back routes. Claims that are concrete and genuine are usually easier to defend than abstract “green” positioning (Lee et al., 2024). Also audit substantiation, comprehension, and take-back or use follow-through.  </w:t>
      </w:r>
    </w:p>
    <w:p w14:paraId="4CEAD592" w14:textId="77777777" w:rsidR="004829B5" w:rsidRDefault="004829B5" w:rsidP="004829B5">
      <w:pPr>
        <w:pStyle w:val="Heading3"/>
      </w:pPr>
      <w:r>
        <w:t xml:space="preserve">8.6 Run the omnichannel experience like one brand  </w:t>
      </w:r>
    </w:p>
    <w:p w14:paraId="003E6854" w14:textId="4B722AC6" w:rsidR="001F3979" w:rsidRDefault="004829B5" w:rsidP="004829B5">
      <w:r>
        <w:t xml:space="preserve">Adidas should insist on shared authentication, consistent pricing rules, service training, inventory visibility, and the same complaint metrics across direct, franchise, and marketplace channels. QR checks, plus quick counterfeit removal, matter a lot in India. An integrated service and information experience, not channel count, should steer the dashboard (Both and Steinmann, 2023; </w:t>
      </w:r>
      <w:proofErr w:type="spellStart"/>
      <w:r>
        <w:t>Mansurali</w:t>
      </w:r>
      <w:proofErr w:type="spellEnd"/>
      <w:r>
        <w:t xml:space="preserve"> et al., 2024).</w:t>
      </w:r>
    </w:p>
    <w:p w14:paraId="75350DA5" w14:textId="77777777" w:rsidR="001F3979" w:rsidRDefault="00000000">
      <w:pPr>
        <w:pStyle w:val="Heading3"/>
      </w:pPr>
      <w:bookmarkStart w:id="18" w:name="_Toc237353530"/>
      <w:r>
        <w:t>8.7 Implementation roadmap</w:t>
      </w:r>
      <w:bookmarkEnd w:id="18"/>
    </w:p>
    <w:p w14:paraId="0F595673" w14:textId="77777777" w:rsidR="001F3979" w:rsidRDefault="00000000">
      <w:pPr>
        <w:keepNext/>
      </w:pPr>
      <w:r>
        <w:rPr>
          <w:b/>
        </w:rPr>
        <w:t>Table 5. Prioritised implementation and control plan</w:t>
      </w:r>
    </w:p>
    <w:tbl>
      <w:tblPr>
        <w:tblStyle w:val="TableGrid"/>
        <w:tblW w:w="0" w:type="auto"/>
        <w:jc w:val="center"/>
        <w:tblLayout w:type="fixed"/>
        <w:tblLook w:val="04A0" w:firstRow="1" w:lastRow="0" w:firstColumn="1" w:lastColumn="0" w:noHBand="0" w:noVBand="1"/>
      </w:tblPr>
      <w:tblGrid>
        <w:gridCol w:w="1814"/>
        <w:gridCol w:w="1701"/>
        <w:gridCol w:w="1020"/>
        <w:gridCol w:w="1984"/>
        <w:gridCol w:w="2506"/>
      </w:tblGrid>
      <w:tr w:rsidR="001F3979" w14:paraId="569B69E2" w14:textId="77777777">
        <w:trPr>
          <w:tblHeader/>
          <w:jc w:val="center"/>
        </w:trPr>
        <w:tc>
          <w:tcPr>
            <w:tcW w:w="1814" w:type="dxa"/>
            <w:shd w:val="clear" w:color="auto" w:fill="D9E7F3"/>
            <w:vAlign w:val="center"/>
          </w:tcPr>
          <w:p w14:paraId="71564407" w14:textId="77777777" w:rsidR="001F3979" w:rsidRDefault="00000000">
            <w:pPr>
              <w:spacing w:after="40" w:line="252" w:lineRule="auto"/>
              <w:jc w:val="left"/>
            </w:pPr>
            <w:r>
              <w:rPr>
                <w:b/>
                <w:sz w:val="17"/>
              </w:rPr>
              <w:t>Priority action</w:t>
            </w:r>
          </w:p>
        </w:tc>
        <w:tc>
          <w:tcPr>
            <w:tcW w:w="1701" w:type="dxa"/>
            <w:shd w:val="clear" w:color="auto" w:fill="D9E7F3"/>
            <w:vAlign w:val="center"/>
          </w:tcPr>
          <w:p w14:paraId="157CC0F9" w14:textId="77777777" w:rsidR="001F3979" w:rsidRDefault="00000000">
            <w:pPr>
              <w:spacing w:after="40" w:line="252" w:lineRule="auto"/>
              <w:jc w:val="left"/>
            </w:pPr>
            <w:r>
              <w:rPr>
                <w:b/>
                <w:sz w:val="17"/>
              </w:rPr>
              <w:t>Accountable owner</w:t>
            </w:r>
          </w:p>
        </w:tc>
        <w:tc>
          <w:tcPr>
            <w:tcW w:w="1020" w:type="dxa"/>
            <w:shd w:val="clear" w:color="auto" w:fill="D9E7F3"/>
            <w:vAlign w:val="center"/>
          </w:tcPr>
          <w:p w14:paraId="6E03D0D1" w14:textId="77777777" w:rsidR="001F3979" w:rsidRDefault="00000000">
            <w:pPr>
              <w:spacing w:after="40" w:line="252" w:lineRule="auto"/>
              <w:jc w:val="left"/>
            </w:pPr>
            <w:r>
              <w:rPr>
                <w:b/>
                <w:sz w:val="17"/>
              </w:rPr>
              <w:t>Timing</w:t>
            </w:r>
          </w:p>
        </w:tc>
        <w:tc>
          <w:tcPr>
            <w:tcW w:w="1984" w:type="dxa"/>
            <w:shd w:val="clear" w:color="auto" w:fill="D9E7F3"/>
            <w:vAlign w:val="center"/>
          </w:tcPr>
          <w:p w14:paraId="236EE341" w14:textId="77777777" w:rsidR="001F3979" w:rsidRDefault="00000000">
            <w:pPr>
              <w:spacing w:after="40" w:line="252" w:lineRule="auto"/>
              <w:jc w:val="left"/>
            </w:pPr>
            <w:r>
              <w:rPr>
                <w:b/>
                <w:sz w:val="17"/>
              </w:rPr>
              <w:t>Leading KPI</w:t>
            </w:r>
          </w:p>
        </w:tc>
        <w:tc>
          <w:tcPr>
            <w:tcW w:w="2506" w:type="dxa"/>
            <w:shd w:val="clear" w:color="auto" w:fill="D9E7F3"/>
            <w:vAlign w:val="center"/>
          </w:tcPr>
          <w:p w14:paraId="7010FBDE" w14:textId="77777777" w:rsidR="001F3979" w:rsidRDefault="00000000">
            <w:pPr>
              <w:spacing w:after="40" w:line="252" w:lineRule="auto"/>
              <w:jc w:val="left"/>
            </w:pPr>
            <w:r>
              <w:rPr>
                <w:b/>
                <w:sz w:val="17"/>
              </w:rPr>
              <w:t>Main risk and control</w:t>
            </w:r>
          </w:p>
        </w:tc>
      </w:tr>
      <w:tr w:rsidR="001F3979" w14:paraId="7820F604" w14:textId="77777777">
        <w:trPr>
          <w:jc w:val="center"/>
        </w:trPr>
        <w:tc>
          <w:tcPr>
            <w:tcW w:w="1814" w:type="dxa"/>
            <w:vAlign w:val="center"/>
          </w:tcPr>
          <w:p w14:paraId="2339F538" w14:textId="77777777" w:rsidR="001F3979" w:rsidRDefault="00000000">
            <w:pPr>
              <w:spacing w:after="40" w:line="252" w:lineRule="auto"/>
              <w:jc w:val="left"/>
            </w:pPr>
            <w:r>
              <w:rPr>
                <w:sz w:val="17"/>
              </w:rPr>
              <w:t>India good–better–best range and local sourcing pilots</w:t>
            </w:r>
          </w:p>
        </w:tc>
        <w:tc>
          <w:tcPr>
            <w:tcW w:w="1701" w:type="dxa"/>
            <w:vAlign w:val="center"/>
          </w:tcPr>
          <w:p w14:paraId="01813153" w14:textId="77777777" w:rsidR="001F3979" w:rsidRDefault="00000000">
            <w:pPr>
              <w:spacing w:after="40" w:line="252" w:lineRule="auto"/>
              <w:jc w:val="left"/>
            </w:pPr>
            <w:r>
              <w:rPr>
                <w:sz w:val="17"/>
              </w:rPr>
              <w:t>India Managing Director; Product and Sourcing</w:t>
            </w:r>
          </w:p>
        </w:tc>
        <w:tc>
          <w:tcPr>
            <w:tcW w:w="1020" w:type="dxa"/>
            <w:vAlign w:val="center"/>
          </w:tcPr>
          <w:p w14:paraId="544DF7AC" w14:textId="77777777" w:rsidR="001F3979" w:rsidRDefault="00000000">
            <w:pPr>
              <w:spacing w:after="40" w:line="252" w:lineRule="auto"/>
              <w:jc w:val="left"/>
            </w:pPr>
            <w:r>
              <w:rPr>
                <w:sz w:val="17"/>
              </w:rPr>
              <w:t>0–12 months</w:t>
            </w:r>
          </w:p>
        </w:tc>
        <w:tc>
          <w:tcPr>
            <w:tcW w:w="1984" w:type="dxa"/>
            <w:vAlign w:val="center"/>
          </w:tcPr>
          <w:p w14:paraId="4E235601" w14:textId="77777777" w:rsidR="001F3979" w:rsidRDefault="00000000">
            <w:pPr>
              <w:spacing w:after="40" w:line="252" w:lineRule="auto"/>
              <w:jc w:val="left"/>
            </w:pPr>
            <w:r>
              <w:rPr>
                <w:sz w:val="17"/>
              </w:rPr>
              <w:t>Full-price sell-through; gross margin; repeat purchase</w:t>
            </w:r>
          </w:p>
        </w:tc>
        <w:tc>
          <w:tcPr>
            <w:tcW w:w="2506" w:type="dxa"/>
            <w:vAlign w:val="center"/>
          </w:tcPr>
          <w:p w14:paraId="3CA74579" w14:textId="77777777" w:rsidR="001F3979" w:rsidRDefault="00000000">
            <w:pPr>
              <w:spacing w:after="40" w:line="252" w:lineRule="auto"/>
              <w:jc w:val="left"/>
            </w:pPr>
            <w:r>
              <w:rPr>
                <w:sz w:val="17"/>
              </w:rPr>
              <w:t>Quality dilution: retain global technical thresholds</w:t>
            </w:r>
          </w:p>
        </w:tc>
      </w:tr>
      <w:tr w:rsidR="001F3979" w14:paraId="5C0C87F3" w14:textId="77777777">
        <w:trPr>
          <w:jc w:val="center"/>
        </w:trPr>
        <w:tc>
          <w:tcPr>
            <w:tcW w:w="1814" w:type="dxa"/>
            <w:vAlign w:val="center"/>
          </w:tcPr>
          <w:p w14:paraId="238AE719" w14:textId="77777777" w:rsidR="001F3979" w:rsidRDefault="00000000">
            <w:pPr>
              <w:spacing w:after="40" w:line="252" w:lineRule="auto"/>
              <w:jc w:val="left"/>
            </w:pPr>
            <w:r>
              <w:rPr>
                <w:sz w:val="17"/>
              </w:rPr>
              <w:t>Cricket-to-multisport member journey</w:t>
            </w:r>
          </w:p>
        </w:tc>
        <w:tc>
          <w:tcPr>
            <w:tcW w:w="1701" w:type="dxa"/>
            <w:vAlign w:val="center"/>
          </w:tcPr>
          <w:p w14:paraId="22D07670" w14:textId="77777777" w:rsidR="001F3979" w:rsidRDefault="00000000">
            <w:pPr>
              <w:spacing w:after="40" w:line="252" w:lineRule="auto"/>
              <w:jc w:val="left"/>
            </w:pPr>
            <w:r>
              <w:rPr>
                <w:sz w:val="17"/>
              </w:rPr>
              <w:t>India Marketing and Digital</w:t>
            </w:r>
          </w:p>
        </w:tc>
        <w:tc>
          <w:tcPr>
            <w:tcW w:w="1020" w:type="dxa"/>
            <w:vAlign w:val="center"/>
          </w:tcPr>
          <w:p w14:paraId="325C5DB0" w14:textId="77777777" w:rsidR="001F3979" w:rsidRDefault="00000000">
            <w:pPr>
              <w:spacing w:after="40" w:line="252" w:lineRule="auto"/>
              <w:jc w:val="left"/>
            </w:pPr>
            <w:r>
              <w:rPr>
                <w:sz w:val="17"/>
              </w:rPr>
              <w:t>0–9 months</w:t>
            </w:r>
          </w:p>
        </w:tc>
        <w:tc>
          <w:tcPr>
            <w:tcW w:w="1984" w:type="dxa"/>
            <w:vAlign w:val="center"/>
          </w:tcPr>
          <w:p w14:paraId="1C82E8DB" w14:textId="77777777" w:rsidR="001F3979" w:rsidRDefault="00000000">
            <w:pPr>
              <w:spacing w:after="40" w:line="252" w:lineRule="auto"/>
              <w:jc w:val="left"/>
            </w:pPr>
            <w:r>
              <w:rPr>
                <w:sz w:val="17"/>
              </w:rPr>
              <w:t>Member acquisition cost; 12-month cross-category rate</w:t>
            </w:r>
          </w:p>
        </w:tc>
        <w:tc>
          <w:tcPr>
            <w:tcW w:w="2506" w:type="dxa"/>
            <w:vAlign w:val="center"/>
          </w:tcPr>
          <w:p w14:paraId="652BCAB6" w14:textId="77777777" w:rsidR="001F3979" w:rsidRDefault="00000000">
            <w:pPr>
              <w:spacing w:after="40" w:line="252" w:lineRule="auto"/>
              <w:jc w:val="left"/>
            </w:pPr>
            <w:r>
              <w:rPr>
                <w:sz w:val="17"/>
              </w:rPr>
              <w:t>Tournament dependency: always-on running and training communities</w:t>
            </w:r>
          </w:p>
        </w:tc>
      </w:tr>
      <w:tr w:rsidR="001F3979" w14:paraId="0967D588" w14:textId="77777777">
        <w:trPr>
          <w:jc w:val="center"/>
        </w:trPr>
        <w:tc>
          <w:tcPr>
            <w:tcW w:w="1814" w:type="dxa"/>
            <w:vAlign w:val="center"/>
          </w:tcPr>
          <w:p w14:paraId="67C85B54" w14:textId="77777777" w:rsidR="001F3979" w:rsidRDefault="00000000">
            <w:pPr>
              <w:spacing w:after="40" w:line="252" w:lineRule="auto"/>
              <w:jc w:val="left"/>
            </w:pPr>
            <w:r>
              <w:rPr>
                <w:sz w:val="17"/>
              </w:rPr>
              <w:t>City-gated expansion</w:t>
            </w:r>
          </w:p>
        </w:tc>
        <w:tc>
          <w:tcPr>
            <w:tcW w:w="1701" w:type="dxa"/>
            <w:vAlign w:val="center"/>
          </w:tcPr>
          <w:p w14:paraId="0C648E7E" w14:textId="77777777" w:rsidR="001F3979" w:rsidRDefault="00000000">
            <w:pPr>
              <w:spacing w:after="40" w:line="252" w:lineRule="auto"/>
              <w:jc w:val="left"/>
            </w:pPr>
            <w:r>
              <w:rPr>
                <w:sz w:val="17"/>
              </w:rPr>
              <w:t>Retail and Finance</w:t>
            </w:r>
          </w:p>
        </w:tc>
        <w:tc>
          <w:tcPr>
            <w:tcW w:w="1020" w:type="dxa"/>
            <w:vAlign w:val="center"/>
          </w:tcPr>
          <w:p w14:paraId="08BB3D9C" w14:textId="77777777" w:rsidR="001F3979" w:rsidRDefault="00000000">
            <w:pPr>
              <w:spacing w:after="40" w:line="252" w:lineRule="auto"/>
              <w:jc w:val="left"/>
            </w:pPr>
            <w:r>
              <w:rPr>
                <w:sz w:val="17"/>
              </w:rPr>
              <w:t>6–24 months</w:t>
            </w:r>
          </w:p>
        </w:tc>
        <w:tc>
          <w:tcPr>
            <w:tcW w:w="1984" w:type="dxa"/>
            <w:vAlign w:val="center"/>
          </w:tcPr>
          <w:p w14:paraId="1237483D" w14:textId="77777777" w:rsidR="001F3979" w:rsidRDefault="00000000">
            <w:pPr>
              <w:spacing w:after="40" w:line="252" w:lineRule="auto"/>
              <w:jc w:val="left"/>
            </w:pPr>
            <w:r>
              <w:rPr>
                <w:sz w:val="17"/>
              </w:rPr>
              <w:t>Store contribution; returns; delivery reliability</w:t>
            </w:r>
          </w:p>
        </w:tc>
        <w:tc>
          <w:tcPr>
            <w:tcW w:w="2506" w:type="dxa"/>
            <w:vAlign w:val="center"/>
          </w:tcPr>
          <w:p w14:paraId="6DDB1955" w14:textId="77777777" w:rsidR="001F3979" w:rsidRDefault="00000000">
            <w:pPr>
              <w:spacing w:after="40" w:line="252" w:lineRule="auto"/>
              <w:jc w:val="left"/>
            </w:pPr>
            <w:r>
              <w:rPr>
                <w:sz w:val="17"/>
              </w:rPr>
              <w:t>Overexpansion: require pre-agreed investment gates</w:t>
            </w:r>
          </w:p>
        </w:tc>
      </w:tr>
      <w:tr w:rsidR="001F3979" w14:paraId="38B1664F" w14:textId="77777777">
        <w:trPr>
          <w:jc w:val="center"/>
        </w:trPr>
        <w:tc>
          <w:tcPr>
            <w:tcW w:w="1814" w:type="dxa"/>
            <w:vAlign w:val="center"/>
          </w:tcPr>
          <w:p w14:paraId="6F777B6D" w14:textId="77777777" w:rsidR="001F3979" w:rsidRDefault="00000000">
            <w:pPr>
              <w:spacing w:after="40" w:line="252" w:lineRule="auto"/>
              <w:jc w:val="left"/>
            </w:pPr>
            <w:r>
              <w:rPr>
                <w:sz w:val="17"/>
              </w:rPr>
              <w:t>Cultural-risk assurance for personalisation</w:t>
            </w:r>
          </w:p>
        </w:tc>
        <w:tc>
          <w:tcPr>
            <w:tcW w:w="1701" w:type="dxa"/>
            <w:vAlign w:val="center"/>
          </w:tcPr>
          <w:p w14:paraId="55C6E734" w14:textId="77777777" w:rsidR="001F3979" w:rsidRDefault="00000000">
            <w:pPr>
              <w:spacing w:after="40" w:line="252" w:lineRule="auto"/>
              <w:jc w:val="left"/>
            </w:pPr>
            <w:r>
              <w:rPr>
                <w:sz w:val="17"/>
              </w:rPr>
              <w:t>Global Brand, Legal and Compliance</w:t>
            </w:r>
          </w:p>
        </w:tc>
        <w:tc>
          <w:tcPr>
            <w:tcW w:w="1020" w:type="dxa"/>
            <w:vAlign w:val="center"/>
          </w:tcPr>
          <w:p w14:paraId="4AA0913A" w14:textId="77777777" w:rsidR="001F3979" w:rsidRDefault="00000000">
            <w:pPr>
              <w:spacing w:after="40" w:line="252" w:lineRule="auto"/>
              <w:jc w:val="left"/>
            </w:pPr>
            <w:r>
              <w:rPr>
                <w:sz w:val="17"/>
              </w:rPr>
              <w:t>Immediate; quarterly audit</w:t>
            </w:r>
          </w:p>
        </w:tc>
        <w:tc>
          <w:tcPr>
            <w:tcW w:w="1984" w:type="dxa"/>
            <w:vAlign w:val="center"/>
          </w:tcPr>
          <w:p w14:paraId="0CF04806" w14:textId="77777777" w:rsidR="001F3979" w:rsidRDefault="00000000">
            <w:pPr>
              <w:spacing w:after="40" w:line="252" w:lineRule="auto"/>
              <w:jc w:val="left"/>
            </w:pPr>
            <w:r>
              <w:rPr>
                <w:sz w:val="17"/>
              </w:rPr>
              <w:t>Risks detected pre-launch; recurrence; escalation time</w:t>
            </w:r>
          </w:p>
        </w:tc>
        <w:tc>
          <w:tcPr>
            <w:tcW w:w="2506" w:type="dxa"/>
            <w:vAlign w:val="center"/>
          </w:tcPr>
          <w:p w14:paraId="7907BB82" w14:textId="77777777" w:rsidR="001F3979" w:rsidRDefault="00000000">
            <w:pPr>
              <w:spacing w:after="40" w:line="252" w:lineRule="auto"/>
              <w:jc w:val="left"/>
            </w:pPr>
            <w:r>
              <w:rPr>
                <w:sz w:val="17"/>
              </w:rPr>
              <w:t>Overblocking: human review and transparent criteria</w:t>
            </w:r>
          </w:p>
        </w:tc>
      </w:tr>
      <w:tr w:rsidR="001F3979" w14:paraId="5D50847E" w14:textId="77777777">
        <w:trPr>
          <w:jc w:val="center"/>
        </w:trPr>
        <w:tc>
          <w:tcPr>
            <w:tcW w:w="1814" w:type="dxa"/>
            <w:vAlign w:val="center"/>
          </w:tcPr>
          <w:p w14:paraId="08AEB6C0" w14:textId="77777777" w:rsidR="001F3979" w:rsidRDefault="00000000">
            <w:pPr>
              <w:spacing w:after="40" w:line="252" w:lineRule="auto"/>
              <w:jc w:val="left"/>
            </w:pPr>
            <w:r>
              <w:rPr>
                <w:sz w:val="17"/>
              </w:rPr>
              <w:t>Product-specific environmental claims</w:t>
            </w:r>
          </w:p>
        </w:tc>
        <w:tc>
          <w:tcPr>
            <w:tcW w:w="1701" w:type="dxa"/>
            <w:vAlign w:val="center"/>
          </w:tcPr>
          <w:p w14:paraId="31A59341" w14:textId="77777777" w:rsidR="001F3979" w:rsidRDefault="00000000">
            <w:pPr>
              <w:spacing w:after="40" w:line="252" w:lineRule="auto"/>
              <w:jc w:val="left"/>
            </w:pPr>
            <w:r>
              <w:rPr>
                <w:sz w:val="17"/>
              </w:rPr>
              <w:t>Sustainability, Product and Legal</w:t>
            </w:r>
          </w:p>
        </w:tc>
        <w:tc>
          <w:tcPr>
            <w:tcW w:w="1020" w:type="dxa"/>
            <w:vAlign w:val="center"/>
          </w:tcPr>
          <w:p w14:paraId="380F0499" w14:textId="77777777" w:rsidR="001F3979" w:rsidRDefault="00000000">
            <w:pPr>
              <w:spacing w:after="40" w:line="252" w:lineRule="auto"/>
              <w:jc w:val="left"/>
            </w:pPr>
            <w:r>
              <w:rPr>
                <w:sz w:val="17"/>
              </w:rPr>
              <w:t>0–12 months</w:t>
            </w:r>
          </w:p>
        </w:tc>
        <w:tc>
          <w:tcPr>
            <w:tcW w:w="1984" w:type="dxa"/>
            <w:vAlign w:val="center"/>
          </w:tcPr>
          <w:p w14:paraId="33302F35" w14:textId="77777777" w:rsidR="001F3979" w:rsidRDefault="00000000">
            <w:pPr>
              <w:spacing w:after="40" w:line="252" w:lineRule="auto"/>
              <w:jc w:val="left"/>
            </w:pPr>
            <w:r>
              <w:rPr>
                <w:sz w:val="17"/>
              </w:rPr>
              <w:t>Claims substantiated; comprehension; take-back use</w:t>
            </w:r>
          </w:p>
        </w:tc>
        <w:tc>
          <w:tcPr>
            <w:tcW w:w="2506" w:type="dxa"/>
            <w:vAlign w:val="center"/>
          </w:tcPr>
          <w:p w14:paraId="5A8FE4FC" w14:textId="77777777" w:rsidR="001F3979" w:rsidRDefault="00000000">
            <w:pPr>
              <w:spacing w:after="40" w:line="252" w:lineRule="auto"/>
              <w:jc w:val="left"/>
            </w:pPr>
            <w:r>
              <w:rPr>
                <w:sz w:val="17"/>
              </w:rPr>
              <w:t>Greenwashing: evidence register and independent assurance</w:t>
            </w:r>
          </w:p>
        </w:tc>
      </w:tr>
      <w:tr w:rsidR="001F3979" w14:paraId="0AE8F261" w14:textId="77777777">
        <w:trPr>
          <w:jc w:val="center"/>
        </w:trPr>
        <w:tc>
          <w:tcPr>
            <w:tcW w:w="1814" w:type="dxa"/>
            <w:vAlign w:val="center"/>
          </w:tcPr>
          <w:p w14:paraId="74F7B3A8" w14:textId="77777777" w:rsidR="001F3979" w:rsidRDefault="00000000">
            <w:pPr>
              <w:spacing w:after="40" w:line="252" w:lineRule="auto"/>
              <w:jc w:val="left"/>
            </w:pPr>
            <w:r>
              <w:rPr>
                <w:sz w:val="17"/>
              </w:rPr>
              <w:t>Unified channel governance</w:t>
            </w:r>
          </w:p>
        </w:tc>
        <w:tc>
          <w:tcPr>
            <w:tcW w:w="1701" w:type="dxa"/>
            <w:vAlign w:val="center"/>
          </w:tcPr>
          <w:p w14:paraId="5DB424B9" w14:textId="77777777" w:rsidR="001F3979" w:rsidRDefault="00000000">
            <w:pPr>
              <w:spacing w:after="40" w:line="252" w:lineRule="auto"/>
              <w:jc w:val="left"/>
            </w:pPr>
            <w:r>
              <w:rPr>
                <w:sz w:val="17"/>
              </w:rPr>
              <w:t>Commercial and Marketplace Teams</w:t>
            </w:r>
          </w:p>
        </w:tc>
        <w:tc>
          <w:tcPr>
            <w:tcW w:w="1020" w:type="dxa"/>
            <w:vAlign w:val="center"/>
          </w:tcPr>
          <w:p w14:paraId="62F1AE3D" w14:textId="77777777" w:rsidR="001F3979" w:rsidRDefault="00000000">
            <w:pPr>
              <w:spacing w:after="40" w:line="252" w:lineRule="auto"/>
              <w:jc w:val="left"/>
            </w:pPr>
            <w:r>
              <w:rPr>
                <w:sz w:val="17"/>
              </w:rPr>
              <w:t>6–18 months</w:t>
            </w:r>
          </w:p>
        </w:tc>
        <w:tc>
          <w:tcPr>
            <w:tcW w:w="1984" w:type="dxa"/>
            <w:vAlign w:val="center"/>
          </w:tcPr>
          <w:p w14:paraId="6CB63C9D" w14:textId="77777777" w:rsidR="001F3979" w:rsidRDefault="00000000">
            <w:pPr>
              <w:spacing w:after="40" w:line="252" w:lineRule="auto"/>
              <w:jc w:val="left"/>
            </w:pPr>
            <w:r>
              <w:rPr>
                <w:sz w:val="17"/>
              </w:rPr>
              <w:t>Price consistency; counterfeit takedown time; complaints</w:t>
            </w:r>
          </w:p>
        </w:tc>
        <w:tc>
          <w:tcPr>
            <w:tcW w:w="2506" w:type="dxa"/>
            <w:vAlign w:val="center"/>
          </w:tcPr>
          <w:p w14:paraId="264046CD" w14:textId="77777777" w:rsidR="001F3979" w:rsidRDefault="00000000">
            <w:pPr>
              <w:spacing w:after="40" w:line="252" w:lineRule="auto"/>
              <w:jc w:val="left"/>
            </w:pPr>
            <w:r>
              <w:rPr>
                <w:sz w:val="17"/>
              </w:rPr>
              <w:t>Partner resistance: contractual standards and incentives</w:t>
            </w:r>
          </w:p>
        </w:tc>
      </w:tr>
    </w:tbl>
    <w:p w14:paraId="25A726CA" w14:textId="77777777" w:rsidR="001F3979" w:rsidRDefault="001F3979"/>
    <w:p w14:paraId="1887EC07" w14:textId="77777777" w:rsidR="001F3979" w:rsidRDefault="00000000">
      <w:pPr>
        <w:jc w:val="left"/>
      </w:pPr>
      <w:r>
        <w:rPr>
          <w:i/>
        </w:rPr>
        <w:t>Source: Author’s recommendations.</w:t>
      </w:r>
    </w:p>
    <w:p w14:paraId="31767773" w14:textId="77777777" w:rsidR="001F3979" w:rsidRDefault="00000000">
      <w:pPr>
        <w:pStyle w:val="Heading2"/>
      </w:pPr>
      <w:bookmarkStart w:id="19" w:name="_Toc237353531"/>
      <w:r>
        <w:lastRenderedPageBreak/>
        <w:t>9. Conclusion</w:t>
      </w:r>
      <w:bookmarkEnd w:id="19"/>
    </w:p>
    <w:p w14:paraId="28D14561" w14:textId="77777777" w:rsidR="001F3979" w:rsidRDefault="00000000">
      <w:r>
        <w:t>International marketing advantage comes from managing global consistency and local responsiveness. In mature Germany, Adidas must renew home-market relevance through innovation, evidence and culturally responsible governance. India offers growth, youth and cricket-led relevance, but income dispersion, regional diversity and retail complexity demand selective localisation.</w:t>
      </w:r>
    </w:p>
    <w:p w14:paraId="7F5F6277" w14:textId="77777777" w:rsidR="001F3979" w:rsidRDefault="00000000">
      <w:r>
        <w:t>The STP and 7Ps analysis indicates that technology, brand codes and quality should remain global, while category emphasis, fit, price architecture, partnerships, language, distribution and service should adapt (Mandler et al., 2021; Tsougkou et al., 2025). Adidas’s hybrid India model combines control with partner reach but requires stronger platform governance and staged investment. The number-44 controversy demonstrates that ethical responsibility extends across product design, personalisation systems and partners. Sustainable growth depends on locally credible value and preventive governance.</w:t>
      </w:r>
    </w:p>
    <w:p w14:paraId="09517355" w14:textId="77777777" w:rsidR="001F3979" w:rsidRDefault="00000000">
      <w:pPr>
        <w:pStyle w:val="Heading1"/>
      </w:pPr>
      <w:bookmarkStart w:id="20" w:name="_Toc237353532"/>
      <w:r>
        <w:t>Section 2: Reflective Account Using Gibbs’ Reflective Cycle</w:t>
      </w:r>
      <w:bookmarkEnd w:id="20"/>
    </w:p>
    <w:p w14:paraId="14C24059" w14:textId="77777777" w:rsidR="001F3979" w:rsidRDefault="00000000">
      <w:pPr>
        <w:pStyle w:val="Heading2"/>
      </w:pPr>
      <w:bookmarkStart w:id="21" w:name="_Toc237353533"/>
      <w:r>
        <w:t>10.1 Description</w:t>
      </w:r>
      <w:bookmarkEnd w:id="21"/>
    </w:p>
    <w:p w14:paraId="3EA2ABD4" w14:textId="09A14A78" w:rsidR="00360263" w:rsidRDefault="00360263" w:rsidP="00360263">
      <w:r>
        <w:t xml:space="preserve">I started the assignment intending to compare Adidas in Germany and India, using the required frameworks. I picked it largely because the “home vs host” contrast seemed almost clean: German football tradition and more mature buying strength, against Indian cricket, youth, and growth. I lined up the evidence with PESTEL, Hofstede, STP, the 7Ps, entry modes, and that number-44 ethical case. Then, while drafting… it </w:t>
      </w:r>
      <w:proofErr w:type="gramStart"/>
      <w:r>
        <w:t>sort</w:t>
      </w:r>
      <w:proofErr w:type="gramEnd"/>
      <w:r>
        <w:t xml:space="preserve"> of drifted. The work moved from just filling the boxes to deciding which differences really justify adaptation, and which global parts Adidas should keep, even if it would be easier to change them.</w:t>
      </w:r>
    </w:p>
    <w:p w14:paraId="01A6B5C4" w14:textId="77777777" w:rsidR="00360263" w:rsidRDefault="00360263" w:rsidP="00360263">
      <w:pPr>
        <w:pStyle w:val="Heading3"/>
      </w:pPr>
      <w:r>
        <w:t xml:space="preserve">10.2 Feelings  </w:t>
      </w:r>
    </w:p>
    <w:p w14:paraId="239AA0A2" w14:textId="24A5D9CD" w:rsidR="00360263" w:rsidRDefault="00360263" w:rsidP="00360263">
      <w:r>
        <w:t xml:space="preserve">At the beginning I felt pretty sure because the contrast looked obvious. But the confidence slid into discomfort when the evidence didn’t quite sit in the place I expected. For example, India’s growth didn’t automatically mean universal affordability, and Hofstede’s national scores—while useful—could not fully stand in for metropolitan sneaker buyers, women getting more involved in sport, or the regional </w:t>
      </w:r>
      <w:r>
        <w:lastRenderedPageBreak/>
        <w:t>identities that affect what people actually choose. I also noticed that saying “</w:t>
      </w:r>
      <w:proofErr w:type="spellStart"/>
      <w:r>
        <w:t>localisation</w:t>
      </w:r>
      <w:proofErr w:type="spellEnd"/>
      <w:r>
        <w:t xml:space="preserve">” is the solution is sort of simple, but incomplete, because every tweak can raise </w:t>
      </w:r>
      <w:proofErr w:type="gramStart"/>
      <w:r>
        <w:t>costs ,</w:t>
      </w:r>
      <w:proofErr w:type="gramEnd"/>
      <w:r>
        <w:t xml:space="preserve"> make inventory more tangled, and create a risk of diluting global equity.  </w:t>
      </w:r>
    </w:p>
    <w:p w14:paraId="769B1B97" w14:textId="146292C9" w:rsidR="00360263" w:rsidRDefault="00360263" w:rsidP="00360263">
      <w:r>
        <w:t xml:space="preserve">That uncertainty improved my reasoning. I stopped relying only on the question “How are the markets different?” and switched toward “Is the difference strategically material, what evidence backs it up, and does the benefit beat the cost?” The ethical case pushed me in the same direction. At </w:t>
      </w:r>
      <w:proofErr w:type="gramStart"/>
      <w:r>
        <w:t>first</w:t>
      </w:r>
      <w:proofErr w:type="gramEnd"/>
      <w:r>
        <w:t xml:space="preserve"> I pinned responsibility on the external number designer, but when I mapped Adidas’s </w:t>
      </w:r>
      <w:proofErr w:type="spellStart"/>
      <w:r>
        <w:t>personalisation</w:t>
      </w:r>
      <w:proofErr w:type="spellEnd"/>
      <w:r>
        <w:t xml:space="preserve"> interface more carefully, it became clear that control and benefit, plus accountability, are shared rather than owned by one party.  </w:t>
      </w:r>
    </w:p>
    <w:p w14:paraId="089DC133" w14:textId="5578BFCA" w:rsidR="00360263" w:rsidRDefault="00360263" w:rsidP="00360263">
      <w:r>
        <w:t>A real turning point happened when I compared entry modes. My first reaction was that fully owned expansion must be best, because it sounds like maximum control. But once I weighed capital exposure, speed, and the learning benefits, it became clearer that control is not automatically the same as value. I ended up feeling better about a conditional judgement: the hybrid mode is preferable only while partner reach and learning clearly outweigh the coordination cost, and while compliance can still be measured in a practical way.</w:t>
      </w:r>
    </w:p>
    <w:p w14:paraId="27097B86" w14:textId="77777777" w:rsidR="00360263" w:rsidRDefault="00360263" w:rsidP="00360263">
      <w:pPr>
        <w:pStyle w:val="Heading3"/>
      </w:pPr>
      <w:r>
        <w:t xml:space="preserve">10.3 Evaluation  </w:t>
      </w:r>
    </w:p>
    <w:p w14:paraId="42502426" w14:textId="2AB88ECD" w:rsidR="00360263" w:rsidRDefault="00360263" w:rsidP="00360263">
      <w:r>
        <w:t xml:space="preserve">My most solid decision was comparing each issue directly, instead of writing two separate descriptive country profiles. That approach made trade-offs visible. For instance, wider Indian pricing flexibility could improve access, but it might also dilute prestige. Franchises could speed up reach, yet weaken control. And cricket-related relevance could help the brand feel closer, while also concentrating sponsorship risk in fewer channels. Triangulating Adidas disclosures with multilateral data, academic research, retail evidence, and independent reporting also helped me separate reported facts from management style claims.  </w:t>
      </w:r>
    </w:p>
    <w:p w14:paraId="40BFC157" w14:textId="46696C9E" w:rsidR="001F3979" w:rsidRDefault="00360263" w:rsidP="00360263">
      <w:r>
        <w:t xml:space="preserve">The weakest part was my early use of frameworks as if they were complete explanations. PESTEL gave factors, but not automatic ranking. Hofstede looked precise, but the precision can exceed what national scores actually support. When I compared it with GLOBE and Schwartz, I </w:t>
      </w:r>
      <w:proofErr w:type="spellStart"/>
      <w:r>
        <w:t>realised</w:t>
      </w:r>
      <w:proofErr w:type="spellEnd"/>
      <w:r>
        <w:t xml:space="preserve"> each framework picks certain dimensions and quietly drops others. Data availability was another limitation: Adidas groups India under Emerging Markets, so reliable country-level profitability analysis </w:t>
      </w:r>
      <w:r>
        <w:lastRenderedPageBreak/>
        <w:t>was not really possible. Instead of hiding that gap behind inconsistent commercial forecasts, I learned to state uncertainty more explicitly and make conditional recommendations, rather than pretending I had full clarity.</w:t>
      </w:r>
    </w:p>
    <w:p w14:paraId="17690D56" w14:textId="77777777" w:rsidR="001F3979" w:rsidRDefault="00000000">
      <w:pPr>
        <w:pStyle w:val="Heading2"/>
      </w:pPr>
      <w:bookmarkStart w:id="22" w:name="_Toc237353536"/>
      <w:r>
        <w:t>10.4 Analysis</w:t>
      </w:r>
      <w:bookmarkEnd w:id="22"/>
    </w:p>
    <w:p w14:paraId="5F3A6F69" w14:textId="77777777" w:rsidR="00360263" w:rsidRDefault="00360263" w:rsidP="00360263">
      <w:r>
        <w:t xml:space="preserve">Gibbs’ cycle helped me make sense of this change not just redo the research steps, (Gibbs, 1988). My main takeaway is </w:t>
      </w:r>
      <w:proofErr w:type="spellStart"/>
      <w:r>
        <w:t>kinda</w:t>
      </w:r>
      <w:proofErr w:type="spellEnd"/>
      <w:r>
        <w:t xml:space="preserve"> weirdly simple, frameworks create questions, not answers. Germany’s weak growth matters only because it shifts the objective, from category expansion to retention and share capture, and that’s it. India’s growth matters only after affordability, distribution and regulatory constraints are in </w:t>
      </w:r>
      <w:proofErr w:type="gramStart"/>
      <w:r>
        <w:t>view .</w:t>
      </w:r>
      <w:proofErr w:type="gramEnd"/>
      <w:r>
        <w:t xml:space="preserve"> Evidence becomes analytical when it actually changes the </w:t>
      </w:r>
      <w:proofErr w:type="gramStart"/>
      <w:r>
        <w:t>choice</w:t>
      </w:r>
      <w:proofErr w:type="gramEnd"/>
      <w:r>
        <w:t xml:space="preserve"> you’re willing to make.</w:t>
      </w:r>
    </w:p>
    <w:p w14:paraId="5FD0FCD7" w14:textId="77777777" w:rsidR="00360263" w:rsidRDefault="00360263" w:rsidP="00360263"/>
    <w:p w14:paraId="33C523C3" w14:textId="64F1C3AD" w:rsidR="00360263" w:rsidRDefault="00360263" w:rsidP="00360263">
      <w:r>
        <w:t xml:space="preserve">I also started to see international marketing as more of a setup puzzle than a story about “trying everything.” The 7Ps are interdependent: an Indian cricket campaign can’t really hold value if the right inventory, reachable price tiers, trained franchise staff, and dependable exchanges aren’t there. So, </w:t>
      </w:r>
      <w:proofErr w:type="spellStart"/>
      <w:r>
        <w:t>standardisation</w:t>
      </w:r>
      <w:proofErr w:type="spellEnd"/>
      <w:r>
        <w:t xml:space="preserve"> and adaptation are not opposites in corporate thinking, like people </w:t>
      </w:r>
      <w:proofErr w:type="gramStart"/>
      <w:r>
        <w:t>say .</w:t>
      </w:r>
      <w:proofErr w:type="gramEnd"/>
      <w:r>
        <w:t xml:space="preserve"> Adidas can </w:t>
      </w:r>
      <w:proofErr w:type="spellStart"/>
      <w:r>
        <w:t>standardise</w:t>
      </w:r>
      <w:proofErr w:type="spellEnd"/>
      <w:r>
        <w:t xml:space="preserve"> technology, quality, identity, and governance while adapting fit, sport, language, channel weight and service interface details. The real test is strategic fit, not the amount of </w:t>
      </w:r>
      <w:proofErr w:type="spellStart"/>
      <w:r>
        <w:t>localisation</w:t>
      </w:r>
      <w:proofErr w:type="spellEnd"/>
      <w:r>
        <w:t>.</w:t>
      </w:r>
    </w:p>
    <w:p w14:paraId="01A498F6" w14:textId="3CAA1B9A" w:rsidR="00360263" w:rsidRDefault="00360263" w:rsidP="00360263">
      <w:r>
        <w:t xml:space="preserve">Then my source judgement, </w:t>
      </w:r>
      <w:proofErr w:type="gramStart"/>
      <w:r>
        <w:t>yeah</w:t>
      </w:r>
      <w:proofErr w:type="gramEnd"/>
      <w:r>
        <w:t xml:space="preserve"> it developed too. I treat annual reports as authoritative for disclosed sales but still curious about strategy, news reports as useful for catching controversy but not enough for moral evaluation, and academic models as disciplined abstractions rather than “what the market is doing right now.” Once I separated those roles, my conclusions became more cautious. And also more defendable, which matters.</w:t>
      </w:r>
    </w:p>
    <w:p w14:paraId="228CCC4B" w14:textId="77777777" w:rsidR="00360263" w:rsidRDefault="00360263" w:rsidP="00360263">
      <w:r>
        <w:t xml:space="preserve">10.5 Conclusion  </w:t>
      </w:r>
    </w:p>
    <w:p w14:paraId="4874C8F0" w14:textId="0E967243" w:rsidR="00360263" w:rsidRDefault="00360263" w:rsidP="00360263">
      <w:r>
        <w:t xml:space="preserve">The assignment shifted me from describing international differences to judging decisions under uncertainty. Now I’m more likely to ask what a framework leaves out, what trade-off a recommendation introduces, and what evidence would actually falsify my judgement. I also </w:t>
      </w:r>
      <w:proofErr w:type="spellStart"/>
      <w:r>
        <w:t>recognise</w:t>
      </w:r>
      <w:proofErr w:type="spellEnd"/>
      <w:r>
        <w:t xml:space="preserve"> ethical responsibility has to follow control and benefit </w:t>
      </w:r>
      <w:r>
        <w:lastRenderedPageBreak/>
        <w:t xml:space="preserve">across the marketing </w:t>
      </w:r>
      <w:proofErr w:type="gramStart"/>
      <w:r>
        <w:t>system ,</w:t>
      </w:r>
      <w:proofErr w:type="gramEnd"/>
      <w:r>
        <w:t xml:space="preserve"> it can’t just be swapped to some partner like it’s transferable. Primary consumer or retailer research could strengthen future work, but it would demand an ethical and feasible sampling design.</w:t>
      </w:r>
    </w:p>
    <w:p w14:paraId="434D8D4B" w14:textId="77777777" w:rsidR="00360263" w:rsidRDefault="00360263" w:rsidP="00360263">
      <w:r>
        <w:t xml:space="preserve">10.6 Action Plan  </w:t>
      </w:r>
    </w:p>
    <w:p w14:paraId="54A131DC" w14:textId="49F357A0" w:rsidR="00360263" w:rsidRDefault="00360263" w:rsidP="00360263">
      <w:r>
        <w:t xml:space="preserve">In my next international marketing project, I will create a claim–evidence matrix before I draft anything, and I’ll label each note as fact, interpretation, or recommendation. I’ll compare at least two cultural frameworks before I settle on one, and I’ll keep a record of segment-level counterexamples to national </w:t>
      </w:r>
      <w:proofErr w:type="gramStart"/>
      <w:r>
        <w:t>claims .</w:t>
      </w:r>
      <w:proofErr w:type="gramEnd"/>
      <w:r>
        <w:t xml:space="preserve"> For each strategic option, I’ll use a </w:t>
      </w:r>
      <w:proofErr w:type="gramStart"/>
      <w:r>
        <w:t>four part</w:t>
      </w:r>
      <w:proofErr w:type="gramEnd"/>
      <w:r>
        <w:t xml:space="preserve"> test—benefit, disadvantage, trade-off and justified judgement—before I write the conclusion. I will also make every recommendation specify an owner, mechanism, timing, KPI, and a failure threshold, not just a vague intent.</w:t>
      </w:r>
    </w:p>
    <w:p w14:paraId="1380A159" w14:textId="17756AFF" w:rsidR="001F3979" w:rsidRDefault="00360263" w:rsidP="00360263">
      <w:r>
        <w:t>I will check progress against three measurable standards. First, at least half of substantive sources should be peer-reviewed. Second, every analytical subsection should include evidence, a counterargument or limitation, and a judgement. Third, each proposed adaptation should explain why expected value is bigger than the added cost and complexity. These checks basically turn my learning into something repeatable, like a professional method, rather than a one-off response.</w:t>
      </w:r>
    </w:p>
    <w:p w14:paraId="35F67705" w14:textId="77777777" w:rsidR="004829B5" w:rsidRDefault="004829B5"/>
    <w:p w14:paraId="108A09F3" w14:textId="77777777" w:rsidR="004829B5" w:rsidRDefault="004829B5"/>
    <w:p w14:paraId="17EBE4CD" w14:textId="77777777" w:rsidR="004829B5" w:rsidRDefault="004829B5"/>
    <w:p w14:paraId="62A25323" w14:textId="77777777" w:rsidR="004829B5" w:rsidRDefault="004829B5"/>
    <w:p w14:paraId="7F3D49D0" w14:textId="77777777" w:rsidR="004829B5" w:rsidRDefault="004829B5"/>
    <w:p w14:paraId="51A27D22" w14:textId="77777777" w:rsidR="004829B5" w:rsidRDefault="004829B5"/>
    <w:p w14:paraId="32EB781B" w14:textId="77777777" w:rsidR="004829B5" w:rsidRDefault="004829B5"/>
    <w:p w14:paraId="2F8EB18D" w14:textId="77777777" w:rsidR="004829B5" w:rsidRDefault="004829B5"/>
    <w:p w14:paraId="0F2ABDF2" w14:textId="77777777" w:rsidR="004829B5" w:rsidRDefault="004829B5"/>
    <w:p w14:paraId="48BA9E1C" w14:textId="77777777" w:rsidR="001F3979" w:rsidRDefault="00000000">
      <w:pPr>
        <w:pStyle w:val="Heading1"/>
      </w:pPr>
      <w:bookmarkStart w:id="23" w:name="_Toc237353539"/>
      <w:r>
        <w:t>Reference List</w:t>
      </w:r>
      <w:bookmarkEnd w:id="23"/>
    </w:p>
    <w:p w14:paraId="3A507CA7" w14:textId="77777777" w:rsidR="001F3979" w:rsidRDefault="00000000">
      <w:r>
        <w:t xml:space="preserve">Adidas (2025a) ‘Product and marketing’. </w:t>
      </w:r>
      <w:r>
        <w:rPr>
          <w:i/>
        </w:rPr>
        <w:t>Annual Report 2024</w:t>
      </w:r>
      <w:r>
        <w:t>. Available at: https://report.adidas-group.com/2024/en/group-management-report-our-</w:t>
      </w:r>
      <w:r>
        <w:lastRenderedPageBreak/>
        <w:t>company/description-of-business-model/product-and-marketing.html (Accessed: 27 July 2026).</w:t>
      </w:r>
    </w:p>
    <w:p w14:paraId="3CCADC66" w14:textId="77777777" w:rsidR="001F3979" w:rsidRDefault="00000000">
      <w:r>
        <w:t xml:space="preserve">Adidas (2026a) </w:t>
      </w:r>
      <w:r>
        <w:rPr>
          <w:i/>
        </w:rPr>
        <w:t>Annual Report 2025</w:t>
      </w:r>
      <w:r>
        <w:t>. Herzogenaurach: Adidas AG. Available at: https://report.adidas-group.com/2025/en/_assets/downloads/annual-report-adidas-ar25.pdf (Accessed: 27 July 2026).</w:t>
      </w:r>
    </w:p>
    <w:p w14:paraId="4D7604B4" w14:textId="77777777" w:rsidR="001F3979" w:rsidRDefault="00000000">
      <w:r>
        <w:t xml:space="preserve">Adidas (2026b) ‘Product and marketing’. </w:t>
      </w:r>
      <w:r>
        <w:rPr>
          <w:i/>
        </w:rPr>
        <w:t>Annual Report 2025</w:t>
      </w:r>
      <w:r>
        <w:t>. Available at: https://report.adidas-group.com/2025/en/group-management-report-our-company/description-of-business-model/product-and-marketing.html (Accessed: 27 July 2026).</w:t>
      </w:r>
    </w:p>
    <w:p w14:paraId="439F4A74" w14:textId="77777777" w:rsidR="001F3979" w:rsidRDefault="00000000">
      <w:r>
        <w:t xml:space="preserve">Adidas (2026c) ‘Emerging Markets’. </w:t>
      </w:r>
      <w:r>
        <w:rPr>
          <w:i/>
        </w:rPr>
        <w:t>Annual Report 2025</w:t>
      </w:r>
      <w:r>
        <w:t>. Available at: https://report.adidas-group.com/2025/en/group-management-report-financial-review/business-performance-by-segment/emerging-markets.html (Accessed: 27 July 2026).</w:t>
      </w:r>
    </w:p>
    <w:p w14:paraId="50F80E8B" w14:textId="77777777" w:rsidR="001F3979" w:rsidRDefault="00000000">
      <w:r>
        <w:t xml:space="preserve">Adidas (2026d) ‘Sourcing and supply chain’. </w:t>
      </w:r>
      <w:r>
        <w:rPr>
          <w:i/>
        </w:rPr>
        <w:t>Annual Report 2025</w:t>
      </w:r>
      <w:r>
        <w:t>. Available at: https://report.adidas-group.com/2025/en/group-management-report-our-company/description-of-business-model/sourcing-and-supply-chain.html (Accessed: 27 July 2026).</w:t>
      </w:r>
    </w:p>
    <w:p w14:paraId="5752D27F" w14:textId="77777777" w:rsidR="001F3979" w:rsidRDefault="00000000">
      <w:r>
        <w:t>Adidas India (2026) ‘India T20 Cricket Jersey 2026’. Available at: https://www.adidas.co.in/india-t20-cricket-jersey-2026/KS9355.html (Accessed: 27 July 2026).</w:t>
      </w:r>
    </w:p>
    <w:p w14:paraId="1F623079" w14:textId="77777777" w:rsidR="001F3979" w:rsidRDefault="00000000">
      <w:r>
        <w:t xml:space="preserve">Amani, D. (2023) ‘Hail to thee, my sports team brand: investigating the drivers of eFANgelism among fans of selected sports teams in the English Premier League’, </w:t>
      </w:r>
      <w:r>
        <w:rPr>
          <w:i/>
        </w:rPr>
        <w:t>Future Business Journal</w:t>
      </w:r>
      <w:r>
        <w:t>, 9. Available at: https://doi.org/10.1186/s43093-023-00261-w (Accessed: 27 July 2026).</w:t>
      </w:r>
    </w:p>
    <w:p w14:paraId="14EA5FBC" w14:textId="77777777" w:rsidR="001F3979" w:rsidRDefault="00000000">
      <w:r>
        <w:t xml:space="preserve">Booms, B.H. and Bitner, M.J. (1981) ‘Marketing strategies and organization structures for service firms’, in Donnelly, J.H. and George, W.R. (eds.) </w:t>
      </w:r>
      <w:r>
        <w:rPr>
          <w:i/>
        </w:rPr>
        <w:t>Marketing of Services</w:t>
      </w:r>
      <w:r>
        <w:t>. Chicago: American Marketing Association, pp. 47–51.</w:t>
      </w:r>
    </w:p>
    <w:p w14:paraId="7E677799" w14:textId="77777777" w:rsidR="001F3979" w:rsidRDefault="00000000">
      <w:r>
        <w:t xml:space="preserve">Both, A.D. and Steinmann, S. (2023) ‘Customer experiences in omnichannel retail environments: a thematic literature review’, </w:t>
      </w:r>
      <w:r>
        <w:rPr>
          <w:i/>
        </w:rPr>
        <w:t>The International Review of Retail, Distribution and Consumer Research</w:t>
      </w:r>
      <w:r>
        <w:t>, 33(5), pp. 445–478. Available at: https://doi.org/10.1080/09593969.2023.2256491 (Accessed: 27 July 2026).</w:t>
      </w:r>
    </w:p>
    <w:p w14:paraId="626433A6" w14:textId="77777777" w:rsidR="001F3979" w:rsidRDefault="00000000">
      <w:r>
        <w:lastRenderedPageBreak/>
        <w:t xml:space="preserve">Crane, A., Matten, D., Glozer, S. and Spence, L. (2019) </w:t>
      </w:r>
      <w:r>
        <w:rPr>
          <w:i/>
        </w:rPr>
        <w:t>Business Ethics: Managing Corporate Citizenship and Sustainability in the Age of Globalization</w:t>
      </w:r>
      <w:r>
        <w:t>. 5th edn. Oxford: Oxford University Press.</w:t>
      </w:r>
    </w:p>
    <w:p w14:paraId="391E45F1" w14:textId="77777777" w:rsidR="001F3979" w:rsidRDefault="00000000">
      <w:r>
        <w:t xml:space="preserve">de Mooij, M. (2019) </w:t>
      </w:r>
      <w:r>
        <w:rPr>
          <w:i/>
        </w:rPr>
        <w:t>Consumer Behavior and Culture: Consequences for Global Marketing and Advertising</w:t>
      </w:r>
      <w:r>
        <w:t>. 3rd edn. London: Sage.</w:t>
      </w:r>
    </w:p>
    <w:p w14:paraId="596DF1D6" w14:textId="77777777" w:rsidR="001F3979" w:rsidRDefault="00000000">
      <w:r>
        <w:t>European Commission (2026) ‘Economic forecast for Germany’. Available at: https://economy-finance.ec.europa.eu/economic-surveillance-eu-member-states/country-pages-including-country-reports/germany/economic-forecast-germany_en (Accessed: 27 July 2026).</w:t>
      </w:r>
    </w:p>
    <w:p w14:paraId="69E37CED" w14:textId="77777777" w:rsidR="001F3979" w:rsidRDefault="00000000">
      <w:r>
        <w:t>Euronews (2024) ‘Adidas halts sale of German football number 44 shirts amid Nazi symbolism controversy’, 2 April. Available at: https://www.euronews.com/culture/2024/04/02/adidas-halt-sale-of-german-football-number-44-shirts-amid-nazi-symbolism-controversy (Accessed: 27 July 2026).</w:t>
      </w:r>
    </w:p>
    <w:p w14:paraId="573C764C" w14:textId="77777777" w:rsidR="001F3979" w:rsidRDefault="00000000">
      <w:r>
        <w:t xml:space="preserve">Freeman, R.E. (1984) </w:t>
      </w:r>
      <w:r>
        <w:rPr>
          <w:i/>
        </w:rPr>
        <w:t>Strategic Management: A Stakeholder Approach</w:t>
      </w:r>
      <w:r>
        <w:t>. Boston: Pitman.</w:t>
      </w:r>
    </w:p>
    <w:p w14:paraId="45933885" w14:textId="77777777" w:rsidR="001F3979" w:rsidRDefault="00000000">
      <w:r>
        <w:t xml:space="preserve">Gibbs, G. (1988) </w:t>
      </w:r>
      <w:r>
        <w:rPr>
          <w:i/>
        </w:rPr>
        <w:t>Learning by Doing: A Guide to Teaching and Learning Methods</w:t>
      </w:r>
      <w:r>
        <w:t>. Oxford: Oxford Polytechnic.</w:t>
      </w:r>
    </w:p>
    <w:p w14:paraId="3BEC2A45" w14:textId="77777777" w:rsidR="001F3979" w:rsidRDefault="00000000">
      <w:r>
        <w:t>The Guardian (2024) ‘Adidas bans fans from adding “44” to German team football shirt’, 1 April. Available at: https://www.theguardian.com/football/2024/apr/01/adidas-bans-fans-from-adding-44-to-german-team-football-shirt (Accessed: 27 July 2026).</w:t>
      </w:r>
    </w:p>
    <w:p w14:paraId="6E1E7EBE" w14:textId="77777777" w:rsidR="001F3979" w:rsidRDefault="00000000">
      <w:r>
        <w:t xml:space="preserve">Hofstede, G., Hofstede, G.J. and Minkov, M. (2010) </w:t>
      </w:r>
      <w:r>
        <w:rPr>
          <w:i/>
        </w:rPr>
        <w:t>Cultures and Organizations: Software of the Mind</w:t>
      </w:r>
      <w:r>
        <w:t>. 3rd edn. New York: McGraw-Hill.</w:t>
      </w:r>
    </w:p>
    <w:p w14:paraId="22F12B86" w14:textId="77777777" w:rsidR="001F3979" w:rsidRDefault="00000000">
      <w:r>
        <w:t xml:space="preserve">Hollensen, S. (2020) </w:t>
      </w:r>
      <w:r>
        <w:rPr>
          <w:i/>
        </w:rPr>
        <w:t>Global Marketing</w:t>
      </w:r>
      <w:r>
        <w:t>. 8th edn. Harlow: Pearson.</w:t>
      </w:r>
    </w:p>
    <w:p w14:paraId="191F67C2" w14:textId="77777777" w:rsidR="001F3979" w:rsidRDefault="00000000">
      <w:r>
        <w:t xml:space="preserve">House, R.J., Hanges, P.J., Javidan, M., Dorfman, P.W. and Gupta, V. (eds.) (2004) </w:t>
      </w:r>
      <w:r>
        <w:rPr>
          <w:i/>
        </w:rPr>
        <w:t>Culture, Leadership, and Organizations: The GLOBE Study of 62 Societies</w:t>
      </w:r>
      <w:r>
        <w:t>. Thousand Oaks, CA: Sage.</w:t>
      </w:r>
    </w:p>
    <w:p w14:paraId="64DC3A2B" w14:textId="77777777" w:rsidR="001F3979" w:rsidRDefault="00000000">
      <w:r>
        <w:t>IMF (2026a) ‘Germany and the IMF’. Available at: https://www.imf.org/en/countries/deu (Accessed: 27 July 2026).</w:t>
      </w:r>
    </w:p>
    <w:p w14:paraId="6FB06267" w14:textId="77777777" w:rsidR="001F3979" w:rsidRDefault="00000000">
      <w:r>
        <w:lastRenderedPageBreak/>
        <w:t xml:space="preserve">IMF (2026b) </w:t>
      </w:r>
      <w:r>
        <w:rPr>
          <w:i/>
        </w:rPr>
        <w:t>World Economic Outlook Database, April 2026</w:t>
      </w:r>
      <w:r>
        <w:t>. Washington, DC: International Monetary Fund. Available at: https://www.imf.org/en/Publications/WEO (Accessed: 27 July 2026).</w:t>
      </w:r>
    </w:p>
    <w:p w14:paraId="5CBC0101" w14:textId="77777777" w:rsidR="001F3979" w:rsidRDefault="00000000">
      <w:r>
        <w:t>IMF (2026c) ‘India and the IMF’. Available at: https://www.imf.org/en/countries/ind (Accessed: 27 July 2026).</w:t>
      </w:r>
    </w:p>
    <w:p w14:paraId="337F594F" w14:textId="77777777" w:rsidR="001F3979" w:rsidRDefault="00000000">
      <w:r>
        <w:t xml:space="preserve">Johanson, J. and Vahlne, J.-E. (1977) ‘The internationalization process of the firm: A model of knowledge development and increasing foreign market commitments’, </w:t>
      </w:r>
      <w:r>
        <w:rPr>
          <w:i/>
        </w:rPr>
        <w:t>Journal of International Business Studies</w:t>
      </w:r>
      <w:r>
        <w:t>, 8(1), pp. 23–32.</w:t>
      </w:r>
    </w:p>
    <w:p w14:paraId="3791EC4A" w14:textId="77777777" w:rsidR="001F3979" w:rsidRDefault="00000000">
      <w:r>
        <w:t xml:space="preserve">Johanson, J. and Vahlne, J.-E. (2009) ‘The Uppsala internationalization process model revisited: From liability of foreignness to liability of outsidership’, </w:t>
      </w:r>
      <w:r>
        <w:rPr>
          <w:i/>
        </w:rPr>
        <w:t>Journal of International Business Studies</w:t>
      </w:r>
      <w:r>
        <w:t>, 40(9), pp. 1411–1431.</w:t>
      </w:r>
    </w:p>
    <w:p w14:paraId="74229C62" w14:textId="77777777" w:rsidR="001F3979" w:rsidRDefault="00000000">
      <w:r>
        <w:t xml:space="preserve">Kotabe, M. and Helsen, K. (2022) </w:t>
      </w:r>
      <w:r>
        <w:rPr>
          <w:i/>
        </w:rPr>
        <w:t>Global Marketing Management</w:t>
      </w:r>
      <w:r>
        <w:t>. 9th edn. Hoboken, NJ: Wiley.</w:t>
      </w:r>
    </w:p>
    <w:p w14:paraId="6ED66312" w14:textId="77777777" w:rsidR="001F3979" w:rsidRDefault="00000000">
      <w:r>
        <w:t xml:space="preserve">Lee, Z., Gordon-Wilson, S., Davies, I. and Pring, C. (2024) ‘Communicating about sustainability in fashion: a construal level theory approach’, </w:t>
      </w:r>
      <w:r>
        <w:rPr>
          <w:i/>
        </w:rPr>
        <w:t>European Journal of Marketing</w:t>
      </w:r>
      <w:r>
        <w:t>, 58(1), pp. 313–341. Available at: https://doi.org/10.1108/EJM-09-2021-0701 (Accessed: 27 July 2026).</w:t>
      </w:r>
    </w:p>
    <w:p w14:paraId="31A392F7" w14:textId="77777777" w:rsidR="001F3979" w:rsidRDefault="00000000">
      <w:r>
        <w:t xml:space="preserve">Mandler, T., Sezen, B., Chen, J. and Özsomer, A. (2021) ‘Performance consequences of marketing standardization/adaptation: a systematic literature review and future research agenda’, </w:t>
      </w:r>
      <w:r>
        <w:rPr>
          <w:i/>
        </w:rPr>
        <w:t>Journal of Business Research</w:t>
      </w:r>
      <w:r>
        <w:t>, 125, pp. 416–435. Available at: https://doi.org/10.1016/j.jbusres.2020.12.023 (Accessed: 27 July 2026).</w:t>
      </w:r>
    </w:p>
    <w:p w14:paraId="6B49D715" w14:textId="77777777" w:rsidR="001F3979" w:rsidRDefault="00000000">
      <w:r>
        <w:t xml:space="preserve">Mansurali, A., Stephen, G., Kasilingam, D. and Inbaraj Jublee, D. (2024) ‘Omnichannel marketing: a systematic review and research agenda’, </w:t>
      </w:r>
      <w:r>
        <w:rPr>
          <w:i/>
        </w:rPr>
        <w:t>The International Review of Retail, Distribution and Consumer Research</w:t>
      </w:r>
      <w:r>
        <w:t>, 34(5), pp. 616–645. Available at: https://doi.org/10.1080/09593969.2024.2321917 (Accessed: 27 July 2026).</w:t>
      </w:r>
    </w:p>
    <w:p w14:paraId="0ACD3A2B" w14:textId="77777777" w:rsidR="001F3979" w:rsidRDefault="00000000">
      <w:r>
        <w:t xml:space="preserve">McSweeney, B. (2002) ‘Hofstede’s model of national cultural differences and their consequences: A triumph of faith – a failure of analysis’, </w:t>
      </w:r>
      <w:r>
        <w:rPr>
          <w:i/>
        </w:rPr>
        <w:t>Human Relations</w:t>
      </w:r>
      <w:r>
        <w:t>, 55(1), pp. 89–118.</w:t>
      </w:r>
    </w:p>
    <w:p w14:paraId="7E3D28B5" w14:textId="77777777" w:rsidR="001F3979" w:rsidRDefault="00000000">
      <w:r>
        <w:t>Reuters (2025) ‘Japan’s ASICS to boost India sportswear production to 40% amid import restrictions’, 16 June. Available at: https://www.reuters.com/business/retail-</w:t>
      </w:r>
      <w:r>
        <w:lastRenderedPageBreak/>
        <w:t>consumer/japans-asics-boost-india-sportswear-production-40-amid-import-restrictions-2025-06-16/ (Accessed: 27 July 2026).</w:t>
      </w:r>
    </w:p>
    <w:p w14:paraId="0B4FA497" w14:textId="77777777" w:rsidR="001F3979" w:rsidRDefault="00000000">
      <w:r>
        <w:t xml:space="preserve">Schwartz, S.H. (2006) ‘A theory of cultural value orientations: Explication and applications’, </w:t>
      </w:r>
      <w:r>
        <w:rPr>
          <w:i/>
        </w:rPr>
        <w:t>Comparative Sociology</w:t>
      </w:r>
      <w:r>
        <w:t>, 5(2–3), pp. 137–182. Available at: https://doi.org/10.1163/156913306778667357 (Accessed: 11 August 2026).</w:t>
      </w:r>
    </w:p>
    <w:p w14:paraId="0969D9A6" w14:textId="77777777" w:rsidR="001F3979" w:rsidRDefault="00000000">
      <w:r>
        <w:t>The Culture Factor Group (2026) ‘Country comparison tool’. Available at: https://www.theculturefactor.com/country-comparison-tool (Accessed: 27 July 2026).</w:t>
      </w:r>
    </w:p>
    <w:p w14:paraId="3CCF6FE6" w14:textId="77777777" w:rsidR="001F3979" w:rsidRDefault="00000000">
      <w:r>
        <w:t xml:space="preserve">Tsougkou, E., Cadogan, J.W., Boso, N., Hodgkinson, I.R., Oliveira, J.S., Laukkanen, T., Yazdani, N. and Story, V.M. (2025) ‘International product adaptation and performance: a systematic analysis of the literature and agenda for future research’, </w:t>
      </w:r>
      <w:r>
        <w:rPr>
          <w:i/>
        </w:rPr>
        <w:t>Journal of World Business</w:t>
      </w:r>
      <w:r>
        <w:t>, 60(1), article 101597. Available at: https://doi.org/10.1016/j.jwb.2024.101597 (Accessed: 27 July 2026).</w:t>
      </w:r>
    </w:p>
    <w:sectPr w:rsidR="001F3979" w:rsidSect="00034616">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8D271" w14:textId="77777777" w:rsidR="00E84907" w:rsidRDefault="00E84907">
      <w:pPr>
        <w:spacing w:after="0" w:line="240" w:lineRule="auto"/>
      </w:pPr>
      <w:r>
        <w:separator/>
      </w:r>
    </w:p>
  </w:endnote>
  <w:endnote w:type="continuationSeparator" w:id="0">
    <w:p w14:paraId="625F188C" w14:textId="77777777" w:rsidR="00E84907" w:rsidRDefault="00E84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5DC9B" w14:textId="77777777" w:rsidR="001F3979" w:rsidRDefault="00000000">
    <w:pPr>
      <w:pStyle w:val="Footer"/>
      <w:jc w:val="center"/>
    </w:pPr>
    <w:r>
      <w:rPr>
        <w:color w:val="5A5A5A"/>
        <w:sz w:val="18"/>
      </w:rPr>
      <w:t xml:space="preserve">Page </w:t>
    </w:r>
    <w:r>
      <w:fldChar w:fldCharType="begin"/>
    </w:r>
    <w:r>
      <w:instrText>PAGE</w:instrText>
    </w:r>
    <w:r>
      <w:fldChar w:fldCharType="separate"/>
    </w:r>
    <w:r>
      <w:t>Update field in Microsoft Word</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00655" w14:textId="77777777" w:rsidR="00E84907" w:rsidRDefault="00E84907">
      <w:pPr>
        <w:spacing w:after="0" w:line="240" w:lineRule="auto"/>
      </w:pPr>
      <w:r>
        <w:separator/>
      </w:r>
    </w:p>
  </w:footnote>
  <w:footnote w:type="continuationSeparator" w:id="0">
    <w:p w14:paraId="51685A62" w14:textId="77777777" w:rsidR="00E84907" w:rsidRDefault="00E849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98389075">
    <w:abstractNumId w:val="8"/>
  </w:num>
  <w:num w:numId="2" w16cid:durableId="1005329319">
    <w:abstractNumId w:val="6"/>
  </w:num>
  <w:num w:numId="3" w16cid:durableId="1642881941">
    <w:abstractNumId w:val="5"/>
  </w:num>
  <w:num w:numId="4" w16cid:durableId="742145535">
    <w:abstractNumId w:val="4"/>
  </w:num>
  <w:num w:numId="5" w16cid:durableId="1718046442">
    <w:abstractNumId w:val="7"/>
  </w:num>
  <w:num w:numId="6" w16cid:durableId="887303095">
    <w:abstractNumId w:val="3"/>
  </w:num>
  <w:num w:numId="7" w16cid:durableId="220753826">
    <w:abstractNumId w:val="2"/>
  </w:num>
  <w:num w:numId="8" w16cid:durableId="929238991">
    <w:abstractNumId w:val="1"/>
  </w:num>
  <w:num w:numId="9" w16cid:durableId="572130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F3979"/>
    <w:rsid w:val="00210B8A"/>
    <w:rsid w:val="0029639D"/>
    <w:rsid w:val="00326F90"/>
    <w:rsid w:val="00360263"/>
    <w:rsid w:val="003D4C47"/>
    <w:rsid w:val="004829B5"/>
    <w:rsid w:val="004F68A4"/>
    <w:rsid w:val="00803D51"/>
    <w:rsid w:val="00AA1D8D"/>
    <w:rsid w:val="00AC1101"/>
    <w:rsid w:val="00B47730"/>
    <w:rsid w:val="00C4572B"/>
    <w:rsid w:val="00CB0664"/>
    <w:rsid w:val="00CC4745"/>
    <w:rsid w:val="00D13147"/>
    <w:rsid w:val="00D40A8E"/>
    <w:rsid w:val="00E8490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261236"/>
  <w14:defaultImageDpi w14:val="300"/>
  <w15:docId w15:val="{4606B0D2-942C-4F59-9B1F-25932FECE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hAnsi="Arial"/>
      <w:sz w:val="24"/>
    </w:rPr>
  </w:style>
  <w:style w:type="paragraph" w:styleId="Heading1">
    <w:name w:val="heading 1"/>
    <w:basedOn w:val="Normal"/>
    <w:next w:val="Normal"/>
    <w:link w:val="Heading1Char"/>
    <w:uiPriority w:val="9"/>
    <w:qFormat/>
    <w:rsid w:val="00FC693F"/>
    <w:pPr>
      <w:keepNext/>
      <w:keepLines/>
      <w:spacing w:before="280" w:after="160"/>
      <w:outlineLvl w:val="0"/>
    </w:pPr>
    <w:rPr>
      <w:rFonts w:asciiTheme="majorHAnsi" w:eastAsiaTheme="majorEastAsia" w:hAnsiTheme="majorHAnsi" w:cstheme="majorBidi"/>
      <w:b/>
      <w:bCs/>
      <w:color w:val="142F52"/>
      <w:sz w:val="32"/>
      <w:szCs w:val="28"/>
    </w:rPr>
  </w:style>
  <w:style w:type="paragraph" w:styleId="Heading2">
    <w:name w:val="heading 2"/>
    <w:basedOn w:val="Normal"/>
    <w:next w:val="Normal"/>
    <w:link w:val="Heading2Char"/>
    <w:uiPriority w:val="9"/>
    <w:unhideWhenUsed/>
    <w:qFormat/>
    <w:rsid w:val="00FC693F"/>
    <w:pPr>
      <w:keepNext/>
      <w:keepLines/>
      <w:spacing w:before="240"/>
      <w:outlineLvl w:val="1"/>
    </w:pPr>
    <w:rPr>
      <w:rFonts w:asciiTheme="majorHAnsi" w:eastAsiaTheme="majorEastAsia" w:hAnsiTheme="majorHAnsi" w:cstheme="majorBidi"/>
      <w:b/>
      <w:bCs/>
      <w:color w:val="214E79"/>
      <w:sz w:val="28"/>
      <w:szCs w:val="26"/>
    </w:rPr>
  </w:style>
  <w:style w:type="paragraph" w:styleId="Heading3">
    <w:name w:val="heading 3"/>
    <w:basedOn w:val="Normal"/>
    <w:next w:val="Normal"/>
    <w:link w:val="Heading3Char"/>
    <w:uiPriority w:val="9"/>
    <w:unhideWhenUsed/>
    <w:qFormat/>
    <w:rsid w:val="00FC693F"/>
    <w:pPr>
      <w:keepNext/>
      <w:keepLines/>
      <w:spacing w:before="200" w:after="80"/>
      <w:outlineLvl w:val="2"/>
    </w:pPr>
    <w:rPr>
      <w:rFonts w:asciiTheme="majorHAnsi" w:eastAsiaTheme="majorEastAsia" w:hAnsiTheme="majorHAnsi" w:cstheme="majorBidi"/>
      <w:b/>
      <w:bCs/>
      <w:color w:val="21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360" w:after="240" w:line="240" w:lineRule="auto"/>
      <w:contextualSpacing/>
    </w:pPr>
    <w:rPr>
      <w:rFonts w:asciiTheme="majorHAnsi" w:eastAsiaTheme="majorEastAsia" w:hAnsiTheme="majorHAnsi" w:cstheme="majorBidi"/>
      <w:b/>
      <w:color w:val="142F52"/>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10B8A"/>
    <w:pPr>
      <w:spacing w:after="100"/>
    </w:pPr>
  </w:style>
  <w:style w:type="paragraph" w:styleId="TOC2">
    <w:name w:val="toc 2"/>
    <w:basedOn w:val="Normal"/>
    <w:next w:val="Normal"/>
    <w:autoRedefine/>
    <w:uiPriority w:val="39"/>
    <w:unhideWhenUsed/>
    <w:rsid w:val="00210B8A"/>
    <w:pPr>
      <w:spacing w:after="100"/>
      <w:ind w:left="240"/>
    </w:pPr>
  </w:style>
  <w:style w:type="paragraph" w:styleId="TOC3">
    <w:name w:val="toc 3"/>
    <w:basedOn w:val="Normal"/>
    <w:next w:val="Normal"/>
    <w:autoRedefine/>
    <w:uiPriority w:val="39"/>
    <w:unhideWhenUsed/>
    <w:rsid w:val="00210B8A"/>
    <w:pPr>
      <w:spacing w:after="100"/>
      <w:ind w:left="480"/>
    </w:pPr>
  </w:style>
  <w:style w:type="character" w:styleId="Hyperlink">
    <w:name w:val="Hyperlink"/>
    <w:basedOn w:val="DefaultParagraphFont"/>
    <w:uiPriority w:val="99"/>
    <w:unhideWhenUsed/>
    <w:rsid w:val="00210B8A"/>
    <w:rPr>
      <w:color w:val="0000FF" w:themeColor="hyperlink"/>
      <w:u w:val="single"/>
    </w:rPr>
  </w:style>
  <w:style w:type="character" w:customStyle="1" w:styleId="NoSpacingChar">
    <w:name w:val="No Spacing Char"/>
    <w:basedOn w:val="DefaultParagraphFont"/>
    <w:link w:val="NoSpacing"/>
    <w:uiPriority w:val="1"/>
    <w:rsid w:val="004F6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28</Pages>
  <Words>8527</Words>
  <Characters>48608</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International Market Entry Strategy and Marketing Mix of Adidas in Germany and India</vt:lpstr>
    </vt:vector>
  </TitlesOfParts>
  <Manager/>
  <Company/>
  <LinksUpToDate>false</LinksUpToDate>
  <CharactersWithSpaces>57021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Market Entry Strategy and Marketing Mix of Adidas in Germany and India</dc:title>
  <dc:subject>International Marketing: Principles and Practices</dc:subject>
  <dc:creator>sylann toner</dc:creator>
  <cp:keywords/>
  <dc:description>generated by python-docx</dc:description>
  <cp:lastModifiedBy>rohit virani</cp:lastModifiedBy>
  <cp:revision>4</cp:revision>
  <dcterms:created xsi:type="dcterms:W3CDTF">2026-08-11T12:50:00Z</dcterms:created>
  <dcterms:modified xsi:type="dcterms:W3CDTF">2026-08-12T22:59:00Z</dcterms:modified>
  <cp:category/>
</cp:coreProperties>
</file>