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FE2E6" w14:textId="77777777" w:rsidR="00AB2148" w:rsidRPr="00AB2148" w:rsidRDefault="00AB2148" w:rsidP="00AB2148">
      <w:pPr>
        <w:spacing w:after="0" w:line="240" w:lineRule="auto"/>
        <w:rPr>
          <w:rFonts w:asciiTheme="minorBidi" w:hAnsiTheme="minorBidi"/>
        </w:rPr>
      </w:pPr>
    </w:p>
    <w:p w14:paraId="50206AA5" w14:textId="71CC7411" w:rsidR="00AB2148" w:rsidRPr="00AB2148" w:rsidRDefault="00AB2148" w:rsidP="00AB2148">
      <w:pPr>
        <w:spacing w:after="0" w:line="240" w:lineRule="auto"/>
        <w:rPr>
          <w:rFonts w:asciiTheme="minorBidi" w:hAnsiTheme="minorBidi"/>
        </w:rPr>
      </w:pPr>
      <w:r w:rsidRPr="00AB2148">
        <w:rPr>
          <w:rFonts w:asciiTheme="minorBidi" w:hAnsiTheme="minorBidi"/>
        </w:rPr>
        <w:t>1. Reflexivity and Researcher Positionality:</w:t>
      </w:r>
    </w:p>
    <w:p w14:paraId="06A814A9"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The researcher acknowledges their own positionality and biases, engaging in critical self-reflection to understand how their experiences and assumptions influence the interpretation of participants' lived experiences (p. 10, p. 74).</w:t>
      </w:r>
    </w:p>
    <w:p w14:paraId="792D4D44"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Reflexive practices are employed throughout the study to ensure the researcher's presence and influence are acknowledged and managed (p. 10, p. 74).</w:t>
      </w:r>
    </w:p>
    <w:p w14:paraId="59FA1A8B" w14:textId="77777777" w:rsidR="00AB2148" w:rsidRPr="00AB2148" w:rsidRDefault="00AB2148" w:rsidP="00AB2148">
      <w:pPr>
        <w:spacing w:after="0" w:line="240" w:lineRule="auto"/>
        <w:rPr>
          <w:rFonts w:asciiTheme="minorBidi" w:hAnsiTheme="minorBidi"/>
        </w:rPr>
      </w:pPr>
    </w:p>
    <w:p w14:paraId="6AD9359D" w14:textId="2731DC25" w:rsidR="00AB2148" w:rsidRPr="00AB2148" w:rsidRDefault="00AB2148" w:rsidP="00AB2148">
      <w:pPr>
        <w:spacing w:after="0" w:line="240" w:lineRule="auto"/>
        <w:rPr>
          <w:rFonts w:asciiTheme="minorBidi" w:hAnsiTheme="minorBidi"/>
        </w:rPr>
      </w:pPr>
      <w:r w:rsidRPr="00AB2148">
        <w:rPr>
          <w:rFonts w:asciiTheme="minorBidi" w:hAnsiTheme="minorBidi"/>
        </w:rPr>
        <w:t>2. Phenomenological Attitude: Wonder and Openness:</w:t>
      </w:r>
    </w:p>
    <w:p w14:paraId="29EAB030"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The researcher adopts a phenomenological attitude, characterised by wonder and openness, to approach the phenomenon without preconceived notions or biases (p. 68, p. 81).</w:t>
      </w:r>
    </w:p>
    <w:p w14:paraId="2B75E77F"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This involves bracketing the natural attitude and suspending judgements to allow the phenomenon to present itself on its own terms (p. 72, p. 81).</w:t>
      </w:r>
    </w:p>
    <w:p w14:paraId="653EC69B" w14:textId="77777777" w:rsidR="00AB2148" w:rsidRPr="00AB2148" w:rsidRDefault="00AB2148" w:rsidP="00AB2148">
      <w:pPr>
        <w:spacing w:after="0" w:line="240" w:lineRule="auto"/>
        <w:rPr>
          <w:rFonts w:asciiTheme="minorBidi" w:hAnsiTheme="minorBidi"/>
        </w:rPr>
      </w:pPr>
    </w:p>
    <w:p w14:paraId="34560F7C" w14:textId="499785BF" w:rsidR="00AB2148" w:rsidRPr="00AB2148" w:rsidRDefault="00AB2148" w:rsidP="00AB2148">
      <w:pPr>
        <w:spacing w:after="0" w:line="240" w:lineRule="auto"/>
        <w:rPr>
          <w:rFonts w:asciiTheme="minorBidi" w:hAnsiTheme="minorBidi"/>
        </w:rPr>
      </w:pPr>
      <w:r w:rsidRPr="00AB2148">
        <w:rPr>
          <w:rFonts w:asciiTheme="minorBidi" w:hAnsiTheme="minorBidi"/>
        </w:rPr>
        <w:t>3. Hermeneutic Circle:</w:t>
      </w:r>
    </w:p>
    <w:p w14:paraId="649CE674"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The hermeneutic circle is used as a method of iterative analysis, where the researcher moves between the parts (data) and the whole (understanding of the phenomenon) to develop a holistic interpretation (p. 66, p. 81).</w:t>
      </w:r>
    </w:p>
    <w:p w14:paraId="7241EB3F"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This process involves continuous reflection and re-reading of the data to ensure a deep and nuanced understanding (p. 81).</w:t>
      </w:r>
    </w:p>
    <w:p w14:paraId="65EABA6F" w14:textId="77777777" w:rsidR="00AB2148" w:rsidRPr="00AB2148" w:rsidRDefault="00AB2148" w:rsidP="00AB2148">
      <w:pPr>
        <w:spacing w:after="0" w:line="240" w:lineRule="auto"/>
        <w:rPr>
          <w:rFonts w:asciiTheme="minorBidi" w:hAnsiTheme="minorBidi"/>
        </w:rPr>
      </w:pPr>
    </w:p>
    <w:p w14:paraId="78FF198D" w14:textId="36D2B84D" w:rsidR="00AB2148" w:rsidRPr="00AB2148" w:rsidRDefault="00AB2148" w:rsidP="00AB2148">
      <w:pPr>
        <w:spacing w:after="0" w:line="240" w:lineRule="auto"/>
        <w:rPr>
          <w:rFonts w:asciiTheme="minorBidi" w:hAnsiTheme="minorBidi"/>
        </w:rPr>
      </w:pPr>
      <w:r w:rsidRPr="00AB2148">
        <w:rPr>
          <w:rFonts w:asciiTheme="minorBidi" w:hAnsiTheme="minorBidi"/>
        </w:rPr>
        <w:t>4. Mimesis and Persona Vignettes:</w:t>
      </w:r>
    </w:p>
    <w:p w14:paraId="6D841F45"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Mimesis is used to create persona vignettes that capture the variations in the life-worlds of the participants, providing a rich and evocative representation of their experiences (p. 87, p. 97).</w:t>
      </w:r>
    </w:p>
    <w:p w14:paraId="00B08D63"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These vignettes help to foreground the lived experience and invite readers into the disclosed world of the participants (p. 87).</w:t>
      </w:r>
    </w:p>
    <w:p w14:paraId="102CB10F" w14:textId="77777777" w:rsidR="00AB2148" w:rsidRPr="00AB2148" w:rsidRDefault="00AB2148" w:rsidP="00AB2148">
      <w:pPr>
        <w:spacing w:after="0" w:line="240" w:lineRule="auto"/>
        <w:rPr>
          <w:rFonts w:asciiTheme="minorBidi" w:hAnsiTheme="minorBidi"/>
        </w:rPr>
      </w:pPr>
    </w:p>
    <w:p w14:paraId="1D9158BB" w14:textId="40D0238D" w:rsidR="00AB2148" w:rsidRPr="00AB2148" w:rsidRDefault="00AB2148" w:rsidP="00AB2148">
      <w:pPr>
        <w:spacing w:after="0" w:line="240" w:lineRule="auto"/>
        <w:rPr>
          <w:rFonts w:asciiTheme="minorBidi" w:hAnsiTheme="minorBidi"/>
        </w:rPr>
      </w:pPr>
      <w:r w:rsidRPr="00AB2148">
        <w:rPr>
          <w:rFonts w:asciiTheme="minorBidi" w:hAnsiTheme="minorBidi"/>
        </w:rPr>
        <w:t>5. Phenomenological Reduction:</w:t>
      </w:r>
    </w:p>
    <w:p w14:paraId="6C05B976"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The phenomenological reduction involves bracketing out preconceptions and theoretical overlays to return to the original sources of experience (p. 72, p. 86).</w:t>
      </w:r>
    </w:p>
    <w:p w14:paraId="32A8DCEA"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This includes the </w:t>
      </w:r>
      <w:proofErr w:type="spellStart"/>
      <w:r w:rsidRPr="00AB2148">
        <w:rPr>
          <w:rFonts w:asciiTheme="minorBidi" w:hAnsiTheme="minorBidi"/>
        </w:rPr>
        <w:t>epoché</w:t>
      </w:r>
      <w:proofErr w:type="spellEnd"/>
      <w:r w:rsidRPr="00AB2148">
        <w:rPr>
          <w:rFonts w:asciiTheme="minorBidi" w:hAnsiTheme="minorBidi"/>
        </w:rPr>
        <w:t>-reduction (suspension of the natural attitude) and the reduction-proper (stripping away of theories and judgements) to uncover the essence of the phenomenon (p. 72, p. 86).</w:t>
      </w:r>
    </w:p>
    <w:p w14:paraId="132FD49A" w14:textId="77777777" w:rsidR="00AB2148" w:rsidRPr="00AB2148" w:rsidRDefault="00AB2148" w:rsidP="00AB2148">
      <w:pPr>
        <w:spacing w:after="0" w:line="240" w:lineRule="auto"/>
        <w:rPr>
          <w:rFonts w:asciiTheme="minorBidi" w:hAnsiTheme="minorBidi"/>
        </w:rPr>
      </w:pPr>
    </w:p>
    <w:p w14:paraId="2CFBD863" w14:textId="41F3C883" w:rsidR="00AB2148" w:rsidRPr="00AB2148" w:rsidRDefault="00AB2148" w:rsidP="00AB2148">
      <w:pPr>
        <w:spacing w:after="0" w:line="240" w:lineRule="auto"/>
        <w:rPr>
          <w:rFonts w:asciiTheme="minorBidi" w:hAnsiTheme="minorBidi"/>
        </w:rPr>
      </w:pPr>
      <w:r w:rsidRPr="00AB2148">
        <w:rPr>
          <w:rFonts w:asciiTheme="minorBidi" w:hAnsiTheme="minorBidi"/>
        </w:rPr>
        <w:t>6. Iterative Wholistic Reading and Line-by-Line Analysis:</w:t>
      </w:r>
    </w:p>
    <w:p w14:paraId="54A90988"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The researcher conducts iterative readings of the transcripts, moving from a wholistic understanding to a detailed line-by-line analysis to identify themes and meanings (p. 86, p. 94).</w:t>
      </w:r>
    </w:p>
    <w:p w14:paraId="73DF8FC1"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This process ensures that the analysis is grounded in the participants' own words and experiences (p. 86).</w:t>
      </w:r>
    </w:p>
    <w:p w14:paraId="629AC7C9" w14:textId="77777777" w:rsidR="00AB2148" w:rsidRPr="00AB2148" w:rsidRDefault="00AB2148" w:rsidP="00AB2148">
      <w:pPr>
        <w:spacing w:after="0" w:line="240" w:lineRule="auto"/>
        <w:rPr>
          <w:rFonts w:asciiTheme="minorBidi" w:hAnsiTheme="minorBidi"/>
        </w:rPr>
      </w:pPr>
    </w:p>
    <w:p w14:paraId="66EF60C7" w14:textId="2FC0C6DF" w:rsidR="00AB2148" w:rsidRPr="00AB2148" w:rsidRDefault="00AB2148" w:rsidP="00AB2148">
      <w:pPr>
        <w:spacing w:after="0" w:line="240" w:lineRule="auto"/>
        <w:rPr>
          <w:rFonts w:asciiTheme="minorBidi" w:hAnsiTheme="minorBidi"/>
        </w:rPr>
      </w:pPr>
      <w:r w:rsidRPr="00AB2148">
        <w:rPr>
          <w:rFonts w:asciiTheme="minorBidi" w:hAnsiTheme="minorBidi"/>
        </w:rPr>
        <w:t>7. Selective Thematic Analysis:</w:t>
      </w:r>
    </w:p>
    <w:p w14:paraId="0860AEAD"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Selective thematic analysis is used to identify and articulate the essential themes that emerge from the data, ensuring that the findings are supported by sufficient evidence from the transcripts (p. 87, p. 94).</w:t>
      </w:r>
    </w:p>
    <w:p w14:paraId="0019EA69"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This involves isolating thematic statements and developing preliminary sub-themes through abstraction of meaning units (p. 87).</w:t>
      </w:r>
    </w:p>
    <w:p w14:paraId="7D425D29" w14:textId="77777777" w:rsidR="00AB2148" w:rsidRPr="00AB2148" w:rsidRDefault="00AB2148" w:rsidP="00AB2148">
      <w:pPr>
        <w:spacing w:after="0" w:line="240" w:lineRule="auto"/>
        <w:rPr>
          <w:rFonts w:asciiTheme="minorBidi" w:hAnsiTheme="minorBidi"/>
        </w:rPr>
      </w:pPr>
    </w:p>
    <w:p w14:paraId="75FCF5BD" w14:textId="2447C0DD" w:rsidR="00AB2148" w:rsidRPr="00AB2148" w:rsidRDefault="00AB2148" w:rsidP="00AB2148">
      <w:pPr>
        <w:spacing w:after="0" w:line="240" w:lineRule="auto"/>
        <w:rPr>
          <w:rFonts w:asciiTheme="minorBidi" w:hAnsiTheme="minorBidi"/>
        </w:rPr>
      </w:pPr>
      <w:r w:rsidRPr="00AB2148">
        <w:rPr>
          <w:rFonts w:asciiTheme="minorBidi" w:hAnsiTheme="minorBidi"/>
        </w:rPr>
        <w:lastRenderedPageBreak/>
        <w:t>8. Phenomenological Writing and Anecdotes:</w:t>
      </w:r>
    </w:p>
    <w:p w14:paraId="046C4747"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The researcher uses phenomenological writing, including anecdotes and reflective writing, to support the experiential grasp of the phenomenon (p. 95).</w:t>
      </w:r>
    </w:p>
    <w:p w14:paraId="48F72CC2"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This approach ensures that the findings are presented in a way that is evocative and resonates with the reader (p. 95).</w:t>
      </w:r>
    </w:p>
    <w:p w14:paraId="4D7CF0A2" w14:textId="77777777" w:rsidR="00AB2148" w:rsidRPr="00AB2148" w:rsidRDefault="00AB2148" w:rsidP="00AB2148">
      <w:pPr>
        <w:spacing w:after="0" w:line="240" w:lineRule="auto"/>
        <w:rPr>
          <w:rFonts w:asciiTheme="minorBidi" w:hAnsiTheme="minorBidi"/>
        </w:rPr>
      </w:pPr>
    </w:p>
    <w:p w14:paraId="4D284EBE" w14:textId="2A4232B7" w:rsidR="00AB2148" w:rsidRPr="00AB2148" w:rsidRDefault="00AB2148" w:rsidP="00AB2148">
      <w:pPr>
        <w:spacing w:after="0" w:line="240" w:lineRule="auto"/>
        <w:rPr>
          <w:rFonts w:asciiTheme="minorBidi" w:hAnsiTheme="minorBidi"/>
        </w:rPr>
      </w:pPr>
      <w:r w:rsidRPr="00AB2148">
        <w:rPr>
          <w:rFonts w:asciiTheme="minorBidi" w:hAnsiTheme="minorBidi"/>
        </w:rPr>
        <w:t>9. Ethical Considerations and Informed Consent:</w:t>
      </w:r>
    </w:p>
    <w:p w14:paraId="1E61AB56"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The study adheres to ethical guidelines, including obtaining informed consent from participants and ensuring confidentiality and protection of data (p. 83, p. 96).</w:t>
      </w:r>
    </w:p>
    <w:p w14:paraId="23F6D3B1"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The researcher values and respects the experiences shared by participants, acknowledging their presence and stories during the interview process (p. 83).</w:t>
      </w:r>
    </w:p>
    <w:p w14:paraId="4F23F1C9" w14:textId="77777777" w:rsidR="00AB2148" w:rsidRPr="00AB2148" w:rsidRDefault="00AB2148" w:rsidP="00AB2148">
      <w:pPr>
        <w:spacing w:after="0" w:line="240" w:lineRule="auto"/>
        <w:rPr>
          <w:rFonts w:asciiTheme="minorBidi" w:hAnsiTheme="minorBidi"/>
        </w:rPr>
      </w:pPr>
    </w:p>
    <w:p w14:paraId="30FF869C" w14:textId="4FB8E20C" w:rsidR="00AB2148" w:rsidRPr="00AB2148" w:rsidRDefault="00AB2148" w:rsidP="00AB2148">
      <w:pPr>
        <w:spacing w:after="0" w:line="240" w:lineRule="auto"/>
        <w:rPr>
          <w:rFonts w:asciiTheme="minorBidi" w:hAnsiTheme="minorBidi"/>
        </w:rPr>
      </w:pPr>
      <w:r w:rsidRPr="00AB2148">
        <w:rPr>
          <w:rFonts w:asciiTheme="minorBidi" w:hAnsiTheme="minorBidi"/>
        </w:rPr>
        <w:t>10. Maintaining a Strong Orientation to the Phenomenon:</w:t>
      </w:r>
    </w:p>
    <w:p w14:paraId="55DBD94D"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Throughout the analysis, the researcher maintains a strong orientation to the phenomenon, ensuring that the focus remains on the lived experience of the participants (p. 95).</w:t>
      </w:r>
    </w:p>
    <w:p w14:paraId="6E2C3583" w14:textId="77777777" w:rsidR="00AB2148" w:rsidRPr="00AB2148" w:rsidRDefault="00AB2148" w:rsidP="00AB2148">
      <w:pPr>
        <w:spacing w:after="0" w:line="240" w:lineRule="auto"/>
        <w:rPr>
          <w:rFonts w:asciiTheme="minorBidi" w:hAnsiTheme="minorBidi"/>
        </w:rPr>
      </w:pPr>
      <w:r w:rsidRPr="00AB2148">
        <w:rPr>
          <w:rFonts w:asciiTheme="minorBidi" w:hAnsiTheme="minorBidi"/>
        </w:rPr>
        <w:t xml:space="preserve">    - This involves balancing the research context by considering both the parts and the </w:t>
      </w:r>
      <w:proofErr w:type="gramStart"/>
      <w:r w:rsidRPr="00AB2148">
        <w:rPr>
          <w:rFonts w:asciiTheme="minorBidi" w:hAnsiTheme="minorBidi"/>
        </w:rPr>
        <w:t>whole, and</w:t>
      </w:r>
      <w:proofErr w:type="gramEnd"/>
      <w:r w:rsidRPr="00AB2148">
        <w:rPr>
          <w:rFonts w:asciiTheme="minorBidi" w:hAnsiTheme="minorBidi"/>
        </w:rPr>
        <w:t xml:space="preserve"> ensuring that the findings are grounded in the data (p. 95).</w:t>
      </w:r>
    </w:p>
    <w:p w14:paraId="310DDAED" w14:textId="77777777" w:rsidR="00AB2148" w:rsidRPr="00AB2148" w:rsidRDefault="00AB2148" w:rsidP="00AB2148">
      <w:pPr>
        <w:spacing w:after="0" w:line="240" w:lineRule="auto"/>
        <w:rPr>
          <w:rFonts w:asciiTheme="minorBidi" w:hAnsiTheme="minorBidi"/>
        </w:rPr>
      </w:pPr>
    </w:p>
    <w:p w14:paraId="120C15FA" w14:textId="7B948525" w:rsidR="000F26CF" w:rsidRPr="00AB2148" w:rsidRDefault="00AB2148" w:rsidP="00AB2148">
      <w:pPr>
        <w:spacing w:after="0" w:line="240" w:lineRule="auto"/>
        <w:rPr>
          <w:rFonts w:asciiTheme="minorBidi" w:hAnsiTheme="minorBidi"/>
        </w:rPr>
      </w:pPr>
      <w:r w:rsidRPr="00AB2148">
        <w:rPr>
          <w:rFonts w:asciiTheme="minorBidi" w:hAnsiTheme="minorBidi"/>
        </w:rPr>
        <w:t>These techniques collectively contribute to the trustworthiness of the qualitative research by ensuring that the findings are credible, transferable, dependable, and confirmable, as outlined in the principles of qualitative research rigour (Lincoln &amp; Guba, 1985).</w:t>
      </w:r>
    </w:p>
    <w:sectPr w:rsidR="000F26CF" w:rsidRPr="00AB2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148"/>
    <w:rsid w:val="000F26CF"/>
    <w:rsid w:val="00AB2148"/>
    <w:rsid w:val="00F253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0C995"/>
  <w15:chartTrackingRefBased/>
  <w15:docId w15:val="{124924B3-C262-4658-9823-8D834777B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1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21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2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1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21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2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148"/>
    <w:rPr>
      <w:rFonts w:eastAsiaTheme="majorEastAsia" w:cstheme="majorBidi"/>
      <w:color w:val="272727" w:themeColor="text1" w:themeTint="D8"/>
    </w:rPr>
  </w:style>
  <w:style w:type="paragraph" w:styleId="Title">
    <w:name w:val="Title"/>
    <w:basedOn w:val="Normal"/>
    <w:next w:val="Normal"/>
    <w:link w:val="TitleChar"/>
    <w:uiPriority w:val="10"/>
    <w:qFormat/>
    <w:rsid w:val="00AB2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148"/>
    <w:pPr>
      <w:spacing w:before="160"/>
      <w:jc w:val="center"/>
    </w:pPr>
    <w:rPr>
      <w:i/>
      <w:iCs/>
      <w:color w:val="404040" w:themeColor="text1" w:themeTint="BF"/>
    </w:rPr>
  </w:style>
  <w:style w:type="character" w:customStyle="1" w:styleId="QuoteChar">
    <w:name w:val="Quote Char"/>
    <w:basedOn w:val="DefaultParagraphFont"/>
    <w:link w:val="Quote"/>
    <w:uiPriority w:val="29"/>
    <w:rsid w:val="00AB2148"/>
    <w:rPr>
      <w:i/>
      <w:iCs/>
      <w:color w:val="404040" w:themeColor="text1" w:themeTint="BF"/>
    </w:rPr>
  </w:style>
  <w:style w:type="paragraph" w:styleId="ListParagraph">
    <w:name w:val="List Paragraph"/>
    <w:basedOn w:val="Normal"/>
    <w:uiPriority w:val="34"/>
    <w:qFormat/>
    <w:rsid w:val="00AB2148"/>
    <w:pPr>
      <w:ind w:left="720"/>
      <w:contextualSpacing/>
    </w:pPr>
  </w:style>
  <w:style w:type="character" w:styleId="IntenseEmphasis">
    <w:name w:val="Intense Emphasis"/>
    <w:basedOn w:val="DefaultParagraphFont"/>
    <w:uiPriority w:val="21"/>
    <w:qFormat/>
    <w:rsid w:val="00AB2148"/>
    <w:rPr>
      <w:i/>
      <w:iCs/>
      <w:color w:val="0F4761" w:themeColor="accent1" w:themeShade="BF"/>
    </w:rPr>
  </w:style>
  <w:style w:type="paragraph" w:styleId="IntenseQuote">
    <w:name w:val="Intense Quote"/>
    <w:basedOn w:val="Normal"/>
    <w:next w:val="Normal"/>
    <w:link w:val="IntenseQuoteChar"/>
    <w:uiPriority w:val="30"/>
    <w:qFormat/>
    <w:rsid w:val="00AB2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148"/>
    <w:rPr>
      <w:i/>
      <w:iCs/>
      <w:color w:val="0F4761" w:themeColor="accent1" w:themeShade="BF"/>
    </w:rPr>
  </w:style>
  <w:style w:type="character" w:styleId="IntenseReference">
    <w:name w:val="Intense Reference"/>
    <w:basedOn w:val="DefaultParagraphFont"/>
    <w:uiPriority w:val="32"/>
    <w:qFormat/>
    <w:rsid w:val="00AB21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607</Words>
  <Characters>3465</Characters>
  <Application>Microsoft Office Word</Application>
  <DocSecurity>0</DocSecurity>
  <Lines>28</Lines>
  <Paragraphs>8</Paragraphs>
  <ScaleCrop>false</ScaleCrop>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2025-03-18T08:00:00Z</dcterms:created>
  <dcterms:modified xsi:type="dcterms:W3CDTF">2025-03-18T08:01:00Z</dcterms:modified>
</cp:coreProperties>
</file>