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A8820A2" wp14:paraId="544D85D1" wp14:textId="7C483BF0">
      <w:pPr>
        <w:spacing w:before="0" w:beforeAutospacing="off" w:after="16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1F12C91C">
        <w:drawing>
          <wp:inline xmlns:wp14="http://schemas.microsoft.com/office/word/2010/wordprocessingDrawing" wp14:editId="49EABD46" wp14:anchorId="7F2B76A8">
            <wp:extent cx="3714750" cy="1228725"/>
            <wp:effectExtent l="0" t="0" r="0" b="0"/>
            <wp:docPr id="1010242641" name="drawing" title="Press Releases 2020 | University of Wales Trinity Saint David"/>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10242641" name="Picture 1010242641"/>
                    <pic:cNvPicPr/>
                  </pic:nvPicPr>
                  <pic:blipFill>
                    <a:blip xmlns:r="http://schemas.openxmlformats.org/officeDocument/2006/relationships" r:embed="rId1936420625">
                      <a:extLst>
                        <a:ext uri="{28A0092B-C50C-407E-A947-70E740481C1C}">
                          <a14:useLocalDpi xmlns:a14="http://schemas.microsoft.com/office/drawing/2010/main"/>
                        </a:ext>
                      </a:extLst>
                    </a:blip>
                    <a:stretch>
                      <a:fillRect/>
                    </a:stretch>
                  </pic:blipFill>
                  <pic:spPr>
                    <a:xfrm>
                      <a:off x="0" y="0"/>
                      <a:ext cx="3714750" cy="1228725"/>
                    </a:xfrm>
                    <a:prstGeom prst="rect">
                      <a:avLst/>
                    </a:prstGeom>
                  </pic:spPr>
                </pic:pic>
              </a:graphicData>
            </a:graphic>
          </wp:inline>
        </w:drawing>
      </w:r>
    </w:p>
    <w:p xmlns:wp14="http://schemas.microsoft.com/office/word/2010/wordml" w:rsidP="2A8820A2" wp14:paraId="531666A9" wp14:textId="0B27272B">
      <w:pPr>
        <w:spacing w:before="0" w:beforeAutospacing="off" w:after="16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2A8820A2" wp14:paraId="72BDCFDA" wp14:textId="018E9ABD">
      <w:pPr>
        <w:spacing w:before="0" w:beforeAutospacing="off" w:after="160" w:afterAutospacing="off"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2A8820A2" w:rsidR="1F12C91C">
        <w:rPr>
          <w:rFonts w:ascii="Arial Nova" w:hAnsi="Arial Nova" w:eastAsia="Arial Nova" w:cs="Arial Nova"/>
          <w:b w:val="1"/>
          <w:bCs w:val="1"/>
          <w:i w:val="0"/>
          <w:iCs w:val="0"/>
          <w:caps w:val="0"/>
          <w:smallCaps w:val="0"/>
          <w:noProof w:val="0"/>
          <w:color w:val="000000" w:themeColor="text1" w:themeTint="FF" w:themeShade="FF"/>
          <w:sz w:val="22"/>
          <w:szCs w:val="22"/>
          <w:lang w:val="en-US"/>
        </w:rPr>
        <w:t>Name</w:t>
      </w:r>
      <w:r w:rsidRPr="2A8820A2" w:rsidR="608D7C83">
        <w:rPr>
          <w:rFonts w:ascii="Arial Nova" w:hAnsi="Arial Nova" w:eastAsia="Arial Nova" w:cs="Arial Nova"/>
          <w:b w:val="1"/>
          <w:bCs w:val="1"/>
          <w:i w:val="0"/>
          <w:iCs w:val="0"/>
          <w:caps w:val="0"/>
          <w:smallCaps w:val="0"/>
          <w:noProof w:val="0"/>
          <w:color w:val="000000" w:themeColor="text1" w:themeTint="FF" w:themeShade="FF"/>
          <w:sz w:val="22"/>
          <w:szCs w:val="22"/>
          <w:lang w:val="en-US"/>
        </w:rPr>
        <w:t>:</w:t>
      </w:r>
      <w:r w:rsidRPr="2A8820A2" w:rsidR="1F12C91C">
        <w:rPr>
          <w:rFonts w:ascii="Arial Nova" w:hAnsi="Arial Nova" w:eastAsia="Arial Nova" w:cs="Arial Nova"/>
          <w:b w:val="1"/>
          <w:bCs w:val="1"/>
          <w:i w:val="0"/>
          <w:iCs w:val="0"/>
          <w:caps w:val="0"/>
          <w:smallCaps w:val="0"/>
          <w:noProof w:val="0"/>
          <w:color w:val="000000" w:themeColor="text1" w:themeTint="FF" w:themeShade="FF"/>
          <w:sz w:val="22"/>
          <w:szCs w:val="22"/>
          <w:lang w:val="en-US"/>
        </w:rPr>
        <w:t xml:space="preserve"> Assma Zahoor</w:t>
      </w:r>
    </w:p>
    <w:p xmlns:wp14="http://schemas.microsoft.com/office/word/2010/wordml" w:rsidP="2A8820A2" wp14:paraId="6A5BC548" wp14:textId="3139B834">
      <w:pPr>
        <w:spacing w:before="0" w:beforeAutospacing="off" w:after="160" w:afterAutospacing="off"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2A8820A2" w:rsidR="1F12C91C">
        <w:rPr>
          <w:rFonts w:ascii="Arial Nova" w:hAnsi="Arial Nova" w:eastAsia="Arial Nova" w:cs="Arial Nova"/>
          <w:b w:val="1"/>
          <w:bCs w:val="1"/>
          <w:i w:val="0"/>
          <w:iCs w:val="0"/>
          <w:caps w:val="0"/>
          <w:smallCaps w:val="0"/>
          <w:noProof w:val="0"/>
          <w:color w:val="000000" w:themeColor="text1" w:themeTint="FF" w:themeShade="FF"/>
          <w:sz w:val="22"/>
          <w:szCs w:val="22"/>
          <w:lang w:val="en-US"/>
        </w:rPr>
        <w:t>Student Number</w:t>
      </w:r>
      <w:r w:rsidRPr="2A8820A2" w:rsidR="7AB57A96">
        <w:rPr>
          <w:rFonts w:ascii="Arial Nova" w:hAnsi="Arial Nova" w:eastAsia="Arial Nova" w:cs="Arial Nova"/>
          <w:b w:val="1"/>
          <w:bCs w:val="1"/>
          <w:i w:val="0"/>
          <w:iCs w:val="0"/>
          <w:caps w:val="0"/>
          <w:smallCaps w:val="0"/>
          <w:noProof w:val="0"/>
          <w:color w:val="000000" w:themeColor="text1" w:themeTint="FF" w:themeShade="FF"/>
          <w:sz w:val="22"/>
          <w:szCs w:val="22"/>
          <w:lang w:val="en-US"/>
        </w:rPr>
        <w:t>:</w:t>
      </w:r>
      <w:r w:rsidRPr="2A8820A2" w:rsidR="1F12C91C">
        <w:rPr>
          <w:rFonts w:ascii="Arial Nova" w:hAnsi="Arial Nova" w:eastAsia="Arial Nova" w:cs="Arial Nova"/>
          <w:b w:val="1"/>
          <w:bCs w:val="1"/>
          <w:i w:val="0"/>
          <w:iCs w:val="0"/>
          <w:caps w:val="0"/>
          <w:smallCaps w:val="0"/>
          <w:noProof w:val="0"/>
          <w:color w:val="000000" w:themeColor="text1" w:themeTint="FF" w:themeShade="FF"/>
          <w:sz w:val="22"/>
          <w:szCs w:val="22"/>
          <w:lang w:val="en-US"/>
        </w:rPr>
        <w:t xml:space="preserve"> 2242809</w:t>
      </w:r>
    </w:p>
    <w:p xmlns:wp14="http://schemas.microsoft.com/office/word/2010/wordml" w:rsidP="2A8820A2" wp14:paraId="0963D704" wp14:textId="57B4FDA2">
      <w:pPr>
        <w:spacing w:before="0" w:beforeAutospacing="off" w:after="160" w:afterAutospacing="off"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2A8820A2" w:rsidR="1F12C91C">
        <w:rPr>
          <w:rFonts w:ascii="Arial Nova" w:hAnsi="Arial Nova" w:eastAsia="Arial Nova" w:cs="Arial Nova"/>
          <w:b w:val="1"/>
          <w:bCs w:val="1"/>
          <w:i w:val="0"/>
          <w:iCs w:val="0"/>
          <w:caps w:val="0"/>
          <w:smallCaps w:val="0"/>
          <w:noProof w:val="0"/>
          <w:color w:val="000000" w:themeColor="text1" w:themeTint="FF" w:themeShade="FF"/>
          <w:sz w:val="22"/>
          <w:szCs w:val="22"/>
          <w:lang w:val="en-US"/>
        </w:rPr>
        <w:t>Module Code</w:t>
      </w:r>
      <w:r w:rsidRPr="2A8820A2" w:rsidR="1FB325C8">
        <w:rPr>
          <w:rFonts w:ascii="Arial Nova" w:hAnsi="Arial Nova" w:eastAsia="Arial Nova" w:cs="Arial Nova"/>
          <w:b w:val="1"/>
          <w:bCs w:val="1"/>
          <w:i w:val="0"/>
          <w:iCs w:val="0"/>
          <w:caps w:val="0"/>
          <w:smallCaps w:val="0"/>
          <w:noProof w:val="0"/>
          <w:color w:val="000000" w:themeColor="text1" w:themeTint="FF" w:themeShade="FF"/>
          <w:sz w:val="22"/>
          <w:szCs w:val="22"/>
          <w:lang w:val="en-US"/>
        </w:rPr>
        <w:t>:</w:t>
      </w:r>
      <w:r w:rsidRPr="2A8820A2" w:rsidR="1F12C91C">
        <w:rPr>
          <w:rFonts w:ascii="Arial Nova" w:hAnsi="Arial Nova" w:eastAsia="Arial Nova" w:cs="Arial Nova"/>
          <w:b w:val="1"/>
          <w:bCs w:val="1"/>
          <w:i w:val="0"/>
          <w:iCs w:val="0"/>
          <w:caps w:val="0"/>
          <w:smallCaps w:val="0"/>
          <w:noProof w:val="0"/>
          <w:color w:val="000000" w:themeColor="text1" w:themeTint="FF" w:themeShade="FF"/>
          <w:sz w:val="22"/>
          <w:szCs w:val="22"/>
          <w:lang w:val="en-US"/>
        </w:rPr>
        <w:t xml:space="preserve"> BMHP6030</w:t>
      </w:r>
    </w:p>
    <w:p xmlns:wp14="http://schemas.microsoft.com/office/word/2010/wordml" w:rsidP="2A8820A2" wp14:paraId="0A3B1A26" wp14:textId="7632DD8F">
      <w:pPr>
        <w:spacing w:before="0" w:beforeAutospacing="off" w:after="160" w:afterAutospacing="off" w:line="259" w:lineRule="auto"/>
        <w:rPr>
          <w:rFonts w:ascii="Arial Nova" w:hAnsi="Arial Nova" w:eastAsia="Arial Nova" w:cs="Arial Nova"/>
          <w:b w:val="1"/>
          <w:bCs w:val="1"/>
          <w:i w:val="0"/>
          <w:iCs w:val="0"/>
          <w:caps w:val="0"/>
          <w:smallCaps w:val="0"/>
          <w:noProof w:val="0"/>
          <w:color w:val="000000" w:themeColor="text1" w:themeTint="FF" w:themeShade="FF"/>
          <w:sz w:val="22"/>
          <w:szCs w:val="22"/>
          <w:lang w:val="en-US"/>
        </w:rPr>
      </w:pPr>
      <w:r w:rsidRPr="2A8820A2" w:rsidR="1F12C91C">
        <w:rPr>
          <w:rFonts w:ascii="Arial Nova" w:hAnsi="Arial Nova" w:eastAsia="Arial Nova" w:cs="Arial Nova"/>
          <w:b w:val="1"/>
          <w:bCs w:val="1"/>
          <w:i w:val="0"/>
          <w:iCs w:val="0"/>
          <w:caps w:val="0"/>
          <w:smallCaps w:val="0"/>
          <w:noProof w:val="0"/>
          <w:color w:val="000000" w:themeColor="text1" w:themeTint="FF" w:themeShade="FF"/>
          <w:sz w:val="22"/>
          <w:szCs w:val="22"/>
          <w:lang w:val="en-US"/>
        </w:rPr>
        <w:t xml:space="preserve">Module Title </w:t>
      </w:r>
      <w:r w:rsidRPr="2A8820A2" w:rsidR="59449C7F">
        <w:rPr>
          <w:rFonts w:ascii="Arial Nova" w:hAnsi="Arial Nova" w:eastAsia="Arial Nova" w:cs="Arial Nova"/>
          <w:b w:val="1"/>
          <w:bCs w:val="1"/>
          <w:i w:val="0"/>
          <w:iCs w:val="0"/>
          <w:caps w:val="0"/>
          <w:smallCaps w:val="0"/>
          <w:noProof w:val="0"/>
          <w:color w:val="000000" w:themeColor="text1" w:themeTint="FF" w:themeShade="FF"/>
          <w:sz w:val="22"/>
          <w:szCs w:val="22"/>
          <w:lang w:val="en-US"/>
        </w:rPr>
        <w:t xml:space="preserve">Health, </w:t>
      </w:r>
      <w:r w:rsidRPr="2A8820A2" w:rsidR="59449C7F">
        <w:rPr>
          <w:rFonts w:ascii="Arial Nova" w:hAnsi="Arial Nova" w:eastAsia="Arial Nova" w:cs="Arial Nova"/>
          <w:b w:val="1"/>
          <w:bCs w:val="1"/>
          <w:i w:val="0"/>
          <w:iCs w:val="0"/>
          <w:caps w:val="0"/>
          <w:smallCaps w:val="0"/>
          <w:noProof w:val="0"/>
          <w:color w:val="000000" w:themeColor="text1" w:themeTint="FF" w:themeShade="FF"/>
          <w:sz w:val="22"/>
          <w:szCs w:val="22"/>
          <w:lang w:val="en-US"/>
        </w:rPr>
        <w:t>Wellbeing</w:t>
      </w:r>
      <w:r w:rsidRPr="2A8820A2" w:rsidR="59449C7F">
        <w:rPr>
          <w:rFonts w:ascii="Arial Nova" w:hAnsi="Arial Nova" w:eastAsia="Arial Nova" w:cs="Arial Nova"/>
          <w:b w:val="1"/>
          <w:bCs w:val="1"/>
          <w:i w:val="0"/>
          <w:iCs w:val="0"/>
          <w:caps w:val="0"/>
          <w:smallCaps w:val="0"/>
          <w:noProof w:val="0"/>
          <w:color w:val="000000" w:themeColor="text1" w:themeTint="FF" w:themeShade="FF"/>
          <w:sz w:val="22"/>
          <w:szCs w:val="22"/>
          <w:lang w:val="en-US"/>
        </w:rPr>
        <w:t xml:space="preserve"> and Sustainable Development</w:t>
      </w:r>
    </w:p>
    <w:p xmlns:wp14="http://schemas.microsoft.com/office/word/2010/wordml" w:rsidP="2A8820A2" wp14:paraId="3ED1F537" wp14:textId="7FA67418">
      <w:pPr>
        <w:spacing w:before="0" w:beforeAutospacing="off" w:after="160" w:afterAutospacing="off"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2A8820A2" w:rsidR="1F12C91C">
        <w:rPr>
          <w:rFonts w:ascii="Arial Nova" w:hAnsi="Arial Nova" w:eastAsia="Arial Nova" w:cs="Arial Nova"/>
          <w:b w:val="1"/>
          <w:bCs w:val="1"/>
          <w:i w:val="0"/>
          <w:iCs w:val="0"/>
          <w:caps w:val="0"/>
          <w:smallCaps w:val="0"/>
          <w:noProof w:val="0"/>
          <w:color w:val="000000" w:themeColor="text1" w:themeTint="FF" w:themeShade="FF"/>
          <w:sz w:val="22"/>
          <w:szCs w:val="22"/>
          <w:lang w:val="en-US"/>
        </w:rPr>
        <w:t>Lecture Name</w:t>
      </w:r>
      <w:r w:rsidRPr="2A8820A2" w:rsidR="798EAB9C">
        <w:rPr>
          <w:rFonts w:ascii="Arial Nova" w:hAnsi="Arial Nova" w:eastAsia="Arial Nova" w:cs="Arial Nova"/>
          <w:b w:val="1"/>
          <w:bCs w:val="1"/>
          <w:i w:val="0"/>
          <w:iCs w:val="0"/>
          <w:caps w:val="0"/>
          <w:smallCaps w:val="0"/>
          <w:noProof w:val="0"/>
          <w:color w:val="000000" w:themeColor="text1" w:themeTint="FF" w:themeShade="FF"/>
          <w:sz w:val="22"/>
          <w:szCs w:val="22"/>
          <w:lang w:val="en-US"/>
        </w:rPr>
        <w:t>:</w:t>
      </w:r>
      <w:r w:rsidRPr="2A8820A2" w:rsidR="1F12C91C">
        <w:rPr>
          <w:rFonts w:ascii="Arial Nova" w:hAnsi="Arial Nova" w:eastAsia="Arial Nova" w:cs="Arial Nova"/>
          <w:b w:val="1"/>
          <w:bCs w:val="1"/>
          <w:i w:val="0"/>
          <w:iCs w:val="0"/>
          <w:caps w:val="0"/>
          <w:smallCaps w:val="0"/>
          <w:noProof w:val="0"/>
          <w:color w:val="000000" w:themeColor="text1" w:themeTint="FF" w:themeShade="FF"/>
          <w:sz w:val="22"/>
          <w:szCs w:val="22"/>
          <w:lang w:val="en-US"/>
        </w:rPr>
        <w:t xml:space="preserve"> </w:t>
      </w:r>
      <w:r w:rsidRPr="2A8820A2" w:rsidR="3DE4BBE8">
        <w:rPr>
          <w:rFonts w:ascii="Arial Nova" w:hAnsi="Arial Nova" w:eastAsia="Arial Nova" w:cs="Arial Nova"/>
          <w:b w:val="1"/>
          <w:bCs w:val="1"/>
          <w:i w:val="0"/>
          <w:iCs w:val="0"/>
          <w:caps w:val="0"/>
          <w:smallCaps w:val="0"/>
          <w:noProof w:val="0"/>
          <w:color w:val="000000" w:themeColor="text1" w:themeTint="FF" w:themeShade="FF"/>
          <w:sz w:val="22"/>
          <w:szCs w:val="22"/>
          <w:lang w:val="en-US"/>
        </w:rPr>
        <w:t xml:space="preserve">Tomy </w:t>
      </w:r>
      <w:r w:rsidRPr="2A8820A2" w:rsidR="3DE4BBE8">
        <w:rPr>
          <w:rFonts w:ascii="Arial Nova" w:hAnsi="Arial Nova" w:eastAsia="Arial Nova" w:cs="Arial Nova"/>
          <w:b w:val="1"/>
          <w:bCs w:val="1"/>
          <w:i w:val="0"/>
          <w:iCs w:val="0"/>
          <w:caps w:val="0"/>
          <w:smallCaps w:val="0"/>
          <w:noProof w:val="0"/>
          <w:color w:val="000000" w:themeColor="text1" w:themeTint="FF" w:themeShade="FF"/>
          <w:sz w:val="22"/>
          <w:szCs w:val="22"/>
          <w:lang w:val="en-US"/>
        </w:rPr>
        <w:t>Adattu</w:t>
      </w:r>
      <w:r w:rsidRPr="2A8820A2" w:rsidR="3DE4BBE8">
        <w:rPr>
          <w:rFonts w:ascii="Arial Nova" w:hAnsi="Arial Nova" w:eastAsia="Arial Nova" w:cs="Arial Nova"/>
          <w:b w:val="1"/>
          <w:bCs w:val="1"/>
          <w:i w:val="0"/>
          <w:iCs w:val="0"/>
          <w:caps w:val="0"/>
          <w:smallCaps w:val="0"/>
          <w:noProof w:val="0"/>
          <w:color w:val="000000" w:themeColor="text1" w:themeTint="FF" w:themeShade="FF"/>
          <w:sz w:val="22"/>
          <w:szCs w:val="22"/>
          <w:lang w:val="en-US"/>
        </w:rPr>
        <w:t xml:space="preserve"> Chacko</w:t>
      </w:r>
    </w:p>
    <w:p xmlns:wp14="http://schemas.microsoft.com/office/word/2010/wordml" w:rsidP="2A8820A2" wp14:paraId="194AC98A" wp14:textId="0C74276A">
      <w:pPr>
        <w:spacing w:before="0" w:beforeAutospacing="off" w:after="160" w:afterAutospacing="off" w:line="259" w:lineRule="auto"/>
        <w:rPr>
          <w:rFonts w:ascii="Arial Nova" w:hAnsi="Arial Nova" w:eastAsia="Arial Nova" w:cs="Arial Nova"/>
          <w:b w:val="1"/>
          <w:bCs w:val="1"/>
          <w:i w:val="0"/>
          <w:iCs w:val="0"/>
          <w:caps w:val="0"/>
          <w:smallCaps w:val="0"/>
          <w:noProof w:val="0"/>
          <w:color w:val="000000" w:themeColor="text1" w:themeTint="FF" w:themeShade="FF"/>
          <w:sz w:val="22"/>
          <w:szCs w:val="22"/>
          <w:lang w:val="en-US"/>
        </w:rPr>
      </w:pPr>
      <w:r w:rsidRPr="2A8820A2" w:rsidR="1F12C91C">
        <w:rPr>
          <w:rFonts w:ascii="Arial Nova" w:hAnsi="Arial Nova" w:eastAsia="Arial Nova" w:cs="Arial Nova"/>
          <w:b w:val="1"/>
          <w:bCs w:val="1"/>
          <w:i w:val="0"/>
          <w:iCs w:val="0"/>
          <w:caps w:val="0"/>
          <w:smallCaps w:val="0"/>
          <w:noProof w:val="0"/>
          <w:color w:val="000000" w:themeColor="text1" w:themeTint="FF" w:themeShade="FF"/>
          <w:sz w:val="22"/>
          <w:szCs w:val="22"/>
          <w:lang w:val="en-US"/>
        </w:rPr>
        <w:t xml:space="preserve">Assignment Title Component 2: </w:t>
      </w:r>
      <w:r w:rsidRPr="2A8820A2" w:rsidR="261452B6">
        <w:rPr>
          <w:rFonts w:ascii="Arial Nova" w:hAnsi="Arial Nova" w:eastAsia="Arial Nova" w:cs="Arial Nova"/>
          <w:b w:val="1"/>
          <w:bCs w:val="1"/>
          <w:i w:val="0"/>
          <w:iCs w:val="0"/>
          <w:caps w:val="0"/>
          <w:smallCaps w:val="0"/>
          <w:noProof w:val="0"/>
          <w:color w:val="000000" w:themeColor="text1" w:themeTint="FF" w:themeShade="FF"/>
          <w:sz w:val="22"/>
          <w:szCs w:val="22"/>
          <w:lang w:val="en-US"/>
        </w:rPr>
        <w:t>Written Assignment Report</w:t>
      </w:r>
    </w:p>
    <w:p xmlns:wp14="http://schemas.microsoft.com/office/word/2010/wordml" wp14:paraId="2C078E63" wp14:textId="61AA79C1"/>
    <w:p w:rsidR="2A8820A2" w:rsidRDefault="2A8820A2" w14:paraId="1FB878EC" w14:textId="1BE34215"/>
    <w:p w:rsidR="2A8820A2" w:rsidRDefault="2A8820A2" w14:paraId="3774B6D4" w14:textId="6366B7FA"/>
    <w:p w:rsidR="2A8820A2" w:rsidRDefault="2A8820A2" w14:paraId="6DC4887C" w14:textId="75EF4A19"/>
    <w:p w:rsidR="2A8820A2" w:rsidRDefault="2A8820A2" w14:paraId="5DD036B7" w14:textId="12CDDFA4"/>
    <w:p w:rsidR="2A8820A2" w:rsidRDefault="2A8820A2" w14:paraId="3E53E1AB" w14:textId="7B744832"/>
    <w:p w:rsidR="2A8820A2" w:rsidRDefault="2A8820A2" w14:paraId="3F9521D0" w14:textId="7986E24C"/>
    <w:p w:rsidR="2A8820A2" w:rsidRDefault="2A8820A2" w14:paraId="63CEC222" w14:textId="3E8B16B5"/>
    <w:p w:rsidR="2A8820A2" w:rsidRDefault="2A8820A2" w14:paraId="373E3621" w14:textId="7830E10A"/>
    <w:p w:rsidR="2A8820A2" w:rsidRDefault="2A8820A2" w14:paraId="744A36C9" w14:textId="4399796F"/>
    <w:p w:rsidR="2A8820A2" w:rsidRDefault="2A8820A2" w14:paraId="463B60D1" w14:textId="040BB849"/>
    <w:p w:rsidR="2A8820A2" w:rsidRDefault="2A8820A2" w14:paraId="4FD01FCC" w14:textId="71198861"/>
    <w:p w:rsidR="2A8820A2" w:rsidRDefault="2A8820A2" w14:paraId="2C2EE06C" w14:textId="41C02431"/>
    <w:p w:rsidR="2A8820A2" w:rsidRDefault="2A8820A2" w14:paraId="01E1B1D2" w14:textId="6B025845"/>
    <w:p w:rsidR="2A8820A2" w:rsidRDefault="2A8820A2" w14:paraId="3133A5AD" w14:textId="76781137"/>
    <w:p w:rsidR="611D4F96" w:rsidP="611D4F96" w:rsidRDefault="611D4F96" w14:paraId="133A6B4A" w14:textId="27BEB44A">
      <w:pPr>
        <w:pStyle w:val="Normal"/>
        <w:rPr>
          <w:rFonts w:ascii="Arial Nova" w:hAnsi="Arial Nova" w:eastAsia="Arial Nova" w:cs="Arial Nova"/>
          <w:b w:val="1"/>
          <w:bCs w:val="1"/>
        </w:rPr>
      </w:pPr>
    </w:p>
    <w:p w:rsidR="192DEB59" w:rsidP="236E27B0" w:rsidRDefault="192DEB59" w14:paraId="2548DB6D" w14:textId="679950DD">
      <w:pPr>
        <w:pStyle w:val="Normal"/>
        <w:rPr>
          <w:rFonts w:ascii="Arial Nova" w:hAnsi="Arial Nova" w:eastAsia="Arial Nova" w:cs="Arial Nova"/>
          <w:b w:val="1"/>
          <w:bCs w:val="1"/>
        </w:rPr>
      </w:pPr>
      <w:r w:rsidRPr="236E27B0" w:rsidR="192DEB59">
        <w:rPr>
          <w:rFonts w:ascii="Arial Nova" w:hAnsi="Arial Nova" w:eastAsia="Arial Nova" w:cs="Arial Nova"/>
          <w:b w:val="1"/>
          <w:bCs w:val="1"/>
        </w:rPr>
        <w:t>INTRODUCTION</w:t>
      </w:r>
    </w:p>
    <w:p w:rsidR="137219E9" w:rsidP="16A43087" w:rsidRDefault="137219E9" w14:paraId="0D8218AB" w14:textId="2166513E">
      <w:pPr>
        <w:pStyle w:val="Normal"/>
        <w:spacing w:line="360" w:lineRule="auto"/>
      </w:pPr>
      <w:r w:rsidRPr="16A43087" w:rsidR="137219E9">
        <w:rPr>
          <w:rFonts w:ascii="Arial Nova" w:hAnsi="Arial Nova" w:eastAsia="Arial Nova" w:cs="Arial Nova"/>
          <w:noProof w:val="0"/>
          <w:sz w:val="22"/>
          <w:szCs w:val="22"/>
          <w:lang w:val="en-US"/>
        </w:rPr>
        <w:t xml:space="preserve">Health, </w:t>
      </w:r>
      <w:r w:rsidRPr="16A43087" w:rsidR="137219E9">
        <w:rPr>
          <w:rFonts w:ascii="Arial Nova" w:hAnsi="Arial Nova" w:eastAsia="Arial Nova" w:cs="Arial Nova"/>
          <w:noProof w:val="0"/>
          <w:sz w:val="22"/>
          <w:szCs w:val="22"/>
          <w:lang w:val="en-US"/>
        </w:rPr>
        <w:t>wellbeing</w:t>
      </w:r>
      <w:r w:rsidRPr="16A43087" w:rsidR="137219E9">
        <w:rPr>
          <w:rFonts w:ascii="Arial Nova" w:hAnsi="Arial Nova" w:eastAsia="Arial Nova" w:cs="Arial Nova"/>
          <w:noProof w:val="0"/>
          <w:sz w:val="22"/>
          <w:szCs w:val="22"/>
          <w:lang w:val="en-US"/>
        </w:rPr>
        <w:t xml:space="preserve"> and sustainability are progressively acknowledged as interconnected worldwide imperatives, especially </w:t>
      </w:r>
      <w:r w:rsidRPr="16A43087" w:rsidR="137219E9">
        <w:rPr>
          <w:rFonts w:ascii="Arial Nova" w:hAnsi="Arial Nova" w:eastAsia="Arial Nova" w:cs="Arial Nova"/>
          <w:noProof w:val="0"/>
          <w:sz w:val="22"/>
          <w:szCs w:val="22"/>
          <w:lang w:val="en-US"/>
        </w:rPr>
        <w:t>regarding</w:t>
      </w:r>
      <w:r w:rsidRPr="16A43087" w:rsidR="137219E9">
        <w:rPr>
          <w:rFonts w:ascii="Arial Nova" w:hAnsi="Arial Nova" w:eastAsia="Arial Nova" w:cs="Arial Nova"/>
          <w:noProof w:val="0"/>
          <w:sz w:val="22"/>
          <w:szCs w:val="22"/>
          <w:lang w:val="en-US"/>
        </w:rPr>
        <w:t xml:space="preserve"> escalating health disparities, demographic shifts, and environmental challenges (World Health Organization, 2022).</w:t>
      </w:r>
      <w:r w:rsidRPr="16A43087" w:rsidR="1331D744">
        <w:rPr>
          <w:rFonts w:ascii="Arial Nova" w:hAnsi="Arial Nova" w:eastAsia="Arial Nova" w:cs="Arial Nova"/>
          <w:noProof w:val="0"/>
          <w:sz w:val="22"/>
          <w:szCs w:val="22"/>
          <w:lang w:val="en-US"/>
        </w:rPr>
        <w:t xml:space="preserve"> </w:t>
      </w:r>
      <w:r w:rsidRPr="16A43087" w:rsidR="47C9F86A">
        <w:rPr>
          <w:rFonts w:ascii="Arial Nova" w:hAnsi="Arial Nova" w:eastAsia="Arial Nova" w:cs="Arial Nova"/>
          <w:noProof w:val="0"/>
          <w:sz w:val="22"/>
          <w:szCs w:val="22"/>
          <w:lang w:val="en-US"/>
        </w:rPr>
        <w:t xml:space="preserve">The United Nations Sustainable Development Goals (SDGs) </w:t>
      </w:r>
      <w:r w:rsidRPr="16A43087" w:rsidR="47C9F86A">
        <w:rPr>
          <w:rFonts w:ascii="Arial Nova" w:hAnsi="Arial Nova" w:eastAsia="Arial Nova" w:cs="Arial Nova"/>
          <w:noProof w:val="0"/>
          <w:sz w:val="22"/>
          <w:szCs w:val="22"/>
          <w:lang w:val="en-US"/>
        </w:rPr>
        <w:t>establish</w:t>
      </w:r>
      <w:r w:rsidRPr="16A43087" w:rsidR="47C9F86A">
        <w:rPr>
          <w:rFonts w:ascii="Arial Nova" w:hAnsi="Arial Nova" w:eastAsia="Arial Nova" w:cs="Arial Nova"/>
          <w:noProof w:val="0"/>
          <w:sz w:val="22"/>
          <w:szCs w:val="22"/>
          <w:lang w:val="en-US"/>
        </w:rPr>
        <w:t xml:space="preserve"> a worldwide framework for tackling interlinked concerns, with </w:t>
      </w:r>
      <w:r w:rsidRPr="16A43087" w:rsidR="47C9F86A">
        <w:rPr>
          <w:rFonts w:ascii="Arial Nova" w:hAnsi="Arial Nova" w:eastAsia="Arial Nova" w:cs="Arial Nova"/>
          <w:b w:val="1"/>
          <w:bCs w:val="1"/>
          <w:noProof w:val="0"/>
          <w:sz w:val="22"/>
          <w:szCs w:val="22"/>
          <w:lang w:val="en-US"/>
        </w:rPr>
        <w:t xml:space="preserve">SDG 3: Good Health and Wellbeing </w:t>
      </w:r>
      <w:r w:rsidRPr="16A43087" w:rsidR="47C9F86A">
        <w:rPr>
          <w:rFonts w:ascii="Arial Nova" w:hAnsi="Arial Nova" w:eastAsia="Arial Nova" w:cs="Arial Nova"/>
          <w:noProof w:val="0"/>
          <w:sz w:val="22"/>
          <w:szCs w:val="22"/>
          <w:lang w:val="en-US"/>
        </w:rPr>
        <w:t>focused on ensuring healthy lives and promoting wellbeing for individuals of all ages (United Nations, 2015).</w:t>
      </w:r>
      <w:r w:rsidRPr="16A43087" w:rsidR="07C97FD9">
        <w:rPr>
          <w:rFonts w:ascii="Arial Nova" w:hAnsi="Arial Nova" w:eastAsia="Arial Nova" w:cs="Arial Nova"/>
          <w:noProof w:val="0"/>
          <w:sz w:val="22"/>
          <w:szCs w:val="22"/>
          <w:lang w:val="en-US"/>
        </w:rPr>
        <w:t xml:space="preserve"> Progress towards SDG 3 is significantly affected by broader social and economic determinants, such as income, education, and healthcare access, which are integral to </w:t>
      </w:r>
      <w:r w:rsidRPr="16A43087" w:rsidR="07C97FD9">
        <w:rPr>
          <w:rFonts w:ascii="Arial Nova" w:hAnsi="Arial Nova" w:eastAsia="Arial Nova" w:cs="Arial Nova"/>
          <w:b w:val="1"/>
          <w:bCs w:val="1"/>
          <w:noProof w:val="0"/>
          <w:sz w:val="22"/>
          <w:szCs w:val="22"/>
          <w:lang w:val="en-US"/>
        </w:rPr>
        <w:t>SDG 10: Reduced Inequalities</w:t>
      </w:r>
      <w:r w:rsidRPr="16A43087" w:rsidR="07C97FD9">
        <w:rPr>
          <w:rFonts w:ascii="Arial Nova" w:hAnsi="Arial Nova" w:eastAsia="Arial Nova" w:cs="Arial Nova"/>
          <w:noProof w:val="0"/>
          <w:sz w:val="22"/>
          <w:szCs w:val="22"/>
          <w:lang w:val="en-US"/>
        </w:rPr>
        <w:t xml:space="preserve"> (Marmot et al., 2020).</w:t>
      </w:r>
    </w:p>
    <w:p w:rsidR="26DF34B2" w:rsidP="16A43087" w:rsidRDefault="26DF34B2" w14:paraId="01C026F5" w14:textId="3A56F1E4">
      <w:pPr>
        <w:pStyle w:val="Normal"/>
        <w:spacing w:line="360" w:lineRule="auto"/>
        <w:rPr>
          <w:rFonts w:ascii="Arial Nova" w:hAnsi="Arial Nova" w:eastAsia="Arial Nova" w:cs="Arial Nova"/>
          <w:b w:val="1"/>
          <w:bCs w:val="1"/>
          <w:noProof w:val="0"/>
          <w:sz w:val="22"/>
          <w:szCs w:val="22"/>
          <w:lang w:val="en-US"/>
        </w:rPr>
      </w:pPr>
      <w:r w:rsidRPr="16A43087" w:rsidR="26DF34B2">
        <w:rPr>
          <w:rFonts w:ascii="Arial Nova" w:hAnsi="Arial Nova" w:eastAsia="Arial Nova" w:cs="Arial Nova"/>
          <w:noProof w:val="0"/>
          <w:sz w:val="22"/>
          <w:szCs w:val="22"/>
          <w:lang w:val="en-US"/>
        </w:rPr>
        <w:t xml:space="preserve">With an emphasis on the UK, this paper critically investigates how SDGs 3 and 10 affect citizens' health and well-being on a </w:t>
      </w:r>
      <w:r w:rsidRPr="16A43087" w:rsidR="26DF34B2">
        <w:rPr>
          <w:rFonts w:ascii="Arial Nova" w:hAnsi="Arial Nova" w:eastAsia="Arial Nova" w:cs="Arial Nova"/>
          <w:b w:val="1"/>
          <w:bCs w:val="1"/>
          <w:noProof w:val="0"/>
          <w:sz w:val="22"/>
          <w:szCs w:val="22"/>
          <w:lang w:val="en-US"/>
        </w:rPr>
        <w:t>global, national, and local level</w:t>
      </w:r>
      <w:r w:rsidRPr="16A43087" w:rsidR="26DF34B2">
        <w:rPr>
          <w:rFonts w:ascii="Arial Nova" w:hAnsi="Arial Nova" w:eastAsia="Arial Nova" w:cs="Arial Nova"/>
          <w:b w:val="0"/>
          <w:bCs w:val="0"/>
          <w:noProof w:val="0"/>
          <w:sz w:val="22"/>
          <w:szCs w:val="22"/>
          <w:lang w:val="en-US"/>
        </w:rPr>
        <w:t xml:space="preserve">. </w:t>
      </w:r>
      <w:r w:rsidRPr="16A43087" w:rsidR="51D0282F">
        <w:rPr>
          <w:rFonts w:ascii="Arial Nova" w:hAnsi="Arial Nova" w:eastAsia="Arial Nova" w:cs="Arial Nova"/>
          <w:noProof w:val="0"/>
          <w:sz w:val="22"/>
          <w:szCs w:val="22"/>
          <w:lang w:val="en-US"/>
        </w:rPr>
        <w:t xml:space="preserve">It </w:t>
      </w:r>
      <w:r w:rsidRPr="16A43087" w:rsidR="51D0282F">
        <w:rPr>
          <w:rFonts w:ascii="Arial Nova" w:hAnsi="Arial Nova" w:eastAsia="Arial Nova" w:cs="Arial Nova"/>
          <w:noProof w:val="0"/>
          <w:sz w:val="22"/>
          <w:szCs w:val="22"/>
          <w:lang w:val="en-US"/>
        </w:rPr>
        <w:t>seeks</w:t>
      </w:r>
      <w:r w:rsidRPr="16A43087" w:rsidR="51D0282F">
        <w:rPr>
          <w:rFonts w:ascii="Arial Nova" w:hAnsi="Arial Nova" w:eastAsia="Arial Nova" w:cs="Arial Nova"/>
          <w:noProof w:val="0"/>
          <w:sz w:val="22"/>
          <w:szCs w:val="22"/>
          <w:lang w:val="en-US"/>
        </w:rPr>
        <w:t xml:space="preserve"> to assess how well current policies and activities related to health, wellbeing, and sustainable development are working to improve population health outcomes and lessen health disparities. The report evaluates whether policies improve self-efficacy, address perceived health risks, and lower barriers to engaging in health-promoting behaviors using well-known behavior change theories, such as the </w:t>
      </w:r>
      <w:r w:rsidRPr="16A43087" w:rsidR="51D0282F">
        <w:rPr>
          <w:rFonts w:ascii="Arial Nova" w:hAnsi="Arial Nova" w:eastAsia="Arial Nova" w:cs="Arial Nova"/>
          <w:b w:val="1"/>
          <w:bCs w:val="1"/>
          <w:noProof w:val="0"/>
          <w:sz w:val="22"/>
          <w:szCs w:val="22"/>
          <w:lang w:val="en-US"/>
        </w:rPr>
        <w:t>Social Cognitive Theory</w:t>
      </w:r>
      <w:r w:rsidRPr="16A43087" w:rsidR="51D0282F">
        <w:rPr>
          <w:rFonts w:ascii="Arial Nova" w:hAnsi="Arial Nova" w:eastAsia="Arial Nova" w:cs="Arial Nova"/>
          <w:noProof w:val="0"/>
          <w:sz w:val="22"/>
          <w:szCs w:val="22"/>
          <w:lang w:val="en-US"/>
        </w:rPr>
        <w:t xml:space="preserve"> and the</w:t>
      </w:r>
      <w:r w:rsidRPr="16A43087" w:rsidR="51D0282F">
        <w:rPr>
          <w:rFonts w:ascii="Arial Nova" w:hAnsi="Arial Nova" w:eastAsia="Arial Nova" w:cs="Arial Nova"/>
          <w:b w:val="1"/>
          <w:bCs w:val="1"/>
          <w:noProof w:val="0"/>
          <w:sz w:val="22"/>
          <w:szCs w:val="22"/>
          <w:lang w:val="en-US"/>
        </w:rPr>
        <w:t xml:space="preserve"> Health Belief Model,</w:t>
      </w:r>
      <w:r w:rsidRPr="16A43087" w:rsidR="51D0282F">
        <w:rPr>
          <w:rFonts w:ascii="Arial Nova" w:hAnsi="Arial Nova" w:eastAsia="Arial Nova" w:cs="Arial Nova"/>
          <w:noProof w:val="0"/>
          <w:sz w:val="22"/>
          <w:szCs w:val="22"/>
          <w:lang w:val="en-US"/>
        </w:rPr>
        <w:t xml:space="preserve"> to support critical analysis (Bandura, 2004; Rosenstock et al., 1988).</w:t>
      </w:r>
    </w:p>
    <w:p w:rsidR="4B9A1D3C" w:rsidP="16A43087" w:rsidRDefault="4B9A1D3C" w14:paraId="4E161C6C" w14:textId="0A69517F">
      <w:pPr>
        <w:pStyle w:val="Normal"/>
        <w:spacing w:line="360" w:lineRule="auto"/>
      </w:pPr>
      <w:r w:rsidRPr="16A43087" w:rsidR="4B9A1D3C">
        <w:rPr>
          <w:rFonts w:ascii="Arial Nova" w:hAnsi="Arial Nova" w:eastAsia="Arial Nova" w:cs="Arial Nova"/>
          <w:noProof w:val="0"/>
          <w:sz w:val="22"/>
          <w:szCs w:val="22"/>
          <w:lang w:val="en-US"/>
        </w:rPr>
        <w:t xml:space="preserve">The report is structured as follows. First, the main </w:t>
      </w:r>
      <w:r w:rsidRPr="16A43087" w:rsidR="4B9A1D3C">
        <w:rPr>
          <w:rFonts w:ascii="Arial Nova" w:hAnsi="Arial Nova" w:eastAsia="Arial Nova" w:cs="Arial Nova"/>
          <w:noProof w:val="0"/>
          <w:sz w:val="22"/>
          <w:szCs w:val="22"/>
          <w:lang w:val="en-US"/>
        </w:rPr>
        <w:t>objectives</w:t>
      </w:r>
      <w:r w:rsidRPr="16A43087" w:rsidR="4B9A1D3C">
        <w:rPr>
          <w:rFonts w:ascii="Arial Nova" w:hAnsi="Arial Nova" w:eastAsia="Arial Nova" w:cs="Arial Nova"/>
          <w:noProof w:val="0"/>
          <w:sz w:val="22"/>
          <w:szCs w:val="22"/>
          <w:lang w:val="en-US"/>
        </w:rPr>
        <w:t xml:space="preserve"> and connections between SDG 3 and SDG 10 are described. Before looking at national and local policies and efforts in the UK, a critical review of their global impact on health and wellbeing comes next. </w:t>
      </w:r>
      <w:r w:rsidRPr="16A43087" w:rsidR="4B9A1D3C">
        <w:rPr>
          <w:rFonts w:ascii="Arial Nova" w:hAnsi="Arial Nova" w:eastAsia="Arial Nova" w:cs="Arial Nova"/>
          <w:noProof w:val="0"/>
          <w:sz w:val="22"/>
          <w:szCs w:val="22"/>
          <w:lang w:val="en-US"/>
        </w:rPr>
        <w:t>Empirical data, policy analyses, and case studies are used to assess these efforts' efficacy.</w:t>
      </w:r>
      <w:r w:rsidRPr="16A43087" w:rsidR="4B9A1D3C">
        <w:rPr>
          <w:rFonts w:ascii="Arial Nova" w:hAnsi="Arial Nova" w:eastAsia="Arial Nova" w:cs="Arial Nova"/>
          <w:noProof w:val="0"/>
          <w:sz w:val="22"/>
          <w:szCs w:val="22"/>
          <w:lang w:val="en-US"/>
        </w:rPr>
        <w:t xml:space="preserve"> Lastly, suggestions for enhancement are given, and the main conclusions are </w:t>
      </w:r>
      <w:r w:rsidRPr="16A43087" w:rsidR="4B9A1D3C">
        <w:rPr>
          <w:rFonts w:ascii="Arial Nova" w:hAnsi="Arial Nova" w:eastAsia="Arial Nova" w:cs="Arial Nova"/>
          <w:noProof w:val="0"/>
          <w:sz w:val="22"/>
          <w:szCs w:val="22"/>
          <w:lang w:val="en-US"/>
        </w:rPr>
        <w:t>summari</w:t>
      </w:r>
      <w:r w:rsidRPr="16A43087" w:rsidR="0FBACFCD">
        <w:rPr>
          <w:rFonts w:ascii="Arial Nova" w:hAnsi="Arial Nova" w:eastAsia="Arial Nova" w:cs="Arial Nova"/>
          <w:noProof w:val="0"/>
          <w:sz w:val="22"/>
          <w:szCs w:val="22"/>
          <w:lang w:val="en-US"/>
        </w:rPr>
        <w:t>s</w:t>
      </w:r>
      <w:r w:rsidRPr="16A43087" w:rsidR="4B9A1D3C">
        <w:rPr>
          <w:rFonts w:ascii="Arial Nova" w:hAnsi="Arial Nova" w:eastAsia="Arial Nova" w:cs="Arial Nova"/>
          <w:noProof w:val="0"/>
          <w:sz w:val="22"/>
          <w:szCs w:val="22"/>
          <w:lang w:val="en-US"/>
        </w:rPr>
        <w:t>ed</w:t>
      </w:r>
      <w:r w:rsidRPr="16A43087" w:rsidR="4B9A1D3C">
        <w:rPr>
          <w:rFonts w:ascii="Arial Nova" w:hAnsi="Arial Nova" w:eastAsia="Arial Nova" w:cs="Arial Nova"/>
          <w:noProof w:val="0"/>
          <w:sz w:val="22"/>
          <w:szCs w:val="22"/>
          <w:lang w:val="en-US"/>
        </w:rPr>
        <w:t>.</w:t>
      </w:r>
    </w:p>
    <w:p w:rsidR="2A8820A2" w:rsidP="2A8820A2" w:rsidRDefault="2A8820A2" w14:paraId="6EF7C8B7" w14:textId="01D278E2">
      <w:pPr>
        <w:pStyle w:val="Normal"/>
        <w:rPr>
          <w:rFonts w:ascii="Arial Nova" w:hAnsi="Arial Nova" w:eastAsia="Arial Nova" w:cs="Arial Nova"/>
          <w:noProof w:val="0"/>
          <w:sz w:val="22"/>
          <w:szCs w:val="22"/>
          <w:lang w:val="en-US"/>
        </w:rPr>
      </w:pPr>
    </w:p>
    <w:p w:rsidR="2A8820A2" w:rsidP="2A8820A2" w:rsidRDefault="2A8820A2" w14:paraId="4EC4BD84" w14:textId="6A9CD267">
      <w:pPr>
        <w:pStyle w:val="Normal"/>
        <w:rPr>
          <w:rFonts w:ascii="Arial Nova" w:hAnsi="Arial Nova" w:eastAsia="Arial Nova" w:cs="Arial Nova"/>
          <w:noProof w:val="0"/>
          <w:sz w:val="22"/>
          <w:szCs w:val="22"/>
          <w:lang w:val="en-US"/>
        </w:rPr>
      </w:pPr>
    </w:p>
    <w:p w:rsidR="2A8820A2" w:rsidP="2A8820A2" w:rsidRDefault="2A8820A2" w14:paraId="1552AF82" w14:textId="7C02E83B">
      <w:pPr>
        <w:pStyle w:val="Normal"/>
        <w:rPr>
          <w:rFonts w:ascii="Arial Nova" w:hAnsi="Arial Nova" w:eastAsia="Arial Nova" w:cs="Arial Nova"/>
          <w:noProof w:val="0"/>
          <w:sz w:val="22"/>
          <w:szCs w:val="22"/>
          <w:lang w:val="en-US"/>
        </w:rPr>
      </w:pPr>
    </w:p>
    <w:p w:rsidR="2A8820A2" w:rsidP="2A8820A2" w:rsidRDefault="2A8820A2" w14:paraId="635AE630" w14:textId="664CBBAB">
      <w:pPr>
        <w:pStyle w:val="Normal"/>
        <w:rPr>
          <w:rFonts w:ascii="Arial Nova" w:hAnsi="Arial Nova" w:eastAsia="Arial Nova" w:cs="Arial Nova"/>
          <w:noProof w:val="0"/>
          <w:sz w:val="22"/>
          <w:szCs w:val="22"/>
          <w:lang w:val="en-US"/>
        </w:rPr>
      </w:pPr>
    </w:p>
    <w:p w:rsidR="2A8820A2" w:rsidP="2A8820A2" w:rsidRDefault="2A8820A2" w14:paraId="77116BF4" w14:textId="100E53E3">
      <w:pPr>
        <w:pStyle w:val="Normal"/>
        <w:rPr>
          <w:rFonts w:ascii="Arial Nova" w:hAnsi="Arial Nova" w:eastAsia="Arial Nova" w:cs="Arial Nova"/>
          <w:noProof w:val="0"/>
          <w:sz w:val="22"/>
          <w:szCs w:val="22"/>
          <w:lang w:val="en-US"/>
        </w:rPr>
      </w:pPr>
    </w:p>
    <w:p w:rsidR="2A8820A2" w:rsidP="2A8820A2" w:rsidRDefault="2A8820A2" w14:paraId="66B9AC4C" w14:textId="6A9A3FFF">
      <w:pPr>
        <w:pStyle w:val="Normal"/>
        <w:rPr>
          <w:rFonts w:ascii="Arial Nova" w:hAnsi="Arial Nova" w:eastAsia="Arial Nova" w:cs="Arial Nova"/>
          <w:noProof w:val="0"/>
          <w:sz w:val="22"/>
          <w:szCs w:val="22"/>
          <w:lang w:val="en-US"/>
        </w:rPr>
      </w:pPr>
    </w:p>
    <w:p w:rsidR="236E27B0" w:rsidP="236E27B0" w:rsidRDefault="236E27B0" w14:paraId="2B27B069" w14:textId="75154D30">
      <w:pPr>
        <w:pStyle w:val="Normal"/>
        <w:rPr>
          <w:rFonts w:ascii="Arial Nova" w:hAnsi="Arial Nova" w:eastAsia="Arial Nova" w:cs="Arial Nova"/>
          <w:b w:val="1"/>
          <w:bCs w:val="1"/>
          <w:noProof w:val="0"/>
          <w:sz w:val="24"/>
          <w:szCs w:val="24"/>
          <w:lang w:val="en-US"/>
        </w:rPr>
      </w:pPr>
    </w:p>
    <w:p w:rsidR="611D4F96" w:rsidP="611D4F96" w:rsidRDefault="611D4F96" w14:paraId="1D467D11" w14:textId="580AF31F">
      <w:pPr>
        <w:pStyle w:val="Normal"/>
        <w:rPr>
          <w:rFonts w:ascii="Arial Nova" w:hAnsi="Arial Nova" w:eastAsia="Arial Nova" w:cs="Arial Nova"/>
          <w:b w:val="1"/>
          <w:bCs w:val="1"/>
          <w:noProof w:val="0"/>
          <w:sz w:val="24"/>
          <w:szCs w:val="24"/>
          <w:lang w:val="en-US"/>
        </w:rPr>
      </w:pPr>
    </w:p>
    <w:p w:rsidR="44D8E434" w:rsidP="2A8820A2" w:rsidRDefault="44D8E434" w14:paraId="05099801" w14:textId="1CED4491">
      <w:pPr>
        <w:pStyle w:val="Normal"/>
        <w:rPr>
          <w:rFonts w:ascii="Arial Nova" w:hAnsi="Arial Nova" w:eastAsia="Arial Nova" w:cs="Arial Nova"/>
          <w:b w:val="1"/>
          <w:bCs w:val="1"/>
          <w:noProof w:val="0"/>
          <w:sz w:val="24"/>
          <w:szCs w:val="24"/>
          <w:lang w:val="en-US"/>
        </w:rPr>
      </w:pPr>
      <w:r w:rsidRPr="43F1CFA4" w:rsidR="788BEF79">
        <w:rPr>
          <w:rFonts w:ascii="Arial Nova" w:hAnsi="Arial Nova" w:eastAsia="Arial Nova" w:cs="Arial Nova"/>
          <w:b w:val="1"/>
          <w:bCs w:val="1"/>
          <w:noProof w:val="0"/>
          <w:sz w:val="24"/>
          <w:szCs w:val="24"/>
          <w:lang w:val="en-US"/>
        </w:rPr>
        <w:t xml:space="preserve">1. </w:t>
      </w:r>
      <w:r w:rsidRPr="43F1CFA4" w:rsidR="44D8E434">
        <w:rPr>
          <w:rFonts w:ascii="Arial Nova" w:hAnsi="Arial Nova" w:eastAsia="Arial Nova" w:cs="Arial Nova"/>
          <w:b w:val="1"/>
          <w:bCs w:val="1"/>
          <w:noProof w:val="0"/>
          <w:sz w:val="24"/>
          <w:szCs w:val="24"/>
          <w:lang w:val="en-US"/>
        </w:rPr>
        <w:t>SDG 3 – Good Health and Wellbeing</w:t>
      </w:r>
    </w:p>
    <w:p w:rsidR="4BA83167" w:rsidP="16A43087" w:rsidRDefault="4BA83167" w14:paraId="70AF7DC7" w14:textId="54F6F537">
      <w:pPr>
        <w:pStyle w:val="Normal"/>
        <w:spacing w:line="360" w:lineRule="auto"/>
      </w:pPr>
      <w:r w:rsidRPr="16A43087" w:rsidR="4BA83167">
        <w:rPr>
          <w:rFonts w:ascii="Arial Nova" w:hAnsi="Arial Nova" w:eastAsia="Arial Nova" w:cs="Arial Nova"/>
          <w:noProof w:val="0"/>
          <w:sz w:val="22"/>
          <w:szCs w:val="22"/>
          <w:lang w:val="en-US"/>
        </w:rPr>
        <w:t xml:space="preserve">Sustainable Development Goal 3 (SDG 3) aims to “ensure healthy lives and promote wellbeing </w:t>
      </w:r>
      <w:r w:rsidRPr="16A43087" w:rsidR="4BA83167">
        <w:rPr>
          <w:rFonts w:ascii="Arial Nova" w:hAnsi="Arial Nova" w:eastAsia="Arial Nova" w:cs="Arial Nova"/>
          <w:noProof w:val="0"/>
          <w:sz w:val="22"/>
          <w:szCs w:val="22"/>
          <w:lang w:val="en-US"/>
        </w:rPr>
        <w:t>for</w:t>
      </w:r>
      <w:r w:rsidRPr="16A43087" w:rsidR="4BA83167">
        <w:rPr>
          <w:rFonts w:ascii="Arial Nova" w:hAnsi="Arial Nova" w:eastAsia="Arial Nova" w:cs="Arial Nova"/>
          <w:noProof w:val="0"/>
          <w:sz w:val="22"/>
          <w:szCs w:val="22"/>
          <w:lang w:val="en-US"/>
        </w:rPr>
        <w:t xml:space="preserve"> all ages” and is important to the United Nations 2030 Agenda for Sustainable Development (United Nations, 2015). SDG 3 </w:t>
      </w:r>
      <w:r w:rsidRPr="16A43087" w:rsidR="4BA83167">
        <w:rPr>
          <w:rFonts w:ascii="Arial Nova" w:hAnsi="Arial Nova" w:eastAsia="Arial Nova" w:cs="Arial Nova"/>
          <w:noProof w:val="0"/>
          <w:sz w:val="22"/>
          <w:szCs w:val="22"/>
          <w:lang w:val="en-US"/>
        </w:rPr>
        <w:t>contains</w:t>
      </w:r>
      <w:r w:rsidRPr="16A43087" w:rsidR="4BA83167">
        <w:rPr>
          <w:rFonts w:ascii="Arial Nova" w:hAnsi="Arial Nova" w:eastAsia="Arial Nova" w:cs="Arial Nova"/>
          <w:noProof w:val="0"/>
          <w:sz w:val="22"/>
          <w:szCs w:val="22"/>
          <w:lang w:val="en-US"/>
        </w:rPr>
        <w:t xml:space="preserve"> a wide range of aims, including lowering mother and child mortality, combatting communicable and non-communicable diseases, enhancing mental health, strengthening health systems, and achieving universal health coverage. Significantly, SDG 3 acknowledges that social, economic, and environmental factors like income, education, housing, and employment influence health outcomes in addition to healthcare delivery (World Health Organization, 2022). As a result, advancing SDG 3 is intimately related to more general sustainability and inequality targets, especially SDG 10.</w:t>
      </w:r>
    </w:p>
    <w:p w:rsidR="788BEF79" w:rsidP="788BEF79" w:rsidRDefault="788BEF79" w14:paraId="13982A0F" w14:textId="54F70462">
      <w:pPr>
        <w:pStyle w:val="Normal"/>
        <w:rPr>
          <w:rFonts w:ascii="Arial Nova" w:hAnsi="Arial Nova" w:eastAsia="Arial Nova" w:cs="Arial Nova"/>
          <w:noProof w:val="0"/>
          <w:sz w:val="22"/>
          <w:szCs w:val="22"/>
          <w:lang w:val="en-US"/>
        </w:rPr>
      </w:pPr>
    </w:p>
    <w:p w:rsidR="43F1CFA4" w:rsidP="43F1CFA4" w:rsidRDefault="43F1CFA4" w14:paraId="300678AB" w14:textId="10D0DE3E">
      <w:pPr>
        <w:pStyle w:val="Normal"/>
        <w:rPr>
          <w:rFonts w:ascii="Arial Nova" w:hAnsi="Arial Nova" w:eastAsia="Arial Nova" w:cs="Arial Nova"/>
          <w:b w:val="1"/>
          <w:bCs w:val="1"/>
          <w:noProof w:val="0"/>
          <w:sz w:val="24"/>
          <w:szCs w:val="24"/>
          <w:lang w:val="en-US"/>
        </w:rPr>
      </w:pPr>
    </w:p>
    <w:p w:rsidR="43F1CFA4" w:rsidP="43F1CFA4" w:rsidRDefault="43F1CFA4" w14:paraId="072812CF" w14:textId="4E1E5225">
      <w:pPr>
        <w:pStyle w:val="Normal"/>
        <w:rPr>
          <w:rFonts w:ascii="Arial Nova" w:hAnsi="Arial Nova" w:eastAsia="Arial Nova" w:cs="Arial Nova"/>
          <w:b w:val="1"/>
          <w:bCs w:val="1"/>
          <w:noProof w:val="0"/>
          <w:sz w:val="24"/>
          <w:szCs w:val="24"/>
          <w:lang w:val="en-US"/>
        </w:rPr>
      </w:pPr>
    </w:p>
    <w:p w:rsidR="43F1CFA4" w:rsidP="43F1CFA4" w:rsidRDefault="43F1CFA4" w14:paraId="4BE764E9" w14:textId="2002326D">
      <w:pPr>
        <w:pStyle w:val="Normal"/>
        <w:rPr>
          <w:rFonts w:ascii="Arial Nova" w:hAnsi="Arial Nova" w:eastAsia="Arial Nova" w:cs="Arial Nova"/>
          <w:b w:val="1"/>
          <w:bCs w:val="1"/>
          <w:noProof w:val="0"/>
          <w:sz w:val="24"/>
          <w:szCs w:val="24"/>
          <w:lang w:val="en-US"/>
        </w:rPr>
      </w:pPr>
    </w:p>
    <w:p w:rsidR="43F1CFA4" w:rsidP="43F1CFA4" w:rsidRDefault="43F1CFA4" w14:paraId="7927295A" w14:textId="3991AC1C">
      <w:pPr>
        <w:pStyle w:val="Normal"/>
        <w:rPr>
          <w:rFonts w:ascii="Arial Nova" w:hAnsi="Arial Nova" w:eastAsia="Arial Nova" w:cs="Arial Nova"/>
          <w:b w:val="1"/>
          <w:bCs w:val="1"/>
          <w:noProof w:val="0"/>
          <w:sz w:val="24"/>
          <w:szCs w:val="24"/>
          <w:lang w:val="en-US"/>
        </w:rPr>
      </w:pPr>
    </w:p>
    <w:p w:rsidR="43F1CFA4" w:rsidP="43F1CFA4" w:rsidRDefault="43F1CFA4" w14:paraId="448C94D8" w14:textId="69E51D54">
      <w:pPr>
        <w:pStyle w:val="Normal"/>
        <w:rPr>
          <w:rFonts w:ascii="Arial Nova" w:hAnsi="Arial Nova" w:eastAsia="Arial Nova" w:cs="Arial Nova"/>
          <w:b w:val="1"/>
          <w:bCs w:val="1"/>
          <w:noProof w:val="0"/>
          <w:sz w:val="24"/>
          <w:szCs w:val="24"/>
          <w:lang w:val="en-US"/>
        </w:rPr>
      </w:pPr>
    </w:p>
    <w:p w:rsidR="43F1CFA4" w:rsidP="43F1CFA4" w:rsidRDefault="43F1CFA4" w14:paraId="04569C96" w14:textId="2349310B">
      <w:pPr>
        <w:pStyle w:val="Normal"/>
        <w:rPr>
          <w:rFonts w:ascii="Arial Nova" w:hAnsi="Arial Nova" w:eastAsia="Arial Nova" w:cs="Arial Nova"/>
          <w:b w:val="1"/>
          <w:bCs w:val="1"/>
          <w:noProof w:val="0"/>
          <w:sz w:val="24"/>
          <w:szCs w:val="24"/>
          <w:lang w:val="en-US"/>
        </w:rPr>
      </w:pPr>
    </w:p>
    <w:p w:rsidR="43F1CFA4" w:rsidP="43F1CFA4" w:rsidRDefault="43F1CFA4" w14:paraId="17E17D85" w14:textId="5AA07928">
      <w:pPr>
        <w:pStyle w:val="Normal"/>
        <w:rPr>
          <w:rFonts w:ascii="Arial Nova" w:hAnsi="Arial Nova" w:eastAsia="Arial Nova" w:cs="Arial Nova"/>
          <w:b w:val="1"/>
          <w:bCs w:val="1"/>
          <w:noProof w:val="0"/>
          <w:sz w:val="24"/>
          <w:szCs w:val="24"/>
          <w:lang w:val="en-US"/>
        </w:rPr>
      </w:pPr>
    </w:p>
    <w:p w:rsidR="43F1CFA4" w:rsidP="43F1CFA4" w:rsidRDefault="43F1CFA4" w14:paraId="77D0EFEA" w14:textId="05E76132">
      <w:pPr>
        <w:pStyle w:val="Normal"/>
        <w:rPr>
          <w:rFonts w:ascii="Arial Nova" w:hAnsi="Arial Nova" w:eastAsia="Arial Nova" w:cs="Arial Nova"/>
          <w:b w:val="1"/>
          <w:bCs w:val="1"/>
          <w:noProof w:val="0"/>
          <w:sz w:val="24"/>
          <w:szCs w:val="24"/>
          <w:lang w:val="en-US"/>
        </w:rPr>
      </w:pPr>
    </w:p>
    <w:p w:rsidR="43F1CFA4" w:rsidP="43F1CFA4" w:rsidRDefault="43F1CFA4" w14:paraId="63829A9B" w14:textId="577645D7">
      <w:pPr>
        <w:pStyle w:val="Normal"/>
        <w:rPr>
          <w:rFonts w:ascii="Arial Nova" w:hAnsi="Arial Nova" w:eastAsia="Arial Nova" w:cs="Arial Nova"/>
          <w:b w:val="1"/>
          <w:bCs w:val="1"/>
          <w:noProof w:val="0"/>
          <w:sz w:val="24"/>
          <w:szCs w:val="24"/>
          <w:lang w:val="en-US"/>
        </w:rPr>
      </w:pPr>
    </w:p>
    <w:p w:rsidR="43F1CFA4" w:rsidP="43F1CFA4" w:rsidRDefault="43F1CFA4" w14:paraId="1E457172" w14:textId="6783E5D4">
      <w:pPr>
        <w:pStyle w:val="Normal"/>
        <w:rPr>
          <w:rFonts w:ascii="Arial Nova" w:hAnsi="Arial Nova" w:eastAsia="Arial Nova" w:cs="Arial Nova"/>
          <w:b w:val="1"/>
          <w:bCs w:val="1"/>
          <w:noProof w:val="0"/>
          <w:sz w:val="24"/>
          <w:szCs w:val="24"/>
          <w:lang w:val="en-US"/>
        </w:rPr>
      </w:pPr>
    </w:p>
    <w:p w:rsidR="43F1CFA4" w:rsidP="43F1CFA4" w:rsidRDefault="43F1CFA4" w14:paraId="07EB66DF" w14:textId="7689D982">
      <w:pPr>
        <w:pStyle w:val="Normal"/>
        <w:rPr>
          <w:rFonts w:ascii="Arial Nova" w:hAnsi="Arial Nova" w:eastAsia="Arial Nova" w:cs="Arial Nova"/>
          <w:b w:val="1"/>
          <w:bCs w:val="1"/>
          <w:noProof w:val="0"/>
          <w:sz w:val="24"/>
          <w:szCs w:val="24"/>
          <w:lang w:val="en-US"/>
        </w:rPr>
      </w:pPr>
    </w:p>
    <w:p w:rsidR="43F1CFA4" w:rsidP="43F1CFA4" w:rsidRDefault="43F1CFA4" w14:paraId="42288FE3" w14:textId="28D7FB57">
      <w:pPr>
        <w:pStyle w:val="Normal"/>
        <w:rPr>
          <w:rFonts w:ascii="Arial Nova" w:hAnsi="Arial Nova" w:eastAsia="Arial Nova" w:cs="Arial Nova"/>
          <w:b w:val="1"/>
          <w:bCs w:val="1"/>
          <w:noProof w:val="0"/>
          <w:sz w:val="24"/>
          <w:szCs w:val="24"/>
          <w:lang w:val="en-US"/>
        </w:rPr>
      </w:pPr>
    </w:p>
    <w:p w:rsidR="43F1CFA4" w:rsidP="43F1CFA4" w:rsidRDefault="43F1CFA4" w14:paraId="7B2DA58C" w14:textId="7CD09101">
      <w:pPr>
        <w:pStyle w:val="Normal"/>
        <w:rPr>
          <w:rFonts w:ascii="Arial Nova" w:hAnsi="Arial Nova" w:eastAsia="Arial Nova" w:cs="Arial Nova"/>
          <w:b w:val="1"/>
          <w:bCs w:val="1"/>
          <w:noProof w:val="0"/>
          <w:sz w:val="24"/>
          <w:szCs w:val="24"/>
          <w:lang w:val="en-US"/>
        </w:rPr>
      </w:pPr>
    </w:p>
    <w:p w:rsidR="43F1CFA4" w:rsidP="43F1CFA4" w:rsidRDefault="43F1CFA4" w14:paraId="03B313B9" w14:textId="0CC02F40">
      <w:pPr>
        <w:pStyle w:val="Normal"/>
        <w:rPr>
          <w:rFonts w:ascii="Arial Nova" w:hAnsi="Arial Nova" w:eastAsia="Arial Nova" w:cs="Arial Nova"/>
          <w:b w:val="1"/>
          <w:bCs w:val="1"/>
          <w:noProof w:val="0"/>
          <w:sz w:val="24"/>
          <w:szCs w:val="24"/>
          <w:lang w:val="en-US"/>
        </w:rPr>
      </w:pPr>
    </w:p>
    <w:p w:rsidR="43F1CFA4" w:rsidP="43F1CFA4" w:rsidRDefault="43F1CFA4" w14:paraId="4E173A08" w14:textId="473A2892">
      <w:pPr>
        <w:pStyle w:val="Normal"/>
        <w:rPr>
          <w:rFonts w:ascii="Arial Nova" w:hAnsi="Arial Nova" w:eastAsia="Arial Nova" w:cs="Arial Nova"/>
          <w:b w:val="1"/>
          <w:bCs w:val="1"/>
          <w:noProof w:val="0"/>
          <w:sz w:val="24"/>
          <w:szCs w:val="24"/>
          <w:lang w:val="en-US"/>
        </w:rPr>
      </w:pPr>
    </w:p>
    <w:p w:rsidR="43F1CFA4" w:rsidP="43F1CFA4" w:rsidRDefault="43F1CFA4" w14:paraId="7D906CD8" w14:textId="33F3BCDB">
      <w:pPr>
        <w:pStyle w:val="Normal"/>
        <w:rPr>
          <w:rFonts w:ascii="Arial Nova" w:hAnsi="Arial Nova" w:eastAsia="Arial Nova" w:cs="Arial Nova"/>
          <w:b w:val="1"/>
          <w:bCs w:val="1"/>
          <w:noProof w:val="0"/>
          <w:sz w:val="24"/>
          <w:szCs w:val="24"/>
          <w:lang w:val="en-US"/>
        </w:rPr>
      </w:pPr>
    </w:p>
    <w:p w:rsidR="611D4F96" w:rsidP="611D4F96" w:rsidRDefault="611D4F96" w14:paraId="61C8392A" w14:textId="4EB40C61">
      <w:pPr>
        <w:pStyle w:val="Normal"/>
        <w:rPr>
          <w:rFonts w:ascii="Arial Nova" w:hAnsi="Arial Nova" w:eastAsia="Arial Nova" w:cs="Arial Nova"/>
          <w:b w:val="1"/>
          <w:bCs w:val="1"/>
          <w:noProof w:val="0"/>
          <w:sz w:val="24"/>
          <w:szCs w:val="24"/>
          <w:lang w:val="en-US"/>
        </w:rPr>
      </w:pPr>
    </w:p>
    <w:p w:rsidR="611D4F96" w:rsidP="611D4F96" w:rsidRDefault="611D4F96" w14:paraId="72E261AC" w14:textId="11F73F32">
      <w:pPr>
        <w:pStyle w:val="Normal"/>
        <w:rPr>
          <w:rFonts w:ascii="Arial Nova" w:hAnsi="Arial Nova" w:eastAsia="Arial Nova" w:cs="Arial Nova"/>
          <w:b w:val="1"/>
          <w:bCs w:val="1"/>
          <w:noProof w:val="0"/>
          <w:sz w:val="24"/>
          <w:szCs w:val="24"/>
          <w:lang w:val="en-US"/>
        </w:rPr>
      </w:pPr>
    </w:p>
    <w:p w:rsidR="3246C801" w:rsidP="788BEF79" w:rsidRDefault="3246C801" w14:paraId="584B097E" w14:textId="768427E3">
      <w:pPr>
        <w:pStyle w:val="Normal"/>
        <w:rPr>
          <w:rFonts w:ascii="Arial Nova" w:hAnsi="Arial Nova" w:eastAsia="Arial Nova" w:cs="Arial Nova"/>
          <w:b w:val="1"/>
          <w:bCs w:val="1"/>
          <w:noProof w:val="0"/>
          <w:sz w:val="24"/>
          <w:szCs w:val="24"/>
          <w:lang w:val="en-US"/>
        </w:rPr>
      </w:pPr>
      <w:r w:rsidRPr="788BEF79" w:rsidR="3246C801">
        <w:rPr>
          <w:rFonts w:ascii="Arial Nova" w:hAnsi="Arial Nova" w:eastAsia="Arial Nova" w:cs="Arial Nova"/>
          <w:b w:val="1"/>
          <w:bCs w:val="1"/>
          <w:noProof w:val="0"/>
          <w:sz w:val="24"/>
          <w:szCs w:val="24"/>
          <w:lang w:val="en-US"/>
        </w:rPr>
        <w:t>Critical Evaluation of Global Policies and Initiatives</w:t>
      </w:r>
    </w:p>
    <w:p w:rsidR="7ECA9294" w:rsidP="16A43087" w:rsidRDefault="7ECA9294" w14:paraId="49BB94B4" w14:textId="6983631F">
      <w:pPr>
        <w:pStyle w:val="Normal"/>
        <w:spacing w:line="360" w:lineRule="auto"/>
      </w:pPr>
      <w:r w:rsidRPr="16A43087" w:rsidR="7ECA9294">
        <w:rPr>
          <w:rFonts w:ascii="Arial Nova" w:hAnsi="Arial Nova" w:eastAsia="Arial Nova" w:cs="Arial Nova"/>
          <w:noProof w:val="0"/>
          <w:sz w:val="22"/>
          <w:szCs w:val="22"/>
          <w:lang w:val="en-US"/>
        </w:rPr>
        <w:t>Initiatives managed by the World Health Organization (WHO), the United Nations, and international collaborations with the goal of enhancing access to healthcare and lowering avoidable deaths support SDG 3 on a global scale.</w:t>
      </w:r>
      <w:r w:rsidRPr="16A43087" w:rsidR="4F7E632B">
        <w:rPr>
          <w:rFonts w:ascii="Arial Nova" w:hAnsi="Arial Nova" w:eastAsia="Arial Nova" w:cs="Arial Nova"/>
          <w:noProof w:val="0"/>
          <w:sz w:val="22"/>
          <w:szCs w:val="22"/>
          <w:lang w:val="en-US"/>
        </w:rPr>
        <w:t xml:space="preserve"> Initiatives like the WHO Global Action Plan for Healthy Lives and Well-Being for All aim to speed up the transition to universal health coverage and enhance cooperation amongst global health actors (WHO, 2019). There is evidence that these programs have improved things like vaccination rates and decreased the number of people dying from infectious diseases in low- and middle-income nations (GBD 2019 Diseases and Injuries Collaborators, 2020).</w:t>
      </w:r>
    </w:p>
    <w:p w:rsidR="44B64264" w:rsidP="16A43087" w:rsidRDefault="44B64264" w14:paraId="57EBC006" w14:textId="7EFF99CC">
      <w:pPr>
        <w:pStyle w:val="Normal"/>
        <w:spacing w:line="360" w:lineRule="auto"/>
      </w:pPr>
      <w:r w:rsidRPr="16A43087" w:rsidR="44B64264">
        <w:rPr>
          <w:rFonts w:ascii="Arial Nova" w:hAnsi="Arial Nova" w:eastAsia="Arial Nova" w:cs="Arial Nova"/>
          <w:noProof w:val="0"/>
          <w:sz w:val="22"/>
          <w:szCs w:val="22"/>
          <w:lang w:val="en-US"/>
        </w:rPr>
        <w:t>However, because the COVID-19 pandemic revealed serious structural flaws in global health systems and made already-existing disparities worse, progress towards SDG 3 has been unequal and severely disrupted (WHO, 2023). Many international programs, when viewed critically, place a greater emphasis on biomedical interventions while placing less attention on the social and structural determinants of health.</w:t>
      </w:r>
      <w:r w:rsidRPr="16A43087" w:rsidR="67B02F93">
        <w:rPr>
          <w:rFonts w:ascii="Arial Nova" w:hAnsi="Arial Nova" w:eastAsia="Arial Nova" w:cs="Arial Nova"/>
          <w:noProof w:val="0"/>
          <w:sz w:val="22"/>
          <w:szCs w:val="22"/>
          <w:lang w:val="en-US"/>
        </w:rPr>
        <w:t xml:space="preserve"> Global health campaigns </w:t>
      </w:r>
      <w:r w:rsidRPr="16A43087" w:rsidR="67B02F93">
        <w:rPr>
          <w:rFonts w:ascii="Arial Nova" w:hAnsi="Arial Nova" w:eastAsia="Arial Nova" w:cs="Arial Nova"/>
          <w:noProof w:val="0"/>
          <w:sz w:val="22"/>
          <w:szCs w:val="22"/>
          <w:lang w:val="en-US"/>
        </w:rPr>
        <w:t>frequently</w:t>
      </w:r>
      <w:r w:rsidRPr="16A43087" w:rsidR="67B02F93">
        <w:rPr>
          <w:rFonts w:ascii="Arial Nova" w:hAnsi="Arial Nova" w:eastAsia="Arial Nova" w:cs="Arial Nova"/>
          <w:noProof w:val="0"/>
          <w:sz w:val="22"/>
          <w:szCs w:val="22"/>
          <w:lang w:val="en-US"/>
        </w:rPr>
        <w:t xml:space="preserve"> use the Health Belief Model (HBM) to try to increase awareness of the severity and susceptibility of diseases. However, they may not adequately address perceived barriers like cost, access, and trust in health systems, which limits long-term behavior change (Rosenstock et al., 1988). This underscores a significant constraint of global SDG 3 strategies: without tackling inequality and contextual factors, individual-level behavioral change initiatives may provide limited efficacy.</w:t>
      </w:r>
    </w:p>
    <w:p w:rsidR="788BEF79" w:rsidP="788BEF79" w:rsidRDefault="788BEF79" w14:paraId="2C7AAE9F" w14:textId="2473D829">
      <w:pPr>
        <w:pStyle w:val="Normal"/>
        <w:rPr>
          <w:rFonts w:ascii="Arial Nova" w:hAnsi="Arial Nova" w:eastAsia="Arial Nova" w:cs="Arial Nova"/>
          <w:noProof w:val="0"/>
          <w:sz w:val="22"/>
          <w:szCs w:val="22"/>
          <w:lang w:val="en-US"/>
        </w:rPr>
      </w:pPr>
    </w:p>
    <w:p w:rsidR="43F1CFA4" w:rsidP="43F1CFA4" w:rsidRDefault="43F1CFA4" w14:paraId="4F434963" w14:textId="7C6EC787">
      <w:pPr>
        <w:pStyle w:val="Normal"/>
        <w:rPr>
          <w:rFonts w:ascii="Arial Nova" w:hAnsi="Arial Nova" w:eastAsia="Arial Nova" w:cs="Arial Nova"/>
          <w:b w:val="1"/>
          <w:bCs w:val="1"/>
          <w:noProof w:val="0"/>
          <w:sz w:val="24"/>
          <w:szCs w:val="24"/>
          <w:lang w:val="en-US"/>
        </w:rPr>
      </w:pPr>
    </w:p>
    <w:p w:rsidR="43F1CFA4" w:rsidP="43F1CFA4" w:rsidRDefault="43F1CFA4" w14:paraId="04BB8FAF" w14:textId="62B97F8E">
      <w:pPr>
        <w:pStyle w:val="Normal"/>
        <w:rPr>
          <w:rFonts w:ascii="Arial Nova" w:hAnsi="Arial Nova" w:eastAsia="Arial Nova" w:cs="Arial Nova"/>
          <w:b w:val="1"/>
          <w:bCs w:val="1"/>
          <w:noProof w:val="0"/>
          <w:sz w:val="24"/>
          <w:szCs w:val="24"/>
          <w:lang w:val="en-US"/>
        </w:rPr>
      </w:pPr>
    </w:p>
    <w:p w:rsidR="43F1CFA4" w:rsidP="43F1CFA4" w:rsidRDefault="43F1CFA4" w14:paraId="75658A2B" w14:textId="72433B07">
      <w:pPr>
        <w:pStyle w:val="Normal"/>
        <w:rPr>
          <w:rFonts w:ascii="Arial Nova" w:hAnsi="Arial Nova" w:eastAsia="Arial Nova" w:cs="Arial Nova"/>
          <w:b w:val="1"/>
          <w:bCs w:val="1"/>
          <w:noProof w:val="0"/>
          <w:sz w:val="24"/>
          <w:szCs w:val="24"/>
          <w:lang w:val="en-US"/>
        </w:rPr>
      </w:pPr>
    </w:p>
    <w:p w:rsidR="43F1CFA4" w:rsidP="43F1CFA4" w:rsidRDefault="43F1CFA4" w14:paraId="31EF85E9" w14:textId="514D0A74">
      <w:pPr>
        <w:pStyle w:val="Normal"/>
        <w:rPr>
          <w:rFonts w:ascii="Arial Nova" w:hAnsi="Arial Nova" w:eastAsia="Arial Nova" w:cs="Arial Nova"/>
          <w:b w:val="1"/>
          <w:bCs w:val="1"/>
          <w:noProof w:val="0"/>
          <w:sz w:val="24"/>
          <w:szCs w:val="24"/>
          <w:lang w:val="en-US"/>
        </w:rPr>
      </w:pPr>
    </w:p>
    <w:p w:rsidR="43F1CFA4" w:rsidP="43F1CFA4" w:rsidRDefault="43F1CFA4" w14:paraId="514C106D" w14:textId="3964ACF3">
      <w:pPr>
        <w:pStyle w:val="Normal"/>
        <w:rPr>
          <w:rFonts w:ascii="Arial Nova" w:hAnsi="Arial Nova" w:eastAsia="Arial Nova" w:cs="Arial Nova"/>
          <w:b w:val="1"/>
          <w:bCs w:val="1"/>
          <w:noProof w:val="0"/>
          <w:sz w:val="24"/>
          <w:szCs w:val="24"/>
          <w:lang w:val="en-US"/>
        </w:rPr>
      </w:pPr>
    </w:p>
    <w:p w:rsidR="43F1CFA4" w:rsidP="43F1CFA4" w:rsidRDefault="43F1CFA4" w14:paraId="02DECE92" w14:textId="314F7FCB">
      <w:pPr>
        <w:pStyle w:val="Normal"/>
        <w:rPr>
          <w:rFonts w:ascii="Arial Nova" w:hAnsi="Arial Nova" w:eastAsia="Arial Nova" w:cs="Arial Nova"/>
          <w:b w:val="1"/>
          <w:bCs w:val="1"/>
          <w:noProof w:val="0"/>
          <w:sz w:val="24"/>
          <w:szCs w:val="24"/>
          <w:lang w:val="en-US"/>
        </w:rPr>
      </w:pPr>
    </w:p>
    <w:p w:rsidR="43F1CFA4" w:rsidP="43F1CFA4" w:rsidRDefault="43F1CFA4" w14:paraId="3408C687" w14:textId="606E080F">
      <w:pPr>
        <w:pStyle w:val="Normal"/>
        <w:rPr>
          <w:rFonts w:ascii="Arial Nova" w:hAnsi="Arial Nova" w:eastAsia="Arial Nova" w:cs="Arial Nova"/>
          <w:b w:val="1"/>
          <w:bCs w:val="1"/>
          <w:noProof w:val="0"/>
          <w:sz w:val="24"/>
          <w:szCs w:val="24"/>
          <w:lang w:val="en-US"/>
        </w:rPr>
      </w:pPr>
    </w:p>
    <w:p w:rsidR="43F1CFA4" w:rsidP="43F1CFA4" w:rsidRDefault="43F1CFA4" w14:paraId="6D31FDC3" w14:textId="4338F14F">
      <w:pPr>
        <w:pStyle w:val="Normal"/>
        <w:rPr>
          <w:rFonts w:ascii="Arial Nova" w:hAnsi="Arial Nova" w:eastAsia="Arial Nova" w:cs="Arial Nova"/>
          <w:b w:val="1"/>
          <w:bCs w:val="1"/>
          <w:noProof w:val="0"/>
          <w:sz w:val="24"/>
          <w:szCs w:val="24"/>
          <w:lang w:val="en-US"/>
        </w:rPr>
      </w:pPr>
    </w:p>
    <w:p w:rsidR="43F1CFA4" w:rsidP="43F1CFA4" w:rsidRDefault="43F1CFA4" w14:paraId="55479E0B" w14:textId="2CD8BEF0">
      <w:pPr>
        <w:pStyle w:val="Normal"/>
        <w:rPr>
          <w:rFonts w:ascii="Arial Nova" w:hAnsi="Arial Nova" w:eastAsia="Arial Nova" w:cs="Arial Nova"/>
          <w:b w:val="1"/>
          <w:bCs w:val="1"/>
          <w:noProof w:val="0"/>
          <w:sz w:val="24"/>
          <w:szCs w:val="24"/>
          <w:lang w:val="en-US"/>
        </w:rPr>
      </w:pPr>
    </w:p>
    <w:p w:rsidR="611D4F96" w:rsidP="611D4F96" w:rsidRDefault="611D4F96" w14:paraId="6533DC2B" w14:textId="6CCBBD3D">
      <w:pPr>
        <w:pStyle w:val="Normal"/>
        <w:rPr>
          <w:rFonts w:ascii="Arial Nova" w:hAnsi="Arial Nova" w:eastAsia="Arial Nova" w:cs="Arial Nova"/>
          <w:b w:val="1"/>
          <w:bCs w:val="1"/>
          <w:noProof w:val="0"/>
          <w:sz w:val="24"/>
          <w:szCs w:val="24"/>
          <w:lang w:val="en-US"/>
        </w:rPr>
      </w:pPr>
    </w:p>
    <w:p w:rsidR="422A57EF" w:rsidP="788BEF79" w:rsidRDefault="422A57EF" w14:paraId="1F2D3623" w14:textId="546356E2">
      <w:pPr>
        <w:pStyle w:val="Normal"/>
        <w:rPr>
          <w:rFonts w:ascii="Arial Nova" w:hAnsi="Arial Nova" w:eastAsia="Arial Nova" w:cs="Arial Nova"/>
          <w:b w:val="1"/>
          <w:bCs w:val="1"/>
          <w:noProof w:val="0"/>
          <w:sz w:val="24"/>
          <w:szCs w:val="24"/>
          <w:lang w:val="en-US"/>
        </w:rPr>
      </w:pPr>
      <w:r w:rsidRPr="16A43087" w:rsidR="422A57EF">
        <w:rPr>
          <w:rFonts w:ascii="Arial Nova" w:hAnsi="Arial Nova" w:eastAsia="Arial Nova" w:cs="Arial Nova"/>
          <w:b w:val="1"/>
          <w:bCs w:val="1"/>
          <w:noProof w:val="0"/>
          <w:sz w:val="24"/>
          <w:szCs w:val="24"/>
          <w:lang w:val="en-US"/>
        </w:rPr>
        <w:t>Critical Evaluation of National and Local Examples (UK)</w:t>
      </w:r>
    </w:p>
    <w:p w:rsidR="657FD242" w:rsidP="16A43087" w:rsidRDefault="657FD242" w14:paraId="1AEE79FF" w14:textId="1CE6EC55">
      <w:pPr>
        <w:pStyle w:val="Normal"/>
        <w:spacing w:line="360" w:lineRule="auto"/>
      </w:pPr>
      <w:r w:rsidRPr="16A43087" w:rsidR="657FD242">
        <w:rPr>
          <w:rFonts w:ascii="Arial Nova" w:hAnsi="Arial Nova" w:eastAsia="Arial Nova" w:cs="Arial Nova"/>
          <w:noProof w:val="0"/>
          <w:sz w:val="22"/>
          <w:szCs w:val="22"/>
          <w:lang w:val="en-US"/>
        </w:rPr>
        <w:t xml:space="preserve">At the national level, Sustainable Development Goal 3 is included in UK policy through programs like the NHS Long Term Plan, which </w:t>
      </w:r>
      <w:r w:rsidRPr="16A43087" w:rsidR="657FD242">
        <w:rPr>
          <w:rFonts w:ascii="Arial Nova" w:hAnsi="Arial Nova" w:eastAsia="Arial Nova" w:cs="Arial Nova"/>
          <w:noProof w:val="0"/>
          <w:sz w:val="22"/>
          <w:szCs w:val="22"/>
          <w:lang w:val="en-US"/>
        </w:rPr>
        <w:t>emphasises</w:t>
      </w:r>
      <w:r w:rsidRPr="16A43087" w:rsidR="657FD242">
        <w:rPr>
          <w:rFonts w:ascii="Arial Nova" w:hAnsi="Arial Nova" w:eastAsia="Arial Nova" w:cs="Arial Nova"/>
          <w:noProof w:val="0"/>
          <w:sz w:val="22"/>
          <w:szCs w:val="22"/>
          <w:lang w:val="en-US"/>
        </w:rPr>
        <w:t xml:space="preserve"> prevention, mental health, and the reduction of health disparities (NHS England, 2019).</w:t>
      </w:r>
      <w:r w:rsidRPr="16A43087" w:rsidR="74EA9650">
        <w:rPr>
          <w:rFonts w:ascii="Arial Nova" w:hAnsi="Arial Nova" w:eastAsia="Arial Nova" w:cs="Arial Nova"/>
          <w:noProof w:val="0"/>
          <w:sz w:val="22"/>
          <w:szCs w:val="22"/>
          <w:lang w:val="en-US"/>
        </w:rPr>
        <w:t xml:space="preserve"> The plan corresponds with SDG 3 by </w:t>
      </w:r>
      <w:r w:rsidRPr="16A43087" w:rsidR="74EA9650">
        <w:rPr>
          <w:rFonts w:ascii="Arial Nova" w:hAnsi="Arial Nova" w:eastAsia="Arial Nova" w:cs="Arial Nova"/>
          <w:noProof w:val="0"/>
          <w:sz w:val="22"/>
          <w:szCs w:val="22"/>
          <w:lang w:val="en-US"/>
        </w:rPr>
        <w:t>prioritising</w:t>
      </w:r>
      <w:r w:rsidRPr="16A43087" w:rsidR="74EA9650">
        <w:rPr>
          <w:rFonts w:ascii="Arial Nova" w:hAnsi="Arial Nova" w:eastAsia="Arial Nova" w:cs="Arial Nova"/>
          <w:noProof w:val="0"/>
          <w:sz w:val="22"/>
          <w:szCs w:val="22"/>
          <w:lang w:val="en-US"/>
        </w:rPr>
        <w:t xml:space="preserve"> early intervention, behavioral modification, and integrated care systems (ICSs).</w:t>
      </w:r>
      <w:r w:rsidRPr="16A43087" w:rsidR="632A8CCB">
        <w:rPr>
          <w:rFonts w:ascii="Arial Nova" w:hAnsi="Arial Nova" w:eastAsia="Arial Nova" w:cs="Arial Nova"/>
          <w:noProof w:val="0"/>
          <w:sz w:val="22"/>
          <w:szCs w:val="22"/>
          <w:lang w:val="en-US"/>
        </w:rPr>
        <w:t xml:space="preserve"> Quantitative evidence </w:t>
      </w:r>
      <w:r w:rsidRPr="16A43087" w:rsidR="632A8CCB">
        <w:rPr>
          <w:rFonts w:ascii="Arial Nova" w:hAnsi="Arial Nova" w:eastAsia="Arial Nova" w:cs="Arial Nova"/>
          <w:noProof w:val="0"/>
          <w:sz w:val="22"/>
          <w:szCs w:val="22"/>
          <w:lang w:val="en-US"/>
        </w:rPr>
        <w:t>demonstrates</w:t>
      </w:r>
      <w:r w:rsidRPr="16A43087" w:rsidR="632A8CCB">
        <w:rPr>
          <w:rFonts w:ascii="Arial Nova" w:hAnsi="Arial Nova" w:eastAsia="Arial Nova" w:cs="Arial Nova"/>
          <w:noProof w:val="0"/>
          <w:sz w:val="22"/>
          <w:szCs w:val="22"/>
          <w:lang w:val="en-US"/>
        </w:rPr>
        <w:t xml:space="preserve"> favorable results, such as enhanced access to mental health treatments and a decrease in smoking prevalence (Office for Health Improvement and Disparities, 2022).</w:t>
      </w:r>
    </w:p>
    <w:p w:rsidR="632A8CCB" w:rsidP="16A43087" w:rsidRDefault="632A8CCB" w14:paraId="1DBA76B7" w14:textId="725B2025">
      <w:pPr>
        <w:pStyle w:val="Normal"/>
        <w:spacing w:line="360" w:lineRule="auto"/>
        <w:rPr>
          <w:rFonts w:ascii="Arial Nova" w:hAnsi="Arial Nova" w:eastAsia="Arial Nova" w:cs="Arial Nova"/>
          <w:noProof w:val="0"/>
          <w:sz w:val="22"/>
          <w:szCs w:val="22"/>
          <w:lang w:val="en-US"/>
        </w:rPr>
      </w:pPr>
      <w:r w:rsidRPr="16A43087" w:rsidR="632A8CCB">
        <w:rPr>
          <w:rFonts w:ascii="Arial Nova" w:hAnsi="Arial Nova" w:eastAsia="Arial Nova" w:cs="Arial Nova"/>
          <w:noProof w:val="0"/>
          <w:sz w:val="22"/>
          <w:szCs w:val="22"/>
          <w:lang w:val="en-US"/>
        </w:rPr>
        <w:t xml:space="preserve">However, there are still </w:t>
      </w:r>
      <w:r w:rsidRPr="16A43087" w:rsidR="130CDF8A">
        <w:rPr>
          <w:rFonts w:ascii="Arial Nova" w:hAnsi="Arial Nova" w:eastAsia="Arial Nova" w:cs="Arial Nova"/>
          <w:noProof w:val="0"/>
          <w:sz w:val="22"/>
          <w:szCs w:val="22"/>
          <w:lang w:val="en-US"/>
        </w:rPr>
        <w:t>highlighted</w:t>
      </w:r>
      <w:r w:rsidRPr="16A43087" w:rsidR="632A8CCB">
        <w:rPr>
          <w:rFonts w:ascii="Arial Nova" w:hAnsi="Arial Nova" w:eastAsia="Arial Nova" w:cs="Arial Nova"/>
          <w:noProof w:val="0"/>
          <w:sz w:val="22"/>
          <w:szCs w:val="22"/>
          <w:lang w:val="en-US"/>
        </w:rPr>
        <w:t xml:space="preserve"> disparities in health between socioeconomic categories and geographical areas. </w:t>
      </w:r>
      <w:r w:rsidRPr="16A43087" w:rsidR="1DAF2F7A">
        <w:rPr>
          <w:rFonts w:ascii="Arial Nova" w:hAnsi="Arial Nova" w:eastAsia="Arial Nova" w:cs="Arial Nova"/>
          <w:noProof w:val="0"/>
          <w:sz w:val="22"/>
          <w:szCs w:val="22"/>
          <w:lang w:val="en-US"/>
        </w:rPr>
        <w:t xml:space="preserve">According to Marmot et al. (2020), the life expectancy in England's most underprivileged regions is still significantly shorter than that of the least destitute, </w:t>
      </w:r>
      <w:r w:rsidRPr="16A43087" w:rsidR="1DAF2F7A">
        <w:rPr>
          <w:rFonts w:ascii="Arial Nova" w:hAnsi="Arial Nova" w:eastAsia="Arial Nova" w:cs="Arial Nova"/>
          <w:noProof w:val="0"/>
          <w:sz w:val="22"/>
          <w:szCs w:val="22"/>
          <w:lang w:val="en-US"/>
        </w:rPr>
        <w:t>indicating</w:t>
      </w:r>
      <w:r w:rsidRPr="16A43087" w:rsidR="1DAF2F7A">
        <w:rPr>
          <w:rFonts w:ascii="Arial Nova" w:hAnsi="Arial Nova" w:eastAsia="Arial Nova" w:cs="Arial Nova"/>
          <w:noProof w:val="0"/>
          <w:sz w:val="22"/>
          <w:szCs w:val="22"/>
          <w:lang w:val="en-US"/>
        </w:rPr>
        <w:t xml:space="preserve"> that national measures have not been </w:t>
      </w:r>
      <w:r w:rsidRPr="16A43087" w:rsidR="1DAF2F7A">
        <w:rPr>
          <w:rFonts w:ascii="Arial Nova" w:hAnsi="Arial Nova" w:eastAsia="Arial Nova" w:cs="Arial Nova"/>
          <w:noProof w:val="0"/>
          <w:sz w:val="22"/>
          <w:szCs w:val="22"/>
          <w:lang w:val="en-US"/>
        </w:rPr>
        <w:t>very successful</w:t>
      </w:r>
      <w:r w:rsidRPr="16A43087" w:rsidR="1DAF2F7A">
        <w:rPr>
          <w:rFonts w:ascii="Arial Nova" w:hAnsi="Arial Nova" w:eastAsia="Arial Nova" w:cs="Arial Nova"/>
          <w:noProof w:val="0"/>
          <w:sz w:val="22"/>
          <w:szCs w:val="22"/>
          <w:lang w:val="en-US"/>
        </w:rPr>
        <w:t xml:space="preserve"> in tackling the underlying reasons of poor health. According to the Social Cognitive Theory (SCT), national initiatives like weight management programs and smoking cessation programs seek to increase self-efficacy and encourage healthier behaviors, but they </w:t>
      </w:r>
      <w:r w:rsidRPr="16A43087" w:rsidR="1DAF2F7A">
        <w:rPr>
          <w:rFonts w:ascii="Arial Nova" w:hAnsi="Arial Nova" w:eastAsia="Arial Nova" w:cs="Arial Nova"/>
          <w:noProof w:val="0"/>
          <w:sz w:val="22"/>
          <w:szCs w:val="22"/>
          <w:lang w:val="en-US"/>
        </w:rPr>
        <w:t>frequently</w:t>
      </w:r>
      <w:r w:rsidRPr="16A43087" w:rsidR="1DAF2F7A">
        <w:rPr>
          <w:rFonts w:ascii="Arial Nova" w:hAnsi="Arial Nova" w:eastAsia="Arial Nova" w:cs="Arial Nova"/>
          <w:noProof w:val="0"/>
          <w:sz w:val="22"/>
          <w:szCs w:val="22"/>
          <w:lang w:val="en-US"/>
        </w:rPr>
        <w:t xml:space="preserve"> fall short in changing the social and environmental factors that limit personal choice (Bandura, 2004).</w:t>
      </w:r>
      <w:r w:rsidRPr="16A43087" w:rsidR="5B800FB0">
        <w:rPr>
          <w:rFonts w:ascii="Arial Nova" w:hAnsi="Arial Nova" w:eastAsia="Arial Nova" w:cs="Arial Nova"/>
          <w:noProof w:val="0"/>
          <w:sz w:val="22"/>
          <w:szCs w:val="22"/>
          <w:lang w:val="en-US"/>
        </w:rPr>
        <w:t xml:space="preserve"> Instead of lowering inequality, this over-reliance on personal accountability runs the risk of making it worse.</w:t>
      </w:r>
    </w:p>
    <w:p w:rsidR="6CC42EB1" w:rsidP="16A43087" w:rsidRDefault="6CC42EB1" w14:paraId="48A65D59" w14:textId="4334B709">
      <w:pPr>
        <w:pStyle w:val="Normal"/>
        <w:spacing w:line="360" w:lineRule="auto"/>
      </w:pPr>
      <w:r w:rsidRPr="16A43087" w:rsidR="6CC42EB1">
        <w:rPr>
          <w:rFonts w:ascii="Arial Nova" w:hAnsi="Arial Nova" w:eastAsia="Arial Nova" w:cs="Arial Nova"/>
          <w:noProof w:val="0"/>
          <w:sz w:val="22"/>
          <w:szCs w:val="22"/>
          <w:lang w:val="en-US"/>
        </w:rPr>
        <w:t>Initiatives carried out by ICSs and local authorities at the local level seek to adapt SDG 3 goals to the requirements of the community.</w:t>
      </w:r>
      <w:r w:rsidRPr="16A43087" w:rsidR="37F83611">
        <w:rPr>
          <w:rFonts w:ascii="Arial Nova" w:hAnsi="Arial Nova" w:eastAsia="Arial Nova" w:cs="Arial Nova"/>
          <w:noProof w:val="0"/>
          <w:sz w:val="22"/>
          <w:szCs w:val="22"/>
          <w:lang w:val="en-US"/>
        </w:rPr>
        <w:t xml:space="preserve"> Place-based wellness initiatives, social prescribing, and community mental health hubs are a few examples.</w:t>
      </w:r>
      <w:r w:rsidRPr="16A43087" w:rsidR="62FC284D">
        <w:rPr>
          <w:rFonts w:ascii="Arial Nova" w:hAnsi="Arial Nova" w:eastAsia="Arial Nova" w:cs="Arial Nova"/>
          <w:noProof w:val="0"/>
          <w:sz w:val="22"/>
          <w:szCs w:val="22"/>
          <w:lang w:val="en-US"/>
        </w:rPr>
        <w:t xml:space="preserve"> According to qualitative assessments, by </w:t>
      </w:r>
      <w:r w:rsidRPr="16A43087" w:rsidR="62FC284D">
        <w:rPr>
          <w:rFonts w:ascii="Arial Nova" w:hAnsi="Arial Nova" w:eastAsia="Arial Nova" w:cs="Arial Nova"/>
          <w:noProof w:val="0"/>
          <w:sz w:val="22"/>
          <w:szCs w:val="22"/>
          <w:lang w:val="en-US"/>
        </w:rPr>
        <w:t>leveraging</w:t>
      </w:r>
      <w:r w:rsidRPr="16A43087" w:rsidR="62FC284D">
        <w:rPr>
          <w:rFonts w:ascii="Arial Nova" w:hAnsi="Arial Nova" w:eastAsia="Arial Nova" w:cs="Arial Nova"/>
          <w:noProof w:val="0"/>
          <w:sz w:val="22"/>
          <w:szCs w:val="22"/>
          <w:lang w:val="en-US"/>
        </w:rPr>
        <w:t xml:space="preserve"> peer support and community role models, these strategies can improve social support and engagement, two essential elements of SCT (Public Health England, 2021). However, short-term commissioning and restricted funding sometimes limit local projects, which reduces their sustainability and long-term impact.</w:t>
      </w:r>
    </w:p>
    <w:p w:rsidR="788BEF79" w:rsidP="16A43087" w:rsidRDefault="788BEF79" w14:paraId="3A2D4679" w14:textId="1FEE9B1C">
      <w:pPr>
        <w:pStyle w:val="Normal"/>
        <w:spacing w:line="360" w:lineRule="auto"/>
        <w:rPr>
          <w:rFonts w:ascii="Arial Nova" w:hAnsi="Arial Nova" w:eastAsia="Arial Nova" w:cs="Arial Nova"/>
          <w:noProof w:val="0"/>
          <w:sz w:val="22"/>
          <w:szCs w:val="22"/>
          <w:lang w:val="en-US"/>
        </w:rPr>
      </w:pPr>
    </w:p>
    <w:p w:rsidR="43F1CFA4" w:rsidP="43F1CFA4" w:rsidRDefault="43F1CFA4" w14:paraId="4659EFBD" w14:textId="7EBCAF46">
      <w:pPr>
        <w:pStyle w:val="Normal"/>
        <w:rPr>
          <w:rFonts w:ascii="Arial Nova" w:hAnsi="Arial Nova" w:eastAsia="Arial Nova" w:cs="Arial Nova"/>
          <w:b w:val="1"/>
          <w:bCs w:val="1"/>
          <w:noProof w:val="0"/>
          <w:sz w:val="24"/>
          <w:szCs w:val="24"/>
          <w:lang w:val="en-US"/>
        </w:rPr>
      </w:pPr>
    </w:p>
    <w:p w:rsidR="43F1CFA4" w:rsidP="43F1CFA4" w:rsidRDefault="43F1CFA4" w14:paraId="61F3EBA3" w14:textId="7E4CA11E">
      <w:pPr>
        <w:pStyle w:val="Normal"/>
        <w:rPr>
          <w:rFonts w:ascii="Arial Nova" w:hAnsi="Arial Nova" w:eastAsia="Arial Nova" w:cs="Arial Nova"/>
          <w:b w:val="1"/>
          <w:bCs w:val="1"/>
          <w:noProof w:val="0"/>
          <w:sz w:val="24"/>
          <w:szCs w:val="24"/>
          <w:lang w:val="en-US"/>
        </w:rPr>
      </w:pPr>
    </w:p>
    <w:p w:rsidR="43F1CFA4" w:rsidP="43F1CFA4" w:rsidRDefault="43F1CFA4" w14:paraId="609AF340" w14:textId="19291334">
      <w:pPr>
        <w:pStyle w:val="Normal"/>
        <w:rPr>
          <w:rFonts w:ascii="Arial Nova" w:hAnsi="Arial Nova" w:eastAsia="Arial Nova" w:cs="Arial Nova"/>
          <w:b w:val="1"/>
          <w:bCs w:val="1"/>
          <w:noProof w:val="0"/>
          <w:sz w:val="24"/>
          <w:szCs w:val="24"/>
          <w:lang w:val="en-US"/>
        </w:rPr>
      </w:pPr>
    </w:p>
    <w:p w:rsidR="43F1CFA4" w:rsidP="43F1CFA4" w:rsidRDefault="43F1CFA4" w14:paraId="0D34639C" w14:textId="66072FCE">
      <w:pPr>
        <w:pStyle w:val="Normal"/>
        <w:rPr>
          <w:rFonts w:ascii="Arial Nova" w:hAnsi="Arial Nova" w:eastAsia="Arial Nova" w:cs="Arial Nova"/>
          <w:b w:val="1"/>
          <w:bCs w:val="1"/>
          <w:noProof w:val="0"/>
          <w:sz w:val="24"/>
          <w:szCs w:val="24"/>
          <w:lang w:val="en-US"/>
        </w:rPr>
      </w:pPr>
    </w:p>
    <w:p w:rsidR="43F1CFA4" w:rsidP="43F1CFA4" w:rsidRDefault="43F1CFA4" w14:paraId="75B8BE04" w14:textId="7284CA93">
      <w:pPr>
        <w:pStyle w:val="Normal"/>
        <w:rPr>
          <w:rFonts w:ascii="Arial Nova" w:hAnsi="Arial Nova" w:eastAsia="Arial Nova" w:cs="Arial Nova"/>
          <w:b w:val="1"/>
          <w:bCs w:val="1"/>
          <w:noProof w:val="0"/>
          <w:sz w:val="24"/>
          <w:szCs w:val="24"/>
          <w:lang w:val="en-US"/>
        </w:rPr>
      </w:pPr>
    </w:p>
    <w:p w:rsidR="611D4F96" w:rsidP="611D4F96" w:rsidRDefault="611D4F96" w14:paraId="50390CB8" w14:textId="25E2C24E">
      <w:pPr>
        <w:pStyle w:val="Normal"/>
        <w:rPr>
          <w:rFonts w:ascii="Arial Nova" w:hAnsi="Arial Nova" w:eastAsia="Arial Nova" w:cs="Arial Nova"/>
          <w:b w:val="1"/>
          <w:bCs w:val="1"/>
          <w:noProof w:val="0"/>
          <w:sz w:val="24"/>
          <w:szCs w:val="24"/>
          <w:lang w:val="en-US"/>
        </w:rPr>
      </w:pPr>
    </w:p>
    <w:p w:rsidR="5411EE56" w:rsidP="788BEF79" w:rsidRDefault="5411EE56" w14:paraId="7164C35A" w14:textId="065B731E">
      <w:pPr>
        <w:pStyle w:val="Normal"/>
        <w:rPr>
          <w:rFonts w:ascii="Arial Nova" w:hAnsi="Arial Nova" w:eastAsia="Arial Nova" w:cs="Arial Nova"/>
          <w:b w:val="1"/>
          <w:bCs w:val="1"/>
          <w:noProof w:val="0"/>
          <w:sz w:val="24"/>
          <w:szCs w:val="24"/>
          <w:lang w:val="en-US"/>
        </w:rPr>
      </w:pPr>
      <w:r w:rsidRPr="788BEF79" w:rsidR="5411EE56">
        <w:rPr>
          <w:rFonts w:ascii="Arial Nova" w:hAnsi="Arial Nova" w:eastAsia="Arial Nova" w:cs="Arial Nova"/>
          <w:b w:val="1"/>
          <w:bCs w:val="1"/>
          <w:noProof w:val="0"/>
          <w:sz w:val="24"/>
          <w:szCs w:val="24"/>
          <w:lang w:val="en-US"/>
        </w:rPr>
        <w:t>Use</w:t>
      </w:r>
      <w:r w:rsidRPr="788BEF79" w:rsidR="5411EE56">
        <w:rPr>
          <w:rFonts w:ascii="Arial Nova" w:hAnsi="Arial Nova" w:eastAsia="Arial Nova" w:cs="Arial Nova"/>
          <w:b w:val="1"/>
          <w:bCs w:val="1"/>
          <w:noProof w:val="0"/>
          <w:sz w:val="24"/>
          <w:szCs w:val="24"/>
          <w:lang w:val="en-US"/>
        </w:rPr>
        <w:t xml:space="preserve"> of Theories and Models</w:t>
      </w:r>
    </w:p>
    <w:p w:rsidR="5411EE56" w:rsidP="16A43087" w:rsidRDefault="5411EE56" w14:paraId="4C9EDFAC" w14:textId="00974438">
      <w:pPr>
        <w:pStyle w:val="Normal"/>
        <w:spacing w:line="360" w:lineRule="auto"/>
      </w:pPr>
      <w:r w:rsidRPr="16A43087" w:rsidR="5411EE56">
        <w:rPr>
          <w:rFonts w:ascii="Arial Nova" w:hAnsi="Arial Nova" w:eastAsia="Arial Nova" w:cs="Arial Nova"/>
          <w:noProof w:val="0"/>
          <w:sz w:val="22"/>
          <w:szCs w:val="22"/>
          <w:lang w:val="en-US"/>
        </w:rPr>
        <w:t xml:space="preserve">Social Cognitive Theory and the Health Belief Model both offer helpful frameworks for assessing SDG 3 projects. Though its emphasis on human cognition restricts its capacity to address structural inequality, HBM </w:t>
      </w:r>
      <w:r w:rsidRPr="16A43087" w:rsidR="5411EE56">
        <w:rPr>
          <w:rFonts w:ascii="Arial Nova" w:hAnsi="Arial Nova" w:eastAsia="Arial Nova" w:cs="Arial Nova"/>
          <w:noProof w:val="0"/>
          <w:sz w:val="22"/>
          <w:szCs w:val="22"/>
          <w:lang w:val="en-US"/>
        </w:rPr>
        <w:t>emphasi</w:t>
      </w:r>
      <w:r w:rsidRPr="16A43087" w:rsidR="331F16A1">
        <w:rPr>
          <w:rFonts w:ascii="Arial Nova" w:hAnsi="Arial Nova" w:eastAsia="Arial Nova" w:cs="Arial Nova"/>
          <w:noProof w:val="0"/>
          <w:sz w:val="22"/>
          <w:szCs w:val="22"/>
          <w:lang w:val="en-US"/>
        </w:rPr>
        <w:t>s</w:t>
      </w:r>
      <w:r w:rsidRPr="16A43087" w:rsidR="5411EE56">
        <w:rPr>
          <w:rFonts w:ascii="Arial Nova" w:hAnsi="Arial Nova" w:eastAsia="Arial Nova" w:cs="Arial Nova"/>
          <w:noProof w:val="0"/>
          <w:sz w:val="22"/>
          <w:szCs w:val="22"/>
          <w:lang w:val="en-US"/>
        </w:rPr>
        <w:t>es</w:t>
      </w:r>
      <w:r w:rsidRPr="16A43087" w:rsidR="5411EE56">
        <w:rPr>
          <w:rFonts w:ascii="Arial Nova" w:hAnsi="Arial Nova" w:eastAsia="Arial Nova" w:cs="Arial Nova"/>
          <w:noProof w:val="0"/>
          <w:sz w:val="22"/>
          <w:szCs w:val="22"/>
          <w:lang w:val="en-US"/>
        </w:rPr>
        <w:t xml:space="preserve"> the significance of perceived threat, benefits, and self-efficacy influencing health behaviors.</w:t>
      </w:r>
      <w:r w:rsidRPr="16A43087" w:rsidR="0DBA25CF">
        <w:rPr>
          <w:rFonts w:ascii="Arial Nova" w:hAnsi="Arial Nova" w:eastAsia="Arial Nova" w:cs="Arial Nova"/>
          <w:noProof w:val="0"/>
          <w:sz w:val="22"/>
          <w:szCs w:val="22"/>
          <w:lang w:val="en-US"/>
        </w:rPr>
        <w:t xml:space="preserve"> By acknowledging the interplay between behavioral, contextual, and personal elements, SCT provides a more thorough viewpoint (Bandura, 2004). However, by not making enough changes to the social and economic contexts, especially for underprivileged groups, many SDG 3 initiatives </w:t>
      </w:r>
      <w:r w:rsidRPr="16A43087" w:rsidR="0DBA25CF">
        <w:rPr>
          <w:rFonts w:ascii="Arial Nova" w:hAnsi="Arial Nova" w:eastAsia="Arial Nova" w:cs="Arial Nova"/>
          <w:noProof w:val="0"/>
          <w:sz w:val="22"/>
          <w:szCs w:val="22"/>
          <w:lang w:val="en-US"/>
        </w:rPr>
        <w:t>fail to</w:t>
      </w:r>
      <w:r w:rsidRPr="16A43087" w:rsidR="14254DDA">
        <w:rPr>
          <w:rFonts w:ascii="Arial Nova" w:hAnsi="Arial Nova" w:eastAsia="Arial Nova" w:cs="Arial Nova"/>
          <w:noProof w:val="0"/>
          <w:sz w:val="22"/>
          <w:szCs w:val="22"/>
          <w:lang w:val="en-US"/>
        </w:rPr>
        <w:t xml:space="preserve"> </w:t>
      </w:r>
      <w:r w:rsidRPr="16A43087" w:rsidR="14254DDA">
        <w:rPr>
          <w:rFonts w:ascii="Arial Nova" w:hAnsi="Arial Nova" w:eastAsia="Arial Nova" w:cs="Arial Nova"/>
          <w:noProof w:val="0"/>
          <w:sz w:val="22"/>
          <w:szCs w:val="22"/>
          <w:lang w:val="en-US"/>
        </w:rPr>
        <w:t>establish</w:t>
      </w:r>
      <w:r w:rsidRPr="16A43087" w:rsidR="410EE8F6">
        <w:rPr>
          <w:rFonts w:ascii="Arial Nova" w:hAnsi="Arial Nova" w:eastAsia="Arial Nova" w:cs="Arial Nova"/>
          <w:noProof w:val="0"/>
          <w:sz w:val="22"/>
          <w:szCs w:val="22"/>
          <w:lang w:val="en-US"/>
        </w:rPr>
        <w:t xml:space="preserve"> </w:t>
      </w:r>
      <w:r w:rsidRPr="16A43087" w:rsidR="0DBA25CF">
        <w:rPr>
          <w:rFonts w:ascii="Arial Nova" w:hAnsi="Arial Nova" w:eastAsia="Arial Nova" w:cs="Arial Nova"/>
          <w:noProof w:val="0"/>
          <w:sz w:val="22"/>
          <w:szCs w:val="22"/>
          <w:lang w:val="en-US"/>
        </w:rPr>
        <w:t>t</w:t>
      </w:r>
      <w:r w:rsidRPr="16A43087" w:rsidR="0DBA25CF">
        <w:rPr>
          <w:rFonts w:ascii="Arial Nova" w:hAnsi="Arial Nova" w:eastAsia="Arial Nova" w:cs="Arial Nova"/>
          <w:noProof w:val="0"/>
          <w:sz w:val="22"/>
          <w:szCs w:val="22"/>
          <w:lang w:val="en-US"/>
        </w:rPr>
        <w:t>his effectively.</w:t>
      </w:r>
    </w:p>
    <w:p w:rsidR="788BEF79" w:rsidP="16A43087" w:rsidRDefault="788BEF79" w14:paraId="079AA9D5" w14:textId="701B2470">
      <w:pPr>
        <w:pStyle w:val="Normal"/>
        <w:spacing w:line="360" w:lineRule="auto"/>
        <w:rPr>
          <w:rFonts w:ascii="Arial Nova" w:hAnsi="Arial Nova" w:eastAsia="Arial Nova" w:cs="Arial Nova"/>
          <w:noProof w:val="0"/>
          <w:sz w:val="22"/>
          <w:szCs w:val="22"/>
          <w:lang w:val="en-US"/>
        </w:rPr>
      </w:pPr>
    </w:p>
    <w:p w:rsidR="43F1CFA4" w:rsidP="43F1CFA4" w:rsidRDefault="43F1CFA4" w14:paraId="57C4ED93" w14:textId="79C43638">
      <w:pPr>
        <w:pStyle w:val="Normal"/>
        <w:rPr>
          <w:rFonts w:ascii="Arial Nova" w:hAnsi="Arial Nova" w:eastAsia="Arial Nova" w:cs="Arial Nova"/>
          <w:b w:val="1"/>
          <w:bCs w:val="1"/>
          <w:noProof w:val="0"/>
          <w:sz w:val="24"/>
          <w:szCs w:val="24"/>
          <w:lang w:val="en-US"/>
        </w:rPr>
      </w:pPr>
    </w:p>
    <w:p w:rsidR="43F1CFA4" w:rsidP="43F1CFA4" w:rsidRDefault="43F1CFA4" w14:paraId="0541CC1F" w14:textId="44E2D4EA">
      <w:pPr>
        <w:pStyle w:val="Normal"/>
        <w:rPr>
          <w:rFonts w:ascii="Arial Nova" w:hAnsi="Arial Nova" w:eastAsia="Arial Nova" w:cs="Arial Nova"/>
          <w:b w:val="1"/>
          <w:bCs w:val="1"/>
          <w:noProof w:val="0"/>
          <w:sz w:val="24"/>
          <w:szCs w:val="24"/>
          <w:lang w:val="en-US"/>
        </w:rPr>
      </w:pPr>
    </w:p>
    <w:p w:rsidR="43F1CFA4" w:rsidP="43F1CFA4" w:rsidRDefault="43F1CFA4" w14:paraId="00419DDF" w14:textId="3883F65D">
      <w:pPr>
        <w:pStyle w:val="Normal"/>
        <w:rPr>
          <w:rFonts w:ascii="Arial Nova" w:hAnsi="Arial Nova" w:eastAsia="Arial Nova" w:cs="Arial Nova"/>
          <w:b w:val="1"/>
          <w:bCs w:val="1"/>
          <w:noProof w:val="0"/>
          <w:sz w:val="24"/>
          <w:szCs w:val="24"/>
          <w:lang w:val="en-US"/>
        </w:rPr>
      </w:pPr>
    </w:p>
    <w:p w:rsidR="43F1CFA4" w:rsidP="43F1CFA4" w:rsidRDefault="43F1CFA4" w14:paraId="6E431DD3" w14:textId="100E72F2">
      <w:pPr>
        <w:pStyle w:val="Normal"/>
        <w:rPr>
          <w:rFonts w:ascii="Arial Nova" w:hAnsi="Arial Nova" w:eastAsia="Arial Nova" w:cs="Arial Nova"/>
          <w:b w:val="1"/>
          <w:bCs w:val="1"/>
          <w:noProof w:val="0"/>
          <w:sz w:val="24"/>
          <w:szCs w:val="24"/>
          <w:lang w:val="en-US"/>
        </w:rPr>
      </w:pPr>
    </w:p>
    <w:p w:rsidR="43F1CFA4" w:rsidP="43F1CFA4" w:rsidRDefault="43F1CFA4" w14:paraId="364655CB" w14:textId="22CEB7F1">
      <w:pPr>
        <w:pStyle w:val="Normal"/>
        <w:rPr>
          <w:rFonts w:ascii="Arial Nova" w:hAnsi="Arial Nova" w:eastAsia="Arial Nova" w:cs="Arial Nova"/>
          <w:b w:val="1"/>
          <w:bCs w:val="1"/>
          <w:noProof w:val="0"/>
          <w:sz w:val="24"/>
          <w:szCs w:val="24"/>
          <w:lang w:val="en-US"/>
        </w:rPr>
      </w:pPr>
    </w:p>
    <w:p w:rsidR="43F1CFA4" w:rsidP="43F1CFA4" w:rsidRDefault="43F1CFA4" w14:paraId="67A0F2FE" w14:textId="13B8B861">
      <w:pPr>
        <w:pStyle w:val="Normal"/>
        <w:rPr>
          <w:rFonts w:ascii="Arial Nova" w:hAnsi="Arial Nova" w:eastAsia="Arial Nova" w:cs="Arial Nova"/>
          <w:b w:val="1"/>
          <w:bCs w:val="1"/>
          <w:noProof w:val="0"/>
          <w:sz w:val="24"/>
          <w:szCs w:val="24"/>
          <w:lang w:val="en-US"/>
        </w:rPr>
      </w:pPr>
    </w:p>
    <w:p w:rsidR="43F1CFA4" w:rsidP="43F1CFA4" w:rsidRDefault="43F1CFA4" w14:paraId="3558BA11" w14:textId="3FBBEA85">
      <w:pPr>
        <w:pStyle w:val="Normal"/>
        <w:rPr>
          <w:rFonts w:ascii="Arial Nova" w:hAnsi="Arial Nova" w:eastAsia="Arial Nova" w:cs="Arial Nova"/>
          <w:b w:val="1"/>
          <w:bCs w:val="1"/>
          <w:noProof w:val="0"/>
          <w:sz w:val="24"/>
          <w:szCs w:val="24"/>
          <w:lang w:val="en-US"/>
        </w:rPr>
      </w:pPr>
    </w:p>
    <w:p w:rsidR="43F1CFA4" w:rsidP="43F1CFA4" w:rsidRDefault="43F1CFA4" w14:paraId="4C449C9C" w14:textId="21E565E7">
      <w:pPr>
        <w:pStyle w:val="Normal"/>
        <w:rPr>
          <w:rFonts w:ascii="Arial Nova" w:hAnsi="Arial Nova" w:eastAsia="Arial Nova" w:cs="Arial Nova"/>
          <w:b w:val="1"/>
          <w:bCs w:val="1"/>
          <w:noProof w:val="0"/>
          <w:sz w:val="24"/>
          <w:szCs w:val="24"/>
          <w:lang w:val="en-US"/>
        </w:rPr>
      </w:pPr>
    </w:p>
    <w:p w:rsidR="43F1CFA4" w:rsidP="43F1CFA4" w:rsidRDefault="43F1CFA4" w14:paraId="1D92EA9A" w14:textId="339AB804">
      <w:pPr>
        <w:pStyle w:val="Normal"/>
        <w:rPr>
          <w:rFonts w:ascii="Arial Nova" w:hAnsi="Arial Nova" w:eastAsia="Arial Nova" w:cs="Arial Nova"/>
          <w:b w:val="1"/>
          <w:bCs w:val="1"/>
          <w:noProof w:val="0"/>
          <w:sz w:val="24"/>
          <w:szCs w:val="24"/>
          <w:lang w:val="en-US"/>
        </w:rPr>
      </w:pPr>
    </w:p>
    <w:p w:rsidR="43F1CFA4" w:rsidP="43F1CFA4" w:rsidRDefault="43F1CFA4" w14:paraId="451CADF0" w14:textId="52C54230">
      <w:pPr>
        <w:pStyle w:val="Normal"/>
        <w:rPr>
          <w:rFonts w:ascii="Arial Nova" w:hAnsi="Arial Nova" w:eastAsia="Arial Nova" w:cs="Arial Nova"/>
          <w:b w:val="1"/>
          <w:bCs w:val="1"/>
          <w:noProof w:val="0"/>
          <w:sz w:val="24"/>
          <w:szCs w:val="24"/>
          <w:lang w:val="en-US"/>
        </w:rPr>
      </w:pPr>
    </w:p>
    <w:p w:rsidR="43F1CFA4" w:rsidP="43F1CFA4" w:rsidRDefault="43F1CFA4" w14:paraId="4F4533DE" w14:textId="031DDB06">
      <w:pPr>
        <w:pStyle w:val="Normal"/>
        <w:rPr>
          <w:rFonts w:ascii="Arial Nova" w:hAnsi="Arial Nova" w:eastAsia="Arial Nova" w:cs="Arial Nova"/>
          <w:b w:val="1"/>
          <w:bCs w:val="1"/>
          <w:noProof w:val="0"/>
          <w:sz w:val="24"/>
          <w:szCs w:val="24"/>
          <w:lang w:val="en-US"/>
        </w:rPr>
      </w:pPr>
    </w:p>
    <w:p w:rsidR="43F1CFA4" w:rsidP="43F1CFA4" w:rsidRDefault="43F1CFA4" w14:paraId="11D77AD6" w14:textId="76D80821">
      <w:pPr>
        <w:pStyle w:val="Normal"/>
        <w:rPr>
          <w:rFonts w:ascii="Arial Nova" w:hAnsi="Arial Nova" w:eastAsia="Arial Nova" w:cs="Arial Nova"/>
          <w:b w:val="1"/>
          <w:bCs w:val="1"/>
          <w:noProof w:val="0"/>
          <w:sz w:val="24"/>
          <w:szCs w:val="24"/>
          <w:lang w:val="en-US"/>
        </w:rPr>
      </w:pPr>
    </w:p>
    <w:p w:rsidR="43F1CFA4" w:rsidP="43F1CFA4" w:rsidRDefault="43F1CFA4" w14:paraId="5C21560E" w14:textId="692C6F0E">
      <w:pPr>
        <w:pStyle w:val="Normal"/>
        <w:rPr>
          <w:rFonts w:ascii="Arial Nova" w:hAnsi="Arial Nova" w:eastAsia="Arial Nova" w:cs="Arial Nova"/>
          <w:b w:val="1"/>
          <w:bCs w:val="1"/>
          <w:noProof w:val="0"/>
          <w:sz w:val="24"/>
          <w:szCs w:val="24"/>
          <w:lang w:val="en-US"/>
        </w:rPr>
      </w:pPr>
    </w:p>
    <w:p w:rsidR="43F1CFA4" w:rsidP="43F1CFA4" w:rsidRDefault="43F1CFA4" w14:paraId="38944046" w14:textId="5F7A5854">
      <w:pPr>
        <w:pStyle w:val="Normal"/>
        <w:rPr>
          <w:rFonts w:ascii="Arial Nova" w:hAnsi="Arial Nova" w:eastAsia="Arial Nova" w:cs="Arial Nova"/>
          <w:b w:val="1"/>
          <w:bCs w:val="1"/>
          <w:noProof w:val="0"/>
          <w:sz w:val="24"/>
          <w:szCs w:val="24"/>
          <w:lang w:val="en-US"/>
        </w:rPr>
      </w:pPr>
    </w:p>
    <w:p w:rsidR="43F1CFA4" w:rsidP="43F1CFA4" w:rsidRDefault="43F1CFA4" w14:paraId="710EDB65" w14:textId="2ECF27AB">
      <w:pPr>
        <w:pStyle w:val="Normal"/>
        <w:rPr>
          <w:rFonts w:ascii="Arial Nova" w:hAnsi="Arial Nova" w:eastAsia="Arial Nova" w:cs="Arial Nova"/>
          <w:b w:val="1"/>
          <w:bCs w:val="1"/>
          <w:noProof w:val="0"/>
          <w:sz w:val="24"/>
          <w:szCs w:val="24"/>
          <w:lang w:val="en-US"/>
        </w:rPr>
      </w:pPr>
    </w:p>
    <w:p w:rsidR="43F1CFA4" w:rsidP="43F1CFA4" w:rsidRDefault="43F1CFA4" w14:paraId="64A66714" w14:textId="2BD94EF7">
      <w:pPr>
        <w:pStyle w:val="Normal"/>
        <w:rPr>
          <w:rFonts w:ascii="Arial Nova" w:hAnsi="Arial Nova" w:eastAsia="Arial Nova" w:cs="Arial Nova"/>
          <w:b w:val="1"/>
          <w:bCs w:val="1"/>
          <w:noProof w:val="0"/>
          <w:sz w:val="24"/>
          <w:szCs w:val="24"/>
          <w:lang w:val="en-US"/>
        </w:rPr>
      </w:pPr>
    </w:p>
    <w:p w:rsidR="43F1CFA4" w:rsidP="43F1CFA4" w:rsidRDefault="43F1CFA4" w14:paraId="78015BC3" w14:textId="5CD2D2A6">
      <w:pPr>
        <w:pStyle w:val="Normal"/>
        <w:rPr>
          <w:rFonts w:ascii="Arial Nova" w:hAnsi="Arial Nova" w:eastAsia="Arial Nova" w:cs="Arial Nova"/>
          <w:b w:val="1"/>
          <w:bCs w:val="1"/>
          <w:noProof w:val="0"/>
          <w:sz w:val="24"/>
          <w:szCs w:val="24"/>
          <w:lang w:val="en-US"/>
        </w:rPr>
      </w:pPr>
    </w:p>
    <w:p w:rsidR="43F1CFA4" w:rsidP="43F1CFA4" w:rsidRDefault="43F1CFA4" w14:paraId="0F348C43" w14:textId="1E8347AB">
      <w:pPr>
        <w:pStyle w:val="Normal"/>
        <w:rPr>
          <w:rFonts w:ascii="Arial Nova" w:hAnsi="Arial Nova" w:eastAsia="Arial Nova" w:cs="Arial Nova"/>
          <w:b w:val="1"/>
          <w:bCs w:val="1"/>
          <w:noProof w:val="0"/>
          <w:sz w:val="24"/>
          <w:szCs w:val="24"/>
          <w:lang w:val="en-US"/>
        </w:rPr>
      </w:pPr>
    </w:p>
    <w:p w:rsidR="611D4F96" w:rsidP="611D4F96" w:rsidRDefault="611D4F96" w14:paraId="3B6EF193" w14:textId="11EB14F0">
      <w:pPr>
        <w:pStyle w:val="Normal"/>
        <w:rPr>
          <w:rFonts w:ascii="Arial Nova" w:hAnsi="Arial Nova" w:eastAsia="Arial Nova" w:cs="Arial Nova"/>
          <w:b w:val="1"/>
          <w:bCs w:val="1"/>
          <w:noProof w:val="0"/>
          <w:sz w:val="24"/>
          <w:szCs w:val="24"/>
          <w:lang w:val="en-US"/>
        </w:rPr>
      </w:pPr>
    </w:p>
    <w:p w:rsidR="60B7CF53" w:rsidP="788BEF79" w:rsidRDefault="60B7CF53" w14:paraId="55CD96AA" w14:textId="1A499331">
      <w:pPr>
        <w:pStyle w:val="Normal"/>
        <w:rPr>
          <w:rFonts w:ascii="Arial Nova" w:hAnsi="Arial Nova" w:eastAsia="Arial Nova" w:cs="Arial Nova"/>
          <w:b w:val="1"/>
          <w:bCs w:val="1"/>
          <w:noProof w:val="0"/>
          <w:sz w:val="24"/>
          <w:szCs w:val="24"/>
          <w:lang w:val="en-US"/>
        </w:rPr>
      </w:pPr>
      <w:r w:rsidRPr="16A43087" w:rsidR="60B7CF53">
        <w:rPr>
          <w:rFonts w:ascii="Arial Nova" w:hAnsi="Arial Nova" w:eastAsia="Arial Nova" w:cs="Arial Nova"/>
          <w:b w:val="1"/>
          <w:bCs w:val="1"/>
          <w:noProof w:val="0"/>
          <w:sz w:val="24"/>
          <w:szCs w:val="24"/>
          <w:lang w:val="en-US"/>
        </w:rPr>
        <w:t>Recommendations</w:t>
      </w:r>
    </w:p>
    <w:p w:rsidR="60B7CF53" w:rsidP="16A43087" w:rsidRDefault="60B7CF53" w14:paraId="5A316F08" w14:textId="75350550">
      <w:pPr>
        <w:pStyle w:val="Normal"/>
        <w:spacing w:line="360" w:lineRule="auto"/>
      </w:pPr>
      <w:r w:rsidRPr="16A43087" w:rsidR="60B7CF53">
        <w:rPr>
          <w:rFonts w:ascii="Arial Nova" w:hAnsi="Arial Nova" w:eastAsia="Arial Nova" w:cs="Arial Nova"/>
          <w:noProof w:val="0"/>
          <w:sz w:val="22"/>
          <w:szCs w:val="22"/>
          <w:lang w:val="en-US"/>
        </w:rPr>
        <w:t xml:space="preserve">Global and national governments should place more emphasis on the social determinants of health and more clearly include SDG 10 into health plans to improve progress towards SDG 3. Global health programs should address systemic obstacles like workforce capacity, infrastructure, and affordability rather than just increasing awareness. </w:t>
      </w:r>
      <w:r w:rsidRPr="16A43087" w:rsidR="49EBBE68">
        <w:rPr>
          <w:rFonts w:ascii="Arial Nova" w:hAnsi="Arial Nova" w:eastAsia="Arial Nova" w:cs="Arial Nova"/>
          <w:noProof w:val="0"/>
          <w:sz w:val="22"/>
          <w:szCs w:val="22"/>
          <w:lang w:val="en-US"/>
        </w:rPr>
        <w:t>Long-term investments in preventive and early intervention within underprivileged areas, backed by strong assessment systems, should be the top priority of UK health policy. In line with Social Cognitive Theory, increased financing stability and community co-production need to be applied locally to boost social support and self-efficacy.</w:t>
      </w:r>
      <w:r w:rsidRPr="16A43087" w:rsidR="751314A7">
        <w:rPr>
          <w:rFonts w:ascii="Arial Nova" w:hAnsi="Arial Nova" w:eastAsia="Arial Nova" w:cs="Arial Nova"/>
          <w:noProof w:val="0"/>
          <w:sz w:val="22"/>
          <w:szCs w:val="22"/>
          <w:lang w:val="en-US"/>
        </w:rPr>
        <w:t xml:space="preserve"> In general, </w:t>
      </w:r>
      <w:r w:rsidRPr="16A43087" w:rsidR="751314A7">
        <w:rPr>
          <w:rFonts w:ascii="Arial Nova" w:hAnsi="Arial Nova" w:eastAsia="Arial Nova" w:cs="Arial Nova"/>
          <w:noProof w:val="0"/>
          <w:sz w:val="22"/>
          <w:szCs w:val="22"/>
          <w:lang w:val="en-US"/>
        </w:rPr>
        <w:t>attaining</w:t>
      </w:r>
      <w:r w:rsidRPr="16A43087" w:rsidR="751314A7">
        <w:rPr>
          <w:rFonts w:ascii="Arial Nova" w:hAnsi="Arial Nova" w:eastAsia="Arial Nova" w:cs="Arial Nova"/>
          <w:noProof w:val="0"/>
          <w:sz w:val="22"/>
          <w:szCs w:val="22"/>
          <w:lang w:val="en-US"/>
        </w:rPr>
        <w:t xml:space="preserve"> sustainable and </w:t>
      </w:r>
      <w:r w:rsidRPr="16A43087" w:rsidR="751314A7">
        <w:rPr>
          <w:rFonts w:ascii="Arial Nova" w:hAnsi="Arial Nova" w:eastAsia="Arial Nova" w:cs="Arial Nova"/>
          <w:noProof w:val="0"/>
          <w:sz w:val="22"/>
          <w:szCs w:val="22"/>
          <w:lang w:val="en-US"/>
        </w:rPr>
        <w:t>equitable</w:t>
      </w:r>
      <w:r w:rsidRPr="16A43087" w:rsidR="751314A7">
        <w:rPr>
          <w:rFonts w:ascii="Arial Nova" w:hAnsi="Arial Nova" w:eastAsia="Arial Nova" w:cs="Arial Nova"/>
          <w:noProof w:val="0"/>
          <w:sz w:val="22"/>
          <w:szCs w:val="22"/>
          <w:lang w:val="en-US"/>
        </w:rPr>
        <w:t xml:space="preserve"> health outcomes requires bringing SDG 3 activities closer to approaches that focus on inequality.</w:t>
      </w:r>
    </w:p>
    <w:p w:rsidR="788BEF79" w:rsidP="16A43087" w:rsidRDefault="788BEF79" w14:paraId="47535DB4" w14:textId="31F1677F">
      <w:pPr>
        <w:pStyle w:val="Normal"/>
        <w:spacing w:line="360" w:lineRule="auto"/>
        <w:rPr>
          <w:rFonts w:ascii="Arial Nova" w:hAnsi="Arial Nova" w:eastAsia="Arial Nova" w:cs="Arial Nova"/>
          <w:noProof w:val="0"/>
          <w:sz w:val="22"/>
          <w:szCs w:val="22"/>
          <w:lang w:val="en-US"/>
        </w:rPr>
      </w:pPr>
    </w:p>
    <w:p w:rsidR="788BEF79" w:rsidP="788BEF79" w:rsidRDefault="788BEF79" w14:paraId="0CF84D93" w14:textId="47DC96A5">
      <w:pPr>
        <w:pStyle w:val="Normal"/>
        <w:rPr>
          <w:rFonts w:ascii="Arial Nova" w:hAnsi="Arial Nova" w:eastAsia="Arial Nova" w:cs="Arial Nova"/>
          <w:noProof w:val="0"/>
          <w:sz w:val="22"/>
          <w:szCs w:val="22"/>
          <w:lang w:val="en-US"/>
        </w:rPr>
      </w:pPr>
    </w:p>
    <w:p w:rsidR="788BEF79" w:rsidP="788BEF79" w:rsidRDefault="788BEF79" w14:paraId="19CFB0C4" w14:textId="3120BA09">
      <w:pPr>
        <w:pStyle w:val="Normal"/>
        <w:rPr>
          <w:rFonts w:ascii="Arial Nova" w:hAnsi="Arial Nova" w:eastAsia="Arial Nova" w:cs="Arial Nova"/>
          <w:noProof w:val="0"/>
          <w:sz w:val="22"/>
          <w:szCs w:val="22"/>
          <w:lang w:val="en-US"/>
        </w:rPr>
      </w:pPr>
    </w:p>
    <w:p w:rsidR="788BEF79" w:rsidP="788BEF79" w:rsidRDefault="788BEF79" w14:paraId="49B22954" w14:textId="560F38B6">
      <w:pPr>
        <w:pStyle w:val="Normal"/>
        <w:rPr>
          <w:rFonts w:ascii="Arial Nova" w:hAnsi="Arial Nova" w:eastAsia="Arial Nova" w:cs="Arial Nova"/>
          <w:noProof w:val="0"/>
          <w:sz w:val="22"/>
          <w:szCs w:val="22"/>
          <w:lang w:val="en-US"/>
        </w:rPr>
      </w:pPr>
    </w:p>
    <w:p w:rsidR="788BEF79" w:rsidP="788BEF79" w:rsidRDefault="788BEF79" w14:paraId="2CCBC280" w14:textId="71052C90">
      <w:pPr>
        <w:pStyle w:val="Normal"/>
        <w:rPr>
          <w:rFonts w:ascii="Arial Nova" w:hAnsi="Arial Nova" w:eastAsia="Arial Nova" w:cs="Arial Nova"/>
          <w:noProof w:val="0"/>
          <w:sz w:val="22"/>
          <w:szCs w:val="22"/>
          <w:lang w:val="en-US"/>
        </w:rPr>
      </w:pPr>
    </w:p>
    <w:p w:rsidR="788BEF79" w:rsidP="788BEF79" w:rsidRDefault="788BEF79" w14:paraId="1C55BACB" w14:textId="7BFA6280">
      <w:pPr>
        <w:pStyle w:val="Normal"/>
        <w:rPr>
          <w:rFonts w:ascii="Arial Nova" w:hAnsi="Arial Nova" w:eastAsia="Arial Nova" w:cs="Arial Nova"/>
          <w:noProof w:val="0"/>
          <w:sz w:val="22"/>
          <w:szCs w:val="22"/>
          <w:lang w:val="en-US"/>
        </w:rPr>
      </w:pPr>
    </w:p>
    <w:p w:rsidR="788BEF79" w:rsidP="788BEF79" w:rsidRDefault="788BEF79" w14:paraId="3686F4AA" w14:textId="731E0D2A">
      <w:pPr>
        <w:pStyle w:val="Normal"/>
        <w:rPr>
          <w:rFonts w:ascii="Arial Nova" w:hAnsi="Arial Nova" w:eastAsia="Arial Nova" w:cs="Arial Nova"/>
          <w:noProof w:val="0"/>
          <w:sz w:val="22"/>
          <w:szCs w:val="22"/>
          <w:lang w:val="en-US"/>
        </w:rPr>
      </w:pPr>
    </w:p>
    <w:p w:rsidR="788BEF79" w:rsidP="788BEF79" w:rsidRDefault="788BEF79" w14:paraId="782ACC35" w14:textId="651702D6">
      <w:pPr>
        <w:pStyle w:val="Normal"/>
        <w:rPr>
          <w:rFonts w:ascii="Arial Nova" w:hAnsi="Arial Nova" w:eastAsia="Arial Nova" w:cs="Arial Nova"/>
          <w:b w:val="0"/>
          <w:bCs w:val="0"/>
          <w:noProof w:val="0"/>
          <w:sz w:val="22"/>
          <w:szCs w:val="22"/>
          <w:lang w:val="en-US"/>
        </w:rPr>
      </w:pPr>
    </w:p>
    <w:p w:rsidR="2A8820A2" w:rsidP="2A8820A2" w:rsidRDefault="2A8820A2" w14:paraId="1BB7000B" w14:textId="6A34C0FF">
      <w:pPr>
        <w:pStyle w:val="Normal"/>
        <w:rPr>
          <w:rFonts w:ascii="Arial Nova" w:hAnsi="Arial Nova" w:eastAsia="Arial Nova" w:cs="Arial Nova"/>
          <w:b w:val="0"/>
          <w:bCs w:val="0"/>
          <w:noProof w:val="0"/>
          <w:sz w:val="22"/>
          <w:szCs w:val="22"/>
          <w:lang w:val="en-US"/>
        </w:rPr>
      </w:pPr>
    </w:p>
    <w:p w:rsidR="43F1CFA4" w:rsidP="43F1CFA4" w:rsidRDefault="43F1CFA4" w14:paraId="6A880AC7" w14:textId="727494CB">
      <w:pPr>
        <w:pStyle w:val="Normal"/>
        <w:rPr>
          <w:rFonts w:ascii="Arial Nova" w:hAnsi="Arial Nova" w:eastAsia="Arial Nova" w:cs="Arial Nova"/>
          <w:b w:val="1"/>
          <w:bCs w:val="1"/>
          <w:noProof w:val="0"/>
          <w:sz w:val="24"/>
          <w:szCs w:val="24"/>
          <w:lang w:val="en-US"/>
        </w:rPr>
      </w:pPr>
    </w:p>
    <w:p w:rsidR="43F1CFA4" w:rsidP="43F1CFA4" w:rsidRDefault="43F1CFA4" w14:paraId="196F7FB3" w14:textId="4016BB69">
      <w:pPr>
        <w:pStyle w:val="Normal"/>
        <w:rPr>
          <w:rFonts w:ascii="Arial Nova" w:hAnsi="Arial Nova" w:eastAsia="Arial Nova" w:cs="Arial Nova"/>
          <w:b w:val="1"/>
          <w:bCs w:val="1"/>
          <w:noProof w:val="0"/>
          <w:sz w:val="24"/>
          <w:szCs w:val="24"/>
          <w:lang w:val="en-US"/>
        </w:rPr>
      </w:pPr>
    </w:p>
    <w:p w:rsidR="43F1CFA4" w:rsidP="43F1CFA4" w:rsidRDefault="43F1CFA4" w14:paraId="67A8824F" w14:textId="48F0A447">
      <w:pPr>
        <w:pStyle w:val="Normal"/>
        <w:rPr>
          <w:rFonts w:ascii="Arial Nova" w:hAnsi="Arial Nova" w:eastAsia="Arial Nova" w:cs="Arial Nova"/>
          <w:b w:val="1"/>
          <w:bCs w:val="1"/>
          <w:noProof w:val="0"/>
          <w:sz w:val="24"/>
          <w:szCs w:val="24"/>
          <w:lang w:val="en-US"/>
        </w:rPr>
      </w:pPr>
    </w:p>
    <w:p w:rsidR="43F1CFA4" w:rsidP="43F1CFA4" w:rsidRDefault="43F1CFA4" w14:paraId="6052EC7F" w14:textId="1A434258">
      <w:pPr>
        <w:pStyle w:val="Normal"/>
        <w:rPr>
          <w:rFonts w:ascii="Arial Nova" w:hAnsi="Arial Nova" w:eastAsia="Arial Nova" w:cs="Arial Nova"/>
          <w:b w:val="1"/>
          <w:bCs w:val="1"/>
          <w:noProof w:val="0"/>
          <w:sz w:val="24"/>
          <w:szCs w:val="24"/>
          <w:lang w:val="en-US"/>
        </w:rPr>
      </w:pPr>
    </w:p>
    <w:p w:rsidR="43F1CFA4" w:rsidP="43F1CFA4" w:rsidRDefault="43F1CFA4" w14:paraId="1C67AAB3" w14:textId="39B1E298">
      <w:pPr>
        <w:pStyle w:val="Normal"/>
        <w:rPr>
          <w:rFonts w:ascii="Arial Nova" w:hAnsi="Arial Nova" w:eastAsia="Arial Nova" w:cs="Arial Nova"/>
          <w:b w:val="1"/>
          <w:bCs w:val="1"/>
          <w:noProof w:val="0"/>
          <w:sz w:val="24"/>
          <w:szCs w:val="24"/>
          <w:lang w:val="en-US"/>
        </w:rPr>
      </w:pPr>
    </w:p>
    <w:p w:rsidR="43F1CFA4" w:rsidP="43F1CFA4" w:rsidRDefault="43F1CFA4" w14:paraId="6695464C" w14:textId="277B7763">
      <w:pPr>
        <w:pStyle w:val="Normal"/>
        <w:rPr>
          <w:rFonts w:ascii="Arial Nova" w:hAnsi="Arial Nova" w:eastAsia="Arial Nova" w:cs="Arial Nova"/>
          <w:b w:val="1"/>
          <w:bCs w:val="1"/>
          <w:noProof w:val="0"/>
          <w:sz w:val="24"/>
          <w:szCs w:val="24"/>
          <w:lang w:val="en-US"/>
        </w:rPr>
      </w:pPr>
    </w:p>
    <w:p w:rsidR="43F1CFA4" w:rsidP="43F1CFA4" w:rsidRDefault="43F1CFA4" w14:paraId="5443969D" w14:textId="625E9FC8">
      <w:pPr>
        <w:pStyle w:val="Normal"/>
        <w:rPr>
          <w:rFonts w:ascii="Arial Nova" w:hAnsi="Arial Nova" w:eastAsia="Arial Nova" w:cs="Arial Nova"/>
          <w:b w:val="1"/>
          <w:bCs w:val="1"/>
          <w:noProof w:val="0"/>
          <w:sz w:val="24"/>
          <w:szCs w:val="24"/>
          <w:lang w:val="en-US"/>
        </w:rPr>
      </w:pPr>
    </w:p>
    <w:p w:rsidR="43F1CFA4" w:rsidP="43F1CFA4" w:rsidRDefault="43F1CFA4" w14:paraId="04A6482B" w14:textId="0042408E">
      <w:pPr>
        <w:pStyle w:val="Normal"/>
        <w:rPr>
          <w:rFonts w:ascii="Arial Nova" w:hAnsi="Arial Nova" w:eastAsia="Arial Nova" w:cs="Arial Nova"/>
          <w:b w:val="1"/>
          <w:bCs w:val="1"/>
          <w:noProof w:val="0"/>
          <w:sz w:val="24"/>
          <w:szCs w:val="24"/>
          <w:lang w:val="en-US"/>
        </w:rPr>
      </w:pPr>
    </w:p>
    <w:p w:rsidR="43F1CFA4" w:rsidP="43F1CFA4" w:rsidRDefault="43F1CFA4" w14:paraId="3DC6C2DE" w14:textId="1C7B0754">
      <w:pPr>
        <w:pStyle w:val="Normal"/>
        <w:rPr>
          <w:rFonts w:ascii="Arial Nova" w:hAnsi="Arial Nova" w:eastAsia="Arial Nova" w:cs="Arial Nova"/>
          <w:b w:val="1"/>
          <w:bCs w:val="1"/>
          <w:noProof w:val="0"/>
          <w:sz w:val="24"/>
          <w:szCs w:val="24"/>
          <w:lang w:val="en-US"/>
        </w:rPr>
      </w:pPr>
    </w:p>
    <w:p w:rsidR="611D4F96" w:rsidP="611D4F96" w:rsidRDefault="611D4F96" w14:paraId="34A12371" w14:textId="1E704F96">
      <w:pPr>
        <w:pStyle w:val="Normal"/>
        <w:rPr>
          <w:rFonts w:ascii="Arial Nova" w:hAnsi="Arial Nova" w:eastAsia="Arial Nova" w:cs="Arial Nova"/>
          <w:b w:val="1"/>
          <w:bCs w:val="1"/>
          <w:noProof w:val="0"/>
          <w:sz w:val="24"/>
          <w:szCs w:val="24"/>
          <w:lang w:val="en-US"/>
        </w:rPr>
      </w:pPr>
    </w:p>
    <w:p w:rsidR="38979F34" w:rsidP="788BEF79" w:rsidRDefault="38979F34" w14:paraId="7A3D991E" w14:textId="42EA9EFC">
      <w:pPr>
        <w:pStyle w:val="Normal"/>
        <w:rPr>
          <w:rFonts w:ascii="Arial Nova" w:hAnsi="Arial Nova" w:eastAsia="Arial Nova" w:cs="Arial Nova"/>
          <w:b w:val="1"/>
          <w:bCs w:val="1"/>
          <w:noProof w:val="0"/>
          <w:sz w:val="24"/>
          <w:szCs w:val="24"/>
          <w:lang w:val="en-US"/>
        </w:rPr>
      </w:pPr>
      <w:r w:rsidRPr="43F1CFA4" w:rsidR="38979F34">
        <w:rPr>
          <w:rFonts w:ascii="Arial Nova" w:hAnsi="Arial Nova" w:eastAsia="Arial Nova" w:cs="Arial Nova"/>
          <w:b w:val="1"/>
          <w:bCs w:val="1"/>
          <w:noProof w:val="0"/>
          <w:sz w:val="24"/>
          <w:szCs w:val="24"/>
          <w:lang w:val="en-US"/>
        </w:rPr>
        <w:t>2. SDG 10 – Reduce Inequalities</w:t>
      </w:r>
    </w:p>
    <w:p w:rsidR="37312EDF" w:rsidP="16A43087" w:rsidRDefault="37312EDF" w14:paraId="3ED9F58B" w14:textId="3E1F8931">
      <w:pPr>
        <w:pStyle w:val="Normal"/>
        <w:spacing w:line="360" w:lineRule="auto"/>
      </w:pPr>
      <w:r w:rsidRPr="16A43087" w:rsidR="37312EDF">
        <w:rPr>
          <w:rFonts w:ascii="Arial Nova" w:hAnsi="Arial Nova" w:eastAsia="Arial Nova" w:cs="Arial Nova"/>
          <w:noProof w:val="0"/>
          <w:sz w:val="22"/>
          <w:szCs w:val="22"/>
          <w:lang w:val="en-US"/>
        </w:rPr>
        <w:t xml:space="preserve">By addressing differences in income, access to services, political voice, and social protection, Sustainable Development Goal 10 (SDG 10) seeks to "reduce inequality within and among countries" (United Nations, 2015). </w:t>
      </w:r>
      <w:r w:rsidRPr="16A43087" w:rsidR="6E80C665">
        <w:rPr>
          <w:rFonts w:ascii="Arial Nova" w:hAnsi="Arial Nova" w:eastAsia="Arial Nova" w:cs="Arial Nova"/>
          <w:noProof w:val="0"/>
          <w:sz w:val="22"/>
          <w:szCs w:val="22"/>
          <w:lang w:val="en-US"/>
        </w:rPr>
        <w:t>According to UN DESA (2020), indicators include policies that support social, economic, and political inclusion; fair representation in decision-making; and income growth for the poorest. Economic, gender-based, racial, and regional disparities all have a significant impact on health outcomes.</w:t>
      </w:r>
      <w:r w:rsidRPr="16A43087" w:rsidR="64A85F4F">
        <w:rPr>
          <w:rFonts w:ascii="Arial Nova" w:hAnsi="Arial Nova" w:eastAsia="Arial Nova" w:cs="Arial Nova"/>
          <w:noProof w:val="0"/>
          <w:sz w:val="22"/>
          <w:szCs w:val="22"/>
          <w:lang w:val="en-US"/>
        </w:rPr>
        <w:t xml:space="preserve"> Research continuously shows that nations and societies with higher levels of inequality have lower life expectancy, worse average health, and more pronounced disparities in illness and death (Wilkinson &amp; Pickett, 2018). Therefore, both philosophically and experimentally, SDG 10 is closely related to health and wellbeing.</w:t>
      </w:r>
    </w:p>
    <w:p w:rsidR="788BEF79" w:rsidP="788BEF79" w:rsidRDefault="788BEF79" w14:paraId="41DA2B60" w14:textId="7AF458D6">
      <w:pPr>
        <w:pStyle w:val="Normal"/>
        <w:rPr>
          <w:rFonts w:ascii="Arial Nova" w:hAnsi="Arial Nova" w:eastAsia="Arial Nova" w:cs="Arial Nova"/>
          <w:noProof w:val="0"/>
          <w:sz w:val="22"/>
          <w:szCs w:val="22"/>
          <w:lang w:val="en-US"/>
        </w:rPr>
      </w:pPr>
    </w:p>
    <w:p w:rsidR="43F1CFA4" w:rsidP="43F1CFA4" w:rsidRDefault="43F1CFA4" w14:paraId="51E85865" w14:textId="7986F594">
      <w:pPr>
        <w:pStyle w:val="Normal"/>
        <w:rPr>
          <w:rFonts w:ascii="Arial Nova" w:hAnsi="Arial Nova" w:eastAsia="Arial Nova" w:cs="Arial Nova"/>
          <w:b w:val="1"/>
          <w:bCs w:val="1"/>
          <w:noProof w:val="0"/>
          <w:sz w:val="24"/>
          <w:szCs w:val="24"/>
          <w:lang w:val="en-US"/>
        </w:rPr>
      </w:pPr>
    </w:p>
    <w:p w:rsidR="43F1CFA4" w:rsidP="43F1CFA4" w:rsidRDefault="43F1CFA4" w14:paraId="6CE458A8" w14:textId="4B3926D4">
      <w:pPr>
        <w:pStyle w:val="Normal"/>
        <w:rPr>
          <w:rFonts w:ascii="Arial Nova" w:hAnsi="Arial Nova" w:eastAsia="Arial Nova" w:cs="Arial Nova"/>
          <w:b w:val="1"/>
          <w:bCs w:val="1"/>
          <w:noProof w:val="0"/>
          <w:sz w:val="24"/>
          <w:szCs w:val="24"/>
          <w:lang w:val="en-US"/>
        </w:rPr>
      </w:pPr>
    </w:p>
    <w:p w:rsidR="43F1CFA4" w:rsidP="43F1CFA4" w:rsidRDefault="43F1CFA4" w14:paraId="3353CE8D" w14:textId="4B1EAD52">
      <w:pPr>
        <w:pStyle w:val="Normal"/>
        <w:rPr>
          <w:rFonts w:ascii="Arial Nova" w:hAnsi="Arial Nova" w:eastAsia="Arial Nova" w:cs="Arial Nova"/>
          <w:b w:val="1"/>
          <w:bCs w:val="1"/>
          <w:noProof w:val="0"/>
          <w:sz w:val="24"/>
          <w:szCs w:val="24"/>
          <w:lang w:val="en-US"/>
        </w:rPr>
      </w:pPr>
    </w:p>
    <w:p w:rsidR="43F1CFA4" w:rsidP="43F1CFA4" w:rsidRDefault="43F1CFA4" w14:paraId="50A35FE1" w14:textId="060ABFF9">
      <w:pPr>
        <w:pStyle w:val="Normal"/>
        <w:rPr>
          <w:rFonts w:ascii="Arial Nova" w:hAnsi="Arial Nova" w:eastAsia="Arial Nova" w:cs="Arial Nova"/>
          <w:b w:val="1"/>
          <w:bCs w:val="1"/>
          <w:noProof w:val="0"/>
          <w:sz w:val="24"/>
          <w:szCs w:val="24"/>
          <w:lang w:val="en-US"/>
        </w:rPr>
      </w:pPr>
    </w:p>
    <w:p w:rsidR="43F1CFA4" w:rsidP="43F1CFA4" w:rsidRDefault="43F1CFA4" w14:paraId="1C664AB6" w14:textId="68A58A3C">
      <w:pPr>
        <w:pStyle w:val="Normal"/>
        <w:rPr>
          <w:rFonts w:ascii="Arial Nova" w:hAnsi="Arial Nova" w:eastAsia="Arial Nova" w:cs="Arial Nova"/>
          <w:b w:val="1"/>
          <w:bCs w:val="1"/>
          <w:noProof w:val="0"/>
          <w:sz w:val="24"/>
          <w:szCs w:val="24"/>
          <w:lang w:val="en-US"/>
        </w:rPr>
      </w:pPr>
    </w:p>
    <w:p w:rsidR="43F1CFA4" w:rsidP="43F1CFA4" w:rsidRDefault="43F1CFA4" w14:paraId="224A720B" w14:textId="4EFBB3D0">
      <w:pPr>
        <w:pStyle w:val="Normal"/>
        <w:rPr>
          <w:rFonts w:ascii="Arial Nova" w:hAnsi="Arial Nova" w:eastAsia="Arial Nova" w:cs="Arial Nova"/>
          <w:b w:val="1"/>
          <w:bCs w:val="1"/>
          <w:noProof w:val="0"/>
          <w:sz w:val="24"/>
          <w:szCs w:val="24"/>
          <w:lang w:val="en-US"/>
        </w:rPr>
      </w:pPr>
    </w:p>
    <w:p w:rsidR="43F1CFA4" w:rsidP="43F1CFA4" w:rsidRDefault="43F1CFA4" w14:paraId="70F770F4" w14:textId="1B80AAEC">
      <w:pPr>
        <w:pStyle w:val="Normal"/>
        <w:rPr>
          <w:rFonts w:ascii="Arial Nova" w:hAnsi="Arial Nova" w:eastAsia="Arial Nova" w:cs="Arial Nova"/>
          <w:b w:val="1"/>
          <w:bCs w:val="1"/>
          <w:noProof w:val="0"/>
          <w:sz w:val="24"/>
          <w:szCs w:val="24"/>
          <w:lang w:val="en-US"/>
        </w:rPr>
      </w:pPr>
    </w:p>
    <w:p w:rsidR="43F1CFA4" w:rsidP="43F1CFA4" w:rsidRDefault="43F1CFA4" w14:paraId="7A55C38F" w14:textId="5E702A29">
      <w:pPr>
        <w:pStyle w:val="Normal"/>
        <w:rPr>
          <w:rFonts w:ascii="Arial Nova" w:hAnsi="Arial Nova" w:eastAsia="Arial Nova" w:cs="Arial Nova"/>
          <w:b w:val="1"/>
          <w:bCs w:val="1"/>
          <w:noProof w:val="0"/>
          <w:sz w:val="24"/>
          <w:szCs w:val="24"/>
          <w:lang w:val="en-US"/>
        </w:rPr>
      </w:pPr>
    </w:p>
    <w:p w:rsidR="43F1CFA4" w:rsidP="43F1CFA4" w:rsidRDefault="43F1CFA4" w14:paraId="4F7C961D" w14:textId="107151CC">
      <w:pPr>
        <w:pStyle w:val="Normal"/>
        <w:rPr>
          <w:rFonts w:ascii="Arial Nova" w:hAnsi="Arial Nova" w:eastAsia="Arial Nova" w:cs="Arial Nova"/>
          <w:b w:val="1"/>
          <w:bCs w:val="1"/>
          <w:noProof w:val="0"/>
          <w:sz w:val="24"/>
          <w:szCs w:val="24"/>
          <w:lang w:val="en-US"/>
        </w:rPr>
      </w:pPr>
    </w:p>
    <w:p w:rsidR="43F1CFA4" w:rsidP="43F1CFA4" w:rsidRDefault="43F1CFA4" w14:paraId="5F6767FA" w14:textId="462949FC">
      <w:pPr>
        <w:pStyle w:val="Normal"/>
        <w:rPr>
          <w:rFonts w:ascii="Arial Nova" w:hAnsi="Arial Nova" w:eastAsia="Arial Nova" w:cs="Arial Nova"/>
          <w:b w:val="1"/>
          <w:bCs w:val="1"/>
          <w:noProof w:val="0"/>
          <w:sz w:val="24"/>
          <w:szCs w:val="24"/>
          <w:lang w:val="en-US"/>
        </w:rPr>
      </w:pPr>
    </w:p>
    <w:p w:rsidR="43F1CFA4" w:rsidP="43F1CFA4" w:rsidRDefault="43F1CFA4" w14:paraId="0C66B87A" w14:textId="4B0119E0">
      <w:pPr>
        <w:pStyle w:val="Normal"/>
        <w:rPr>
          <w:rFonts w:ascii="Arial Nova" w:hAnsi="Arial Nova" w:eastAsia="Arial Nova" w:cs="Arial Nova"/>
          <w:b w:val="1"/>
          <w:bCs w:val="1"/>
          <w:noProof w:val="0"/>
          <w:sz w:val="24"/>
          <w:szCs w:val="24"/>
          <w:lang w:val="en-US"/>
        </w:rPr>
      </w:pPr>
    </w:p>
    <w:p w:rsidR="43F1CFA4" w:rsidP="43F1CFA4" w:rsidRDefault="43F1CFA4" w14:paraId="5D1542A0" w14:textId="44AEBF44">
      <w:pPr>
        <w:pStyle w:val="Normal"/>
        <w:rPr>
          <w:rFonts w:ascii="Arial Nova" w:hAnsi="Arial Nova" w:eastAsia="Arial Nova" w:cs="Arial Nova"/>
          <w:b w:val="1"/>
          <w:bCs w:val="1"/>
          <w:noProof w:val="0"/>
          <w:sz w:val="24"/>
          <w:szCs w:val="24"/>
          <w:lang w:val="en-US"/>
        </w:rPr>
      </w:pPr>
    </w:p>
    <w:p w:rsidR="43F1CFA4" w:rsidP="43F1CFA4" w:rsidRDefault="43F1CFA4" w14:paraId="7E44B73A" w14:textId="2914A161">
      <w:pPr>
        <w:pStyle w:val="Normal"/>
        <w:rPr>
          <w:rFonts w:ascii="Arial Nova" w:hAnsi="Arial Nova" w:eastAsia="Arial Nova" w:cs="Arial Nova"/>
          <w:b w:val="1"/>
          <w:bCs w:val="1"/>
          <w:noProof w:val="0"/>
          <w:sz w:val="24"/>
          <w:szCs w:val="24"/>
          <w:lang w:val="en-US"/>
        </w:rPr>
      </w:pPr>
    </w:p>
    <w:p w:rsidR="43F1CFA4" w:rsidP="43F1CFA4" w:rsidRDefault="43F1CFA4" w14:paraId="46EAA8DA" w14:textId="44F07CEC">
      <w:pPr>
        <w:pStyle w:val="Normal"/>
        <w:rPr>
          <w:rFonts w:ascii="Arial Nova" w:hAnsi="Arial Nova" w:eastAsia="Arial Nova" w:cs="Arial Nova"/>
          <w:b w:val="1"/>
          <w:bCs w:val="1"/>
          <w:noProof w:val="0"/>
          <w:sz w:val="24"/>
          <w:szCs w:val="24"/>
          <w:lang w:val="en-US"/>
        </w:rPr>
      </w:pPr>
    </w:p>
    <w:p w:rsidR="43F1CFA4" w:rsidP="43F1CFA4" w:rsidRDefault="43F1CFA4" w14:paraId="582BA28C" w14:textId="36A0B827">
      <w:pPr>
        <w:pStyle w:val="Normal"/>
        <w:rPr>
          <w:rFonts w:ascii="Arial Nova" w:hAnsi="Arial Nova" w:eastAsia="Arial Nova" w:cs="Arial Nova"/>
          <w:b w:val="1"/>
          <w:bCs w:val="1"/>
          <w:noProof w:val="0"/>
          <w:sz w:val="24"/>
          <w:szCs w:val="24"/>
          <w:lang w:val="en-US"/>
        </w:rPr>
      </w:pPr>
    </w:p>
    <w:p w:rsidR="43F1CFA4" w:rsidP="43F1CFA4" w:rsidRDefault="43F1CFA4" w14:paraId="29902AB8" w14:textId="7743B504">
      <w:pPr>
        <w:pStyle w:val="Normal"/>
        <w:rPr>
          <w:rFonts w:ascii="Arial Nova" w:hAnsi="Arial Nova" w:eastAsia="Arial Nova" w:cs="Arial Nova"/>
          <w:b w:val="1"/>
          <w:bCs w:val="1"/>
          <w:noProof w:val="0"/>
          <w:sz w:val="24"/>
          <w:szCs w:val="24"/>
          <w:lang w:val="en-US"/>
        </w:rPr>
      </w:pPr>
    </w:p>
    <w:p w:rsidR="611D4F96" w:rsidP="611D4F96" w:rsidRDefault="611D4F96" w14:paraId="3D32435F" w14:textId="2CC5C230">
      <w:pPr>
        <w:pStyle w:val="Normal"/>
        <w:rPr>
          <w:rFonts w:ascii="Arial Nova" w:hAnsi="Arial Nova" w:eastAsia="Arial Nova" w:cs="Arial Nova"/>
          <w:b w:val="1"/>
          <w:bCs w:val="1"/>
          <w:noProof w:val="0"/>
          <w:sz w:val="24"/>
          <w:szCs w:val="24"/>
          <w:lang w:val="en-US"/>
        </w:rPr>
      </w:pPr>
    </w:p>
    <w:p w:rsidR="611D4F96" w:rsidP="611D4F96" w:rsidRDefault="611D4F96" w14:paraId="00A3BBB3" w14:textId="431EBA33">
      <w:pPr>
        <w:pStyle w:val="Normal"/>
        <w:rPr>
          <w:rFonts w:ascii="Arial Nova" w:hAnsi="Arial Nova" w:eastAsia="Arial Nova" w:cs="Arial Nova"/>
          <w:b w:val="1"/>
          <w:bCs w:val="1"/>
          <w:noProof w:val="0"/>
          <w:sz w:val="24"/>
          <w:szCs w:val="24"/>
          <w:lang w:val="en-US"/>
        </w:rPr>
      </w:pPr>
    </w:p>
    <w:p w:rsidR="10E41381" w:rsidP="788BEF79" w:rsidRDefault="10E41381" w14:paraId="59638318" w14:textId="59BA3820">
      <w:pPr>
        <w:pStyle w:val="Normal"/>
        <w:rPr>
          <w:rFonts w:ascii="Arial Nova" w:hAnsi="Arial Nova" w:eastAsia="Arial Nova" w:cs="Arial Nova"/>
          <w:b w:val="1"/>
          <w:bCs w:val="1"/>
          <w:noProof w:val="0"/>
          <w:sz w:val="24"/>
          <w:szCs w:val="24"/>
          <w:lang w:val="en-US"/>
        </w:rPr>
      </w:pPr>
      <w:r w:rsidRPr="788BEF79" w:rsidR="10E41381">
        <w:rPr>
          <w:rFonts w:ascii="Arial Nova" w:hAnsi="Arial Nova" w:eastAsia="Arial Nova" w:cs="Arial Nova"/>
          <w:b w:val="1"/>
          <w:bCs w:val="1"/>
          <w:noProof w:val="0"/>
          <w:sz w:val="24"/>
          <w:szCs w:val="24"/>
          <w:lang w:val="en-US"/>
        </w:rPr>
        <w:t>Critical Evaluation of Global Policies and Initiatives</w:t>
      </w:r>
    </w:p>
    <w:p w:rsidR="1AF2C4BA" w:rsidP="16A43087" w:rsidRDefault="1AF2C4BA" w14:paraId="13125636" w14:textId="68BC6CF9">
      <w:pPr>
        <w:pStyle w:val="Normal"/>
        <w:spacing w:line="360" w:lineRule="auto"/>
      </w:pPr>
      <w:r w:rsidRPr="16A43087" w:rsidR="1AF2C4BA">
        <w:rPr>
          <w:rFonts w:ascii="Arial Nova" w:hAnsi="Arial Nova" w:eastAsia="Arial Nova" w:cs="Arial Nova"/>
          <w:noProof w:val="0"/>
          <w:sz w:val="22"/>
          <w:szCs w:val="22"/>
          <w:lang w:val="en-US"/>
        </w:rPr>
        <w:t>SDG 10 is being promoted globally through multilateral initiatives like the Oxford Poverty and Human Development Initiative's Multidimensional Poverty Index (MPI) framework, the ILO Decent Work Agenda, and the United Nations' World Social Report (UNDP &amp; OPHI, 2020). These programs help keep an eye on inequality and motivate member nations to enact inclusive laws.</w:t>
      </w:r>
      <w:r w:rsidRPr="16A43087" w:rsidR="4F445D7D">
        <w:rPr>
          <w:rFonts w:ascii="Arial Nova" w:hAnsi="Arial Nova" w:eastAsia="Arial Nova" w:cs="Arial Nova"/>
          <w:noProof w:val="0"/>
          <w:sz w:val="22"/>
          <w:szCs w:val="22"/>
          <w:lang w:val="en-US"/>
        </w:rPr>
        <w:t xml:space="preserve"> For instance, the MPI broadens the focus beyond income alone by including health, education, and living conditions into a composite inequality indicator (Alkire et al., 2020). According to research, multidimensional approaches are stronger predictors of health outcomes and more closely reflect the lived experience of inequality (Clark, 2019).</w:t>
      </w:r>
    </w:p>
    <w:p w:rsidR="2F60F17E" w:rsidP="16A43087" w:rsidRDefault="2F60F17E" w14:paraId="11F38D94" w14:textId="6EF034CF">
      <w:pPr>
        <w:pStyle w:val="Normal"/>
        <w:spacing w:line="360" w:lineRule="auto"/>
        <w:rPr>
          <w:rFonts w:ascii="Arial Nova" w:hAnsi="Arial Nova" w:eastAsia="Arial Nova" w:cs="Arial Nova"/>
          <w:noProof w:val="0"/>
          <w:sz w:val="22"/>
          <w:szCs w:val="22"/>
          <w:lang w:val="en-US"/>
        </w:rPr>
      </w:pPr>
      <w:r w:rsidRPr="16A43087" w:rsidR="2F60F17E">
        <w:rPr>
          <w:rFonts w:ascii="Arial Nova" w:hAnsi="Arial Nova" w:eastAsia="Arial Nova" w:cs="Arial Nova"/>
          <w:noProof w:val="0"/>
          <w:sz w:val="22"/>
          <w:szCs w:val="22"/>
          <w:lang w:val="en-US"/>
        </w:rPr>
        <w:t xml:space="preserve">Global policy initiatives do have restrictions, though. Although frameworks like the MPI increased awareness, they </w:t>
      </w:r>
      <w:r w:rsidRPr="16A43087" w:rsidR="2F60F17E">
        <w:rPr>
          <w:rFonts w:ascii="Arial Nova" w:hAnsi="Arial Nova" w:eastAsia="Arial Nova" w:cs="Arial Nova"/>
          <w:noProof w:val="0"/>
          <w:sz w:val="22"/>
          <w:szCs w:val="22"/>
          <w:lang w:val="en-US"/>
        </w:rPr>
        <w:t>don't</w:t>
      </w:r>
      <w:r w:rsidRPr="16A43087" w:rsidR="2F60F17E">
        <w:rPr>
          <w:rFonts w:ascii="Arial Nova" w:hAnsi="Arial Nova" w:eastAsia="Arial Nova" w:cs="Arial Nova"/>
          <w:noProof w:val="0"/>
          <w:sz w:val="22"/>
          <w:szCs w:val="22"/>
          <w:lang w:val="en-US"/>
        </w:rPr>
        <w:t xml:space="preserve"> have any legal means of enforcing structural improvements or redistribution.</w:t>
      </w:r>
      <w:r w:rsidRPr="16A43087" w:rsidR="25AA4957">
        <w:rPr>
          <w:rFonts w:ascii="Arial Nova" w:hAnsi="Arial Nova" w:eastAsia="Arial Nova" w:cs="Arial Nova"/>
          <w:noProof w:val="0"/>
          <w:sz w:val="22"/>
          <w:szCs w:val="22"/>
          <w:lang w:val="en-US"/>
        </w:rPr>
        <w:t xml:space="preserve"> However, years of advancements were undone by COVID-19, which </w:t>
      </w:r>
      <w:r w:rsidRPr="16A43087" w:rsidR="5E620689">
        <w:rPr>
          <w:rFonts w:ascii="Arial Nova" w:hAnsi="Arial Nova" w:eastAsia="Arial Nova" w:cs="Arial Nova"/>
          <w:noProof w:val="0"/>
          <w:sz w:val="22"/>
          <w:szCs w:val="22"/>
          <w:lang w:val="en-US"/>
        </w:rPr>
        <w:t>excessively</w:t>
      </w:r>
      <w:r w:rsidRPr="16A43087" w:rsidR="25AA4957">
        <w:rPr>
          <w:rFonts w:ascii="Arial Nova" w:hAnsi="Arial Nova" w:eastAsia="Arial Nova" w:cs="Arial Nova"/>
          <w:noProof w:val="0"/>
          <w:sz w:val="22"/>
          <w:szCs w:val="22"/>
          <w:lang w:val="en-US"/>
        </w:rPr>
        <w:t xml:space="preserve"> affected </w:t>
      </w:r>
      <w:r w:rsidRPr="16A43087" w:rsidR="2F35DE1C">
        <w:rPr>
          <w:rFonts w:ascii="Arial Nova" w:hAnsi="Arial Nova" w:eastAsia="Arial Nova" w:cs="Arial Nova"/>
          <w:noProof w:val="0"/>
          <w:sz w:val="22"/>
          <w:szCs w:val="22"/>
          <w:lang w:val="en-US"/>
        </w:rPr>
        <w:t>displa</w:t>
      </w:r>
      <w:r w:rsidRPr="16A43087" w:rsidR="2F35DE1C">
        <w:rPr>
          <w:rFonts w:ascii="Arial Nova" w:hAnsi="Arial Nova" w:eastAsia="Arial Nova" w:cs="Arial Nova"/>
          <w:noProof w:val="0"/>
          <w:sz w:val="22"/>
          <w:szCs w:val="22"/>
          <w:lang w:val="en-US"/>
        </w:rPr>
        <w:t xml:space="preserve">ced </w:t>
      </w:r>
      <w:r w:rsidRPr="16A43087" w:rsidR="25AA4957">
        <w:rPr>
          <w:rFonts w:ascii="Arial Nova" w:hAnsi="Arial Nova" w:eastAsia="Arial Nova" w:cs="Arial Nova"/>
          <w:noProof w:val="0"/>
          <w:sz w:val="22"/>
          <w:szCs w:val="22"/>
          <w:lang w:val="en-US"/>
        </w:rPr>
        <w:t>groups and widened gaps in access to economic security, healthcare, and education (OECD, 2021).</w:t>
      </w:r>
      <w:r w:rsidRPr="16A43087" w:rsidR="7B94B381">
        <w:rPr>
          <w:rFonts w:ascii="Arial Nova" w:hAnsi="Arial Nova" w:eastAsia="Arial Nova" w:cs="Arial Nova"/>
          <w:noProof w:val="0"/>
          <w:sz w:val="22"/>
          <w:szCs w:val="22"/>
          <w:lang w:val="en-US"/>
        </w:rPr>
        <w:t xml:space="preserve"> Global policie</w:t>
      </w:r>
      <w:r w:rsidRPr="16A43087" w:rsidR="7B94B381">
        <w:rPr>
          <w:rFonts w:ascii="Arial Nova" w:hAnsi="Arial Nova" w:eastAsia="Arial Nova" w:cs="Arial Nova"/>
          <w:noProof w:val="0"/>
          <w:sz w:val="22"/>
          <w:szCs w:val="22"/>
          <w:lang w:val="en-US"/>
        </w:rPr>
        <w:t xml:space="preserve">s </w:t>
      </w:r>
      <w:r w:rsidRPr="16A43087" w:rsidR="7B94B381">
        <w:rPr>
          <w:rFonts w:ascii="Arial Nova" w:hAnsi="Arial Nova" w:eastAsia="Arial Nova" w:cs="Arial Nova"/>
          <w:noProof w:val="0"/>
          <w:sz w:val="22"/>
          <w:szCs w:val="22"/>
          <w:lang w:val="en-US"/>
        </w:rPr>
        <w:t>frequent</w:t>
      </w:r>
      <w:r w:rsidRPr="16A43087" w:rsidR="7B94B381">
        <w:rPr>
          <w:rFonts w:ascii="Arial Nova" w:hAnsi="Arial Nova" w:eastAsia="Arial Nova" w:cs="Arial Nova"/>
          <w:noProof w:val="0"/>
          <w:sz w:val="22"/>
          <w:szCs w:val="22"/>
          <w:lang w:val="en-US"/>
        </w:rPr>
        <w:t>l</w:t>
      </w:r>
      <w:r w:rsidRPr="16A43087" w:rsidR="7B94B381">
        <w:rPr>
          <w:rFonts w:ascii="Arial Nova" w:hAnsi="Arial Nova" w:eastAsia="Arial Nova" w:cs="Arial Nova"/>
          <w:noProof w:val="0"/>
          <w:sz w:val="22"/>
          <w:szCs w:val="22"/>
          <w:lang w:val="en-US"/>
        </w:rPr>
        <w:t>y</w:t>
      </w:r>
      <w:r w:rsidRPr="16A43087" w:rsidR="7B94B381">
        <w:rPr>
          <w:rFonts w:ascii="Arial Nova" w:hAnsi="Arial Nova" w:eastAsia="Arial Nova" w:cs="Arial Nova"/>
          <w:noProof w:val="0"/>
          <w:sz w:val="22"/>
          <w:szCs w:val="22"/>
          <w:lang w:val="en-US"/>
        </w:rPr>
        <w:t xml:space="preserve"> </w:t>
      </w:r>
      <w:r w:rsidRPr="16A43087" w:rsidR="7B94B381">
        <w:rPr>
          <w:rFonts w:ascii="Arial Nova" w:hAnsi="Arial Nova" w:eastAsia="Arial Nova" w:cs="Arial Nova"/>
          <w:noProof w:val="0"/>
          <w:sz w:val="22"/>
          <w:szCs w:val="22"/>
          <w:lang w:val="en-US"/>
        </w:rPr>
        <w:t>prioriti</w:t>
      </w:r>
      <w:r w:rsidRPr="16A43087" w:rsidR="7B94B381">
        <w:rPr>
          <w:rFonts w:ascii="Arial Nova" w:hAnsi="Arial Nova" w:eastAsia="Arial Nova" w:cs="Arial Nova"/>
          <w:noProof w:val="0"/>
          <w:sz w:val="22"/>
          <w:szCs w:val="22"/>
          <w:lang w:val="en-US"/>
        </w:rPr>
        <w:t>se</w:t>
      </w:r>
      <w:r w:rsidRPr="16A43087" w:rsidR="7B94B381">
        <w:rPr>
          <w:rFonts w:ascii="Arial Nova" w:hAnsi="Arial Nova" w:eastAsia="Arial Nova" w:cs="Arial Nova"/>
          <w:noProof w:val="0"/>
          <w:sz w:val="22"/>
          <w:szCs w:val="22"/>
          <w:lang w:val="en-US"/>
        </w:rPr>
        <w:t xml:space="preserve"> measurement and high-level coordination above structural changes in trade, taxes, labor markets, and technology tha</w:t>
      </w:r>
      <w:r w:rsidRPr="16A43087" w:rsidR="7B94B381">
        <w:rPr>
          <w:rFonts w:ascii="Arial Nova" w:hAnsi="Arial Nova" w:eastAsia="Arial Nova" w:cs="Arial Nova"/>
          <w:noProof w:val="0"/>
          <w:sz w:val="22"/>
          <w:szCs w:val="22"/>
          <w:lang w:val="en-US"/>
        </w:rPr>
        <w:t xml:space="preserve">t </w:t>
      </w:r>
      <w:r w:rsidRPr="16A43087" w:rsidR="7B94B381">
        <w:rPr>
          <w:rFonts w:ascii="Arial Nova" w:hAnsi="Arial Nova" w:eastAsia="Arial Nova" w:cs="Arial Nova"/>
          <w:noProof w:val="0"/>
          <w:sz w:val="22"/>
          <w:szCs w:val="22"/>
          <w:lang w:val="en-US"/>
        </w:rPr>
        <w:t>essentially fu</w:t>
      </w:r>
      <w:r w:rsidRPr="16A43087" w:rsidR="7B94B381">
        <w:rPr>
          <w:rFonts w:ascii="Arial Nova" w:hAnsi="Arial Nova" w:eastAsia="Arial Nova" w:cs="Arial Nova"/>
          <w:noProof w:val="0"/>
          <w:sz w:val="22"/>
          <w:szCs w:val="22"/>
          <w:lang w:val="en-US"/>
        </w:rPr>
        <w:t>el</w:t>
      </w:r>
      <w:r w:rsidRPr="16A43087" w:rsidR="7B94B381">
        <w:rPr>
          <w:rFonts w:ascii="Arial Nova" w:hAnsi="Arial Nova" w:eastAsia="Arial Nova" w:cs="Arial Nova"/>
          <w:noProof w:val="0"/>
          <w:sz w:val="22"/>
          <w:szCs w:val="22"/>
          <w:lang w:val="en-US"/>
        </w:rPr>
        <w:t xml:space="preserve"> inequality, according to the Social Determinants of Health (SDH) paradigm (Solar &amp; Irwin, 2010)</w:t>
      </w:r>
      <w:r w:rsidRPr="16A43087" w:rsidR="7B94B381">
        <w:rPr>
          <w:rFonts w:ascii="Arial Nova" w:hAnsi="Arial Nova" w:eastAsia="Arial Nova" w:cs="Arial Nova"/>
          <w:noProof w:val="0"/>
          <w:sz w:val="22"/>
          <w:szCs w:val="22"/>
          <w:lang w:val="en-US"/>
        </w:rPr>
        <w:t xml:space="preserve">. </w:t>
      </w:r>
      <w:r w:rsidRPr="16A43087" w:rsidR="7B94B381">
        <w:rPr>
          <w:rFonts w:ascii="Arial Nova" w:hAnsi="Arial Nova" w:eastAsia="Arial Nova" w:cs="Arial Nova"/>
          <w:noProof w:val="0"/>
          <w:sz w:val="22"/>
          <w:szCs w:val="22"/>
          <w:lang w:val="en-US"/>
        </w:rPr>
        <w:t>This highlights a larger criticism: SDG 10 runs the risk of generating descriptive knowledge without transformative impact if it ignores underlying political economic factor</w:t>
      </w:r>
      <w:r w:rsidRPr="16A43087" w:rsidR="7B94B381">
        <w:rPr>
          <w:rFonts w:ascii="Arial Nova" w:hAnsi="Arial Nova" w:eastAsia="Arial Nova" w:cs="Arial Nova"/>
          <w:noProof w:val="0"/>
          <w:sz w:val="22"/>
          <w:szCs w:val="22"/>
          <w:lang w:val="en-US"/>
        </w:rPr>
        <w:t>s.</w:t>
      </w:r>
    </w:p>
    <w:p w:rsidR="788BEF79" w:rsidP="43F1CFA4" w:rsidRDefault="788BEF79" w14:paraId="6D0D416D" w14:textId="4B24D5AB">
      <w:pPr>
        <w:pStyle w:val="Normal"/>
        <w:rPr>
          <w:rFonts w:ascii="Arial Nova" w:hAnsi="Arial Nova" w:eastAsia="Arial Nova" w:cs="Arial Nova"/>
          <w:noProof w:val="0"/>
          <w:sz w:val="22"/>
          <w:szCs w:val="22"/>
          <w:lang w:val="en-US"/>
        </w:rPr>
      </w:pPr>
    </w:p>
    <w:p w:rsidR="43F1CFA4" w:rsidP="43F1CFA4" w:rsidRDefault="43F1CFA4" w14:paraId="772CEEED" w14:textId="387D098E">
      <w:pPr>
        <w:pStyle w:val="Normal"/>
        <w:rPr>
          <w:rFonts w:ascii="Arial Nova" w:hAnsi="Arial Nova" w:eastAsia="Arial Nova" w:cs="Arial Nova"/>
          <w:b w:val="1"/>
          <w:bCs w:val="1"/>
          <w:noProof w:val="0"/>
          <w:sz w:val="24"/>
          <w:szCs w:val="24"/>
          <w:lang w:val="en-US"/>
        </w:rPr>
      </w:pPr>
    </w:p>
    <w:p w:rsidR="43F1CFA4" w:rsidP="43F1CFA4" w:rsidRDefault="43F1CFA4" w14:paraId="2BAAB1C4" w14:textId="071E513F">
      <w:pPr>
        <w:pStyle w:val="Normal"/>
        <w:rPr>
          <w:rFonts w:ascii="Arial Nova" w:hAnsi="Arial Nova" w:eastAsia="Arial Nova" w:cs="Arial Nova"/>
          <w:b w:val="1"/>
          <w:bCs w:val="1"/>
          <w:noProof w:val="0"/>
          <w:sz w:val="24"/>
          <w:szCs w:val="24"/>
          <w:lang w:val="en-US"/>
        </w:rPr>
      </w:pPr>
    </w:p>
    <w:p w:rsidR="43F1CFA4" w:rsidP="43F1CFA4" w:rsidRDefault="43F1CFA4" w14:paraId="061A08B4" w14:textId="679B29D3">
      <w:pPr>
        <w:pStyle w:val="Normal"/>
        <w:rPr>
          <w:rFonts w:ascii="Arial Nova" w:hAnsi="Arial Nova" w:eastAsia="Arial Nova" w:cs="Arial Nova"/>
          <w:b w:val="1"/>
          <w:bCs w:val="1"/>
          <w:noProof w:val="0"/>
          <w:sz w:val="24"/>
          <w:szCs w:val="24"/>
          <w:lang w:val="en-US"/>
        </w:rPr>
      </w:pPr>
    </w:p>
    <w:p w:rsidR="43F1CFA4" w:rsidP="43F1CFA4" w:rsidRDefault="43F1CFA4" w14:paraId="4AC3DC40" w14:textId="5BA35E20">
      <w:pPr>
        <w:pStyle w:val="Normal"/>
        <w:rPr>
          <w:rFonts w:ascii="Arial Nova" w:hAnsi="Arial Nova" w:eastAsia="Arial Nova" w:cs="Arial Nova"/>
          <w:b w:val="1"/>
          <w:bCs w:val="1"/>
          <w:noProof w:val="0"/>
          <w:sz w:val="24"/>
          <w:szCs w:val="24"/>
          <w:lang w:val="en-US"/>
        </w:rPr>
      </w:pPr>
    </w:p>
    <w:p w:rsidR="43F1CFA4" w:rsidP="43F1CFA4" w:rsidRDefault="43F1CFA4" w14:paraId="2C6DC683" w14:textId="6C51DA61">
      <w:pPr>
        <w:pStyle w:val="Normal"/>
        <w:rPr>
          <w:rFonts w:ascii="Arial Nova" w:hAnsi="Arial Nova" w:eastAsia="Arial Nova" w:cs="Arial Nova"/>
          <w:b w:val="1"/>
          <w:bCs w:val="1"/>
          <w:noProof w:val="0"/>
          <w:sz w:val="24"/>
          <w:szCs w:val="24"/>
          <w:lang w:val="en-US"/>
        </w:rPr>
      </w:pPr>
    </w:p>
    <w:p w:rsidR="43F1CFA4" w:rsidP="43F1CFA4" w:rsidRDefault="43F1CFA4" w14:paraId="5738CD41" w14:textId="42DBC112">
      <w:pPr>
        <w:pStyle w:val="Normal"/>
        <w:rPr>
          <w:rFonts w:ascii="Arial Nova" w:hAnsi="Arial Nova" w:eastAsia="Arial Nova" w:cs="Arial Nova"/>
          <w:b w:val="1"/>
          <w:bCs w:val="1"/>
          <w:noProof w:val="0"/>
          <w:sz w:val="24"/>
          <w:szCs w:val="24"/>
          <w:lang w:val="en-US"/>
        </w:rPr>
      </w:pPr>
    </w:p>
    <w:p w:rsidR="43F1CFA4" w:rsidP="43F1CFA4" w:rsidRDefault="43F1CFA4" w14:paraId="0A14527E" w14:textId="69C85158">
      <w:pPr>
        <w:pStyle w:val="Normal"/>
        <w:rPr>
          <w:rFonts w:ascii="Arial Nova" w:hAnsi="Arial Nova" w:eastAsia="Arial Nova" w:cs="Arial Nova"/>
          <w:b w:val="1"/>
          <w:bCs w:val="1"/>
          <w:noProof w:val="0"/>
          <w:sz w:val="24"/>
          <w:szCs w:val="24"/>
          <w:lang w:val="en-US"/>
        </w:rPr>
      </w:pPr>
    </w:p>
    <w:p w:rsidR="43F1CFA4" w:rsidP="43F1CFA4" w:rsidRDefault="43F1CFA4" w14:paraId="1DBBAD82" w14:textId="0353ADBE">
      <w:pPr>
        <w:pStyle w:val="Normal"/>
        <w:rPr>
          <w:rFonts w:ascii="Arial Nova" w:hAnsi="Arial Nova" w:eastAsia="Arial Nova" w:cs="Arial Nova"/>
          <w:b w:val="1"/>
          <w:bCs w:val="1"/>
          <w:noProof w:val="0"/>
          <w:sz w:val="24"/>
          <w:szCs w:val="24"/>
          <w:lang w:val="en-US"/>
        </w:rPr>
      </w:pPr>
    </w:p>
    <w:p w:rsidR="43F1CFA4" w:rsidP="43F1CFA4" w:rsidRDefault="43F1CFA4" w14:paraId="3A8B8227" w14:textId="0916E4B6">
      <w:pPr>
        <w:pStyle w:val="Normal"/>
        <w:rPr>
          <w:rFonts w:ascii="Arial Nova" w:hAnsi="Arial Nova" w:eastAsia="Arial Nova" w:cs="Arial Nova"/>
          <w:b w:val="1"/>
          <w:bCs w:val="1"/>
          <w:noProof w:val="0"/>
          <w:sz w:val="24"/>
          <w:szCs w:val="24"/>
          <w:lang w:val="en-US"/>
        </w:rPr>
      </w:pPr>
    </w:p>
    <w:p w:rsidR="43F1CFA4" w:rsidP="43F1CFA4" w:rsidRDefault="43F1CFA4" w14:paraId="23481983" w14:textId="240061DC">
      <w:pPr>
        <w:pStyle w:val="Normal"/>
        <w:rPr>
          <w:rFonts w:ascii="Arial Nova" w:hAnsi="Arial Nova" w:eastAsia="Arial Nova" w:cs="Arial Nova"/>
          <w:b w:val="1"/>
          <w:bCs w:val="1"/>
          <w:noProof w:val="0"/>
          <w:sz w:val="24"/>
          <w:szCs w:val="24"/>
          <w:lang w:val="en-US"/>
        </w:rPr>
      </w:pPr>
    </w:p>
    <w:p w:rsidR="611D4F96" w:rsidP="611D4F96" w:rsidRDefault="611D4F96" w14:paraId="216CF4F0" w14:textId="44D82574">
      <w:pPr>
        <w:pStyle w:val="Normal"/>
        <w:rPr>
          <w:rFonts w:ascii="Arial Nova" w:hAnsi="Arial Nova" w:eastAsia="Arial Nova" w:cs="Arial Nova"/>
          <w:b w:val="1"/>
          <w:bCs w:val="1"/>
          <w:noProof w:val="0"/>
          <w:sz w:val="24"/>
          <w:szCs w:val="24"/>
          <w:lang w:val="en-US"/>
        </w:rPr>
      </w:pPr>
    </w:p>
    <w:p w:rsidR="7DE40354" w:rsidP="788BEF79" w:rsidRDefault="7DE40354" w14:paraId="3358FFE3" w14:textId="08113710">
      <w:pPr>
        <w:pStyle w:val="Normal"/>
        <w:rPr>
          <w:rFonts w:ascii="Arial Nova" w:hAnsi="Arial Nova" w:eastAsia="Arial Nova" w:cs="Arial Nova"/>
          <w:b w:val="1"/>
          <w:bCs w:val="1"/>
          <w:noProof w:val="0"/>
          <w:sz w:val="24"/>
          <w:szCs w:val="24"/>
          <w:lang w:val="en-US"/>
        </w:rPr>
      </w:pPr>
      <w:r w:rsidRPr="16A43087" w:rsidR="7DE40354">
        <w:rPr>
          <w:rFonts w:ascii="Arial Nova" w:hAnsi="Arial Nova" w:eastAsia="Arial Nova" w:cs="Arial Nova"/>
          <w:b w:val="1"/>
          <w:bCs w:val="1"/>
          <w:noProof w:val="0"/>
          <w:sz w:val="24"/>
          <w:szCs w:val="24"/>
          <w:lang w:val="en-US"/>
        </w:rPr>
        <w:t>Critical Evaluation of National and Local Examples (UK)</w:t>
      </w:r>
    </w:p>
    <w:p w:rsidR="56CE5C9A" w:rsidP="16A43087" w:rsidRDefault="56CE5C9A" w14:paraId="392B84F8" w14:textId="6B1D4441">
      <w:pPr>
        <w:pStyle w:val="Normal"/>
        <w:spacing w:line="360" w:lineRule="auto"/>
      </w:pPr>
      <w:r w:rsidRPr="16A43087" w:rsidR="56CE5C9A">
        <w:rPr>
          <w:rFonts w:ascii="Arial Nova" w:hAnsi="Arial Nova" w:eastAsia="Arial Nova" w:cs="Arial Nova"/>
          <w:noProof w:val="0"/>
          <w:sz w:val="22"/>
          <w:szCs w:val="22"/>
          <w:lang w:val="en-US"/>
        </w:rPr>
        <w:t>SDG 10 is in line with several national initiatives in the UK that target social inclusion, economic inequality, and service accessibility. By making investments in employment opportunities, infrastructure, and skills, the UK government's Inclusive Growth Strategy (HM Treasury, 2019) aims to reduce regional disparities.</w:t>
      </w:r>
      <w:r w:rsidRPr="16A43087" w:rsidR="6EFF74DC">
        <w:rPr>
          <w:rFonts w:ascii="Arial Nova" w:hAnsi="Arial Nova" w:eastAsia="Arial Nova" w:cs="Arial Nova"/>
          <w:noProof w:val="0"/>
          <w:sz w:val="22"/>
          <w:szCs w:val="22"/>
          <w:lang w:val="en-US"/>
        </w:rPr>
        <w:t xml:space="preserve"> In a similar vein, the Equality Act 2010 offers a legislative framework to guard against discrimination and advance equity in employment and service access. In a similar vein, the Equality Act 2010 offers a legislative framework to guard against discrimination and advance equity in employment and service access.</w:t>
      </w:r>
      <w:r w:rsidRPr="16A43087" w:rsidR="5B83A299">
        <w:rPr>
          <w:rFonts w:ascii="Arial Nova" w:hAnsi="Arial Nova" w:eastAsia="Arial Nova" w:cs="Arial Nova"/>
          <w:noProof w:val="0"/>
          <w:sz w:val="22"/>
          <w:szCs w:val="22"/>
          <w:lang w:val="en-US"/>
        </w:rPr>
        <w:t xml:space="preserve"> Policies like the National Living Wage have helped low-paid workers increase their incomes, according to quantitative data (O'Dea &amp; Pereira, 2021).</w:t>
      </w:r>
    </w:p>
    <w:p w:rsidR="5B83A299" w:rsidP="16A43087" w:rsidRDefault="5B83A299" w14:paraId="237B4272" w14:textId="344C998F">
      <w:pPr>
        <w:pStyle w:val="Normal"/>
        <w:spacing w:line="360" w:lineRule="auto"/>
        <w:rPr>
          <w:rFonts w:ascii="Arial Nova" w:hAnsi="Arial Nova" w:eastAsia="Arial Nova" w:cs="Arial Nova"/>
          <w:noProof w:val="0"/>
          <w:sz w:val="22"/>
          <w:szCs w:val="22"/>
          <w:lang w:val="en-US"/>
        </w:rPr>
      </w:pPr>
      <w:r w:rsidRPr="16A43087" w:rsidR="5B83A299">
        <w:rPr>
          <w:rFonts w:ascii="Arial Nova" w:hAnsi="Arial Nova" w:eastAsia="Arial Nova" w:cs="Arial Nova"/>
          <w:noProof w:val="0"/>
          <w:sz w:val="22"/>
          <w:szCs w:val="22"/>
          <w:lang w:val="en-US"/>
        </w:rPr>
        <w:t xml:space="preserve">Inequalities persist despite these efforts. With life expectancy differences between wealthy and </w:t>
      </w:r>
      <w:r w:rsidRPr="16A43087" w:rsidR="1CCFA6A4">
        <w:rPr>
          <w:rFonts w:ascii="Arial Nova" w:hAnsi="Arial Nova" w:eastAsia="Arial Nova" w:cs="Arial Nova"/>
          <w:noProof w:val="0"/>
          <w:sz w:val="22"/>
          <w:szCs w:val="22"/>
          <w:lang w:val="en-US"/>
        </w:rPr>
        <w:t>poor</w:t>
      </w:r>
      <w:r w:rsidRPr="16A43087" w:rsidR="5B83A299">
        <w:rPr>
          <w:rFonts w:ascii="Arial Nova" w:hAnsi="Arial Nova" w:eastAsia="Arial Nova" w:cs="Arial Nova"/>
          <w:noProof w:val="0"/>
          <w:sz w:val="22"/>
          <w:szCs w:val="22"/>
          <w:lang w:val="en-US"/>
        </w:rPr>
        <w:t xml:space="preserve"> areas</w:t>
      </w:r>
      <w:r w:rsidRPr="16A43087" w:rsidR="5B83A299">
        <w:rPr>
          <w:rFonts w:ascii="Arial Nova" w:hAnsi="Arial Nova" w:eastAsia="Arial Nova" w:cs="Arial Nova"/>
          <w:noProof w:val="0"/>
          <w:sz w:val="22"/>
          <w:szCs w:val="22"/>
          <w:lang w:val="en-US"/>
        </w:rPr>
        <w:t xml:space="preserve"> of up to nine years, the UK has one of the worst regional health disparities in high-income nations (Marmot et al., 2020).</w:t>
      </w:r>
      <w:r w:rsidRPr="16A43087" w:rsidR="6CA271C0">
        <w:rPr>
          <w:rFonts w:ascii="Arial Nova" w:hAnsi="Arial Nova" w:eastAsia="Arial Nova" w:cs="Arial Nova"/>
          <w:noProof w:val="0"/>
          <w:sz w:val="22"/>
          <w:szCs w:val="22"/>
          <w:lang w:val="en-US"/>
        </w:rPr>
        <w:t xml:space="preserve"> According to the Health Equity in England evaluation, there are ongoing differences in the outcomes of mental health, cardiovascular disease, and child wellbeing that are </w:t>
      </w:r>
      <w:r w:rsidRPr="16A43087" w:rsidR="6CA271C0">
        <w:rPr>
          <w:rFonts w:ascii="Arial Nova" w:hAnsi="Arial Nova" w:eastAsia="Arial Nova" w:cs="Arial Nova"/>
          <w:noProof w:val="0"/>
          <w:sz w:val="22"/>
          <w:szCs w:val="22"/>
          <w:lang w:val="en-US"/>
        </w:rPr>
        <w:t>closely linked</w:t>
      </w:r>
      <w:r w:rsidRPr="16A43087" w:rsidR="6CA271C0">
        <w:rPr>
          <w:rFonts w:ascii="Arial Nova" w:hAnsi="Arial Nova" w:eastAsia="Arial Nova" w:cs="Arial Nova"/>
          <w:noProof w:val="0"/>
          <w:sz w:val="22"/>
          <w:szCs w:val="22"/>
          <w:lang w:val="en-US"/>
        </w:rPr>
        <w:t xml:space="preserve"> to socioeconomic position (Marmot et al., 2020). </w:t>
      </w:r>
      <w:r w:rsidRPr="16A43087" w:rsidR="5C2E5BAC">
        <w:rPr>
          <w:rFonts w:ascii="Arial Nova" w:hAnsi="Arial Nova" w:eastAsia="Arial Nova" w:cs="Arial Nova"/>
          <w:noProof w:val="0"/>
          <w:sz w:val="22"/>
          <w:szCs w:val="22"/>
          <w:lang w:val="en-US"/>
        </w:rPr>
        <w:t xml:space="preserve">From a theoretical perspective, the Capability Approach (Sen, 1999) </w:t>
      </w:r>
      <w:r w:rsidRPr="16A43087" w:rsidR="73E5F638">
        <w:rPr>
          <w:rFonts w:ascii="Arial Nova" w:hAnsi="Arial Nova" w:eastAsia="Arial Nova" w:cs="Arial Nova"/>
          <w:noProof w:val="0"/>
          <w:sz w:val="22"/>
          <w:szCs w:val="22"/>
          <w:lang w:val="en-US"/>
        </w:rPr>
        <w:t>states</w:t>
      </w:r>
      <w:r w:rsidRPr="16A43087" w:rsidR="5C2E5BAC">
        <w:rPr>
          <w:rFonts w:ascii="Arial Nova" w:hAnsi="Arial Nova" w:eastAsia="Arial Nova" w:cs="Arial Nova"/>
          <w:noProof w:val="0"/>
          <w:sz w:val="22"/>
          <w:szCs w:val="22"/>
          <w:lang w:val="en-US"/>
        </w:rPr>
        <w:t xml:space="preserve"> the necessity of </w:t>
      </w:r>
      <w:r w:rsidRPr="16A43087" w:rsidR="5C2E5BAC">
        <w:rPr>
          <w:rFonts w:ascii="Arial Nova" w:hAnsi="Arial Nova" w:eastAsia="Arial Nova" w:cs="Arial Nova"/>
          <w:noProof w:val="0"/>
          <w:sz w:val="22"/>
          <w:szCs w:val="22"/>
          <w:lang w:val="en-US"/>
        </w:rPr>
        <w:t>equitable</w:t>
      </w:r>
      <w:r w:rsidRPr="16A43087" w:rsidR="5C2E5BAC">
        <w:rPr>
          <w:rFonts w:ascii="Arial Nova" w:hAnsi="Arial Nova" w:eastAsia="Arial Nova" w:cs="Arial Nova"/>
          <w:noProof w:val="0"/>
          <w:sz w:val="22"/>
          <w:szCs w:val="22"/>
          <w:lang w:val="en-US"/>
        </w:rPr>
        <w:t xml:space="preserve"> resource translation into possibilities for </w:t>
      </w:r>
      <w:r w:rsidRPr="16A43087" w:rsidR="468FEF98">
        <w:rPr>
          <w:rFonts w:ascii="Arial Nova" w:hAnsi="Arial Nova" w:eastAsia="Arial Nova" w:cs="Arial Nova"/>
          <w:noProof w:val="0"/>
          <w:sz w:val="22"/>
          <w:szCs w:val="22"/>
          <w:lang w:val="en-US"/>
        </w:rPr>
        <w:t>improvements</w:t>
      </w:r>
      <w:r w:rsidRPr="16A43087" w:rsidR="5C2E5BAC">
        <w:rPr>
          <w:rFonts w:ascii="Arial Nova" w:hAnsi="Arial Nova" w:eastAsia="Arial Nova" w:cs="Arial Nova"/>
          <w:noProof w:val="0"/>
          <w:sz w:val="22"/>
          <w:szCs w:val="22"/>
          <w:lang w:val="en-US"/>
        </w:rPr>
        <w:t>, in addition to equal resources.</w:t>
      </w:r>
      <w:r w:rsidRPr="16A43087" w:rsidR="4D9056DA">
        <w:rPr>
          <w:rFonts w:ascii="Arial Nova" w:hAnsi="Arial Nova" w:eastAsia="Arial Nova" w:cs="Arial Nova"/>
          <w:noProof w:val="0"/>
          <w:sz w:val="22"/>
          <w:szCs w:val="22"/>
          <w:lang w:val="en-US"/>
        </w:rPr>
        <w:t xml:space="preserve"> In this area, UK policy </w:t>
      </w:r>
      <w:r w:rsidRPr="16A43087" w:rsidR="4D9056DA">
        <w:rPr>
          <w:rFonts w:ascii="Arial Nova" w:hAnsi="Arial Nova" w:eastAsia="Arial Nova" w:cs="Arial Nova"/>
          <w:noProof w:val="0"/>
          <w:sz w:val="22"/>
          <w:szCs w:val="22"/>
          <w:lang w:val="en-US"/>
        </w:rPr>
        <w:t>frequently</w:t>
      </w:r>
      <w:r w:rsidRPr="16A43087" w:rsidR="4D9056DA">
        <w:rPr>
          <w:rFonts w:ascii="Arial Nova" w:hAnsi="Arial Nova" w:eastAsia="Arial Nova" w:cs="Arial Nova"/>
          <w:noProof w:val="0"/>
          <w:sz w:val="22"/>
          <w:szCs w:val="22"/>
          <w:lang w:val="en-US"/>
        </w:rPr>
        <w:t xml:space="preserve"> falters minimum wage and income </w:t>
      </w:r>
      <w:r w:rsidRPr="16A43087" w:rsidR="4D9056DA">
        <w:rPr>
          <w:rFonts w:ascii="Arial Nova" w:hAnsi="Arial Nova" w:eastAsia="Arial Nova" w:cs="Arial Nova"/>
          <w:noProof w:val="0"/>
          <w:sz w:val="22"/>
          <w:szCs w:val="22"/>
          <w:lang w:val="en-US"/>
        </w:rPr>
        <w:t>assistance</w:t>
      </w:r>
      <w:r w:rsidRPr="16A43087" w:rsidR="4D9056DA">
        <w:rPr>
          <w:rFonts w:ascii="Arial Nova" w:hAnsi="Arial Nova" w:eastAsia="Arial Nova" w:cs="Arial Nova"/>
          <w:noProof w:val="0"/>
          <w:sz w:val="22"/>
          <w:szCs w:val="22"/>
          <w:lang w:val="en-US"/>
        </w:rPr>
        <w:t xml:space="preserve"> measures enhance material conditions, but they fall short in addressing psychosocial stress, neighborhood resources, and educational quality, all of which have an impact on health and wellbeing (Bambra et al., 2019).</w:t>
      </w:r>
      <w:r w:rsidRPr="16A43087" w:rsidR="2B71178C">
        <w:rPr>
          <w:rFonts w:ascii="Arial Nova" w:hAnsi="Arial Nova" w:eastAsia="Arial Nova" w:cs="Arial Nova"/>
          <w:noProof w:val="0"/>
          <w:sz w:val="22"/>
          <w:szCs w:val="22"/>
          <w:lang w:val="en-US"/>
        </w:rPr>
        <w:t xml:space="preserve"> </w:t>
      </w:r>
    </w:p>
    <w:p w:rsidR="61C5E12E" w:rsidP="43F1CFA4" w:rsidRDefault="61C5E12E" w14:paraId="0EBA08EC" w14:textId="2D891AE7">
      <w:pPr>
        <w:pStyle w:val="Normal"/>
        <w:spacing w:line="360" w:lineRule="auto"/>
        <w:rPr>
          <w:rFonts w:ascii="Arial Nova" w:hAnsi="Arial Nova" w:eastAsia="Arial Nova" w:cs="Arial Nova"/>
          <w:b w:val="1"/>
          <w:bCs w:val="1"/>
          <w:noProof w:val="0"/>
          <w:sz w:val="24"/>
          <w:szCs w:val="24"/>
          <w:lang w:val="en-US"/>
        </w:rPr>
      </w:pPr>
      <w:r w:rsidRPr="611D4F96" w:rsidR="2B71178C">
        <w:rPr>
          <w:rFonts w:ascii="Arial Nova" w:hAnsi="Arial Nova" w:eastAsia="Arial Nova" w:cs="Arial Nova"/>
          <w:noProof w:val="0"/>
          <w:sz w:val="22"/>
          <w:szCs w:val="22"/>
          <w:lang w:val="en-US"/>
        </w:rPr>
        <w:t xml:space="preserve">By promoting inclusive labor markets and improving access to social support services, municipal initiatives such as Fair Work programs, local employment partnerships, and community wellbeing hubs aim to lessen inequality (municipal Government Association, 2022). Qualitative assessments </w:t>
      </w:r>
      <w:r w:rsidRPr="611D4F96" w:rsidR="2B71178C">
        <w:rPr>
          <w:rFonts w:ascii="Arial Nova" w:hAnsi="Arial Nova" w:eastAsia="Arial Nova" w:cs="Arial Nova"/>
          <w:noProof w:val="0"/>
          <w:sz w:val="22"/>
          <w:szCs w:val="22"/>
          <w:lang w:val="en-US"/>
        </w:rPr>
        <w:t>demonstrate</w:t>
      </w:r>
      <w:r w:rsidRPr="611D4F96" w:rsidR="2B71178C">
        <w:rPr>
          <w:rFonts w:ascii="Arial Nova" w:hAnsi="Arial Nova" w:eastAsia="Arial Nova" w:cs="Arial Nova"/>
          <w:noProof w:val="0"/>
          <w:sz w:val="22"/>
          <w:szCs w:val="22"/>
          <w:lang w:val="en-US"/>
        </w:rPr>
        <w:t xml:space="preserve"> that these place-based strategies can boost self-efficacy, social capital, and trust in public services, all of which are consistent with the concepts of environmental reinforcement and observational learning found in Social Cognitive Theory (Bandura, 2004).</w:t>
      </w:r>
      <w:r w:rsidRPr="611D4F96" w:rsidR="61C5E12E">
        <w:rPr>
          <w:rFonts w:ascii="Arial Nova" w:hAnsi="Arial Nova" w:eastAsia="Arial Nova" w:cs="Arial Nova"/>
          <w:noProof w:val="0"/>
          <w:sz w:val="22"/>
          <w:szCs w:val="22"/>
          <w:lang w:val="en-US"/>
        </w:rPr>
        <w:t xml:space="preserve"> The success of local programs, however, varies according </w:t>
      </w:r>
      <w:r w:rsidRPr="611D4F96" w:rsidR="3ECCBAF2">
        <w:rPr>
          <w:rFonts w:ascii="Arial Nova" w:hAnsi="Arial Nova" w:eastAsia="Arial Nova" w:cs="Arial Nova"/>
          <w:noProof w:val="0"/>
          <w:sz w:val="22"/>
          <w:szCs w:val="22"/>
          <w:lang w:val="en-US"/>
        </w:rPr>
        <w:t>to</w:t>
      </w:r>
      <w:r w:rsidRPr="611D4F96" w:rsidR="61C5E12E">
        <w:rPr>
          <w:rFonts w:ascii="Arial Nova" w:hAnsi="Arial Nova" w:eastAsia="Arial Nova" w:cs="Arial Nova"/>
          <w:noProof w:val="0"/>
          <w:sz w:val="22"/>
          <w:szCs w:val="22"/>
          <w:lang w:val="en-US"/>
        </w:rPr>
        <w:t xml:space="preserve"> financing cycles and governance capabilities, and they are often underfunded. Because of this, local initiatives could have isolated successes without leading to systemic change.</w:t>
      </w:r>
    </w:p>
    <w:p w:rsidR="611D4F96" w:rsidP="611D4F96" w:rsidRDefault="611D4F96" w14:paraId="392CCDFA" w14:textId="03BFB8AB">
      <w:pPr>
        <w:pStyle w:val="Normal"/>
        <w:spacing w:line="360" w:lineRule="auto"/>
        <w:rPr>
          <w:rFonts w:ascii="Arial Nova" w:hAnsi="Arial Nova" w:eastAsia="Arial Nova" w:cs="Arial Nova"/>
          <w:b w:val="1"/>
          <w:bCs w:val="1"/>
          <w:noProof w:val="0"/>
          <w:sz w:val="24"/>
          <w:szCs w:val="24"/>
          <w:lang w:val="en-US"/>
        </w:rPr>
      </w:pPr>
    </w:p>
    <w:p w:rsidR="61C5E12E" w:rsidP="43F1CFA4" w:rsidRDefault="61C5E12E" w14:paraId="4BC753F7" w14:textId="5D4EE049">
      <w:pPr>
        <w:pStyle w:val="Normal"/>
        <w:spacing w:line="360" w:lineRule="auto"/>
        <w:rPr>
          <w:rFonts w:ascii="Arial Nova" w:hAnsi="Arial Nova" w:eastAsia="Arial Nova" w:cs="Arial Nova"/>
          <w:b w:val="1"/>
          <w:bCs w:val="1"/>
          <w:noProof w:val="0"/>
          <w:sz w:val="24"/>
          <w:szCs w:val="24"/>
          <w:lang w:val="en-US"/>
        </w:rPr>
      </w:pPr>
      <w:r w:rsidRPr="43F1CFA4" w:rsidR="61C5E12E">
        <w:rPr>
          <w:rFonts w:ascii="Arial Nova" w:hAnsi="Arial Nova" w:eastAsia="Arial Nova" w:cs="Arial Nova"/>
          <w:b w:val="1"/>
          <w:bCs w:val="1"/>
          <w:noProof w:val="0"/>
          <w:sz w:val="24"/>
          <w:szCs w:val="24"/>
          <w:lang w:val="en-US"/>
        </w:rPr>
        <w:t>Use of Theories and Models</w:t>
      </w:r>
    </w:p>
    <w:p w:rsidR="58FD31D9" w:rsidP="16A43087" w:rsidRDefault="58FD31D9" w14:paraId="01F25F95" w14:textId="7CD12DEB">
      <w:pPr>
        <w:pStyle w:val="Normal"/>
        <w:spacing w:line="360" w:lineRule="auto"/>
      </w:pPr>
      <w:r w:rsidRPr="16A43087" w:rsidR="58FD31D9">
        <w:rPr>
          <w:rFonts w:ascii="Arial Nova" w:hAnsi="Arial Nova" w:eastAsia="Arial Nova" w:cs="Arial Nova"/>
          <w:noProof w:val="0"/>
          <w:sz w:val="22"/>
          <w:szCs w:val="22"/>
          <w:lang w:val="en-US"/>
        </w:rPr>
        <w:t xml:space="preserve">According to Social Cognitive Theory, lowering inequality </w:t>
      </w:r>
      <w:r w:rsidRPr="16A43087" w:rsidR="58FD31D9">
        <w:rPr>
          <w:rFonts w:ascii="Arial Nova" w:hAnsi="Arial Nova" w:eastAsia="Arial Nova" w:cs="Arial Nova"/>
          <w:noProof w:val="0"/>
          <w:sz w:val="22"/>
          <w:szCs w:val="22"/>
          <w:lang w:val="en-US"/>
        </w:rPr>
        <w:t>necessitates</w:t>
      </w:r>
      <w:r w:rsidRPr="16A43087" w:rsidR="58FD31D9">
        <w:rPr>
          <w:rFonts w:ascii="Arial Nova" w:hAnsi="Arial Nova" w:eastAsia="Arial Nova" w:cs="Arial Nova"/>
          <w:noProof w:val="0"/>
          <w:sz w:val="22"/>
          <w:szCs w:val="22"/>
          <w:lang w:val="en-US"/>
        </w:rPr>
        <w:t xml:space="preserve"> changing the social contexts that limit options in addition to empowering and skill-developing individuals (Bandura, 2004).</w:t>
      </w:r>
      <w:r w:rsidRPr="16A43087" w:rsidR="27A5E9C6">
        <w:rPr>
          <w:rFonts w:ascii="Arial Nova" w:hAnsi="Arial Nova" w:eastAsia="Arial Nova" w:cs="Arial Nova"/>
          <w:noProof w:val="0"/>
          <w:sz w:val="22"/>
          <w:szCs w:val="22"/>
          <w:lang w:val="en-US"/>
        </w:rPr>
        <w:t xml:space="preserve"> Initiatives in the UK and around the world </w:t>
      </w:r>
      <w:r w:rsidRPr="16A43087" w:rsidR="27A5E9C6">
        <w:rPr>
          <w:rFonts w:ascii="Arial Nova" w:hAnsi="Arial Nova" w:eastAsia="Arial Nova" w:cs="Arial Nova"/>
          <w:noProof w:val="0"/>
          <w:sz w:val="22"/>
          <w:szCs w:val="22"/>
          <w:lang w:val="en-US"/>
        </w:rPr>
        <w:t>frequently</w:t>
      </w:r>
      <w:r w:rsidRPr="16A43087" w:rsidR="27A5E9C6">
        <w:rPr>
          <w:rFonts w:ascii="Arial Nova" w:hAnsi="Arial Nova" w:eastAsia="Arial Nova" w:cs="Arial Nova"/>
          <w:noProof w:val="0"/>
          <w:sz w:val="22"/>
          <w:szCs w:val="22"/>
          <w:lang w:val="en-US"/>
        </w:rPr>
        <w:t xml:space="preserve"> focus on legal and economic systems, but they have less success addressing psychosocial disparities like a lack of agency or social support. The</w:t>
      </w:r>
      <w:r w:rsidRPr="16A43087" w:rsidR="27A5E9C6">
        <w:rPr>
          <w:rFonts w:ascii="Arial Nova" w:hAnsi="Arial Nova" w:eastAsia="Arial Nova" w:cs="Arial Nova"/>
          <w:b w:val="1"/>
          <w:bCs w:val="1"/>
          <w:noProof w:val="0"/>
          <w:sz w:val="22"/>
          <w:szCs w:val="22"/>
          <w:lang w:val="en-US"/>
        </w:rPr>
        <w:t xml:space="preserve"> Capability Approach </w:t>
      </w:r>
      <w:r w:rsidRPr="16A43087" w:rsidR="27A5E9C6">
        <w:rPr>
          <w:rFonts w:ascii="Arial Nova" w:hAnsi="Arial Nova" w:eastAsia="Arial Nova" w:cs="Arial Nova"/>
          <w:noProof w:val="0"/>
          <w:sz w:val="22"/>
          <w:szCs w:val="22"/>
          <w:lang w:val="en-US"/>
        </w:rPr>
        <w:t xml:space="preserve">also shows that equality is about increasing people's actual freedoms and opportunities to live healthy, fulfilling lives, not just about </w:t>
      </w:r>
      <w:r w:rsidRPr="16A43087" w:rsidR="27A5E9C6">
        <w:rPr>
          <w:rFonts w:ascii="Arial Nova" w:hAnsi="Arial Nova" w:eastAsia="Arial Nova" w:cs="Arial Nova"/>
          <w:noProof w:val="0"/>
          <w:sz w:val="22"/>
          <w:szCs w:val="22"/>
          <w:lang w:val="en-US"/>
        </w:rPr>
        <w:t>equitable</w:t>
      </w:r>
      <w:r w:rsidRPr="16A43087" w:rsidR="27A5E9C6">
        <w:rPr>
          <w:rFonts w:ascii="Arial Nova" w:hAnsi="Arial Nova" w:eastAsia="Arial Nova" w:cs="Arial Nova"/>
          <w:noProof w:val="0"/>
          <w:sz w:val="22"/>
          <w:szCs w:val="22"/>
          <w:lang w:val="en-US"/>
        </w:rPr>
        <w:t xml:space="preserve"> distribution (Sen, 1999).</w:t>
      </w:r>
      <w:r w:rsidRPr="16A43087" w:rsidR="5C3FC8CE">
        <w:rPr>
          <w:rFonts w:ascii="Arial Nova" w:hAnsi="Arial Nova" w:eastAsia="Arial Nova" w:cs="Arial Nova"/>
          <w:noProof w:val="0"/>
          <w:sz w:val="22"/>
          <w:szCs w:val="22"/>
          <w:lang w:val="en-US"/>
        </w:rPr>
        <w:t xml:space="preserve"> This theoretical framework draws attention to the shortcomings of current policies that </w:t>
      </w:r>
      <w:r w:rsidRPr="16A43087" w:rsidR="5C3FC8CE">
        <w:rPr>
          <w:rFonts w:ascii="Arial Nova" w:hAnsi="Arial Nova" w:eastAsia="Arial Nova" w:cs="Arial Nova"/>
          <w:noProof w:val="0"/>
          <w:sz w:val="22"/>
          <w:szCs w:val="22"/>
          <w:lang w:val="en-US"/>
        </w:rPr>
        <w:t>prioritise</w:t>
      </w:r>
      <w:r w:rsidRPr="16A43087" w:rsidR="5C3FC8CE">
        <w:rPr>
          <w:rFonts w:ascii="Arial Nova" w:hAnsi="Arial Nova" w:eastAsia="Arial Nova" w:cs="Arial Nova"/>
          <w:noProof w:val="0"/>
          <w:sz w:val="22"/>
          <w:szCs w:val="22"/>
          <w:lang w:val="en-US"/>
        </w:rPr>
        <w:t xml:space="preserve"> income support without concurrent investments in housing, education, and community infrastructure.</w:t>
      </w:r>
    </w:p>
    <w:p w:rsidR="788BEF79" w:rsidP="788BEF79" w:rsidRDefault="788BEF79" w14:paraId="20AC87CE" w14:textId="1F557D09">
      <w:pPr>
        <w:pStyle w:val="Normal"/>
        <w:rPr>
          <w:rFonts w:ascii="Arial Nova" w:hAnsi="Arial Nova" w:eastAsia="Arial Nova" w:cs="Arial Nova"/>
          <w:noProof w:val="0"/>
          <w:sz w:val="22"/>
          <w:szCs w:val="22"/>
          <w:lang w:val="en-US"/>
        </w:rPr>
      </w:pPr>
    </w:p>
    <w:p w:rsidR="43F1CFA4" w:rsidP="43F1CFA4" w:rsidRDefault="43F1CFA4" w14:paraId="27FC943F" w14:textId="4DAD4007">
      <w:pPr>
        <w:pStyle w:val="Normal"/>
        <w:rPr>
          <w:rFonts w:ascii="Arial Nova" w:hAnsi="Arial Nova" w:eastAsia="Arial Nova" w:cs="Arial Nova"/>
          <w:b w:val="1"/>
          <w:bCs w:val="1"/>
          <w:noProof w:val="0"/>
          <w:sz w:val="24"/>
          <w:szCs w:val="24"/>
          <w:lang w:val="en-US"/>
        </w:rPr>
      </w:pPr>
    </w:p>
    <w:p w:rsidR="43F1CFA4" w:rsidP="43F1CFA4" w:rsidRDefault="43F1CFA4" w14:paraId="25E18A96" w14:textId="6FE3FD6F">
      <w:pPr>
        <w:pStyle w:val="Normal"/>
        <w:rPr>
          <w:rFonts w:ascii="Arial Nova" w:hAnsi="Arial Nova" w:eastAsia="Arial Nova" w:cs="Arial Nova"/>
          <w:b w:val="1"/>
          <w:bCs w:val="1"/>
          <w:noProof w:val="0"/>
          <w:sz w:val="24"/>
          <w:szCs w:val="24"/>
          <w:lang w:val="en-US"/>
        </w:rPr>
      </w:pPr>
    </w:p>
    <w:p w:rsidR="43F1CFA4" w:rsidP="43F1CFA4" w:rsidRDefault="43F1CFA4" w14:paraId="5F60B061" w14:textId="1D2AEB8A">
      <w:pPr>
        <w:pStyle w:val="Normal"/>
        <w:rPr>
          <w:rFonts w:ascii="Arial Nova" w:hAnsi="Arial Nova" w:eastAsia="Arial Nova" w:cs="Arial Nova"/>
          <w:b w:val="1"/>
          <w:bCs w:val="1"/>
          <w:noProof w:val="0"/>
          <w:sz w:val="24"/>
          <w:szCs w:val="24"/>
          <w:lang w:val="en-US"/>
        </w:rPr>
      </w:pPr>
    </w:p>
    <w:p w:rsidR="43F1CFA4" w:rsidP="43F1CFA4" w:rsidRDefault="43F1CFA4" w14:paraId="304732A4" w14:textId="471984C4">
      <w:pPr>
        <w:pStyle w:val="Normal"/>
        <w:rPr>
          <w:rFonts w:ascii="Arial Nova" w:hAnsi="Arial Nova" w:eastAsia="Arial Nova" w:cs="Arial Nova"/>
          <w:b w:val="1"/>
          <w:bCs w:val="1"/>
          <w:noProof w:val="0"/>
          <w:sz w:val="24"/>
          <w:szCs w:val="24"/>
          <w:lang w:val="en-US"/>
        </w:rPr>
      </w:pPr>
    </w:p>
    <w:p w:rsidR="43F1CFA4" w:rsidP="43F1CFA4" w:rsidRDefault="43F1CFA4" w14:paraId="3B48E613" w14:textId="06484189">
      <w:pPr>
        <w:pStyle w:val="Normal"/>
        <w:rPr>
          <w:rFonts w:ascii="Arial Nova" w:hAnsi="Arial Nova" w:eastAsia="Arial Nova" w:cs="Arial Nova"/>
          <w:b w:val="1"/>
          <w:bCs w:val="1"/>
          <w:noProof w:val="0"/>
          <w:sz w:val="24"/>
          <w:szCs w:val="24"/>
          <w:lang w:val="en-US"/>
        </w:rPr>
      </w:pPr>
    </w:p>
    <w:p w:rsidR="43F1CFA4" w:rsidP="43F1CFA4" w:rsidRDefault="43F1CFA4" w14:paraId="20597961" w14:textId="4235E5F5">
      <w:pPr>
        <w:pStyle w:val="Normal"/>
        <w:rPr>
          <w:rFonts w:ascii="Arial Nova" w:hAnsi="Arial Nova" w:eastAsia="Arial Nova" w:cs="Arial Nova"/>
          <w:b w:val="1"/>
          <w:bCs w:val="1"/>
          <w:noProof w:val="0"/>
          <w:sz w:val="24"/>
          <w:szCs w:val="24"/>
          <w:lang w:val="en-US"/>
        </w:rPr>
      </w:pPr>
    </w:p>
    <w:p w:rsidR="43F1CFA4" w:rsidP="43F1CFA4" w:rsidRDefault="43F1CFA4" w14:paraId="549504AE" w14:textId="77997E48">
      <w:pPr>
        <w:pStyle w:val="Normal"/>
        <w:rPr>
          <w:rFonts w:ascii="Arial Nova" w:hAnsi="Arial Nova" w:eastAsia="Arial Nova" w:cs="Arial Nova"/>
          <w:b w:val="1"/>
          <w:bCs w:val="1"/>
          <w:noProof w:val="0"/>
          <w:sz w:val="24"/>
          <w:szCs w:val="24"/>
          <w:lang w:val="en-US"/>
        </w:rPr>
      </w:pPr>
    </w:p>
    <w:p w:rsidR="43F1CFA4" w:rsidP="43F1CFA4" w:rsidRDefault="43F1CFA4" w14:paraId="63848F36" w14:textId="62FB7A83">
      <w:pPr>
        <w:pStyle w:val="Normal"/>
        <w:rPr>
          <w:rFonts w:ascii="Arial Nova" w:hAnsi="Arial Nova" w:eastAsia="Arial Nova" w:cs="Arial Nova"/>
          <w:b w:val="1"/>
          <w:bCs w:val="1"/>
          <w:noProof w:val="0"/>
          <w:sz w:val="24"/>
          <w:szCs w:val="24"/>
          <w:lang w:val="en-US"/>
        </w:rPr>
      </w:pPr>
    </w:p>
    <w:p w:rsidR="43F1CFA4" w:rsidP="43F1CFA4" w:rsidRDefault="43F1CFA4" w14:paraId="245E3213" w14:textId="0564BB71">
      <w:pPr>
        <w:pStyle w:val="Normal"/>
        <w:rPr>
          <w:rFonts w:ascii="Arial Nova" w:hAnsi="Arial Nova" w:eastAsia="Arial Nova" w:cs="Arial Nova"/>
          <w:b w:val="1"/>
          <w:bCs w:val="1"/>
          <w:noProof w:val="0"/>
          <w:sz w:val="24"/>
          <w:szCs w:val="24"/>
          <w:lang w:val="en-US"/>
        </w:rPr>
      </w:pPr>
    </w:p>
    <w:p w:rsidR="43F1CFA4" w:rsidP="43F1CFA4" w:rsidRDefault="43F1CFA4" w14:paraId="01F7D666" w14:textId="5D776703">
      <w:pPr>
        <w:pStyle w:val="Normal"/>
        <w:rPr>
          <w:rFonts w:ascii="Arial Nova" w:hAnsi="Arial Nova" w:eastAsia="Arial Nova" w:cs="Arial Nova"/>
          <w:b w:val="1"/>
          <w:bCs w:val="1"/>
          <w:noProof w:val="0"/>
          <w:sz w:val="24"/>
          <w:szCs w:val="24"/>
          <w:lang w:val="en-US"/>
        </w:rPr>
      </w:pPr>
    </w:p>
    <w:p w:rsidR="43F1CFA4" w:rsidP="43F1CFA4" w:rsidRDefault="43F1CFA4" w14:paraId="4B1352BB" w14:textId="4CBA9D83">
      <w:pPr>
        <w:pStyle w:val="Normal"/>
        <w:rPr>
          <w:rFonts w:ascii="Arial Nova" w:hAnsi="Arial Nova" w:eastAsia="Arial Nova" w:cs="Arial Nova"/>
          <w:b w:val="1"/>
          <w:bCs w:val="1"/>
          <w:noProof w:val="0"/>
          <w:sz w:val="24"/>
          <w:szCs w:val="24"/>
          <w:lang w:val="en-US"/>
        </w:rPr>
      </w:pPr>
    </w:p>
    <w:p w:rsidR="43F1CFA4" w:rsidP="43F1CFA4" w:rsidRDefault="43F1CFA4" w14:paraId="2D2259D4" w14:textId="68853F7E">
      <w:pPr>
        <w:pStyle w:val="Normal"/>
        <w:rPr>
          <w:rFonts w:ascii="Arial Nova" w:hAnsi="Arial Nova" w:eastAsia="Arial Nova" w:cs="Arial Nova"/>
          <w:b w:val="1"/>
          <w:bCs w:val="1"/>
          <w:noProof w:val="0"/>
          <w:sz w:val="24"/>
          <w:szCs w:val="24"/>
          <w:lang w:val="en-US"/>
        </w:rPr>
      </w:pPr>
    </w:p>
    <w:p w:rsidR="43F1CFA4" w:rsidP="43F1CFA4" w:rsidRDefault="43F1CFA4" w14:paraId="7F226DC5" w14:textId="5A3F3A99">
      <w:pPr>
        <w:pStyle w:val="Normal"/>
        <w:rPr>
          <w:rFonts w:ascii="Arial Nova" w:hAnsi="Arial Nova" w:eastAsia="Arial Nova" w:cs="Arial Nova"/>
          <w:b w:val="1"/>
          <w:bCs w:val="1"/>
          <w:noProof w:val="0"/>
          <w:sz w:val="24"/>
          <w:szCs w:val="24"/>
          <w:lang w:val="en-US"/>
        </w:rPr>
      </w:pPr>
    </w:p>
    <w:p w:rsidR="43F1CFA4" w:rsidP="43F1CFA4" w:rsidRDefault="43F1CFA4" w14:paraId="34A58EFB" w14:textId="7562780C">
      <w:pPr>
        <w:pStyle w:val="Normal"/>
        <w:rPr>
          <w:rFonts w:ascii="Arial Nova" w:hAnsi="Arial Nova" w:eastAsia="Arial Nova" w:cs="Arial Nova"/>
          <w:b w:val="1"/>
          <w:bCs w:val="1"/>
          <w:noProof w:val="0"/>
          <w:sz w:val="24"/>
          <w:szCs w:val="24"/>
          <w:lang w:val="en-US"/>
        </w:rPr>
      </w:pPr>
    </w:p>
    <w:p w:rsidR="43F1CFA4" w:rsidP="43F1CFA4" w:rsidRDefault="43F1CFA4" w14:paraId="5F384996" w14:textId="232AEB46">
      <w:pPr>
        <w:pStyle w:val="Normal"/>
        <w:rPr>
          <w:rFonts w:ascii="Arial Nova" w:hAnsi="Arial Nova" w:eastAsia="Arial Nova" w:cs="Arial Nova"/>
          <w:b w:val="1"/>
          <w:bCs w:val="1"/>
          <w:noProof w:val="0"/>
          <w:sz w:val="24"/>
          <w:szCs w:val="24"/>
          <w:lang w:val="en-US"/>
        </w:rPr>
      </w:pPr>
    </w:p>
    <w:p w:rsidR="43F1CFA4" w:rsidP="43F1CFA4" w:rsidRDefault="43F1CFA4" w14:paraId="58B0315B" w14:textId="26CBC604">
      <w:pPr>
        <w:pStyle w:val="Normal"/>
        <w:rPr>
          <w:rFonts w:ascii="Arial Nova" w:hAnsi="Arial Nova" w:eastAsia="Arial Nova" w:cs="Arial Nova"/>
          <w:b w:val="1"/>
          <w:bCs w:val="1"/>
          <w:noProof w:val="0"/>
          <w:sz w:val="24"/>
          <w:szCs w:val="24"/>
          <w:lang w:val="en-US"/>
        </w:rPr>
      </w:pPr>
    </w:p>
    <w:p w:rsidR="611D4F96" w:rsidP="611D4F96" w:rsidRDefault="611D4F96" w14:paraId="70BC5F87" w14:textId="00DEB1D4">
      <w:pPr>
        <w:pStyle w:val="Normal"/>
        <w:rPr>
          <w:rFonts w:ascii="Arial Nova" w:hAnsi="Arial Nova" w:eastAsia="Arial Nova" w:cs="Arial Nova"/>
          <w:b w:val="1"/>
          <w:bCs w:val="1"/>
          <w:noProof w:val="0"/>
          <w:sz w:val="24"/>
          <w:szCs w:val="24"/>
          <w:lang w:val="en-US"/>
        </w:rPr>
      </w:pPr>
    </w:p>
    <w:p w:rsidR="5C3FC8CE" w:rsidP="788BEF79" w:rsidRDefault="5C3FC8CE" w14:paraId="2A7F6119" w14:textId="1A58D983">
      <w:pPr>
        <w:pStyle w:val="Normal"/>
        <w:rPr>
          <w:rFonts w:ascii="Arial Nova" w:hAnsi="Arial Nova" w:eastAsia="Arial Nova" w:cs="Arial Nova"/>
          <w:b w:val="1"/>
          <w:bCs w:val="1"/>
          <w:noProof w:val="0"/>
          <w:sz w:val="24"/>
          <w:szCs w:val="24"/>
          <w:lang w:val="en-US"/>
        </w:rPr>
      </w:pPr>
      <w:r w:rsidRPr="788BEF79" w:rsidR="5C3FC8CE">
        <w:rPr>
          <w:rFonts w:ascii="Arial Nova" w:hAnsi="Arial Nova" w:eastAsia="Arial Nova" w:cs="Arial Nova"/>
          <w:b w:val="1"/>
          <w:bCs w:val="1"/>
          <w:noProof w:val="0"/>
          <w:sz w:val="24"/>
          <w:szCs w:val="24"/>
          <w:lang w:val="en-US"/>
        </w:rPr>
        <w:t>Recommendations</w:t>
      </w:r>
    </w:p>
    <w:p w:rsidR="0B412503" w:rsidP="16A43087" w:rsidRDefault="0B412503" w14:paraId="65F3BC2D" w14:textId="41D93259">
      <w:pPr>
        <w:pStyle w:val="Normal"/>
        <w:spacing w:line="360" w:lineRule="auto"/>
        <w:rPr>
          <w:rFonts w:ascii="Arial Nova" w:hAnsi="Arial Nova" w:eastAsia="Arial Nova" w:cs="Arial Nova"/>
          <w:noProof w:val="0"/>
          <w:sz w:val="22"/>
          <w:szCs w:val="22"/>
          <w:lang w:val="en-US"/>
        </w:rPr>
      </w:pPr>
      <w:r w:rsidRPr="16A43087" w:rsidR="0B412503">
        <w:rPr>
          <w:rFonts w:ascii="Arial Nova" w:hAnsi="Arial Nova" w:eastAsia="Arial Nova" w:cs="Arial Nova"/>
          <w:noProof w:val="0"/>
          <w:sz w:val="22"/>
          <w:szCs w:val="22"/>
          <w:lang w:val="en-US"/>
        </w:rPr>
        <w:t xml:space="preserve">Global governance mechanisms should include legally binding accountability structures that promote structural changes in trade regulation, social protection, and fiscal policy to accelerate the achievement of SDG 10. </w:t>
      </w:r>
      <w:r w:rsidRPr="16A43087" w:rsidR="7CA561A4">
        <w:rPr>
          <w:rFonts w:ascii="Arial Nova" w:hAnsi="Arial Nova" w:eastAsia="Arial Nova" w:cs="Arial Nova"/>
          <w:noProof w:val="0"/>
          <w:sz w:val="22"/>
          <w:szCs w:val="22"/>
          <w:lang w:val="en-US"/>
        </w:rPr>
        <w:t xml:space="preserve">To address several factors of inequality at once, the UK should implement integrated policy pathways at the national level that connect economic redistribution with investments in housing, education, and mental health services. </w:t>
      </w:r>
      <w:r w:rsidRPr="16A43087" w:rsidR="0216D209">
        <w:rPr>
          <w:rFonts w:ascii="Arial Nova" w:hAnsi="Arial Nova" w:eastAsia="Arial Nova" w:cs="Arial Nova"/>
          <w:noProof w:val="0"/>
          <w:sz w:val="22"/>
          <w:szCs w:val="22"/>
          <w:lang w:val="en-US"/>
        </w:rPr>
        <w:t xml:space="preserve">To create community-led, participatory interventions that increase social capital and agency two fundamental components of the Capability Approach and Social Cognitive Theory; local authorities should be given steady, long-term funding. </w:t>
      </w:r>
      <w:r w:rsidRPr="16A43087" w:rsidR="2A44801F">
        <w:rPr>
          <w:rFonts w:ascii="Arial Nova" w:hAnsi="Arial Nova" w:eastAsia="Arial Nova" w:cs="Arial Nova"/>
          <w:noProof w:val="0"/>
          <w:sz w:val="22"/>
          <w:szCs w:val="22"/>
          <w:lang w:val="en-US"/>
        </w:rPr>
        <w:t xml:space="preserve">Lastly, to better inform policy design and evaluation, monitoring frameworks should include multidimensional indicators of inequality (beyond income), such as perceived social status, psychosocial wellbeing, and service accessibility. </w:t>
      </w:r>
    </w:p>
    <w:p w:rsidR="788BEF79" w:rsidP="788BEF79" w:rsidRDefault="788BEF79" w14:paraId="5A8F1E3E" w14:textId="3ABB640A">
      <w:pPr>
        <w:pStyle w:val="Normal"/>
        <w:rPr>
          <w:rFonts w:ascii="Arial Nova" w:hAnsi="Arial Nova" w:eastAsia="Arial Nova" w:cs="Arial Nova"/>
          <w:noProof w:val="0"/>
          <w:sz w:val="22"/>
          <w:szCs w:val="22"/>
          <w:lang w:val="en-US"/>
        </w:rPr>
      </w:pPr>
    </w:p>
    <w:p w:rsidR="788BEF79" w:rsidP="788BEF79" w:rsidRDefault="788BEF79" w14:paraId="23B668AE" w14:textId="66B5FB3F">
      <w:pPr>
        <w:pStyle w:val="Normal"/>
        <w:rPr>
          <w:rFonts w:ascii="Arial Nova" w:hAnsi="Arial Nova" w:eastAsia="Arial Nova" w:cs="Arial Nova"/>
          <w:b w:val="1"/>
          <w:bCs w:val="1"/>
          <w:noProof w:val="0"/>
          <w:sz w:val="24"/>
          <w:szCs w:val="24"/>
          <w:lang w:val="en-US"/>
        </w:rPr>
      </w:pPr>
    </w:p>
    <w:p w:rsidR="788BEF79" w:rsidP="788BEF79" w:rsidRDefault="788BEF79" w14:paraId="0C802CE0" w14:textId="03656F68">
      <w:pPr>
        <w:pStyle w:val="Normal"/>
        <w:rPr>
          <w:rFonts w:ascii="Arial Nova" w:hAnsi="Arial Nova" w:eastAsia="Arial Nova" w:cs="Arial Nova"/>
          <w:b w:val="1"/>
          <w:bCs w:val="1"/>
          <w:noProof w:val="0"/>
          <w:sz w:val="24"/>
          <w:szCs w:val="24"/>
          <w:lang w:val="en-US"/>
        </w:rPr>
      </w:pPr>
    </w:p>
    <w:p w:rsidR="788BEF79" w:rsidP="788BEF79" w:rsidRDefault="788BEF79" w14:paraId="665D0C4F" w14:textId="2F01E108">
      <w:pPr>
        <w:pStyle w:val="Normal"/>
        <w:rPr>
          <w:rFonts w:ascii="Arial Nova" w:hAnsi="Arial Nova" w:eastAsia="Arial Nova" w:cs="Arial Nova"/>
          <w:b w:val="1"/>
          <w:bCs w:val="1"/>
          <w:noProof w:val="0"/>
          <w:sz w:val="24"/>
          <w:szCs w:val="24"/>
          <w:lang w:val="en-US"/>
        </w:rPr>
      </w:pPr>
    </w:p>
    <w:p w:rsidR="788BEF79" w:rsidP="788BEF79" w:rsidRDefault="788BEF79" w14:paraId="621EA546" w14:textId="5A3AE1DC">
      <w:pPr>
        <w:pStyle w:val="Normal"/>
        <w:rPr>
          <w:rFonts w:ascii="Arial Nova" w:hAnsi="Arial Nova" w:eastAsia="Arial Nova" w:cs="Arial Nova"/>
          <w:b w:val="1"/>
          <w:bCs w:val="1"/>
          <w:noProof w:val="0"/>
          <w:sz w:val="24"/>
          <w:szCs w:val="24"/>
          <w:lang w:val="en-US"/>
        </w:rPr>
      </w:pPr>
    </w:p>
    <w:p w:rsidR="788BEF79" w:rsidP="788BEF79" w:rsidRDefault="788BEF79" w14:paraId="60CB206D" w14:textId="1A7440C1">
      <w:pPr>
        <w:pStyle w:val="Normal"/>
        <w:rPr>
          <w:rFonts w:ascii="Arial Nova" w:hAnsi="Arial Nova" w:eastAsia="Arial Nova" w:cs="Arial Nova"/>
          <w:b w:val="1"/>
          <w:bCs w:val="1"/>
          <w:noProof w:val="0"/>
          <w:sz w:val="24"/>
          <w:szCs w:val="24"/>
          <w:lang w:val="en-US"/>
        </w:rPr>
      </w:pPr>
    </w:p>
    <w:p w:rsidR="788BEF79" w:rsidP="788BEF79" w:rsidRDefault="788BEF79" w14:paraId="2DE3423C" w14:textId="28140A65">
      <w:pPr>
        <w:pStyle w:val="Normal"/>
        <w:rPr>
          <w:rFonts w:ascii="Arial Nova" w:hAnsi="Arial Nova" w:eastAsia="Arial Nova" w:cs="Arial Nova"/>
          <w:b w:val="1"/>
          <w:bCs w:val="1"/>
          <w:noProof w:val="0"/>
          <w:sz w:val="24"/>
          <w:szCs w:val="24"/>
          <w:lang w:val="en-US"/>
        </w:rPr>
      </w:pPr>
    </w:p>
    <w:p w:rsidR="16A43087" w:rsidP="16A43087" w:rsidRDefault="16A43087" w14:paraId="539013D6" w14:textId="4508DA28">
      <w:pPr>
        <w:pStyle w:val="Normal"/>
        <w:rPr>
          <w:rFonts w:ascii="Arial Nova" w:hAnsi="Arial Nova" w:eastAsia="Arial Nova" w:cs="Arial Nova"/>
          <w:b w:val="1"/>
          <w:bCs w:val="1"/>
          <w:noProof w:val="0"/>
          <w:sz w:val="24"/>
          <w:szCs w:val="24"/>
          <w:lang w:val="en-US"/>
        </w:rPr>
      </w:pPr>
    </w:p>
    <w:p w:rsidR="43F1CFA4" w:rsidP="43F1CFA4" w:rsidRDefault="43F1CFA4" w14:paraId="3E0328B6" w14:textId="33E7EFB5">
      <w:pPr>
        <w:pStyle w:val="Normal"/>
        <w:rPr>
          <w:rFonts w:ascii="Arial Nova" w:hAnsi="Arial Nova" w:eastAsia="Arial Nova" w:cs="Arial Nova"/>
          <w:b w:val="1"/>
          <w:bCs w:val="1"/>
          <w:noProof w:val="0"/>
          <w:sz w:val="24"/>
          <w:szCs w:val="24"/>
          <w:lang w:val="en-US"/>
        </w:rPr>
      </w:pPr>
    </w:p>
    <w:p w:rsidR="43F1CFA4" w:rsidP="43F1CFA4" w:rsidRDefault="43F1CFA4" w14:paraId="14C7CCC9" w14:textId="13BB3642">
      <w:pPr>
        <w:pStyle w:val="Normal"/>
        <w:rPr>
          <w:rFonts w:ascii="Arial Nova" w:hAnsi="Arial Nova" w:eastAsia="Arial Nova" w:cs="Arial Nova"/>
          <w:b w:val="1"/>
          <w:bCs w:val="1"/>
          <w:noProof w:val="0"/>
          <w:sz w:val="24"/>
          <w:szCs w:val="24"/>
          <w:lang w:val="en-US"/>
        </w:rPr>
      </w:pPr>
    </w:p>
    <w:p w:rsidR="43F1CFA4" w:rsidP="43F1CFA4" w:rsidRDefault="43F1CFA4" w14:paraId="55BFF0C0" w14:textId="60C5C363">
      <w:pPr>
        <w:pStyle w:val="Normal"/>
        <w:rPr>
          <w:rFonts w:ascii="Arial Nova" w:hAnsi="Arial Nova" w:eastAsia="Arial Nova" w:cs="Arial Nova"/>
          <w:b w:val="1"/>
          <w:bCs w:val="1"/>
          <w:noProof w:val="0"/>
          <w:sz w:val="24"/>
          <w:szCs w:val="24"/>
          <w:lang w:val="en-US"/>
        </w:rPr>
      </w:pPr>
    </w:p>
    <w:p w:rsidR="43F1CFA4" w:rsidP="43F1CFA4" w:rsidRDefault="43F1CFA4" w14:paraId="5DA9BB5C" w14:textId="1B1CDEED">
      <w:pPr>
        <w:pStyle w:val="Normal"/>
        <w:rPr>
          <w:rFonts w:ascii="Arial Nova" w:hAnsi="Arial Nova" w:eastAsia="Arial Nova" w:cs="Arial Nova"/>
          <w:b w:val="1"/>
          <w:bCs w:val="1"/>
          <w:noProof w:val="0"/>
          <w:sz w:val="24"/>
          <w:szCs w:val="24"/>
          <w:lang w:val="en-US"/>
        </w:rPr>
      </w:pPr>
    </w:p>
    <w:p w:rsidR="43F1CFA4" w:rsidP="43F1CFA4" w:rsidRDefault="43F1CFA4" w14:paraId="3057B070" w14:textId="29F62583">
      <w:pPr>
        <w:pStyle w:val="Normal"/>
        <w:rPr>
          <w:rFonts w:ascii="Arial Nova" w:hAnsi="Arial Nova" w:eastAsia="Arial Nova" w:cs="Arial Nova"/>
          <w:b w:val="1"/>
          <w:bCs w:val="1"/>
          <w:noProof w:val="0"/>
          <w:sz w:val="24"/>
          <w:szCs w:val="24"/>
          <w:lang w:val="en-US"/>
        </w:rPr>
      </w:pPr>
    </w:p>
    <w:p w:rsidR="43F1CFA4" w:rsidP="43F1CFA4" w:rsidRDefault="43F1CFA4" w14:paraId="669FE927" w14:textId="4C5E0F9D">
      <w:pPr>
        <w:pStyle w:val="Normal"/>
        <w:rPr>
          <w:rFonts w:ascii="Arial Nova" w:hAnsi="Arial Nova" w:eastAsia="Arial Nova" w:cs="Arial Nova"/>
          <w:b w:val="1"/>
          <w:bCs w:val="1"/>
          <w:noProof w:val="0"/>
          <w:sz w:val="24"/>
          <w:szCs w:val="24"/>
          <w:lang w:val="en-US"/>
        </w:rPr>
      </w:pPr>
    </w:p>
    <w:p w:rsidR="43F1CFA4" w:rsidP="43F1CFA4" w:rsidRDefault="43F1CFA4" w14:paraId="1B08547D" w14:textId="3F43E25C">
      <w:pPr>
        <w:pStyle w:val="Normal"/>
        <w:rPr>
          <w:rFonts w:ascii="Arial Nova" w:hAnsi="Arial Nova" w:eastAsia="Arial Nova" w:cs="Arial Nova"/>
          <w:b w:val="1"/>
          <w:bCs w:val="1"/>
          <w:noProof w:val="0"/>
          <w:sz w:val="24"/>
          <w:szCs w:val="24"/>
          <w:lang w:val="en-US"/>
        </w:rPr>
      </w:pPr>
    </w:p>
    <w:p w:rsidR="43F1CFA4" w:rsidP="43F1CFA4" w:rsidRDefault="43F1CFA4" w14:paraId="122A03CB" w14:textId="68542498">
      <w:pPr>
        <w:pStyle w:val="Normal"/>
        <w:rPr>
          <w:rFonts w:ascii="Arial Nova" w:hAnsi="Arial Nova" w:eastAsia="Arial Nova" w:cs="Arial Nova"/>
          <w:b w:val="1"/>
          <w:bCs w:val="1"/>
          <w:noProof w:val="0"/>
          <w:sz w:val="24"/>
          <w:szCs w:val="24"/>
          <w:lang w:val="en-US"/>
        </w:rPr>
      </w:pPr>
    </w:p>
    <w:p w:rsidR="43F1CFA4" w:rsidP="43F1CFA4" w:rsidRDefault="43F1CFA4" w14:paraId="091C626F" w14:textId="2F913793">
      <w:pPr>
        <w:pStyle w:val="Normal"/>
        <w:rPr>
          <w:rFonts w:ascii="Arial Nova" w:hAnsi="Arial Nova" w:eastAsia="Arial Nova" w:cs="Arial Nova"/>
          <w:b w:val="1"/>
          <w:bCs w:val="1"/>
          <w:noProof w:val="0"/>
          <w:sz w:val="24"/>
          <w:szCs w:val="24"/>
          <w:lang w:val="en-US"/>
        </w:rPr>
      </w:pPr>
    </w:p>
    <w:p w:rsidR="611D4F96" w:rsidP="611D4F96" w:rsidRDefault="611D4F96" w14:paraId="1963A835" w14:textId="5EFB2858">
      <w:pPr>
        <w:pStyle w:val="Normal"/>
        <w:rPr>
          <w:rFonts w:ascii="Arial Nova" w:hAnsi="Arial Nova" w:eastAsia="Arial Nova" w:cs="Arial Nova"/>
          <w:b w:val="1"/>
          <w:bCs w:val="1"/>
          <w:noProof w:val="0"/>
          <w:sz w:val="24"/>
          <w:szCs w:val="24"/>
          <w:lang w:val="en-US"/>
        </w:rPr>
      </w:pPr>
    </w:p>
    <w:p w:rsidR="3DED3E78" w:rsidP="788BEF79" w:rsidRDefault="3DED3E78" w14:paraId="7895DE86" w14:textId="503516F2">
      <w:pPr>
        <w:pStyle w:val="Normal"/>
        <w:rPr>
          <w:rFonts w:ascii="Arial Nova" w:hAnsi="Arial Nova" w:eastAsia="Arial Nova" w:cs="Arial Nova"/>
          <w:b w:val="1"/>
          <w:bCs w:val="1"/>
          <w:noProof w:val="0"/>
          <w:sz w:val="24"/>
          <w:szCs w:val="24"/>
          <w:lang w:val="en-US"/>
        </w:rPr>
      </w:pPr>
      <w:r w:rsidRPr="16A43087" w:rsidR="3DED3E78">
        <w:rPr>
          <w:rFonts w:ascii="Arial Nova" w:hAnsi="Arial Nova" w:eastAsia="Arial Nova" w:cs="Arial Nova"/>
          <w:b w:val="1"/>
          <w:bCs w:val="1"/>
          <w:noProof w:val="0"/>
          <w:sz w:val="24"/>
          <w:szCs w:val="24"/>
          <w:lang w:val="en-US"/>
        </w:rPr>
        <w:t>Conclusion</w:t>
      </w:r>
    </w:p>
    <w:p w:rsidR="7569F9A2" w:rsidP="16A43087" w:rsidRDefault="7569F9A2" w14:paraId="411B1D6F" w14:textId="288C04EA">
      <w:pPr>
        <w:pStyle w:val="Normal"/>
        <w:spacing w:line="360" w:lineRule="auto"/>
      </w:pPr>
      <w:r w:rsidRPr="16A43087" w:rsidR="7569F9A2">
        <w:rPr>
          <w:rFonts w:ascii="Arial Nova" w:hAnsi="Arial Nova" w:eastAsia="Arial Nova" w:cs="Arial Nova"/>
          <w:noProof w:val="0"/>
          <w:sz w:val="22"/>
          <w:szCs w:val="22"/>
          <w:lang w:val="en-US"/>
        </w:rPr>
        <w:t xml:space="preserve">The link between SDG 3 (Good Health and Wellbeing) and SDG 10 (Reduced Inequalities) has been carefully examined in this report, showing that tackling structural and socioeconomic gaps is essential to achieving long-term improvements in population health. </w:t>
      </w:r>
      <w:r w:rsidRPr="16A43087" w:rsidR="5DB66A45">
        <w:rPr>
          <w:rFonts w:ascii="Arial Nova" w:hAnsi="Arial Nova" w:eastAsia="Arial Nova" w:cs="Arial Nova"/>
          <w:noProof w:val="0"/>
          <w:sz w:val="22"/>
          <w:szCs w:val="22"/>
          <w:lang w:val="en-US"/>
        </w:rPr>
        <w:t xml:space="preserve">Although universal health coverage, disease surveillance, and monitoring systems have been supported by global health programs, development is still incomplete and subject to political and economic shocks (World Health Organization, 2023). </w:t>
      </w:r>
      <w:r w:rsidRPr="16A43087" w:rsidR="014F1443">
        <w:rPr>
          <w:rFonts w:ascii="Arial Nova" w:hAnsi="Arial Nova" w:eastAsia="Arial Nova" w:cs="Arial Nova"/>
          <w:noProof w:val="0"/>
          <w:sz w:val="22"/>
          <w:szCs w:val="22"/>
          <w:lang w:val="en-US"/>
        </w:rPr>
        <w:t>Growing worldwide differences keep reducing health advances and particularly affect underprivileged communities, worsened by the COVID-19 pandemic and pressures from the cost of living (World Bank, 2022).</w:t>
      </w:r>
    </w:p>
    <w:p w:rsidR="67B4DF73" w:rsidP="16A43087" w:rsidRDefault="67B4DF73" w14:paraId="569ECEFE" w14:textId="69F316BA">
      <w:pPr>
        <w:pStyle w:val="Normal"/>
        <w:spacing w:line="360" w:lineRule="auto"/>
        <w:rPr>
          <w:rFonts w:ascii="Arial Nova" w:hAnsi="Arial Nova" w:eastAsia="Arial Nova" w:cs="Arial Nova"/>
          <w:noProof w:val="0"/>
          <w:sz w:val="22"/>
          <w:szCs w:val="22"/>
          <w:lang w:val="en-US"/>
        </w:rPr>
      </w:pPr>
      <w:r w:rsidRPr="16A43087" w:rsidR="67B4DF73">
        <w:rPr>
          <w:rFonts w:ascii="Arial Nova" w:hAnsi="Arial Nova" w:eastAsia="Arial Nova" w:cs="Arial Nova"/>
          <w:noProof w:val="0"/>
          <w:sz w:val="22"/>
          <w:szCs w:val="22"/>
          <w:lang w:val="en-US"/>
        </w:rPr>
        <w:t>Although UK efforts like the NHS Long Term Plan support SDG goals at the national level, socioeconomic and regional gaps in health continue to exist, suggesting that preventative and redistributive interventions have not had a significant enough impact (Marmot et al., 2020; NHS England, 2019). Improving health outcomes demands both significant institutional reform and increased individual agency, according to theoretical applications of Social Cognitive Theory and the Capability Approach (Bandura, 2004; Sen, 1999).</w:t>
      </w:r>
      <w:r w:rsidRPr="16A43087" w:rsidR="71F50C6C">
        <w:rPr>
          <w:rFonts w:ascii="Arial Nova" w:hAnsi="Arial Nova" w:eastAsia="Arial Nova" w:cs="Arial Nova"/>
          <w:noProof w:val="0"/>
          <w:sz w:val="22"/>
          <w:szCs w:val="22"/>
          <w:lang w:val="en-US"/>
        </w:rPr>
        <w:t xml:space="preserve"> </w:t>
      </w:r>
      <w:r w:rsidRPr="16A43087" w:rsidR="71F50C6C">
        <w:rPr>
          <w:rFonts w:ascii="Arial Nova" w:hAnsi="Arial Nova" w:eastAsia="Arial Nova" w:cs="Arial Nova"/>
          <w:noProof w:val="0"/>
          <w:sz w:val="22"/>
          <w:szCs w:val="22"/>
          <w:lang w:val="en-US"/>
        </w:rPr>
        <w:t>The health gap is maintained by policies that only address behavior modification without addressing material hardship.</w:t>
      </w:r>
    </w:p>
    <w:p w:rsidR="1E217A47" w:rsidP="16A43087" w:rsidRDefault="1E217A47" w14:paraId="1D1FDEED" w14:textId="02DFCB19">
      <w:pPr>
        <w:pStyle w:val="Normal"/>
        <w:spacing w:line="360" w:lineRule="auto"/>
      </w:pPr>
      <w:r w:rsidRPr="16A43087" w:rsidR="1E217A47">
        <w:rPr>
          <w:rFonts w:ascii="Arial Nova" w:hAnsi="Arial Nova" w:eastAsia="Arial Nova" w:cs="Arial Nova"/>
          <w:noProof w:val="0"/>
          <w:sz w:val="22"/>
          <w:szCs w:val="22"/>
          <w:lang w:val="en-US"/>
        </w:rPr>
        <w:t xml:space="preserve">Overall, the results highlight the mutual reinforcement between SDG 3 and SDG 10. Long-term investments in prevention, integrated policy frameworks, and improved accountability methods across national, international, and local institutions are necessary to achieve sustainable and </w:t>
      </w:r>
      <w:r w:rsidRPr="16A43087" w:rsidR="1E217A47">
        <w:rPr>
          <w:rFonts w:ascii="Arial Nova" w:hAnsi="Arial Nova" w:eastAsia="Arial Nova" w:cs="Arial Nova"/>
          <w:noProof w:val="0"/>
          <w:sz w:val="22"/>
          <w:szCs w:val="22"/>
          <w:lang w:val="en-US"/>
        </w:rPr>
        <w:t>equitable</w:t>
      </w:r>
      <w:r w:rsidRPr="16A43087" w:rsidR="1E217A47">
        <w:rPr>
          <w:rFonts w:ascii="Arial Nova" w:hAnsi="Arial Nova" w:eastAsia="Arial Nova" w:cs="Arial Nova"/>
          <w:noProof w:val="0"/>
          <w:sz w:val="22"/>
          <w:szCs w:val="22"/>
          <w:lang w:val="en-US"/>
        </w:rPr>
        <w:t xml:space="preserve"> health results.</w:t>
      </w:r>
    </w:p>
    <w:p w:rsidR="788BEF79" w:rsidP="16A43087" w:rsidRDefault="788BEF79" w14:paraId="756F412F" w14:textId="267F6CEE">
      <w:pPr>
        <w:pStyle w:val="Normal"/>
        <w:spacing w:line="360" w:lineRule="auto"/>
        <w:rPr>
          <w:rFonts w:ascii="Arial Nova" w:hAnsi="Arial Nova" w:eastAsia="Arial Nova" w:cs="Arial Nova"/>
          <w:noProof w:val="0"/>
          <w:sz w:val="22"/>
          <w:szCs w:val="22"/>
          <w:lang w:val="en-US"/>
        </w:rPr>
      </w:pPr>
    </w:p>
    <w:p w:rsidR="788BEF79" w:rsidP="788BEF79" w:rsidRDefault="788BEF79" w14:paraId="67658400" w14:textId="27FDB98E">
      <w:pPr>
        <w:pStyle w:val="Normal"/>
        <w:rPr>
          <w:rFonts w:ascii="Arial Nova" w:hAnsi="Arial Nova" w:eastAsia="Arial Nova" w:cs="Arial Nova"/>
          <w:noProof w:val="0"/>
          <w:sz w:val="22"/>
          <w:szCs w:val="22"/>
          <w:lang w:val="en-US"/>
        </w:rPr>
      </w:pPr>
    </w:p>
    <w:p w:rsidR="788BEF79" w:rsidP="788BEF79" w:rsidRDefault="788BEF79" w14:paraId="65659914" w14:textId="07590F43">
      <w:pPr>
        <w:pStyle w:val="Normal"/>
        <w:rPr>
          <w:rFonts w:ascii="Arial Nova" w:hAnsi="Arial Nova" w:eastAsia="Arial Nova" w:cs="Arial Nova"/>
          <w:noProof w:val="0"/>
          <w:sz w:val="22"/>
          <w:szCs w:val="22"/>
          <w:lang w:val="en-US"/>
        </w:rPr>
      </w:pPr>
    </w:p>
    <w:p w:rsidR="788BEF79" w:rsidP="788BEF79" w:rsidRDefault="788BEF79" w14:paraId="395C62C2" w14:textId="001C8B38">
      <w:pPr>
        <w:pStyle w:val="Normal"/>
        <w:rPr>
          <w:rFonts w:ascii="Arial Nova" w:hAnsi="Arial Nova" w:eastAsia="Arial Nova" w:cs="Arial Nova"/>
          <w:noProof w:val="0"/>
          <w:sz w:val="22"/>
          <w:szCs w:val="22"/>
          <w:lang w:val="en-US"/>
        </w:rPr>
      </w:pPr>
    </w:p>
    <w:p w:rsidR="788BEF79" w:rsidP="788BEF79" w:rsidRDefault="788BEF79" w14:paraId="150BC533" w14:textId="537C0639">
      <w:pPr>
        <w:pStyle w:val="Normal"/>
        <w:rPr>
          <w:rFonts w:ascii="Arial Nova" w:hAnsi="Arial Nova" w:eastAsia="Arial Nova" w:cs="Arial Nova"/>
          <w:noProof w:val="0"/>
          <w:sz w:val="22"/>
          <w:szCs w:val="22"/>
          <w:lang w:val="en-US"/>
        </w:rPr>
      </w:pPr>
    </w:p>
    <w:p w:rsidR="788BEF79" w:rsidP="788BEF79" w:rsidRDefault="788BEF79" w14:paraId="5E7E7A06" w14:textId="4130ACE7">
      <w:pPr>
        <w:pStyle w:val="Normal"/>
        <w:rPr>
          <w:rFonts w:ascii="Arial Nova" w:hAnsi="Arial Nova" w:eastAsia="Arial Nova" w:cs="Arial Nova"/>
          <w:noProof w:val="0"/>
          <w:sz w:val="22"/>
          <w:szCs w:val="22"/>
          <w:lang w:val="en-US"/>
        </w:rPr>
      </w:pPr>
    </w:p>
    <w:p w:rsidR="788BEF79" w:rsidP="788BEF79" w:rsidRDefault="788BEF79" w14:paraId="44AF8BBC" w14:textId="39692FD0">
      <w:pPr>
        <w:pStyle w:val="Normal"/>
        <w:rPr>
          <w:rFonts w:ascii="Arial Nova" w:hAnsi="Arial Nova" w:eastAsia="Arial Nova" w:cs="Arial Nova"/>
          <w:noProof w:val="0"/>
          <w:sz w:val="22"/>
          <w:szCs w:val="22"/>
          <w:lang w:val="en-US"/>
        </w:rPr>
      </w:pPr>
    </w:p>
    <w:p w:rsidR="788BEF79" w:rsidP="788BEF79" w:rsidRDefault="788BEF79" w14:paraId="724ACEBC" w14:textId="2038ED76">
      <w:pPr>
        <w:pStyle w:val="Normal"/>
        <w:rPr>
          <w:rFonts w:ascii="Arial Nova" w:hAnsi="Arial Nova" w:eastAsia="Arial Nova" w:cs="Arial Nova"/>
          <w:noProof w:val="0"/>
          <w:sz w:val="22"/>
          <w:szCs w:val="22"/>
          <w:lang w:val="en-US"/>
        </w:rPr>
      </w:pPr>
    </w:p>
    <w:p w:rsidR="16A43087" w:rsidP="43F1CFA4" w:rsidRDefault="16A43087" w14:paraId="175AC340" w14:textId="7B19FD7D">
      <w:pPr>
        <w:pStyle w:val="Normal"/>
        <w:rPr>
          <w:rFonts w:ascii="Arial Nova" w:hAnsi="Arial Nova" w:eastAsia="Arial Nova" w:cs="Arial Nova"/>
          <w:noProof w:val="0"/>
          <w:sz w:val="22"/>
          <w:szCs w:val="22"/>
          <w:lang w:val="en-US"/>
        </w:rPr>
      </w:pPr>
    </w:p>
    <w:p w:rsidR="611D4F96" w:rsidP="611D4F96" w:rsidRDefault="611D4F96" w14:paraId="256C3DB6" w14:textId="03D4C6D2">
      <w:pPr>
        <w:pStyle w:val="Normal"/>
        <w:rPr>
          <w:rFonts w:ascii="Arial Nova" w:hAnsi="Arial Nova" w:eastAsia="Arial Nova" w:cs="Arial Nova"/>
          <w:b w:val="1"/>
          <w:bCs w:val="1"/>
          <w:noProof w:val="0"/>
          <w:sz w:val="24"/>
          <w:szCs w:val="24"/>
          <w:lang w:val="en-US"/>
        </w:rPr>
      </w:pPr>
    </w:p>
    <w:p w:rsidR="665EE37C" w:rsidP="788BEF79" w:rsidRDefault="665EE37C" w14:paraId="771FA495" w14:textId="522DEF4A">
      <w:pPr>
        <w:pStyle w:val="Normal"/>
        <w:rPr>
          <w:rFonts w:ascii="Arial Nova" w:hAnsi="Arial Nova" w:eastAsia="Arial Nova" w:cs="Arial Nova"/>
          <w:b w:val="1"/>
          <w:bCs w:val="1"/>
          <w:noProof w:val="0"/>
          <w:sz w:val="24"/>
          <w:szCs w:val="24"/>
          <w:lang w:val="en-US"/>
        </w:rPr>
      </w:pPr>
      <w:r w:rsidRPr="16A43087" w:rsidR="665EE37C">
        <w:rPr>
          <w:rFonts w:ascii="Arial Nova" w:hAnsi="Arial Nova" w:eastAsia="Arial Nova" w:cs="Arial Nova"/>
          <w:b w:val="1"/>
          <w:bCs w:val="1"/>
          <w:noProof w:val="0"/>
          <w:sz w:val="24"/>
          <w:szCs w:val="24"/>
          <w:lang w:val="en-US"/>
        </w:rPr>
        <w:t>References</w:t>
      </w:r>
    </w:p>
    <w:p w:rsidR="665EE37C" w:rsidP="788BEF79" w:rsidRDefault="665EE37C" w14:paraId="67D4A161" w14:textId="47559AF0">
      <w:p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788BEF79" w:rsidR="665EE37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Alkire, S., et al. (2020) </w:t>
      </w:r>
      <w:r w:rsidRPr="788BEF79" w:rsidR="665EE37C">
        <w:rPr>
          <w:rFonts w:ascii="Arial Nova" w:hAnsi="Arial Nova" w:eastAsia="Arial Nova" w:cs="Arial Nova"/>
          <w:b w:val="0"/>
          <w:bCs w:val="0"/>
          <w:i w:val="1"/>
          <w:iCs w:val="1"/>
          <w:caps w:val="0"/>
          <w:smallCaps w:val="0"/>
          <w:noProof w:val="0"/>
          <w:color w:val="000000" w:themeColor="text1" w:themeTint="FF" w:themeShade="FF"/>
          <w:sz w:val="22"/>
          <w:szCs w:val="22"/>
          <w:lang w:val="en-US"/>
        </w:rPr>
        <w:t>Multidimensional Poverty Index 2020: Charting Pathways for Human Development</w:t>
      </w:r>
      <w:r w:rsidRPr="788BEF79" w:rsidR="665EE37C">
        <w:rPr>
          <w:rFonts w:ascii="Arial Nova" w:hAnsi="Arial Nova" w:eastAsia="Arial Nova" w:cs="Arial Nova"/>
          <w:b w:val="0"/>
          <w:bCs w:val="0"/>
          <w:i w:val="0"/>
          <w:iCs w:val="0"/>
          <w:caps w:val="0"/>
          <w:smallCaps w:val="0"/>
          <w:noProof w:val="0"/>
          <w:color w:val="000000" w:themeColor="text1" w:themeTint="FF" w:themeShade="FF"/>
          <w:sz w:val="22"/>
          <w:szCs w:val="22"/>
          <w:lang w:val="en-US"/>
        </w:rPr>
        <w:t>. Oxford: OPHI.</w:t>
      </w:r>
      <w:r>
        <w:br/>
      </w:r>
      <w:r w:rsidRPr="788BEF79" w:rsidR="665EE37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Available at: </w:t>
      </w:r>
      <w:hyperlink r:id="R598d5300351c47eb">
        <w:r w:rsidRPr="788BEF79" w:rsidR="665EE37C">
          <w:rPr>
            <w:rStyle w:val="Hyperlink"/>
            <w:rFonts w:ascii="Arial Nova" w:hAnsi="Arial Nova" w:eastAsia="Arial Nova" w:cs="Arial Nova"/>
            <w:b w:val="0"/>
            <w:bCs w:val="0"/>
            <w:i w:val="0"/>
            <w:iCs w:val="0"/>
            <w:caps w:val="0"/>
            <w:smallCaps w:val="0"/>
            <w:noProof w:val="0"/>
            <w:sz w:val="22"/>
            <w:szCs w:val="22"/>
            <w:lang w:val="en-US"/>
          </w:rPr>
          <w:t>https://ophi.org.uk/multidimensional-poverty-index/</w:t>
        </w:r>
      </w:hyperlink>
      <w:r w:rsidRPr="788BEF79" w:rsidR="665EE37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12 February 2026).</w:t>
      </w:r>
    </w:p>
    <w:p w:rsidR="665EE37C" w:rsidP="788BEF79" w:rsidRDefault="665EE37C" w14:paraId="4233B7B6" w14:textId="5887E077">
      <w:pPr>
        <w:spacing w:before="240" w:beforeAutospacing="off" w:after="160" w:afterAutospacing="off" w:line="257"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788BEF79" w:rsidR="665EE37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Bambra, C., et al. (2020) ‘The COVID-19 pandemic and health inequalities’, </w:t>
      </w:r>
      <w:r w:rsidRPr="788BEF79" w:rsidR="665EE37C">
        <w:rPr>
          <w:rFonts w:ascii="Arial Nova" w:hAnsi="Arial Nova" w:eastAsia="Arial Nova" w:cs="Arial Nova"/>
          <w:b w:val="0"/>
          <w:bCs w:val="0"/>
          <w:i w:val="1"/>
          <w:iCs w:val="1"/>
          <w:caps w:val="0"/>
          <w:smallCaps w:val="0"/>
          <w:noProof w:val="0"/>
          <w:color w:val="000000" w:themeColor="text1" w:themeTint="FF" w:themeShade="FF"/>
          <w:sz w:val="22"/>
          <w:szCs w:val="22"/>
          <w:lang w:val="en-US"/>
        </w:rPr>
        <w:t>Journal of Epidemiology &amp; Community Health</w:t>
      </w:r>
      <w:r w:rsidRPr="788BEF79" w:rsidR="665EE37C">
        <w:rPr>
          <w:rFonts w:ascii="Arial Nova" w:hAnsi="Arial Nova" w:eastAsia="Arial Nova" w:cs="Arial Nova"/>
          <w:b w:val="0"/>
          <w:bCs w:val="0"/>
          <w:i w:val="0"/>
          <w:iCs w:val="0"/>
          <w:caps w:val="0"/>
          <w:smallCaps w:val="0"/>
          <w:noProof w:val="0"/>
          <w:color w:val="000000" w:themeColor="text1" w:themeTint="FF" w:themeShade="FF"/>
          <w:sz w:val="22"/>
          <w:szCs w:val="22"/>
          <w:lang w:val="en-US"/>
        </w:rPr>
        <w:t>, 74(11), pp. 964–968.</w:t>
      </w:r>
      <w:r>
        <w:br/>
      </w:r>
      <w:r w:rsidRPr="788BEF79" w:rsidR="665EE37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Available at: </w:t>
      </w:r>
      <w:hyperlink r:id="R8f2bdec11faa4f64">
        <w:r w:rsidRPr="788BEF79" w:rsidR="665EE37C">
          <w:rPr>
            <w:rStyle w:val="Hyperlink"/>
            <w:rFonts w:ascii="Arial Nova" w:hAnsi="Arial Nova" w:eastAsia="Arial Nova" w:cs="Arial Nova"/>
            <w:b w:val="0"/>
            <w:bCs w:val="0"/>
            <w:i w:val="0"/>
            <w:iCs w:val="0"/>
            <w:caps w:val="0"/>
            <w:smallCaps w:val="0"/>
            <w:strike w:val="0"/>
            <w:dstrike w:val="0"/>
            <w:noProof w:val="0"/>
            <w:sz w:val="22"/>
            <w:szCs w:val="22"/>
            <w:lang w:val="en-US"/>
          </w:rPr>
          <w:t>https://jech.bmj.com/content/74/11/964</w:t>
        </w:r>
      </w:hyperlink>
      <w:r w:rsidRPr="788BEF79" w:rsidR="665EE37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12 February 2026).</w:t>
      </w:r>
    </w:p>
    <w:p w:rsidR="665EE37C" w:rsidP="788BEF79" w:rsidRDefault="665EE37C" w14:paraId="3E7A4D86" w14:textId="5956CE6D">
      <w:p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788BEF79" w:rsidR="665EE37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Bandura, A. (2004) </w:t>
      </w:r>
      <w:r w:rsidRPr="788BEF79" w:rsidR="665EE37C">
        <w:rPr>
          <w:rFonts w:ascii="Arial Nova" w:hAnsi="Arial Nova" w:eastAsia="Arial Nova" w:cs="Arial Nova"/>
          <w:b w:val="0"/>
          <w:bCs w:val="0"/>
          <w:i w:val="1"/>
          <w:iCs w:val="1"/>
          <w:caps w:val="0"/>
          <w:smallCaps w:val="0"/>
          <w:noProof w:val="0"/>
          <w:color w:val="000000" w:themeColor="text1" w:themeTint="FF" w:themeShade="FF"/>
          <w:sz w:val="22"/>
          <w:szCs w:val="22"/>
          <w:lang w:val="en-US"/>
        </w:rPr>
        <w:t>Health promotion by social cognitive means</w:t>
      </w:r>
      <w:r w:rsidRPr="788BEF79" w:rsidR="665EE37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Health Education &amp; Behavior, 31(2), pp.143–164. </w:t>
      </w:r>
      <w:hyperlink r:id="R5ae9114238c54419">
        <w:r w:rsidRPr="788BEF79" w:rsidR="665EE37C">
          <w:rPr>
            <w:rStyle w:val="Hyperlink"/>
            <w:rFonts w:ascii="Arial Nova" w:hAnsi="Arial Nova" w:eastAsia="Arial Nova" w:cs="Arial Nova"/>
            <w:b w:val="0"/>
            <w:bCs w:val="0"/>
            <w:i w:val="0"/>
            <w:iCs w:val="0"/>
            <w:caps w:val="0"/>
            <w:smallCaps w:val="0"/>
            <w:strike w:val="0"/>
            <w:dstrike w:val="0"/>
            <w:noProof w:val="0"/>
            <w:sz w:val="22"/>
            <w:szCs w:val="22"/>
            <w:lang w:val="en-US"/>
          </w:rPr>
          <w:t>https://doi.org/10.1177/1090198104263660</w:t>
        </w:r>
      </w:hyperlink>
      <w:r w:rsidRPr="788BEF79" w:rsidR="665EE37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p>
    <w:p w:rsidR="665EE37C" w:rsidP="788BEF79" w:rsidRDefault="665EE37C" w14:paraId="41E23E99" w14:textId="15066CBA">
      <w:p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788BEF79" w:rsidR="665EE37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Clark, D.A. (2019) ‘The capability approach: its development, critiques and recent advances’, </w:t>
      </w:r>
      <w:r w:rsidRPr="788BEF79" w:rsidR="665EE37C">
        <w:rPr>
          <w:rFonts w:ascii="Arial Nova" w:hAnsi="Arial Nova" w:eastAsia="Arial Nova" w:cs="Arial Nova"/>
          <w:b w:val="0"/>
          <w:bCs w:val="0"/>
          <w:i w:val="1"/>
          <w:iCs w:val="1"/>
          <w:caps w:val="0"/>
          <w:smallCaps w:val="0"/>
          <w:noProof w:val="0"/>
          <w:color w:val="000000" w:themeColor="text1" w:themeTint="FF" w:themeShade="FF"/>
          <w:sz w:val="22"/>
          <w:szCs w:val="22"/>
          <w:lang w:val="en-US"/>
        </w:rPr>
        <w:t>Economics &amp; Philosophy</w:t>
      </w:r>
      <w:r w:rsidRPr="788BEF79" w:rsidR="665EE37C">
        <w:rPr>
          <w:rFonts w:ascii="Arial Nova" w:hAnsi="Arial Nova" w:eastAsia="Arial Nova" w:cs="Arial Nova"/>
          <w:b w:val="0"/>
          <w:bCs w:val="0"/>
          <w:i w:val="0"/>
          <w:iCs w:val="0"/>
          <w:caps w:val="0"/>
          <w:smallCaps w:val="0"/>
          <w:noProof w:val="0"/>
          <w:color w:val="000000" w:themeColor="text1" w:themeTint="FF" w:themeShade="FF"/>
          <w:sz w:val="22"/>
          <w:szCs w:val="22"/>
          <w:lang w:val="en-US"/>
        </w:rPr>
        <w:t>, 35(2), pp. 285–310.</w:t>
      </w:r>
      <w:r>
        <w:br/>
      </w:r>
      <w:r w:rsidRPr="788BEF79" w:rsidR="665EE37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Available at: </w:t>
      </w:r>
      <w:hyperlink r:id="R2cc84af12701470f">
        <w:r w:rsidRPr="788BEF79" w:rsidR="665EE37C">
          <w:rPr>
            <w:rStyle w:val="Hyperlink"/>
            <w:rFonts w:ascii="Arial Nova" w:hAnsi="Arial Nova" w:eastAsia="Arial Nova" w:cs="Arial Nova"/>
            <w:b w:val="0"/>
            <w:bCs w:val="0"/>
            <w:i w:val="0"/>
            <w:iCs w:val="0"/>
            <w:caps w:val="0"/>
            <w:smallCaps w:val="0"/>
            <w:strike w:val="0"/>
            <w:dstrike w:val="0"/>
            <w:noProof w:val="0"/>
            <w:sz w:val="22"/>
            <w:szCs w:val="22"/>
            <w:lang w:val="en-US"/>
          </w:rPr>
          <w:t>https://www.cambridge.org/core/books/abs/measuring-justice/critique-of-the-capability-approach/CF25C6A06AE67498B1ED0815346959EF</w:t>
        </w:r>
      </w:hyperlink>
      <w:r w:rsidRPr="788BEF79" w:rsidR="665EE37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12 February 2026).</w:t>
      </w:r>
    </w:p>
    <w:p w:rsidR="665EE37C" w:rsidP="788BEF79" w:rsidRDefault="665EE37C" w14:paraId="4050F49B" w14:textId="6D65B120">
      <w:p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788BEF79" w:rsidR="665EE37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GBD 2019 Diseases and Injuries Collaborators (2020) ‘Global burden of 369 diseases and injuries in 204 countries and territories, 1990–2019’, </w:t>
      </w:r>
      <w:r w:rsidRPr="788BEF79" w:rsidR="665EE37C">
        <w:rPr>
          <w:rFonts w:ascii="Arial Nova" w:hAnsi="Arial Nova" w:eastAsia="Arial Nova" w:cs="Arial Nova"/>
          <w:b w:val="0"/>
          <w:bCs w:val="0"/>
          <w:i w:val="1"/>
          <w:iCs w:val="1"/>
          <w:caps w:val="0"/>
          <w:smallCaps w:val="0"/>
          <w:noProof w:val="0"/>
          <w:color w:val="000000" w:themeColor="text1" w:themeTint="FF" w:themeShade="FF"/>
          <w:sz w:val="22"/>
          <w:szCs w:val="22"/>
          <w:lang w:val="en-US"/>
        </w:rPr>
        <w:t>The Lancet</w:t>
      </w:r>
      <w:r w:rsidRPr="788BEF79" w:rsidR="665EE37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396(10258), pp. 1204–1222. </w:t>
      </w:r>
      <w:hyperlink r:id="R542b8c4a05a044d4">
        <w:r w:rsidRPr="788BEF79" w:rsidR="665EE37C">
          <w:rPr>
            <w:rStyle w:val="Hyperlink"/>
            <w:rFonts w:ascii="Arial Nova" w:hAnsi="Arial Nova" w:eastAsia="Arial Nova" w:cs="Arial Nova"/>
            <w:b w:val="0"/>
            <w:bCs w:val="0"/>
            <w:i w:val="0"/>
            <w:iCs w:val="0"/>
            <w:caps w:val="0"/>
            <w:smallCaps w:val="0"/>
            <w:noProof w:val="0"/>
            <w:sz w:val="22"/>
            <w:szCs w:val="22"/>
            <w:lang w:val="en-US"/>
          </w:rPr>
          <w:t>https://doi.org/10.1016/S0140-6736(20)30925-9</w:t>
        </w:r>
      </w:hyperlink>
    </w:p>
    <w:p w:rsidR="665EE37C" w:rsidP="788BEF79" w:rsidRDefault="665EE37C" w14:paraId="08F68604" w14:textId="6EC51356">
      <w:p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788BEF79" w:rsidR="665EE37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Marmot, M., Allen, J., Boyce, T., Goldblatt, P. and Morrison, J. (2020) </w:t>
      </w:r>
      <w:r w:rsidRPr="788BEF79" w:rsidR="665EE37C">
        <w:rPr>
          <w:rFonts w:ascii="Arial Nova" w:hAnsi="Arial Nova" w:eastAsia="Arial Nova" w:cs="Arial Nova"/>
          <w:b w:val="0"/>
          <w:bCs w:val="0"/>
          <w:i w:val="1"/>
          <w:iCs w:val="1"/>
          <w:caps w:val="0"/>
          <w:smallCaps w:val="0"/>
          <w:noProof w:val="0"/>
          <w:color w:val="000000" w:themeColor="text1" w:themeTint="FF" w:themeShade="FF"/>
          <w:sz w:val="22"/>
          <w:szCs w:val="22"/>
          <w:lang w:val="en-US"/>
        </w:rPr>
        <w:t>Health equity in England: The Marmot Review 10 years on</w:t>
      </w:r>
      <w:r w:rsidRPr="788BEF79" w:rsidR="665EE37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London: Institute of Health Equity. Available at: </w:t>
      </w:r>
      <w:hyperlink r:id="Rab38e14dc9e240cb">
        <w:r w:rsidRPr="788BEF79" w:rsidR="665EE37C">
          <w:rPr>
            <w:rStyle w:val="Hyperlink"/>
            <w:rFonts w:ascii="Arial Nova" w:hAnsi="Arial Nova" w:eastAsia="Arial Nova" w:cs="Arial Nova"/>
            <w:b w:val="0"/>
            <w:bCs w:val="0"/>
            <w:i w:val="0"/>
            <w:iCs w:val="0"/>
            <w:caps w:val="0"/>
            <w:smallCaps w:val="0"/>
            <w:noProof w:val="0"/>
            <w:sz w:val="22"/>
            <w:szCs w:val="22"/>
            <w:lang w:val="en-US"/>
          </w:rPr>
          <w:t>https://www.instituteofhealthequity.org</w:t>
        </w:r>
      </w:hyperlink>
      <w:r w:rsidRPr="788BEF79" w:rsidR="665EE37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2 February 2026).</w:t>
      </w:r>
    </w:p>
    <w:p w:rsidR="665EE37C" w:rsidP="788BEF79" w:rsidRDefault="665EE37C" w14:paraId="1A6776A8" w14:textId="0FEDD329">
      <w:p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788BEF79" w:rsidR="665EE37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NHS England (2019) </w:t>
      </w:r>
      <w:r w:rsidRPr="788BEF79" w:rsidR="665EE37C">
        <w:rPr>
          <w:rFonts w:ascii="Arial Nova" w:hAnsi="Arial Nova" w:eastAsia="Arial Nova" w:cs="Arial Nova"/>
          <w:b w:val="0"/>
          <w:bCs w:val="0"/>
          <w:i w:val="1"/>
          <w:iCs w:val="1"/>
          <w:caps w:val="0"/>
          <w:smallCaps w:val="0"/>
          <w:noProof w:val="0"/>
          <w:color w:val="000000" w:themeColor="text1" w:themeTint="FF" w:themeShade="FF"/>
          <w:sz w:val="22"/>
          <w:szCs w:val="22"/>
          <w:lang w:val="en-US"/>
        </w:rPr>
        <w:t>The NHS Long Term Plan</w:t>
      </w:r>
      <w:r w:rsidRPr="788BEF79" w:rsidR="665EE37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London: NHS England. Available at: </w:t>
      </w:r>
      <w:hyperlink r:id="Rb863c9ba5f1f47bc">
        <w:r w:rsidRPr="788BEF79" w:rsidR="665EE37C">
          <w:rPr>
            <w:rStyle w:val="Hyperlink"/>
            <w:rFonts w:ascii="Arial Nova" w:hAnsi="Arial Nova" w:eastAsia="Arial Nova" w:cs="Arial Nova"/>
            <w:b w:val="0"/>
            <w:bCs w:val="0"/>
            <w:i w:val="0"/>
            <w:iCs w:val="0"/>
            <w:caps w:val="0"/>
            <w:smallCaps w:val="0"/>
            <w:strike w:val="0"/>
            <w:dstrike w:val="0"/>
            <w:noProof w:val="0"/>
            <w:sz w:val="22"/>
            <w:szCs w:val="22"/>
            <w:lang w:val="en-US"/>
          </w:rPr>
          <w:t>https://www.longtermplan.nhs.uk</w:t>
        </w:r>
      </w:hyperlink>
      <w:r w:rsidRPr="788BEF79" w:rsidR="665EE37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12 February 2026).</w:t>
      </w:r>
    </w:p>
    <w:p w:rsidR="665EE37C" w:rsidP="788BEF79" w:rsidRDefault="665EE37C" w14:paraId="271ECBE3" w14:textId="26B8531F">
      <w:pPr>
        <w:spacing w:before="240" w:beforeAutospacing="off" w:after="160" w:afterAutospacing="off" w:line="257"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788BEF79" w:rsidR="665EE37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OECD (2023) </w:t>
      </w:r>
      <w:r w:rsidRPr="788BEF79" w:rsidR="665EE37C">
        <w:rPr>
          <w:rFonts w:ascii="Arial Nova" w:hAnsi="Arial Nova" w:eastAsia="Arial Nova" w:cs="Arial Nova"/>
          <w:b w:val="0"/>
          <w:bCs w:val="0"/>
          <w:i w:val="1"/>
          <w:iCs w:val="1"/>
          <w:caps w:val="0"/>
          <w:smallCaps w:val="0"/>
          <w:noProof w:val="0"/>
          <w:color w:val="000000" w:themeColor="text1" w:themeTint="FF" w:themeShade="FF"/>
          <w:sz w:val="22"/>
          <w:szCs w:val="22"/>
          <w:lang w:val="en-US"/>
        </w:rPr>
        <w:t>Socio-economic and ethnic health inequalities in COVID-19 outcomes across OECD countries</w:t>
      </w:r>
      <w:r w:rsidRPr="788BEF79" w:rsidR="665EE37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Paris: OECD Publishing. Available at: </w:t>
      </w:r>
      <w:hyperlink r:id="R52526f60556145b3">
        <w:r w:rsidRPr="788BEF79" w:rsidR="665EE37C">
          <w:rPr>
            <w:rStyle w:val="Hyperlink"/>
            <w:rFonts w:ascii="Arial Nova" w:hAnsi="Arial Nova" w:eastAsia="Arial Nova" w:cs="Arial Nova"/>
            <w:b w:val="0"/>
            <w:bCs w:val="0"/>
            <w:i w:val="0"/>
            <w:iCs w:val="0"/>
            <w:caps w:val="0"/>
            <w:smallCaps w:val="0"/>
            <w:strike w:val="0"/>
            <w:dstrike w:val="0"/>
            <w:noProof w:val="0"/>
            <w:sz w:val="22"/>
            <w:szCs w:val="22"/>
            <w:lang w:val="en-US"/>
          </w:rPr>
          <w:t>https://www.oecd.org/en/publications/socio-economic-and-ethnic-health-inequalities-in-covid-19-outcomes-across-oecd-countries_6c2a96c9-en.html</w:t>
        </w:r>
      </w:hyperlink>
      <w:r w:rsidRPr="788BEF79" w:rsidR="665EE37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12 February 2026).</w:t>
      </w:r>
    </w:p>
    <w:p w:rsidR="665EE37C" w:rsidP="788BEF79" w:rsidRDefault="665EE37C" w14:paraId="0BEDE222" w14:textId="5A2A2D21">
      <w:p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788BEF79" w:rsidR="665EE37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Office for Health Improvement and Disparities (2022) </w:t>
      </w:r>
      <w:r w:rsidRPr="788BEF79" w:rsidR="665EE37C">
        <w:rPr>
          <w:rFonts w:ascii="Arial Nova" w:hAnsi="Arial Nova" w:eastAsia="Arial Nova" w:cs="Arial Nova"/>
          <w:b w:val="0"/>
          <w:bCs w:val="0"/>
          <w:i w:val="1"/>
          <w:iCs w:val="1"/>
          <w:caps w:val="0"/>
          <w:smallCaps w:val="0"/>
          <w:noProof w:val="0"/>
          <w:color w:val="000000" w:themeColor="text1" w:themeTint="FF" w:themeShade="FF"/>
          <w:sz w:val="22"/>
          <w:szCs w:val="22"/>
          <w:lang w:val="en-US"/>
        </w:rPr>
        <w:t>Health disparities in England</w:t>
      </w:r>
      <w:r w:rsidRPr="788BEF79" w:rsidR="665EE37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London: OHID. Available at: </w:t>
      </w:r>
      <w:hyperlink r:id="Rf7e64037cf134a88">
        <w:r w:rsidRPr="788BEF79" w:rsidR="665EE37C">
          <w:rPr>
            <w:rStyle w:val="Hyperlink"/>
            <w:rFonts w:ascii="Arial Nova" w:hAnsi="Arial Nova" w:eastAsia="Arial Nova" w:cs="Arial Nova"/>
            <w:b w:val="0"/>
            <w:bCs w:val="0"/>
            <w:i w:val="0"/>
            <w:iCs w:val="0"/>
            <w:caps w:val="0"/>
            <w:smallCaps w:val="0"/>
            <w:strike w:val="0"/>
            <w:dstrike w:val="0"/>
            <w:noProof w:val="0"/>
            <w:sz w:val="22"/>
            <w:szCs w:val="22"/>
            <w:lang w:val="en-US"/>
          </w:rPr>
          <w:t>https://www.gov.uk/government/organisations/office-for-health-improvement-and-disparities</w:t>
        </w:r>
      </w:hyperlink>
      <w:r w:rsidRPr="788BEF79" w:rsidR="665EE37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21 February 2026).</w:t>
      </w:r>
    </w:p>
    <w:p w:rsidR="665EE37C" w:rsidP="788BEF79" w:rsidRDefault="665EE37C" w14:paraId="3DE3E892" w14:textId="44908C75">
      <w:p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788BEF79" w:rsidR="665EE37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Public Health England (2021) </w:t>
      </w:r>
      <w:r w:rsidRPr="788BEF79" w:rsidR="665EE37C">
        <w:rPr>
          <w:rFonts w:ascii="Arial Nova" w:hAnsi="Arial Nova" w:eastAsia="Arial Nova" w:cs="Arial Nova"/>
          <w:b w:val="0"/>
          <w:bCs w:val="0"/>
          <w:i w:val="1"/>
          <w:iCs w:val="1"/>
          <w:caps w:val="0"/>
          <w:smallCaps w:val="0"/>
          <w:noProof w:val="0"/>
          <w:color w:val="000000" w:themeColor="text1" w:themeTint="FF" w:themeShade="FF"/>
          <w:sz w:val="22"/>
          <w:szCs w:val="22"/>
          <w:lang w:val="en-US"/>
        </w:rPr>
        <w:t>Evaluating community-centred approaches for health and wellbeing</w:t>
      </w:r>
      <w:r w:rsidRPr="788BEF79" w:rsidR="665EE37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London: Public Health England. Available at: </w:t>
      </w:r>
      <w:hyperlink r:id="R3f284edcf31f4457">
        <w:r w:rsidRPr="788BEF79" w:rsidR="665EE37C">
          <w:rPr>
            <w:rStyle w:val="Hyperlink"/>
            <w:rFonts w:ascii="Arial Nova" w:hAnsi="Arial Nova" w:eastAsia="Arial Nova" w:cs="Arial Nova"/>
            <w:b w:val="0"/>
            <w:bCs w:val="0"/>
            <w:i w:val="0"/>
            <w:iCs w:val="0"/>
            <w:caps w:val="0"/>
            <w:smallCaps w:val="0"/>
            <w:strike w:val="0"/>
            <w:dstrike w:val="0"/>
            <w:noProof w:val="0"/>
            <w:sz w:val="22"/>
            <w:szCs w:val="22"/>
            <w:lang w:val="en-US"/>
          </w:rPr>
          <w:t>https://www.gov.uk/government/organisations/public-health-england</w:t>
        </w:r>
      </w:hyperlink>
      <w:r w:rsidRPr="788BEF79" w:rsidR="665EE37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12 February 2026).</w:t>
      </w:r>
    </w:p>
    <w:p w:rsidR="665EE37C" w:rsidP="788BEF79" w:rsidRDefault="665EE37C" w14:paraId="4BBD02FC" w14:textId="6BDFD658">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88BEF79" w:rsidR="665EE37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Rosenstock, I.M., Strecher, V.J. and Becker, M.H. (1988) </w:t>
      </w:r>
      <w:r w:rsidRPr="788BEF79" w:rsidR="665EE37C">
        <w:rPr>
          <w:rFonts w:ascii="Arial Nova" w:hAnsi="Arial Nova" w:eastAsia="Arial Nova" w:cs="Arial Nova"/>
          <w:b w:val="0"/>
          <w:bCs w:val="0"/>
          <w:i w:val="1"/>
          <w:iCs w:val="1"/>
          <w:caps w:val="0"/>
          <w:smallCaps w:val="0"/>
          <w:noProof w:val="0"/>
          <w:color w:val="000000" w:themeColor="text1" w:themeTint="FF" w:themeShade="FF"/>
          <w:sz w:val="22"/>
          <w:szCs w:val="22"/>
          <w:lang w:val="en-US"/>
        </w:rPr>
        <w:t>Social learning theory and the Health Belief Model</w:t>
      </w:r>
      <w:r w:rsidRPr="788BEF79" w:rsidR="665EE37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Health Education Quarterly, 15(2), pp.175–183. </w:t>
      </w:r>
      <w:hyperlink r:id="R2adf9bf99e944ac0">
        <w:r w:rsidRPr="788BEF79" w:rsidR="665EE37C">
          <w:rPr>
            <w:rStyle w:val="Hyperlink"/>
            <w:rFonts w:ascii="Arial Nova" w:hAnsi="Arial Nova" w:eastAsia="Arial Nova" w:cs="Arial Nova"/>
            <w:b w:val="0"/>
            <w:bCs w:val="0"/>
            <w:i w:val="0"/>
            <w:iCs w:val="0"/>
            <w:caps w:val="0"/>
            <w:smallCaps w:val="0"/>
            <w:strike w:val="0"/>
            <w:dstrike w:val="0"/>
            <w:noProof w:val="0"/>
            <w:sz w:val="22"/>
            <w:szCs w:val="22"/>
            <w:lang w:val="en-US"/>
          </w:rPr>
          <w:t>https://doi.org/10.1177/109019818801500203</w:t>
        </w:r>
      </w:hyperlink>
    </w:p>
    <w:p w:rsidR="665EE37C" w:rsidP="3ED02A3D" w:rsidRDefault="665EE37C" w14:paraId="2FA967E7" w14:textId="0A8D0D2F">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ED02A3D" w:rsidR="665EE37C">
        <w:rPr>
          <w:rFonts w:ascii="Arial Nova" w:hAnsi="Arial Nova" w:eastAsia="Arial Nova" w:cs="Arial Nova"/>
          <w:b w:val="0"/>
          <w:bCs w:val="0"/>
          <w:i w:val="0"/>
          <w:iCs w:val="0"/>
          <w:caps w:val="0"/>
          <w:smallCaps w:val="0"/>
          <w:noProof w:val="0"/>
          <w:color w:val="000000" w:themeColor="text1" w:themeTint="FF" w:themeShade="FF"/>
          <w:sz w:val="22"/>
          <w:szCs w:val="22"/>
          <w:lang w:val="en-US"/>
        </w:rPr>
        <w:t>Robeyns</w:t>
      </w:r>
      <w:r w:rsidRPr="3ED02A3D" w:rsidR="665EE37C">
        <w:rPr>
          <w:rFonts w:ascii="Arial Nova" w:hAnsi="Arial Nova" w:eastAsia="Arial Nova" w:cs="Arial Nova"/>
          <w:b w:val="0"/>
          <w:bCs w:val="0"/>
          <w:i w:val="0"/>
          <w:iCs w:val="0"/>
          <w:caps w:val="0"/>
          <w:smallCaps w:val="0"/>
          <w:noProof w:val="0"/>
          <w:color w:val="000000" w:themeColor="text1" w:themeTint="FF" w:themeShade="FF"/>
          <w:sz w:val="22"/>
          <w:szCs w:val="22"/>
          <w:lang w:val="en-US"/>
        </w:rPr>
        <w:t>, I. (2005)</w:t>
      </w:r>
      <w:r w:rsidRPr="3ED02A3D" w:rsidR="665EE37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3ED02A3D" w:rsidR="665EE37C">
        <w:rPr>
          <w:rFonts w:ascii="Arial Nova" w:hAnsi="Arial Nova" w:eastAsia="Arial Nova" w:cs="Arial Nova"/>
          <w:b w:val="0"/>
          <w:bCs w:val="0"/>
          <w:i w:val="1"/>
          <w:iCs w:val="1"/>
          <w:caps w:val="0"/>
          <w:smallCaps w:val="0"/>
          <w:noProof w:val="0"/>
          <w:color w:val="000000" w:themeColor="text1" w:themeTint="FF" w:themeShade="FF"/>
          <w:sz w:val="22"/>
          <w:szCs w:val="22"/>
          <w:lang w:val="en-US"/>
        </w:rPr>
        <w:t>The</w:t>
      </w:r>
      <w:r w:rsidRPr="3ED02A3D" w:rsidR="665EE37C">
        <w:rPr>
          <w:rFonts w:ascii="Arial Nova" w:hAnsi="Arial Nova" w:eastAsia="Arial Nova" w:cs="Arial Nova"/>
          <w:b w:val="0"/>
          <w:bCs w:val="0"/>
          <w:i w:val="1"/>
          <w:iCs w:val="1"/>
          <w:caps w:val="0"/>
          <w:smallCaps w:val="0"/>
          <w:noProof w:val="0"/>
          <w:color w:val="000000" w:themeColor="text1" w:themeTint="FF" w:themeShade="FF"/>
          <w:sz w:val="22"/>
          <w:szCs w:val="22"/>
          <w:lang w:val="en-US"/>
        </w:rPr>
        <w:t xml:space="preserve"> Capability Approach: A Theoretical Survey</w:t>
      </w:r>
      <w:r w:rsidRPr="3ED02A3D" w:rsidR="665EE37C">
        <w:rPr>
          <w:rFonts w:ascii="Arial Nova" w:hAnsi="Arial Nova" w:eastAsia="Arial Nova" w:cs="Arial Nova"/>
          <w:b w:val="0"/>
          <w:bCs w:val="0"/>
          <w:i w:val="0"/>
          <w:iCs w:val="0"/>
          <w:caps w:val="0"/>
          <w:smallCaps w:val="0"/>
          <w:noProof w:val="0"/>
          <w:color w:val="000000" w:themeColor="text1" w:themeTint="FF" w:themeShade="FF"/>
          <w:sz w:val="22"/>
          <w:szCs w:val="22"/>
          <w:lang w:val="en-US"/>
        </w:rPr>
        <w:t>, Journal of Human Development and Capabilities, 6(1), pp. 93–117.</w:t>
      </w:r>
      <w:r>
        <w:br/>
      </w:r>
      <w:r w:rsidRPr="3ED02A3D" w:rsidR="665EE37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Available at: </w:t>
      </w:r>
      <w:hyperlink r:id="R2fa90b5a8ea14677">
        <w:r w:rsidRPr="3ED02A3D" w:rsidR="665EE37C">
          <w:rPr>
            <w:rStyle w:val="Hyperlink"/>
            <w:rFonts w:ascii="Arial Nova" w:hAnsi="Arial Nova" w:eastAsia="Arial Nova" w:cs="Arial Nova"/>
            <w:b w:val="0"/>
            <w:bCs w:val="0"/>
            <w:i w:val="0"/>
            <w:iCs w:val="0"/>
            <w:caps w:val="0"/>
            <w:smallCaps w:val="0"/>
            <w:strike w:val="0"/>
            <w:dstrike w:val="0"/>
            <w:noProof w:val="0"/>
            <w:sz w:val="22"/>
            <w:szCs w:val="22"/>
            <w:lang w:val="en-US"/>
          </w:rPr>
          <w:t>https://doi.org/10.1080/146498805200034266</w:t>
        </w:r>
      </w:hyperlink>
      <w:r w:rsidRPr="3ED02A3D" w:rsidR="665EE37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13 February 2026).</w:t>
      </w:r>
    </w:p>
    <w:p w:rsidR="665EE37C" w:rsidP="788BEF79" w:rsidRDefault="665EE37C" w14:paraId="7361B9A2" w14:textId="52FCECDF">
      <w:p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788BEF79" w:rsidR="665EE37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Solar, O. and Irwin, A. (2010) </w:t>
      </w:r>
      <w:r w:rsidRPr="788BEF79" w:rsidR="665EE37C">
        <w:rPr>
          <w:rFonts w:ascii="Arial Nova" w:hAnsi="Arial Nova" w:eastAsia="Arial Nova" w:cs="Arial Nova"/>
          <w:b w:val="0"/>
          <w:bCs w:val="0"/>
          <w:i w:val="1"/>
          <w:iCs w:val="1"/>
          <w:caps w:val="0"/>
          <w:smallCaps w:val="0"/>
          <w:noProof w:val="0"/>
          <w:color w:val="000000" w:themeColor="text1" w:themeTint="FF" w:themeShade="FF"/>
          <w:sz w:val="22"/>
          <w:szCs w:val="22"/>
          <w:lang w:val="en-US"/>
        </w:rPr>
        <w:t>A conceptual framework for action on the social determinants of health</w:t>
      </w:r>
      <w:r w:rsidRPr="788BEF79" w:rsidR="665EE37C">
        <w:rPr>
          <w:rFonts w:ascii="Arial Nova" w:hAnsi="Arial Nova" w:eastAsia="Arial Nova" w:cs="Arial Nova"/>
          <w:b w:val="0"/>
          <w:bCs w:val="0"/>
          <w:i w:val="0"/>
          <w:iCs w:val="0"/>
          <w:caps w:val="0"/>
          <w:smallCaps w:val="0"/>
          <w:noProof w:val="0"/>
          <w:color w:val="000000" w:themeColor="text1" w:themeTint="FF" w:themeShade="FF"/>
          <w:sz w:val="22"/>
          <w:szCs w:val="22"/>
          <w:lang w:val="en-US"/>
        </w:rPr>
        <w:t>. Geneva: WHO.</w:t>
      </w:r>
      <w:r>
        <w:br/>
      </w:r>
      <w:r w:rsidRPr="788BEF79" w:rsidR="665EE37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Available at: </w:t>
      </w:r>
      <w:hyperlink r:id="Rc556de078fd84f06">
        <w:r w:rsidRPr="788BEF79" w:rsidR="665EE37C">
          <w:rPr>
            <w:rStyle w:val="Hyperlink"/>
            <w:rFonts w:ascii="Arial Nova" w:hAnsi="Arial Nova" w:eastAsia="Arial Nova" w:cs="Arial Nova"/>
            <w:b w:val="0"/>
            <w:bCs w:val="0"/>
            <w:i w:val="0"/>
            <w:iCs w:val="0"/>
            <w:caps w:val="0"/>
            <w:smallCaps w:val="0"/>
            <w:strike w:val="0"/>
            <w:dstrike w:val="0"/>
            <w:noProof w:val="0"/>
            <w:sz w:val="22"/>
            <w:szCs w:val="22"/>
            <w:lang w:val="en-US"/>
          </w:rPr>
          <w:t>https://www.who.int/publications/i/item/9789241500852</w:t>
        </w:r>
      </w:hyperlink>
      <w:r w:rsidRPr="788BEF79" w:rsidR="665EE37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12 February 2026).</w:t>
      </w:r>
    </w:p>
    <w:p w:rsidR="665EE37C" w:rsidP="788BEF79" w:rsidRDefault="665EE37C" w14:paraId="4DFA23A9" w14:textId="52B43DFA">
      <w:pPr>
        <w:spacing w:before="240" w:beforeAutospacing="off" w:after="160" w:afterAutospacing="off" w:line="257"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788BEF79" w:rsidR="665EE37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Wildman, J. (2021) ‘COVID-19 and income inequality in OECD countries’, </w:t>
      </w:r>
      <w:r w:rsidRPr="788BEF79" w:rsidR="665EE37C">
        <w:rPr>
          <w:rFonts w:ascii="Arial Nova" w:hAnsi="Arial Nova" w:eastAsia="Arial Nova" w:cs="Arial Nova"/>
          <w:b w:val="0"/>
          <w:bCs w:val="0"/>
          <w:i w:val="1"/>
          <w:iCs w:val="1"/>
          <w:caps w:val="0"/>
          <w:smallCaps w:val="0"/>
          <w:noProof w:val="0"/>
          <w:color w:val="000000" w:themeColor="text1" w:themeTint="FF" w:themeShade="FF"/>
          <w:sz w:val="22"/>
          <w:szCs w:val="22"/>
          <w:lang w:val="en-US"/>
        </w:rPr>
        <w:t>The European Journal of Health Economics</w:t>
      </w:r>
      <w:r w:rsidRPr="788BEF79" w:rsidR="665EE37C">
        <w:rPr>
          <w:rFonts w:ascii="Arial Nova" w:hAnsi="Arial Nova" w:eastAsia="Arial Nova" w:cs="Arial Nova"/>
          <w:b w:val="0"/>
          <w:bCs w:val="0"/>
          <w:i w:val="0"/>
          <w:iCs w:val="0"/>
          <w:caps w:val="0"/>
          <w:smallCaps w:val="0"/>
          <w:noProof w:val="0"/>
          <w:color w:val="000000" w:themeColor="text1" w:themeTint="FF" w:themeShade="FF"/>
          <w:sz w:val="22"/>
          <w:szCs w:val="22"/>
          <w:lang w:val="en-US"/>
        </w:rPr>
        <w:t>, 22(3), pp. 455–462.</w:t>
      </w:r>
      <w:r>
        <w:br/>
      </w:r>
      <w:r w:rsidRPr="788BEF79" w:rsidR="665EE37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Available at: </w:t>
      </w:r>
      <w:hyperlink r:id="R36a5501064a246e9">
        <w:r w:rsidRPr="788BEF79" w:rsidR="665EE37C">
          <w:rPr>
            <w:rStyle w:val="Hyperlink"/>
            <w:rFonts w:ascii="Arial Nova" w:hAnsi="Arial Nova" w:eastAsia="Arial Nova" w:cs="Arial Nova"/>
            <w:b w:val="0"/>
            <w:bCs w:val="0"/>
            <w:i w:val="0"/>
            <w:iCs w:val="0"/>
            <w:caps w:val="0"/>
            <w:smallCaps w:val="0"/>
            <w:strike w:val="0"/>
            <w:dstrike w:val="0"/>
            <w:noProof w:val="0"/>
            <w:sz w:val="22"/>
            <w:szCs w:val="22"/>
            <w:lang w:val="en-US"/>
          </w:rPr>
          <w:t>https://www.ncbi.nlm.nih.gov/pmc/articles/PMC7883879/</w:t>
        </w:r>
      </w:hyperlink>
      <w:r w:rsidRPr="788BEF79" w:rsidR="665EE37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12 February 2026).</w:t>
      </w:r>
    </w:p>
    <w:p w:rsidR="665EE37C" w:rsidP="788BEF79" w:rsidRDefault="665EE37C" w14:paraId="2B19B433" w14:textId="309B0DDE">
      <w:pPr>
        <w:spacing w:before="240" w:beforeAutospacing="off" w:after="160" w:afterAutospacing="off" w:line="257"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788BEF79" w:rsidR="665EE37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World Bank (2022) </w:t>
      </w:r>
      <w:r w:rsidRPr="788BEF79" w:rsidR="665EE37C">
        <w:rPr>
          <w:rFonts w:ascii="Arial Nova" w:hAnsi="Arial Nova" w:eastAsia="Arial Nova" w:cs="Arial Nova"/>
          <w:b w:val="0"/>
          <w:bCs w:val="0"/>
          <w:i w:val="1"/>
          <w:iCs w:val="1"/>
          <w:caps w:val="0"/>
          <w:smallCaps w:val="0"/>
          <w:noProof w:val="0"/>
          <w:color w:val="000000" w:themeColor="text1" w:themeTint="FF" w:themeShade="FF"/>
          <w:sz w:val="22"/>
          <w:szCs w:val="22"/>
          <w:lang w:val="en-US"/>
        </w:rPr>
        <w:t>Poverty and Shared Prosperity 2022: Correcting Course</w:t>
      </w:r>
      <w:r w:rsidRPr="788BEF79" w:rsidR="665EE37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Washington, DC: World Bank. Available at: </w:t>
      </w:r>
      <w:hyperlink r:id="Rd0fa8f7d72354212">
        <w:r w:rsidRPr="788BEF79" w:rsidR="665EE37C">
          <w:rPr>
            <w:rStyle w:val="Hyperlink"/>
            <w:rFonts w:ascii="Arial Nova" w:hAnsi="Arial Nova" w:eastAsia="Arial Nova" w:cs="Arial Nova"/>
            <w:b w:val="0"/>
            <w:bCs w:val="0"/>
            <w:i w:val="0"/>
            <w:iCs w:val="0"/>
            <w:caps w:val="0"/>
            <w:smallCaps w:val="0"/>
            <w:strike w:val="0"/>
            <w:dstrike w:val="0"/>
            <w:noProof w:val="0"/>
            <w:sz w:val="22"/>
            <w:szCs w:val="22"/>
            <w:lang w:val="en-US"/>
          </w:rPr>
          <w:t>https://www.worldbank.org/en/publication/poverty-and-shared-prosperity</w:t>
        </w:r>
      </w:hyperlink>
      <w:r w:rsidRPr="788BEF79" w:rsidR="665EE37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12 February 2026).</w:t>
      </w:r>
    </w:p>
    <w:p w:rsidR="665EE37C" w:rsidP="788BEF79" w:rsidRDefault="665EE37C" w14:paraId="4D011F15" w14:textId="103CCD91">
      <w:pPr>
        <w:spacing w:before="240" w:beforeAutospacing="off" w:after="160" w:afterAutospacing="off" w:line="257"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788BEF79" w:rsidR="665EE37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World Health Organization (2019) </w:t>
      </w:r>
      <w:r w:rsidRPr="788BEF79" w:rsidR="665EE37C">
        <w:rPr>
          <w:rFonts w:ascii="Arial Nova" w:hAnsi="Arial Nova" w:eastAsia="Arial Nova" w:cs="Arial Nova"/>
          <w:b w:val="0"/>
          <w:bCs w:val="0"/>
          <w:i w:val="1"/>
          <w:iCs w:val="1"/>
          <w:caps w:val="0"/>
          <w:smallCaps w:val="0"/>
          <w:noProof w:val="0"/>
          <w:color w:val="000000" w:themeColor="text1" w:themeTint="FF" w:themeShade="FF"/>
          <w:sz w:val="22"/>
          <w:szCs w:val="22"/>
          <w:lang w:val="en-US"/>
        </w:rPr>
        <w:t>Global action plan for healthy lives and well-being for all</w:t>
      </w:r>
      <w:r w:rsidRPr="788BEF79" w:rsidR="665EE37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Geneva: World Health Organization. Available at: </w:t>
      </w:r>
      <w:hyperlink r:id="R49505fa759ca49f4">
        <w:r w:rsidRPr="788BEF79" w:rsidR="665EE37C">
          <w:rPr>
            <w:rStyle w:val="Hyperlink"/>
            <w:rFonts w:ascii="Arial Nova" w:hAnsi="Arial Nova" w:eastAsia="Arial Nova" w:cs="Arial Nova"/>
            <w:b w:val="0"/>
            <w:bCs w:val="0"/>
            <w:i w:val="0"/>
            <w:iCs w:val="0"/>
            <w:caps w:val="0"/>
            <w:smallCaps w:val="0"/>
            <w:strike w:val="0"/>
            <w:dstrike w:val="0"/>
            <w:noProof w:val="0"/>
            <w:sz w:val="22"/>
            <w:szCs w:val="22"/>
            <w:lang w:val="en-US"/>
          </w:rPr>
          <w:t>https://www.who.int</w:t>
        </w:r>
      </w:hyperlink>
      <w:r w:rsidRPr="788BEF79" w:rsidR="665EE37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12 February 2026).</w:t>
      </w:r>
    </w:p>
    <w:p w:rsidR="665EE37C" w:rsidP="788BEF79" w:rsidRDefault="665EE37C" w14:paraId="13272D2E" w14:textId="4BE12A9E">
      <w:p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788BEF79" w:rsidR="665EE37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World Health Organization (2023) </w:t>
      </w:r>
      <w:r w:rsidRPr="788BEF79" w:rsidR="665EE37C">
        <w:rPr>
          <w:rFonts w:ascii="Arial Nova" w:hAnsi="Arial Nova" w:eastAsia="Arial Nova" w:cs="Arial Nova"/>
          <w:b w:val="0"/>
          <w:bCs w:val="0"/>
          <w:i w:val="1"/>
          <w:iCs w:val="1"/>
          <w:caps w:val="0"/>
          <w:smallCaps w:val="0"/>
          <w:noProof w:val="0"/>
          <w:color w:val="000000" w:themeColor="text1" w:themeTint="FF" w:themeShade="FF"/>
          <w:sz w:val="22"/>
          <w:szCs w:val="22"/>
          <w:lang w:val="en-US"/>
        </w:rPr>
        <w:t>Global health estimates: Leading causes of death</w:t>
      </w:r>
      <w:r w:rsidRPr="788BEF79" w:rsidR="665EE37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Geneva: World Health Organization. Available at: </w:t>
      </w:r>
      <w:hyperlink r:id="Reaed6c88ae8240e8">
        <w:r w:rsidRPr="788BEF79" w:rsidR="665EE37C">
          <w:rPr>
            <w:rStyle w:val="Hyperlink"/>
            <w:rFonts w:ascii="Arial Nova" w:hAnsi="Arial Nova" w:eastAsia="Arial Nova" w:cs="Arial Nova"/>
            <w:b w:val="0"/>
            <w:bCs w:val="0"/>
            <w:i w:val="0"/>
            <w:iCs w:val="0"/>
            <w:caps w:val="0"/>
            <w:smallCaps w:val="0"/>
            <w:strike w:val="0"/>
            <w:dstrike w:val="0"/>
            <w:noProof w:val="0"/>
            <w:sz w:val="22"/>
            <w:szCs w:val="22"/>
            <w:lang w:val="en-US"/>
          </w:rPr>
          <w:t>https://www.who.int</w:t>
        </w:r>
      </w:hyperlink>
      <w:r w:rsidRPr="788BEF79" w:rsidR="665EE37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12 February 2026).</w:t>
      </w:r>
    </w:p>
    <w:p w:rsidR="665EE37C" w:rsidP="788BEF79" w:rsidRDefault="665EE37C" w14:paraId="74044B37" w14:textId="07D7334D">
      <w:p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788BEF79" w:rsidR="665EE37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World Health Organization (2022) </w:t>
      </w:r>
      <w:r w:rsidRPr="788BEF79" w:rsidR="665EE37C">
        <w:rPr>
          <w:rFonts w:ascii="Arial Nova" w:hAnsi="Arial Nova" w:eastAsia="Arial Nova" w:cs="Arial Nova"/>
          <w:b w:val="0"/>
          <w:bCs w:val="0"/>
          <w:i w:val="1"/>
          <w:iCs w:val="1"/>
          <w:caps w:val="0"/>
          <w:smallCaps w:val="0"/>
          <w:noProof w:val="0"/>
          <w:color w:val="000000" w:themeColor="text1" w:themeTint="FF" w:themeShade="FF"/>
          <w:sz w:val="22"/>
          <w:szCs w:val="22"/>
          <w:lang w:val="en-US"/>
        </w:rPr>
        <w:t>Health equity and its determinants</w:t>
      </w:r>
      <w:r w:rsidRPr="788BEF79" w:rsidR="665EE37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Geneva: World Health Organization. Available at: </w:t>
      </w:r>
      <w:hyperlink r:id="R6eacd2bb69da432b">
        <w:r w:rsidRPr="788BEF79" w:rsidR="665EE37C">
          <w:rPr>
            <w:rStyle w:val="Hyperlink"/>
            <w:rFonts w:ascii="Arial Nova" w:hAnsi="Arial Nova" w:eastAsia="Arial Nova" w:cs="Arial Nova"/>
            <w:b w:val="0"/>
            <w:bCs w:val="0"/>
            <w:i w:val="0"/>
            <w:iCs w:val="0"/>
            <w:caps w:val="0"/>
            <w:smallCaps w:val="0"/>
            <w:strike w:val="0"/>
            <w:dstrike w:val="0"/>
            <w:noProof w:val="0"/>
            <w:sz w:val="22"/>
            <w:szCs w:val="22"/>
            <w:lang w:val="en-US"/>
          </w:rPr>
          <w:t>https://www.who.int</w:t>
        </w:r>
      </w:hyperlink>
      <w:r w:rsidRPr="788BEF79" w:rsidR="665EE37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2 February 2026).</w:t>
      </w:r>
    </w:p>
    <w:p w:rsidR="665EE37C" w:rsidP="788BEF79" w:rsidRDefault="665EE37C" w14:paraId="2EA94BB5" w14:textId="1AB40A25">
      <w:pPr>
        <w:spacing w:before="0" w:beforeAutospacing="off" w:after="160" w:afterAutospacing="off" w:line="257"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788BEF79" w:rsidR="665EE37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United Nations Department of Economic and Social Affairs (2020) </w:t>
      </w:r>
      <w:r w:rsidRPr="788BEF79" w:rsidR="665EE37C">
        <w:rPr>
          <w:rFonts w:ascii="Arial Nova" w:hAnsi="Arial Nova" w:eastAsia="Arial Nova" w:cs="Arial Nova"/>
          <w:b w:val="0"/>
          <w:bCs w:val="0"/>
          <w:i w:val="1"/>
          <w:iCs w:val="1"/>
          <w:caps w:val="0"/>
          <w:smallCaps w:val="0"/>
          <w:noProof w:val="0"/>
          <w:color w:val="000000" w:themeColor="text1" w:themeTint="FF" w:themeShade="FF"/>
          <w:sz w:val="22"/>
          <w:szCs w:val="22"/>
          <w:lang w:val="en-US"/>
        </w:rPr>
        <w:t>World Social Report 2020: Inequality in a rapidly changing world</w:t>
      </w:r>
      <w:r w:rsidRPr="788BEF79" w:rsidR="665EE37C">
        <w:rPr>
          <w:rFonts w:ascii="Arial Nova" w:hAnsi="Arial Nova" w:eastAsia="Arial Nova" w:cs="Arial Nova"/>
          <w:b w:val="0"/>
          <w:bCs w:val="0"/>
          <w:i w:val="0"/>
          <w:iCs w:val="0"/>
          <w:caps w:val="0"/>
          <w:smallCaps w:val="0"/>
          <w:noProof w:val="0"/>
          <w:color w:val="000000" w:themeColor="text1" w:themeTint="FF" w:themeShade="FF"/>
          <w:sz w:val="22"/>
          <w:szCs w:val="22"/>
          <w:lang w:val="en-US"/>
        </w:rPr>
        <w:t>. New York: United Nations.</w:t>
      </w:r>
      <w:r>
        <w:br/>
      </w:r>
      <w:r w:rsidRPr="788BEF79" w:rsidR="665EE37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Available at: </w:t>
      </w:r>
      <w:hyperlink r:id="R39213dc045b8486b">
        <w:r w:rsidRPr="788BEF79" w:rsidR="665EE37C">
          <w:rPr>
            <w:rStyle w:val="Hyperlink"/>
            <w:rFonts w:ascii="Arial Nova" w:hAnsi="Arial Nova" w:eastAsia="Arial Nova" w:cs="Arial Nova"/>
            <w:b w:val="0"/>
            <w:bCs w:val="0"/>
            <w:i w:val="0"/>
            <w:iCs w:val="0"/>
            <w:caps w:val="0"/>
            <w:smallCaps w:val="0"/>
            <w:strike w:val="0"/>
            <w:dstrike w:val="0"/>
            <w:noProof w:val="0"/>
            <w:sz w:val="22"/>
            <w:szCs w:val="22"/>
            <w:lang w:val="en-US"/>
          </w:rPr>
          <w:t>https://www.un.org/development/desa/dspd/wp-content/uploads/sites/22/2020/01/World-Social-Report-2020-FullReport.pdf?utm</w:t>
        </w:r>
      </w:hyperlink>
      <w:r w:rsidRPr="788BEF79" w:rsidR="665EE37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12 February 2026).</w:t>
      </w:r>
    </w:p>
    <w:p w:rsidR="665EE37C" w:rsidP="788BEF79" w:rsidRDefault="665EE37C" w14:paraId="759347B3" w14:textId="191451AB">
      <w:p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788BEF79" w:rsidR="665EE37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United Nations (2015) </w:t>
      </w:r>
      <w:r w:rsidRPr="788BEF79" w:rsidR="665EE37C">
        <w:rPr>
          <w:rFonts w:ascii="Arial Nova" w:hAnsi="Arial Nova" w:eastAsia="Arial Nova" w:cs="Arial Nova"/>
          <w:b w:val="0"/>
          <w:bCs w:val="0"/>
          <w:i w:val="1"/>
          <w:iCs w:val="1"/>
          <w:caps w:val="0"/>
          <w:smallCaps w:val="0"/>
          <w:noProof w:val="0"/>
          <w:color w:val="000000" w:themeColor="text1" w:themeTint="FF" w:themeShade="FF"/>
          <w:sz w:val="22"/>
          <w:szCs w:val="22"/>
          <w:lang w:val="en-US"/>
        </w:rPr>
        <w:t>Transforming our world: the 2030 Agenda for Sustainable Development</w:t>
      </w:r>
      <w:r w:rsidRPr="788BEF79" w:rsidR="665EE37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New York: United Nations. Available at: </w:t>
      </w:r>
      <w:hyperlink r:id="R8e86a4dbafc842d6">
        <w:r w:rsidRPr="788BEF79" w:rsidR="665EE37C">
          <w:rPr>
            <w:rStyle w:val="Hyperlink"/>
            <w:rFonts w:ascii="Arial Nova" w:hAnsi="Arial Nova" w:eastAsia="Arial Nova" w:cs="Arial Nova"/>
            <w:b w:val="0"/>
            <w:bCs w:val="0"/>
            <w:i w:val="0"/>
            <w:iCs w:val="0"/>
            <w:caps w:val="0"/>
            <w:smallCaps w:val="0"/>
            <w:strike w:val="0"/>
            <w:dstrike w:val="0"/>
            <w:noProof w:val="0"/>
            <w:sz w:val="22"/>
            <w:szCs w:val="22"/>
            <w:lang w:val="en-US"/>
          </w:rPr>
          <w:t>https://sdgs.un.org/2030agenda</w:t>
        </w:r>
      </w:hyperlink>
      <w:r w:rsidRPr="788BEF79" w:rsidR="665EE37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2 February 2026).</w:t>
      </w:r>
    </w:p>
    <w:p w:rsidR="788BEF79" w:rsidP="788BEF79" w:rsidRDefault="788BEF79" w14:paraId="1813B4B3" w14:textId="1DCA2490">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88BEF79" w:rsidP="788BEF79" w:rsidRDefault="788BEF79" w14:paraId="4828B1D4" w14:textId="0D31B6FE">
      <w:pPr>
        <w:pStyle w:val="Normal"/>
        <w:rPr>
          <w:rFonts w:ascii="Arial Nova" w:hAnsi="Arial Nova" w:eastAsia="Arial Nova" w:cs="Arial Nova"/>
          <w:b w:val="0"/>
          <w:bCs w:val="0"/>
          <w:noProof w:val="0"/>
          <w:sz w:val="24"/>
          <w:szCs w:val="24"/>
          <w:lang w:val="en-US"/>
        </w:rPr>
      </w:pPr>
    </w:p>
    <w:sectPr>
      <w:pgSz w:w="12240" w:h="15840" w:orient="portrait"/>
      <w:pgMar w:top="1440" w:right="1440" w:bottom="1440" w:left="1440" w:header="720" w:footer="720" w:gutter="0"/>
      <w:cols w:space="720"/>
      <w:docGrid w:linePitch="360"/>
      <w:headerReference w:type="default" r:id="Rea98174dacbf43c9"/>
      <w:footerReference w:type="default" r:id="Rb9eb4a09dcab40b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43F1CFA4" w:rsidTr="43F1CFA4" w14:paraId="394674FC">
      <w:trPr>
        <w:trHeight w:val="300"/>
      </w:trPr>
      <w:tc>
        <w:tcPr>
          <w:tcW w:w="3120" w:type="dxa"/>
          <w:tcMar/>
        </w:tcPr>
        <w:p w:rsidR="43F1CFA4" w:rsidP="43F1CFA4" w:rsidRDefault="43F1CFA4" w14:paraId="071B626D" w14:textId="7BDE9A8B">
          <w:pPr>
            <w:pStyle w:val="Header"/>
            <w:bidi w:val="0"/>
            <w:ind w:left="-115"/>
            <w:jc w:val="left"/>
          </w:pPr>
        </w:p>
      </w:tc>
      <w:tc>
        <w:tcPr>
          <w:tcW w:w="3120" w:type="dxa"/>
          <w:tcMar/>
        </w:tcPr>
        <w:p w:rsidR="43F1CFA4" w:rsidP="43F1CFA4" w:rsidRDefault="43F1CFA4" w14:paraId="7E5A2D70" w14:textId="59E99AA7">
          <w:pPr>
            <w:pStyle w:val="Header"/>
            <w:bidi w:val="0"/>
            <w:jc w:val="center"/>
          </w:pPr>
          <w:r>
            <w:fldChar w:fldCharType="begin"/>
          </w:r>
          <w:r>
            <w:instrText xml:space="preserve">PAGE</w:instrText>
          </w:r>
          <w:r>
            <w:fldChar w:fldCharType="separate"/>
          </w:r>
          <w:r>
            <w:fldChar w:fldCharType="end"/>
          </w:r>
        </w:p>
      </w:tc>
      <w:tc>
        <w:tcPr>
          <w:tcW w:w="3120" w:type="dxa"/>
          <w:tcMar/>
        </w:tcPr>
        <w:p w:rsidR="43F1CFA4" w:rsidP="43F1CFA4" w:rsidRDefault="43F1CFA4" w14:paraId="1059A977" w14:textId="770630D9">
          <w:pPr>
            <w:pStyle w:val="Header"/>
            <w:bidi w:val="0"/>
            <w:ind w:right="-115"/>
            <w:jc w:val="right"/>
          </w:pPr>
        </w:p>
      </w:tc>
    </w:tr>
  </w:tbl>
  <w:p w:rsidR="43F1CFA4" w:rsidP="43F1CFA4" w:rsidRDefault="43F1CFA4" w14:paraId="4AF49180" w14:textId="0C2F637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43F1CFA4" w:rsidTr="43F1CFA4" w14:paraId="27344F5B">
      <w:trPr>
        <w:trHeight w:val="300"/>
      </w:trPr>
      <w:tc>
        <w:tcPr>
          <w:tcW w:w="3120" w:type="dxa"/>
          <w:tcMar/>
        </w:tcPr>
        <w:p w:rsidR="43F1CFA4" w:rsidP="43F1CFA4" w:rsidRDefault="43F1CFA4" w14:paraId="292FA0C6" w14:textId="30F4647E">
          <w:pPr>
            <w:pStyle w:val="Header"/>
            <w:bidi w:val="0"/>
            <w:ind w:left="-115"/>
            <w:jc w:val="left"/>
          </w:pPr>
        </w:p>
      </w:tc>
      <w:tc>
        <w:tcPr>
          <w:tcW w:w="3120" w:type="dxa"/>
          <w:tcMar/>
        </w:tcPr>
        <w:p w:rsidR="43F1CFA4" w:rsidP="43F1CFA4" w:rsidRDefault="43F1CFA4" w14:paraId="5AEEB1E8" w14:textId="2F231ED8">
          <w:pPr>
            <w:pStyle w:val="Header"/>
            <w:bidi w:val="0"/>
            <w:jc w:val="center"/>
          </w:pPr>
        </w:p>
      </w:tc>
      <w:tc>
        <w:tcPr>
          <w:tcW w:w="3120" w:type="dxa"/>
          <w:tcMar/>
        </w:tcPr>
        <w:p w:rsidR="43F1CFA4" w:rsidP="43F1CFA4" w:rsidRDefault="43F1CFA4" w14:paraId="54702693" w14:textId="4F0A15C9">
          <w:pPr>
            <w:pStyle w:val="Header"/>
            <w:bidi w:val="0"/>
            <w:ind w:right="-115"/>
            <w:jc w:val="right"/>
          </w:pPr>
        </w:p>
      </w:tc>
    </w:tr>
  </w:tbl>
  <w:p w:rsidR="43F1CFA4" w:rsidP="43F1CFA4" w:rsidRDefault="43F1CFA4" w14:paraId="116405E8" w14:textId="4CD769E0">
    <w:pPr>
      <w:pStyle w:val="Header"/>
      <w:bidi w:val="0"/>
    </w:pPr>
  </w:p>
</w:hdr>
</file>

<file path=word/intelligence2.xml><?xml version="1.0" encoding="utf-8"?>
<int2:intelligence xmlns:int2="http://schemas.microsoft.com/office/intelligence/2020/intelligence">
  <int2:observations>
    <int2:textHash int2:hashCode="aG+z44WpgrTp0l" int2:id="yuL5b5qf">
      <int2:state int2:type="spell" int2:value="Rejected"/>
    </int2:textHash>
    <int2:textHash int2:hashCode="DfFG05gpKgeKun" int2:id="37wcJtzn">
      <int2:state int2:type="spell" int2:value="Rejected"/>
    </int2:textHash>
    <int2:textHash int2:hashCode="NT12h6See3qwhk" int2:id="sRE0nrVE">
      <int2:state int2:type="spell" int2:value="Rejected"/>
    </int2:textHash>
    <int2:textHash int2:hashCode="uMWlah6SoXLKCn" int2:id="g4EImi8f">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32d88c7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1581B4B"/>
    <w:rsid w:val="00410197"/>
    <w:rsid w:val="014F1443"/>
    <w:rsid w:val="01581B4B"/>
    <w:rsid w:val="01A71EF3"/>
    <w:rsid w:val="01A71EF3"/>
    <w:rsid w:val="0216D209"/>
    <w:rsid w:val="02CDBBC3"/>
    <w:rsid w:val="02CDBBC3"/>
    <w:rsid w:val="03CAFCC1"/>
    <w:rsid w:val="040B72F5"/>
    <w:rsid w:val="05474460"/>
    <w:rsid w:val="062B22FE"/>
    <w:rsid w:val="06C40256"/>
    <w:rsid w:val="070FB516"/>
    <w:rsid w:val="070FB516"/>
    <w:rsid w:val="07C97FD9"/>
    <w:rsid w:val="086F1D77"/>
    <w:rsid w:val="08934BCD"/>
    <w:rsid w:val="08934BCD"/>
    <w:rsid w:val="08BBF8FC"/>
    <w:rsid w:val="0974519F"/>
    <w:rsid w:val="09966471"/>
    <w:rsid w:val="0A8AB841"/>
    <w:rsid w:val="0B3E85B2"/>
    <w:rsid w:val="0B412503"/>
    <w:rsid w:val="0B6B6890"/>
    <w:rsid w:val="0BE635F2"/>
    <w:rsid w:val="0DAAA017"/>
    <w:rsid w:val="0DBA25CF"/>
    <w:rsid w:val="0FBACFCD"/>
    <w:rsid w:val="108DE424"/>
    <w:rsid w:val="10CB4300"/>
    <w:rsid w:val="10E41381"/>
    <w:rsid w:val="1102B596"/>
    <w:rsid w:val="12015C2A"/>
    <w:rsid w:val="12C317B0"/>
    <w:rsid w:val="130CDF8A"/>
    <w:rsid w:val="1331D744"/>
    <w:rsid w:val="137219E9"/>
    <w:rsid w:val="14254DDA"/>
    <w:rsid w:val="16034738"/>
    <w:rsid w:val="16A43087"/>
    <w:rsid w:val="1848BD23"/>
    <w:rsid w:val="18DE8709"/>
    <w:rsid w:val="192DEB59"/>
    <w:rsid w:val="196CA707"/>
    <w:rsid w:val="1AF2C4BA"/>
    <w:rsid w:val="1B5BA6E5"/>
    <w:rsid w:val="1C246D2F"/>
    <w:rsid w:val="1CCFA6A4"/>
    <w:rsid w:val="1DAF2F7A"/>
    <w:rsid w:val="1E217A47"/>
    <w:rsid w:val="1E5D2430"/>
    <w:rsid w:val="1E67ED3E"/>
    <w:rsid w:val="1F12C91C"/>
    <w:rsid w:val="1F288A52"/>
    <w:rsid w:val="1F5AEBD3"/>
    <w:rsid w:val="1FB325C8"/>
    <w:rsid w:val="20831D9E"/>
    <w:rsid w:val="20831D9E"/>
    <w:rsid w:val="211C3491"/>
    <w:rsid w:val="211C3491"/>
    <w:rsid w:val="23038951"/>
    <w:rsid w:val="2334BAB2"/>
    <w:rsid w:val="236E27B0"/>
    <w:rsid w:val="23DC21D2"/>
    <w:rsid w:val="2416C0D3"/>
    <w:rsid w:val="243F551B"/>
    <w:rsid w:val="2462228E"/>
    <w:rsid w:val="24AED172"/>
    <w:rsid w:val="252E6951"/>
    <w:rsid w:val="25AA4957"/>
    <w:rsid w:val="261452B6"/>
    <w:rsid w:val="263CA085"/>
    <w:rsid w:val="26DF34B2"/>
    <w:rsid w:val="27A5E9C6"/>
    <w:rsid w:val="27EB568A"/>
    <w:rsid w:val="2A44801F"/>
    <w:rsid w:val="2A8820A2"/>
    <w:rsid w:val="2B2A27C7"/>
    <w:rsid w:val="2B2A27C7"/>
    <w:rsid w:val="2B71178C"/>
    <w:rsid w:val="2C85F5CA"/>
    <w:rsid w:val="2C85F5CA"/>
    <w:rsid w:val="2F35DE1C"/>
    <w:rsid w:val="2F60F17E"/>
    <w:rsid w:val="3188765F"/>
    <w:rsid w:val="3246C801"/>
    <w:rsid w:val="3250750E"/>
    <w:rsid w:val="33111604"/>
    <w:rsid w:val="331F16A1"/>
    <w:rsid w:val="331FB7EC"/>
    <w:rsid w:val="33523EE1"/>
    <w:rsid w:val="34028604"/>
    <w:rsid w:val="34028604"/>
    <w:rsid w:val="34CC1341"/>
    <w:rsid w:val="35DF69EA"/>
    <w:rsid w:val="37312EDF"/>
    <w:rsid w:val="37ABFF59"/>
    <w:rsid w:val="37BBAC05"/>
    <w:rsid w:val="37F83611"/>
    <w:rsid w:val="385298B1"/>
    <w:rsid w:val="38979F34"/>
    <w:rsid w:val="3B217DA9"/>
    <w:rsid w:val="3B9DCFD7"/>
    <w:rsid w:val="3DE4BBE8"/>
    <w:rsid w:val="3DED3E78"/>
    <w:rsid w:val="3ECCBAF2"/>
    <w:rsid w:val="3ED02A3D"/>
    <w:rsid w:val="410EE8F6"/>
    <w:rsid w:val="4117F5DF"/>
    <w:rsid w:val="422A57EF"/>
    <w:rsid w:val="4270ECF0"/>
    <w:rsid w:val="430D30C8"/>
    <w:rsid w:val="43F1CFA4"/>
    <w:rsid w:val="4466FC08"/>
    <w:rsid w:val="44B64264"/>
    <w:rsid w:val="44D8E434"/>
    <w:rsid w:val="468FEF98"/>
    <w:rsid w:val="47914166"/>
    <w:rsid w:val="47C9F86A"/>
    <w:rsid w:val="487938D8"/>
    <w:rsid w:val="48B318C1"/>
    <w:rsid w:val="49EBBE68"/>
    <w:rsid w:val="4A8BBEE2"/>
    <w:rsid w:val="4B9A1D3C"/>
    <w:rsid w:val="4BA83167"/>
    <w:rsid w:val="4D9056DA"/>
    <w:rsid w:val="4E3951C2"/>
    <w:rsid w:val="4EA29983"/>
    <w:rsid w:val="4F21DF55"/>
    <w:rsid w:val="4F3A59F4"/>
    <w:rsid w:val="4F445D7D"/>
    <w:rsid w:val="4F7E632B"/>
    <w:rsid w:val="50257BCF"/>
    <w:rsid w:val="51D0282F"/>
    <w:rsid w:val="5353121F"/>
    <w:rsid w:val="53C45A5D"/>
    <w:rsid w:val="53C45A5D"/>
    <w:rsid w:val="53F0CCA4"/>
    <w:rsid w:val="5411EE56"/>
    <w:rsid w:val="556A4341"/>
    <w:rsid w:val="556A4341"/>
    <w:rsid w:val="56CE5C9A"/>
    <w:rsid w:val="58524F93"/>
    <w:rsid w:val="5875EC1C"/>
    <w:rsid w:val="58FD31D9"/>
    <w:rsid w:val="59449C7F"/>
    <w:rsid w:val="5AC5EB31"/>
    <w:rsid w:val="5B800FB0"/>
    <w:rsid w:val="5B83A299"/>
    <w:rsid w:val="5C2E5BAC"/>
    <w:rsid w:val="5C3FC8CE"/>
    <w:rsid w:val="5DB66A45"/>
    <w:rsid w:val="5E620689"/>
    <w:rsid w:val="5EA73B9F"/>
    <w:rsid w:val="5EB1DFA0"/>
    <w:rsid w:val="5EDAEC7C"/>
    <w:rsid w:val="5EF419B7"/>
    <w:rsid w:val="5EF419B7"/>
    <w:rsid w:val="5F62F48B"/>
    <w:rsid w:val="60207F7B"/>
    <w:rsid w:val="608D7C83"/>
    <w:rsid w:val="60A7C3EC"/>
    <w:rsid w:val="60A7C3EC"/>
    <w:rsid w:val="60B7CF53"/>
    <w:rsid w:val="611D4F96"/>
    <w:rsid w:val="61C5E12E"/>
    <w:rsid w:val="62C26C05"/>
    <w:rsid w:val="62FC284D"/>
    <w:rsid w:val="632A8CCB"/>
    <w:rsid w:val="63D37903"/>
    <w:rsid w:val="6486B145"/>
    <w:rsid w:val="64A85F4F"/>
    <w:rsid w:val="657FD242"/>
    <w:rsid w:val="665EE37C"/>
    <w:rsid w:val="669FBA8F"/>
    <w:rsid w:val="67B02F93"/>
    <w:rsid w:val="67B4DF73"/>
    <w:rsid w:val="68E76C78"/>
    <w:rsid w:val="68F4D2F6"/>
    <w:rsid w:val="68FEEEF5"/>
    <w:rsid w:val="68FEEEF5"/>
    <w:rsid w:val="6AFB9CAE"/>
    <w:rsid w:val="6C0F089D"/>
    <w:rsid w:val="6C801BE9"/>
    <w:rsid w:val="6CA271C0"/>
    <w:rsid w:val="6CB97D1C"/>
    <w:rsid w:val="6CC42EB1"/>
    <w:rsid w:val="6E63AF95"/>
    <w:rsid w:val="6E80C665"/>
    <w:rsid w:val="6EFF74DC"/>
    <w:rsid w:val="6FA2F856"/>
    <w:rsid w:val="6FA2F856"/>
    <w:rsid w:val="7091136B"/>
    <w:rsid w:val="715E0CB5"/>
    <w:rsid w:val="71F50C6C"/>
    <w:rsid w:val="720614EA"/>
    <w:rsid w:val="72E126D2"/>
    <w:rsid w:val="73526563"/>
    <w:rsid w:val="73E5F638"/>
    <w:rsid w:val="7443903D"/>
    <w:rsid w:val="74807E06"/>
    <w:rsid w:val="74CA9528"/>
    <w:rsid w:val="74EA9650"/>
    <w:rsid w:val="75116E84"/>
    <w:rsid w:val="751314A7"/>
    <w:rsid w:val="75234D17"/>
    <w:rsid w:val="7569F9A2"/>
    <w:rsid w:val="77532490"/>
    <w:rsid w:val="77532490"/>
    <w:rsid w:val="788BEF79"/>
    <w:rsid w:val="796DF611"/>
    <w:rsid w:val="798EAB9C"/>
    <w:rsid w:val="7AB57A96"/>
    <w:rsid w:val="7B7D9C03"/>
    <w:rsid w:val="7B94B381"/>
    <w:rsid w:val="7BE68D49"/>
    <w:rsid w:val="7CA237D5"/>
    <w:rsid w:val="7CA561A4"/>
    <w:rsid w:val="7CD23B5D"/>
    <w:rsid w:val="7D0114E6"/>
    <w:rsid w:val="7D412D0A"/>
    <w:rsid w:val="7D772D0E"/>
    <w:rsid w:val="7DE40354"/>
    <w:rsid w:val="7E78E66C"/>
    <w:rsid w:val="7E8D6098"/>
    <w:rsid w:val="7EABB459"/>
    <w:rsid w:val="7ECA9294"/>
    <w:rsid w:val="7EEDAF1C"/>
    <w:rsid w:val="7FD863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581B4B"/>
  <w15:chartTrackingRefBased/>
  <w15:docId w15:val="{2BBCC4B8-BBDE-4DEB-8E3C-18F7C2ACB65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788BEF79"/>
    <w:pPr>
      <w:spacing/>
      <w:ind w:left="720"/>
      <w:contextualSpacing/>
    </w:pPr>
  </w:style>
  <w:style w:type="character" w:styleId="Hyperlink">
    <w:uiPriority w:val="99"/>
    <w:name w:val="Hyperlink"/>
    <w:basedOn w:val="DefaultParagraphFont"/>
    <w:unhideWhenUsed/>
    <w:rsid w:val="788BEF79"/>
    <w:rPr>
      <w:color w:val="467886"/>
      <w:u w:val="single"/>
    </w:rPr>
  </w:style>
  <w:style w:type="paragraph" w:styleId="Header">
    <w:uiPriority w:val="99"/>
    <w:name w:val="header"/>
    <w:basedOn w:val="Normal"/>
    <w:unhideWhenUsed/>
    <w:rsid w:val="43F1CFA4"/>
    <w:pPr>
      <w:tabs>
        <w:tab w:val="center" w:leader="none" w:pos="4680"/>
        <w:tab w:val="right" w:leader="none" w:pos="9360"/>
      </w:tabs>
      <w:spacing w:after="0" w:line="240" w:lineRule="auto"/>
    </w:pPr>
  </w:style>
  <w:style w:type="paragraph" w:styleId="Footer">
    <w:uiPriority w:val="99"/>
    <w:name w:val="footer"/>
    <w:basedOn w:val="Normal"/>
    <w:unhideWhenUsed/>
    <w:rsid w:val="43F1CFA4"/>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936420625" /><Relationship Type="http://schemas.openxmlformats.org/officeDocument/2006/relationships/hyperlink" Target="https://ophi.org.uk/multidimensional-poverty-index/" TargetMode="External" Id="R598d5300351c47eb" /><Relationship Type="http://schemas.openxmlformats.org/officeDocument/2006/relationships/hyperlink" Target="https://jech.bmj.com/content/74/11/964" TargetMode="External" Id="R8f2bdec11faa4f64" /><Relationship Type="http://schemas.openxmlformats.org/officeDocument/2006/relationships/hyperlink" Target="https://doi.org/10.1177/1090198104263660" TargetMode="External" Id="R5ae9114238c54419" /><Relationship Type="http://schemas.openxmlformats.org/officeDocument/2006/relationships/hyperlink" Target="https://www.cambridge.org/core/books/abs/measuring-justice/critique-of-the-capability-approach/CF25C6A06AE67498B1ED0815346959EF" TargetMode="External" Id="R2cc84af12701470f" /><Relationship Type="http://schemas.openxmlformats.org/officeDocument/2006/relationships/hyperlink" Target="https://doi.org/10.1016/S0140-6736(20)30925-9" TargetMode="External" Id="R542b8c4a05a044d4" /><Relationship Type="http://schemas.openxmlformats.org/officeDocument/2006/relationships/hyperlink" Target="https://www.instituteofhealthequity.org" TargetMode="External" Id="Rab38e14dc9e240cb" /><Relationship Type="http://schemas.openxmlformats.org/officeDocument/2006/relationships/hyperlink" Target="https://www.longtermplan.nhs.uk/" TargetMode="External" Id="Rb863c9ba5f1f47bc" /><Relationship Type="http://schemas.openxmlformats.org/officeDocument/2006/relationships/hyperlink" Target="https://www.oecd.org/en/publications/socio-economic-and-ethnic-health-inequalities-in-covid-19-outcomes-across-oecd-countries_6c2a96c9-en.html" TargetMode="External" Id="R52526f60556145b3" /><Relationship Type="http://schemas.openxmlformats.org/officeDocument/2006/relationships/hyperlink" Target="https://www.gov.uk/government/organisations/office-for-health-improvement-and-disparities" TargetMode="External" Id="Rf7e64037cf134a88" /><Relationship Type="http://schemas.openxmlformats.org/officeDocument/2006/relationships/hyperlink" Target="https://www.gov.uk/government/organisations/public-health-england" TargetMode="External" Id="R3f284edcf31f4457" /><Relationship Type="http://schemas.openxmlformats.org/officeDocument/2006/relationships/hyperlink" Target="https://doi.org/10.1177/109019818801500203" TargetMode="External" Id="R2adf9bf99e944ac0" /><Relationship Type="http://schemas.openxmlformats.org/officeDocument/2006/relationships/hyperlink" Target="https://www.who.int/publications/i/item/9789241500852" TargetMode="External" Id="Rc556de078fd84f06" /><Relationship Type="http://schemas.openxmlformats.org/officeDocument/2006/relationships/hyperlink" Target="https://www.ncbi.nlm.nih.gov/pmc/articles/PMC7883879/" TargetMode="External" Id="R36a5501064a246e9" /><Relationship Type="http://schemas.openxmlformats.org/officeDocument/2006/relationships/hyperlink" Target="https://www.worldbank.org/en/publication/poverty-and-shared-prosperity" TargetMode="External" Id="Rd0fa8f7d72354212" /><Relationship Type="http://schemas.openxmlformats.org/officeDocument/2006/relationships/hyperlink" Target="https://www.who.int/" TargetMode="External" Id="R49505fa759ca49f4" /><Relationship Type="http://schemas.openxmlformats.org/officeDocument/2006/relationships/hyperlink" Target="https://www.who.int/" TargetMode="External" Id="Reaed6c88ae8240e8" /><Relationship Type="http://schemas.openxmlformats.org/officeDocument/2006/relationships/hyperlink" Target="https://www.who.int/" TargetMode="External" Id="R6eacd2bb69da432b" /><Relationship Type="http://schemas.openxmlformats.org/officeDocument/2006/relationships/hyperlink" Target="https://www.un.org/development/desa/dspd/wp-content/uploads/sites/22/2020/01/World-Social-Report-2020-FullReport.pdf?utm" TargetMode="External" Id="R39213dc045b8486b" /><Relationship Type="http://schemas.openxmlformats.org/officeDocument/2006/relationships/hyperlink" Target="https://sdgs.un.org/2030agenda" TargetMode="External" Id="R8e86a4dbafc842d6" /><Relationship Type="http://schemas.openxmlformats.org/officeDocument/2006/relationships/numbering" Target="numbering.xml" Id="R6703abdd57f84307" /><Relationship Type="http://schemas.openxmlformats.org/officeDocument/2006/relationships/hyperlink" Target="https://doi.org/10.1080/146498805200034266" TargetMode="External" Id="R2fa90b5a8ea14677" /><Relationship Type="http://schemas.openxmlformats.org/officeDocument/2006/relationships/header" Target="header.xml" Id="Rea98174dacbf43c9" /><Relationship Type="http://schemas.openxmlformats.org/officeDocument/2006/relationships/footer" Target="footer.xml" Id="Rb9eb4a09dcab40ba" /><Relationship Type="http://schemas.microsoft.com/office/2020/10/relationships/intelligence" Target="intelligence2.xml" Id="Re2822f73606545d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2026-02-02T11:44:39.6108894Z</dcterms:created>
  <dcterms:modified xsi:type="dcterms:W3CDTF">2026-03-21T08:39:23.9615872Z</dcterms:modified>
  <dc:creator>Assma Zahoor (2242809)</dc:creator>
  <lastModifiedBy>Assma Zahoor (2242809)</lastModifiedBy>
</coreProperties>
</file>