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05771" w14:textId="77777777" w:rsidR="00824F32" w:rsidRPr="00824F32" w:rsidRDefault="00824F32" w:rsidP="00824F32">
      <w:pPr>
        <w:rPr>
          <w:rFonts w:ascii="Arial" w:hAnsi="Arial" w:cs="Arial"/>
          <w:b/>
          <w:bCs/>
          <w:sz w:val="24"/>
          <w:szCs w:val="24"/>
        </w:rPr>
      </w:pPr>
      <w:r w:rsidRPr="00824F32">
        <w:rPr>
          <w:rFonts w:ascii="Arial" w:hAnsi="Arial" w:cs="Arial"/>
          <w:b/>
          <w:bCs/>
          <w:sz w:val="24"/>
          <w:szCs w:val="24"/>
        </w:rPr>
        <w:t>NSEDA Assignment F – Staff Solution</w:t>
      </w:r>
    </w:p>
    <w:p w14:paraId="67D76F20" w14:textId="77777777" w:rsidR="00824F32" w:rsidRPr="00824F32" w:rsidRDefault="00824F32" w:rsidP="00824F32">
      <w:pPr>
        <w:rPr>
          <w:rFonts w:ascii="Arial" w:hAnsi="Arial" w:cs="Arial"/>
          <w:b/>
          <w:bCs/>
          <w:sz w:val="24"/>
          <w:szCs w:val="24"/>
        </w:rPr>
      </w:pPr>
      <w:r w:rsidRPr="00824F32">
        <w:rPr>
          <w:rFonts w:ascii="Arial" w:hAnsi="Arial" w:cs="Arial"/>
          <w:b/>
          <w:bCs/>
          <w:sz w:val="24"/>
          <w:szCs w:val="24"/>
        </w:rPr>
        <w:t>Use of this sheet</w:t>
      </w:r>
    </w:p>
    <w:p w14:paraId="4ECF201A" w14:textId="77777777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This is an indicative staff solution. </w:t>
      </w:r>
      <w:proofErr w:type="gramStart"/>
      <w:r w:rsidRPr="00824F32">
        <w:rPr>
          <w:rFonts w:ascii="Arial" w:hAnsi="Arial" w:cs="Arial"/>
          <w:sz w:val="24"/>
          <w:szCs w:val="24"/>
        </w:rPr>
        <w:t>Credit equivalent scientifically defensible approaches,</w:t>
      </w:r>
      <w:proofErr w:type="gramEnd"/>
      <w:r w:rsidRPr="00824F32">
        <w:rPr>
          <w:rFonts w:ascii="Arial" w:hAnsi="Arial" w:cs="Arial"/>
          <w:sz w:val="24"/>
          <w:szCs w:val="24"/>
        </w:rPr>
        <w:t xml:space="preserve"> provided assumptions are stated and calculations are internally consistent. The assignment concerns an Ir-192 industrial radiography source-return incident on </w:t>
      </w:r>
      <w:r w:rsidRPr="00824F32">
        <w:rPr>
          <w:rFonts w:ascii="Arial" w:hAnsi="Arial" w:cs="Arial"/>
          <w:b/>
          <w:bCs/>
          <w:sz w:val="24"/>
          <w:szCs w:val="24"/>
        </w:rPr>
        <w:t>22 November 2024</w:t>
      </w:r>
      <w:r w:rsidRPr="00824F32">
        <w:rPr>
          <w:rFonts w:ascii="Arial" w:hAnsi="Arial" w:cs="Arial"/>
          <w:sz w:val="24"/>
          <w:szCs w:val="24"/>
        </w:rPr>
        <w:t xml:space="preserve">, involving a source with an original activity of </w:t>
      </w:r>
      <w:r w:rsidRPr="00824F32">
        <w:rPr>
          <w:rFonts w:ascii="Arial" w:hAnsi="Arial" w:cs="Arial"/>
          <w:b/>
          <w:bCs/>
          <w:sz w:val="24"/>
          <w:szCs w:val="24"/>
        </w:rPr>
        <w:t xml:space="preserve">16 </w:t>
      </w:r>
      <w:proofErr w:type="spellStart"/>
      <w:r w:rsidRPr="00824F32">
        <w:rPr>
          <w:rFonts w:ascii="Arial" w:hAnsi="Arial" w:cs="Arial"/>
          <w:b/>
          <w:bCs/>
          <w:sz w:val="24"/>
          <w:szCs w:val="24"/>
        </w:rPr>
        <w:t>TBq</w:t>
      </w:r>
      <w:proofErr w:type="spellEnd"/>
      <w:r w:rsidRPr="00824F32">
        <w:rPr>
          <w:rFonts w:ascii="Arial" w:hAnsi="Arial" w:cs="Arial"/>
          <w:b/>
          <w:bCs/>
          <w:sz w:val="24"/>
          <w:szCs w:val="24"/>
        </w:rPr>
        <w:t xml:space="preserve"> certified on 11 July 2024</w:t>
      </w:r>
      <w:r w:rsidRPr="00824F32">
        <w:rPr>
          <w:rFonts w:ascii="Arial" w:hAnsi="Arial" w:cs="Arial"/>
          <w:sz w:val="24"/>
          <w:szCs w:val="24"/>
        </w:rPr>
        <w:t>.</w:t>
      </w:r>
    </w:p>
    <w:p w14:paraId="7B0F5A7C" w14:textId="77777777" w:rsidR="00824F32" w:rsidRPr="00824F32" w:rsidRDefault="00603D17" w:rsidP="00824F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796AE7CB">
          <v:rect id="_x0000_i1025" style="width:0;height:1.5pt" o:hralign="center" o:hrstd="t" o:hr="t" fillcolor="#a0a0a0" stroked="f"/>
        </w:pict>
      </w:r>
    </w:p>
    <w:p w14:paraId="170F4D79" w14:textId="77777777" w:rsidR="00824F32" w:rsidRPr="00824F32" w:rsidRDefault="00824F32" w:rsidP="00824F32">
      <w:pPr>
        <w:rPr>
          <w:rFonts w:ascii="Arial" w:hAnsi="Arial" w:cs="Arial"/>
          <w:b/>
          <w:bCs/>
          <w:sz w:val="24"/>
          <w:szCs w:val="24"/>
        </w:rPr>
      </w:pPr>
      <w:r w:rsidRPr="00824F32">
        <w:rPr>
          <w:rFonts w:ascii="Arial" w:hAnsi="Arial" w:cs="Arial"/>
          <w:b/>
          <w:bCs/>
          <w:sz w:val="24"/>
          <w:szCs w:val="24"/>
        </w:rPr>
        <w:t>Key indicative numerical answers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7"/>
        <w:gridCol w:w="2200"/>
        <w:gridCol w:w="3232"/>
      </w:tblGrid>
      <w:tr w:rsidR="00824F32" w:rsidRPr="00824F32" w14:paraId="4E36ADFB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11BC957" w14:textId="77777777" w:rsidR="00824F32" w:rsidRPr="00824F32" w:rsidRDefault="00824F32" w:rsidP="00824F3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24F32">
              <w:rPr>
                <w:rFonts w:ascii="Arial" w:hAnsi="Arial" w:cs="Arial"/>
                <w:b/>
                <w:bCs/>
                <w:sz w:val="24"/>
                <w:szCs w:val="24"/>
              </w:rPr>
              <w:t>Quantity</w:t>
            </w:r>
          </w:p>
        </w:tc>
        <w:tc>
          <w:tcPr>
            <w:tcW w:w="0" w:type="auto"/>
            <w:vAlign w:val="center"/>
            <w:hideMark/>
          </w:tcPr>
          <w:p w14:paraId="6207D2CA" w14:textId="77777777" w:rsidR="00824F32" w:rsidRPr="00824F32" w:rsidRDefault="00824F32" w:rsidP="00824F3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24F32">
              <w:rPr>
                <w:rFonts w:ascii="Arial" w:hAnsi="Arial" w:cs="Arial"/>
                <w:b/>
                <w:bCs/>
                <w:sz w:val="24"/>
                <w:szCs w:val="24"/>
              </w:rPr>
              <w:t>Indicative value</w:t>
            </w:r>
          </w:p>
        </w:tc>
        <w:tc>
          <w:tcPr>
            <w:tcW w:w="0" w:type="auto"/>
            <w:vAlign w:val="center"/>
            <w:hideMark/>
          </w:tcPr>
          <w:p w14:paraId="612E7476" w14:textId="77777777" w:rsidR="00824F32" w:rsidRPr="00824F32" w:rsidRDefault="00824F32" w:rsidP="00824F3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24F32">
              <w:rPr>
                <w:rFonts w:ascii="Arial" w:hAnsi="Arial" w:cs="Arial"/>
                <w:b/>
                <w:bCs/>
                <w:sz w:val="24"/>
                <w:szCs w:val="24"/>
              </w:rPr>
              <w:t>Marker note</w:t>
            </w:r>
          </w:p>
        </w:tc>
      </w:tr>
      <w:tr w:rsidR="00824F32" w:rsidRPr="00824F32" w14:paraId="54426E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D4B3B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Source activity on 22 Nov 2024</w:t>
            </w:r>
          </w:p>
        </w:tc>
        <w:tc>
          <w:tcPr>
            <w:tcW w:w="0" w:type="auto"/>
            <w:vAlign w:val="center"/>
            <w:hideMark/>
          </w:tcPr>
          <w:p w14:paraId="52FBD021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 xml:space="preserve">≈ 4.4–4.6 </w:t>
            </w:r>
            <w:proofErr w:type="spellStart"/>
            <w:r w:rsidRPr="00824F32">
              <w:rPr>
                <w:rFonts w:ascii="Arial" w:hAnsi="Arial" w:cs="Arial"/>
                <w:sz w:val="24"/>
                <w:szCs w:val="24"/>
              </w:rPr>
              <w:t>TBq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16C5696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Accept reasonable rounding</w:t>
            </w:r>
          </w:p>
        </w:tc>
      </w:tr>
      <w:tr w:rsidR="00824F32" w:rsidRPr="00824F32" w14:paraId="543E5C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F35FC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Dose rate at 1 m</w:t>
            </w:r>
          </w:p>
        </w:tc>
        <w:tc>
          <w:tcPr>
            <w:tcW w:w="0" w:type="auto"/>
            <w:vAlign w:val="center"/>
            <w:hideMark/>
          </w:tcPr>
          <w:p w14:paraId="5DE6B88C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≈ 0.58–0.60 Sv h^-1</w:t>
            </w:r>
          </w:p>
        </w:tc>
        <w:tc>
          <w:tcPr>
            <w:tcW w:w="0" w:type="auto"/>
            <w:vAlign w:val="center"/>
            <w:hideMark/>
          </w:tcPr>
          <w:p w14:paraId="7742AEF1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Γ ≈ 0.13 mSv m² GBq^-1 h^-1</w:t>
            </w:r>
          </w:p>
        </w:tc>
      </w:tr>
      <w:tr w:rsidR="00824F32" w:rsidRPr="00824F32" w14:paraId="0D94E1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BB522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Initial phase (0.8 m)</w:t>
            </w:r>
          </w:p>
        </w:tc>
        <w:tc>
          <w:tcPr>
            <w:tcW w:w="0" w:type="auto"/>
            <w:vAlign w:val="center"/>
            <w:hideMark/>
          </w:tcPr>
          <w:p w14:paraId="5FE0D92D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≈ 0.18–0.28 Sv h^-1</w:t>
            </w:r>
          </w:p>
        </w:tc>
        <w:tc>
          <w:tcPr>
            <w:tcW w:w="0" w:type="auto"/>
            <w:vAlign w:val="center"/>
            <w:hideMark/>
          </w:tcPr>
          <w:p w14:paraId="4FF88F0E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20–30% of nominal</w:t>
            </w:r>
          </w:p>
        </w:tc>
      </w:tr>
      <w:tr w:rsidR="00824F32" w:rsidRPr="00824F32" w14:paraId="11B66C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1AE25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Close phase (0.5 m)</w:t>
            </w:r>
          </w:p>
        </w:tc>
        <w:tc>
          <w:tcPr>
            <w:tcW w:w="0" w:type="auto"/>
            <w:vAlign w:val="center"/>
            <w:hideMark/>
          </w:tcPr>
          <w:p w14:paraId="0CA27931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≈ 0.94–1.42 Sv h^-1</w:t>
            </w:r>
          </w:p>
        </w:tc>
        <w:tc>
          <w:tcPr>
            <w:tcW w:w="0" w:type="auto"/>
            <w:vAlign w:val="center"/>
            <w:hideMark/>
          </w:tcPr>
          <w:p w14:paraId="501005AC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40–60% of nominal</w:t>
            </w:r>
          </w:p>
        </w:tc>
      </w:tr>
      <w:tr w:rsidR="00824F32" w:rsidRPr="00824F32" w14:paraId="50652C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FF7C0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Whole-body dose</w:t>
            </w:r>
          </w:p>
        </w:tc>
        <w:tc>
          <w:tcPr>
            <w:tcW w:w="0" w:type="auto"/>
            <w:vAlign w:val="center"/>
            <w:hideMark/>
          </w:tcPr>
          <w:p w14:paraId="62B04396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~8–10 mSv (typical)</w:t>
            </w:r>
          </w:p>
        </w:tc>
        <w:tc>
          <w:tcPr>
            <w:tcW w:w="0" w:type="auto"/>
            <w:vAlign w:val="center"/>
            <w:hideMark/>
          </w:tcPr>
          <w:p w14:paraId="1F1DAC3C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Accept ~6–13 mSv</w:t>
            </w:r>
          </w:p>
        </w:tc>
      </w:tr>
    </w:tbl>
    <w:p w14:paraId="5455CA4D" w14:textId="77777777" w:rsidR="00824F32" w:rsidRPr="00824F32" w:rsidRDefault="00603D17" w:rsidP="00824F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154B5D78">
          <v:rect id="_x0000_i1026" style="width:0;height:1.5pt" o:hralign="center" o:hrstd="t" o:hr="t" fillcolor="#a0a0a0" stroked="f"/>
        </w:pict>
      </w:r>
    </w:p>
    <w:p w14:paraId="7A3EBEB1" w14:textId="77777777" w:rsidR="00824F32" w:rsidRPr="00824F32" w:rsidRDefault="00824F32" w:rsidP="00824F32">
      <w:pPr>
        <w:rPr>
          <w:rFonts w:ascii="Arial" w:hAnsi="Arial" w:cs="Arial"/>
          <w:b/>
          <w:bCs/>
          <w:sz w:val="24"/>
          <w:szCs w:val="24"/>
        </w:rPr>
      </w:pPr>
      <w:r w:rsidRPr="00824F32">
        <w:rPr>
          <w:rFonts w:ascii="Arial" w:hAnsi="Arial" w:cs="Arial"/>
          <w:b/>
          <w:bCs/>
          <w:sz w:val="24"/>
          <w:szCs w:val="24"/>
        </w:rPr>
        <w:t>1. Framing expected from a good report</w:t>
      </w:r>
    </w:p>
    <w:p w14:paraId="54267A85" w14:textId="77777777" w:rsidR="00824F32" w:rsidRPr="00824F32" w:rsidRDefault="00824F32" w:rsidP="00824F32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The strongest submissions will read as a </w:t>
      </w:r>
      <w:r w:rsidRPr="00824F32">
        <w:rPr>
          <w:rFonts w:ascii="Arial" w:hAnsi="Arial" w:cs="Arial"/>
          <w:b/>
          <w:bCs/>
          <w:sz w:val="24"/>
          <w:szCs w:val="24"/>
        </w:rPr>
        <w:t>single scientific investigation</w:t>
      </w:r>
      <w:r w:rsidRPr="00824F32">
        <w:rPr>
          <w:rFonts w:ascii="Arial" w:hAnsi="Arial" w:cs="Arial"/>
          <w:sz w:val="24"/>
          <w:szCs w:val="24"/>
        </w:rPr>
        <w:t xml:space="preserve"> rather than a sequence of short answers. </w:t>
      </w:r>
    </w:p>
    <w:p w14:paraId="633721A5" w14:textId="77777777" w:rsidR="00824F32" w:rsidRPr="00824F32" w:rsidRDefault="00824F32" w:rsidP="00824F32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Students should justify assumptions, including: </w:t>
      </w:r>
    </w:p>
    <w:p w14:paraId="5512B545" w14:textId="77777777" w:rsidR="00824F32" w:rsidRPr="00824F32" w:rsidRDefault="00824F32" w:rsidP="00824F32">
      <w:pPr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point-source approximation </w:t>
      </w:r>
    </w:p>
    <w:p w14:paraId="49C0FB59" w14:textId="77777777" w:rsidR="00824F32" w:rsidRPr="00824F32" w:rsidRDefault="00824F32" w:rsidP="00824F32">
      <w:pPr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inverse-square behaviour </w:t>
      </w:r>
    </w:p>
    <w:p w14:paraId="0B7752A9" w14:textId="77777777" w:rsidR="00824F32" w:rsidRPr="00824F32" w:rsidRDefault="00824F32" w:rsidP="00824F32">
      <w:pPr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use of a tabulated gamma constant </w:t>
      </w:r>
    </w:p>
    <w:p w14:paraId="7BAAE240" w14:textId="77777777" w:rsidR="00824F32" w:rsidRPr="00824F32" w:rsidRDefault="00824F32" w:rsidP="00824F32">
      <w:pPr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representative attenuation factors </w:t>
      </w:r>
    </w:p>
    <w:p w14:paraId="65B6AEAE" w14:textId="77777777" w:rsidR="00824F32" w:rsidRPr="00824F32" w:rsidRDefault="00824F32" w:rsidP="00824F32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Numerical agreement with dosimetry does not need to be exact; order-of-magnitude correctness and sound reasoning are key. </w:t>
      </w:r>
    </w:p>
    <w:p w14:paraId="2C5825C0" w14:textId="77777777" w:rsidR="00824F32" w:rsidRPr="00824F32" w:rsidRDefault="00824F32" w:rsidP="00824F32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Recognition of a </w:t>
      </w:r>
      <w:r w:rsidRPr="00824F32">
        <w:rPr>
          <w:rFonts w:ascii="Arial" w:hAnsi="Arial" w:cs="Arial"/>
          <w:b/>
          <w:bCs/>
          <w:sz w:val="24"/>
          <w:szCs w:val="24"/>
        </w:rPr>
        <w:t>non-uniform radiation field</w:t>
      </w:r>
      <w:r w:rsidRPr="00824F32">
        <w:rPr>
          <w:rFonts w:ascii="Arial" w:hAnsi="Arial" w:cs="Arial"/>
          <w:sz w:val="24"/>
          <w:szCs w:val="24"/>
        </w:rPr>
        <w:t xml:space="preserve"> is essential, particularly due to guide-tube geometry and partial shielding. </w:t>
      </w:r>
    </w:p>
    <w:p w14:paraId="4CACF6BD" w14:textId="77777777" w:rsidR="00824F32" w:rsidRPr="00824F32" w:rsidRDefault="00603D17" w:rsidP="00824F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074D8EDA">
          <v:rect id="_x0000_i1027" style="width:0;height:1.5pt" o:hralign="center" o:hrstd="t" o:hr="t" fillcolor="#a0a0a0" stroked="f"/>
        </w:pict>
      </w:r>
    </w:p>
    <w:p w14:paraId="22828F26" w14:textId="77777777" w:rsidR="00824F32" w:rsidRPr="00824F32" w:rsidRDefault="00824F32" w:rsidP="00824F32">
      <w:pPr>
        <w:rPr>
          <w:rFonts w:ascii="Arial" w:hAnsi="Arial" w:cs="Arial"/>
          <w:b/>
          <w:bCs/>
          <w:sz w:val="24"/>
          <w:szCs w:val="24"/>
        </w:rPr>
      </w:pPr>
      <w:r w:rsidRPr="00824F32">
        <w:rPr>
          <w:rFonts w:ascii="Arial" w:hAnsi="Arial" w:cs="Arial"/>
          <w:b/>
          <w:bCs/>
          <w:sz w:val="24"/>
          <w:szCs w:val="24"/>
        </w:rPr>
        <w:t>2. Worked scientific solution</w:t>
      </w:r>
    </w:p>
    <w:p w14:paraId="05BA5A28" w14:textId="77777777" w:rsidR="00824F32" w:rsidRPr="00824F32" w:rsidRDefault="00824F32" w:rsidP="00824F32">
      <w:pPr>
        <w:rPr>
          <w:rFonts w:ascii="Arial" w:hAnsi="Arial" w:cs="Arial"/>
          <w:b/>
          <w:bCs/>
          <w:sz w:val="24"/>
          <w:szCs w:val="24"/>
        </w:rPr>
      </w:pPr>
      <w:r w:rsidRPr="00824F32">
        <w:rPr>
          <w:rFonts w:ascii="Arial" w:hAnsi="Arial" w:cs="Arial"/>
          <w:b/>
          <w:bCs/>
          <w:sz w:val="24"/>
          <w:szCs w:val="24"/>
        </w:rPr>
        <w:t>2.1 Suitability of Iridium-192</w:t>
      </w:r>
    </w:p>
    <w:p w14:paraId="59217098" w14:textId="77777777" w:rsidR="00824F32" w:rsidRPr="00824F32" w:rsidRDefault="00824F32" w:rsidP="00824F32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lastRenderedPageBreak/>
        <w:t xml:space="preserve">Ir-192 emits gamma radiation suitable for industrial radiography, providing sufficient penetration for weld inspection. </w:t>
      </w:r>
    </w:p>
    <w:p w14:paraId="72E95CAB" w14:textId="77777777" w:rsidR="00824F32" w:rsidRPr="00824F32" w:rsidRDefault="00824F32" w:rsidP="00824F32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The half-life (~73.8 days) allows high specific activity and a compact source. </w:t>
      </w:r>
    </w:p>
    <w:p w14:paraId="7D950A12" w14:textId="77777777" w:rsidR="00824F32" w:rsidRPr="00824F32" w:rsidRDefault="00824F32" w:rsidP="00824F32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It can be incorporated into sealed sources suitable for remote projection systems. </w:t>
      </w:r>
    </w:p>
    <w:p w14:paraId="59B061C7" w14:textId="77777777" w:rsidR="00824F32" w:rsidRPr="00824F32" w:rsidRDefault="00824F32" w:rsidP="00824F32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Limitations include rapid decay requiring regular replacement and the need for strict control of source return. </w:t>
      </w:r>
    </w:p>
    <w:p w14:paraId="5EA3F844" w14:textId="77777777" w:rsidR="00824F32" w:rsidRPr="00824F32" w:rsidRDefault="00603D17" w:rsidP="00824F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456DF4E5">
          <v:rect id="_x0000_i1028" style="width:0;height:1.5pt" o:hralign="center" o:hrstd="t" o:hr="t" fillcolor="#a0a0a0" stroked="f"/>
        </w:pict>
      </w:r>
    </w:p>
    <w:p w14:paraId="537834E6" w14:textId="77777777" w:rsidR="00824F32" w:rsidRPr="00824F32" w:rsidRDefault="00824F32" w:rsidP="00824F32">
      <w:pPr>
        <w:rPr>
          <w:rFonts w:ascii="Arial" w:hAnsi="Arial" w:cs="Arial"/>
          <w:b/>
          <w:bCs/>
          <w:sz w:val="24"/>
          <w:szCs w:val="24"/>
        </w:rPr>
      </w:pPr>
      <w:r w:rsidRPr="00824F32">
        <w:rPr>
          <w:rFonts w:ascii="Arial" w:hAnsi="Arial" w:cs="Arial"/>
          <w:b/>
          <w:bCs/>
          <w:sz w:val="24"/>
          <w:szCs w:val="24"/>
        </w:rPr>
        <w:t>2.2 Decay-corrected activity</w:t>
      </w:r>
    </w:p>
    <w:p w14:paraId="4592407C" w14:textId="77777777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>Given:</w:t>
      </w:r>
    </w:p>
    <w:p w14:paraId="16C0A23A" w14:textId="35CEF8DA" w:rsidR="00824F32" w:rsidRPr="00824F32" w:rsidRDefault="00603D17" w:rsidP="00824F32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0</m:t>
            </m:r>
          </m:sub>
        </m:sSub>
        <m:r>
          <w:rPr>
            <w:rFonts w:ascii="Cambria Math" w:hAnsi="Cambria Math" w:cs="Arial"/>
            <w:sz w:val="24"/>
            <w:szCs w:val="24"/>
          </w:rPr>
          <m:t>=16</m:t>
        </m:r>
      </m:oMath>
      <w:r w:rsidR="00824F32" w:rsidRPr="00824F32">
        <w:rPr>
          <w:rFonts w:ascii="Arial" w:hAnsi="Arial" w:cs="Arial"/>
          <w:sz w:val="24"/>
          <w:szCs w:val="24"/>
        </w:rPr>
        <w:t xml:space="preserve">TBq on 11 July 2024 </w:t>
      </w:r>
    </w:p>
    <w:p w14:paraId="771C41FD" w14:textId="77777777" w:rsidR="00824F32" w:rsidRPr="00824F32" w:rsidRDefault="00824F32" w:rsidP="00824F32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Incident date = 22 November 2024 </w:t>
      </w:r>
    </w:p>
    <w:p w14:paraId="121C8C96" w14:textId="35CDEF2F" w:rsidR="00824F32" w:rsidRPr="00824F32" w:rsidRDefault="00603D17" w:rsidP="00824F32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/</m:t>
            </m:r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Arial"/>
            <w:sz w:val="24"/>
            <w:szCs w:val="24"/>
          </w:rPr>
          <m:t>=73.8</m:t>
        </m:r>
      </m:oMath>
      <w:r w:rsidR="00824F32" w:rsidRPr="00824F32">
        <w:rPr>
          <w:rFonts w:ascii="Arial" w:hAnsi="Arial" w:cs="Arial"/>
          <w:sz w:val="24"/>
          <w:szCs w:val="24"/>
        </w:rPr>
        <w:t xml:space="preserve">days </w:t>
      </w:r>
    </w:p>
    <w:p w14:paraId="6C4A0BC4" w14:textId="55495575" w:rsidR="00824F32" w:rsidRPr="00824F32" w:rsidRDefault="00824F32" w:rsidP="00824F32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t≈134</m:t>
        </m:r>
      </m:oMath>
      <w:r w:rsidRPr="00824F32">
        <w:rPr>
          <w:rFonts w:ascii="Arial" w:hAnsi="Arial" w:cs="Arial"/>
          <w:sz w:val="24"/>
          <w:szCs w:val="24"/>
        </w:rPr>
        <w:t xml:space="preserve">days </w:t>
      </w:r>
    </w:p>
    <w:p w14:paraId="6FB23DA9" w14:textId="0D3DA11C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m:oMathPara>
        <m:oMath>
          <m:r>
            <w:rPr>
              <w:rFonts w:ascii="Cambria Math" w:hAnsi="Cambria Math" w:cs="Arial"/>
              <w:sz w:val="24"/>
              <w:szCs w:val="24"/>
            </w:rPr>
            <m:t>A=</m:t>
          </m:r>
          <m:sSub>
            <m:sSubPr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 w:cs="Arial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 w:cs="Arial"/>
              <w:sz w:val="24"/>
              <w:szCs w:val="24"/>
            </w:rPr>
            <m:t>×</m:t>
          </m:r>
          <m:sSup>
            <m:sSupPr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Arial"/>
                  <w:sz w:val="24"/>
                  <w:szCs w:val="24"/>
                </w:rPr>
                <m:t>2</m:t>
              </m:r>
            </m:e>
            <m:sup>
              <m:r>
                <w:rPr>
                  <w:rFonts w:ascii="Cambria Math" w:hAnsi="Cambria Math" w:cs="Arial"/>
                  <w:sz w:val="24"/>
                  <w:szCs w:val="24"/>
                </w:rPr>
                <m:t>-t</m:t>
              </m:r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/</m:t>
              </m:r>
              <m:sSub>
                <m:sSubPr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/</m:t>
                  </m:r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2</m:t>
                  </m:r>
                </m:sub>
              </m:sSub>
            </m:sup>
          </m:sSup>
          <m:r>
            <m:rPr>
              <m:sty m:val="p"/>
            </m:rPr>
            <w:rPr>
              <w:rFonts w:ascii="Arial" w:hAnsi="Arial" w:cs="Arial"/>
              <w:sz w:val="24"/>
              <w:szCs w:val="24"/>
            </w:rPr>
            <w:br/>
          </m:r>
        </m:oMath>
        <m:oMath>
          <m:r>
            <w:rPr>
              <w:rFonts w:ascii="Cambria Math" w:hAnsi="Cambria Math" w:cs="Arial"/>
              <w:sz w:val="24"/>
              <w:szCs w:val="24"/>
            </w:rPr>
            <m:t>A=16×</m:t>
          </m:r>
          <m:sSup>
            <m:sSupPr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Arial"/>
                  <w:sz w:val="24"/>
                  <w:szCs w:val="24"/>
                </w:rPr>
                <m:t>2</m:t>
              </m:r>
            </m:e>
            <m:sup>
              <m:r>
                <w:rPr>
                  <w:rFonts w:ascii="Cambria Math" w:hAnsi="Cambria Math" w:cs="Arial"/>
                  <w:sz w:val="24"/>
                  <w:szCs w:val="24"/>
                </w:rPr>
                <m:t>-134</m:t>
              </m:r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/</m:t>
              </m:r>
              <m:r>
                <w:rPr>
                  <w:rFonts w:ascii="Cambria Math" w:hAnsi="Cambria Math" w:cs="Arial"/>
                  <w:sz w:val="24"/>
                  <w:szCs w:val="24"/>
                </w:rPr>
                <m:t>73.8</m:t>
              </m:r>
            </m:sup>
          </m:sSup>
          <m:r>
            <m:rPr>
              <m:sty m:val="p"/>
            </m:rPr>
            <w:rPr>
              <w:rFonts w:ascii="Arial" w:hAnsi="Arial" w:cs="Arial"/>
              <w:sz w:val="24"/>
              <w:szCs w:val="24"/>
            </w:rPr>
            <w:br/>
          </m:r>
        </m:oMath>
        <m:oMath>
          <m:r>
            <w:rPr>
              <w:rFonts w:ascii="Cambria Math" w:hAnsi="Cambria Math" w:cs="Arial"/>
              <w:sz w:val="24"/>
              <w:szCs w:val="24"/>
            </w:rPr>
            <m:t>A≈16×0.283≈4.53</m:t>
          </m:r>
          <m:r>
            <m:rPr>
              <m:nor/>
            </m:rPr>
            <w:rPr>
              <w:rFonts w:ascii="Arial" w:hAnsi="Arial" w:cs="Arial"/>
              <w:sz w:val="24"/>
              <w:szCs w:val="24"/>
            </w:rPr>
            <m:t xml:space="preserve"> TBq</m:t>
          </m:r>
          <m:r>
            <m:rPr>
              <m:sty m:val="p"/>
            </m:rPr>
            <w:rPr>
              <w:rFonts w:ascii="Arial" w:hAnsi="Arial" w:cs="Arial"/>
              <w:sz w:val="24"/>
              <w:szCs w:val="24"/>
            </w:rPr>
            <w:br/>
          </m:r>
        </m:oMath>
      </m:oMathPara>
    </w:p>
    <w:p w14:paraId="23F4661F" w14:textId="77777777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>So:</w:t>
      </w:r>
    </w:p>
    <w:p w14:paraId="71FE7220" w14:textId="4F6F08C0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m:oMathPara>
        <m:oMath>
          <m:r>
            <w:rPr>
              <w:rFonts w:ascii="Cambria Math" w:hAnsi="Cambria Math" w:cs="Arial"/>
              <w:sz w:val="24"/>
              <w:szCs w:val="24"/>
            </w:rPr>
            <m:t>A≈4.5</m:t>
          </m:r>
          <m:r>
            <m:rPr>
              <m:nor/>
            </m:rPr>
            <w:rPr>
              <w:rFonts w:ascii="Arial" w:hAnsi="Arial" w:cs="Arial"/>
              <w:sz w:val="24"/>
              <w:szCs w:val="24"/>
            </w:rPr>
            <m:t xml:space="preserve"> TBq</m:t>
          </m:r>
          <m:r>
            <m:rPr>
              <m:sty m:val="p"/>
            </m:rPr>
            <w:rPr>
              <w:rFonts w:ascii="Arial" w:hAnsi="Arial" w:cs="Arial"/>
              <w:sz w:val="24"/>
              <w:szCs w:val="24"/>
            </w:rPr>
            <w:br/>
          </m:r>
        </m:oMath>
      </m:oMathPara>
    </w:p>
    <w:p w14:paraId="496D1EAD" w14:textId="77777777" w:rsidR="00824F32" w:rsidRPr="00824F32" w:rsidRDefault="00603D17" w:rsidP="00824F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2658DBC5">
          <v:rect id="_x0000_i1029" style="width:0;height:1.5pt" o:hralign="center" o:hrstd="t" o:hr="t" fillcolor="#a0a0a0" stroked="f"/>
        </w:pict>
      </w:r>
    </w:p>
    <w:p w14:paraId="7A3E9FCC" w14:textId="77777777" w:rsidR="00824F32" w:rsidRPr="00824F32" w:rsidRDefault="00824F32" w:rsidP="00824F32">
      <w:pPr>
        <w:rPr>
          <w:rFonts w:ascii="Arial" w:hAnsi="Arial" w:cs="Arial"/>
          <w:b/>
          <w:bCs/>
          <w:sz w:val="24"/>
          <w:szCs w:val="24"/>
        </w:rPr>
      </w:pPr>
      <w:r w:rsidRPr="00824F32">
        <w:rPr>
          <w:rFonts w:ascii="Arial" w:hAnsi="Arial" w:cs="Arial"/>
          <w:b/>
          <w:bCs/>
          <w:sz w:val="24"/>
          <w:szCs w:val="24"/>
        </w:rPr>
        <w:t>2.3 Dose rate at 1 m</w:t>
      </w:r>
    </w:p>
    <w:p w14:paraId="4F8543DA" w14:textId="77777777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>Using:</w:t>
      </w:r>
    </w:p>
    <w:p w14:paraId="4688EE04" w14:textId="384CFFF4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  <w:sz w:val="24"/>
              <w:szCs w:val="24"/>
            </w:rPr>
            <m:t>Γ</m:t>
          </m:r>
          <m:r>
            <w:rPr>
              <w:rFonts w:ascii="Cambria Math" w:hAnsi="Cambria Math" w:cs="Arial"/>
              <w:sz w:val="24"/>
              <w:szCs w:val="24"/>
            </w:rPr>
            <m:t>≈0.13</m:t>
          </m:r>
          <m:sSup>
            <m:sSupPr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sSupPr>
            <m:e>
              <m:r>
                <m:rPr>
                  <m:nor/>
                </m:rPr>
                <w:rPr>
                  <w:rFonts w:ascii="Arial" w:hAnsi="Arial" w:cs="Arial"/>
                  <w:sz w:val="24"/>
                  <w:szCs w:val="24"/>
                </w:rPr>
                <m:t xml:space="preserve"> mSv m</m:t>
              </m:r>
            </m:e>
            <m:sup>
              <m:r>
                <w:rPr>
                  <w:rFonts w:ascii="Cambria Math" w:hAnsi="Cambria Math" w:cs="Arial"/>
                  <w:sz w:val="24"/>
                  <w:szCs w:val="24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sSupPr>
            <m:e>
              <m:r>
                <m:rPr>
                  <m:nor/>
                </m:rPr>
                <w:rPr>
                  <w:rFonts w:ascii="Arial" w:hAnsi="Arial" w:cs="Arial"/>
                  <w:sz w:val="24"/>
                  <w:szCs w:val="24"/>
                </w:rPr>
                <m:t xml:space="preserve"> GBq</m:t>
              </m:r>
            </m:e>
            <m:sup>
              <m:r>
                <w:rPr>
                  <w:rFonts w:ascii="Cambria Math" w:hAnsi="Cambria Math" w:cs="Arial"/>
                  <w:sz w:val="24"/>
                  <w:szCs w:val="24"/>
                </w:rPr>
                <m:t>-1</m:t>
              </m:r>
            </m:sup>
          </m:sSup>
          <m:sSup>
            <m:sSupPr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sSupPr>
            <m:e>
              <m:r>
                <m:rPr>
                  <m:nor/>
                </m:rPr>
                <w:rPr>
                  <w:rFonts w:ascii="Arial" w:hAnsi="Arial" w:cs="Arial"/>
                  <w:sz w:val="24"/>
                  <w:szCs w:val="24"/>
                </w:rPr>
                <m:t xml:space="preserve"> h</m:t>
              </m:r>
            </m:e>
            <m:sup>
              <m:r>
                <w:rPr>
                  <w:rFonts w:ascii="Cambria Math" w:hAnsi="Cambria Math" w:cs="Arial"/>
                  <w:sz w:val="24"/>
                  <w:szCs w:val="24"/>
                </w:rPr>
                <m:t>-1</m:t>
              </m:r>
            </m:sup>
          </m:sSup>
          <m:r>
            <m:rPr>
              <m:sty m:val="p"/>
            </m:rPr>
            <w:rPr>
              <w:rFonts w:ascii="Arial" w:hAnsi="Arial" w:cs="Arial"/>
              <w:sz w:val="24"/>
              <w:szCs w:val="24"/>
            </w:rPr>
            <w:br/>
          </m:r>
        </m:oMath>
        <m:oMath>
          <m:r>
            <w:rPr>
              <w:rFonts w:ascii="Cambria Math" w:hAnsi="Cambria Math" w:cs="Arial"/>
              <w:sz w:val="24"/>
              <w:szCs w:val="24"/>
            </w:rPr>
            <m:t>A=4530</m:t>
          </m:r>
          <m:r>
            <m:rPr>
              <m:nor/>
            </m:rPr>
            <w:rPr>
              <w:rFonts w:ascii="Arial" w:hAnsi="Arial" w:cs="Arial"/>
              <w:sz w:val="24"/>
              <w:szCs w:val="24"/>
            </w:rPr>
            <m:t xml:space="preserve"> GBq</m:t>
          </m:r>
          <m:r>
            <m:rPr>
              <m:sty m:val="p"/>
            </m:rPr>
            <w:rPr>
              <w:rFonts w:ascii="Arial" w:hAnsi="Arial" w:cs="Arial"/>
              <w:sz w:val="24"/>
              <w:szCs w:val="24"/>
            </w:rPr>
            <w:br/>
          </m:r>
        </m:oMath>
        <m:oMath>
          <m:acc>
            <m:accPr>
              <m:chr m:val="̇"/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 w:cs="Arial"/>
                  <w:sz w:val="24"/>
                  <w:szCs w:val="24"/>
                </w:rPr>
                <m:t>H</m:t>
              </m:r>
            </m:e>
          </m:acc>
          <m:r>
            <w:rPr>
              <w:rFonts w:ascii="Cambria Math" w:hAnsi="Cambria Math" w:cs="Arial"/>
              <w:sz w:val="24"/>
              <w:szCs w:val="24"/>
            </w:rPr>
            <m:t>(1</m:t>
          </m:r>
          <m:r>
            <m:rPr>
              <m:nor/>
            </m:rPr>
            <w:rPr>
              <w:rFonts w:ascii="Arial" w:hAnsi="Arial" w:cs="Arial"/>
              <w:sz w:val="24"/>
              <w:szCs w:val="24"/>
            </w:rPr>
            <m:t xml:space="preserve"> m</m:t>
          </m:r>
          <m:r>
            <w:rPr>
              <w:rFonts w:ascii="Cambria Math" w:hAnsi="Cambria Math" w:cs="Arial"/>
              <w:sz w:val="24"/>
              <w:szCs w:val="24"/>
            </w:rPr>
            <m:t>)=</m:t>
          </m:r>
          <m:r>
            <m:rPr>
              <m:sty m:val="p"/>
            </m:rPr>
            <w:rPr>
              <w:rFonts w:ascii="Cambria Math" w:hAnsi="Cambria Math" w:cs="Arial"/>
              <w:sz w:val="24"/>
              <w:szCs w:val="24"/>
            </w:rPr>
            <m:t>Γ</m:t>
          </m:r>
          <m:r>
            <w:rPr>
              <w:rFonts w:ascii="Cambria Math" w:hAnsi="Cambria Math" w:cs="Arial"/>
              <w:sz w:val="24"/>
              <w:szCs w:val="24"/>
            </w:rPr>
            <m:t>A=0.13×4530≈589</m:t>
          </m:r>
          <m:sSup>
            <m:sSupPr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sSupPr>
            <m:e>
              <m:r>
                <m:rPr>
                  <m:nor/>
                </m:rPr>
                <w:rPr>
                  <w:rFonts w:ascii="Arial" w:hAnsi="Arial" w:cs="Arial"/>
                  <w:sz w:val="24"/>
                  <w:szCs w:val="24"/>
                </w:rPr>
                <m:t xml:space="preserve"> mSv h</m:t>
              </m:r>
            </m:e>
            <m:sup>
              <m:r>
                <w:rPr>
                  <w:rFonts w:ascii="Cambria Math" w:hAnsi="Cambria Math" w:cs="Arial"/>
                  <w:sz w:val="24"/>
                  <w:szCs w:val="24"/>
                </w:rPr>
                <m:t>-1</m:t>
              </m:r>
            </m:sup>
          </m:sSup>
          <m:r>
            <m:rPr>
              <m:sty m:val="p"/>
            </m:rPr>
            <w:rPr>
              <w:rFonts w:ascii="Arial" w:hAnsi="Arial" w:cs="Arial"/>
              <w:sz w:val="24"/>
              <w:szCs w:val="24"/>
            </w:rPr>
            <w:br/>
          </m:r>
        </m:oMath>
        <m:oMath>
          <m:acc>
            <m:accPr>
              <m:chr m:val="̇"/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 w:cs="Arial"/>
                  <w:sz w:val="24"/>
                  <w:szCs w:val="24"/>
                </w:rPr>
                <m:t>H</m:t>
              </m:r>
            </m:e>
          </m:acc>
          <m:r>
            <w:rPr>
              <w:rFonts w:ascii="Cambria Math" w:hAnsi="Cambria Math" w:cs="Arial"/>
              <w:sz w:val="24"/>
              <w:szCs w:val="24"/>
            </w:rPr>
            <m:t>(1</m:t>
          </m:r>
          <m:r>
            <m:rPr>
              <m:nor/>
            </m:rPr>
            <w:rPr>
              <w:rFonts w:ascii="Arial" w:hAnsi="Arial" w:cs="Arial"/>
              <w:sz w:val="24"/>
              <w:szCs w:val="24"/>
            </w:rPr>
            <m:t xml:space="preserve"> m</m:t>
          </m:r>
          <m:r>
            <w:rPr>
              <w:rFonts w:ascii="Cambria Math" w:hAnsi="Cambria Math" w:cs="Arial"/>
              <w:sz w:val="24"/>
              <w:szCs w:val="24"/>
            </w:rPr>
            <m:t>)≈0.59</m:t>
          </m:r>
          <m:sSup>
            <m:sSupPr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sSupPr>
            <m:e>
              <m:r>
                <m:rPr>
                  <m:nor/>
                </m:rPr>
                <w:rPr>
                  <w:rFonts w:ascii="Arial" w:hAnsi="Arial" w:cs="Arial"/>
                  <w:sz w:val="24"/>
                  <w:szCs w:val="24"/>
                </w:rPr>
                <m:t xml:space="preserve"> Sv h</m:t>
              </m:r>
            </m:e>
            <m:sup>
              <m:r>
                <w:rPr>
                  <w:rFonts w:ascii="Cambria Math" w:hAnsi="Cambria Math" w:cs="Arial"/>
                  <w:sz w:val="24"/>
                  <w:szCs w:val="24"/>
                </w:rPr>
                <m:t>-1</m:t>
              </m:r>
            </m:sup>
          </m:sSup>
          <m:r>
            <m:rPr>
              <m:sty m:val="p"/>
            </m:rPr>
            <w:rPr>
              <w:rFonts w:ascii="Arial" w:hAnsi="Arial" w:cs="Arial"/>
              <w:sz w:val="24"/>
              <w:szCs w:val="24"/>
            </w:rPr>
            <w:br/>
          </m:r>
        </m:oMath>
      </m:oMathPara>
    </w:p>
    <w:p w14:paraId="0E1FF7E8" w14:textId="77777777" w:rsidR="00824F32" w:rsidRPr="00824F32" w:rsidRDefault="00603D17" w:rsidP="00824F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39F3E198">
          <v:rect id="_x0000_i1030" style="width:0;height:1.5pt" o:hralign="center" o:hrstd="t" o:hr="t" fillcolor="#a0a0a0" stroked="f"/>
        </w:pict>
      </w:r>
    </w:p>
    <w:p w14:paraId="7B763AB2" w14:textId="77777777" w:rsidR="00824F32" w:rsidRPr="00824F32" w:rsidRDefault="00824F32" w:rsidP="00824F32">
      <w:pPr>
        <w:rPr>
          <w:rFonts w:ascii="Arial" w:hAnsi="Arial" w:cs="Arial"/>
          <w:b/>
          <w:bCs/>
          <w:sz w:val="24"/>
          <w:szCs w:val="24"/>
        </w:rPr>
      </w:pPr>
      <w:r w:rsidRPr="00824F32">
        <w:rPr>
          <w:rFonts w:ascii="Arial" w:hAnsi="Arial" w:cs="Arial"/>
          <w:b/>
          <w:bCs/>
          <w:sz w:val="24"/>
          <w:szCs w:val="24"/>
        </w:rPr>
        <w:t>2.4 Initial recovery phase</w:t>
      </w:r>
    </w:p>
    <w:p w14:paraId="01B6C072" w14:textId="77777777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>Distance: 0.8 m</w:t>
      </w:r>
    </w:p>
    <w:p w14:paraId="5B01799A" w14:textId="25328D04" w:rsidR="00824F32" w:rsidRPr="00824F32" w:rsidRDefault="00603D17" w:rsidP="00824F32">
      <w:pPr>
        <w:rPr>
          <w:rFonts w:ascii="Arial" w:hAnsi="Arial" w:cs="Arial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H</m:t>
                  </m:r>
                </m:e>
              </m:acc>
            </m:e>
            <m:sub>
              <m:r>
                <m:rPr>
                  <m:nor/>
                </m:rPr>
                <w:rPr>
                  <w:rFonts w:ascii="Arial" w:hAnsi="Arial" w:cs="Arial"/>
                  <w:sz w:val="24"/>
                  <w:szCs w:val="24"/>
                </w:rPr>
                <m:t>nominal</m:t>
              </m:r>
            </m:sub>
          </m:sSub>
          <m:r>
            <w:rPr>
              <w:rFonts w:ascii="Cambria Math" w:hAnsi="Cambria Math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Arial"/>
                  <w:sz w:val="24"/>
                  <w:szCs w:val="24"/>
                </w:rPr>
                <m:t>0.59</m:t>
              </m:r>
            </m:num>
            <m:den>
              <m:sSup>
                <m:sSupPr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0.8</m:t>
                  </m:r>
                </m:e>
                <m:sup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Arial"/>
              <w:sz w:val="24"/>
              <w:szCs w:val="24"/>
            </w:rPr>
            <m:t>≈0.92</m:t>
          </m:r>
          <m:sSup>
            <m:sSupPr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sSupPr>
            <m:e>
              <m:r>
                <m:rPr>
                  <m:nor/>
                </m:rPr>
                <w:rPr>
                  <w:rFonts w:ascii="Arial" w:hAnsi="Arial" w:cs="Arial"/>
                  <w:sz w:val="24"/>
                  <w:szCs w:val="24"/>
                </w:rPr>
                <m:t xml:space="preserve"> Sv h</m:t>
              </m:r>
            </m:e>
            <m:sup>
              <m:r>
                <w:rPr>
                  <w:rFonts w:ascii="Cambria Math" w:hAnsi="Cambria Math" w:cs="Arial"/>
                  <w:sz w:val="24"/>
                  <w:szCs w:val="24"/>
                </w:rPr>
                <m:t>-1</m:t>
              </m:r>
            </m:sup>
          </m:sSup>
          <m:r>
            <m:rPr>
              <m:sty m:val="p"/>
            </m:rPr>
            <w:rPr>
              <w:rFonts w:ascii="Arial" w:hAnsi="Arial" w:cs="Arial"/>
              <w:sz w:val="24"/>
              <w:szCs w:val="24"/>
            </w:rPr>
            <w:br/>
          </m:r>
        </m:oMath>
      </m:oMathPara>
    </w:p>
    <w:p w14:paraId="62A2FEE2" w14:textId="77777777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>Apply 20–30%:</w:t>
      </w:r>
    </w:p>
    <w:p w14:paraId="22191133" w14:textId="73950CBA" w:rsidR="00824F32" w:rsidRPr="00824F32" w:rsidRDefault="00603D17" w:rsidP="00824F32">
      <w:pPr>
        <w:rPr>
          <w:rFonts w:ascii="Arial" w:hAnsi="Arial" w:cs="Arial"/>
          <w:sz w:val="24"/>
          <w:szCs w:val="24"/>
        </w:rPr>
      </w:pPr>
      <m:oMathPara>
        <m:oMath>
          <m:acc>
            <m:accPr>
              <m:chr m:val="̇"/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 w:cs="Arial"/>
                  <w:sz w:val="24"/>
                  <w:szCs w:val="24"/>
                </w:rPr>
                <m:t>H</m:t>
              </m:r>
            </m:e>
          </m:acc>
          <m:r>
            <w:rPr>
              <w:rFonts w:ascii="Cambria Math" w:hAnsi="Cambria Math" w:cs="Arial"/>
              <w:sz w:val="24"/>
              <w:szCs w:val="24"/>
            </w:rPr>
            <m:t>≈0.18</m:t>
          </m:r>
          <m:r>
            <m:rPr>
              <m:nor/>
            </m:rPr>
            <w:rPr>
              <w:rFonts w:ascii="Arial" w:hAnsi="Arial" w:cs="Arial"/>
              <w:sz w:val="24"/>
              <w:szCs w:val="24"/>
            </w:rPr>
            <m:t xml:space="preserve"> to </m:t>
          </m:r>
          <m:r>
            <w:rPr>
              <w:rFonts w:ascii="Cambria Math" w:hAnsi="Cambria Math" w:cs="Arial"/>
              <w:sz w:val="24"/>
              <w:szCs w:val="24"/>
            </w:rPr>
            <m:t>0.28</m:t>
          </m:r>
          <m:sSup>
            <m:sSupPr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sSupPr>
            <m:e>
              <m:r>
                <m:rPr>
                  <m:nor/>
                </m:rPr>
                <w:rPr>
                  <w:rFonts w:ascii="Arial" w:hAnsi="Arial" w:cs="Arial"/>
                  <w:sz w:val="24"/>
                  <w:szCs w:val="24"/>
                </w:rPr>
                <m:t xml:space="preserve"> Sv h</m:t>
              </m:r>
            </m:e>
            <m:sup>
              <m:r>
                <w:rPr>
                  <w:rFonts w:ascii="Cambria Math" w:hAnsi="Cambria Math" w:cs="Arial"/>
                  <w:sz w:val="24"/>
                  <w:szCs w:val="24"/>
                </w:rPr>
                <m:t>-1</m:t>
              </m:r>
            </m:sup>
          </m:sSup>
          <m:r>
            <m:rPr>
              <m:sty m:val="p"/>
            </m:rPr>
            <w:rPr>
              <w:rFonts w:ascii="Arial" w:hAnsi="Arial" w:cs="Arial"/>
              <w:sz w:val="24"/>
              <w:szCs w:val="24"/>
            </w:rPr>
            <w:br/>
          </m:r>
        </m:oMath>
      </m:oMathPara>
    </w:p>
    <w:p w14:paraId="36B596FD" w14:textId="77777777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>Dose (60–90 s):</w:t>
      </w:r>
    </w:p>
    <w:p w14:paraId="6F6E29FF" w14:textId="0C90AAA8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m:oMathPara>
        <m:oMath>
          <m:r>
            <w:rPr>
              <w:rFonts w:ascii="Cambria Math" w:hAnsi="Cambria Math" w:cs="Arial"/>
              <w:sz w:val="24"/>
              <w:szCs w:val="24"/>
            </w:rPr>
            <m:t>≈3</m:t>
          </m:r>
          <m:r>
            <m:rPr>
              <m:nor/>
            </m:rPr>
            <w:rPr>
              <w:rFonts w:ascii="Arial" w:hAnsi="Arial" w:cs="Arial"/>
              <w:sz w:val="24"/>
              <w:szCs w:val="24"/>
            </w:rPr>
            <m:t>–</m:t>
          </m:r>
          <m:r>
            <w:rPr>
              <w:rFonts w:ascii="Cambria Math" w:hAnsi="Cambria Math" w:cs="Arial"/>
              <w:sz w:val="24"/>
              <w:szCs w:val="24"/>
            </w:rPr>
            <m:t>7</m:t>
          </m:r>
          <m:r>
            <m:rPr>
              <m:nor/>
            </m:rPr>
            <w:rPr>
              <w:rFonts w:ascii="Arial" w:hAnsi="Arial" w:cs="Arial"/>
              <w:sz w:val="24"/>
              <w:szCs w:val="24"/>
            </w:rPr>
            <m:t xml:space="preserve"> mSv</m:t>
          </m:r>
          <m:r>
            <m:rPr>
              <m:sty m:val="p"/>
            </m:rPr>
            <w:rPr>
              <w:rFonts w:ascii="Arial" w:hAnsi="Arial" w:cs="Arial"/>
              <w:sz w:val="24"/>
              <w:szCs w:val="24"/>
            </w:rPr>
            <w:br/>
          </m:r>
        </m:oMath>
      </m:oMathPara>
    </w:p>
    <w:p w14:paraId="704DFD6A" w14:textId="77777777" w:rsidR="00824F32" w:rsidRPr="00824F32" w:rsidRDefault="00603D17" w:rsidP="00824F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5C225391">
          <v:rect id="_x0000_i1031" style="width:0;height:1.5pt" o:hralign="center" o:hrstd="t" o:hr="t" fillcolor="#a0a0a0" stroked="f"/>
        </w:pict>
      </w:r>
    </w:p>
    <w:p w14:paraId="7AFFCD5B" w14:textId="77777777" w:rsidR="00824F32" w:rsidRPr="00824F32" w:rsidRDefault="00824F32" w:rsidP="00824F32">
      <w:pPr>
        <w:rPr>
          <w:rFonts w:ascii="Arial" w:hAnsi="Arial" w:cs="Arial"/>
          <w:b/>
          <w:bCs/>
          <w:sz w:val="24"/>
          <w:szCs w:val="24"/>
        </w:rPr>
      </w:pPr>
      <w:r w:rsidRPr="00824F32">
        <w:rPr>
          <w:rFonts w:ascii="Arial" w:hAnsi="Arial" w:cs="Arial"/>
          <w:b/>
          <w:bCs/>
          <w:sz w:val="24"/>
          <w:szCs w:val="24"/>
        </w:rPr>
        <w:t>2.5 Hands-on intervention phase</w:t>
      </w:r>
    </w:p>
    <w:p w14:paraId="42761405" w14:textId="77777777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>Distance: 0.5 m</w:t>
      </w:r>
    </w:p>
    <w:p w14:paraId="46EAD650" w14:textId="623CBF29" w:rsidR="00824F32" w:rsidRPr="00824F32" w:rsidRDefault="00603D17" w:rsidP="00824F32">
      <w:pPr>
        <w:rPr>
          <w:rFonts w:ascii="Arial" w:hAnsi="Arial" w:cs="Arial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H</m:t>
                  </m:r>
                </m:e>
              </m:acc>
            </m:e>
            <m:sub>
              <m:r>
                <m:rPr>
                  <m:nor/>
                </m:rPr>
                <w:rPr>
                  <w:rFonts w:ascii="Arial" w:hAnsi="Arial" w:cs="Arial"/>
                  <w:sz w:val="24"/>
                  <w:szCs w:val="24"/>
                </w:rPr>
                <m:t>nominal</m:t>
              </m:r>
            </m:sub>
          </m:sSub>
          <m:r>
            <w:rPr>
              <w:rFonts w:ascii="Cambria Math" w:hAnsi="Cambria Math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Arial"/>
                  <w:sz w:val="24"/>
                  <w:szCs w:val="24"/>
                </w:rPr>
                <m:t>0.59</m:t>
              </m:r>
            </m:num>
            <m:den>
              <m:sSup>
                <m:sSupPr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0.5</m:t>
                  </m:r>
                </m:e>
                <m:sup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Arial"/>
              <w:sz w:val="24"/>
              <w:szCs w:val="24"/>
            </w:rPr>
            <m:t>≈2.36</m:t>
          </m:r>
          <m:sSup>
            <m:sSupPr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sSupPr>
            <m:e>
              <m:r>
                <m:rPr>
                  <m:nor/>
                </m:rPr>
                <w:rPr>
                  <w:rFonts w:ascii="Arial" w:hAnsi="Arial" w:cs="Arial"/>
                  <w:sz w:val="24"/>
                  <w:szCs w:val="24"/>
                </w:rPr>
                <m:t xml:space="preserve"> Sv h</m:t>
              </m:r>
            </m:e>
            <m:sup>
              <m:r>
                <w:rPr>
                  <w:rFonts w:ascii="Cambria Math" w:hAnsi="Cambria Math" w:cs="Arial"/>
                  <w:sz w:val="24"/>
                  <w:szCs w:val="24"/>
                </w:rPr>
                <m:t>-1</m:t>
              </m:r>
            </m:sup>
          </m:sSup>
          <m:r>
            <m:rPr>
              <m:sty m:val="p"/>
            </m:rPr>
            <w:rPr>
              <w:rFonts w:ascii="Arial" w:hAnsi="Arial" w:cs="Arial"/>
              <w:sz w:val="24"/>
              <w:szCs w:val="24"/>
            </w:rPr>
            <w:br/>
          </m:r>
        </m:oMath>
      </m:oMathPara>
    </w:p>
    <w:p w14:paraId="3A2C9461" w14:textId="77777777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>Apply 40–60%:</w:t>
      </w:r>
    </w:p>
    <w:p w14:paraId="5B45147E" w14:textId="0236C411" w:rsidR="00824F32" w:rsidRPr="00824F32" w:rsidRDefault="00603D17" w:rsidP="00824F32">
      <w:pPr>
        <w:rPr>
          <w:rFonts w:ascii="Arial" w:hAnsi="Arial" w:cs="Arial"/>
          <w:sz w:val="24"/>
          <w:szCs w:val="24"/>
        </w:rPr>
      </w:pPr>
      <m:oMathPara>
        <m:oMath>
          <m:acc>
            <m:accPr>
              <m:chr m:val="̇"/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 w:cs="Arial"/>
                  <w:sz w:val="24"/>
                  <w:szCs w:val="24"/>
                </w:rPr>
                <m:t>H</m:t>
              </m:r>
            </m:e>
          </m:acc>
          <m:r>
            <w:rPr>
              <w:rFonts w:ascii="Cambria Math" w:hAnsi="Cambria Math" w:cs="Arial"/>
              <w:sz w:val="24"/>
              <w:szCs w:val="24"/>
            </w:rPr>
            <m:t>≈0.94</m:t>
          </m:r>
          <m:r>
            <m:rPr>
              <m:nor/>
            </m:rPr>
            <w:rPr>
              <w:rFonts w:ascii="Arial" w:hAnsi="Arial" w:cs="Arial"/>
              <w:sz w:val="24"/>
              <w:szCs w:val="24"/>
            </w:rPr>
            <m:t xml:space="preserve"> to </m:t>
          </m:r>
          <m:r>
            <w:rPr>
              <w:rFonts w:ascii="Cambria Math" w:hAnsi="Cambria Math" w:cs="Arial"/>
              <w:sz w:val="24"/>
              <w:szCs w:val="24"/>
            </w:rPr>
            <m:t>1.42</m:t>
          </m:r>
          <m:sSup>
            <m:sSupPr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sSupPr>
            <m:e>
              <m:r>
                <m:rPr>
                  <m:nor/>
                </m:rPr>
                <w:rPr>
                  <w:rFonts w:ascii="Arial" w:hAnsi="Arial" w:cs="Arial"/>
                  <w:sz w:val="24"/>
                  <w:szCs w:val="24"/>
                </w:rPr>
                <m:t xml:space="preserve"> Sv h</m:t>
              </m:r>
            </m:e>
            <m:sup>
              <m:r>
                <w:rPr>
                  <w:rFonts w:ascii="Cambria Math" w:hAnsi="Cambria Math" w:cs="Arial"/>
                  <w:sz w:val="24"/>
                  <w:szCs w:val="24"/>
                </w:rPr>
                <m:t>-1</m:t>
              </m:r>
            </m:sup>
          </m:sSup>
          <m:r>
            <m:rPr>
              <m:sty m:val="p"/>
            </m:rPr>
            <w:rPr>
              <w:rFonts w:ascii="Arial" w:hAnsi="Arial" w:cs="Arial"/>
              <w:sz w:val="24"/>
              <w:szCs w:val="24"/>
            </w:rPr>
            <w:br/>
          </m:r>
        </m:oMath>
      </m:oMathPara>
    </w:p>
    <w:p w14:paraId="04301C04" w14:textId="77777777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>Dose (10–15 s):</w:t>
      </w:r>
    </w:p>
    <w:p w14:paraId="44AF6AB1" w14:textId="510EE815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m:oMathPara>
        <m:oMath>
          <m:r>
            <w:rPr>
              <w:rFonts w:ascii="Cambria Math" w:hAnsi="Cambria Math" w:cs="Arial"/>
              <w:sz w:val="24"/>
              <w:szCs w:val="24"/>
            </w:rPr>
            <m:t>≈2.6</m:t>
          </m:r>
          <m:r>
            <m:rPr>
              <m:nor/>
            </m:rPr>
            <w:rPr>
              <w:rFonts w:ascii="Arial" w:hAnsi="Arial" w:cs="Arial"/>
              <w:sz w:val="24"/>
              <w:szCs w:val="24"/>
            </w:rPr>
            <m:t>–</m:t>
          </m:r>
          <m:r>
            <w:rPr>
              <w:rFonts w:ascii="Cambria Math" w:hAnsi="Cambria Math" w:cs="Arial"/>
              <w:sz w:val="24"/>
              <w:szCs w:val="24"/>
            </w:rPr>
            <m:t>5.9</m:t>
          </m:r>
          <m:r>
            <m:rPr>
              <m:nor/>
            </m:rPr>
            <w:rPr>
              <w:rFonts w:ascii="Arial" w:hAnsi="Arial" w:cs="Arial"/>
              <w:sz w:val="24"/>
              <w:szCs w:val="24"/>
            </w:rPr>
            <m:t xml:space="preserve"> mSv</m:t>
          </m:r>
          <m:r>
            <m:rPr>
              <m:sty m:val="p"/>
            </m:rPr>
            <w:rPr>
              <w:rFonts w:ascii="Arial" w:hAnsi="Arial" w:cs="Arial"/>
              <w:sz w:val="24"/>
              <w:szCs w:val="24"/>
            </w:rPr>
            <w:br/>
          </m:r>
        </m:oMath>
      </m:oMathPara>
    </w:p>
    <w:p w14:paraId="189CECB5" w14:textId="77777777" w:rsidR="00824F32" w:rsidRPr="00824F32" w:rsidRDefault="00603D17" w:rsidP="00824F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2BECC93A">
          <v:rect id="_x0000_i1032" style="width:0;height:1.5pt" o:hralign="center" o:hrstd="t" o:hr="t" fillcolor="#a0a0a0" stroked="f"/>
        </w:pict>
      </w:r>
    </w:p>
    <w:p w14:paraId="57319E84" w14:textId="77777777" w:rsidR="00824F32" w:rsidRPr="00824F32" w:rsidRDefault="00824F32" w:rsidP="00824F32">
      <w:pPr>
        <w:rPr>
          <w:rFonts w:ascii="Arial" w:hAnsi="Arial" w:cs="Arial"/>
          <w:b/>
          <w:bCs/>
          <w:sz w:val="24"/>
          <w:szCs w:val="24"/>
        </w:rPr>
      </w:pPr>
      <w:r w:rsidRPr="00824F32">
        <w:rPr>
          <w:rFonts w:ascii="Arial" w:hAnsi="Arial" w:cs="Arial"/>
          <w:b/>
          <w:bCs/>
          <w:sz w:val="24"/>
          <w:szCs w:val="24"/>
        </w:rPr>
        <w:t>2.6 Total effective dose</w:t>
      </w:r>
    </w:p>
    <w:p w14:paraId="259B01BA" w14:textId="77777777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>Representative estimate:</w:t>
      </w:r>
    </w:p>
    <w:p w14:paraId="469DF2E5" w14:textId="77777777" w:rsidR="00824F32" w:rsidRPr="00824F32" w:rsidRDefault="00824F32" w:rsidP="00824F32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Phase 1: 75 s at 0.23 Sv h^-1 → 4.8 mSv </w:t>
      </w:r>
    </w:p>
    <w:p w14:paraId="347C091E" w14:textId="77777777" w:rsidR="00824F32" w:rsidRPr="00824F32" w:rsidRDefault="00824F32" w:rsidP="00824F32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Phase 2: 12 s at 1.15 Sv h^-1 → 3.8 mSv </w:t>
      </w:r>
    </w:p>
    <w:p w14:paraId="15769A25" w14:textId="0F5CC5E8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m:oMathPara>
        <m:oMath>
          <m:r>
            <m:rPr>
              <m:nor/>
            </m:rPr>
            <w:rPr>
              <w:rFonts w:ascii="Arial" w:hAnsi="Arial" w:cs="Arial"/>
              <w:sz w:val="24"/>
              <w:szCs w:val="24"/>
            </w:rPr>
            <m:t>Total</m:t>
          </m:r>
          <m:r>
            <w:rPr>
              <w:rFonts w:ascii="Cambria Math" w:hAnsi="Cambria Math" w:cs="Arial"/>
              <w:sz w:val="24"/>
              <w:szCs w:val="24"/>
            </w:rPr>
            <m:t>≈8.6</m:t>
          </m:r>
          <m:r>
            <m:rPr>
              <m:nor/>
            </m:rPr>
            <w:rPr>
              <w:rFonts w:ascii="Arial" w:hAnsi="Arial" w:cs="Arial"/>
              <w:sz w:val="24"/>
              <w:szCs w:val="24"/>
            </w:rPr>
            <m:t xml:space="preserve"> mSv</m:t>
          </m:r>
          <m:r>
            <m:rPr>
              <m:sty m:val="p"/>
            </m:rPr>
            <w:rPr>
              <w:rFonts w:ascii="Arial" w:hAnsi="Arial" w:cs="Arial"/>
              <w:sz w:val="24"/>
              <w:szCs w:val="24"/>
            </w:rPr>
            <w:br/>
          </m:r>
        </m:oMath>
      </m:oMathPara>
    </w:p>
    <w:p w14:paraId="0204338B" w14:textId="77777777" w:rsidR="00824F32" w:rsidRPr="00824F32" w:rsidRDefault="00603D17" w:rsidP="00824F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35F090F6">
          <v:rect id="_x0000_i1033" style="width:0;height:1.5pt" o:hralign="center" o:hrstd="t" o:hr="t" fillcolor="#a0a0a0" stroked="f"/>
        </w:pict>
      </w:r>
    </w:p>
    <w:p w14:paraId="763A1483" w14:textId="77777777" w:rsidR="00824F32" w:rsidRPr="00824F32" w:rsidRDefault="00824F32" w:rsidP="00824F32">
      <w:pPr>
        <w:rPr>
          <w:rFonts w:ascii="Arial" w:hAnsi="Arial" w:cs="Arial"/>
          <w:b/>
          <w:bCs/>
          <w:sz w:val="24"/>
          <w:szCs w:val="24"/>
        </w:rPr>
      </w:pPr>
      <w:r w:rsidRPr="00824F32">
        <w:rPr>
          <w:rFonts w:ascii="Arial" w:hAnsi="Arial" w:cs="Arial"/>
          <w:b/>
          <w:bCs/>
          <w:sz w:val="24"/>
          <w:szCs w:val="24"/>
        </w:rPr>
        <w:t>3. Comparison with dosimetry</w:t>
      </w:r>
    </w:p>
    <w:p w14:paraId="2D31EE90" w14:textId="77777777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>Measured values:</w:t>
      </w:r>
    </w:p>
    <w:p w14:paraId="6F99D65D" w14:textId="77777777" w:rsidR="00824F32" w:rsidRPr="00824F32" w:rsidRDefault="00824F32" w:rsidP="00824F32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EPD: 8.6 mSv </w:t>
      </w:r>
    </w:p>
    <w:p w14:paraId="7BC195A2" w14:textId="77777777" w:rsidR="00824F32" w:rsidRPr="00824F32" w:rsidRDefault="00824F32" w:rsidP="00824F32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Peak EPD dose rate: 1.2 Sv h^-1 </w:t>
      </w:r>
    </w:p>
    <w:p w14:paraId="4C965EC3" w14:textId="77777777" w:rsidR="00824F32" w:rsidRPr="00824F32" w:rsidRDefault="00824F32" w:rsidP="00824F32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TLD: 11.4 mSv </w:t>
      </w:r>
    </w:p>
    <w:p w14:paraId="3FBE42DF" w14:textId="3CFA2DCF" w:rsidR="00824F32" w:rsidRPr="00824F32" w:rsidRDefault="00A57D4B" w:rsidP="00824F32">
      <w:pPr>
        <w:rPr>
          <w:rFonts w:ascii="Arial" w:hAnsi="Arial" w:cs="Arial"/>
          <w:sz w:val="24"/>
          <w:szCs w:val="24"/>
        </w:rPr>
      </w:pPr>
      <w:r w:rsidRPr="00A57D4B">
        <w:rPr>
          <w:rFonts w:ascii="Arial" w:hAnsi="Arial" w:cs="Arial"/>
          <w:sz w:val="24"/>
          <w:szCs w:val="24"/>
        </w:rPr>
        <w:lastRenderedPageBreak/>
        <w:t>The estimated close-phase dose rate (~1.15 Sv h</w:t>
      </w:r>
      <w:r w:rsidRPr="00A57D4B">
        <w:rPr>
          <w:rFonts w:ascii="Cambria Math" w:hAnsi="Cambria Math" w:cs="Cambria Math"/>
          <w:sz w:val="24"/>
          <w:szCs w:val="24"/>
        </w:rPr>
        <w:t>⁻</w:t>
      </w:r>
      <w:r w:rsidRPr="00A57D4B">
        <w:rPr>
          <w:rFonts w:ascii="Arial" w:hAnsi="Arial" w:cs="Arial"/>
          <w:sz w:val="24"/>
          <w:szCs w:val="24"/>
        </w:rPr>
        <w:t>¹) is in excellent agreement with the recorded peak EPD dose rate of 1.2 Sv h</w:t>
      </w:r>
      <w:r w:rsidRPr="00A57D4B">
        <w:rPr>
          <w:rFonts w:ascii="Cambria Math" w:hAnsi="Cambria Math" w:cs="Cambria Math"/>
          <w:sz w:val="24"/>
          <w:szCs w:val="24"/>
        </w:rPr>
        <w:t>⁻</w:t>
      </w:r>
      <w:r w:rsidRPr="00A57D4B">
        <w:rPr>
          <w:rFonts w:ascii="Arial" w:hAnsi="Arial" w:cs="Arial"/>
          <w:sz w:val="24"/>
          <w:szCs w:val="24"/>
        </w:rPr>
        <w:t>¹, providing strong validation of the reconstruction</w:t>
      </w:r>
    </w:p>
    <w:p w14:paraId="01182B4C" w14:textId="77777777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>The higher TLD value can be explained by:</w:t>
      </w:r>
    </w:p>
    <w:p w14:paraId="1741C4A0" w14:textId="77777777" w:rsidR="00824F32" w:rsidRPr="00824F32" w:rsidRDefault="00824F32" w:rsidP="00824F32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non-uniform field distribution </w:t>
      </w:r>
    </w:p>
    <w:p w14:paraId="5120E293" w14:textId="77777777" w:rsidR="00824F32" w:rsidRPr="00824F32" w:rsidRDefault="00824F32" w:rsidP="00824F32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dosimeter position (waist vs chest) </w:t>
      </w:r>
    </w:p>
    <w:p w14:paraId="75A10C6F" w14:textId="77777777" w:rsidR="00824F32" w:rsidRPr="00824F32" w:rsidRDefault="00824F32" w:rsidP="00824F32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body orientation during exposure </w:t>
      </w:r>
    </w:p>
    <w:p w14:paraId="3E66FD8E" w14:textId="77777777" w:rsidR="00824F32" w:rsidRPr="00824F32" w:rsidRDefault="00824F32" w:rsidP="00824F32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integration of dose over the whole body compared with localised peak exposure </w:t>
      </w:r>
    </w:p>
    <w:p w14:paraId="1019F48D" w14:textId="77777777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>The peak dose rate is consistent with the close-phase estimate (~1.15 Sv h^-1).</w:t>
      </w:r>
    </w:p>
    <w:p w14:paraId="4EC76F08" w14:textId="77777777" w:rsidR="00824F32" w:rsidRPr="00824F32" w:rsidRDefault="00603D17" w:rsidP="00824F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68F5ED81">
          <v:rect id="_x0000_i1034" style="width:0;height:1.5pt" o:hralign="center" o:hrstd="t" o:hr="t" fillcolor="#a0a0a0" stroked="f"/>
        </w:pict>
      </w:r>
    </w:p>
    <w:p w14:paraId="53FB6D62" w14:textId="77777777" w:rsidR="00824F32" w:rsidRPr="00824F32" w:rsidRDefault="00824F32" w:rsidP="00824F32">
      <w:pPr>
        <w:rPr>
          <w:rFonts w:ascii="Arial" w:hAnsi="Arial" w:cs="Arial"/>
          <w:b/>
          <w:bCs/>
          <w:sz w:val="24"/>
          <w:szCs w:val="24"/>
        </w:rPr>
      </w:pPr>
      <w:r w:rsidRPr="00824F32">
        <w:rPr>
          <w:rFonts w:ascii="Arial" w:hAnsi="Arial" w:cs="Arial"/>
          <w:b/>
          <w:bCs/>
          <w:sz w:val="24"/>
          <w:szCs w:val="24"/>
        </w:rPr>
        <w:t>4. Health implications</w:t>
      </w:r>
    </w:p>
    <w:p w14:paraId="6FA01C85" w14:textId="77777777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At doses of order </w:t>
      </w:r>
      <w:r w:rsidRPr="00824F32">
        <w:rPr>
          <w:rFonts w:ascii="Arial" w:hAnsi="Arial" w:cs="Arial"/>
          <w:b/>
          <w:bCs/>
          <w:sz w:val="24"/>
          <w:szCs w:val="24"/>
        </w:rPr>
        <w:t>10 mSv</w:t>
      </w:r>
      <w:r w:rsidRPr="00824F32">
        <w:rPr>
          <w:rFonts w:ascii="Arial" w:hAnsi="Arial" w:cs="Arial"/>
          <w:sz w:val="24"/>
          <w:szCs w:val="24"/>
        </w:rPr>
        <w:t>:</w:t>
      </w:r>
    </w:p>
    <w:p w14:paraId="6C7304F0" w14:textId="77777777" w:rsidR="00824F32" w:rsidRPr="00824F32" w:rsidRDefault="00824F32" w:rsidP="00824F32">
      <w:pPr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no deterministic whole-body effects are expected </w:t>
      </w:r>
    </w:p>
    <w:p w14:paraId="13915750" w14:textId="77777777" w:rsidR="00824F32" w:rsidRPr="00824F32" w:rsidRDefault="00824F32" w:rsidP="00824F32">
      <w:pPr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the primary consequence is increased stochastic risk </w:t>
      </w:r>
    </w:p>
    <w:p w14:paraId="49CF4FBC" w14:textId="77777777" w:rsidR="00824F32" w:rsidRPr="00824F32" w:rsidRDefault="00824F32" w:rsidP="00824F32">
      <w:pPr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the exposure is significant in an occupational context and requires investigation </w:t>
      </w:r>
    </w:p>
    <w:p w14:paraId="3132B790" w14:textId="77777777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>Symptoms such as nausea are unlikely to be radiation-induced at this dose and may be attributed to stress or situational factors.</w:t>
      </w:r>
    </w:p>
    <w:p w14:paraId="01B8E81B" w14:textId="77777777" w:rsidR="00824F32" w:rsidRPr="00824F32" w:rsidRDefault="00603D17" w:rsidP="00824F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3DA55A49">
          <v:rect id="_x0000_i1035" style="width:0;height:1.5pt" o:hralign="center" o:hrstd="t" o:hr="t" fillcolor="#a0a0a0" stroked="f"/>
        </w:pict>
      </w:r>
    </w:p>
    <w:p w14:paraId="2DAD10A7" w14:textId="77777777" w:rsidR="00824F32" w:rsidRPr="00824F32" w:rsidRDefault="00824F32" w:rsidP="00824F32">
      <w:pPr>
        <w:rPr>
          <w:rFonts w:ascii="Arial" w:hAnsi="Arial" w:cs="Arial"/>
          <w:b/>
          <w:bCs/>
          <w:sz w:val="24"/>
          <w:szCs w:val="24"/>
        </w:rPr>
      </w:pPr>
      <w:r w:rsidRPr="00824F32">
        <w:rPr>
          <w:rFonts w:ascii="Arial" w:hAnsi="Arial" w:cs="Arial"/>
          <w:b/>
          <w:bCs/>
          <w:sz w:val="24"/>
          <w:szCs w:val="24"/>
        </w:rPr>
        <w:t>5. IRR17 compliance</w:t>
      </w:r>
    </w:p>
    <w:p w14:paraId="63649D07" w14:textId="77777777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>Likely issues include:</w:t>
      </w:r>
    </w:p>
    <w:p w14:paraId="25E8F587" w14:textId="77777777" w:rsidR="00824F32" w:rsidRPr="00824F32" w:rsidRDefault="00824F32" w:rsidP="00824F32">
      <w:pPr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failure to maintain equipment in efficient working order </w:t>
      </w:r>
    </w:p>
    <w:p w14:paraId="752009AA" w14:textId="77777777" w:rsidR="00824F32" w:rsidRPr="00824F32" w:rsidRDefault="00824F32" w:rsidP="00824F32">
      <w:pPr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inadequate control of guide-tube routing </w:t>
      </w:r>
    </w:p>
    <w:p w14:paraId="691FC5DA" w14:textId="77777777" w:rsidR="00824F32" w:rsidRPr="00824F32" w:rsidRDefault="00824F32" w:rsidP="00824F32">
      <w:pPr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failure to confirm source return before intervention </w:t>
      </w:r>
    </w:p>
    <w:p w14:paraId="02F62938" w14:textId="77777777" w:rsidR="00824F32" w:rsidRPr="00824F32" w:rsidRDefault="00824F32" w:rsidP="00824F32">
      <w:pPr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insufficient restriction of exposure under abnormal conditions </w:t>
      </w:r>
    </w:p>
    <w:p w14:paraId="389807D6" w14:textId="77777777" w:rsidR="00824F32" w:rsidRPr="00824F32" w:rsidRDefault="00824F32" w:rsidP="00824F32">
      <w:pPr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weaknesses in supervision and procedural compliance </w:t>
      </w:r>
    </w:p>
    <w:p w14:paraId="3B7162F4" w14:textId="77777777" w:rsidR="00824F32" w:rsidRPr="00824F32" w:rsidRDefault="00603D17" w:rsidP="00824F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0B8575FE">
          <v:rect id="_x0000_i1036" style="width:0;height:1.5pt" o:hralign="center" o:hrstd="t" o:hr="t" fillcolor="#a0a0a0" stroked="f"/>
        </w:pict>
      </w:r>
    </w:p>
    <w:p w14:paraId="07EDFCB1" w14:textId="77777777" w:rsidR="00824F32" w:rsidRPr="00824F32" w:rsidRDefault="00824F32" w:rsidP="00824F32">
      <w:pPr>
        <w:rPr>
          <w:rFonts w:ascii="Arial" w:hAnsi="Arial" w:cs="Arial"/>
          <w:b/>
          <w:bCs/>
          <w:sz w:val="24"/>
          <w:szCs w:val="24"/>
        </w:rPr>
      </w:pPr>
      <w:r w:rsidRPr="00824F32">
        <w:rPr>
          <w:rFonts w:ascii="Arial" w:hAnsi="Arial" w:cs="Arial"/>
          <w:b/>
          <w:bCs/>
          <w:sz w:val="24"/>
          <w:szCs w:val="24"/>
        </w:rPr>
        <w:t>6. ONR SAP evaluation</w:t>
      </w:r>
    </w:p>
    <w:p w14:paraId="5003C1CE" w14:textId="77777777" w:rsidR="00824F32" w:rsidRPr="00824F32" w:rsidRDefault="00824F32" w:rsidP="00824F32">
      <w:pPr>
        <w:rPr>
          <w:rFonts w:ascii="Arial" w:hAnsi="Arial" w:cs="Arial"/>
          <w:b/>
          <w:bCs/>
          <w:sz w:val="24"/>
          <w:szCs w:val="24"/>
        </w:rPr>
      </w:pPr>
      <w:r w:rsidRPr="00824F32">
        <w:rPr>
          <w:rFonts w:ascii="Arial" w:hAnsi="Arial" w:cs="Arial"/>
          <w:b/>
          <w:bCs/>
          <w:sz w:val="24"/>
          <w:szCs w:val="24"/>
        </w:rPr>
        <w:t>EKP.5 Defence in Depth</w:t>
      </w:r>
    </w:p>
    <w:p w14:paraId="3B2EDBD2" w14:textId="77777777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>Multiple layers failed:</w:t>
      </w:r>
    </w:p>
    <w:p w14:paraId="0FB3D4EB" w14:textId="77777777" w:rsidR="00824F32" w:rsidRPr="00824F32" w:rsidRDefault="00824F32" w:rsidP="00824F32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degraded drive performance </w:t>
      </w:r>
    </w:p>
    <w:p w14:paraId="00FBF5BF" w14:textId="77777777" w:rsidR="00824F32" w:rsidRPr="00824F32" w:rsidRDefault="00824F32" w:rsidP="00824F32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lastRenderedPageBreak/>
        <w:t xml:space="preserve">adverse guide-tube geometry </w:t>
      </w:r>
    </w:p>
    <w:p w14:paraId="5D0F409B" w14:textId="77777777" w:rsidR="00824F32" w:rsidRPr="00824F32" w:rsidRDefault="00824F32" w:rsidP="00824F32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incorrect assumption of source return </w:t>
      </w:r>
    </w:p>
    <w:p w14:paraId="2D2E5832" w14:textId="77777777" w:rsidR="00824F32" w:rsidRPr="00824F32" w:rsidRDefault="00824F32" w:rsidP="00824F32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premature close intervention </w:t>
      </w:r>
    </w:p>
    <w:p w14:paraId="65FA4BF4" w14:textId="77777777" w:rsidR="00824F32" w:rsidRPr="00824F32" w:rsidRDefault="00824F32" w:rsidP="00824F32">
      <w:pPr>
        <w:rPr>
          <w:rFonts w:ascii="Arial" w:hAnsi="Arial" w:cs="Arial"/>
          <w:b/>
          <w:bCs/>
          <w:sz w:val="24"/>
          <w:szCs w:val="24"/>
        </w:rPr>
      </w:pPr>
      <w:r w:rsidRPr="00824F32">
        <w:rPr>
          <w:rFonts w:ascii="Arial" w:hAnsi="Arial" w:cs="Arial"/>
          <w:b/>
          <w:bCs/>
          <w:sz w:val="24"/>
          <w:szCs w:val="24"/>
        </w:rPr>
        <w:t>Engineering safety</w:t>
      </w:r>
    </w:p>
    <w:p w14:paraId="4E40CF05" w14:textId="77777777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>Return verification systems should prevent ambiguity in source position.</w:t>
      </w:r>
    </w:p>
    <w:p w14:paraId="2752C491" w14:textId="77777777" w:rsidR="00824F32" w:rsidRPr="00824F32" w:rsidRDefault="00824F32" w:rsidP="00824F32">
      <w:pPr>
        <w:rPr>
          <w:rFonts w:ascii="Arial" w:hAnsi="Arial" w:cs="Arial"/>
          <w:b/>
          <w:bCs/>
          <w:sz w:val="24"/>
          <w:szCs w:val="24"/>
        </w:rPr>
      </w:pPr>
      <w:r w:rsidRPr="00824F32">
        <w:rPr>
          <w:rFonts w:ascii="Arial" w:hAnsi="Arial" w:cs="Arial"/>
          <w:b/>
          <w:bCs/>
          <w:sz w:val="24"/>
          <w:szCs w:val="24"/>
        </w:rPr>
        <w:t>Human factors / procedures</w:t>
      </w:r>
    </w:p>
    <w:p w14:paraId="2D4BA8AC" w14:textId="77777777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>The incident reflects reliance on assumption rather than verification under abnormal conditions.</w:t>
      </w:r>
    </w:p>
    <w:p w14:paraId="4A929897" w14:textId="77777777" w:rsidR="00824F32" w:rsidRPr="00824F32" w:rsidRDefault="00603D17" w:rsidP="00824F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1A0C5217">
          <v:rect id="_x0000_i1037" style="width:0;height:1.5pt" o:hralign="center" o:hrstd="t" o:hr="t" fillcolor="#a0a0a0" stroked="f"/>
        </w:pict>
      </w:r>
    </w:p>
    <w:p w14:paraId="74F4A4FB" w14:textId="77777777" w:rsidR="00824F32" w:rsidRPr="00824F32" w:rsidRDefault="00824F32" w:rsidP="00824F32">
      <w:pPr>
        <w:rPr>
          <w:rFonts w:ascii="Arial" w:hAnsi="Arial" w:cs="Arial"/>
          <w:b/>
          <w:bCs/>
          <w:sz w:val="24"/>
          <w:szCs w:val="24"/>
        </w:rPr>
      </w:pPr>
      <w:r w:rsidRPr="00824F32">
        <w:rPr>
          <w:rFonts w:ascii="Arial" w:hAnsi="Arial" w:cs="Arial"/>
          <w:b/>
          <w:bCs/>
          <w:sz w:val="24"/>
          <w:szCs w:val="24"/>
        </w:rPr>
        <w:t>7. ALARP improvements</w:t>
      </w:r>
    </w:p>
    <w:p w14:paraId="686A2000" w14:textId="77777777" w:rsidR="00824F32" w:rsidRPr="00824F32" w:rsidRDefault="00824F32" w:rsidP="00824F32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improve maintenance of drive and guide-tube systems </w:t>
      </w:r>
    </w:p>
    <w:p w14:paraId="4A5A92B7" w14:textId="77777777" w:rsidR="00824F32" w:rsidRPr="00824F32" w:rsidRDefault="00824F32" w:rsidP="00824F32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control guide-tube routing to avoid excessive curvature </w:t>
      </w:r>
    </w:p>
    <w:p w14:paraId="0FBB53D8" w14:textId="77777777" w:rsidR="00824F32" w:rsidRPr="00824F32" w:rsidRDefault="00824F32" w:rsidP="00824F32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strengthen source-return verification procedures </w:t>
      </w:r>
    </w:p>
    <w:p w14:paraId="208C4563" w14:textId="77777777" w:rsidR="00824F32" w:rsidRPr="00824F32" w:rsidRDefault="00824F32" w:rsidP="00824F32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require withdrawal under uncertainty </w:t>
      </w:r>
    </w:p>
    <w:p w14:paraId="404E981E" w14:textId="77777777" w:rsidR="00824F32" w:rsidRPr="00824F32" w:rsidRDefault="00824F32" w:rsidP="00824F32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review dosimetry and alarm arrangements </w:t>
      </w:r>
    </w:p>
    <w:p w14:paraId="222E96BC" w14:textId="77777777" w:rsidR="00824F32" w:rsidRPr="00824F32" w:rsidRDefault="00824F32" w:rsidP="00824F32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 xml:space="preserve">reinforce supervision and procedural discipline </w:t>
      </w:r>
    </w:p>
    <w:p w14:paraId="705969FC" w14:textId="77777777" w:rsidR="00824F32" w:rsidRPr="00824F32" w:rsidRDefault="00603D17" w:rsidP="00824F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65B5F466">
          <v:rect id="_x0000_i1038" style="width:0;height:1.5pt" o:hralign="center" o:hrstd="t" o:hr="t" fillcolor="#a0a0a0" stroked="f"/>
        </w:pict>
      </w:r>
    </w:p>
    <w:p w14:paraId="3143D186" w14:textId="77777777" w:rsidR="00824F32" w:rsidRPr="00824F32" w:rsidRDefault="00824F32" w:rsidP="00824F32">
      <w:pPr>
        <w:rPr>
          <w:rFonts w:ascii="Arial" w:hAnsi="Arial" w:cs="Arial"/>
          <w:b/>
          <w:bCs/>
          <w:sz w:val="24"/>
          <w:szCs w:val="24"/>
        </w:rPr>
      </w:pPr>
      <w:r w:rsidRPr="00824F32">
        <w:rPr>
          <w:rFonts w:ascii="Arial" w:hAnsi="Arial" w:cs="Arial"/>
          <w:b/>
          <w:bCs/>
          <w:sz w:val="24"/>
          <w:szCs w:val="24"/>
        </w:rPr>
        <w:t>8. Marker guidance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7"/>
        <w:gridCol w:w="2904"/>
      </w:tblGrid>
      <w:tr w:rsidR="00824F32" w:rsidRPr="00824F32" w14:paraId="20741263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1C9C797" w14:textId="77777777" w:rsidR="00824F32" w:rsidRPr="00824F32" w:rsidRDefault="00824F32" w:rsidP="00824F3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24F32">
              <w:rPr>
                <w:rFonts w:ascii="Arial" w:hAnsi="Arial" w:cs="Arial"/>
                <w:b/>
                <w:bCs/>
                <w:sz w:val="24"/>
                <w:szCs w:val="24"/>
              </w:rPr>
              <w:t>Issue</w:t>
            </w:r>
          </w:p>
        </w:tc>
        <w:tc>
          <w:tcPr>
            <w:tcW w:w="0" w:type="auto"/>
            <w:vAlign w:val="center"/>
            <w:hideMark/>
          </w:tcPr>
          <w:p w14:paraId="04FAB165" w14:textId="77777777" w:rsidR="00824F32" w:rsidRPr="00824F32" w:rsidRDefault="00824F32" w:rsidP="00824F3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24F32">
              <w:rPr>
                <w:rFonts w:ascii="Arial" w:hAnsi="Arial" w:cs="Arial"/>
                <w:b/>
                <w:bCs/>
                <w:sz w:val="24"/>
                <w:szCs w:val="24"/>
              </w:rPr>
              <w:t>Treatment</w:t>
            </w:r>
          </w:p>
        </w:tc>
      </w:tr>
      <w:tr w:rsidR="00824F32" w:rsidRPr="00824F32" w14:paraId="519656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21744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Unit errors</w:t>
            </w:r>
          </w:p>
        </w:tc>
        <w:tc>
          <w:tcPr>
            <w:tcW w:w="0" w:type="auto"/>
            <w:vAlign w:val="center"/>
            <w:hideMark/>
          </w:tcPr>
          <w:p w14:paraId="25734121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Penalise units, not method</w:t>
            </w:r>
          </w:p>
        </w:tc>
      </w:tr>
      <w:tr w:rsidR="00824F32" w:rsidRPr="00824F32" w14:paraId="0AEC44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EDF27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Gamma constant variation</w:t>
            </w:r>
          </w:p>
        </w:tc>
        <w:tc>
          <w:tcPr>
            <w:tcW w:w="0" w:type="auto"/>
            <w:vAlign w:val="center"/>
            <w:hideMark/>
          </w:tcPr>
          <w:p w14:paraId="2B738CC6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Accept if consistent</w:t>
            </w:r>
          </w:p>
        </w:tc>
      </w:tr>
      <w:tr w:rsidR="00824F32" w:rsidRPr="00824F32" w14:paraId="117B1E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A0629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Attenuation variation</w:t>
            </w:r>
          </w:p>
        </w:tc>
        <w:tc>
          <w:tcPr>
            <w:tcW w:w="0" w:type="auto"/>
            <w:vAlign w:val="center"/>
            <w:hideMark/>
          </w:tcPr>
          <w:p w14:paraId="726B17C0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Accept justified values</w:t>
            </w:r>
          </w:p>
        </w:tc>
      </w:tr>
      <w:tr w:rsidR="00824F32" w:rsidRPr="00824F32" w14:paraId="5AF4BC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1A73F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Ignoring geometry</w:t>
            </w:r>
          </w:p>
        </w:tc>
        <w:tc>
          <w:tcPr>
            <w:tcW w:w="0" w:type="auto"/>
            <w:vAlign w:val="center"/>
            <w:hideMark/>
          </w:tcPr>
          <w:p w14:paraId="60BA023D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Lose judgement marks</w:t>
            </w:r>
          </w:p>
        </w:tc>
      </w:tr>
      <w:tr w:rsidR="00824F32" w:rsidRPr="00824F32" w14:paraId="413040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5E1A7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Overstating health effects</w:t>
            </w:r>
          </w:p>
        </w:tc>
        <w:tc>
          <w:tcPr>
            <w:tcW w:w="0" w:type="auto"/>
            <w:vAlign w:val="center"/>
            <w:hideMark/>
          </w:tcPr>
          <w:p w14:paraId="68DEAA18" w14:textId="77777777" w:rsidR="00824F32" w:rsidRPr="00824F32" w:rsidRDefault="00824F32" w:rsidP="00824F32">
            <w:pPr>
              <w:rPr>
                <w:rFonts w:ascii="Arial" w:hAnsi="Arial" w:cs="Arial"/>
                <w:sz w:val="24"/>
                <w:szCs w:val="24"/>
              </w:rPr>
            </w:pPr>
            <w:r w:rsidRPr="00824F32">
              <w:rPr>
                <w:rFonts w:ascii="Arial" w:hAnsi="Arial" w:cs="Arial"/>
                <w:sz w:val="24"/>
                <w:szCs w:val="24"/>
              </w:rPr>
              <w:t>Correct</w:t>
            </w:r>
          </w:p>
        </w:tc>
      </w:tr>
    </w:tbl>
    <w:p w14:paraId="731D8F72" w14:textId="77777777" w:rsidR="00824F32" w:rsidRPr="00824F32" w:rsidRDefault="00603D17" w:rsidP="00824F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106DE82A">
          <v:rect id="_x0000_i1039" style="width:0;height:1.5pt" o:hralign="center" o:hrstd="t" o:hr="t" fillcolor="#a0a0a0" stroked="f"/>
        </w:pict>
      </w:r>
    </w:p>
    <w:p w14:paraId="5014EB18" w14:textId="77777777" w:rsidR="00824F32" w:rsidRPr="00824F32" w:rsidRDefault="00824F32" w:rsidP="00824F32">
      <w:pPr>
        <w:rPr>
          <w:rFonts w:ascii="Arial" w:hAnsi="Arial" w:cs="Arial"/>
          <w:b/>
          <w:bCs/>
          <w:sz w:val="24"/>
          <w:szCs w:val="24"/>
        </w:rPr>
      </w:pPr>
      <w:r w:rsidRPr="00824F32">
        <w:rPr>
          <w:rFonts w:ascii="Arial" w:hAnsi="Arial" w:cs="Arial"/>
          <w:b/>
          <w:bCs/>
          <w:sz w:val="24"/>
          <w:szCs w:val="24"/>
        </w:rPr>
        <w:t>9. Indicative conclusion</w:t>
      </w:r>
    </w:p>
    <w:p w14:paraId="4D8BDA19" w14:textId="77777777" w:rsidR="00824F32" w:rsidRPr="00824F32" w:rsidRDefault="00824F32" w:rsidP="00824F32">
      <w:pPr>
        <w:rPr>
          <w:rFonts w:ascii="Arial" w:hAnsi="Arial" w:cs="Arial"/>
          <w:sz w:val="24"/>
          <w:szCs w:val="24"/>
        </w:rPr>
      </w:pPr>
      <w:r w:rsidRPr="00824F32">
        <w:rPr>
          <w:rFonts w:ascii="Arial" w:hAnsi="Arial" w:cs="Arial"/>
          <w:sz w:val="24"/>
          <w:szCs w:val="24"/>
        </w:rPr>
        <w:t>The incident resulted from degraded equipment performance, poor configuration of the guide tube, and unsafe intervention under uncertain source-return conditions. The resulting exposure was significant but not sufficient to cause deterministic injury. It represents a clear failure of radiological protection controls and highlights the need for stronger engineering, procedural and supervisory barriers.</w:t>
      </w:r>
    </w:p>
    <w:p w14:paraId="3C101843" w14:textId="77777777" w:rsidR="007B0F1F" w:rsidRPr="00824F32" w:rsidRDefault="007B0F1F">
      <w:pPr>
        <w:rPr>
          <w:rFonts w:ascii="Arial" w:hAnsi="Arial" w:cs="Arial"/>
          <w:sz w:val="24"/>
          <w:szCs w:val="24"/>
        </w:rPr>
      </w:pPr>
    </w:p>
    <w:sectPr w:rsidR="007B0F1F" w:rsidRPr="00824F32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9BD6C" w14:textId="77777777" w:rsidR="002C24A7" w:rsidRDefault="002C24A7" w:rsidP="00824F32">
      <w:pPr>
        <w:spacing w:after="0" w:line="240" w:lineRule="auto"/>
      </w:pPr>
      <w:r>
        <w:separator/>
      </w:r>
    </w:p>
  </w:endnote>
  <w:endnote w:type="continuationSeparator" w:id="0">
    <w:p w14:paraId="6F21EF11" w14:textId="77777777" w:rsidR="002C24A7" w:rsidRDefault="002C24A7" w:rsidP="00824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304141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EB69B2" w14:textId="22B761DB" w:rsidR="00824F32" w:rsidRDefault="00824F3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6A03AC1" w14:textId="77777777" w:rsidR="00824F32" w:rsidRDefault="00824F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7334F" w14:textId="77777777" w:rsidR="002C24A7" w:rsidRDefault="002C24A7" w:rsidP="00824F32">
      <w:pPr>
        <w:spacing w:after="0" w:line="240" w:lineRule="auto"/>
      </w:pPr>
      <w:r>
        <w:separator/>
      </w:r>
    </w:p>
  </w:footnote>
  <w:footnote w:type="continuationSeparator" w:id="0">
    <w:p w14:paraId="33E9E8B3" w14:textId="77777777" w:rsidR="002C24A7" w:rsidRDefault="002C24A7" w:rsidP="00824F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00134" w14:textId="48421848" w:rsidR="00824F32" w:rsidRDefault="00824F32" w:rsidP="00824F32">
    <w:pPr>
      <w:pStyle w:val="Header"/>
      <w:jc w:val="center"/>
    </w:pPr>
    <w:r>
      <w:t>OFFICIAL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9498A"/>
    <w:multiLevelType w:val="multilevel"/>
    <w:tmpl w:val="0B201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364726"/>
    <w:multiLevelType w:val="multilevel"/>
    <w:tmpl w:val="9CEEC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8303D6"/>
    <w:multiLevelType w:val="multilevel"/>
    <w:tmpl w:val="C4BA8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36446F"/>
    <w:multiLevelType w:val="multilevel"/>
    <w:tmpl w:val="4FE20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FA1682"/>
    <w:multiLevelType w:val="multilevel"/>
    <w:tmpl w:val="5840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C875F4"/>
    <w:multiLevelType w:val="multilevel"/>
    <w:tmpl w:val="AB708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0474DF"/>
    <w:multiLevelType w:val="multilevel"/>
    <w:tmpl w:val="BBBCA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A11D78"/>
    <w:multiLevelType w:val="multilevel"/>
    <w:tmpl w:val="6E4CF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AB1CAC"/>
    <w:multiLevelType w:val="multilevel"/>
    <w:tmpl w:val="528C5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F1604E"/>
    <w:multiLevelType w:val="multilevel"/>
    <w:tmpl w:val="D3A84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4802033">
    <w:abstractNumId w:val="8"/>
  </w:num>
  <w:num w:numId="2" w16cid:durableId="949707813">
    <w:abstractNumId w:val="4"/>
  </w:num>
  <w:num w:numId="3" w16cid:durableId="589312812">
    <w:abstractNumId w:val="0"/>
  </w:num>
  <w:num w:numId="4" w16cid:durableId="380638357">
    <w:abstractNumId w:val="6"/>
  </w:num>
  <w:num w:numId="5" w16cid:durableId="378826491">
    <w:abstractNumId w:val="5"/>
  </w:num>
  <w:num w:numId="6" w16cid:durableId="882835463">
    <w:abstractNumId w:val="9"/>
  </w:num>
  <w:num w:numId="7" w16cid:durableId="1067067792">
    <w:abstractNumId w:val="2"/>
  </w:num>
  <w:num w:numId="8" w16cid:durableId="1759863422">
    <w:abstractNumId w:val="1"/>
  </w:num>
  <w:num w:numId="9" w16cid:durableId="2070223161">
    <w:abstractNumId w:val="3"/>
  </w:num>
  <w:num w:numId="10" w16cid:durableId="83327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F32"/>
    <w:rsid w:val="00273FE2"/>
    <w:rsid w:val="002C24A7"/>
    <w:rsid w:val="00516BA4"/>
    <w:rsid w:val="00603D17"/>
    <w:rsid w:val="007B0F1F"/>
    <w:rsid w:val="00824F32"/>
    <w:rsid w:val="008F1273"/>
    <w:rsid w:val="009C2DCE"/>
    <w:rsid w:val="00A57D4B"/>
    <w:rsid w:val="00A6414C"/>
    <w:rsid w:val="00B42579"/>
    <w:rsid w:val="00D35B34"/>
    <w:rsid w:val="00DD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159011A5"/>
  <w15:chartTrackingRefBased/>
  <w15:docId w15:val="{B36A56ED-C459-4CED-ABE9-D8726B238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4F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4F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4F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4F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4F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4F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4F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4F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4F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4F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4F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4F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4F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4F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4F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4F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4F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4F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4F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4F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4F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4F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4F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4F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4F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4F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4F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4F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4F3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24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F32"/>
  </w:style>
  <w:style w:type="paragraph" w:styleId="Footer">
    <w:name w:val="footer"/>
    <w:basedOn w:val="Normal"/>
    <w:link w:val="FooterChar"/>
    <w:uiPriority w:val="99"/>
    <w:unhideWhenUsed/>
    <w:rsid w:val="00824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F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758</Words>
  <Characters>4463</Characters>
  <Application>Microsoft Office Word</Application>
  <DocSecurity>0</DocSecurity>
  <Lines>176</Lines>
  <Paragraphs>126</Paragraphs>
  <ScaleCrop>false</ScaleCrop>
  <Company/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Holloway</dc:creator>
  <cp:keywords/>
  <dc:description/>
  <cp:lastModifiedBy>Holloway, Ian Dr (NAVY PEOPLE-NUC PHYS MGR)</cp:lastModifiedBy>
  <cp:revision>4</cp:revision>
  <dcterms:created xsi:type="dcterms:W3CDTF">2026-03-23T19:51:00Z</dcterms:created>
  <dcterms:modified xsi:type="dcterms:W3CDTF">2026-03-26T15:39:00Z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a60473-494b-4586-a1bb-b0e663054676_Enabled">
    <vt:lpwstr>true</vt:lpwstr>
  </property>
  <property fmtid="{D5CDD505-2E9C-101B-9397-08002B2CF9AE}" pid="3" name="MSIP_Label_d8a60473-494b-4586-a1bb-b0e663054676_SetDate">
    <vt:lpwstr>2026-03-26T14:44:14Z</vt:lpwstr>
  </property>
  <property fmtid="{D5CDD505-2E9C-101B-9397-08002B2CF9AE}" pid="4" name="MSIP_Label_d8a60473-494b-4586-a1bb-b0e663054676_Method">
    <vt:lpwstr>Privileged</vt:lpwstr>
  </property>
  <property fmtid="{D5CDD505-2E9C-101B-9397-08002B2CF9AE}" pid="5" name="MSIP_Label_d8a60473-494b-4586-a1bb-b0e663054676_Name">
    <vt:lpwstr>MOD-1-O-‘UNMARKED’</vt:lpwstr>
  </property>
  <property fmtid="{D5CDD505-2E9C-101B-9397-08002B2CF9AE}" pid="6" name="MSIP_Label_d8a60473-494b-4586-a1bb-b0e663054676_SiteId">
    <vt:lpwstr>be7760ed-5953-484b-ae95-d0a16dfa09e5</vt:lpwstr>
  </property>
  <property fmtid="{D5CDD505-2E9C-101B-9397-08002B2CF9AE}" pid="7" name="MSIP_Label_d8a60473-494b-4586-a1bb-b0e663054676_ActionId">
    <vt:lpwstr>5e4666ad-049b-40bc-a411-303b80c85b98</vt:lpwstr>
  </property>
  <property fmtid="{D5CDD505-2E9C-101B-9397-08002B2CF9AE}" pid="8" name="MSIP_Label_d8a60473-494b-4586-a1bb-b0e663054676_ContentBits">
    <vt:lpwstr>0</vt:lpwstr>
  </property>
  <property fmtid="{D5CDD505-2E9C-101B-9397-08002B2CF9AE}" pid="9" name="MSIP_Label_d8a60473-494b-4586-a1bb-b0e663054676_Tag">
    <vt:lpwstr>10, 0, 1, 1</vt:lpwstr>
  </property>
</Properties>
</file>