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015C7" w14:textId="1A560A3C" w:rsidR="00AA5E43" w:rsidRDefault="00AA5E43" w:rsidP="7A0A84BB">
      <w:pPr>
        <w:rPr>
          <w:sz w:val="28"/>
          <w:szCs w:val="28"/>
        </w:rPr>
      </w:pPr>
    </w:p>
    <w:p w14:paraId="4102C82E" w14:textId="37E4FF66" w:rsidR="00AA5E43" w:rsidRDefault="66D8B0F3" w:rsidP="7A0A84BB">
      <w:pPr>
        <w:jc w:val="center"/>
        <w:rPr>
          <w:rFonts w:ascii="Aptos" w:eastAsia="Aptos" w:hAnsi="Aptos" w:cs="Aptos"/>
          <w:b/>
          <w:bCs/>
          <w:color w:val="000000" w:themeColor="text1"/>
          <w:sz w:val="36"/>
          <w:szCs w:val="36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Course: BSc (Hons) Health and Social Care</w:t>
      </w:r>
    </w:p>
    <w:p w14:paraId="2294C6EF" w14:textId="5B56509B" w:rsidR="00AA5E43" w:rsidRDefault="66D8B0F3" w:rsidP="7A0A84BB">
      <w:pPr>
        <w:jc w:val="center"/>
        <w:rPr>
          <w:rFonts w:ascii="Aptos" w:eastAsia="Aptos" w:hAnsi="Aptos" w:cs="Aptos"/>
          <w:b/>
          <w:bCs/>
          <w:color w:val="000000" w:themeColor="text1"/>
          <w:sz w:val="36"/>
          <w:szCs w:val="36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Module: </w:t>
      </w:r>
      <w:r w:rsidR="2D375C98"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Empowering the Older Person </w:t>
      </w: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(BMHP60</w:t>
      </w:r>
      <w:r w:rsidR="61FD718C"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27</w:t>
      </w: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_BIRM)</w:t>
      </w:r>
    </w:p>
    <w:p w14:paraId="06A7B61B" w14:textId="78C9EA3F" w:rsidR="00AA5E43" w:rsidRDefault="00AA5E43" w:rsidP="7A0A84BB">
      <w:pPr>
        <w:rPr>
          <w:sz w:val="28"/>
          <w:szCs w:val="28"/>
        </w:rPr>
      </w:pPr>
    </w:p>
    <w:p w14:paraId="35807F0D" w14:textId="647F5BCC" w:rsidR="00AA5E43" w:rsidRDefault="66D8B0F3" w:rsidP="7A0A84BB">
      <w:pPr>
        <w:jc w:val="center"/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Component </w:t>
      </w:r>
      <w:r w:rsidR="7B8E787D"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2</w:t>
      </w: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: </w:t>
      </w:r>
      <w:r w:rsidR="031A8C7E" w:rsidRPr="7A0A84BB">
        <w:rPr>
          <w:rFonts w:ascii="Aptos" w:eastAsia="Aptos" w:hAnsi="Aptos" w:cs="Aptos"/>
          <w:color w:val="000000" w:themeColor="text1"/>
          <w:sz w:val="32"/>
          <w:szCs w:val="32"/>
        </w:rPr>
        <w:t>Debate/Discussion</w:t>
      </w:r>
    </w:p>
    <w:p w14:paraId="7DE695A1" w14:textId="47DF40D4" w:rsidR="00AA5E43" w:rsidRDefault="00AA5E43" w:rsidP="7A0A84BB">
      <w:pPr>
        <w:rPr>
          <w:sz w:val="28"/>
          <w:szCs w:val="28"/>
        </w:rPr>
      </w:pPr>
    </w:p>
    <w:p w14:paraId="16AE6435" w14:textId="06649FB5" w:rsidR="00AA5E43" w:rsidRDefault="00AA5E43" w:rsidP="7A0A84BB">
      <w:pPr>
        <w:rPr>
          <w:sz w:val="28"/>
          <w:szCs w:val="28"/>
        </w:rPr>
      </w:pPr>
    </w:p>
    <w:p w14:paraId="33113096" w14:textId="5C38752E" w:rsidR="00AA5E43" w:rsidRDefault="66D8B0F3" w:rsidP="7A0A84BB">
      <w:pPr>
        <w:rPr>
          <w:rFonts w:ascii="Aptos" w:eastAsia="Aptos" w:hAnsi="Aptos" w:cs="Aptos"/>
          <w:color w:val="000000" w:themeColor="text1"/>
          <w:sz w:val="32"/>
          <w:szCs w:val="32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                                                 </w:t>
      </w:r>
    </w:p>
    <w:p w14:paraId="4E6AA7BE" w14:textId="739E96F4" w:rsidR="00AA5E43" w:rsidRDefault="66D8B0F3" w:rsidP="7A0A84BB">
      <w:pPr>
        <w:rPr>
          <w:rFonts w:ascii="Aptos" w:eastAsia="Aptos" w:hAnsi="Aptos" w:cs="Aptos"/>
          <w:color w:val="000000" w:themeColor="text1"/>
          <w:sz w:val="36"/>
          <w:szCs w:val="36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                                 </w:t>
      </w:r>
      <w:r w:rsidR="3ACE27F9"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  </w:t>
      </w: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 Student Name</w:t>
      </w:r>
      <w:r w:rsidRPr="7A0A84BB">
        <w:rPr>
          <w:rFonts w:ascii="Aptos" w:eastAsia="Aptos" w:hAnsi="Aptos" w:cs="Aptos"/>
          <w:color w:val="000000" w:themeColor="text1"/>
          <w:sz w:val="32"/>
          <w:szCs w:val="32"/>
        </w:rPr>
        <w:t>: Parveen Akhtar</w:t>
      </w:r>
    </w:p>
    <w:p w14:paraId="732060D8" w14:textId="1FFE0F46" w:rsidR="27AF3D0F" w:rsidRDefault="27AF3D0F" w:rsidP="7A0A84BB">
      <w:pPr>
        <w:rPr>
          <w:rFonts w:ascii="Aptos" w:eastAsia="Aptos" w:hAnsi="Aptos" w:cs="Aptos"/>
          <w:color w:val="000000" w:themeColor="text1"/>
          <w:sz w:val="36"/>
          <w:szCs w:val="36"/>
        </w:rPr>
      </w:pP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 xml:space="preserve">                                                 Student ID</w:t>
      </w:r>
      <w:r w:rsidRPr="7A0A84BB">
        <w:rPr>
          <w:rFonts w:ascii="Aptos" w:eastAsia="Aptos" w:hAnsi="Aptos" w:cs="Aptos"/>
          <w:color w:val="000000" w:themeColor="text1"/>
          <w:sz w:val="32"/>
          <w:szCs w:val="32"/>
        </w:rPr>
        <w:t>: 2309185</w:t>
      </w:r>
    </w:p>
    <w:p w14:paraId="5295A96D" w14:textId="08B57FDC" w:rsidR="27AF3D0F" w:rsidRDefault="27AF3D0F" w:rsidP="7A0A84BB">
      <w:pPr>
        <w:rPr>
          <w:rFonts w:ascii="Aptos" w:eastAsia="Aptos" w:hAnsi="Aptos" w:cs="Aptos"/>
          <w:color w:val="000000" w:themeColor="text1"/>
          <w:sz w:val="36"/>
          <w:szCs w:val="36"/>
        </w:rPr>
      </w:pPr>
      <w:r w:rsidRPr="7A0A84BB">
        <w:rPr>
          <w:rFonts w:ascii="Aptos" w:eastAsia="Aptos" w:hAnsi="Aptos" w:cs="Aptos"/>
          <w:color w:val="000000" w:themeColor="text1"/>
          <w:sz w:val="32"/>
          <w:szCs w:val="32"/>
        </w:rPr>
        <w:t xml:space="preserve">                                       </w:t>
      </w:r>
      <w:r w:rsidRPr="7A0A84BB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Lecturer:</w:t>
      </w:r>
      <w:r w:rsidRPr="7A0A84BB">
        <w:rPr>
          <w:rFonts w:ascii="Aptos" w:eastAsia="Aptos" w:hAnsi="Aptos" w:cs="Aptos"/>
          <w:color w:val="000000" w:themeColor="text1"/>
          <w:sz w:val="32"/>
          <w:szCs w:val="32"/>
        </w:rPr>
        <w:t xml:space="preserve"> Tomy Adattu Chacko</w:t>
      </w:r>
    </w:p>
    <w:p w14:paraId="77907074" w14:textId="48B3048F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3A1C733B" w14:textId="2CDE42AC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719AF16F" w14:textId="142BBC02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7A664684" w14:textId="57DCC640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6CD5AC20" w14:textId="353E3D64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60DDE27A" w14:textId="4A388502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321CC0BA" w14:textId="4E563880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16B7733C" w14:textId="26C24A34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57464598" w14:textId="765CC221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557460F6" w14:textId="0513F93D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05A1BBCE" w14:textId="53B2F243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4055997B" w14:textId="57125F98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5B9AB475" w14:textId="1A57017A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46F301E6" w14:textId="5E26BD5A" w:rsidR="00AA5E43" w:rsidRDefault="00AA5E43" w:rsidP="7A0A84BB">
      <w:pPr>
        <w:rPr>
          <w:rFonts w:ascii="Calibri" w:eastAsia="Calibri" w:hAnsi="Calibri" w:cs="Calibri"/>
          <w:sz w:val="22"/>
          <w:szCs w:val="22"/>
        </w:rPr>
      </w:pPr>
    </w:p>
    <w:p w14:paraId="2B518278" w14:textId="1CEA2DA0" w:rsidR="7A0A84BB" w:rsidRDefault="7A0A84BB" w:rsidP="7A0A84BB">
      <w:pPr>
        <w:rPr>
          <w:rFonts w:ascii="Calibri" w:eastAsia="Calibri" w:hAnsi="Calibri" w:cs="Calibri"/>
          <w:sz w:val="22"/>
          <w:szCs w:val="22"/>
        </w:rPr>
      </w:pPr>
    </w:p>
    <w:p w14:paraId="72B4140C" w14:textId="0F1BEA7F" w:rsidR="00AA5E43" w:rsidRDefault="00AA5E43" w:rsidP="11EDFBF1">
      <w:pPr>
        <w:rPr>
          <w:rFonts w:ascii="Calibri" w:eastAsia="Calibri" w:hAnsi="Calibri" w:cs="Calibri"/>
          <w:sz w:val="22"/>
          <w:szCs w:val="22"/>
        </w:rPr>
      </w:pPr>
    </w:p>
    <w:p w14:paraId="0E3DBD38" w14:textId="6234DFE7" w:rsidR="00AA5E43" w:rsidRDefault="6A73E519" w:rsidP="7A0A84BB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7A0A84BB">
        <w:rPr>
          <w:rFonts w:ascii="Arial" w:eastAsia="Arial" w:hAnsi="Arial" w:cs="Arial"/>
          <w:b/>
          <w:bCs/>
          <w:sz w:val="22"/>
          <w:szCs w:val="22"/>
        </w:rPr>
        <w:t>References:</w:t>
      </w:r>
    </w:p>
    <w:p w14:paraId="6C04C39D" w14:textId="19BC749F" w:rsidR="00AA5E43" w:rsidRDefault="00AA5E43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C078E63" w14:textId="441CA471" w:rsidR="00AA5E43" w:rsidRDefault="5C65919F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Alzheimer's Society (2022). </w:t>
      </w:r>
      <w:r w:rsidRPr="7A0A84BB">
        <w:rPr>
          <w:rFonts w:ascii="Arial" w:eastAsia="Arial" w:hAnsi="Arial" w:cs="Arial"/>
          <w:i/>
          <w:iCs/>
          <w:sz w:val="22"/>
          <w:szCs w:val="22"/>
        </w:rPr>
        <w:t>Understanding and Supporting a Person with Dementia</w:t>
      </w:r>
      <w:r w:rsidRPr="7A0A84BB">
        <w:rPr>
          <w:rFonts w:ascii="Arial" w:eastAsia="Arial" w:hAnsi="Arial" w:cs="Arial"/>
          <w:sz w:val="22"/>
          <w:szCs w:val="22"/>
        </w:rPr>
        <w:t xml:space="preserve">. Alzheimer’s Society. Available at: </w:t>
      </w:r>
      <w:hyperlink r:id="rId4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https://www.alzheimers.org.uk/get-support/help-dementia-care/understanding-supporting-person-dementia</w:t>
        </w:r>
      </w:hyperlink>
      <w:r w:rsidRPr="7A0A84BB">
        <w:rPr>
          <w:rFonts w:ascii="Arial" w:eastAsia="Arial" w:hAnsi="Arial" w:cs="Arial"/>
          <w:sz w:val="22"/>
          <w:szCs w:val="22"/>
        </w:rPr>
        <w:t xml:space="preserve">. (Accessed date: 2 February 2026). </w:t>
      </w:r>
    </w:p>
    <w:p w14:paraId="46259B07" w14:textId="7D14C41A" w:rsidR="210019E6" w:rsidRDefault="66545ED7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>Alzheimer’s Disease International (2021) World Alzheimer Report: Journey through the diagnosis of dementia. London: ADI. (Accessed date: 6 February 2026).</w:t>
      </w:r>
    </w:p>
    <w:p w14:paraId="79ED3F54" w14:textId="5179D459" w:rsidR="67E2C5A7" w:rsidRDefault="020D65D3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Beauchamp, T. and Childress, J. (2019). Principles of Biomedical Ethics: Marking Its Fortieth Anniversary. The American Journal of Bioethics, 19(11), pp.9–12.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doi:https://doi.org/10.1080/15265161.2019.1665402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. (Accessed date: 4 February 2026). </w:t>
      </w:r>
    </w:p>
    <w:p w14:paraId="561ED92E" w14:textId="368F32E3" w:rsidR="58E13033" w:rsidRDefault="1580937B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Care Act (2014). Care Act 2014. Legislation.gov.uk. Available at: </w:t>
      </w:r>
      <w:hyperlink r:id="rId5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https://www.legislation.gov.uk/ukpga/2014/23/contents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2 February 2026).</w:t>
      </w:r>
    </w:p>
    <w:p w14:paraId="1A654CF9" w14:textId="45921546" w:rsidR="40061705" w:rsidRDefault="7D8B225F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Department for Constitutional Affairs (2011). Mental Capacity Act 2005 - Explanatory Notes. Legislation.gov.uk. Available at: </w:t>
      </w:r>
      <w:hyperlink r:id="rId6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https://www.legislation.gov.uk/ukpga/2005/9/notes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2 February 2026).</w:t>
      </w:r>
    </w:p>
    <w:p w14:paraId="607146A8" w14:textId="089AB108" w:rsidR="10AEF9AD" w:rsidRDefault="76A1E4ED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Department of Health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( 2014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 ) Care and Support Statutory Guidance Issued under the Care Act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2014 .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London :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 HMSO. (Accessed date: 3 February 2026). </w:t>
      </w:r>
    </w:p>
    <w:p w14:paraId="0F01712A" w14:textId="6A5ED463" w:rsidR="5732C401" w:rsidRDefault="1C96E094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Department of Health (2005). Departmental Report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The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 Health and Personal Social Services Programmes.  Available at: </w:t>
      </w:r>
      <w:hyperlink r:id="rId7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https://assets.publishing.service.gov.uk/media/5a7c69bf40f0b62aff6c17df/6524.pdf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2 February 2026).</w:t>
      </w:r>
    </w:p>
    <w:p w14:paraId="08501BD7" w14:textId="53509B8A" w:rsidR="7F1DA6C4" w:rsidRDefault="35E68F11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Greenhalgh, T., Procter, R., Wherton, J., Sugarhood, P., Hinder, S. and Rouncefield, M. (2015). What is quality in assisted living technology? The ARCHIE framework for effective telehealth and telecare services. BMC Medicine, 13(1).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doi:https://doi.org/10.1186/s12916-015-0279-6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>. (Accessed date: 4 February 2026).</w:t>
      </w:r>
    </w:p>
    <w:p w14:paraId="5E54DA1F" w14:textId="157A3E95" w:rsidR="07735160" w:rsidRDefault="63590FD7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>King’s Fund (2022) Digital technology and adult social care: opportunities and challenges. London: The King’s Fund. (Accessed date: 6 February 2026).</w:t>
      </w:r>
    </w:p>
    <w:p w14:paraId="1F0D81FE" w14:textId="64778EF5" w:rsidR="677A6016" w:rsidRDefault="4BEFC628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lastRenderedPageBreak/>
        <w:t xml:space="preserve">Kitwood, T. M. (1997). </w:t>
      </w:r>
      <w:r w:rsidRPr="7A0A84BB">
        <w:rPr>
          <w:rFonts w:ascii="Arial" w:eastAsia="Arial" w:hAnsi="Arial" w:cs="Arial"/>
          <w:i/>
          <w:iCs/>
          <w:sz w:val="22"/>
          <w:szCs w:val="22"/>
        </w:rPr>
        <w:t>Dementia reconsidered: The person comes first.</w:t>
      </w:r>
      <w:r w:rsidRPr="7A0A84BB">
        <w:rPr>
          <w:rFonts w:ascii="Arial" w:eastAsia="Arial" w:hAnsi="Arial" w:cs="Arial"/>
          <w:sz w:val="22"/>
          <w:szCs w:val="22"/>
        </w:rPr>
        <w:t xml:space="preserve"> Open University Press. (Accessed date: 4 February 2026).</w:t>
      </w:r>
    </w:p>
    <w:p w14:paraId="5FC3331F" w14:textId="5BA2A2F9" w:rsidR="7B2F2938" w:rsidRDefault="2F1E67FF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Livingston, G., Sommerlad, A., Orgeta, V., Costafreda, S.G., Huntley, J., Ames, D., Ballard, C., Banerjee, S., Burns, A., Cohen-Mansfield, J., Cooper, C., Fox, N., Gitlin, L.N., Howard, R., Kales, H.C., Larson, E.B., Ritchie, K., Rockwood, K., Sampson, E.L. and Samus, Q. (2017). Dementia prevention, intervention, and Care. The Lancet, 390(10113), pp.2673–2734.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doi:https://doi.org/10.1016/S0140-6736(17)31363-6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. (Accessed date: 2 February 2026). </w:t>
      </w:r>
    </w:p>
    <w:p w14:paraId="76E6046B" w14:textId="5DB9A502" w:rsidR="5D3DEF54" w:rsidRDefault="7F9C9C56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Marmot, M., Allen, J., Boyce, T., Goldblatt, P. and Morrison, J. (2020). Health Equity in England: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the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 Marmot Review 10 Years On. Institute of Health Equity. Available at: </w:t>
      </w:r>
      <w:hyperlink r:id="rId8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https://www.instituteofhealthequity.org/resources-reports/marmot-review-10-years-on/the-marmot-review-10-years-on-full-report.pdf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5 February 2026).</w:t>
      </w:r>
    </w:p>
    <w:p w14:paraId="0F78937B" w14:textId="6DB6A749" w:rsidR="48E602EF" w:rsidRDefault="1C867971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NHS (2021). Falls. NHS. Available at: </w:t>
      </w:r>
      <w:hyperlink r:id="rId9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https://www.nhs.uk/conditions/Falls/</w:t>
        </w:r>
      </w:hyperlink>
      <w:r w:rsidRPr="7A0A84BB">
        <w:rPr>
          <w:rFonts w:ascii="Arial" w:eastAsia="Arial" w:hAnsi="Arial" w:cs="Arial"/>
          <w:sz w:val="22"/>
          <w:szCs w:val="22"/>
        </w:rPr>
        <w:t xml:space="preserve">. (Accessed date: 2 February 2026). </w:t>
      </w:r>
    </w:p>
    <w:p w14:paraId="4B6802F3" w14:textId="794B5EDB" w:rsidR="5C160ECB" w:rsidRDefault="1A4F70CD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NHS (2022). Living Well with Dementia. nhs.uk. Available at: </w:t>
      </w:r>
      <w:hyperlink r:id="rId10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https://www.nhs.uk/conditions/dementia/living-with-dementia/living-well/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2 February 2026).</w:t>
      </w:r>
    </w:p>
    <w:p w14:paraId="3D8F6BFF" w14:textId="69AB113D" w:rsidR="7D37646D" w:rsidRDefault="07158035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>NICE (2018). Dementia: Assessment, Management and Dementia: Assessment, Management and Support for People Living with Dementia Support for People Living with Dementia and Their Carers and Their Carers NICE Guideline.</w:t>
      </w:r>
      <w:r w:rsidR="25EABFDE" w:rsidRPr="7A0A84BB">
        <w:rPr>
          <w:rFonts w:ascii="Arial" w:eastAsia="Arial" w:hAnsi="Arial" w:cs="Arial"/>
          <w:sz w:val="22"/>
          <w:szCs w:val="22"/>
        </w:rPr>
        <w:t xml:space="preserve"> </w:t>
      </w:r>
      <w:r w:rsidRPr="7A0A84BB">
        <w:rPr>
          <w:rFonts w:ascii="Arial" w:eastAsia="Arial" w:hAnsi="Arial" w:cs="Arial"/>
          <w:sz w:val="22"/>
          <w:szCs w:val="22"/>
        </w:rPr>
        <w:t xml:space="preserve">Available at: </w:t>
      </w:r>
      <w:hyperlink r:id="rId11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https://www.nice.org.uk/guidance/ng97/resources/dementia-assessment-management-and-support-for-people-living-with-dementia-and-their-carers-pdf-1837760199109</w:t>
        </w:r>
      </w:hyperlink>
      <w:r w:rsidRPr="7A0A84BB">
        <w:rPr>
          <w:rFonts w:ascii="Arial" w:eastAsia="Arial" w:hAnsi="Arial" w:cs="Arial"/>
          <w:sz w:val="22"/>
          <w:szCs w:val="22"/>
        </w:rPr>
        <w:t xml:space="preserve">. (Accessed date: 2 February 2026). </w:t>
      </w:r>
    </w:p>
    <w:p w14:paraId="01A0D574" w14:textId="4C818704" w:rsidR="04D0E955" w:rsidRDefault="567AF6D7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Public (2025). Public opinions and social trends, Great Britain. Ons.gov.uk. Available at: </w:t>
      </w:r>
      <w:hyperlink r:id="rId12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https://www.ons.gov.uk/peoplepopulationandcommunity/wellbeing/bulletins/publicopinionsandsocialtrendsgreatbritain/january2025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5 February 2026).</w:t>
      </w:r>
    </w:p>
    <w:p w14:paraId="023916B6" w14:textId="1F9C5230" w:rsidR="7E232472" w:rsidRDefault="61083DFF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Sixsmith, A.J., Gibson, G., Orpwood, R.D. and Torrington, J.M. (2007). Developing a technology ‘wish-list’ to enhance the quality of life of people with dementia. Gerontechnology, 6(1). </w:t>
      </w:r>
      <w:proofErr w:type="gramStart"/>
      <w:r w:rsidRPr="7A0A84BB">
        <w:rPr>
          <w:rFonts w:ascii="Arial" w:eastAsia="Arial" w:hAnsi="Arial" w:cs="Arial"/>
          <w:sz w:val="22"/>
          <w:szCs w:val="22"/>
        </w:rPr>
        <w:t>doi:https://doi.org/10.4017/gt.2007.06.01.002.00</w:t>
      </w:r>
      <w:proofErr w:type="gramEnd"/>
      <w:r w:rsidRPr="7A0A84BB">
        <w:rPr>
          <w:rFonts w:ascii="Arial" w:eastAsia="Arial" w:hAnsi="Arial" w:cs="Arial"/>
          <w:sz w:val="22"/>
          <w:szCs w:val="22"/>
        </w:rPr>
        <w:t xml:space="preserve">. (Accessed date: 4 February 2026).  </w:t>
      </w:r>
    </w:p>
    <w:p w14:paraId="5EDEE34A" w14:textId="58724050" w:rsidR="719995A2" w:rsidRDefault="314A32E1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>Tew, J. (2011). Social approaches to mental distress. Basingstoke: Palgrave Macmillan.</w:t>
      </w:r>
      <w:r w:rsidR="49E8C07A" w:rsidRPr="7A0A84BB">
        <w:rPr>
          <w:rFonts w:ascii="Arial" w:eastAsia="Arial" w:hAnsi="Arial" w:cs="Arial"/>
          <w:sz w:val="22"/>
          <w:szCs w:val="22"/>
        </w:rPr>
        <w:t xml:space="preserve"> (Accessed date: 4 February 2026).  </w:t>
      </w:r>
    </w:p>
    <w:p w14:paraId="08E0074D" w14:textId="3631F7EB" w:rsidR="2368F21E" w:rsidRDefault="294D8C26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lastRenderedPageBreak/>
        <w:t xml:space="preserve">World Health Organization (2021). Global status report on the public health response to dementia. iris.who.int. World Health Organization. Available at: </w:t>
      </w:r>
      <w:hyperlink r:id="rId13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https://iris.who.int/handle/10665/344701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2 February 2026).</w:t>
      </w:r>
    </w:p>
    <w:p w14:paraId="4447E711" w14:textId="603B1A70" w:rsidR="283D1C88" w:rsidRDefault="2EB72CE9" w:rsidP="7A0A84B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7A0A84BB">
        <w:rPr>
          <w:rFonts w:ascii="Arial" w:eastAsia="Arial" w:hAnsi="Arial" w:cs="Arial"/>
          <w:sz w:val="22"/>
          <w:szCs w:val="22"/>
        </w:rPr>
        <w:t xml:space="preserve">WHO (2017). Global Action Plan on the Public Health Response to Dementia 2017 - 2025. [online] www.who.int. Available at: </w:t>
      </w:r>
      <w:hyperlink r:id="rId14">
        <w:r w:rsidRPr="7A0A84BB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https://www.who.int/publications/i/item/global-action-plan-on-the-public-health-response-to-dementia-2017---2025</w:t>
        </w:r>
      </w:hyperlink>
      <w:r w:rsidRPr="7A0A84BB">
        <w:rPr>
          <w:rFonts w:ascii="Arial" w:eastAsia="Arial" w:hAnsi="Arial" w:cs="Arial"/>
          <w:sz w:val="22"/>
          <w:szCs w:val="22"/>
        </w:rPr>
        <w:t>. (Accessed date: 5 February 2026).</w:t>
      </w:r>
    </w:p>
    <w:p w14:paraId="4D1CD7B6" w14:textId="7EFA1458" w:rsidR="11EDFBF1" w:rsidRDefault="11EDFBF1" w:rsidP="11EDFBF1">
      <w:pPr>
        <w:rPr>
          <w:rFonts w:ascii="Calibri" w:eastAsia="Calibri" w:hAnsi="Calibri" w:cs="Calibri"/>
          <w:color w:val="2C3E50"/>
          <w:sz w:val="27"/>
          <w:szCs w:val="27"/>
        </w:rPr>
      </w:pPr>
    </w:p>
    <w:p w14:paraId="46B6E930" w14:textId="3CC7476C" w:rsidR="11EDFBF1" w:rsidRDefault="11EDFBF1" w:rsidP="11EDFBF1">
      <w:pPr>
        <w:rPr>
          <w:rFonts w:ascii="Calibri" w:eastAsia="Calibri" w:hAnsi="Calibri" w:cs="Calibri"/>
          <w:color w:val="2C3E50"/>
          <w:sz w:val="27"/>
          <w:szCs w:val="27"/>
        </w:rPr>
      </w:pPr>
    </w:p>
    <w:sectPr w:rsidR="11EDFBF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Ud9Q5P5KhLFVV" int2:id="23Om3NU4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785530"/>
    <w:rsid w:val="00AA5E43"/>
    <w:rsid w:val="00CA1C72"/>
    <w:rsid w:val="00F415BC"/>
    <w:rsid w:val="020D65D3"/>
    <w:rsid w:val="031A8C7E"/>
    <w:rsid w:val="04D0E955"/>
    <w:rsid w:val="05724387"/>
    <w:rsid w:val="05F81456"/>
    <w:rsid w:val="06465E29"/>
    <w:rsid w:val="07158035"/>
    <w:rsid w:val="07735160"/>
    <w:rsid w:val="0858A2A2"/>
    <w:rsid w:val="086CB28B"/>
    <w:rsid w:val="097390B1"/>
    <w:rsid w:val="0A480E72"/>
    <w:rsid w:val="0A5EEAC8"/>
    <w:rsid w:val="0B78C08D"/>
    <w:rsid w:val="0BFF5001"/>
    <w:rsid w:val="0F785530"/>
    <w:rsid w:val="0FBC4E69"/>
    <w:rsid w:val="10AEF9AD"/>
    <w:rsid w:val="11EDFBF1"/>
    <w:rsid w:val="1580937B"/>
    <w:rsid w:val="194DFAC1"/>
    <w:rsid w:val="1A4F70CD"/>
    <w:rsid w:val="1C867971"/>
    <w:rsid w:val="1C96E094"/>
    <w:rsid w:val="1F0B2418"/>
    <w:rsid w:val="1FA60B43"/>
    <w:rsid w:val="207A282B"/>
    <w:rsid w:val="210019E6"/>
    <w:rsid w:val="2368F21E"/>
    <w:rsid w:val="25EABFDE"/>
    <w:rsid w:val="27AF3D0F"/>
    <w:rsid w:val="283D1C88"/>
    <w:rsid w:val="294D8C26"/>
    <w:rsid w:val="2AFE169C"/>
    <w:rsid w:val="2D375C98"/>
    <w:rsid w:val="2EB72CE9"/>
    <w:rsid w:val="2F1E67FF"/>
    <w:rsid w:val="314A32E1"/>
    <w:rsid w:val="33B99A80"/>
    <w:rsid w:val="35922D93"/>
    <w:rsid w:val="35E68F11"/>
    <w:rsid w:val="3766CACD"/>
    <w:rsid w:val="3A7D6A3E"/>
    <w:rsid w:val="3ACE27F9"/>
    <w:rsid w:val="3C8FD971"/>
    <w:rsid w:val="3CC1EFD9"/>
    <w:rsid w:val="3D5995FB"/>
    <w:rsid w:val="40061705"/>
    <w:rsid w:val="41B8864E"/>
    <w:rsid w:val="43D0EC94"/>
    <w:rsid w:val="477E6CC2"/>
    <w:rsid w:val="48E602EF"/>
    <w:rsid w:val="49E8C07A"/>
    <w:rsid w:val="4AC8D47D"/>
    <w:rsid w:val="4BEFC628"/>
    <w:rsid w:val="4EB4E83F"/>
    <w:rsid w:val="4EDC9436"/>
    <w:rsid w:val="4FEBDAFC"/>
    <w:rsid w:val="520F21D8"/>
    <w:rsid w:val="567AF6D7"/>
    <w:rsid w:val="5732C401"/>
    <w:rsid w:val="58E13033"/>
    <w:rsid w:val="5B1AE352"/>
    <w:rsid w:val="5C160ECB"/>
    <w:rsid w:val="5C65919F"/>
    <w:rsid w:val="5D3DEF54"/>
    <w:rsid w:val="61083DFF"/>
    <w:rsid w:val="61FD718C"/>
    <w:rsid w:val="63590FD7"/>
    <w:rsid w:val="66545ED7"/>
    <w:rsid w:val="66D8B0F3"/>
    <w:rsid w:val="67754A66"/>
    <w:rsid w:val="677A6016"/>
    <w:rsid w:val="67E2C5A7"/>
    <w:rsid w:val="6803BBB1"/>
    <w:rsid w:val="6A73E519"/>
    <w:rsid w:val="6DCF77EB"/>
    <w:rsid w:val="6F5EA758"/>
    <w:rsid w:val="719995A2"/>
    <w:rsid w:val="72899B1F"/>
    <w:rsid w:val="76A1E4ED"/>
    <w:rsid w:val="79318BD0"/>
    <w:rsid w:val="79DB8EB8"/>
    <w:rsid w:val="7A0A84BB"/>
    <w:rsid w:val="7B2F2938"/>
    <w:rsid w:val="7B8E787D"/>
    <w:rsid w:val="7D37646D"/>
    <w:rsid w:val="7D8B225F"/>
    <w:rsid w:val="7E232472"/>
    <w:rsid w:val="7F1DA6C4"/>
    <w:rsid w:val="7F9C9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F963F"/>
  <w15:chartTrackingRefBased/>
  <w15:docId w15:val="{553933D9-0729-4A03-B1CF-1D67C2A2C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1EDFBF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ituteofhealthequity.org/resources-reports/marmot-review-10-years-on/the-marmot-review-10-years-on-full-report.pdf" TargetMode="External"/><Relationship Id="rId13" Type="http://schemas.openxmlformats.org/officeDocument/2006/relationships/hyperlink" Target="https://iris.who.int/handle/10665/34470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5a7c69bf40f0b62aff6c17df/6524.pdf" TargetMode="External"/><Relationship Id="rId12" Type="http://schemas.openxmlformats.org/officeDocument/2006/relationships/hyperlink" Target="https://www.ons.gov.uk/peoplepopulationandcommunity/wellbeing/bulletins/publicopinionsandsocialtrendsgreatbritain/january2025" TargetMode="External"/><Relationship Id="rId17" Type="http://schemas.microsoft.com/office/2020/10/relationships/intelligence" Target="intelligence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5/9/notes" TargetMode="External"/><Relationship Id="rId11" Type="http://schemas.openxmlformats.org/officeDocument/2006/relationships/hyperlink" Target="https://www.nice.org.uk/guidance/ng97/resources/dementia-assessment-management-and-support-for-people-living-with-dementia-and-their-carers-pdf-1837760199109" TargetMode="External"/><Relationship Id="rId5" Type="http://schemas.openxmlformats.org/officeDocument/2006/relationships/hyperlink" Target="https://www.legislation.gov.uk/ukpga/2014/23/content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nhs.uk/conditions/dementia/living-with-dementia/living-well/" TargetMode="External"/><Relationship Id="rId4" Type="http://schemas.openxmlformats.org/officeDocument/2006/relationships/hyperlink" Target="https://www.alzheimers.org.uk/get-support/help-dementia-care/understanding-supporting-person-dementia" TargetMode="External"/><Relationship Id="rId9" Type="http://schemas.openxmlformats.org/officeDocument/2006/relationships/hyperlink" Target="https://www.nhs.uk/conditions/Falls/" TargetMode="External"/><Relationship Id="rId14" Type="http://schemas.openxmlformats.org/officeDocument/2006/relationships/hyperlink" Target="https://www.who.int/publications/i/item/global-action-plan-on-the-public-health-response-to-dementia-2017---20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809</Words>
  <Characters>5399</Characters>
  <Application>Microsoft Office Word</Application>
  <DocSecurity>0</DocSecurity>
  <Lines>174</Lines>
  <Paragraphs>46</Paragraphs>
  <ScaleCrop>false</ScaleCrop>
  <Company/>
  <LinksUpToDate>false</LinksUpToDate>
  <CharactersWithSpaces>6162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Tanya Hussain</dc:creator>
  <cp:keywords/>
  <dc:description/>
  <cp:lastModifiedBy>Parveen Akhtar (2309185)</cp:lastModifiedBy>
  <cp:revision>2</cp:revision>
  <dcterms:created xsi:type="dcterms:W3CDTF">2026-03-10T22:19:00Z</dcterms:created>
  <dcterms:modified xsi:type="dcterms:W3CDTF">2026-03-10T22:19:00Z</dcterms:modified>
</cp:coreProperties>
</file>