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2E613" w14:textId="73459FC5" w:rsidR="00142864" w:rsidRDefault="00F11FE5" w:rsidP="00142864">
      <w:pPr>
        <w:spacing w:before="120" w:after="120"/>
        <w:jc w:val="center"/>
        <w:rPr>
          <w:rFonts w:asciiTheme="minorHAnsi" w:hAnsiTheme="minorHAnsi" w:cstheme="minorHAnsi"/>
          <w:i/>
          <w:iCs/>
          <w:sz w:val="21"/>
          <w:szCs w:val="21"/>
          <w:lang w:val="cy-GB"/>
        </w:rPr>
      </w:pPr>
      <w:r w:rsidRPr="00142864">
        <w:rPr>
          <w:rFonts w:asciiTheme="minorHAnsi" w:hAnsiTheme="minorHAnsi" w:cstheme="minorHAnsi"/>
          <w:i/>
          <w:iCs/>
          <w:sz w:val="21"/>
          <w:szCs w:val="21"/>
          <w:lang w:val="cy-GB"/>
        </w:rPr>
        <w:t>Dylunio, cynnal a gwerthuso prosiect ymchwil yn feirniadol gan ganolbwyntio ar fodel yr athro trawsnewidiol wrth ddatblygu ymarfer sy’n cael effaith gadarnhaol ar y dysgw</w:t>
      </w:r>
      <w:r w:rsidRPr="00142864">
        <w:rPr>
          <w:rFonts w:asciiTheme="minorHAnsi" w:hAnsiTheme="minorHAnsi" w:cstheme="minorHAnsi"/>
          <w:i/>
          <w:iCs/>
          <w:sz w:val="21"/>
          <w:szCs w:val="21"/>
          <w:lang w:val="cy-GB"/>
        </w:rPr>
        <w:t>r.</w:t>
      </w:r>
    </w:p>
    <w:p w14:paraId="2B5FA203" w14:textId="77777777" w:rsidR="00142864" w:rsidRPr="00142864" w:rsidRDefault="00142864" w:rsidP="00142864">
      <w:pPr>
        <w:spacing w:before="120" w:after="120"/>
        <w:jc w:val="center"/>
        <w:rPr>
          <w:rFonts w:asciiTheme="minorHAnsi" w:hAnsiTheme="minorHAnsi" w:cstheme="minorHAnsi"/>
          <w:i/>
          <w:iCs/>
          <w:sz w:val="21"/>
          <w:szCs w:val="21"/>
          <w:lang w:val="cy-GB"/>
        </w:rPr>
      </w:pPr>
    </w:p>
    <w:p w14:paraId="028A8FDF" w14:textId="50556734" w:rsidR="00142864" w:rsidRPr="00142864" w:rsidRDefault="00142864" w:rsidP="00142864">
      <w:pPr>
        <w:spacing w:before="120" w:after="120" w:line="360" w:lineRule="auto"/>
        <w:jc w:val="center"/>
        <w:rPr>
          <w:rFonts w:asciiTheme="minorHAnsi" w:hAnsiTheme="minorHAnsi" w:cstheme="minorHAnsi"/>
          <w:b/>
          <w:bCs/>
          <w:sz w:val="24"/>
          <w:szCs w:val="24"/>
          <w:u w:val="single"/>
          <w:lang w:val="cy-GB"/>
        </w:rPr>
      </w:pPr>
      <w:r w:rsidRPr="00142864">
        <w:rPr>
          <w:rStyle w:val="normaltextrun"/>
          <w:rFonts w:ascii="Calibri" w:hAnsi="Calibri" w:cs="Calibri"/>
          <w:b/>
          <w:bCs/>
          <w:sz w:val="28"/>
          <w:szCs w:val="28"/>
          <w:u w:val="single"/>
          <w:lang w:val="cy-GB"/>
        </w:rPr>
        <w:t>Sut mae strategaethau meddylgarwch yn effeithio ar ymgysylltiad flwyddyn 3 wrth gweithio?</w:t>
      </w:r>
    </w:p>
    <w:p w14:paraId="6BCFCEBB" w14:textId="77777777" w:rsidR="00142864" w:rsidRDefault="00142864" w:rsidP="00AF28E5">
      <w:pPr>
        <w:spacing w:before="120" w:after="120" w:line="360" w:lineRule="auto"/>
        <w:rPr>
          <w:rFonts w:asciiTheme="minorHAnsi" w:hAnsiTheme="minorHAnsi" w:cstheme="minorHAnsi"/>
          <w:b/>
          <w:sz w:val="24"/>
          <w:szCs w:val="24"/>
          <w:u w:val="single"/>
          <w:lang w:val="cy-GB"/>
        </w:rPr>
      </w:pPr>
    </w:p>
    <w:p w14:paraId="797E0621" w14:textId="0ED711BA" w:rsidR="00FB1CC9"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 xml:space="preserve">Cyflwyniad </w:t>
      </w:r>
    </w:p>
    <w:p w14:paraId="0DD7CE76" w14:textId="39C17BA5" w:rsidR="00FB1CC9" w:rsidRPr="00AF28E5" w:rsidRDefault="007A03B1" w:rsidP="00AF28E5">
      <w:pPr>
        <w:spacing w:line="360" w:lineRule="auto"/>
        <w:rPr>
          <w:rFonts w:asciiTheme="minorHAnsi" w:hAnsiTheme="minorHAnsi" w:cstheme="minorHAnsi"/>
          <w:sz w:val="24"/>
          <w:szCs w:val="24"/>
          <w:lang w:val="cy-GB"/>
        </w:rPr>
      </w:pPr>
      <w:r w:rsidRPr="00AF28E5">
        <w:rPr>
          <w:rFonts w:asciiTheme="minorHAnsi" w:hAnsiTheme="minorHAnsi" w:cstheme="minorHAnsi"/>
          <w:sz w:val="24"/>
          <w:szCs w:val="24"/>
          <w:lang w:val="cy-GB"/>
        </w:rPr>
        <w:t>Pwrpas yr gweithgarwch ymchwil hwn yw i archwilio effeithiau stratagethau meddylgawrch ar ymgysylltiad y ddisgblion wrth gychwyn a pharhau ar dasgau. Bydd ffocws penodol ar ymatebion a agweddau’r ddysgwyr wrth gyfranogi mewn sesiynau meddylgarwch a sut mae hynny’n effeithio wrth cyflawni tasgau.</w:t>
      </w:r>
      <w:r w:rsidRPr="00AF28E5">
        <w:rPr>
          <w:rFonts w:asciiTheme="minorHAnsi" w:hAnsiTheme="minorHAnsi" w:cstheme="minorHAnsi"/>
          <w:sz w:val="24"/>
          <w:szCs w:val="24"/>
          <w:lang w:val="cy-GB"/>
        </w:rPr>
        <w:t xml:space="preserve"> Ysbrydolwyd yr ymchwil hwn gan fy nghanfyddiadau tra ar lleoliad dysgu proffisynnol a’r diffyg tawelwch yn yr ystafelloedd dosbarth ar ôl i’r dysgwyr ddychwelyd o wahanol weithgareddau. </w:t>
      </w:r>
      <w:r w:rsidR="00AF28E5" w:rsidRPr="00AF28E5">
        <w:rPr>
          <w:rFonts w:asciiTheme="minorHAnsi" w:hAnsiTheme="minorHAnsi" w:cstheme="minorHAnsi"/>
          <w:sz w:val="24"/>
          <w:szCs w:val="24"/>
          <w:lang w:val="cy-GB"/>
        </w:rPr>
        <w:t xml:space="preserve">Felly, gofynnir y cwestiwn pa stratagethau gall addysgwyr eu rhoi ar waith er mwyn ennill rheolaeth a chadw sylw eu ddysgwyr adfywiedig ar dasg. </w:t>
      </w:r>
      <w:r w:rsidR="00AF28E5" w:rsidRPr="00AF28E5">
        <w:rPr>
          <w:rFonts w:asciiTheme="minorHAnsi" w:hAnsiTheme="minorHAnsi" w:cstheme="minorHAnsi"/>
          <w:sz w:val="24"/>
          <w:szCs w:val="24"/>
          <w:lang w:val="cy-GB"/>
        </w:rPr>
        <w:t>Mae’r Deddf Llesinat Cenedlaethau’r Dyfodol (Llywodraeth Cymru, 2015) wedi dylanwadi ar fy ymchwil i fewn strategaethau meddylgarwch gan ei fod yn awgrymu dylai ysgolion Cymru fod yn gymdeithas lle mae llesiant corfforol a meddyliol yn bwysig</w:t>
      </w:r>
      <w:r w:rsidR="00AF28E5" w:rsidRPr="00AF28E5">
        <w:rPr>
          <w:rFonts w:asciiTheme="minorHAnsi" w:hAnsiTheme="minorHAnsi" w:cstheme="minorHAnsi"/>
          <w:sz w:val="24"/>
          <w:szCs w:val="24"/>
          <w:lang w:val="cy-GB"/>
        </w:rPr>
        <w:t xml:space="preserve">. </w:t>
      </w:r>
      <w:r w:rsidR="00FB1CC9" w:rsidRPr="00AF28E5">
        <w:rPr>
          <w:rFonts w:asciiTheme="minorHAnsi" w:hAnsiTheme="minorHAnsi" w:cstheme="minorHAnsi"/>
          <w:sz w:val="24"/>
          <w:szCs w:val="24"/>
          <w:lang w:val="cy-GB"/>
        </w:rPr>
        <w:t xml:space="preserve">Bydd y gweithgarwch ymchwil hwn yn digwydd o fewn cyd-destun ysgol gynradd yn benodol ddosbarth flwyddyn </w:t>
      </w:r>
      <w:r w:rsidR="00FB1CC9" w:rsidRPr="00A755F9">
        <w:rPr>
          <w:rFonts w:asciiTheme="minorHAnsi" w:hAnsiTheme="minorHAnsi" w:cstheme="minorHAnsi"/>
          <w:sz w:val="24"/>
          <w:szCs w:val="24"/>
          <w:lang w:val="cy-GB"/>
        </w:rPr>
        <w:t xml:space="preserve">3. </w:t>
      </w:r>
      <w:r w:rsidR="00A755F9" w:rsidRPr="00A755F9">
        <w:rPr>
          <w:rFonts w:asciiTheme="minorHAnsi" w:hAnsiTheme="minorHAnsi" w:cstheme="minorHAnsi"/>
          <w:sz w:val="24"/>
          <w:szCs w:val="24"/>
          <w:lang w:val="cy-GB"/>
        </w:rPr>
        <w:t>Yn defnyddio canllawiau BERA (2018) byddaf yn cadw enw’r ysgol yn cudd</w:t>
      </w:r>
      <w:r w:rsidR="00A755F9">
        <w:rPr>
          <w:rFonts w:asciiTheme="minorHAnsi" w:hAnsiTheme="minorHAnsi" w:cstheme="minorHAnsi"/>
          <w:sz w:val="24"/>
          <w:szCs w:val="24"/>
          <w:lang w:val="cy-GB"/>
        </w:rPr>
        <w:t xml:space="preserve"> a gwelir yn Ysgol A.</w:t>
      </w:r>
      <w:r w:rsidR="00A755F9" w:rsidRPr="00AF28E5">
        <w:rPr>
          <w:rFonts w:asciiTheme="minorHAnsi" w:hAnsiTheme="minorHAnsi" w:cstheme="minorHAnsi"/>
          <w:sz w:val="24"/>
          <w:szCs w:val="24"/>
          <w:lang w:val="cy-GB"/>
        </w:rPr>
        <w:t xml:space="preserve"> </w:t>
      </w:r>
      <w:r w:rsidR="00FB1CC9" w:rsidRPr="00AF28E5">
        <w:rPr>
          <w:rFonts w:asciiTheme="minorHAnsi" w:hAnsiTheme="minorHAnsi" w:cstheme="minorHAnsi"/>
          <w:sz w:val="24"/>
          <w:szCs w:val="24"/>
          <w:lang w:val="cy-GB"/>
        </w:rPr>
        <w:t xml:space="preserve">Caiff yr ymchwil yma ei gyflawni ar broffiad dysgu sy’n gyswlltiedig ar gwrs Tystysgrif Addysg Raddedig (TAR) gyda Partneriaeth Dysgu Proffesiynol Yr Athrofa (PDPA). Wrth arsylwi ar y ddosbarth roedd hi’n amlwg ei fod yn cynhyrfu wrth dychwelyd nôl i’r dosbarth ar ôl amseroedd chwarae a chinio. Gwelir ymdrechion yr athrawes i ymdawelu’r ddysgwyr er mwyn cael y cyfle i gychwyn ar dasgau. Serch hynny, roedd ymgysylltiad rhai ddysgwyr yn prin iawn gan ei fod yn siarad gyda eraill yn y dosbarth. </w:t>
      </w:r>
      <w:r w:rsidR="00AF28E5" w:rsidRPr="00AF28E5">
        <w:rPr>
          <w:rFonts w:asciiTheme="minorHAnsi" w:hAnsiTheme="minorHAnsi" w:cstheme="minorHAnsi"/>
          <w:sz w:val="24"/>
          <w:szCs w:val="24"/>
          <w:lang w:val="cy-GB"/>
        </w:rPr>
        <w:t xml:space="preserve">Wrth ystyried hyn </w:t>
      </w:r>
      <w:r w:rsidR="00A755F9">
        <w:rPr>
          <w:rFonts w:asciiTheme="minorHAnsi" w:hAnsiTheme="minorHAnsi" w:cstheme="minorHAnsi"/>
          <w:sz w:val="24"/>
          <w:szCs w:val="24"/>
          <w:lang w:val="cy-GB"/>
        </w:rPr>
        <w:t>byddaf yn ymchwilio mewn i stratagaethau meddylgawrch a pha gwahanol fathau sydd yn effeithilon i defnyddio o fewn ystafell dosbarth. Yn ogystal a’r effaith mae’r stratagaethau yn cael ar ymgysylltiad y ddysgwyr yn ystod gweithgareddau. Y</w:t>
      </w:r>
      <w:r w:rsidR="00142864">
        <w:rPr>
          <w:rFonts w:asciiTheme="minorHAnsi" w:hAnsiTheme="minorHAnsi" w:cstheme="minorHAnsi"/>
          <w:sz w:val="24"/>
          <w:szCs w:val="24"/>
          <w:lang w:val="cy-GB"/>
        </w:rPr>
        <w:t>n y</w:t>
      </w:r>
      <w:r w:rsidR="00A755F9">
        <w:rPr>
          <w:rFonts w:asciiTheme="minorHAnsi" w:hAnsiTheme="minorHAnsi" w:cstheme="minorHAnsi"/>
          <w:sz w:val="24"/>
          <w:szCs w:val="24"/>
          <w:lang w:val="cy-GB"/>
        </w:rPr>
        <w:t xml:space="preserve"> gobaith </w:t>
      </w:r>
      <w:r w:rsidR="00142864">
        <w:rPr>
          <w:rFonts w:asciiTheme="minorHAnsi" w:hAnsiTheme="minorHAnsi" w:cstheme="minorHAnsi"/>
          <w:sz w:val="24"/>
          <w:szCs w:val="24"/>
          <w:lang w:val="cy-GB"/>
        </w:rPr>
        <w:t>o</w:t>
      </w:r>
      <w:r w:rsidR="00A755F9">
        <w:rPr>
          <w:rFonts w:asciiTheme="minorHAnsi" w:hAnsiTheme="minorHAnsi" w:cstheme="minorHAnsi"/>
          <w:sz w:val="24"/>
          <w:szCs w:val="24"/>
          <w:lang w:val="cy-GB"/>
        </w:rPr>
        <w:t xml:space="preserve"> </w:t>
      </w:r>
      <w:r w:rsidR="00142864">
        <w:rPr>
          <w:rFonts w:asciiTheme="minorHAnsi" w:hAnsiTheme="minorHAnsi" w:cstheme="minorHAnsi"/>
          <w:sz w:val="24"/>
          <w:szCs w:val="24"/>
          <w:lang w:val="cy-GB"/>
        </w:rPr>
        <w:t>d</w:t>
      </w:r>
      <w:r w:rsidR="00A755F9">
        <w:rPr>
          <w:rFonts w:asciiTheme="minorHAnsi" w:hAnsiTheme="minorHAnsi" w:cstheme="minorHAnsi"/>
          <w:sz w:val="24"/>
          <w:szCs w:val="24"/>
          <w:lang w:val="cy-GB"/>
        </w:rPr>
        <w:t>datblygu gwybodaeth a dealltwriaeth o sut mae stratagaethau meddylgarwch yn effeithio ar agwedd ac ymgysylltiad ddisgyblion flwyddyn 3 wrth gwneud gwaith trwy ei arsylwi a thrafod y dulliau fwyaf e</w:t>
      </w:r>
      <w:r w:rsidR="00142864">
        <w:rPr>
          <w:rFonts w:asciiTheme="minorHAnsi" w:hAnsiTheme="minorHAnsi" w:cstheme="minorHAnsi"/>
          <w:sz w:val="24"/>
          <w:szCs w:val="24"/>
          <w:lang w:val="cy-GB"/>
        </w:rPr>
        <w:t>ff</w:t>
      </w:r>
      <w:r w:rsidR="00A755F9">
        <w:rPr>
          <w:rFonts w:asciiTheme="minorHAnsi" w:hAnsiTheme="minorHAnsi" w:cstheme="minorHAnsi"/>
          <w:sz w:val="24"/>
          <w:szCs w:val="24"/>
          <w:lang w:val="cy-GB"/>
        </w:rPr>
        <w:t xml:space="preserve">eithlon iddynt i helpu i ganolbwyntio. </w:t>
      </w:r>
    </w:p>
    <w:p w14:paraId="0775D20C" w14:textId="77777777" w:rsidR="00A53E23" w:rsidRPr="00AF28E5" w:rsidRDefault="00A53E23" w:rsidP="00AF28E5">
      <w:pPr>
        <w:spacing w:before="120" w:after="120" w:line="360" w:lineRule="auto"/>
        <w:rPr>
          <w:rFonts w:asciiTheme="minorHAnsi" w:hAnsiTheme="minorHAnsi" w:cstheme="minorHAnsi"/>
          <w:b/>
          <w:sz w:val="24"/>
          <w:szCs w:val="24"/>
          <w:u w:val="single"/>
          <w:lang w:val="cy-GB"/>
        </w:rPr>
      </w:pPr>
    </w:p>
    <w:p w14:paraId="1ADCD3AB" w14:textId="00CDBF0B"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Trosolwg o lenyddiaeth berthnasol</w:t>
      </w:r>
    </w:p>
    <w:p w14:paraId="0E6A0B11" w14:textId="1DA8B554" w:rsidR="00AF28E5" w:rsidRDefault="00AF28E5" w:rsidP="00AF28E5">
      <w:pPr>
        <w:spacing w:before="120" w:after="120" w:line="360" w:lineRule="auto"/>
        <w:rPr>
          <w:rFonts w:asciiTheme="minorHAnsi" w:hAnsiTheme="minorHAnsi" w:cstheme="minorHAnsi"/>
          <w:sz w:val="24"/>
          <w:szCs w:val="24"/>
          <w:lang w:val="cy-GB"/>
        </w:rPr>
      </w:pPr>
      <w:r w:rsidRPr="00AF28E5">
        <w:rPr>
          <w:rFonts w:asciiTheme="minorHAnsi" w:hAnsiTheme="minorHAnsi" w:cstheme="minorHAnsi"/>
          <w:sz w:val="24"/>
          <w:szCs w:val="24"/>
          <w:lang w:val="cy-GB"/>
        </w:rPr>
        <w:t xml:space="preserve">Mae damcaniaeth gan Tatter (2019) yn awgrymu gall sesiynau meddylgarwch ar dechnegau hynny </w:t>
      </w:r>
      <w:r w:rsidR="0074155F">
        <w:rPr>
          <w:rFonts w:asciiTheme="minorHAnsi" w:hAnsiTheme="minorHAnsi" w:cstheme="minorHAnsi"/>
          <w:sz w:val="24"/>
          <w:szCs w:val="24"/>
          <w:lang w:val="cy-GB"/>
        </w:rPr>
        <w:t>yn</w:t>
      </w:r>
      <w:r w:rsidRPr="00AF28E5">
        <w:rPr>
          <w:rFonts w:asciiTheme="minorHAnsi" w:hAnsiTheme="minorHAnsi" w:cstheme="minorHAnsi"/>
          <w:sz w:val="24"/>
          <w:szCs w:val="24"/>
          <w:lang w:val="cy-GB"/>
        </w:rPr>
        <w:t xml:space="preserve"> dawelu’r meddwl a chorff. A hynny yw yn lleihau straen ac yn cynyddu gallu’r ddysgywr i barhau i aros ar y trywydd gywir ac osgoi problemau ymddygiad. Mae ymchwil Browning, A &amp; Romer, N (2020) yn dadansoddi bod dysgwyr ddysgu am sgiliau hunanymwybyddiaeth a hunanreoleiddio trwy gweithgareddau meddylgawrch maent yn gysylltiedig â llwyddiant yn yr ysgol. Felly i’r ddysgywr cael y cyfle i wneud hyn mae angen iddynt dysgu sut i reoli ymddygiadau a ddysgu’r sgilau ymdopi sydd yn gallu cael ei gweithredu gyda’r sesiynau meddylgawrch. Bydd yr cyfranogi mewn sesiynau meddylgarwch yn hanfodol i weld yr effeithiau negyddol neu gadarnhaol ar ymgysylltiad y ddisgyblion wrth iddynt barhau â’u hunedau gwaith, dyma bydd canolbwynt yr ymchwil hyn.</w:t>
      </w:r>
    </w:p>
    <w:p w14:paraId="1EBC7CDD" w14:textId="3E39B035" w:rsidR="0074155F" w:rsidRDefault="0074155F" w:rsidP="00AF28E5">
      <w:pPr>
        <w:spacing w:before="120" w:after="120"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Mae sawl astudiaeth wedi archwilio effaith sesiynau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ar wahanol agweddau ar fywydau myfyrwyr. Mae Zen (2018) yn awgrymu y gall defnyddio sesiynau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gael effaith gadarnhaol fach i gymedrol ar ymddygiad, gan nodi gwelliannau posibl mewn sylw a lleihau gwrthdyniadau. Fodd bynnag, mae Zen hefyd yn tynnu sylw at yr angen am strategaethau ychwanegol, yn enwedig ar gyfer myfyrwyr nad ydynt efallai'n elwa'n sylweddol o </w:t>
      </w:r>
      <w:r>
        <w:rPr>
          <w:rFonts w:asciiTheme="minorHAnsi" w:hAnsiTheme="minorHAnsi" w:cstheme="minorHAnsi"/>
          <w:sz w:val="24"/>
          <w:szCs w:val="24"/>
          <w:lang w:val="cy-GB"/>
        </w:rPr>
        <w:t>feddylgarwch</w:t>
      </w:r>
      <w:r w:rsidRPr="0074155F">
        <w:rPr>
          <w:rFonts w:asciiTheme="minorHAnsi" w:hAnsiTheme="minorHAnsi" w:cstheme="minorHAnsi"/>
          <w:sz w:val="24"/>
          <w:szCs w:val="24"/>
          <w:lang w:val="cy-GB"/>
        </w:rPr>
        <w:t xml:space="preserve"> yn unig. Felly, cynigiwyd ymgorffori technegau gwybyddol</w:t>
      </w:r>
      <w:r>
        <w:rPr>
          <w:rFonts w:asciiTheme="minorHAnsi" w:hAnsiTheme="minorHAnsi" w:cstheme="minorHAnsi"/>
          <w:sz w:val="24"/>
          <w:szCs w:val="24"/>
          <w:lang w:val="cy-GB"/>
        </w:rPr>
        <w:t>,</w:t>
      </w:r>
      <w:r w:rsidRPr="0074155F">
        <w:rPr>
          <w:rFonts w:asciiTheme="minorHAnsi" w:hAnsiTheme="minorHAnsi" w:cstheme="minorHAnsi"/>
          <w:sz w:val="24"/>
          <w:szCs w:val="24"/>
          <w:lang w:val="cy-GB"/>
        </w:rPr>
        <w:t xml:space="preserve"> ochr yn ochr â sesiynau ymwybyddiaeth ofalgar fel ffordd o wella sylw, yn enwedig mewn lleoliadau grŵp mawr.</w:t>
      </w:r>
      <w:r>
        <w:rPr>
          <w:rFonts w:asciiTheme="minorHAnsi" w:hAnsiTheme="minorHAnsi" w:cstheme="minorHAnsi"/>
          <w:sz w:val="24"/>
          <w:szCs w:val="24"/>
          <w:lang w:val="cy-GB"/>
        </w:rPr>
        <w:t xml:space="preserve"> </w:t>
      </w:r>
      <w:r w:rsidRPr="0074155F">
        <w:rPr>
          <w:rFonts w:asciiTheme="minorHAnsi" w:hAnsiTheme="minorHAnsi" w:cstheme="minorHAnsi"/>
          <w:sz w:val="24"/>
          <w:szCs w:val="24"/>
          <w:lang w:val="cy-GB"/>
        </w:rPr>
        <w:t xml:space="preserve">Yn yr un modd, archwiliodd Campbell (2015) effaith fuddiol </w:t>
      </w:r>
      <w:r>
        <w:rPr>
          <w:rFonts w:asciiTheme="minorHAnsi" w:hAnsiTheme="minorHAnsi" w:cstheme="minorHAnsi"/>
          <w:sz w:val="24"/>
          <w:szCs w:val="24"/>
          <w:lang w:val="cy-GB"/>
        </w:rPr>
        <w:t>o sesiynau meddylgarwch</w:t>
      </w:r>
      <w:r w:rsidRPr="0074155F">
        <w:rPr>
          <w:rFonts w:asciiTheme="minorHAnsi" w:hAnsiTheme="minorHAnsi" w:cstheme="minorHAnsi"/>
          <w:sz w:val="24"/>
          <w:szCs w:val="24"/>
          <w:lang w:val="cy-GB"/>
        </w:rPr>
        <w:t xml:space="preserve"> ar sgiliau rheoleiddio emosiynol myfyrwyr. Gall addysgu myfyrwyr sut i reoli eu hemosiynau'n effeithiol gyfrannu at well canolbwyntio, gan eu bod mewn sefyllfa well i gynnal ffocws a sylw. Mae hyn yn awgrymu bod sesi</w:t>
      </w:r>
      <w:r>
        <w:rPr>
          <w:rFonts w:asciiTheme="minorHAnsi" w:hAnsiTheme="minorHAnsi" w:cstheme="minorHAnsi"/>
          <w:sz w:val="24"/>
          <w:szCs w:val="24"/>
          <w:lang w:val="cy-GB"/>
        </w:rPr>
        <w:t>ynau meddylgarwch</w:t>
      </w:r>
      <w:r w:rsidRPr="0074155F">
        <w:rPr>
          <w:rFonts w:asciiTheme="minorHAnsi" w:hAnsiTheme="minorHAnsi" w:cstheme="minorHAnsi"/>
          <w:sz w:val="24"/>
          <w:szCs w:val="24"/>
          <w:lang w:val="cy-GB"/>
        </w:rPr>
        <w:t xml:space="preserve"> nid yn unig yn gwella lles emosiynol ond hefyd yn hybu mwy o sylw ymhlith myfyrwyr.</w:t>
      </w:r>
      <w:r w:rsidRPr="0074155F">
        <w:t xml:space="preserve"> </w:t>
      </w:r>
      <w:r w:rsidRPr="0074155F">
        <w:rPr>
          <w:rFonts w:asciiTheme="minorHAnsi" w:hAnsiTheme="minorHAnsi" w:cstheme="minorHAnsi"/>
          <w:sz w:val="24"/>
          <w:szCs w:val="24"/>
          <w:lang w:val="cy-GB"/>
        </w:rPr>
        <w:t xml:space="preserve">Yn ogystal â gwella rheoleiddio emosiynol, canfuwyd bod sesiynau </w:t>
      </w:r>
      <w:r>
        <w:rPr>
          <w:rFonts w:asciiTheme="minorHAnsi" w:hAnsiTheme="minorHAnsi" w:cstheme="minorHAnsi"/>
          <w:sz w:val="24"/>
          <w:szCs w:val="24"/>
          <w:lang w:val="cy-GB"/>
        </w:rPr>
        <w:t xml:space="preserve">hyn </w:t>
      </w:r>
      <w:r w:rsidRPr="0074155F">
        <w:rPr>
          <w:rFonts w:asciiTheme="minorHAnsi" w:hAnsiTheme="minorHAnsi" w:cstheme="minorHAnsi"/>
          <w:sz w:val="24"/>
          <w:szCs w:val="24"/>
          <w:lang w:val="cy-GB"/>
        </w:rPr>
        <w:t xml:space="preserve">yn meithrin ymdeimlad o dawelwch a gwydnwch mewnol ymhlith myfyrwyr (Smith, 2017). Gall y gwydnwch emosiynol hwn fod yn allweddol i liniaru'r gwrthdyniadau a'r straenwyr sy'n aml yn rhwystro canolbwyntio mewn lleoliadau addysgol. </w:t>
      </w:r>
      <w:r>
        <w:rPr>
          <w:rFonts w:asciiTheme="minorHAnsi" w:hAnsiTheme="minorHAnsi" w:cstheme="minorHAnsi"/>
          <w:sz w:val="24"/>
          <w:szCs w:val="24"/>
          <w:lang w:val="cy-GB"/>
        </w:rPr>
        <w:t>Golygai hyn bod</w:t>
      </w:r>
      <w:r w:rsidRPr="0074155F">
        <w:rPr>
          <w:rFonts w:asciiTheme="minorHAnsi" w:hAnsiTheme="minorHAnsi" w:cstheme="minorHAnsi"/>
          <w:sz w:val="24"/>
          <w:szCs w:val="24"/>
          <w:lang w:val="cy-GB"/>
        </w:rPr>
        <w:t xml:space="preserve"> arferion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yn hybu hunanymwybyddiaeth, gan ganiatáu i fyfyrwyr adnabod a mynd i'r afael â ffactorau a allai rwystro eu gallu i ganolbwyntio'n effeithiol. </w:t>
      </w:r>
      <w:r>
        <w:rPr>
          <w:rFonts w:asciiTheme="minorHAnsi" w:hAnsiTheme="minorHAnsi" w:cstheme="minorHAnsi"/>
          <w:sz w:val="24"/>
          <w:szCs w:val="24"/>
          <w:lang w:val="cy-GB"/>
        </w:rPr>
        <w:t xml:space="preserve">Caiff ddisgyblion y sgiliau hangenreidiol er mwyn wynebu eu heriau i gwella ei ymroddiad i gwaith. </w:t>
      </w:r>
    </w:p>
    <w:p w14:paraId="36D236CC" w14:textId="40533DF2" w:rsidR="0074155F" w:rsidRDefault="0074155F" w:rsidP="0074155F">
      <w:pPr>
        <w:spacing w:before="120" w:after="120"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lastRenderedPageBreak/>
        <w:t xml:space="preserve">Dadleuodd rhai na fydd ymyriadau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yn addas i bob myfyriwr neu efallai na fyddant yn mynd i'r afael ag anghenion penodol unigolion. Gall hyn arwain at ymddieithrio neu wrthwynebiad posibl ymhlith rhai myfyrwyr (Renshaw et al., 2019). Er enghraifft, gall myfyrwyr sy’n cael trafferth gyda phroblemau iechyd meddwl difrifol neu hanes trawma ganfod arferion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yn sbarduno neu’n annigonol i fynd i’r afael â’u hanghenion unigryw. Yn ogystal, gall myfyrwyr ag anhwylderau niwroddatblygiadol fel ADHD gael anhawster i gymryd rhan mewn gweithgareddau </w:t>
      </w:r>
      <w:r>
        <w:rPr>
          <w:rFonts w:asciiTheme="minorHAnsi" w:hAnsiTheme="minorHAnsi" w:cstheme="minorHAnsi"/>
          <w:sz w:val="24"/>
          <w:szCs w:val="24"/>
          <w:lang w:val="cy-GB"/>
        </w:rPr>
        <w:t>meddylgarwch</w:t>
      </w:r>
      <w:r w:rsidRPr="0074155F">
        <w:rPr>
          <w:rFonts w:asciiTheme="minorHAnsi" w:hAnsiTheme="minorHAnsi" w:cstheme="minorHAnsi"/>
          <w:sz w:val="24"/>
          <w:szCs w:val="24"/>
          <w:lang w:val="cy-GB"/>
        </w:rPr>
        <w:t xml:space="preserve"> oherwydd heriau gyda sylw a rheolaeth ysgogiad. Felly, mae'n hanfodol i addysgwyr ystyried gwahaniaethau unigol a theilwra </w:t>
      </w:r>
      <w:r>
        <w:rPr>
          <w:rFonts w:asciiTheme="minorHAnsi" w:hAnsiTheme="minorHAnsi" w:cstheme="minorHAnsi"/>
          <w:sz w:val="24"/>
          <w:szCs w:val="24"/>
          <w:lang w:val="cy-GB"/>
        </w:rPr>
        <w:t>sesiynau meddylgarwch</w:t>
      </w:r>
      <w:r w:rsidRPr="0074155F">
        <w:rPr>
          <w:rFonts w:asciiTheme="minorHAnsi" w:hAnsiTheme="minorHAnsi" w:cstheme="minorHAnsi"/>
          <w:sz w:val="24"/>
          <w:szCs w:val="24"/>
          <w:lang w:val="cy-GB"/>
        </w:rPr>
        <w:t xml:space="preserve"> yn unol â hynny i sicrhau cynwysoldeb ac effeithiolrwydd.</w:t>
      </w:r>
    </w:p>
    <w:p w14:paraId="7B44C7B2" w14:textId="24956006" w:rsid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 xml:space="preserve">Cefnogir mecanweithiau sylfaenol arferion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gan dystiolaeth wyddonol. Mae ymchwil yn dangos bod ymyriadau </w:t>
      </w:r>
      <w:r>
        <w:rPr>
          <w:rFonts w:asciiTheme="minorHAnsi" w:hAnsiTheme="minorHAnsi" w:cstheme="minorHAnsi"/>
          <w:bCs/>
          <w:sz w:val="24"/>
          <w:szCs w:val="24"/>
          <w:lang w:val="cy-GB"/>
        </w:rPr>
        <w:t>i sesiynau meddylgawrwch</w:t>
      </w:r>
      <w:r w:rsidRPr="0074155F">
        <w:rPr>
          <w:rFonts w:asciiTheme="minorHAnsi" w:hAnsiTheme="minorHAnsi" w:cstheme="minorHAnsi"/>
          <w:bCs/>
          <w:sz w:val="24"/>
          <w:szCs w:val="24"/>
          <w:lang w:val="cy-GB"/>
        </w:rPr>
        <w:t xml:space="preserve"> yn arwain at newidiadau strwythurol yn yr ymennydd</w:t>
      </w:r>
      <w:r>
        <w:rPr>
          <w:rFonts w:asciiTheme="minorHAnsi" w:hAnsiTheme="minorHAnsi" w:cstheme="minorHAnsi"/>
          <w:bCs/>
          <w:sz w:val="24"/>
          <w:szCs w:val="24"/>
          <w:lang w:val="cy-GB"/>
        </w:rPr>
        <w:t>.</w:t>
      </w:r>
      <w:r w:rsidRPr="0074155F">
        <w:rPr>
          <w:rFonts w:asciiTheme="minorHAnsi" w:hAnsiTheme="minorHAnsi" w:cstheme="minorHAnsi"/>
          <w:bCs/>
          <w:sz w:val="24"/>
          <w:szCs w:val="24"/>
          <w:lang w:val="cy-GB"/>
        </w:rPr>
        <w:t xml:space="preserve"> Mae canfyddiadau Dr. Richie Davidson</w:t>
      </w:r>
      <w:r>
        <w:rPr>
          <w:rFonts w:asciiTheme="minorHAnsi" w:hAnsiTheme="minorHAnsi" w:cstheme="minorHAnsi"/>
          <w:bCs/>
          <w:sz w:val="24"/>
          <w:szCs w:val="24"/>
          <w:lang w:val="cy-GB"/>
        </w:rPr>
        <w:t xml:space="preserve"> (Dyfynnwyd yn Kinder,2017)</w:t>
      </w:r>
      <w:r w:rsidRPr="0074155F">
        <w:rPr>
          <w:rFonts w:asciiTheme="minorHAnsi" w:hAnsiTheme="minorHAnsi" w:cstheme="minorHAnsi"/>
          <w:bCs/>
          <w:sz w:val="24"/>
          <w:szCs w:val="24"/>
          <w:lang w:val="cy-GB"/>
        </w:rPr>
        <w:t xml:space="preserve"> yn awgrymu bod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yn gwella cysylltedd niwral mewn rhanbarthau ymennydd sy'n gysylltiedig â sylw a chanolbwyntio, a thrwy hynny </w:t>
      </w:r>
      <w:r>
        <w:rPr>
          <w:rFonts w:asciiTheme="minorHAnsi" w:hAnsiTheme="minorHAnsi" w:cstheme="minorHAnsi"/>
          <w:bCs/>
          <w:sz w:val="24"/>
          <w:szCs w:val="24"/>
          <w:lang w:val="cy-GB"/>
        </w:rPr>
        <w:t>yn d</w:t>
      </w:r>
      <w:r w:rsidRPr="0074155F">
        <w:rPr>
          <w:rFonts w:asciiTheme="minorHAnsi" w:hAnsiTheme="minorHAnsi" w:cstheme="minorHAnsi"/>
          <w:bCs/>
          <w:sz w:val="24"/>
          <w:szCs w:val="24"/>
          <w:lang w:val="cy-GB"/>
        </w:rPr>
        <w:t>dylanwad</w:t>
      </w:r>
      <w:r>
        <w:rPr>
          <w:rFonts w:asciiTheme="minorHAnsi" w:hAnsiTheme="minorHAnsi" w:cstheme="minorHAnsi"/>
          <w:bCs/>
          <w:sz w:val="24"/>
          <w:szCs w:val="24"/>
          <w:lang w:val="cy-GB"/>
        </w:rPr>
        <w:t>u</w:t>
      </w:r>
      <w:r w:rsidRPr="0074155F">
        <w:rPr>
          <w:rFonts w:asciiTheme="minorHAnsi" w:hAnsiTheme="minorHAnsi" w:cstheme="minorHAnsi"/>
          <w:bCs/>
          <w:sz w:val="24"/>
          <w:szCs w:val="24"/>
          <w:lang w:val="cy-GB"/>
        </w:rPr>
        <w:t xml:space="preserve"> ar brosesau gwybyddol.</w:t>
      </w:r>
      <w:r>
        <w:rPr>
          <w:rFonts w:asciiTheme="minorHAnsi" w:hAnsiTheme="minorHAnsi" w:cstheme="minorHAnsi"/>
          <w:bCs/>
          <w:sz w:val="24"/>
          <w:szCs w:val="24"/>
          <w:lang w:val="cy-GB"/>
        </w:rPr>
        <w:t xml:space="preserve"> </w:t>
      </w:r>
      <w:r w:rsidRPr="0074155F">
        <w:rPr>
          <w:rFonts w:asciiTheme="minorHAnsi" w:hAnsiTheme="minorHAnsi" w:cstheme="minorHAnsi"/>
          <w:bCs/>
          <w:sz w:val="24"/>
          <w:szCs w:val="24"/>
          <w:lang w:val="cy-GB"/>
        </w:rPr>
        <w:t xml:space="preserve">Mae deall yr effeithiau niwrobiolegol hyn yn taflu goleuni ar sut y gall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a hunanreoleiddio gyfrannu at welliant academaidd. Mae hyn yn arbennig o berthnasol i fyfyrwyr sy’n wynebu adfyd, fel y rhai sy’n delio â Phrofiadau Niweidiol yn ystod Plentyndod (ACE). Trwy feithrin sgiliau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mae myfyrwyr wedi'u harfogi i lywio heriau'n fwy effeithiol, gan feithrin amgylchedd ffafriol ar gyfer llwyddiant academaidd ymhlith yr holl fyfyrwyr, gyda phwyslais arbennig ar gefnogi anghenion y rhai mwyaf agored i niwed</w:t>
      </w:r>
      <w:r>
        <w:rPr>
          <w:rFonts w:asciiTheme="minorHAnsi" w:hAnsiTheme="minorHAnsi" w:cstheme="minorHAnsi"/>
          <w:bCs/>
          <w:sz w:val="24"/>
          <w:szCs w:val="24"/>
          <w:lang w:val="cy-GB"/>
        </w:rPr>
        <w:t xml:space="preserve">. </w:t>
      </w:r>
      <w:r w:rsidRPr="0074155F">
        <w:rPr>
          <w:rFonts w:asciiTheme="minorHAnsi" w:hAnsiTheme="minorHAnsi" w:cstheme="minorHAnsi"/>
          <w:bCs/>
          <w:sz w:val="24"/>
          <w:szCs w:val="24"/>
          <w:lang w:val="cy-GB"/>
        </w:rPr>
        <w:t>Serch hynny, nid yw'r technegau hyn yn gweithio i bawb; dim ond mewn ysgolion sy'n lle diogel a chadarnhaol y gall medd</w:t>
      </w:r>
      <w:r>
        <w:rPr>
          <w:rFonts w:asciiTheme="minorHAnsi" w:hAnsiTheme="minorHAnsi" w:cstheme="minorHAnsi"/>
          <w:bCs/>
          <w:sz w:val="24"/>
          <w:szCs w:val="24"/>
          <w:lang w:val="cy-GB"/>
        </w:rPr>
        <w:t>ylgarwch</w:t>
      </w:r>
      <w:r w:rsidRPr="0074155F">
        <w:rPr>
          <w:rFonts w:asciiTheme="minorHAnsi" w:hAnsiTheme="minorHAnsi" w:cstheme="minorHAnsi"/>
          <w:bCs/>
          <w:sz w:val="24"/>
          <w:szCs w:val="24"/>
          <w:lang w:val="cy-GB"/>
        </w:rPr>
        <w:t xml:space="preserve"> ffynnu. Nid yw</w:t>
      </w:r>
      <w:r>
        <w:rPr>
          <w:rFonts w:asciiTheme="minorHAnsi" w:hAnsiTheme="minorHAnsi" w:cstheme="minorHAnsi"/>
          <w:bCs/>
          <w:sz w:val="24"/>
          <w:szCs w:val="24"/>
          <w:lang w:val="cy-GB"/>
        </w:rPr>
        <w:t xml:space="preserve"> hi’n</w:t>
      </w:r>
      <w:r w:rsidRPr="0074155F">
        <w:rPr>
          <w:rFonts w:asciiTheme="minorHAnsi" w:hAnsiTheme="minorHAnsi" w:cstheme="minorHAnsi"/>
          <w:bCs/>
          <w:sz w:val="24"/>
          <w:szCs w:val="24"/>
          <w:lang w:val="cy-GB"/>
        </w:rPr>
        <w:t xml:space="preserve"> bosibl creu cwricwlwm </w:t>
      </w:r>
      <w:r>
        <w:rPr>
          <w:rFonts w:asciiTheme="minorHAnsi" w:hAnsiTheme="minorHAnsi" w:cstheme="minorHAnsi"/>
          <w:bCs/>
          <w:sz w:val="24"/>
          <w:szCs w:val="24"/>
          <w:lang w:val="cy-GB"/>
        </w:rPr>
        <w:t>cyffridinol</w:t>
      </w:r>
      <w:r w:rsidRPr="0074155F">
        <w:rPr>
          <w:rFonts w:asciiTheme="minorHAnsi" w:hAnsiTheme="minorHAnsi" w:cstheme="minorHAnsi"/>
          <w:bCs/>
          <w:sz w:val="24"/>
          <w:szCs w:val="24"/>
          <w:lang w:val="cy-GB"/>
        </w:rPr>
        <w:t xml:space="preserve"> wrth gynnal sesiynau medd</w:t>
      </w:r>
      <w:r>
        <w:rPr>
          <w:rFonts w:asciiTheme="minorHAnsi" w:hAnsiTheme="minorHAnsi" w:cstheme="minorHAnsi"/>
          <w:bCs/>
          <w:sz w:val="24"/>
          <w:szCs w:val="24"/>
          <w:lang w:val="cy-GB"/>
        </w:rPr>
        <w:t>ylgarwch</w:t>
      </w:r>
      <w:r w:rsidRPr="0074155F">
        <w:rPr>
          <w:rFonts w:asciiTheme="minorHAnsi" w:hAnsiTheme="minorHAnsi" w:cstheme="minorHAnsi"/>
          <w:bCs/>
          <w:sz w:val="24"/>
          <w:szCs w:val="24"/>
          <w:lang w:val="cy-GB"/>
        </w:rPr>
        <w:t xml:space="preserve"> gan ei fod yn unigryw i bob ysgol, i bob dosbarth, ac i bob plentyn. Felly, rhaid i addysgwyr aros yn hyblyg ac yn agored i addasu arferion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i weddu i anghenion a chyd-destunau amrywiol eu myfyrwyr (Renshaw et al., 2019). Yn ogystal, mae meithrin amgylchedd ysgol cefnogol a meithringar yn hanfodol ar gyfer creu’r amodau gorau posibl i fyfyrwyr elwa ar </w:t>
      </w:r>
      <w:r>
        <w:rPr>
          <w:rFonts w:asciiTheme="minorHAnsi" w:hAnsiTheme="minorHAnsi" w:cstheme="minorHAnsi"/>
          <w:bCs/>
          <w:sz w:val="24"/>
          <w:szCs w:val="24"/>
          <w:lang w:val="cy-GB"/>
        </w:rPr>
        <w:t>o dechnegau a sesiynau meddylgarwch sydd yn gwella</w:t>
      </w:r>
      <w:r w:rsidRPr="0074155F">
        <w:rPr>
          <w:rFonts w:asciiTheme="minorHAnsi" w:hAnsiTheme="minorHAnsi" w:cstheme="minorHAnsi"/>
          <w:bCs/>
          <w:sz w:val="24"/>
          <w:szCs w:val="24"/>
          <w:lang w:val="cy-GB"/>
        </w:rPr>
        <w:t xml:space="preserve"> strategaethau gwella gwybyddol eraill (Smith, 2017). Trwy flaenoriaethu dulliau gweithredu unigol a meithrin diwylliant o gynwysoldeb a derbyniad, gall ysgolion gefnogi datblygiad cyfannol a lles pob myfyriwr yn well (Jones &amp; </w:t>
      </w:r>
      <w:r>
        <w:rPr>
          <w:rFonts w:asciiTheme="minorHAnsi" w:hAnsiTheme="minorHAnsi" w:cstheme="minorHAnsi"/>
          <w:bCs/>
          <w:sz w:val="24"/>
          <w:szCs w:val="24"/>
          <w:lang w:val="cy-GB"/>
        </w:rPr>
        <w:t>Smith</w:t>
      </w:r>
      <w:r w:rsidRPr="0074155F">
        <w:rPr>
          <w:rFonts w:asciiTheme="minorHAnsi" w:hAnsiTheme="minorHAnsi" w:cstheme="minorHAnsi"/>
          <w:bCs/>
          <w:sz w:val="24"/>
          <w:szCs w:val="24"/>
          <w:lang w:val="cy-GB"/>
        </w:rPr>
        <w:t>, 2020).</w:t>
      </w:r>
    </w:p>
    <w:p w14:paraId="167F8523" w14:textId="2222A9CB"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lastRenderedPageBreak/>
        <w:t xml:space="preserve">Mae'r adolygiad o </w:t>
      </w:r>
      <w:r>
        <w:rPr>
          <w:rFonts w:asciiTheme="minorHAnsi" w:hAnsiTheme="minorHAnsi" w:cstheme="minorHAnsi"/>
          <w:bCs/>
          <w:sz w:val="24"/>
          <w:szCs w:val="24"/>
          <w:lang w:val="cy-GB"/>
        </w:rPr>
        <w:t>ymyrraeth meddylgawrch</w:t>
      </w:r>
      <w:r w:rsidRPr="0074155F">
        <w:rPr>
          <w:rFonts w:asciiTheme="minorHAnsi" w:hAnsiTheme="minorHAnsi" w:cstheme="minorHAnsi"/>
          <w:bCs/>
          <w:sz w:val="24"/>
          <w:szCs w:val="24"/>
          <w:lang w:val="cy-GB"/>
        </w:rPr>
        <w:t xml:space="preserve"> yn amlygu eu manteision posibl ar gyfer gwella agweddau amrywiol ar fywydau myfyrwyr, gan gynnwys sylw, rheoleiddio emosiynol, a lles cyffredinol. Mae astudiaethau'n dangos y gall arferion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arwain at newidiadau strwythurol yn yr ymennydd, sy'n gysylltiedig â gwell gwydnwch emosiynol. Fodd bynnag, mae'n bwysig cydnabod efallai na fydd </w:t>
      </w:r>
      <w:r>
        <w:rPr>
          <w:rFonts w:asciiTheme="minorHAnsi" w:hAnsiTheme="minorHAnsi" w:cstheme="minorHAnsi"/>
          <w:bCs/>
          <w:sz w:val="24"/>
          <w:szCs w:val="24"/>
          <w:lang w:val="cy-GB"/>
        </w:rPr>
        <w:t>sesiynau meddylgarwch</w:t>
      </w:r>
      <w:r w:rsidRPr="0074155F">
        <w:rPr>
          <w:rFonts w:asciiTheme="minorHAnsi" w:hAnsiTheme="minorHAnsi" w:cstheme="minorHAnsi"/>
          <w:bCs/>
          <w:sz w:val="24"/>
          <w:szCs w:val="24"/>
          <w:lang w:val="cy-GB"/>
        </w:rPr>
        <w:t xml:space="preserve"> yn addas i bob myfyriwr, a rhaid rhoi ystyriaeth ofalus i wahaniaethau </w:t>
      </w:r>
      <w:r>
        <w:rPr>
          <w:rFonts w:asciiTheme="minorHAnsi" w:hAnsiTheme="minorHAnsi" w:cstheme="minorHAnsi"/>
          <w:bCs/>
          <w:sz w:val="24"/>
          <w:szCs w:val="24"/>
          <w:lang w:val="cy-GB"/>
        </w:rPr>
        <w:t xml:space="preserve">ar gyfer </w:t>
      </w:r>
      <w:r w:rsidRPr="0074155F">
        <w:rPr>
          <w:rFonts w:asciiTheme="minorHAnsi" w:hAnsiTheme="minorHAnsi" w:cstheme="minorHAnsi"/>
          <w:bCs/>
          <w:sz w:val="24"/>
          <w:szCs w:val="24"/>
          <w:lang w:val="cy-GB"/>
        </w:rPr>
        <w:t xml:space="preserve">unigol a ffactorau cyd-destunol. Yn ogystal, er bod </w:t>
      </w:r>
      <w:r>
        <w:rPr>
          <w:rFonts w:asciiTheme="minorHAnsi" w:hAnsiTheme="minorHAnsi" w:cstheme="minorHAnsi"/>
          <w:bCs/>
          <w:sz w:val="24"/>
          <w:szCs w:val="24"/>
          <w:lang w:val="cy-GB"/>
        </w:rPr>
        <w:t>meddylgarwch</w:t>
      </w:r>
      <w:r w:rsidRPr="0074155F">
        <w:rPr>
          <w:rFonts w:asciiTheme="minorHAnsi" w:hAnsiTheme="minorHAnsi" w:cstheme="minorHAnsi"/>
          <w:bCs/>
          <w:sz w:val="24"/>
          <w:szCs w:val="24"/>
          <w:lang w:val="cy-GB"/>
        </w:rPr>
        <w:t xml:space="preserve"> yn hyrwyddo canlyniadau cadarnhaol mewn lleoliadau addysgol, mae angen ymchwil pellach i ddeall yn llawn ei fecanweithiau gweithredu a'i effeithiau hirdymor. Yn gyffredinol, gall meithrin amgylchedd ysgol cefnogol a chynhwysol gyfrannu at feithrin datblygiad a lles cyfannol myfyrwyr.</w:t>
      </w:r>
    </w:p>
    <w:p w14:paraId="08F15FF7" w14:textId="55EF61CB"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Astudiaeth Achos</w:t>
      </w:r>
    </w:p>
    <w:p w14:paraId="6A8B7F5F" w14:textId="6AEC1E75"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Mae dull yr astudiaeth achos mewn ymchwil yn cynnwys archwiliad a dadansoddiad manwl o bwnc penodol o fewn ei gyd-destun naturiol (Yin, 2014). Mae'r dull hwn yn cynnig dealltwriaeth gynhwysfawr i ymchwilwyr o ffenomenau, ymddygiadau neu sefyllfaoedd cymhleth.</w:t>
      </w:r>
    </w:p>
    <w:p w14:paraId="04A25FF1" w14:textId="638F8D18"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Mae prif ddiben defnyddio dull astudiaeth achos yn amlochrog. Yn gyntaf, mae'n galluogi ymchwilwyr i archwilio ffenomenau cymhleth yn eu lleoliadau dilys, gan roi cipolwg manwl ar brofiadau bywyd go iawn (Stake, 1995). Yn ail, mae astudiaethau achos yn hwyluso ymchwilio i achosion unigryw neu annodweddiadol nad ydynt efallai'n cael sylw digonol trwy ddulliau ymchwil eraill. Yn ogystal, maent yn caniatáu ar gyfer archwilio'r rhyngweithio rhwng ffactorau amrywiol o fewn cyd-destun penodol, gan gynorthwyo datblygiad theori neu ffurfio damcaniaethau ymchwil newydd (</w:t>
      </w:r>
      <w:r>
        <w:rPr>
          <w:rFonts w:asciiTheme="minorHAnsi" w:hAnsiTheme="minorHAnsi" w:cstheme="minorHAnsi"/>
          <w:bCs/>
          <w:sz w:val="24"/>
          <w:szCs w:val="24"/>
          <w:lang w:val="cy-GB"/>
        </w:rPr>
        <w:t>Tellis</w:t>
      </w:r>
      <w:r w:rsidRPr="0074155F">
        <w:rPr>
          <w:rFonts w:asciiTheme="minorHAnsi" w:hAnsiTheme="minorHAnsi" w:cstheme="minorHAnsi"/>
          <w:bCs/>
          <w:sz w:val="24"/>
          <w:szCs w:val="24"/>
          <w:lang w:val="cy-GB"/>
        </w:rPr>
        <w:t xml:space="preserve">, </w:t>
      </w:r>
      <w:r>
        <w:rPr>
          <w:rFonts w:asciiTheme="minorHAnsi" w:hAnsiTheme="minorHAnsi" w:cstheme="minorHAnsi"/>
          <w:bCs/>
          <w:sz w:val="24"/>
          <w:szCs w:val="24"/>
          <w:lang w:val="cy-GB"/>
        </w:rPr>
        <w:t>1997</w:t>
      </w:r>
      <w:r w:rsidRPr="0074155F">
        <w:rPr>
          <w:rFonts w:asciiTheme="minorHAnsi" w:hAnsiTheme="minorHAnsi" w:cstheme="minorHAnsi"/>
          <w:bCs/>
          <w:sz w:val="24"/>
          <w:szCs w:val="24"/>
          <w:lang w:val="cy-GB"/>
        </w:rPr>
        <w:t>).</w:t>
      </w:r>
    </w:p>
    <w:p w14:paraId="0CC45195" w14:textId="48B645D7"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Mae cryfderau dull yr astudiaeth achos yn cynnwys ei allu i gynhyrchu data sy’n gyfoethog o ran cyd-destun, gan arwain at ddealltwriaeth gynnil o ffenomenau cymhleth. Mae hefyd yn caniatáu ar gyfer archwilio safbwyntiau lluosog ac arsylwi sefyllfaoedd bywyd go iawn wrth iddynt ddatblygu dros amser. At hynny, mae astudiaethau achos yn cyfrannu at ddatblygu theori a chynhyrchu damcaniaeth, yn enwedig mewn cyd-destunau ymchwil archwiliadol (Yin, 2014).</w:t>
      </w:r>
      <w:r>
        <w:rPr>
          <w:rFonts w:asciiTheme="minorHAnsi" w:hAnsiTheme="minorHAnsi" w:cstheme="minorHAnsi"/>
          <w:bCs/>
          <w:sz w:val="24"/>
          <w:szCs w:val="24"/>
          <w:lang w:val="cy-GB"/>
        </w:rPr>
        <w:t xml:space="preserve"> </w:t>
      </w:r>
      <w:r w:rsidRPr="0074155F">
        <w:rPr>
          <w:rFonts w:asciiTheme="minorHAnsi" w:hAnsiTheme="minorHAnsi" w:cstheme="minorHAnsi"/>
          <w:bCs/>
          <w:sz w:val="24"/>
          <w:szCs w:val="24"/>
          <w:lang w:val="cy-GB"/>
        </w:rPr>
        <w:t xml:space="preserve">Fodd bynnag, daw cyfyngiadau i ymchwil astudiaethau achos. Un cyfyngiad o’r fath yw’r diffyg cyffredinoli posibl, oherwydd efallai na fydd canfyddiadau o un achos yn berthnasol i boblogaethau neu gyd-destunau ehangach. </w:t>
      </w:r>
      <w:r>
        <w:rPr>
          <w:rFonts w:asciiTheme="minorHAnsi" w:hAnsiTheme="minorHAnsi" w:cstheme="minorHAnsi"/>
          <w:bCs/>
          <w:sz w:val="24"/>
          <w:szCs w:val="24"/>
          <w:lang w:val="cy-GB"/>
        </w:rPr>
        <w:t>G</w:t>
      </w:r>
      <w:r w:rsidRPr="0074155F">
        <w:rPr>
          <w:rFonts w:asciiTheme="minorHAnsi" w:hAnsiTheme="minorHAnsi" w:cstheme="minorHAnsi"/>
          <w:bCs/>
          <w:sz w:val="24"/>
          <w:szCs w:val="24"/>
          <w:lang w:val="cy-GB"/>
        </w:rPr>
        <w:t xml:space="preserve">all dehongliad goddrychol o ddata sy’n gynhenid i ymchwil astudiaethau achos gyflwyno tuedd, gan effeithio ar ddilysrwydd a </w:t>
      </w:r>
      <w:r w:rsidRPr="0074155F">
        <w:rPr>
          <w:rFonts w:asciiTheme="minorHAnsi" w:hAnsiTheme="minorHAnsi" w:cstheme="minorHAnsi"/>
          <w:bCs/>
          <w:sz w:val="24"/>
          <w:szCs w:val="24"/>
          <w:lang w:val="cy-GB"/>
        </w:rPr>
        <w:lastRenderedPageBreak/>
        <w:t>dibynadwyedd canfyddiadau. Yn ogystal, mae astudiaethau achos yn defnyddio llawer o adnoddau ac yn cymryd llawer o amser, gan fynnu ymdrechion helaeth i gasglu a dadansoddi data.</w:t>
      </w:r>
      <w:r>
        <w:rPr>
          <w:rFonts w:asciiTheme="minorHAnsi" w:hAnsiTheme="minorHAnsi" w:cstheme="minorHAnsi"/>
          <w:bCs/>
          <w:sz w:val="24"/>
          <w:szCs w:val="24"/>
          <w:lang w:val="cy-GB"/>
        </w:rPr>
        <w:t xml:space="preserve"> G</w:t>
      </w:r>
      <w:r w:rsidRPr="0074155F">
        <w:rPr>
          <w:rFonts w:asciiTheme="minorHAnsi" w:hAnsiTheme="minorHAnsi" w:cstheme="minorHAnsi"/>
          <w:bCs/>
          <w:sz w:val="24"/>
          <w:szCs w:val="24"/>
          <w:lang w:val="cy-GB"/>
        </w:rPr>
        <w:t xml:space="preserve">all cryfderau'r dull astudiaeth achos gynnwys ei allu i ddarparu mewnwelediad manwl i achosion neu brofiadau penodol sy'n berthnasol </w:t>
      </w:r>
      <w:r>
        <w:rPr>
          <w:rFonts w:asciiTheme="minorHAnsi" w:hAnsiTheme="minorHAnsi" w:cstheme="minorHAnsi"/>
          <w:bCs/>
          <w:sz w:val="24"/>
          <w:szCs w:val="24"/>
          <w:lang w:val="cy-GB"/>
        </w:rPr>
        <w:t>wrth cynnal sesiynau meddygarwch</w:t>
      </w:r>
      <w:r w:rsidRPr="0074155F">
        <w:rPr>
          <w:rFonts w:asciiTheme="minorHAnsi" w:hAnsiTheme="minorHAnsi" w:cstheme="minorHAnsi"/>
          <w:bCs/>
          <w:sz w:val="24"/>
          <w:szCs w:val="24"/>
          <w:lang w:val="cy-GB"/>
        </w:rPr>
        <w:t xml:space="preserve">. Er enghraifft, </w:t>
      </w:r>
      <w:r>
        <w:rPr>
          <w:rFonts w:asciiTheme="minorHAnsi" w:hAnsiTheme="minorHAnsi" w:cstheme="minorHAnsi"/>
          <w:bCs/>
          <w:sz w:val="24"/>
          <w:szCs w:val="24"/>
          <w:lang w:val="cy-GB"/>
        </w:rPr>
        <w:t>mae’r</w:t>
      </w:r>
      <w:r w:rsidRPr="0074155F">
        <w:rPr>
          <w:rFonts w:asciiTheme="minorHAnsi" w:hAnsiTheme="minorHAnsi" w:cstheme="minorHAnsi"/>
          <w:bCs/>
          <w:sz w:val="24"/>
          <w:szCs w:val="24"/>
          <w:lang w:val="cy-GB"/>
        </w:rPr>
        <w:t xml:space="preserve"> ymchwil yn canolbwyntio ar ddeall</w:t>
      </w:r>
      <w:r>
        <w:rPr>
          <w:rFonts w:asciiTheme="minorHAnsi" w:hAnsiTheme="minorHAnsi" w:cstheme="minorHAnsi"/>
          <w:bCs/>
          <w:sz w:val="24"/>
          <w:szCs w:val="24"/>
          <w:lang w:val="cy-GB"/>
        </w:rPr>
        <w:t xml:space="preserve"> sut mae sesiynau meddylgarwch yn effeithio am ymroddiad ddisgyblion tuag at gwneud gwaith a</w:t>
      </w:r>
      <w:r w:rsidRPr="0074155F">
        <w:rPr>
          <w:rFonts w:asciiTheme="minorHAnsi" w:hAnsiTheme="minorHAnsi" w:cstheme="minorHAnsi"/>
          <w:bCs/>
          <w:sz w:val="24"/>
          <w:szCs w:val="24"/>
          <w:lang w:val="cy-GB"/>
        </w:rPr>
        <w:t xml:space="preserve"> gallai astudiaeth achos gynnig mewnwelediad gwerthfawr i'r prosesau, yr heriau, a'r canlyniadau sy'n gysylltiedig â'r ymyriad yn y cyd-destun hwnnw.</w:t>
      </w:r>
    </w:p>
    <w:p w14:paraId="7B7545F5" w14:textId="13A2286B" w:rsidR="00A53E23"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 xml:space="preserve">Fodd bynnag, mae'n hanfodol ystyried cyfyngiadau'r dull astudiaeth achos. </w:t>
      </w:r>
      <w:r>
        <w:rPr>
          <w:rFonts w:asciiTheme="minorHAnsi" w:hAnsiTheme="minorHAnsi" w:cstheme="minorHAnsi"/>
          <w:bCs/>
          <w:sz w:val="24"/>
          <w:szCs w:val="24"/>
          <w:lang w:val="cy-GB"/>
        </w:rPr>
        <w:t>E</w:t>
      </w:r>
      <w:r w:rsidRPr="0074155F">
        <w:rPr>
          <w:rFonts w:asciiTheme="minorHAnsi" w:hAnsiTheme="minorHAnsi" w:cstheme="minorHAnsi"/>
          <w:bCs/>
          <w:sz w:val="24"/>
          <w:szCs w:val="24"/>
          <w:lang w:val="cy-GB"/>
        </w:rPr>
        <w:t>fallai na fydd canfyddiadau o un astudiaeth achos yn ddigon. Yn ogystal, mae mynd i'r afael â thuedd a goddrychedd posibl wrth ddehongli data yn hanfodol er mwyn sicrhau dilysrwydd a dibynadwyedd canfyddiadau eich astudiaeth.</w:t>
      </w:r>
      <w:r>
        <w:rPr>
          <w:rFonts w:asciiTheme="minorHAnsi" w:hAnsiTheme="minorHAnsi" w:cstheme="minorHAnsi"/>
          <w:bCs/>
          <w:sz w:val="24"/>
          <w:szCs w:val="24"/>
          <w:lang w:val="cy-GB"/>
        </w:rPr>
        <w:t xml:space="preserve"> </w:t>
      </w:r>
    </w:p>
    <w:p w14:paraId="5499AC16" w14:textId="451DA62E" w:rsidR="0074155F" w:rsidRDefault="0074155F" w:rsidP="00AF28E5">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Yn yr achos hwn, rydym yn cynnal gweithgareddau</w:t>
      </w:r>
      <w:r>
        <w:rPr>
          <w:rFonts w:asciiTheme="minorHAnsi" w:hAnsiTheme="minorHAnsi" w:cstheme="minorHAnsi"/>
          <w:bCs/>
          <w:sz w:val="24"/>
          <w:szCs w:val="24"/>
          <w:lang w:val="cy-GB"/>
        </w:rPr>
        <w:t xml:space="preserve"> meddylgarwch</w:t>
      </w:r>
      <w:r w:rsidRPr="0074155F">
        <w:rPr>
          <w:rFonts w:asciiTheme="minorHAnsi" w:hAnsiTheme="minorHAnsi" w:cstheme="minorHAnsi"/>
          <w:bCs/>
          <w:sz w:val="24"/>
          <w:szCs w:val="24"/>
          <w:lang w:val="cy-GB"/>
        </w:rPr>
        <w:t xml:space="preserve"> ar ôl dychwelyd i'r ystafell ddosbarth ar ôl cyfnodau o amser chwarae ac amser cinio i asesu eu heffaith ar ymgysylltiad myfyrwyr a'u parodrwydd i ddechrau tasgau ysgrifennu. Mae'r cyfranogwyr yn cynnwys dosbarth Blwyddyn 3 mewn ysgol wledig yn Ne Cymru. Mae cyfanswm o 20 o fyfyrwyr yn y dosbarth wedi cael eu gwahodd i gymryd rhan trwy broses ffurflen ganiatâd, gyda thua 13 o fyfyrwyr wedi dewis cymryd rhan yn yr ymchwil. Mae'r</w:t>
      </w:r>
      <w:r>
        <w:rPr>
          <w:rFonts w:asciiTheme="minorHAnsi" w:hAnsiTheme="minorHAnsi" w:cstheme="minorHAnsi"/>
          <w:bCs/>
          <w:sz w:val="24"/>
          <w:szCs w:val="24"/>
          <w:lang w:val="cy-GB"/>
        </w:rPr>
        <w:t xml:space="preserve"> </w:t>
      </w:r>
      <w:r w:rsidRPr="0074155F">
        <w:rPr>
          <w:rFonts w:asciiTheme="minorHAnsi" w:hAnsiTheme="minorHAnsi" w:cstheme="minorHAnsi"/>
          <w:bCs/>
          <w:sz w:val="24"/>
          <w:szCs w:val="24"/>
          <w:lang w:val="cy-GB"/>
        </w:rPr>
        <w:t xml:space="preserve"> 13 myfyriwr</w:t>
      </w:r>
      <w:r>
        <w:rPr>
          <w:rFonts w:asciiTheme="minorHAnsi" w:hAnsiTheme="minorHAnsi" w:cstheme="minorHAnsi"/>
          <w:bCs/>
          <w:sz w:val="24"/>
          <w:szCs w:val="24"/>
          <w:lang w:val="cy-GB"/>
        </w:rPr>
        <w:t xml:space="preserve"> hyn</w:t>
      </w:r>
      <w:r w:rsidRPr="0074155F">
        <w:rPr>
          <w:rFonts w:asciiTheme="minorHAnsi" w:hAnsiTheme="minorHAnsi" w:cstheme="minorHAnsi"/>
          <w:bCs/>
          <w:sz w:val="24"/>
          <w:szCs w:val="24"/>
          <w:lang w:val="cy-GB"/>
        </w:rPr>
        <w:t xml:space="preserve"> yn ffurfio'r sampl ar gyfer yr astudiaeth, a ddewiswyd i sicrhau cynrychioldeb o fewn cyd-destun dynameg yr ystafell ddosbarth a'r lleoliad addysgol. Fodd bynnag, o ystyried nodweddion unigryw amgylchedd ysgol gynradd Gymraeg, </w:t>
      </w:r>
      <w:r>
        <w:rPr>
          <w:rFonts w:asciiTheme="minorHAnsi" w:hAnsiTheme="minorHAnsi" w:cstheme="minorHAnsi"/>
          <w:bCs/>
          <w:sz w:val="24"/>
          <w:szCs w:val="24"/>
          <w:lang w:val="cy-GB"/>
        </w:rPr>
        <w:t xml:space="preserve">na fydd </w:t>
      </w:r>
      <w:r w:rsidRPr="0074155F">
        <w:rPr>
          <w:rFonts w:asciiTheme="minorHAnsi" w:hAnsiTheme="minorHAnsi" w:cstheme="minorHAnsi"/>
          <w:bCs/>
          <w:sz w:val="24"/>
          <w:szCs w:val="24"/>
          <w:lang w:val="cy-GB"/>
        </w:rPr>
        <w:t xml:space="preserve">ffactorau diwylliannol neu addysgol penodol </w:t>
      </w:r>
      <w:r>
        <w:rPr>
          <w:rFonts w:asciiTheme="minorHAnsi" w:hAnsiTheme="minorHAnsi" w:cstheme="minorHAnsi"/>
          <w:bCs/>
          <w:sz w:val="24"/>
          <w:szCs w:val="24"/>
          <w:lang w:val="cy-GB"/>
        </w:rPr>
        <w:t>yn ddigon wahanol i fod wedi cynnal gynrychioldeb gan bawb</w:t>
      </w:r>
      <w:r w:rsidRPr="0074155F">
        <w:rPr>
          <w:rFonts w:asciiTheme="minorHAnsi" w:hAnsiTheme="minorHAnsi" w:cstheme="minorHAnsi"/>
          <w:bCs/>
          <w:sz w:val="24"/>
          <w:szCs w:val="24"/>
          <w:lang w:val="cy-GB"/>
        </w:rPr>
        <w:t>.</w:t>
      </w:r>
      <w:r>
        <w:rPr>
          <w:rFonts w:asciiTheme="minorHAnsi" w:hAnsiTheme="minorHAnsi" w:cstheme="minorHAnsi"/>
          <w:bCs/>
          <w:sz w:val="24"/>
          <w:szCs w:val="24"/>
          <w:lang w:val="cy-GB"/>
        </w:rPr>
        <w:t xml:space="preserve"> Yn y dyfold wrth gynnal yr astudiaeth yma eto, bu rhaid cynnig dau astudiaeth mewn ddau ysgol hollol gwahanol er mwyn sicrhau gynrychioldeb.</w:t>
      </w:r>
    </w:p>
    <w:p w14:paraId="5CB3FB04" w14:textId="4BBAB409" w:rsidR="00A53E23" w:rsidRPr="0074155F" w:rsidRDefault="00A53E23" w:rsidP="00AF28E5">
      <w:pPr>
        <w:spacing w:before="120" w:after="120" w:line="360" w:lineRule="auto"/>
        <w:rPr>
          <w:rFonts w:asciiTheme="minorHAnsi" w:hAnsiTheme="minorHAnsi" w:cstheme="minorHAnsi"/>
          <w:bCs/>
          <w:sz w:val="24"/>
          <w:szCs w:val="24"/>
          <w:lang w:val="cy-GB"/>
        </w:rPr>
      </w:pPr>
      <w:r w:rsidRPr="00AF28E5">
        <w:rPr>
          <w:rFonts w:asciiTheme="minorHAnsi" w:hAnsiTheme="minorHAnsi" w:cstheme="minorHAnsi"/>
          <w:b/>
          <w:sz w:val="24"/>
          <w:szCs w:val="24"/>
          <w:u w:val="single"/>
          <w:lang w:val="cy-GB"/>
        </w:rPr>
        <w:t xml:space="preserve">Bod yn fosesgol </w:t>
      </w:r>
    </w:p>
    <w:p w14:paraId="193D983A" w14:textId="4A9200AF" w:rsidR="0074155F" w:rsidRP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Yn ôl canllawiau Cymdeithas Ymchwil Addysgol Prydain (BERA) (2018), mae gwaith ymchwiliol o fewn sefydliadau addysgol yn gofyn am ddisgresiwn i ddiogelu hunaniaeth y sefydliad ac anhysbysrwydd ei ddisgyblion. Felly, ni fydd yr ysgol a’r myfyrwyr yn cael eu henwi i sicrhau eu diogelwch (BERA, 2018).</w:t>
      </w:r>
    </w:p>
    <w:p w14:paraId="53AABD93" w14:textId="7069D307" w:rsidR="00A53E23"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lastRenderedPageBreak/>
        <w:t>Roedd cynnal gwrthrychedd drwy gydol y broses ymchwil yn hollbwysig er mwyn sicrhau bod gwybodaeth gywir yn cael ei lledaenu i'r holl gyfranogwyr. Lluniwyd taflen wybodaeth yn fanwl iawn ar gyfer y rhai a gymerodd ran yn yr ymchwil, ynghyd ag esboniadau llafar yn manylu ar y gweithdrefnau ymchwil. Nod y tryloywder hwn oedd egluro rolau rhieni a phlant yn yr ymchwil, gan bwysleisio eu hawl i ddewis cyfranogiad. Roedd y rhai a oedd yn optio allan yn dal i gadw’r opsiwn i gymryd rhan mewn gweithgareddau, er bod hynny wedi’i eithrio rhag casglu data er mwyn sicrhau triniaeth deg i bawb (</w:t>
      </w:r>
      <w:r>
        <w:rPr>
          <w:rFonts w:asciiTheme="minorHAnsi" w:hAnsiTheme="minorHAnsi" w:cstheme="minorHAnsi"/>
          <w:bCs/>
          <w:sz w:val="24"/>
          <w:szCs w:val="24"/>
          <w:lang w:val="cy-GB"/>
        </w:rPr>
        <w:t>BERA, 2018)</w:t>
      </w:r>
    </w:p>
    <w:p w14:paraId="42A927C7" w14:textId="322C1CF6" w:rsidR="0074155F" w:rsidRDefault="0074155F" w:rsidP="0074155F">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 xml:space="preserve">Bydd yr holl ddata yn cael ei gadw ar gyfrifiadur personol a ddiogelir gan gyfrinair. Rhoddir dynodwyr unigryw i gyfranogwyr er mwyn diogelu cyfrinachedd, gyda rhestr gyfatebol wedi'i storio'n ddiogel mewn cyfeiriadur a ddiogelir gan gyfrinair. Os bydd angen storio cwmwl, bydd system Office 365 y Brifysgol wedi'i hamgryptio yn cael ei defnyddio, gan sicrhau bod y data sy'n cael ei storio ynddi yn ddienw. Bydd cadw data yn ymestyn hyd nes y derbynnir canlyniadau aseiniad, a bydd yn cael ei ddileu ar unwaith. Gall cyfranogwyr arfer eu hawl i adolygu eu data a gofyn am ddileu ar unwaith, ac os felly ni fydd yn cael ei ddefnyddio at ddibenion ymchwil </w:t>
      </w:r>
      <w:r>
        <w:rPr>
          <w:rFonts w:asciiTheme="minorHAnsi" w:hAnsiTheme="minorHAnsi" w:cstheme="minorHAnsi"/>
          <w:bCs/>
          <w:sz w:val="24"/>
          <w:szCs w:val="24"/>
          <w:lang w:val="cy-GB"/>
        </w:rPr>
        <w:t>sydd eto yn gyd fynd a deddf diogelu data (GDPR, 2018)</w:t>
      </w:r>
      <w:r w:rsidRPr="0074155F">
        <w:t xml:space="preserve"> </w:t>
      </w:r>
      <w:r w:rsidRPr="0074155F">
        <w:rPr>
          <w:rFonts w:asciiTheme="minorHAnsi" w:hAnsiTheme="minorHAnsi" w:cstheme="minorHAnsi"/>
          <w:bCs/>
          <w:sz w:val="24"/>
          <w:szCs w:val="24"/>
          <w:lang w:val="cy-GB"/>
        </w:rPr>
        <w:t>Bydd data'n cael ei gadw hyd nes y daw'r prosiect i ben a'i ddileu wedyn. Mae gan gyfranogwyr yr hawl i ofyn am fynediad i'w data storio, a fydd yn cael ei ddileu yn brydlon ar gais o'r fath, gan ei wneud yn anghymwys at ddefnydd prosiect. Gellir gwneud y cais hwn trwy e-bost personol, gyda chyfranogwyr yn derbyn tudalen wybodaeth cyn cymryd rhan mewn unrhyw weithgareddau ymchwil</w:t>
      </w:r>
      <w:r>
        <w:rPr>
          <w:rFonts w:asciiTheme="minorHAnsi" w:hAnsiTheme="minorHAnsi" w:cstheme="minorHAnsi"/>
          <w:bCs/>
          <w:sz w:val="24"/>
          <w:szCs w:val="24"/>
          <w:lang w:val="cy-GB"/>
        </w:rPr>
        <w:t>.</w:t>
      </w:r>
    </w:p>
    <w:p w14:paraId="1B52803A" w14:textId="2C8A3CCD" w:rsidR="0074155F" w:rsidRPr="00AF28E5" w:rsidRDefault="0074155F" w:rsidP="0074155F">
      <w:pPr>
        <w:spacing w:before="120" w:after="120" w:line="360" w:lineRule="auto"/>
        <w:rPr>
          <w:rFonts w:asciiTheme="minorHAnsi" w:hAnsiTheme="minorHAnsi" w:cstheme="minorHAnsi"/>
          <w:b/>
          <w:sz w:val="24"/>
          <w:szCs w:val="24"/>
          <w:u w:val="single"/>
          <w:lang w:val="cy-GB"/>
        </w:rPr>
      </w:pPr>
      <w:r w:rsidRPr="0074155F">
        <w:rPr>
          <w:rFonts w:asciiTheme="minorHAnsi" w:hAnsiTheme="minorHAnsi" w:cstheme="minorHAnsi"/>
          <w:bCs/>
          <w:sz w:val="24"/>
          <w:szCs w:val="24"/>
          <w:lang w:val="cy-GB"/>
        </w:rPr>
        <w:t>Mae gan bob myfyriwr hawliau o dan UNICEF</w:t>
      </w:r>
      <w:r>
        <w:rPr>
          <w:rFonts w:asciiTheme="minorHAnsi" w:hAnsiTheme="minorHAnsi" w:cstheme="minorHAnsi"/>
          <w:bCs/>
          <w:sz w:val="24"/>
          <w:szCs w:val="24"/>
          <w:lang w:val="cy-GB"/>
        </w:rPr>
        <w:t xml:space="preserve"> (D.d)</w:t>
      </w:r>
      <w:r w:rsidRPr="0074155F">
        <w:rPr>
          <w:rFonts w:asciiTheme="minorHAnsi" w:hAnsiTheme="minorHAnsi" w:cstheme="minorHAnsi"/>
          <w:bCs/>
          <w:sz w:val="24"/>
          <w:szCs w:val="24"/>
          <w:lang w:val="cy-GB"/>
        </w:rPr>
        <w:t>, ac ni fydd yr ymchwil yn torri unrhyw un o'r hawliau hyn. Os bydd myfyriwr yn dewis cymryd rhan yn y lle cyntaf, bydd yn cadw'r hawl i newid ei benderfyniad heb ôl-effeithiau. Ni wneir unrhyw wahaniaeth rhwng dewis cymryd rhan a dewis peidio â chymryd rhan.</w:t>
      </w:r>
    </w:p>
    <w:p w14:paraId="645DAE1A" w14:textId="02F4EC27"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Dulliau Ymchwil</w:t>
      </w:r>
    </w:p>
    <w:p w14:paraId="5EF8F672" w14:textId="77777777" w:rsidR="00245625" w:rsidRDefault="00245625" w:rsidP="00245625">
      <w:pPr>
        <w:spacing w:line="360" w:lineRule="auto"/>
        <w:rPr>
          <w:rFonts w:asciiTheme="minorHAnsi" w:hAnsiTheme="minorHAnsi" w:cstheme="minorHAnsi"/>
          <w:sz w:val="24"/>
          <w:szCs w:val="24"/>
          <w:lang w:val="cy-GB"/>
        </w:rPr>
      </w:pPr>
      <w:r w:rsidRPr="00245625">
        <w:rPr>
          <w:rFonts w:asciiTheme="minorHAnsi" w:hAnsiTheme="minorHAnsi" w:cstheme="minorHAnsi"/>
          <w:sz w:val="24"/>
          <w:szCs w:val="24"/>
          <w:lang w:val="cy-GB"/>
        </w:rPr>
        <w:t xml:space="preserve">Yn y prosiect ymchwil hwn, ystyrir bod defnyddio methodoleg astudiaeth achos archwiliadol yn briodol ar gyfer archwilio effaith straegaethau meddylgarwch ar ymgysylltiad disgyblion â thasgau academaidd. Mae astudiaethau achos archwiliadol yn cynnig fframwaith cadarn ar gyfer ymchwilio i themau cymhleth yn eu lleoliadau naturiol (Yin, 2018) yn yr achos yma y ystafell dosbarth. Drwy defnyddio astudiaeth achos archwiliadol mae dull yn hwyluso dealltwriaeth ddofn o’r cymhlethdodau sy’n gysylltiedig â gweithredu strategaethau </w:t>
      </w:r>
      <w:r w:rsidRPr="00245625">
        <w:rPr>
          <w:rFonts w:asciiTheme="minorHAnsi" w:hAnsiTheme="minorHAnsi" w:cstheme="minorHAnsi"/>
          <w:sz w:val="24"/>
          <w:szCs w:val="24"/>
          <w:lang w:val="cy-GB"/>
        </w:rPr>
        <w:lastRenderedPageBreak/>
        <w:t xml:space="preserve">meddylgarwch a’u heffeithiau ar ymgysylltiad ddysgwyr (Baxter &amp; Jack, 2008). Mae dwy elfen i Astudiaeth Achos sef y ‘gwrthrych’ a’r ‘pwnc’. Y gwrthrych yr astudiaeth achos yw’r effaith caiff startagaethau meddylgarwch ar ymgysylltiad y ddysgwr a’r pwnc yr cyfranogwyr sydd yn cymryd rhan yn y sesiwnau sef ddisgyblion y ddosbarth. </w:t>
      </w:r>
    </w:p>
    <w:p w14:paraId="060306CB" w14:textId="77777777" w:rsidR="0081218C" w:rsidRPr="0081218C" w:rsidRDefault="0081218C" w:rsidP="0081218C">
      <w:pPr>
        <w:spacing w:line="360" w:lineRule="auto"/>
        <w:rPr>
          <w:rFonts w:asciiTheme="minorHAnsi" w:hAnsiTheme="minorHAnsi" w:cstheme="minorHAnsi"/>
          <w:sz w:val="24"/>
          <w:szCs w:val="24"/>
          <w:lang w:val="cy-GB"/>
        </w:rPr>
      </w:pPr>
    </w:p>
    <w:p w14:paraId="3D28540A" w14:textId="4C85FBE1" w:rsidR="0081218C" w:rsidRDefault="0081218C" w:rsidP="0081218C">
      <w:pPr>
        <w:spacing w:line="360" w:lineRule="auto"/>
        <w:rPr>
          <w:rFonts w:asciiTheme="minorHAnsi" w:hAnsiTheme="minorHAnsi" w:cstheme="minorHAnsi"/>
          <w:sz w:val="24"/>
          <w:szCs w:val="24"/>
          <w:lang w:val="cy-GB"/>
        </w:rPr>
      </w:pPr>
      <w:r w:rsidRPr="0081218C">
        <w:rPr>
          <w:rFonts w:asciiTheme="minorHAnsi" w:hAnsiTheme="minorHAnsi" w:cstheme="minorHAnsi"/>
          <w:sz w:val="24"/>
          <w:szCs w:val="24"/>
          <w:lang w:val="cy-GB"/>
        </w:rPr>
        <w:t>Wrth ymchwilio i ddylanwad strategaethau meddylgarwch ar ymgysylltiad ddisgyblion â thasgau academaidd, mae’r defnydd o holiaduron</w:t>
      </w:r>
      <w:r>
        <w:rPr>
          <w:rFonts w:asciiTheme="minorHAnsi" w:hAnsiTheme="minorHAnsi" w:cstheme="minorHAnsi"/>
          <w:sz w:val="24"/>
          <w:szCs w:val="24"/>
          <w:lang w:val="cy-GB"/>
        </w:rPr>
        <w:t>, gwelir atodiad 1,</w:t>
      </w:r>
      <w:r w:rsidRPr="0081218C">
        <w:rPr>
          <w:rFonts w:asciiTheme="minorHAnsi" w:hAnsiTheme="minorHAnsi" w:cstheme="minorHAnsi"/>
          <w:sz w:val="24"/>
          <w:szCs w:val="24"/>
          <w:lang w:val="cy-GB"/>
        </w:rPr>
        <w:t xml:space="preserve"> yn cynnig dull systematig effeithlon o gasglu data meintiol gan sampl fawr o gyfranogwyr. Felly byddaf yn defnyddio a chreu holiaduron anhysbys a chyfrinachol ar- lein (Cohen &amp; Manion &amp; Morrison, 2018). </w:t>
      </w:r>
      <w:r>
        <w:rPr>
          <w:rFonts w:asciiTheme="minorHAnsi" w:hAnsiTheme="minorHAnsi" w:cstheme="minorHAnsi"/>
          <w:sz w:val="24"/>
          <w:szCs w:val="24"/>
          <w:lang w:val="cy-GB"/>
        </w:rPr>
        <w:t xml:space="preserve">Wrth gwnued hyn, maent yn cydlynu i canllawiau BERA (2018) yn ogystal yn rhoi cyfle i’r ddisgyblion rhoi barn ddi-enw yn y gobaith eu bod yn fwy honest. </w:t>
      </w:r>
      <w:r w:rsidRPr="0081218C">
        <w:rPr>
          <w:rFonts w:asciiTheme="minorHAnsi" w:hAnsiTheme="minorHAnsi" w:cstheme="minorHAnsi"/>
          <w:sz w:val="24"/>
          <w:szCs w:val="24"/>
          <w:lang w:val="cy-GB"/>
        </w:rPr>
        <w:t xml:space="preserve">Bydd yr holiadur yn gynnwys cwestiynau agored yn ogystal â chwestiynau aml-ddewis, graddfa a mynegi barn. Er tegwch y disgyblion y dosbarth, byddaf yn sicrhau fod y cwestiynau wedi ei geirio yn iaith addas a dealladwy iddynt. </w:t>
      </w:r>
      <w:r>
        <w:rPr>
          <w:rFonts w:asciiTheme="minorHAnsi" w:hAnsiTheme="minorHAnsi" w:cstheme="minorHAnsi"/>
          <w:sz w:val="24"/>
          <w:szCs w:val="24"/>
          <w:lang w:val="cy-GB"/>
        </w:rPr>
        <w:t>M</w:t>
      </w:r>
      <w:r w:rsidRPr="0081218C">
        <w:rPr>
          <w:rFonts w:asciiTheme="minorHAnsi" w:hAnsiTheme="minorHAnsi" w:cstheme="minorHAnsi"/>
          <w:sz w:val="24"/>
          <w:szCs w:val="24"/>
          <w:lang w:val="cy-GB"/>
        </w:rPr>
        <w:t xml:space="preserve">ae holiaduron yn caniatáu archwilio i </w:t>
      </w:r>
      <w:r>
        <w:rPr>
          <w:rFonts w:asciiTheme="minorHAnsi" w:hAnsiTheme="minorHAnsi" w:cstheme="minorHAnsi"/>
          <w:sz w:val="24"/>
          <w:szCs w:val="24"/>
          <w:lang w:val="cy-GB"/>
        </w:rPr>
        <w:t>arsylwi ar g</w:t>
      </w:r>
      <w:r w:rsidRPr="0081218C">
        <w:rPr>
          <w:rFonts w:asciiTheme="minorHAnsi" w:hAnsiTheme="minorHAnsi" w:cstheme="minorHAnsi"/>
          <w:sz w:val="24"/>
          <w:szCs w:val="24"/>
          <w:lang w:val="cy-GB"/>
        </w:rPr>
        <w:t xml:space="preserve">wahaniaethau wrth edrych a dadansoddi ymatebion myfyrwyr i strategaethau meddylgarwch, gan ddarparu mewnwelediad gwerthfawr i ffactorau a allai ddylanwadu ar effeithiolrwydd yr arferion hyn </w:t>
      </w:r>
      <w:r>
        <w:rPr>
          <w:rFonts w:asciiTheme="minorHAnsi" w:hAnsiTheme="minorHAnsi" w:cstheme="minorHAnsi"/>
          <w:sz w:val="24"/>
          <w:szCs w:val="24"/>
          <w:lang w:val="cy-GB"/>
        </w:rPr>
        <w:t>yn ôl barn personol y ddisgyblion</w:t>
      </w:r>
      <w:r w:rsidRPr="0081218C">
        <w:rPr>
          <w:rFonts w:asciiTheme="minorHAnsi" w:hAnsiTheme="minorHAnsi" w:cstheme="minorHAnsi"/>
          <w:sz w:val="24"/>
          <w:szCs w:val="24"/>
          <w:lang w:val="cy-GB"/>
        </w:rPr>
        <w:t xml:space="preserve">(Field, 2013). Mae holiaduron yn aml yn casglu data meintiol, gan gyfyngu ar ddyfnder a chyfoeth y wybodaeth o gymharu â dulliau ansoddol fel cyfweliadau neu grwpiau ffocws (Babbie, 2016). Mae’n bosibl na fydd data meintiol yn dal y safbwyntiau cynnil neu’r rhesymau sylfaenol y tu ôl i ymatebion </w:t>
      </w:r>
      <w:r>
        <w:rPr>
          <w:rFonts w:asciiTheme="minorHAnsi" w:hAnsiTheme="minorHAnsi" w:cstheme="minorHAnsi"/>
          <w:sz w:val="24"/>
          <w:szCs w:val="24"/>
          <w:lang w:val="cy-GB"/>
        </w:rPr>
        <w:t>y ddisgyblion</w:t>
      </w:r>
      <w:r w:rsidRPr="0081218C">
        <w:rPr>
          <w:rFonts w:asciiTheme="minorHAnsi" w:hAnsiTheme="minorHAnsi" w:cstheme="minorHAnsi"/>
          <w:sz w:val="24"/>
          <w:szCs w:val="24"/>
          <w:lang w:val="cy-GB"/>
        </w:rPr>
        <w:t xml:space="preserve"> (Bryman, 2016).</w:t>
      </w:r>
      <w:r w:rsidRPr="0081218C">
        <w:t xml:space="preserve"> </w:t>
      </w:r>
      <w:r w:rsidRPr="0081218C">
        <w:rPr>
          <w:rFonts w:asciiTheme="minorHAnsi" w:hAnsiTheme="minorHAnsi" w:cstheme="minorHAnsi"/>
          <w:sz w:val="24"/>
          <w:szCs w:val="24"/>
          <w:lang w:val="cy-GB"/>
        </w:rPr>
        <w:t xml:space="preserve">Wrth gydnabod y diffygion hyn, dylai ymchwilwyr barhau i fod yn ymwybodol o ddulliau </w:t>
      </w:r>
      <w:r>
        <w:rPr>
          <w:rFonts w:asciiTheme="minorHAnsi" w:hAnsiTheme="minorHAnsi" w:cstheme="minorHAnsi"/>
          <w:sz w:val="24"/>
          <w:szCs w:val="24"/>
          <w:lang w:val="cy-GB"/>
        </w:rPr>
        <w:t>arall</w:t>
      </w:r>
      <w:r w:rsidRPr="0081218C">
        <w:rPr>
          <w:rFonts w:asciiTheme="minorHAnsi" w:hAnsiTheme="minorHAnsi" w:cstheme="minorHAnsi"/>
          <w:sz w:val="24"/>
          <w:szCs w:val="24"/>
          <w:lang w:val="cy-GB"/>
        </w:rPr>
        <w:t xml:space="preserve"> megis trafodaethau grŵp ffocws  i ychwanegu at y mewnwelediadau a gafwyd o ymatebion holiadur.</w:t>
      </w:r>
    </w:p>
    <w:p w14:paraId="54FE27CA" w14:textId="77777777" w:rsidR="0081218C" w:rsidRPr="0081218C" w:rsidRDefault="0081218C" w:rsidP="0081218C">
      <w:pPr>
        <w:spacing w:line="360" w:lineRule="auto"/>
        <w:rPr>
          <w:rFonts w:asciiTheme="minorHAnsi" w:hAnsiTheme="minorHAnsi" w:cstheme="minorHAnsi"/>
          <w:sz w:val="24"/>
          <w:szCs w:val="24"/>
          <w:lang w:val="cy-GB"/>
        </w:rPr>
      </w:pPr>
    </w:p>
    <w:p w14:paraId="00376750" w14:textId="77777777" w:rsidR="0081218C" w:rsidRDefault="0081218C" w:rsidP="0081218C">
      <w:pPr>
        <w:spacing w:line="360" w:lineRule="auto"/>
        <w:rPr>
          <w:rFonts w:asciiTheme="minorHAnsi" w:hAnsiTheme="minorHAnsi" w:cstheme="minorHAnsi"/>
          <w:sz w:val="24"/>
          <w:szCs w:val="24"/>
          <w:lang w:val="cy-GB"/>
        </w:rPr>
      </w:pPr>
      <w:r>
        <w:rPr>
          <w:rFonts w:asciiTheme="minorHAnsi" w:hAnsiTheme="minorHAnsi" w:cstheme="minorHAnsi"/>
          <w:sz w:val="24"/>
          <w:szCs w:val="24"/>
          <w:lang w:val="cy-GB"/>
        </w:rPr>
        <w:t>Felly wrth ystyried hyn, rwyf</w:t>
      </w:r>
      <w:r w:rsidRPr="0081218C">
        <w:rPr>
          <w:rFonts w:asciiTheme="minorHAnsi" w:hAnsiTheme="minorHAnsi" w:cstheme="minorHAnsi"/>
          <w:sz w:val="24"/>
          <w:szCs w:val="24"/>
          <w:lang w:val="cy-GB"/>
        </w:rPr>
        <w:t xml:space="preserve"> yn fwriadau cynnal cyfweliadau gyda grwpiau o ddisgyblion er mwyn thrafod ei barn a’r technegau defnyddiwyd yn ystod y sesiynau. Trwy gyfweliadau penagored neu led-strwythuredig, gall ymchwilwyr ymchwilio’n ddwfn i brofiadau bywyd myfyrwyr, gan ganiatáu archwiliad cyfoethog </w:t>
      </w:r>
      <w:r>
        <w:rPr>
          <w:rFonts w:asciiTheme="minorHAnsi" w:hAnsiTheme="minorHAnsi" w:cstheme="minorHAnsi"/>
          <w:sz w:val="24"/>
          <w:szCs w:val="24"/>
          <w:lang w:val="cy-GB"/>
        </w:rPr>
        <w:t>o’r stratagethau</w:t>
      </w:r>
      <w:r w:rsidRPr="0081218C">
        <w:rPr>
          <w:rFonts w:asciiTheme="minorHAnsi" w:hAnsiTheme="minorHAnsi" w:cstheme="minorHAnsi"/>
          <w:sz w:val="24"/>
          <w:szCs w:val="24"/>
          <w:lang w:val="cy-GB"/>
        </w:rPr>
        <w:t xml:space="preserve"> a defnyddir </w:t>
      </w:r>
      <w:r>
        <w:rPr>
          <w:rFonts w:asciiTheme="minorHAnsi" w:hAnsiTheme="minorHAnsi" w:cstheme="minorHAnsi"/>
          <w:sz w:val="24"/>
          <w:szCs w:val="24"/>
          <w:lang w:val="cy-GB"/>
        </w:rPr>
        <w:t>ac i gymharu’r barn a</w:t>
      </w:r>
      <w:r w:rsidRPr="0081218C">
        <w:rPr>
          <w:rFonts w:asciiTheme="minorHAnsi" w:hAnsiTheme="minorHAnsi" w:cstheme="minorHAnsi"/>
          <w:sz w:val="24"/>
          <w:szCs w:val="24"/>
          <w:lang w:val="cy-GB"/>
        </w:rPr>
        <w:t xml:space="preserve"> ddylanwadu</w:t>
      </w:r>
      <w:r>
        <w:rPr>
          <w:rFonts w:asciiTheme="minorHAnsi" w:hAnsiTheme="minorHAnsi" w:cstheme="minorHAnsi"/>
          <w:sz w:val="24"/>
          <w:szCs w:val="24"/>
          <w:lang w:val="cy-GB"/>
        </w:rPr>
        <w:t xml:space="preserve"> y ddisgyblion wrth ceisio ateb cwesitynau syml</w:t>
      </w:r>
      <w:r w:rsidRPr="0081218C">
        <w:rPr>
          <w:rFonts w:asciiTheme="minorHAnsi" w:hAnsiTheme="minorHAnsi" w:cstheme="minorHAnsi"/>
          <w:sz w:val="24"/>
          <w:szCs w:val="24"/>
          <w:lang w:val="cy-GB"/>
        </w:rPr>
        <w:t xml:space="preserve"> (Kvale &amp; Brinkmann, 2009). Mae’r cyfweliadau yn rhoi cyfle i’r disgyblion rhoi ei barn ac ymhelaethu ar welliannau i’r technegau gan gael mewnwelediad i’r meddyliadau a’i phrofiadau trwy holi cwestiynau. </w:t>
      </w:r>
      <w:r>
        <w:rPr>
          <w:rFonts w:asciiTheme="minorHAnsi" w:hAnsiTheme="minorHAnsi" w:cstheme="minorHAnsi"/>
          <w:sz w:val="24"/>
          <w:szCs w:val="24"/>
          <w:lang w:val="cy-GB"/>
        </w:rPr>
        <w:t>Serch hynny, m</w:t>
      </w:r>
      <w:r w:rsidRPr="0081218C">
        <w:rPr>
          <w:rFonts w:asciiTheme="minorHAnsi" w:hAnsiTheme="minorHAnsi" w:cstheme="minorHAnsi"/>
          <w:sz w:val="24"/>
          <w:szCs w:val="24"/>
          <w:lang w:val="cy-GB"/>
        </w:rPr>
        <w:t xml:space="preserve">ae cynnal grwpiau ffocws gyda myfyrwyr Blwyddyn 3 yn </w:t>
      </w:r>
      <w:r w:rsidRPr="0081218C">
        <w:rPr>
          <w:rFonts w:asciiTheme="minorHAnsi" w:hAnsiTheme="minorHAnsi" w:cstheme="minorHAnsi"/>
          <w:sz w:val="24"/>
          <w:szCs w:val="24"/>
          <w:lang w:val="cy-GB"/>
        </w:rPr>
        <w:lastRenderedPageBreak/>
        <w:t>cyflwyno heriau unigryw sy’n deillio o’u hoedran</w:t>
      </w:r>
      <w:r>
        <w:rPr>
          <w:rFonts w:asciiTheme="minorHAnsi" w:hAnsiTheme="minorHAnsi" w:cstheme="minorHAnsi"/>
          <w:sz w:val="24"/>
          <w:szCs w:val="24"/>
          <w:lang w:val="cy-GB"/>
        </w:rPr>
        <w:t xml:space="preserve">. </w:t>
      </w:r>
      <w:r w:rsidRPr="0081218C">
        <w:rPr>
          <w:rFonts w:asciiTheme="minorHAnsi" w:hAnsiTheme="minorHAnsi" w:cstheme="minorHAnsi"/>
          <w:sz w:val="24"/>
          <w:szCs w:val="24"/>
          <w:lang w:val="cy-GB"/>
        </w:rPr>
        <w:t xml:space="preserve">Yn gyntaf, mae gan blant yr oedran hwn fel arfer </w:t>
      </w:r>
      <w:r>
        <w:rPr>
          <w:rFonts w:asciiTheme="minorHAnsi" w:hAnsiTheme="minorHAnsi" w:cstheme="minorHAnsi"/>
          <w:sz w:val="24"/>
          <w:szCs w:val="24"/>
          <w:lang w:val="cy-GB"/>
        </w:rPr>
        <w:t>a amser</w:t>
      </w:r>
      <w:r w:rsidRPr="0081218C">
        <w:rPr>
          <w:rFonts w:asciiTheme="minorHAnsi" w:hAnsiTheme="minorHAnsi" w:cstheme="minorHAnsi"/>
          <w:sz w:val="24"/>
          <w:szCs w:val="24"/>
          <w:lang w:val="cy-GB"/>
        </w:rPr>
        <w:t xml:space="preserve"> canolbwyntio cyfyngedig a gallant </w:t>
      </w:r>
      <w:r>
        <w:rPr>
          <w:rFonts w:asciiTheme="minorHAnsi" w:hAnsiTheme="minorHAnsi" w:cstheme="minorHAnsi"/>
          <w:sz w:val="24"/>
          <w:szCs w:val="24"/>
          <w:lang w:val="cy-GB"/>
        </w:rPr>
        <w:t xml:space="preserve">eu gweld yn </w:t>
      </w:r>
      <w:r w:rsidRPr="0081218C">
        <w:rPr>
          <w:rFonts w:asciiTheme="minorHAnsi" w:hAnsiTheme="minorHAnsi" w:cstheme="minorHAnsi"/>
          <w:sz w:val="24"/>
          <w:szCs w:val="24"/>
          <w:lang w:val="cy-GB"/>
        </w:rPr>
        <w:t xml:space="preserve">anodd </w:t>
      </w:r>
      <w:r>
        <w:rPr>
          <w:rFonts w:asciiTheme="minorHAnsi" w:hAnsiTheme="minorHAnsi" w:cstheme="minorHAnsi"/>
          <w:sz w:val="24"/>
          <w:szCs w:val="24"/>
          <w:lang w:val="cy-GB"/>
        </w:rPr>
        <w:t>i g</w:t>
      </w:r>
      <w:r w:rsidRPr="0081218C">
        <w:rPr>
          <w:rFonts w:asciiTheme="minorHAnsi" w:hAnsiTheme="minorHAnsi" w:cstheme="minorHAnsi"/>
          <w:sz w:val="24"/>
          <w:szCs w:val="24"/>
          <w:lang w:val="cy-GB"/>
        </w:rPr>
        <w:t>ynnal ffocws ac ymgysylltiad trwy gydol trafodaeth grŵp (Pellegrini a Perlmutter, 1</w:t>
      </w:r>
      <w:r>
        <w:rPr>
          <w:rFonts w:asciiTheme="minorHAnsi" w:hAnsiTheme="minorHAnsi" w:cstheme="minorHAnsi"/>
          <w:sz w:val="24"/>
          <w:szCs w:val="24"/>
          <w:lang w:val="cy-GB"/>
        </w:rPr>
        <w:t xml:space="preserve">998). Felly, teimlwyd ar adegau nad oedd y sefyllfa ddirlawn yn cael eu rhannu o’r rhan ei phrofiadau a theimladau. </w:t>
      </w:r>
      <w:r w:rsidRPr="0081218C">
        <w:rPr>
          <w:rFonts w:asciiTheme="minorHAnsi" w:hAnsiTheme="minorHAnsi" w:cstheme="minorHAnsi"/>
          <w:sz w:val="24"/>
          <w:szCs w:val="24"/>
          <w:lang w:val="cy-GB"/>
        </w:rPr>
        <w:t xml:space="preserve">Mae sgiliau cyfathrebu myfyrwyr Blwyddyn 3 yn amrywio’n fawr, gyda rhai’n cael anhawster i fynegi eu meddyliau a’u teimladau mewn lleoliad grŵp, tra bod eraill efallai’n dominyddu’r sgwrs (Dockett &amp; Perry, 2007). Gall yr anghydbwysedd hwn mewn cyfranogiad </w:t>
      </w:r>
      <w:r>
        <w:rPr>
          <w:rFonts w:asciiTheme="minorHAnsi" w:hAnsiTheme="minorHAnsi" w:cstheme="minorHAnsi"/>
          <w:sz w:val="24"/>
          <w:szCs w:val="24"/>
          <w:lang w:val="cy-GB"/>
        </w:rPr>
        <w:t xml:space="preserve">grŵp ffocws sydd yn casglu </w:t>
      </w:r>
      <w:r w:rsidRPr="0081218C">
        <w:rPr>
          <w:rFonts w:asciiTheme="minorHAnsi" w:hAnsiTheme="minorHAnsi" w:cstheme="minorHAnsi"/>
          <w:sz w:val="24"/>
          <w:szCs w:val="24"/>
          <w:lang w:val="cy-GB"/>
        </w:rPr>
        <w:t xml:space="preserve">data </w:t>
      </w:r>
      <w:r>
        <w:rPr>
          <w:rFonts w:asciiTheme="minorHAnsi" w:hAnsiTheme="minorHAnsi" w:cstheme="minorHAnsi"/>
          <w:sz w:val="24"/>
          <w:szCs w:val="24"/>
          <w:lang w:val="cy-GB"/>
        </w:rPr>
        <w:t xml:space="preserve">eu </w:t>
      </w:r>
      <w:r w:rsidRPr="0081218C">
        <w:rPr>
          <w:rFonts w:asciiTheme="minorHAnsi" w:hAnsiTheme="minorHAnsi" w:cstheme="minorHAnsi"/>
          <w:sz w:val="24"/>
          <w:szCs w:val="24"/>
          <w:lang w:val="cy-GB"/>
        </w:rPr>
        <w:t>peryglu pa mor gynrychioliadol yw safbwyntiau'r grŵp</w:t>
      </w:r>
      <w:r>
        <w:rPr>
          <w:rFonts w:asciiTheme="minorHAnsi" w:hAnsiTheme="minorHAnsi" w:cstheme="minorHAnsi"/>
          <w:sz w:val="24"/>
          <w:szCs w:val="24"/>
          <w:lang w:val="cy-GB"/>
        </w:rPr>
        <w:t xml:space="preserve"> o ganlyniad i’r diffig ymateb neu gorymateb. Yr oedd y dull yma o ganlyniad i’r oedran yn llai effeithlon wrth ysyried nifer o ffactorau ond yn bennaf oherwydd dylanwadau cyfoedion. M</w:t>
      </w:r>
      <w:r w:rsidRPr="0081218C">
        <w:rPr>
          <w:rFonts w:asciiTheme="minorHAnsi" w:hAnsiTheme="minorHAnsi" w:cstheme="minorHAnsi"/>
          <w:sz w:val="24"/>
          <w:szCs w:val="24"/>
          <w:lang w:val="cy-GB"/>
        </w:rPr>
        <w:t>ae plant yn gyfarwydd iawn â chiwiau cymdeithasol ac yn cael eu dylanwadu gan ymddygiad a barn eu cyfoedion</w:t>
      </w:r>
      <w:r>
        <w:rPr>
          <w:rFonts w:asciiTheme="minorHAnsi" w:hAnsiTheme="minorHAnsi" w:cstheme="minorHAnsi"/>
          <w:sz w:val="24"/>
          <w:szCs w:val="24"/>
          <w:lang w:val="cy-GB"/>
        </w:rPr>
        <w:t xml:space="preserve"> yn aml</w:t>
      </w:r>
      <w:r w:rsidRPr="0081218C">
        <w:rPr>
          <w:rFonts w:asciiTheme="minorHAnsi" w:hAnsiTheme="minorHAnsi" w:cstheme="minorHAnsi"/>
          <w:sz w:val="24"/>
          <w:szCs w:val="24"/>
          <w:lang w:val="cy-GB"/>
        </w:rPr>
        <w:t xml:space="preserve"> (Brown, 2011)</w:t>
      </w:r>
      <w:r>
        <w:rPr>
          <w:rFonts w:asciiTheme="minorHAnsi" w:hAnsiTheme="minorHAnsi" w:cstheme="minorHAnsi"/>
          <w:sz w:val="24"/>
          <w:szCs w:val="24"/>
          <w:lang w:val="cy-GB"/>
        </w:rPr>
        <w:t>. G</w:t>
      </w:r>
      <w:r w:rsidRPr="0081218C">
        <w:rPr>
          <w:rFonts w:asciiTheme="minorHAnsi" w:hAnsiTheme="minorHAnsi" w:cstheme="minorHAnsi"/>
          <w:sz w:val="24"/>
          <w:szCs w:val="24"/>
          <w:lang w:val="cy-GB"/>
        </w:rPr>
        <w:t xml:space="preserve">all dylanwad cyfoedion ddylanwadu ar y mathau o bynciau ac ymddygiadau a drafodir yn y grŵp ffocws, gyda phlant yn aml yn adlewyrchu diddordebau ac agweddau eu cyfoedion (Berndt, 2017). </w:t>
      </w:r>
      <w:r>
        <w:rPr>
          <w:rFonts w:asciiTheme="minorHAnsi" w:hAnsiTheme="minorHAnsi" w:cstheme="minorHAnsi"/>
          <w:sz w:val="24"/>
          <w:szCs w:val="24"/>
          <w:lang w:val="cy-GB"/>
        </w:rPr>
        <w:t>Er mwyn osgoi hyn bu’n rhaid</w:t>
      </w:r>
      <w:r w:rsidRPr="0081218C">
        <w:rPr>
          <w:rFonts w:asciiTheme="minorHAnsi" w:hAnsiTheme="minorHAnsi" w:cstheme="minorHAnsi"/>
          <w:sz w:val="24"/>
          <w:szCs w:val="24"/>
          <w:lang w:val="cy-GB"/>
        </w:rPr>
        <w:t xml:space="preserve"> fod yn ymwybodol o ddeinameg dylanwad cyfoedion a defnyddio strategaethau i hyrwyddo cyfranogiad teg, meithrin deialog agored, ac annog mynegiant o safbwyntiau amrywiol o fewn lleoliad y grŵp ffocws.</w:t>
      </w:r>
      <w:r>
        <w:rPr>
          <w:rFonts w:asciiTheme="minorHAnsi" w:hAnsiTheme="minorHAnsi" w:cstheme="minorHAnsi"/>
          <w:sz w:val="24"/>
          <w:szCs w:val="24"/>
          <w:lang w:val="cy-GB"/>
        </w:rPr>
        <w:t xml:space="preserve"> Ond gan fod sampl bach yn rhan o’r ymchwil yr oedd hi’n anodd iawn i osgoi hyn. </w:t>
      </w:r>
    </w:p>
    <w:p w14:paraId="4D693A01" w14:textId="58E30A7C" w:rsidR="0081218C" w:rsidRDefault="0081218C" w:rsidP="0081218C">
      <w:pPr>
        <w:spacing w:line="360" w:lineRule="auto"/>
        <w:rPr>
          <w:rFonts w:asciiTheme="minorHAnsi" w:hAnsiTheme="minorHAnsi" w:cstheme="minorHAnsi"/>
          <w:sz w:val="24"/>
          <w:szCs w:val="24"/>
          <w:lang w:val="cy-GB"/>
        </w:rPr>
      </w:pPr>
      <w:r>
        <w:rPr>
          <w:rFonts w:asciiTheme="minorHAnsi" w:hAnsiTheme="minorHAnsi" w:cstheme="minorHAnsi"/>
          <w:sz w:val="24"/>
          <w:szCs w:val="24"/>
          <w:lang w:val="cy-GB"/>
        </w:rPr>
        <w:t>Bydd</w:t>
      </w:r>
      <w:r w:rsidRPr="0081218C">
        <w:rPr>
          <w:rFonts w:asciiTheme="minorHAnsi" w:hAnsiTheme="minorHAnsi" w:cstheme="minorHAnsi"/>
          <w:sz w:val="24"/>
          <w:szCs w:val="24"/>
          <w:lang w:val="cy-GB"/>
        </w:rPr>
        <w:t xml:space="preserve"> </w:t>
      </w:r>
      <w:r>
        <w:rPr>
          <w:rFonts w:asciiTheme="minorHAnsi" w:hAnsiTheme="minorHAnsi" w:cstheme="minorHAnsi"/>
          <w:sz w:val="24"/>
          <w:szCs w:val="24"/>
          <w:lang w:val="cy-GB"/>
        </w:rPr>
        <w:t>g</w:t>
      </w:r>
      <w:r w:rsidRPr="0081218C">
        <w:rPr>
          <w:rFonts w:asciiTheme="minorHAnsi" w:hAnsiTheme="minorHAnsi" w:cstheme="minorHAnsi"/>
          <w:sz w:val="24"/>
          <w:szCs w:val="24"/>
          <w:lang w:val="cy-GB"/>
        </w:rPr>
        <w:t>wneud recordio llais y cyfweliadau</w:t>
      </w:r>
      <w:r>
        <w:rPr>
          <w:rFonts w:asciiTheme="minorHAnsi" w:hAnsiTheme="minorHAnsi" w:cstheme="minorHAnsi"/>
          <w:sz w:val="24"/>
          <w:szCs w:val="24"/>
          <w:lang w:val="cy-GB"/>
        </w:rPr>
        <w:t xml:space="preserve"> heyfd o gymorth wrth casglu data</w:t>
      </w:r>
      <w:r w:rsidRPr="0081218C">
        <w:rPr>
          <w:rFonts w:asciiTheme="minorHAnsi" w:hAnsiTheme="minorHAnsi" w:cstheme="minorHAnsi"/>
          <w:sz w:val="24"/>
          <w:szCs w:val="24"/>
          <w:lang w:val="cy-GB"/>
        </w:rPr>
        <w:t xml:space="preserve">. Mae recordio llais mewn cyfweliadau ymchwil yn cynnig nifer o fanteision gan wella dyfnder, cywirdeb a dibynadwyedd casglu data (Rubin &amp; Rubin, 2012). Mae recordio cyfweliadau yn galluogi ymchwilwyr i gasglu ymatebion cyfranogwyr air am air, gan gadw cyfoeth eu hiaith, tôn, ac ymadroddion ( Marshall a Rossman, </w:t>
      </w:r>
      <w:r>
        <w:rPr>
          <w:rFonts w:asciiTheme="minorHAnsi" w:hAnsiTheme="minorHAnsi" w:cstheme="minorHAnsi"/>
          <w:sz w:val="24"/>
          <w:szCs w:val="24"/>
          <w:lang w:val="cy-GB"/>
        </w:rPr>
        <w:t>2</w:t>
      </w:r>
      <w:r w:rsidRPr="0081218C">
        <w:rPr>
          <w:rFonts w:asciiTheme="minorHAnsi" w:hAnsiTheme="minorHAnsi" w:cstheme="minorHAnsi"/>
          <w:sz w:val="24"/>
          <w:szCs w:val="24"/>
          <w:lang w:val="cy-GB"/>
        </w:rPr>
        <w:t>016). Mae’r lefel hon o fanylder yn hanfodol ar gyfer cynrychioli safbwyntiau a phrofiadau cyfranogwyr yn gywir, a thrwy hynny wella dilysrwydd y canfyddiadau.</w:t>
      </w:r>
      <w:r>
        <w:rPr>
          <w:rFonts w:asciiTheme="minorHAnsi" w:hAnsiTheme="minorHAnsi" w:cstheme="minorHAnsi"/>
          <w:sz w:val="24"/>
          <w:szCs w:val="24"/>
          <w:lang w:val="cy-GB"/>
        </w:rPr>
        <w:t xml:space="preserve"> O ganylniad i cyfyngiadau amser, dim ond un grŵp ffocws a llwyddwyd i gynnal, felly maent hyn yn cael ei ystyried yn ystod yr canlyniadau, nid darlun cyflawn o barn a sylwadau pob cyfrangowyr y bydd hyn. </w:t>
      </w:r>
    </w:p>
    <w:p w14:paraId="2130A8E7" w14:textId="277E1577" w:rsidR="0081218C" w:rsidRPr="0081218C" w:rsidRDefault="0081218C" w:rsidP="0081218C">
      <w:pPr>
        <w:spacing w:line="360" w:lineRule="auto"/>
        <w:rPr>
          <w:rFonts w:asciiTheme="minorHAnsi" w:hAnsiTheme="minorHAnsi" w:cstheme="minorHAnsi"/>
          <w:sz w:val="24"/>
          <w:szCs w:val="24"/>
          <w:lang w:val="cy-GB"/>
        </w:rPr>
      </w:pPr>
      <w:r w:rsidRPr="0081218C">
        <w:rPr>
          <w:rFonts w:asciiTheme="minorHAnsi" w:hAnsiTheme="minorHAnsi" w:cstheme="minorHAnsi"/>
          <w:sz w:val="24"/>
          <w:szCs w:val="24"/>
          <w:lang w:val="cy-GB"/>
        </w:rPr>
        <w:t xml:space="preserve">Mae arsylwi yn ddull ymchwil hollbwysig oherwydd ei allu i ddal ymddygiadau a rhyngweithiadau dilys mewn lleoliadau naturiolaidd, gan ddarparu data manwl, cyfoethog i ymchwilwyr (Angrosino, 2007). Mae’r dull hwn yn cynnig mewnwelediad i bywyd go iawn </w:t>
      </w:r>
      <w:r>
        <w:rPr>
          <w:rFonts w:asciiTheme="minorHAnsi" w:hAnsiTheme="minorHAnsi" w:cstheme="minorHAnsi"/>
          <w:sz w:val="24"/>
          <w:szCs w:val="24"/>
          <w:lang w:val="cy-GB"/>
        </w:rPr>
        <w:t xml:space="preserve">y cyfranowyr sydd </w:t>
      </w:r>
      <w:r w:rsidRPr="0081218C">
        <w:rPr>
          <w:rFonts w:asciiTheme="minorHAnsi" w:hAnsiTheme="minorHAnsi" w:cstheme="minorHAnsi"/>
          <w:sz w:val="24"/>
          <w:szCs w:val="24"/>
          <w:lang w:val="cy-GB"/>
        </w:rPr>
        <w:t>nad ydynt efallai’n hygyrch trwy ddulliau eraill</w:t>
      </w:r>
      <w:r>
        <w:rPr>
          <w:rFonts w:asciiTheme="minorHAnsi" w:hAnsiTheme="minorHAnsi" w:cstheme="minorHAnsi"/>
          <w:sz w:val="24"/>
          <w:szCs w:val="24"/>
          <w:lang w:val="cy-GB"/>
        </w:rPr>
        <w:t>. Maent heyfd yn</w:t>
      </w:r>
      <w:r w:rsidRPr="0081218C">
        <w:rPr>
          <w:rFonts w:asciiTheme="minorHAnsi" w:hAnsiTheme="minorHAnsi" w:cstheme="minorHAnsi"/>
          <w:sz w:val="24"/>
          <w:szCs w:val="24"/>
          <w:lang w:val="cy-GB"/>
        </w:rPr>
        <w:t xml:space="preserve"> ganiatáu</w:t>
      </w:r>
      <w:r>
        <w:rPr>
          <w:rFonts w:asciiTheme="minorHAnsi" w:hAnsiTheme="minorHAnsi" w:cstheme="minorHAnsi"/>
          <w:sz w:val="24"/>
          <w:szCs w:val="24"/>
          <w:lang w:val="cy-GB"/>
        </w:rPr>
        <w:t>’</w:t>
      </w:r>
      <w:r w:rsidRPr="0081218C">
        <w:rPr>
          <w:rFonts w:asciiTheme="minorHAnsi" w:hAnsiTheme="minorHAnsi" w:cstheme="minorHAnsi"/>
          <w:sz w:val="24"/>
          <w:szCs w:val="24"/>
          <w:lang w:val="cy-GB"/>
        </w:rPr>
        <w:t xml:space="preserve">r </w:t>
      </w:r>
      <w:r>
        <w:rPr>
          <w:rFonts w:asciiTheme="minorHAnsi" w:hAnsiTheme="minorHAnsi" w:cstheme="minorHAnsi"/>
          <w:sz w:val="24"/>
          <w:szCs w:val="24"/>
          <w:lang w:val="cy-GB"/>
        </w:rPr>
        <w:t xml:space="preserve">ymchwilydd i </w:t>
      </w:r>
      <w:r w:rsidRPr="0081218C">
        <w:rPr>
          <w:rFonts w:asciiTheme="minorHAnsi" w:hAnsiTheme="minorHAnsi" w:cstheme="minorHAnsi"/>
          <w:sz w:val="24"/>
          <w:szCs w:val="24"/>
          <w:lang w:val="cy-GB"/>
        </w:rPr>
        <w:t xml:space="preserve">archwilio a </w:t>
      </w:r>
      <w:r>
        <w:rPr>
          <w:rFonts w:asciiTheme="minorHAnsi" w:hAnsiTheme="minorHAnsi" w:cstheme="minorHAnsi"/>
          <w:sz w:val="24"/>
          <w:szCs w:val="24"/>
          <w:lang w:val="cy-GB"/>
        </w:rPr>
        <w:t xml:space="preserve">gweld y </w:t>
      </w:r>
      <w:r w:rsidRPr="0081218C">
        <w:rPr>
          <w:rFonts w:asciiTheme="minorHAnsi" w:hAnsiTheme="minorHAnsi" w:cstheme="minorHAnsi"/>
          <w:sz w:val="24"/>
          <w:szCs w:val="24"/>
          <w:lang w:val="cy-GB"/>
        </w:rPr>
        <w:t xml:space="preserve">ffactorau cyd-destunol sy’n llywio ymddygiad (Elliott, </w:t>
      </w:r>
      <w:r w:rsidRPr="0081218C">
        <w:rPr>
          <w:rFonts w:asciiTheme="minorHAnsi" w:hAnsiTheme="minorHAnsi" w:cstheme="minorHAnsi"/>
          <w:sz w:val="24"/>
          <w:szCs w:val="24"/>
          <w:lang w:val="cy-GB"/>
        </w:rPr>
        <w:lastRenderedPageBreak/>
        <w:t xml:space="preserve">2005). Yn ogystal, mae ymchwil arsylwadol yn lleihau ymyrraeth â chyfranogwyr, gan leihau’r risg o duedd ymateb a darparu cynrychiolaeth fwy cywir o ymddygiadau wrth iddynt ddigwydd yn naturiol (Hammersley &amp; Atkinson, 2007). Fodd bynnag, gall data arsylwi fod yn </w:t>
      </w:r>
      <w:r>
        <w:rPr>
          <w:rFonts w:asciiTheme="minorHAnsi" w:hAnsiTheme="minorHAnsi" w:cstheme="minorHAnsi"/>
          <w:sz w:val="24"/>
          <w:szCs w:val="24"/>
          <w:lang w:val="cy-GB"/>
        </w:rPr>
        <w:t>tueddol o’r ochr y ymchwilydd</w:t>
      </w:r>
      <w:r w:rsidRPr="0081218C">
        <w:rPr>
          <w:rFonts w:asciiTheme="minorHAnsi" w:hAnsiTheme="minorHAnsi" w:cstheme="minorHAnsi"/>
          <w:sz w:val="24"/>
          <w:szCs w:val="24"/>
          <w:lang w:val="cy-GB"/>
        </w:rPr>
        <w:t>, lle gall dehongliadau a dyfarniadau arsylwyr ddylanwadu ar gasglu a dadansoddi data (Adler &amp; Adler, 1994).</w:t>
      </w:r>
      <w:r>
        <w:rPr>
          <w:rFonts w:asciiTheme="minorHAnsi" w:hAnsiTheme="minorHAnsi" w:cstheme="minorHAnsi"/>
          <w:sz w:val="24"/>
          <w:szCs w:val="24"/>
          <w:lang w:val="cy-GB"/>
        </w:rPr>
        <w:t xml:space="preserve"> Serch </w:t>
      </w:r>
      <w:r w:rsidRPr="0081218C">
        <w:rPr>
          <w:rFonts w:asciiTheme="minorHAnsi" w:hAnsiTheme="minorHAnsi" w:cstheme="minorHAnsi"/>
          <w:sz w:val="24"/>
          <w:szCs w:val="24"/>
          <w:lang w:val="cy-GB"/>
        </w:rPr>
        <w:t>hynny, gall cynnal arsylwadau gymryd llawer o amser</w:t>
      </w:r>
      <w:r>
        <w:rPr>
          <w:rFonts w:asciiTheme="minorHAnsi" w:hAnsiTheme="minorHAnsi" w:cstheme="minorHAnsi"/>
          <w:sz w:val="24"/>
          <w:szCs w:val="24"/>
          <w:lang w:val="cy-GB"/>
        </w:rPr>
        <w:t xml:space="preserve">. Yn ogystal ag anodd wrth geisio arsylwi ar popeth. Dynnir system arsylwi Leuven. Maen dull systematig ar gyfer arsylwi a dadansoddi rhyngweithio o fewn ystafell ddosbarth ac ymddygiad ddisgyblion neu yn yr achos hyn yn edrych ar ei ymgysylltiad yn ystod y sesiwn meddylgawrch ac ar ôl wrth wneud tasgau academaidd. Gwelir wrth defnyddio dull cadarn o arsylwi gallai’r mentor ddosbarth a’r cynorthwyyd heyfd arsylwi ar y ddisgyblion yn ddilyn yr un meini prawf er mwyn ceisio cael darlun cyfan o gweithgareddau’r dosbarth wrth gyfrannu at y sesiynau, gwelir atodiau 2. </w:t>
      </w:r>
      <w:r w:rsidRPr="0081218C">
        <w:rPr>
          <w:rFonts w:asciiTheme="minorHAnsi" w:hAnsiTheme="minorHAnsi" w:cstheme="minorHAnsi"/>
          <w:sz w:val="24"/>
          <w:szCs w:val="24"/>
          <w:lang w:val="cy-GB"/>
        </w:rPr>
        <w:t>Er gwaethaf yr heriau hyn, mae ymchwil arsylwadol yn parhau i fod yn ddull gwerthfawr o astudio ymddygiad dynol, rhyngweithio cymdeithasol, a dylanwadau amgylcheddol, gan ategu dulliau ymchwil eraill a chyfrannu at ddealltwriaeth ddyfnach o ffenomenau ar draws disgyblaethau amrywiol.</w:t>
      </w:r>
    </w:p>
    <w:p w14:paraId="262DA98A" w14:textId="77777777" w:rsidR="0081218C" w:rsidRPr="00245625" w:rsidRDefault="0081218C" w:rsidP="00245625">
      <w:pPr>
        <w:spacing w:line="360" w:lineRule="auto"/>
        <w:rPr>
          <w:rFonts w:asciiTheme="minorHAnsi" w:hAnsiTheme="minorHAnsi" w:cstheme="minorHAnsi"/>
          <w:sz w:val="24"/>
          <w:szCs w:val="24"/>
          <w:lang w:val="cy-GB"/>
        </w:rPr>
      </w:pPr>
    </w:p>
    <w:p w14:paraId="0520DC5C" w14:textId="515A38F1" w:rsidR="00A53E23"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Cyflwyno a Dadasoddi Data</w:t>
      </w:r>
    </w:p>
    <w:p w14:paraId="027F94B4" w14:textId="6548A390"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 xml:space="preserve">Wrth gynnal ein ymchwilio i effaith gweithgareddau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ar fyfyrwyr Blwyddyn 3, fe wnaethom weithredu sawl proses i sicrhau dibynadwyedd, hygrededd, trosglwyddedd, dibynadwyedd, a chadarnhad ein canfyddiadau. Yn gyntaf, er mwyn gwella hygrededd, fe wnaethom gadw at egwyddorion sefydledig dylunio </w:t>
      </w:r>
      <w:r>
        <w:rPr>
          <w:rFonts w:asciiTheme="minorHAnsi" w:hAnsiTheme="minorHAnsi" w:cstheme="minorHAnsi"/>
          <w:bCs/>
          <w:sz w:val="24"/>
          <w:szCs w:val="24"/>
          <w:lang w:val="cy-GB"/>
        </w:rPr>
        <w:t>holiaduron</w:t>
      </w:r>
      <w:r w:rsidRPr="0081218C">
        <w:rPr>
          <w:rFonts w:asciiTheme="minorHAnsi" w:hAnsiTheme="minorHAnsi" w:cstheme="minorHAnsi"/>
          <w:bCs/>
          <w:sz w:val="24"/>
          <w:szCs w:val="24"/>
          <w:lang w:val="cy-GB"/>
        </w:rPr>
        <w:t xml:space="preserve">, gan sicrhau bod iaith a fformat ein holiadur yn briodol i oedran ac yn ddealladwy ar gyfer y </w:t>
      </w:r>
      <w:r>
        <w:rPr>
          <w:rFonts w:asciiTheme="minorHAnsi" w:hAnsiTheme="minorHAnsi" w:cstheme="minorHAnsi"/>
          <w:bCs/>
          <w:sz w:val="24"/>
          <w:szCs w:val="24"/>
          <w:lang w:val="cy-GB"/>
        </w:rPr>
        <w:t>y dosbarth</w:t>
      </w:r>
      <w:r w:rsidRPr="0081218C">
        <w:rPr>
          <w:rFonts w:asciiTheme="minorHAnsi" w:hAnsiTheme="minorHAnsi" w:cstheme="minorHAnsi"/>
          <w:bCs/>
          <w:sz w:val="24"/>
          <w:szCs w:val="24"/>
          <w:lang w:val="cy-GB"/>
        </w:rPr>
        <w:t xml:space="preserve"> (Krosnick &amp; Presser, 2010). Yn ogystal, </w:t>
      </w:r>
      <w:r>
        <w:rPr>
          <w:rFonts w:asciiTheme="minorHAnsi" w:hAnsiTheme="minorHAnsi" w:cstheme="minorHAnsi"/>
          <w:bCs/>
          <w:sz w:val="24"/>
          <w:szCs w:val="24"/>
          <w:lang w:val="cy-GB"/>
        </w:rPr>
        <w:t xml:space="preserve">wnaethom ni gadael </w:t>
      </w:r>
      <w:r w:rsidRPr="0081218C">
        <w:rPr>
          <w:rFonts w:asciiTheme="minorHAnsi" w:hAnsiTheme="minorHAnsi" w:cstheme="minorHAnsi"/>
          <w:bCs/>
          <w:sz w:val="24"/>
          <w:szCs w:val="24"/>
          <w:lang w:val="cy-GB"/>
        </w:rPr>
        <w:t>gyda grŵp bach o fyfyrwyr i brofi eglurder a phriodoldeb cwestiynau’r arolwg</w:t>
      </w:r>
      <w:r>
        <w:rPr>
          <w:rFonts w:asciiTheme="minorHAnsi" w:hAnsiTheme="minorHAnsi" w:cstheme="minorHAnsi"/>
          <w:bCs/>
          <w:sz w:val="24"/>
          <w:szCs w:val="24"/>
          <w:lang w:val="cy-GB"/>
        </w:rPr>
        <w:t xml:space="preserve"> cyn i’r weddill ei ateb</w:t>
      </w:r>
      <w:r w:rsidRPr="0081218C">
        <w:rPr>
          <w:rFonts w:asciiTheme="minorHAnsi" w:hAnsiTheme="minorHAnsi" w:cstheme="minorHAnsi"/>
          <w:bCs/>
          <w:sz w:val="24"/>
          <w:szCs w:val="24"/>
          <w:lang w:val="cy-GB"/>
        </w:rPr>
        <w:t>, gan ganiatáu inni fireinio’r geiriad a gwella dibynadwyedd yr ymatebion (Dillman et al., 2014).</w:t>
      </w:r>
      <w:r>
        <w:rPr>
          <w:rFonts w:asciiTheme="minorHAnsi" w:hAnsiTheme="minorHAnsi" w:cstheme="minorHAnsi"/>
          <w:bCs/>
          <w:sz w:val="24"/>
          <w:szCs w:val="24"/>
          <w:lang w:val="cy-GB"/>
        </w:rPr>
        <w:t xml:space="preserve"> Hefyd wrth gwneud hyn, yr oedd modd iddyn ni ei symlyeddio i rhai yn y dosbarth a oedd angen fwy o gymorth. Yn osystal a paradorwydd i ddarllen ac esbonio y gwestynnau er mwyn derbyn dealltwriaeth well o’r testun.</w:t>
      </w:r>
    </w:p>
    <w:p w14:paraId="7AA0E84D" w14:textId="634C4FC5" w:rsidR="0081218C" w:rsidRDefault="0081218C" w:rsidP="00AF28E5">
      <w:pPr>
        <w:spacing w:before="120" w:after="120" w:line="360" w:lineRule="auto"/>
        <w:rPr>
          <w:rFonts w:asciiTheme="minorHAnsi" w:hAnsiTheme="minorHAnsi" w:cstheme="minorHAnsi"/>
          <w:bCs/>
          <w:sz w:val="24"/>
          <w:szCs w:val="24"/>
          <w:lang w:val="cy-GB"/>
        </w:rPr>
      </w:pPr>
      <w:r>
        <w:rPr>
          <w:rFonts w:asciiTheme="minorHAnsi" w:hAnsiTheme="minorHAnsi" w:cstheme="minorHAnsi"/>
          <w:bCs/>
          <w:sz w:val="24"/>
          <w:szCs w:val="24"/>
          <w:lang w:val="cy-GB"/>
        </w:rPr>
        <w:t xml:space="preserve">Yr oedd hefyd yn bwysig i gael amrywiaeth o chwesitynau yn ystod y holiadur ac hefyd y grwp ffocws er mwyn rhoi digon o gyfleuoedd i’r ddisgylbion i fynegi ei barn. </w:t>
      </w:r>
      <w:r w:rsidRPr="0081218C">
        <w:rPr>
          <w:rFonts w:asciiTheme="minorHAnsi" w:hAnsiTheme="minorHAnsi" w:cstheme="minorHAnsi"/>
          <w:bCs/>
          <w:sz w:val="24"/>
          <w:szCs w:val="24"/>
          <w:lang w:val="cy-GB"/>
        </w:rPr>
        <w:t xml:space="preserve">Drwy roi cyfle i </w:t>
      </w:r>
      <w:r w:rsidRPr="0081218C">
        <w:rPr>
          <w:rFonts w:asciiTheme="minorHAnsi" w:hAnsiTheme="minorHAnsi" w:cstheme="minorHAnsi"/>
          <w:bCs/>
          <w:sz w:val="24"/>
          <w:szCs w:val="24"/>
          <w:lang w:val="cy-GB"/>
        </w:rPr>
        <w:lastRenderedPageBreak/>
        <w:t>ymatebwyr fynegi eu meddyliau a’u teimladau yn eu geiriau eu hunain</w:t>
      </w:r>
      <w:r>
        <w:rPr>
          <w:rFonts w:asciiTheme="minorHAnsi" w:hAnsiTheme="minorHAnsi" w:cstheme="minorHAnsi"/>
          <w:bCs/>
          <w:sz w:val="24"/>
          <w:szCs w:val="24"/>
          <w:lang w:val="cy-GB"/>
        </w:rPr>
        <w:t xml:space="preserve"> yr oeddwn yn cadw at uniondeb ei ymatebion er mwyn ei trogwlwyddo i fewn i’n data.</w:t>
      </w:r>
    </w:p>
    <w:p w14:paraId="030E28E5" w14:textId="1FF80E81" w:rsidR="00A53E23" w:rsidRPr="00AF28E5" w:rsidRDefault="0081218C" w:rsidP="00AF28E5">
      <w:pPr>
        <w:spacing w:before="120" w:after="120" w:line="360" w:lineRule="auto"/>
        <w:rPr>
          <w:rFonts w:asciiTheme="minorHAnsi" w:hAnsiTheme="minorHAnsi" w:cstheme="minorHAnsi"/>
          <w:b/>
          <w:sz w:val="24"/>
          <w:szCs w:val="24"/>
          <w:u w:val="single"/>
          <w:lang w:val="cy-GB"/>
        </w:rPr>
      </w:pPr>
      <w:r w:rsidRPr="0081218C">
        <w:rPr>
          <w:rFonts w:asciiTheme="minorHAnsi" w:hAnsiTheme="minorHAnsi" w:cstheme="minorHAnsi"/>
          <w:bCs/>
          <w:sz w:val="24"/>
          <w:szCs w:val="24"/>
          <w:lang w:val="cy-GB"/>
        </w:rPr>
        <w:t>Er mwyn gwella hygrededd a dibynadwyedd ein hymchwil, buom yn cynnal trafodaethau rheolaidd gyda’r mentor dosbarth a’r cynorthwyydd yn dilyn pob sesiwn arsylwi i rannu ein canfyddiadau a sicrhau aliniad yn y dehongliad o ymddygiadau a arsylwyd (Lincoln &amp; Guba, 1985). Roedd y trafodaethau hyn yn fodd o wirio aelodau, gan ganiatáu ar gyfer gwirio ein dehongliadau a sicrhau bod y data yn adlewyrchu ymddygiad ac agweddau'r plant yn gywir (Creswell &amp; Miller, 2000). Drwy gynnal cyfathrebu agored a thryloywder drwy gydol y broses ymchwil, ceisiwyd sefydlu ymddiriedaeth a hyder yn nibynadwyedd ein harsylwadau (Shenton, 2004). Ymhellach, rhoddodd y trafodaethau hyn gyfle i gadarnhau cysondeb a dilysrwydd ein canfyddiadau, gan gyfrannu at gadarnhad cyffredinol ein hymchwil (Lincoln &amp; Guba, 1985). Trwy ddeialog ar y cyd â’r mentor dosbarth a’r cynorthwyydd, anelwyd at gryfhau hygrededd, dibynadwyedd a chadarnhad ein canlyniadau ymchwil.</w:t>
      </w:r>
    </w:p>
    <w:p w14:paraId="24D4CC30" w14:textId="3CB3C5AC" w:rsidR="00A53E23"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Trafodaeth</w:t>
      </w:r>
    </w:p>
    <w:p w14:paraId="56214A75" w14:textId="77777777"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Wrth ddadansoddi'r data arsylwi (gweler Atodiad 2), archwiliwyd y gwahaniaethau mewn lefelau ymgysylltu fel y mesurwyd gan rifau graddfa Leuven i werthuso effeithiolrwydd y dulliau gweithgareddau m</w:t>
      </w:r>
      <w:r>
        <w:rPr>
          <w:rFonts w:asciiTheme="minorHAnsi" w:hAnsiTheme="minorHAnsi" w:cstheme="minorHAnsi"/>
          <w:bCs/>
          <w:sz w:val="24"/>
          <w:szCs w:val="24"/>
          <w:lang w:val="cy-GB"/>
        </w:rPr>
        <w:t>eddylgarwch</w:t>
      </w:r>
      <w:r w:rsidRPr="0081218C">
        <w:rPr>
          <w:rFonts w:asciiTheme="minorHAnsi" w:hAnsiTheme="minorHAnsi" w:cstheme="minorHAnsi"/>
          <w:bCs/>
          <w:sz w:val="24"/>
          <w:szCs w:val="24"/>
          <w:lang w:val="cy-GB"/>
        </w:rPr>
        <w:t>. I ddechrau, gwelsom ddiwrnod ysgol arferol heb unrhyw weithgareddau medd</w:t>
      </w:r>
      <w:r>
        <w:rPr>
          <w:rFonts w:asciiTheme="minorHAnsi" w:hAnsiTheme="minorHAnsi" w:cstheme="minorHAnsi"/>
          <w:bCs/>
          <w:sz w:val="24"/>
          <w:szCs w:val="24"/>
          <w:lang w:val="cy-GB"/>
        </w:rPr>
        <w:t>ylgarwch. Roeddwn yn d</w:t>
      </w:r>
      <w:r w:rsidRPr="0081218C">
        <w:rPr>
          <w:rFonts w:asciiTheme="minorHAnsi" w:hAnsiTheme="minorHAnsi" w:cstheme="minorHAnsi"/>
          <w:bCs/>
          <w:sz w:val="24"/>
          <w:szCs w:val="24"/>
          <w:lang w:val="cy-GB"/>
        </w:rPr>
        <w:t xml:space="preserve">dogfennu lefelau ymgysylltu'r myfyrwyr ar ôl dychwelyd i'r dosbarth ar ôl amser chwarae a chinio. Datgelodd ein harsylwadau fod </w:t>
      </w:r>
      <w:r>
        <w:rPr>
          <w:rFonts w:asciiTheme="minorHAnsi" w:hAnsiTheme="minorHAnsi" w:cstheme="minorHAnsi"/>
          <w:bCs/>
          <w:sz w:val="24"/>
          <w:szCs w:val="24"/>
          <w:lang w:val="cy-GB"/>
        </w:rPr>
        <w:t>bron bob</w:t>
      </w:r>
      <w:r w:rsidRPr="0081218C">
        <w:rPr>
          <w:rFonts w:asciiTheme="minorHAnsi" w:hAnsiTheme="minorHAnsi" w:cstheme="minorHAnsi"/>
          <w:bCs/>
          <w:sz w:val="24"/>
          <w:szCs w:val="24"/>
          <w:lang w:val="cy-GB"/>
        </w:rPr>
        <w:t xml:space="preserve"> myfyriwr yn dangos hapusrwydd</w:t>
      </w:r>
      <w:r>
        <w:rPr>
          <w:rFonts w:asciiTheme="minorHAnsi" w:hAnsiTheme="minorHAnsi" w:cstheme="minorHAnsi"/>
          <w:bCs/>
          <w:sz w:val="24"/>
          <w:szCs w:val="24"/>
          <w:lang w:val="cy-GB"/>
        </w:rPr>
        <w:t xml:space="preserve"> a chyffro</w:t>
      </w:r>
      <w:r w:rsidRPr="0081218C">
        <w:rPr>
          <w:rFonts w:asciiTheme="minorHAnsi" w:hAnsiTheme="minorHAnsi" w:cstheme="minorHAnsi"/>
          <w:bCs/>
          <w:sz w:val="24"/>
          <w:szCs w:val="24"/>
          <w:lang w:val="cy-GB"/>
        </w:rPr>
        <w:t xml:space="preserve"> ar ôl dychwelyd i'r dosbarth; fodd bynnag, roedd llawer yn amlwg wedi cynhyrfu oherwydd digwyddiadau yn ystod amser chwarae. Ymhellach, fe wnaethom nodi diffyg ffocws ymhlith myfyrwyr </w:t>
      </w:r>
      <w:r>
        <w:rPr>
          <w:rFonts w:asciiTheme="minorHAnsi" w:hAnsiTheme="minorHAnsi" w:cstheme="minorHAnsi"/>
          <w:bCs/>
          <w:sz w:val="24"/>
          <w:szCs w:val="24"/>
          <w:lang w:val="cy-GB"/>
        </w:rPr>
        <w:t xml:space="preserve">hynnny </w:t>
      </w:r>
      <w:r w:rsidRPr="0081218C">
        <w:rPr>
          <w:rFonts w:asciiTheme="minorHAnsi" w:hAnsiTheme="minorHAnsi" w:cstheme="minorHAnsi"/>
          <w:bCs/>
          <w:sz w:val="24"/>
          <w:szCs w:val="24"/>
          <w:lang w:val="cy-GB"/>
        </w:rPr>
        <w:t xml:space="preserve">wrth drosglwyddo i fodiwlau gwaith </w:t>
      </w:r>
      <w:r>
        <w:rPr>
          <w:rFonts w:asciiTheme="minorHAnsi" w:hAnsiTheme="minorHAnsi" w:cstheme="minorHAnsi"/>
          <w:bCs/>
          <w:sz w:val="24"/>
          <w:szCs w:val="24"/>
          <w:lang w:val="cy-GB"/>
        </w:rPr>
        <w:t>yn enwedig wrth ceisio dilyn cyfarwyddiadau newydd</w:t>
      </w:r>
      <w:r w:rsidRPr="0081218C">
        <w:rPr>
          <w:rFonts w:asciiTheme="minorHAnsi" w:hAnsiTheme="minorHAnsi" w:cstheme="minorHAnsi"/>
          <w:bCs/>
          <w:sz w:val="24"/>
          <w:szCs w:val="24"/>
          <w:lang w:val="cy-GB"/>
        </w:rPr>
        <w:t xml:space="preserve">, gyda rhai myfyrwyr yn gofyn dro ar ôl tro am eglurhad ar gyfarwyddiadau. Darparodd yr arsylwadau cychwynnol hyn linell sylfaen y gallem gymharu effeithiau gweithredu gweithgareddau meddwl yn ei herbyn mewn sesiynau dilynol. </w:t>
      </w:r>
    </w:p>
    <w:p w14:paraId="412296B8" w14:textId="77777777" w:rsidR="0081218C" w:rsidRDefault="0081218C" w:rsidP="00AF28E5">
      <w:pPr>
        <w:spacing w:before="120" w:after="120" w:line="360" w:lineRule="auto"/>
        <w:rPr>
          <w:rFonts w:asciiTheme="minorHAnsi" w:hAnsiTheme="minorHAnsi" w:cstheme="minorHAnsi"/>
          <w:bCs/>
          <w:sz w:val="24"/>
          <w:szCs w:val="24"/>
          <w:lang w:val="cy-GB"/>
        </w:rPr>
      </w:pPr>
      <w:r>
        <w:rPr>
          <w:rFonts w:asciiTheme="minorHAnsi" w:hAnsiTheme="minorHAnsi" w:cstheme="minorHAnsi"/>
          <w:bCs/>
          <w:sz w:val="24"/>
          <w:szCs w:val="24"/>
          <w:lang w:val="cy-GB"/>
        </w:rPr>
        <w:t xml:space="preserve">Felly cychywynom ni i greu amserlen gweithredu sesiynau meddylgarwch wrth ddychwelyd yn nôl i’r ddosbarth ar ôl cyfnodau chwarae annibynnol. </w:t>
      </w:r>
      <w:r w:rsidRPr="0081218C">
        <w:rPr>
          <w:rFonts w:asciiTheme="minorHAnsi" w:hAnsiTheme="minorHAnsi" w:cstheme="minorHAnsi"/>
          <w:bCs/>
          <w:sz w:val="24"/>
          <w:szCs w:val="24"/>
          <w:lang w:val="cy-GB"/>
        </w:rPr>
        <w:t xml:space="preserve">Yn dilyn rhoi gweithgareddau </w:t>
      </w:r>
      <w:r>
        <w:rPr>
          <w:rFonts w:asciiTheme="minorHAnsi" w:hAnsiTheme="minorHAnsi" w:cstheme="minorHAnsi"/>
          <w:bCs/>
          <w:sz w:val="24"/>
          <w:szCs w:val="24"/>
          <w:lang w:val="cy-GB"/>
        </w:rPr>
        <w:t>meddylgarwch ar waith</w:t>
      </w:r>
      <w:r w:rsidRPr="0081218C">
        <w:rPr>
          <w:rFonts w:asciiTheme="minorHAnsi" w:hAnsiTheme="minorHAnsi" w:cstheme="minorHAnsi"/>
          <w:bCs/>
          <w:sz w:val="24"/>
          <w:szCs w:val="24"/>
          <w:lang w:val="cy-GB"/>
        </w:rPr>
        <w:t xml:space="preserve">, gwelsom newidiadau nodedig yn lefelau ymgysylltiad myfyrwyr. Roedd niferoedd graddfa Leuven yn nodi lefelau uwch o ffocws a chyfranogiad yn ystod gweithgareddau dosbarth, gan awgrymu bod cyflwyno gweithgareddau meddwl wedi cael </w:t>
      </w:r>
      <w:r w:rsidRPr="0081218C">
        <w:rPr>
          <w:rFonts w:asciiTheme="minorHAnsi" w:hAnsiTheme="minorHAnsi" w:cstheme="minorHAnsi"/>
          <w:bCs/>
          <w:sz w:val="24"/>
          <w:szCs w:val="24"/>
          <w:lang w:val="cy-GB"/>
        </w:rPr>
        <w:lastRenderedPageBreak/>
        <w:t xml:space="preserve">effaith gadarnhaol ar ymgysylltiad myfyrwyr. Yn ogystal, roedd myfyrwyr yn ymddangos yn fwy cymhellol ac yn awyddus i gymryd rhan mewn trafodaethau ystafell ddosbarth, gan ddangos mwy o ymdeimlad o berchnogaeth a brwdfrydedd dros eu dysgu. </w:t>
      </w:r>
    </w:p>
    <w:p w14:paraId="03171B4C" w14:textId="21FE8C81"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 xml:space="preserve">Er bod anghysondebau yn y niferoedd ymgysylltu, mae’n bwysig ystyried y </w:t>
      </w:r>
      <w:r>
        <w:rPr>
          <w:rFonts w:asciiTheme="minorHAnsi" w:hAnsiTheme="minorHAnsi" w:cstheme="minorHAnsi"/>
          <w:bCs/>
          <w:sz w:val="24"/>
          <w:szCs w:val="24"/>
          <w:lang w:val="cy-GB"/>
        </w:rPr>
        <w:t>d</w:t>
      </w:r>
      <w:r w:rsidRPr="0081218C">
        <w:rPr>
          <w:rFonts w:asciiTheme="minorHAnsi" w:hAnsiTheme="minorHAnsi" w:cstheme="minorHAnsi"/>
          <w:bCs/>
          <w:sz w:val="24"/>
          <w:szCs w:val="24"/>
          <w:lang w:val="cy-GB"/>
        </w:rPr>
        <w:t>asgau medd</w:t>
      </w:r>
      <w:r>
        <w:rPr>
          <w:rFonts w:asciiTheme="minorHAnsi" w:hAnsiTheme="minorHAnsi" w:cstheme="minorHAnsi"/>
          <w:bCs/>
          <w:sz w:val="24"/>
          <w:szCs w:val="24"/>
          <w:lang w:val="cy-GB"/>
        </w:rPr>
        <w:t>ylgarwch</w:t>
      </w:r>
      <w:r w:rsidRPr="0081218C">
        <w:rPr>
          <w:rFonts w:asciiTheme="minorHAnsi" w:hAnsiTheme="minorHAnsi" w:cstheme="minorHAnsi"/>
          <w:bCs/>
          <w:sz w:val="24"/>
          <w:szCs w:val="24"/>
          <w:lang w:val="cy-GB"/>
        </w:rPr>
        <w:t xml:space="preserve"> sy’n cael eu cyflawni</w:t>
      </w:r>
      <w:r>
        <w:rPr>
          <w:rFonts w:asciiTheme="minorHAnsi" w:hAnsiTheme="minorHAnsi" w:cstheme="minorHAnsi"/>
          <w:bCs/>
          <w:sz w:val="24"/>
          <w:szCs w:val="24"/>
          <w:lang w:val="cy-GB"/>
        </w:rPr>
        <w:t xml:space="preserve">. </w:t>
      </w:r>
      <w:r w:rsidRPr="0081218C">
        <w:rPr>
          <w:rFonts w:asciiTheme="minorHAnsi" w:hAnsiTheme="minorHAnsi" w:cstheme="minorHAnsi"/>
          <w:bCs/>
          <w:sz w:val="24"/>
          <w:szCs w:val="24"/>
          <w:lang w:val="cy-GB"/>
        </w:rPr>
        <w:t>Dangosodd ein harsylwadau fod sesiynau ioga statudol yn ennyn lefelau uwch o ymgysylltu o gymharu â gweithgareddau ioga symud</w:t>
      </w:r>
      <w:r>
        <w:rPr>
          <w:rFonts w:asciiTheme="minorHAnsi" w:hAnsiTheme="minorHAnsi" w:cstheme="minorHAnsi"/>
          <w:bCs/>
          <w:sz w:val="24"/>
          <w:szCs w:val="24"/>
          <w:lang w:val="cy-GB"/>
        </w:rPr>
        <w:t>. Dywed rhai</w:t>
      </w:r>
      <w:r w:rsidRPr="0081218C">
        <w:rPr>
          <w:rFonts w:asciiTheme="minorHAnsi" w:hAnsiTheme="minorHAnsi" w:cstheme="minorHAnsi"/>
          <w:bCs/>
          <w:sz w:val="24"/>
          <w:szCs w:val="24"/>
          <w:lang w:val="cy-GB"/>
        </w:rPr>
        <w:t xml:space="preserve"> oherwydd bod angen mwy o reolaeth gan y myfyrwyr ar natur strwythuredig y cyntaf (Jones &amp; Davis, 2019). Roedd strwythur yoga statudol yn cyfyngu ar gyfleoedd i fyfyrwyr gymryd rhan mewn ymddygiad chwareus, a thrwy hynny feithrin amgylchedd mwy ffocws a disgybledig sy’n ffafriol i </w:t>
      </w:r>
      <w:r>
        <w:rPr>
          <w:rFonts w:asciiTheme="minorHAnsi" w:hAnsiTheme="minorHAnsi" w:cstheme="minorHAnsi"/>
          <w:bCs/>
          <w:sz w:val="24"/>
          <w:szCs w:val="24"/>
          <w:lang w:val="cy-GB"/>
        </w:rPr>
        <w:t>ymdawelu cyn rhoi cyfarwyddiadau</w:t>
      </w:r>
      <w:r w:rsidRPr="0081218C">
        <w:rPr>
          <w:rFonts w:asciiTheme="minorHAnsi" w:hAnsiTheme="minorHAnsi" w:cstheme="minorHAnsi"/>
          <w:bCs/>
          <w:sz w:val="24"/>
          <w:szCs w:val="24"/>
          <w:lang w:val="cy-GB"/>
        </w:rPr>
        <w:t xml:space="preserve"> (Brown &amp; Jones, 2018). Fodd bynnag, mae’n werth nodi y gallai ymyriadau syml, megis darparu cyfarwyddiadau clir neu addasu’r gweithgareddau, o bosibl wella lefelau ymgysylltu ar draws gwahanol dasgau med</w:t>
      </w:r>
      <w:r>
        <w:rPr>
          <w:rFonts w:asciiTheme="minorHAnsi" w:hAnsiTheme="minorHAnsi" w:cstheme="minorHAnsi"/>
          <w:bCs/>
          <w:sz w:val="24"/>
          <w:szCs w:val="24"/>
          <w:lang w:val="cy-GB"/>
        </w:rPr>
        <w:t>dylgarwch</w:t>
      </w:r>
      <w:r w:rsidRPr="0081218C">
        <w:rPr>
          <w:rFonts w:asciiTheme="minorHAnsi" w:hAnsiTheme="minorHAnsi" w:cstheme="minorHAnsi"/>
          <w:bCs/>
          <w:sz w:val="24"/>
          <w:szCs w:val="24"/>
          <w:lang w:val="cy-GB"/>
        </w:rPr>
        <w:t xml:space="preserve"> (Garcia &amp; Smith, 2020). Mae'r canfyddiadau hyn yn tanlinellu pwysigrwydd teilwra gweithgareddau meddwl i gyd-fynd â lefelau datblygiadol a hoffterau myfyrwyr er mwyn cael y canlyniadau gorau o ymgysylltu a dysgu.</w:t>
      </w:r>
      <w:r>
        <w:rPr>
          <w:rFonts w:asciiTheme="minorHAnsi" w:hAnsiTheme="minorHAnsi" w:cstheme="minorHAnsi"/>
          <w:bCs/>
          <w:sz w:val="24"/>
          <w:szCs w:val="24"/>
          <w:lang w:val="cy-GB"/>
        </w:rPr>
        <w:t xml:space="preserve"> </w:t>
      </w:r>
    </w:p>
    <w:p w14:paraId="29A390C5" w14:textId="0E94E6D3"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Roedd canfyddiadau’r ymchwil o’r grwpiau ffocws a’r holiaduron ymhlith myfyrwyr yn dangos yn glir ffafriaeth i chwarae gyda thoes fel gweithgaredd a</w:t>
      </w:r>
      <w:r>
        <w:rPr>
          <w:rFonts w:asciiTheme="minorHAnsi" w:hAnsiTheme="minorHAnsi" w:cstheme="minorHAnsi"/>
          <w:bCs/>
          <w:sz w:val="24"/>
          <w:szCs w:val="24"/>
          <w:lang w:val="cy-GB"/>
        </w:rPr>
        <w:t xml:space="preserve">c yn hoff o wnued hyn </w:t>
      </w:r>
      <w:r w:rsidRPr="0081218C">
        <w:rPr>
          <w:rFonts w:asciiTheme="minorHAnsi" w:hAnsiTheme="minorHAnsi" w:cstheme="minorHAnsi"/>
          <w:bCs/>
          <w:sz w:val="24"/>
          <w:szCs w:val="24"/>
          <w:lang w:val="cy-GB"/>
        </w:rPr>
        <w:t>ar gyfer hybu ymlacio a chanolbwyntio</w:t>
      </w:r>
      <w:r>
        <w:rPr>
          <w:rFonts w:asciiTheme="minorHAnsi" w:hAnsiTheme="minorHAnsi" w:cstheme="minorHAnsi"/>
          <w:bCs/>
          <w:sz w:val="24"/>
          <w:szCs w:val="24"/>
          <w:lang w:val="cy-GB"/>
        </w:rPr>
        <w:t xml:space="preserve">. </w:t>
      </w:r>
      <w:r w:rsidRPr="0081218C">
        <w:rPr>
          <w:rFonts w:asciiTheme="minorHAnsi" w:hAnsiTheme="minorHAnsi" w:cstheme="minorHAnsi"/>
          <w:bCs/>
          <w:sz w:val="24"/>
          <w:szCs w:val="24"/>
          <w:lang w:val="cy-GB"/>
        </w:rPr>
        <w:t xml:space="preserve">Dywedodd llawer o fyfyrwyr eu bod yn teimlo’n fwy abl i ganolbwyntio yn ystod cyflwyniadau wrth ymwneud â thoes, gan dynnu tebygrwydd rhwng y gweithgaredd hwn a’r defnydd o ‘fidgets’ ar gyfer ysgogiad synhwyraidd (Jones et al., 2018). Fodd bynnag, daeth gwahaniaeth nodedig i'r amlwg wrth gymharu'r canfyddiadau </w:t>
      </w:r>
      <w:r>
        <w:rPr>
          <w:rFonts w:asciiTheme="minorHAnsi" w:hAnsiTheme="minorHAnsi" w:cstheme="minorHAnsi"/>
          <w:bCs/>
          <w:sz w:val="24"/>
          <w:szCs w:val="24"/>
          <w:lang w:val="cy-GB"/>
        </w:rPr>
        <w:t>grŵpiau ffocws ar</w:t>
      </w:r>
      <w:r w:rsidRPr="0081218C">
        <w:rPr>
          <w:rFonts w:asciiTheme="minorHAnsi" w:hAnsiTheme="minorHAnsi" w:cstheme="minorHAnsi"/>
          <w:bCs/>
          <w:sz w:val="24"/>
          <w:szCs w:val="24"/>
          <w:lang w:val="cy-GB"/>
        </w:rPr>
        <w:t xml:space="preserve"> hyn ag arsylwada</w:t>
      </w:r>
      <w:r>
        <w:rPr>
          <w:rFonts w:asciiTheme="minorHAnsi" w:hAnsiTheme="minorHAnsi" w:cstheme="minorHAnsi"/>
          <w:bCs/>
          <w:sz w:val="24"/>
          <w:szCs w:val="24"/>
          <w:lang w:val="cy-GB"/>
        </w:rPr>
        <w:t>u</w:t>
      </w:r>
      <w:r w:rsidRPr="0081218C">
        <w:rPr>
          <w:rFonts w:asciiTheme="minorHAnsi" w:hAnsiTheme="minorHAnsi" w:cstheme="minorHAnsi"/>
          <w:bCs/>
          <w:sz w:val="24"/>
          <w:szCs w:val="24"/>
          <w:lang w:val="cy-GB"/>
        </w:rPr>
        <w:t xml:space="preserve"> o ymddygiad myfyrwyr.</w:t>
      </w:r>
      <w:r>
        <w:rPr>
          <w:rFonts w:asciiTheme="minorHAnsi" w:hAnsiTheme="minorHAnsi" w:cstheme="minorHAnsi"/>
          <w:bCs/>
          <w:sz w:val="24"/>
          <w:szCs w:val="24"/>
          <w:lang w:val="cy-GB"/>
        </w:rPr>
        <w:t xml:space="preserve"> Da</w:t>
      </w:r>
      <w:r w:rsidRPr="0081218C">
        <w:rPr>
          <w:rFonts w:asciiTheme="minorHAnsi" w:hAnsiTheme="minorHAnsi" w:cstheme="minorHAnsi"/>
          <w:bCs/>
          <w:sz w:val="24"/>
          <w:szCs w:val="24"/>
          <w:lang w:val="cy-GB"/>
        </w:rPr>
        <w:t>tgelodd arsylwadau fod myfyrwyr yn canolbwyntio’n ormodol ar y profiad cyffyrddol o drin y toes yn hytrach nag ar y cynnwys academaidd a oedd yn cael ei gyflwyno</w:t>
      </w:r>
      <w:r>
        <w:rPr>
          <w:rFonts w:asciiTheme="minorHAnsi" w:hAnsiTheme="minorHAnsi" w:cstheme="minorHAnsi"/>
          <w:bCs/>
          <w:sz w:val="24"/>
          <w:szCs w:val="24"/>
          <w:lang w:val="cy-GB"/>
        </w:rPr>
        <w:t xml:space="preserve">. </w:t>
      </w:r>
      <w:r w:rsidRPr="0081218C">
        <w:rPr>
          <w:rFonts w:asciiTheme="minorHAnsi" w:hAnsiTheme="minorHAnsi" w:cstheme="minorHAnsi"/>
          <w:bCs/>
          <w:sz w:val="24"/>
          <w:szCs w:val="24"/>
          <w:lang w:val="cy-GB"/>
        </w:rPr>
        <w:t xml:space="preserve">Mae'r arsylwi hwn yn </w:t>
      </w:r>
      <w:r>
        <w:rPr>
          <w:rFonts w:asciiTheme="minorHAnsi" w:hAnsiTheme="minorHAnsi" w:cstheme="minorHAnsi"/>
          <w:bCs/>
          <w:sz w:val="24"/>
          <w:szCs w:val="24"/>
          <w:lang w:val="cy-GB"/>
        </w:rPr>
        <w:t>wahanol i’r</w:t>
      </w:r>
      <w:r w:rsidRPr="0081218C">
        <w:rPr>
          <w:rFonts w:asciiTheme="minorHAnsi" w:hAnsiTheme="minorHAnsi" w:cstheme="minorHAnsi"/>
          <w:bCs/>
          <w:sz w:val="24"/>
          <w:szCs w:val="24"/>
          <w:lang w:val="cy-GB"/>
        </w:rPr>
        <w:t xml:space="preserve"> canfyddiadau myfyrwyr o effeithiolrwydd chwarae toes a'u hymwneud gwirioneddol â thasgau dysgu. Mae’r anghysondeb rhwng canfyddiadau ac ymddygiad a arsylwyd yn amlygu pwysigrwydd gwerthuso’n feirniadol effeithiolrwydd </w:t>
      </w:r>
      <w:r>
        <w:rPr>
          <w:rFonts w:asciiTheme="minorHAnsi" w:hAnsiTheme="minorHAnsi" w:cstheme="minorHAnsi"/>
          <w:bCs/>
          <w:sz w:val="24"/>
          <w:szCs w:val="24"/>
          <w:lang w:val="cy-GB"/>
        </w:rPr>
        <w:t>gweithgareddau. Yr oedd hi’n amwlg mwynhaodd y ddisgblion chwarae gyda’r toes a nad oedd yn arferol iddynt ond ni chafodd effaith gadarnhaol ar ei ymgysylltiad fel y dwyed</w:t>
      </w:r>
      <w:r w:rsidRPr="0081218C">
        <w:rPr>
          <w:rFonts w:asciiTheme="minorHAnsi" w:hAnsiTheme="minorHAnsi" w:cstheme="minorHAnsi"/>
          <w:bCs/>
          <w:sz w:val="24"/>
          <w:szCs w:val="24"/>
          <w:lang w:val="cy-GB"/>
        </w:rPr>
        <w:t xml:space="preserve">. Er y gall myfyrwyr weld rhai gweithgareddau fel rhai buddiol ar gyfer hybu ffocws ac ymlacio, mae'n hanfodol cadarnhau'r canfyddiadau hyn â thystiolaeth empirig i sicrhau eu heffeithiolrwydd wrth </w:t>
      </w:r>
      <w:r w:rsidRPr="0081218C">
        <w:rPr>
          <w:rFonts w:asciiTheme="minorHAnsi" w:hAnsiTheme="minorHAnsi" w:cstheme="minorHAnsi"/>
          <w:bCs/>
          <w:sz w:val="24"/>
          <w:szCs w:val="24"/>
          <w:lang w:val="cy-GB"/>
        </w:rPr>
        <w:lastRenderedPageBreak/>
        <w:t>gefnogi canlyniadau dysgu. Mae hyn yn tanlinellu arwyddocâd defnyddio dulliau lluosog, megis grwpiau ffocws, holiaduron, ac arsylwadau uniongyrchol, mewn ymchwil addysgol i ddarparu dealltwriaeth gynhwysfawr o brofiadau ac ymddygiadau myfyrwyr yn yr ystafell ddosbarth. Trwy driongli data o ffynonellau amrywiol, gall addysgwyr ac ymchwilwyr wneud penderfyniadau gwybodus ynghylch gweithredu ymyriadau ystafell ddosbarth gyda'r nod o wella ymgysylltiad myfyrwyr ac effeithiolrwydd dysgu.</w:t>
      </w:r>
    </w:p>
    <w:p w14:paraId="75FC9682" w14:textId="62739DC4" w:rsid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Mae'r canfyddiadau hyn yn awgrymu y gall ymgorffori gweithgareddau med</w:t>
      </w:r>
      <w:r>
        <w:rPr>
          <w:rFonts w:asciiTheme="minorHAnsi" w:hAnsiTheme="minorHAnsi" w:cstheme="minorHAnsi"/>
          <w:bCs/>
          <w:sz w:val="24"/>
          <w:szCs w:val="24"/>
          <w:lang w:val="cy-GB"/>
        </w:rPr>
        <w:t>dylgarwch</w:t>
      </w:r>
      <w:r w:rsidRPr="0081218C">
        <w:rPr>
          <w:rFonts w:asciiTheme="minorHAnsi" w:hAnsiTheme="minorHAnsi" w:cstheme="minorHAnsi"/>
          <w:bCs/>
          <w:sz w:val="24"/>
          <w:szCs w:val="24"/>
          <w:lang w:val="cy-GB"/>
        </w:rPr>
        <w:t xml:space="preserve"> yn y cwricwlwm wella ymgysylltiad myfyrwyr a hyrwyddo amgylchedd dysgu cadarnhaol</w:t>
      </w:r>
      <w:r>
        <w:rPr>
          <w:rFonts w:asciiTheme="minorHAnsi" w:hAnsiTheme="minorHAnsi" w:cstheme="minorHAnsi"/>
          <w:bCs/>
          <w:sz w:val="24"/>
          <w:szCs w:val="24"/>
          <w:lang w:val="cy-GB"/>
        </w:rPr>
        <w:t xml:space="preserve"> ond ei fod yn debynol o’r ddosbarth a’r gweithgareddau a defnyddir. </w:t>
      </w:r>
    </w:p>
    <w:p w14:paraId="23301320" w14:textId="0AD05940"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Casgliad</w:t>
      </w:r>
    </w:p>
    <w:p w14:paraId="5C447939" w14:textId="6CA7F4D8" w:rsidR="00A53E23" w:rsidRPr="0081218C" w:rsidRDefault="0081218C" w:rsidP="00AF28E5">
      <w:pPr>
        <w:spacing w:before="120" w:after="120" w:line="360" w:lineRule="auto"/>
        <w:rPr>
          <w:rFonts w:asciiTheme="minorHAnsi" w:hAnsiTheme="minorHAnsi" w:cstheme="minorHAnsi"/>
          <w:bCs/>
          <w:sz w:val="24"/>
          <w:szCs w:val="24"/>
          <w:lang w:val="cy-GB"/>
        </w:rPr>
      </w:pPr>
      <w:r w:rsidRPr="0081218C">
        <w:rPr>
          <w:rFonts w:asciiTheme="minorHAnsi" w:hAnsiTheme="minorHAnsi" w:cstheme="minorHAnsi"/>
          <w:bCs/>
          <w:sz w:val="24"/>
          <w:szCs w:val="24"/>
          <w:lang w:val="cy-GB"/>
        </w:rPr>
        <w:t xml:space="preserve">I gloi, mae'r traethawd hwn wedi archwilio effaith gweithgareddau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megis ioga, myfyrdod, a chwarae synhwyraidd, ar ymgysylltiad a lles plant mewn lleoliadau addysgol. Trwy archwilio wahanol ddulliau ymchwil, gan gynnwys </w:t>
      </w:r>
      <w:r>
        <w:rPr>
          <w:rFonts w:asciiTheme="minorHAnsi" w:hAnsiTheme="minorHAnsi" w:cstheme="minorHAnsi"/>
          <w:bCs/>
          <w:sz w:val="24"/>
          <w:szCs w:val="24"/>
          <w:lang w:val="cy-GB"/>
        </w:rPr>
        <w:t>holiaduron</w:t>
      </w:r>
      <w:r w:rsidRPr="0081218C">
        <w:rPr>
          <w:rFonts w:asciiTheme="minorHAnsi" w:hAnsiTheme="minorHAnsi" w:cstheme="minorHAnsi"/>
          <w:bCs/>
          <w:sz w:val="24"/>
          <w:szCs w:val="24"/>
          <w:lang w:val="cy-GB"/>
        </w:rPr>
        <w:t xml:space="preserve">, grwpiau ffocws, ac arsylwadau uniongyrchol, rydym wedi cael mewnwelediadau gwerthfawr i fuddion ac effeithiau gweithgareddau hyn ar ymgysylltiad myfyrwyr, canolbwyntio, a rheoleiddio emosiynol. Mae’r canfyddiadau’n tanlinellu pwysigrwydd ystyried canfyddiadau  ac arsylwadau wrth werthuso effeithiolrwydd ymyriadau ystafell ddosbarth sydd wedi’u hanelu at hyrwyddo llesiant myfyrwyr a chanlyniadau dysgu. Er y gall myfyrwyr fynegi agweddau cadarnhaol tuag at weithgareddau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megis chwarae gyda thoes neu gymryd rhan mewn sesiynau ioga, mae ein harsylwadau wedi datgelu naws yn eu lefelau ymgysylltu a’u hymatebion ymddygiadol, gan amlygu’r angen am werthuso beirniadol a gwneud penderfyniadau ar sail tystiolaeth mewn ymarfer addysgol. . Trwy drosoli cyfuniad o fethodolegau ymchwil a thriongli data o ffynonellau amrywiol. Wrth symud ymlaen, mae angen ymchwil pellach i archwilio effeithiau hirdymor gweithgareddau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ar ddatblygiad gwybyddol, emosiynol a chymdeithasol plant. Yn y pen draw, drwy roi blaenoriaeth i lesiant cyfannol myfyrwyr a meithrin amgylcheddau sy’n hybu </w:t>
      </w:r>
      <w:r>
        <w:rPr>
          <w:rFonts w:asciiTheme="minorHAnsi" w:hAnsiTheme="minorHAnsi" w:cstheme="minorHAnsi"/>
          <w:bCs/>
          <w:sz w:val="24"/>
          <w:szCs w:val="24"/>
          <w:lang w:val="cy-GB"/>
        </w:rPr>
        <w:t>meddylgarwch</w:t>
      </w:r>
      <w:r w:rsidRPr="0081218C">
        <w:rPr>
          <w:rFonts w:asciiTheme="minorHAnsi" w:hAnsiTheme="minorHAnsi" w:cstheme="minorHAnsi"/>
          <w:bCs/>
          <w:sz w:val="24"/>
          <w:szCs w:val="24"/>
          <w:lang w:val="cy-GB"/>
        </w:rPr>
        <w:t xml:space="preserve"> a hunanymwybyddiaeth, gallwn greu lleoliadau addysgol cynhwysol a chefnogol sy’n grymuso plant i ffynnu yn academaidd, yn gymdeithasol ac yn emosiynol.</w:t>
      </w:r>
    </w:p>
    <w:p w14:paraId="6694AD7C" w14:textId="15A91FCA"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 xml:space="preserve">Argymhelion </w:t>
      </w:r>
    </w:p>
    <w:p w14:paraId="7E6E9F3A" w14:textId="3618EF5E" w:rsidR="0074155F" w:rsidRDefault="0074155F" w:rsidP="00AF28E5">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lastRenderedPageBreak/>
        <w:t>Mewn fersiynau o’r ymchwil hwn yn y dyfodol, rwy’n argymell ymestyn hyd yr astudiaeth i ganiatáu ar gyfer dadansoddiad mwy cynhwysfawr o effaith y sesiynau ar ddeilliannau myfyrwyr. O</w:t>
      </w:r>
      <w:r>
        <w:rPr>
          <w:rFonts w:asciiTheme="minorHAnsi" w:hAnsiTheme="minorHAnsi" w:cstheme="minorHAnsi"/>
          <w:bCs/>
          <w:sz w:val="24"/>
          <w:szCs w:val="24"/>
          <w:lang w:val="cy-GB"/>
        </w:rPr>
        <w:t xml:space="preserve"> ganlyniad,</w:t>
      </w:r>
      <w:r w:rsidRPr="0074155F">
        <w:rPr>
          <w:rFonts w:asciiTheme="minorHAnsi" w:hAnsiTheme="minorHAnsi" w:cstheme="minorHAnsi"/>
          <w:bCs/>
          <w:sz w:val="24"/>
          <w:szCs w:val="24"/>
          <w:lang w:val="cy-GB"/>
        </w:rPr>
        <w:t xml:space="preserve"> cyfyngiadau amser a osodwyd gan amserlen y cyrsiau TAR, cyfyngwyd yr ymchwil i gyfnod o rai wythnosau. Er bod yr amserlen hon wedi rhoi rhai mewnwelediadau cychwynnol i effeithiau’r sesiynau ar ymgysylltiad disgyblion, byddai cyfnod ymchwil hirach yn rhoi dealltwriaeth ddyfnach o’r ffenomenau a arsylwyd</w:t>
      </w:r>
      <w:r>
        <w:rPr>
          <w:rFonts w:asciiTheme="minorHAnsi" w:hAnsiTheme="minorHAnsi" w:cstheme="minorHAnsi"/>
          <w:bCs/>
          <w:sz w:val="24"/>
          <w:szCs w:val="24"/>
          <w:lang w:val="cy-GB"/>
        </w:rPr>
        <w:t>.</w:t>
      </w:r>
    </w:p>
    <w:p w14:paraId="23C774C0" w14:textId="62878B5A" w:rsidR="0074155F" w:rsidRDefault="0074155F" w:rsidP="00AF28E5">
      <w:pPr>
        <w:spacing w:before="120" w:after="120" w:line="360" w:lineRule="auto"/>
        <w:rPr>
          <w:rFonts w:asciiTheme="minorHAnsi" w:hAnsiTheme="minorHAnsi" w:cstheme="minorHAnsi"/>
          <w:bCs/>
          <w:sz w:val="24"/>
          <w:szCs w:val="24"/>
          <w:lang w:val="cy-GB"/>
        </w:rPr>
      </w:pPr>
      <w:r w:rsidRPr="0074155F">
        <w:rPr>
          <w:rFonts w:asciiTheme="minorHAnsi" w:hAnsiTheme="minorHAnsi" w:cstheme="minorHAnsi"/>
          <w:bCs/>
          <w:sz w:val="24"/>
          <w:szCs w:val="24"/>
          <w:lang w:val="cy-GB"/>
        </w:rPr>
        <w:t xml:space="preserve">Mae sicrhau maint sampl cadarn a chynrychioldeb yn hanfodol ar gyfer dilysrwydd a chyffredinolrwydd canfyddiadau ymchwil. Trwy ehangu maint y sampl a sicrhau ei fod yn adlewyrchu'r boblogaeth o ddiddordeb yn gywir, gall ymchwilwyr wella dibynadwyedd a chymhwysedd eu canlyniadau. Gall </w:t>
      </w:r>
      <w:r>
        <w:rPr>
          <w:rFonts w:asciiTheme="minorHAnsi" w:hAnsiTheme="minorHAnsi" w:cstheme="minorHAnsi"/>
          <w:bCs/>
          <w:sz w:val="24"/>
          <w:szCs w:val="24"/>
          <w:lang w:val="cy-GB"/>
        </w:rPr>
        <w:t>cynnal y ymchwil yma mewn ysgol ddinesig rhoi fwy o dibanadwyedd i’r ymchwil gan canitau sampl o bob demograffig er mwyn gasglu ystod ehangach o satbwyntiau a phrofiadau.</w:t>
      </w:r>
    </w:p>
    <w:p w14:paraId="026D2735" w14:textId="38BE7316" w:rsidR="0074155F" w:rsidRDefault="0074155F" w:rsidP="00AF28E5">
      <w:pPr>
        <w:spacing w:before="120" w:after="120" w:line="360" w:lineRule="auto"/>
        <w:rPr>
          <w:rFonts w:asciiTheme="minorHAnsi" w:hAnsiTheme="minorHAnsi" w:cstheme="minorHAnsi"/>
          <w:bCs/>
          <w:sz w:val="24"/>
          <w:szCs w:val="24"/>
          <w:lang w:val="cy-GB"/>
        </w:rPr>
      </w:pPr>
      <w:r>
        <w:rPr>
          <w:rFonts w:asciiTheme="minorHAnsi" w:hAnsiTheme="minorHAnsi" w:cstheme="minorHAnsi"/>
          <w:bCs/>
          <w:sz w:val="24"/>
          <w:szCs w:val="24"/>
          <w:lang w:val="cy-GB"/>
        </w:rPr>
        <w:t xml:space="preserve">Y tro nesaf, byddwn y </w:t>
      </w:r>
      <w:r w:rsidRPr="0074155F">
        <w:rPr>
          <w:rFonts w:asciiTheme="minorHAnsi" w:hAnsiTheme="minorHAnsi" w:cstheme="minorHAnsi"/>
          <w:bCs/>
          <w:sz w:val="24"/>
          <w:szCs w:val="24"/>
          <w:lang w:val="cy-GB"/>
        </w:rPr>
        <w:t xml:space="preserve"> gynnal grwpiau ffocws ochr yn ochr ag arolygon holiadur, gallwch driongli ffynonellau data a chael dealltwriaeth ddyfnach o brofiadau a barn cyfranogwyr. </w:t>
      </w:r>
      <w:r>
        <w:rPr>
          <w:rFonts w:asciiTheme="minorHAnsi" w:hAnsiTheme="minorHAnsi" w:cstheme="minorHAnsi"/>
          <w:bCs/>
          <w:sz w:val="24"/>
          <w:szCs w:val="24"/>
          <w:lang w:val="cy-GB"/>
        </w:rPr>
        <w:t>Mae</w:t>
      </w:r>
      <w:r w:rsidRPr="0074155F">
        <w:rPr>
          <w:rFonts w:asciiTheme="minorHAnsi" w:hAnsiTheme="minorHAnsi" w:cstheme="minorHAnsi"/>
          <w:bCs/>
          <w:sz w:val="24"/>
          <w:szCs w:val="24"/>
          <w:lang w:val="cy-GB"/>
        </w:rPr>
        <w:t xml:space="preserve"> cyfyngiadau amser fod wedi atal cynnwys grwpiau ffocws yn </w:t>
      </w:r>
      <w:r>
        <w:rPr>
          <w:rFonts w:asciiTheme="minorHAnsi" w:hAnsiTheme="minorHAnsi" w:cstheme="minorHAnsi"/>
          <w:bCs/>
          <w:sz w:val="24"/>
          <w:szCs w:val="24"/>
          <w:lang w:val="cy-GB"/>
        </w:rPr>
        <w:t>yr</w:t>
      </w:r>
      <w:r w:rsidRPr="0074155F">
        <w:rPr>
          <w:rFonts w:asciiTheme="minorHAnsi" w:hAnsiTheme="minorHAnsi" w:cstheme="minorHAnsi"/>
          <w:bCs/>
          <w:sz w:val="24"/>
          <w:szCs w:val="24"/>
          <w:lang w:val="cy-GB"/>
        </w:rPr>
        <w:t xml:space="preserve"> ymchwil</w:t>
      </w:r>
      <w:r>
        <w:rPr>
          <w:rFonts w:asciiTheme="minorHAnsi" w:hAnsiTheme="minorHAnsi" w:cstheme="minorHAnsi"/>
          <w:bCs/>
          <w:sz w:val="24"/>
          <w:szCs w:val="24"/>
          <w:lang w:val="cy-GB"/>
        </w:rPr>
        <w:t>.</w:t>
      </w:r>
      <w:r w:rsidRPr="0074155F">
        <w:rPr>
          <w:rFonts w:asciiTheme="minorHAnsi" w:hAnsiTheme="minorHAnsi" w:cstheme="minorHAnsi"/>
          <w:bCs/>
          <w:sz w:val="24"/>
          <w:szCs w:val="24"/>
          <w:lang w:val="cy-GB"/>
        </w:rPr>
        <w:t xml:space="preserve"> </w:t>
      </w:r>
      <w:r>
        <w:rPr>
          <w:rFonts w:asciiTheme="minorHAnsi" w:hAnsiTheme="minorHAnsi" w:cstheme="minorHAnsi"/>
          <w:bCs/>
          <w:sz w:val="24"/>
          <w:szCs w:val="24"/>
          <w:lang w:val="cy-GB"/>
        </w:rPr>
        <w:t>G</w:t>
      </w:r>
      <w:r w:rsidRPr="0074155F">
        <w:rPr>
          <w:rFonts w:asciiTheme="minorHAnsi" w:hAnsiTheme="minorHAnsi" w:cstheme="minorHAnsi"/>
          <w:bCs/>
          <w:sz w:val="24"/>
          <w:szCs w:val="24"/>
          <w:lang w:val="cy-GB"/>
        </w:rPr>
        <w:t xml:space="preserve">all blaenoriaethu digon o amser ar gyfer cynllunio a gweithredu sesiynau grŵp ffocws mewn astudiaethau yn y dyfodol wella dilysrwydd a chynhwysedd eich canfyddiadau. Yn ogystal, mae </w:t>
      </w:r>
      <w:r>
        <w:rPr>
          <w:rFonts w:asciiTheme="minorHAnsi" w:hAnsiTheme="minorHAnsi" w:cstheme="minorHAnsi"/>
          <w:bCs/>
          <w:sz w:val="24"/>
          <w:szCs w:val="24"/>
          <w:lang w:val="cy-GB"/>
        </w:rPr>
        <w:t>cynnal</w:t>
      </w:r>
      <w:r w:rsidRPr="0074155F">
        <w:rPr>
          <w:rFonts w:asciiTheme="minorHAnsi" w:hAnsiTheme="minorHAnsi" w:cstheme="minorHAnsi"/>
          <w:bCs/>
          <w:sz w:val="24"/>
          <w:szCs w:val="24"/>
          <w:lang w:val="cy-GB"/>
        </w:rPr>
        <w:t xml:space="preserve"> grwpiau ffocws yn caniatáu rhyngweithio amser </w:t>
      </w:r>
      <w:r>
        <w:rPr>
          <w:rFonts w:asciiTheme="minorHAnsi" w:hAnsiTheme="minorHAnsi" w:cstheme="minorHAnsi"/>
          <w:bCs/>
          <w:sz w:val="24"/>
          <w:szCs w:val="24"/>
          <w:lang w:val="cy-GB"/>
        </w:rPr>
        <w:t>go iawn</w:t>
      </w:r>
      <w:r w:rsidRPr="0074155F">
        <w:rPr>
          <w:rFonts w:asciiTheme="minorHAnsi" w:hAnsiTheme="minorHAnsi" w:cstheme="minorHAnsi"/>
          <w:bCs/>
          <w:sz w:val="24"/>
          <w:szCs w:val="24"/>
          <w:lang w:val="cy-GB"/>
        </w:rPr>
        <w:t xml:space="preserve"> ac </w:t>
      </w:r>
      <w:r>
        <w:rPr>
          <w:rFonts w:asciiTheme="minorHAnsi" w:hAnsiTheme="minorHAnsi" w:cstheme="minorHAnsi"/>
          <w:bCs/>
          <w:sz w:val="24"/>
          <w:szCs w:val="24"/>
          <w:lang w:val="cy-GB"/>
        </w:rPr>
        <w:t>yn dderbyn</w:t>
      </w:r>
      <w:r w:rsidRPr="0074155F">
        <w:rPr>
          <w:rFonts w:asciiTheme="minorHAnsi" w:hAnsiTheme="minorHAnsi" w:cstheme="minorHAnsi"/>
          <w:bCs/>
          <w:sz w:val="24"/>
          <w:szCs w:val="24"/>
          <w:lang w:val="cy-GB"/>
        </w:rPr>
        <w:t xml:space="preserve"> ymatebion</w:t>
      </w:r>
      <w:r>
        <w:rPr>
          <w:rFonts w:asciiTheme="minorHAnsi" w:hAnsiTheme="minorHAnsi" w:cstheme="minorHAnsi"/>
          <w:bCs/>
          <w:sz w:val="24"/>
          <w:szCs w:val="24"/>
          <w:lang w:val="cy-GB"/>
        </w:rPr>
        <w:t xml:space="preserve"> eglur sydd yn helpu wrth dadansoddi data</w:t>
      </w:r>
      <w:r w:rsidRPr="0074155F">
        <w:rPr>
          <w:rFonts w:asciiTheme="minorHAnsi" w:hAnsiTheme="minorHAnsi" w:cstheme="minorHAnsi"/>
          <w:bCs/>
          <w:sz w:val="24"/>
          <w:szCs w:val="24"/>
          <w:lang w:val="cy-GB"/>
        </w:rPr>
        <w:t>.</w:t>
      </w:r>
    </w:p>
    <w:p w14:paraId="1005B03A" w14:textId="7AF75B18" w:rsidR="00A53E23" w:rsidRPr="00AF28E5" w:rsidRDefault="00A53E23" w:rsidP="00AF28E5">
      <w:pPr>
        <w:spacing w:before="120" w:after="120" w:line="360" w:lineRule="auto"/>
        <w:rPr>
          <w:rFonts w:asciiTheme="minorHAnsi" w:hAnsiTheme="minorHAnsi" w:cstheme="minorHAnsi"/>
          <w:b/>
          <w:sz w:val="24"/>
          <w:szCs w:val="24"/>
          <w:u w:val="single"/>
          <w:lang w:val="cy-GB"/>
        </w:rPr>
      </w:pPr>
      <w:r w:rsidRPr="00AF28E5">
        <w:rPr>
          <w:rFonts w:asciiTheme="minorHAnsi" w:hAnsiTheme="minorHAnsi" w:cstheme="minorHAnsi"/>
          <w:b/>
          <w:sz w:val="24"/>
          <w:szCs w:val="24"/>
          <w:u w:val="single"/>
          <w:lang w:val="cy-GB"/>
        </w:rPr>
        <w:t xml:space="preserve">Rhestr Gyferirio </w:t>
      </w:r>
    </w:p>
    <w:p w14:paraId="1F258D4C" w14:textId="77777777" w:rsidR="0081218C" w:rsidRPr="0074155F" w:rsidRDefault="0081218C" w:rsidP="00AF28E5">
      <w:pPr>
        <w:spacing w:line="360" w:lineRule="auto"/>
        <w:rPr>
          <w:rFonts w:asciiTheme="minorHAnsi" w:hAnsiTheme="minorHAnsi" w:cstheme="minorHAnsi"/>
          <w:sz w:val="24"/>
          <w:szCs w:val="24"/>
          <w:lang w:val="cy-GB"/>
        </w:rPr>
      </w:pPr>
    </w:p>
    <w:p w14:paraId="7EAA56E6" w14:textId="07C58AEA"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Adle,P.A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Adle,P</w:t>
      </w:r>
      <w:proofErr w:type="spellEnd"/>
      <w:r>
        <w:rPr>
          <w:rFonts w:ascii="Segoe UI" w:hAnsi="Segoe UI" w:cs="Segoe UI"/>
          <w:color w:val="0D0D0D"/>
          <w:sz w:val="24"/>
          <w:szCs w:val="24"/>
        </w:rPr>
        <w:t>. (1994)</w:t>
      </w:r>
      <w:r>
        <w:rPr>
          <w:rFonts w:ascii="Segoe UI" w:hAnsi="Segoe UI" w:cs="Segoe UI"/>
          <w:i/>
          <w:iCs/>
          <w:color w:val="0D0D0D"/>
          <w:sz w:val="24"/>
          <w:szCs w:val="24"/>
        </w:rPr>
        <w:t xml:space="preserve"> Observational techniques. </w:t>
      </w:r>
      <w:proofErr w:type="spellStart"/>
      <w:proofErr w:type="gramStart"/>
      <w:r>
        <w:rPr>
          <w:rFonts w:ascii="Segoe UI" w:hAnsi="Segoe UI" w:cs="Segoe UI"/>
          <w:color w:val="0D0D0D"/>
          <w:sz w:val="24"/>
          <w:szCs w:val="24"/>
        </w:rPr>
        <w:t>CA:Sage</w:t>
      </w:r>
      <w:proofErr w:type="spellEnd"/>
      <w:proofErr w:type="gramEnd"/>
      <w:r>
        <w:rPr>
          <w:rFonts w:ascii="Segoe UI" w:hAnsi="Segoe UI" w:cs="Segoe UI"/>
          <w:color w:val="0D0D0D"/>
          <w:sz w:val="24"/>
          <w:szCs w:val="24"/>
        </w:rPr>
        <w:t xml:space="preserve"> Publications</w:t>
      </w:r>
    </w:p>
    <w:p w14:paraId="67D4C1E5" w14:textId="77777777" w:rsidR="0081218C" w:rsidRDefault="0081218C" w:rsidP="00AF28E5">
      <w:pPr>
        <w:spacing w:line="360" w:lineRule="auto"/>
        <w:rPr>
          <w:rFonts w:ascii="Segoe UI" w:hAnsi="Segoe UI" w:cs="Segoe UI"/>
          <w:i/>
          <w:iCs/>
          <w:color w:val="0D0D0D"/>
          <w:sz w:val="24"/>
          <w:szCs w:val="24"/>
        </w:rPr>
      </w:pPr>
      <w:proofErr w:type="spellStart"/>
      <w:proofErr w:type="gramStart"/>
      <w:r>
        <w:rPr>
          <w:rFonts w:ascii="Segoe UI" w:hAnsi="Segoe UI" w:cs="Segoe UI"/>
          <w:color w:val="0D0D0D"/>
          <w:sz w:val="24"/>
          <w:szCs w:val="24"/>
        </w:rPr>
        <w:t>Angrosino,M</w:t>
      </w:r>
      <w:proofErr w:type="gramEnd"/>
      <w:r>
        <w:rPr>
          <w:rFonts w:ascii="Segoe UI" w:hAnsi="Segoe UI" w:cs="Segoe UI"/>
          <w:color w:val="0D0D0D"/>
          <w:sz w:val="24"/>
          <w:szCs w:val="24"/>
        </w:rPr>
        <w:t>.V</w:t>
      </w:r>
      <w:proofErr w:type="spellEnd"/>
      <w:r>
        <w:rPr>
          <w:rFonts w:ascii="Segoe UI" w:hAnsi="Segoe UI" w:cs="Segoe UI"/>
          <w:color w:val="0D0D0D"/>
          <w:sz w:val="24"/>
          <w:szCs w:val="24"/>
        </w:rPr>
        <w:t xml:space="preserve"> (2007) </w:t>
      </w:r>
      <w:r>
        <w:rPr>
          <w:rFonts w:ascii="Segoe UI" w:hAnsi="Segoe UI" w:cs="Segoe UI"/>
          <w:i/>
          <w:iCs/>
          <w:color w:val="0D0D0D"/>
          <w:sz w:val="24"/>
          <w:szCs w:val="24"/>
        </w:rPr>
        <w:t xml:space="preserve">Doing ethnographic and observational research. </w:t>
      </w:r>
      <w:proofErr w:type="spellStart"/>
      <w:proofErr w:type="gramStart"/>
      <w:r>
        <w:rPr>
          <w:rFonts w:ascii="Segoe UI" w:hAnsi="Segoe UI" w:cs="Segoe UI"/>
          <w:i/>
          <w:iCs/>
          <w:color w:val="0D0D0D"/>
          <w:sz w:val="24"/>
          <w:szCs w:val="24"/>
        </w:rPr>
        <w:t>CA:Sage</w:t>
      </w:r>
      <w:proofErr w:type="spellEnd"/>
      <w:proofErr w:type="gramEnd"/>
      <w:r>
        <w:rPr>
          <w:rFonts w:ascii="Segoe UI" w:hAnsi="Segoe UI" w:cs="Segoe UI"/>
          <w:i/>
          <w:iCs/>
          <w:color w:val="0D0D0D"/>
          <w:sz w:val="24"/>
          <w:szCs w:val="24"/>
        </w:rPr>
        <w:t xml:space="preserve"> Productions</w:t>
      </w:r>
    </w:p>
    <w:p w14:paraId="681F5045"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Babbie,E</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(2016) </w:t>
      </w:r>
      <w:r>
        <w:rPr>
          <w:rFonts w:ascii="Segoe UI" w:hAnsi="Segoe UI" w:cs="Segoe UI"/>
          <w:i/>
          <w:iCs/>
          <w:color w:val="0D0D0D"/>
          <w:sz w:val="24"/>
          <w:szCs w:val="24"/>
        </w:rPr>
        <w:t>The practice of social research</w:t>
      </w:r>
      <w:r>
        <w:rPr>
          <w:rFonts w:ascii="Segoe UI" w:hAnsi="Segoe UI" w:cs="Segoe UI"/>
          <w:color w:val="0D0D0D"/>
          <w:sz w:val="24"/>
          <w:szCs w:val="24"/>
        </w:rPr>
        <w:t>. Cengage Learning</w:t>
      </w:r>
    </w:p>
    <w:p w14:paraId="14575E5B" w14:textId="77777777" w:rsidR="0081218C" w:rsidRPr="0074155F" w:rsidRDefault="0081218C" w:rsidP="00A755F9">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Barrick,A (2019) </w:t>
      </w:r>
      <w:r w:rsidRPr="0074155F">
        <w:rPr>
          <w:rFonts w:asciiTheme="minorHAnsi" w:hAnsiTheme="minorHAnsi" w:cstheme="minorHAnsi"/>
          <w:i/>
          <w:iCs/>
          <w:sz w:val="24"/>
          <w:szCs w:val="24"/>
          <w:lang w:val="cy-GB"/>
        </w:rPr>
        <w:t>Mindfulness and the Effectiveness in the classroom.</w:t>
      </w:r>
      <w:r w:rsidRPr="0074155F">
        <w:rPr>
          <w:rFonts w:asciiTheme="minorHAnsi" w:hAnsiTheme="minorHAnsi" w:cstheme="minorHAnsi"/>
          <w:sz w:val="24"/>
          <w:szCs w:val="24"/>
          <w:lang w:val="cy-GB"/>
        </w:rPr>
        <w:t xml:space="preserve"> California State University: Monterey Bay. Ar gael fan hyn:</w:t>
      </w:r>
      <w:r w:rsidRPr="0074155F">
        <w:rPr>
          <w:rFonts w:asciiTheme="minorHAnsi" w:hAnsiTheme="minorHAnsi" w:cstheme="minorHAnsi"/>
          <w:sz w:val="24"/>
          <w:szCs w:val="24"/>
        </w:rPr>
        <w:t xml:space="preserve"> </w:t>
      </w:r>
      <w:hyperlink r:id="rId7" w:history="1">
        <w:r w:rsidRPr="0074155F">
          <w:rPr>
            <w:rStyle w:val="Hyperlink"/>
            <w:rFonts w:asciiTheme="minorHAnsi" w:hAnsiTheme="minorHAnsi" w:cstheme="minorHAnsi"/>
            <w:sz w:val="24"/>
            <w:szCs w:val="24"/>
            <w:lang w:val="cy-GB"/>
          </w:rPr>
          <w:t>https://digitalcommons.csumb.edu/cgi/viewcontent.cgi?article=1444&amp;context=caps_thes_all</w:t>
        </w:r>
      </w:hyperlink>
      <w:r w:rsidRPr="0074155F">
        <w:rPr>
          <w:rFonts w:asciiTheme="minorHAnsi" w:hAnsiTheme="minorHAnsi" w:cstheme="minorHAnsi"/>
          <w:sz w:val="24"/>
          <w:szCs w:val="24"/>
          <w:lang w:val="cy-GB"/>
        </w:rPr>
        <w:t xml:space="preserve"> (Cyrchwyd: 12/03/2024) </w:t>
      </w:r>
    </w:p>
    <w:p w14:paraId="76CB8320" w14:textId="77777777" w:rsidR="0081218C" w:rsidRDefault="0081218C" w:rsidP="00AF28E5">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lastRenderedPageBreak/>
        <w:t xml:space="preserve">Baxter, P &amp; Jack,S. (2008) </w:t>
      </w:r>
      <w:r w:rsidRPr="0074155F">
        <w:rPr>
          <w:rFonts w:asciiTheme="minorHAnsi" w:hAnsiTheme="minorHAnsi" w:cstheme="minorHAnsi"/>
          <w:i/>
          <w:iCs/>
          <w:sz w:val="24"/>
          <w:szCs w:val="24"/>
          <w:lang w:val="cy-GB"/>
        </w:rPr>
        <w:t xml:space="preserve">Qualitative Case Study Methodology: Study Design and Implementation for Novies Researchers. </w:t>
      </w:r>
      <w:r w:rsidRPr="0074155F">
        <w:rPr>
          <w:rFonts w:asciiTheme="minorHAnsi" w:hAnsiTheme="minorHAnsi" w:cstheme="minorHAnsi"/>
          <w:sz w:val="24"/>
          <w:szCs w:val="24"/>
          <w:lang w:val="cy-GB"/>
        </w:rPr>
        <w:t xml:space="preserve">McMaster University:Canada. </w:t>
      </w:r>
    </w:p>
    <w:p w14:paraId="78725A0F" w14:textId="77777777" w:rsidR="0081218C" w:rsidRPr="0074155F" w:rsidRDefault="0081218C" w:rsidP="00A755F9">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BERA (2018) </w:t>
      </w:r>
      <w:r w:rsidRPr="0074155F">
        <w:rPr>
          <w:rFonts w:asciiTheme="minorHAnsi" w:hAnsiTheme="minorHAnsi" w:cstheme="minorHAnsi"/>
          <w:i/>
          <w:iCs/>
          <w:sz w:val="24"/>
          <w:szCs w:val="24"/>
          <w:lang w:val="cy-GB"/>
        </w:rPr>
        <w:t xml:space="preserve">Ethical Guidleines for Educational Resaearch. </w:t>
      </w:r>
      <w:r w:rsidRPr="0074155F">
        <w:rPr>
          <w:rFonts w:asciiTheme="minorHAnsi" w:hAnsiTheme="minorHAnsi" w:cstheme="minorHAnsi"/>
          <w:sz w:val="24"/>
          <w:szCs w:val="24"/>
          <w:lang w:val="cy-GB"/>
        </w:rPr>
        <w:t>London; British Educational Research Asssociation</w:t>
      </w:r>
    </w:p>
    <w:p w14:paraId="55F5DFD1" w14:textId="12285F10"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Berndt, </w:t>
      </w:r>
      <w:proofErr w:type="gramStart"/>
      <w:r>
        <w:rPr>
          <w:rFonts w:ascii="Segoe UI" w:hAnsi="Segoe UI" w:cs="Segoe UI"/>
          <w:color w:val="0D0D0D"/>
          <w:sz w:val="24"/>
          <w:szCs w:val="24"/>
        </w:rPr>
        <w:t>T,J</w:t>
      </w:r>
      <w:proofErr w:type="gramEnd"/>
      <w:r>
        <w:rPr>
          <w:rFonts w:ascii="Segoe UI" w:hAnsi="Segoe UI" w:cs="Segoe UI"/>
          <w:color w:val="0D0D0D"/>
          <w:sz w:val="24"/>
          <w:szCs w:val="24"/>
        </w:rPr>
        <w:t xml:space="preserve"> (2017). </w:t>
      </w:r>
      <w:r>
        <w:rPr>
          <w:rFonts w:ascii="Segoe UI" w:hAnsi="Segoe UI" w:cs="Segoe UI"/>
          <w:i/>
          <w:iCs/>
          <w:color w:val="0D0D0D"/>
          <w:sz w:val="24"/>
          <w:szCs w:val="24"/>
        </w:rPr>
        <w:t xml:space="preserve">Children’s friendship: Shifts over a half-century in perspectives on their development and </w:t>
      </w:r>
      <w:proofErr w:type="spellStart"/>
      <w:r>
        <w:rPr>
          <w:rFonts w:ascii="Segoe UI" w:hAnsi="Segoe UI" w:cs="Segoe UI"/>
          <w:i/>
          <w:iCs/>
          <w:color w:val="0D0D0D"/>
          <w:sz w:val="24"/>
          <w:szCs w:val="24"/>
        </w:rPr>
        <w:t>thei</w:t>
      </w:r>
      <w:proofErr w:type="spellEnd"/>
      <w:r>
        <w:rPr>
          <w:rFonts w:ascii="Segoe UI" w:hAnsi="Segoe UI" w:cs="Segoe UI"/>
          <w:i/>
          <w:iCs/>
          <w:color w:val="0D0D0D"/>
          <w:sz w:val="24"/>
          <w:szCs w:val="24"/>
        </w:rPr>
        <w:t xml:space="preserve"> effects.</w:t>
      </w:r>
      <w:r>
        <w:rPr>
          <w:rFonts w:ascii="Segoe UI" w:hAnsi="Segoe UI" w:cs="Segoe UI"/>
          <w:color w:val="0D0D0D"/>
          <w:sz w:val="24"/>
          <w:szCs w:val="24"/>
        </w:rPr>
        <w:t xml:space="preserve"> New Haven: Yale University Press.</w:t>
      </w:r>
    </w:p>
    <w:p w14:paraId="54984432" w14:textId="7B8786EC"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Brown, B. (2011) </w:t>
      </w:r>
      <w:r>
        <w:rPr>
          <w:rFonts w:ascii="Segoe UI" w:hAnsi="Segoe UI" w:cs="Segoe UI"/>
          <w:i/>
          <w:iCs/>
          <w:color w:val="0D0D0D"/>
          <w:sz w:val="24"/>
          <w:szCs w:val="24"/>
        </w:rPr>
        <w:t xml:space="preserve">Adolescents’ relationships with peers. </w:t>
      </w:r>
      <w:r>
        <w:rPr>
          <w:rFonts w:ascii="Segoe UI" w:hAnsi="Segoe UI" w:cs="Segoe UI"/>
          <w:color w:val="0D0D0D"/>
          <w:sz w:val="24"/>
          <w:szCs w:val="24"/>
        </w:rPr>
        <w:t>John Wiley &amp; Sons.</w:t>
      </w:r>
    </w:p>
    <w:p w14:paraId="707D01E3" w14:textId="77777777" w:rsidR="0081218C" w:rsidRPr="0081218C" w:rsidRDefault="0081218C" w:rsidP="0081218C">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Bryman,A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(2016) </w:t>
      </w:r>
      <w:r>
        <w:rPr>
          <w:rFonts w:ascii="Segoe UI" w:hAnsi="Segoe UI" w:cs="Segoe UI"/>
          <w:i/>
          <w:iCs/>
          <w:color w:val="0D0D0D"/>
          <w:sz w:val="24"/>
          <w:szCs w:val="24"/>
        </w:rPr>
        <w:t>Social research methods.</w:t>
      </w:r>
      <w:r>
        <w:rPr>
          <w:rFonts w:ascii="Segoe UI" w:hAnsi="Segoe UI" w:cs="Segoe UI"/>
          <w:color w:val="0D0D0D"/>
          <w:sz w:val="24"/>
          <w:szCs w:val="24"/>
        </w:rPr>
        <w:t xml:space="preserve"> Oxford University Press.</w:t>
      </w:r>
    </w:p>
    <w:p w14:paraId="06BE457F" w14:textId="052659AE"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Campbell, A. (2015) </w:t>
      </w:r>
      <w:r>
        <w:rPr>
          <w:rFonts w:ascii="Segoe UI" w:hAnsi="Segoe UI" w:cs="Segoe UI"/>
          <w:i/>
          <w:iCs/>
          <w:color w:val="0D0D0D"/>
          <w:sz w:val="24"/>
          <w:szCs w:val="24"/>
        </w:rPr>
        <w:t>The Impact of a School Mindfulness Program on Adolescent Stress, Wellbeing and Emotion Regulation, with Attachment as a Moderator.</w:t>
      </w:r>
      <w:r>
        <w:rPr>
          <w:rFonts w:ascii="Segoe UI" w:hAnsi="Segoe UI" w:cs="Segoe UI"/>
          <w:color w:val="0D0D0D"/>
          <w:sz w:val="24"/>
          <w:szCs w:val="24"/>
        </w:rPr>
        <w:t xml:space="preserve"> Columbian College of Arts and Sciences of The George Washington University</w:t>
      </w:r>
    </w:p>
    <w:p w14:paraId="4C7CDF7E" w14:textId="77777777" w:rsidR="0081218C" w:rsidRDefault="0081218C" w:rsidP="00AF28E5">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Cohen, L. Manion, L. Morrison, K. (2018) </w:t>
      </w:r>
      <w:r w:rsidRPr="0074155F">
        <w:rPr>
          <w:rFonts w:asciiTheme="minorHAnsi" w:hAnsiTheme="minorHAnsi" w:cstheme="minorHAnsi"/>
          <w:i/>
          <w:iCs/>
          <w:sz w:val="24"/>
          <w:szCs w:val="24"/>
          <w:lang w:val="cy-GB"/>
        </w:rPr>
        <w:t xml:space="preserve">Resarch Methods in Education. </w:t>
      </w:r>
      <w:r w:rsidRPr="0074155F">
        <w:rPr>
          <w:rFonts w:asciiTheme="minorHAnsi" w:hAnsiTheme="minorHAnsi" w:cstheme="minorHAnsi"/>
          <w:sz w:val="24"/>
          <w:szCs w:val="24"/>
          <w:lang w:val="cy-GB"/>
        </w:rPr>
        <w:t>Routledge.</w:t>
      </w:r>
    </w:p>
    <w:p w14:paraId="6D96D41D" w14:textId="028CA63A"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Dockett,S</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Perry, B. (2007) </w:t>
      </w:r>
      <w:r>
        <w:rPr>
          <w:rFonts w:ascii="Segoe UI" w:hAnsi="Segoe UI" w:cs="Segoe UI"/>
          <w:i/>
          <w:iCs/>
          <w:color w:val="0D0D0D"/>
          <w:sz w:val="24"/>
          <w:szCs w:val="24"/>
        </w:rPr>
        <w:t xml:space="preserve">Transitions to school: Perceptions, expectations and </w:t>
      </w:r>
      <w:proofErr w:type="spellStart"/>
      <w:r>
        <w:rPr>
          <w:rFonts w:ascii="Segoe UI" w:hAnsi="Segoe UI" w:cs="Segoe UI"/>
          <w:i/>
          <w:iCs/>
          <w:color w:val="0D0D0D"/>
          <w:sz w:val="24"/>
          <w:szCs w:val="24"/>
        </w:rPr>
        <w:t>expreicences</w:t>
      </w:r>
      <w:proofErr w:type="spellEnd"/>
      <w:r>
        <w:rPr>
          <w:rFonts w:ascii="Segoe UI" w:hAnsi="Segoe UI" w:cs="Segoe UI"/>
          <w:i/>
          <w:iCs/>
          <w:color w:val="0D0D0D"/>
          <w:sz w:val="24"/>
          <w:szCs w:val="24"/>
        </w:rPr>
        <w:t xml:space="preserve">. </w:t>
      </w:r>
      <w:r>
        <w:rPr>
          <w:rFonts w:ascii="Segoe UI" w:hAnsi="Segoe UI" w:cs="Segoe UI"/>
          <w:color w:val="0D0D0D"/>
          <w:sz w:val="24"/>
          <w:szCs w:val="24"/>
        </w:rPr>
        <w:t>Australia: Pearson Education Australia.</w:t>
      </w:r>
    </w:p>
    <w:p w14:paraId="4E545997"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Elliott,R</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(2005)</w:t>
      </w:r>
      <w:r>
        <w:rPr>
          <w:rFonts w:ascii="Segoe UI" w:hAnsi="Segoe UI" w:cs="Segoe UI"/>
          <w:i/>
          <w:iCs/>
          <w:color w:val="0D0D0D"/>
          <w:sz w:val="24"/>
          <w:szCs w:val="24"/>
        </w:rPr>
        <w:t xml:space="preserve"> A reflective stance for ethnography. </w:t>
      </w:r>
      <w:r>
        <w:rPr>
          <w:rFonts w:ascii="Segoe UI" w:hAnsi="Segoe UI" w:cs="Segoe UI"/>
          <w:color w:val="0D0D0D"/>
          <w:sz w:val="24"/>
          <w:szCs w:val="24"/>
        </w:rPr>
        <w:t xml:space="preserve">Qualitative Social Research </w:t>
      </w:r>
    </w:p>
    <w:p w14:paraId="14FDD5D7" w14:textId="77777777" w:rsidR="0081218C" w:rsidRPr="0074155F" w:rsidRDefault="0081218C" w:rsidP="00AF28E5">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Field, A. (2013) </w:t>
      </w:r>
      <w:r w:rsidRPr="0074155F">
        <w:rPr>
          <w:rFonts w:asciiTheme="minorHAnsi" w:hAnsiTheme="minorHAnsi" w:cstheme="minorHAnsi"/>
          <w:i/>
          <w:iCs/>
          <w:sz w:val="24"/>
          <w:szCs w:val="24"/>
          <w:lang w:val="cy-GB"/>
        </w:rPr>
        <w:t xml:space="preserve">Discovering statistics using IBM SPSS statistics. </w:t>
      </w:r>
      <w:r w:rsidRPr="0074155F">
        <w:rPr>
          <w:rFonts w:asciiTheme="minorHAnsi" w:hAnsiTheme="minorHAnsi" w:cstheme="minorHAnsi"/>
          <w:sz w:val="24"/>
          <w:szCs w:val="24"/>
          <w:lang w:val="cy-GB"/>
        </w:rPr>
        <w:t xml:space="preserve">Sage. </w:t>
      </w:r>
    </w:p>
    <w:p w14:paraId="690166BB" w14:textId="77777777" w:rsidR="0081218C" w:rsidRPr="0074155F" w:rsidRDefault="0081218C" w:rsidP="00AF28E5">
      <w:pPr>
        <w:spacing w:line="360" w:lineRule="auto"/>
        <w:rPr>
          <w:rFonts w:asciiTheme="minorHAnsi" w:hAnsiTheme="minorHAnsi" w:cstheme="minorHAnsi"/>
          <w:color w:val="0D0D0D"/>
          <w:sz w:val="24"/>
          <w:szCs w:val="24"/>
        </w:rPr>
      </w:pPr>
      <w:proofErr w:type="spellStart"/>
      <w:proofErr w:type="gramStart"/>
      <w:r w:rsidRPr="0074155F">
        <w:rPr>
          <w:rFonts w:asciiTheme="minorHAnsi" w:hAnsiTheme="minorHAnsi" w:cstheme="minorHAnsi"/>
          <w:color w:val="0D0D0D"/>
          <w:sz w:val="24"/>
          <w:szCs w:val="24"/>
        </w:rPr>
        <w:t>Gov,Uk</w:t>
      </w:r>
      <w:proofErr w:type="spellEnd"/>
      <w:proofErr w:type="gramEnd"/>
      <w:r w:rsidRPr="0074155F">
        <w:rPr>
          <w:rFonts w:asciiTheme="minorHAnsi" w:hAnsiTheme="minorHAnsi" w:cstheme="minorHAnsi"/>
          <w:color w:val="0D0D0D"/>
          <w:sz w:val="24"/>
          <w:szCs w:val="24"/>
        </w:rPr>
        <w:t xml:space="preserve"> (2018) </w:t>
      </w:r>
      <w:r w:rsidRPr="0074155F">
        <w:rPr>
          <w:rFonts w:asciiTheme="minorHAnsi" w:hAnsiTheme="minorHAnsi" w:cstheme="minorHAnsi"/>
          <w:i/>
          <w:iCs/>
          <w:color w:val="0D0D0D"/>
          <w:sz w:val="24"/>
          <w:szCs w:val="24"/>
        </w:rPr>
        <w:t>The Data Protection Act</w:t>
      </w:r>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Ar</w:t>
      </w:r>
      <w:proofErr w:type="spellEnd"/>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gael</w:t>
      </w:r>
      <w:proofErr w:type="spellEnd"/>
      <w:r w:rsidRPr="0074155F">
        <w:rPr>
          <w:rFonts w:asciiTheme="minorHAnsi" w:hAnsiTheme="minorHAnsi" w:cstheme="minorHAnsi"/>
          <w:color w:val="0D0D0D"/>
          <w:sz w:val="24"/>
          <w:szCs w:val="24"/>
        </w:rPr>
        <w:t xml:space="preserve"> fan </w:t>
      </w:r>
      <w:proofErr w:type="spellStart"/>
      <w:r w:rsidRPr="0074155F">
        <w:rPr>
          <w:rFonts w:asciiTheme="minorHAnsi" w:hAnsiTheme="minorHAnsi" w:cstheme="minorHAnsi"/>
          <w:color w:val="0D0D0D"/>
          <w:sz w:val="24"/>
          <w:szCs w:val="24"/>
        </w:rPr>
        <w:t>hyn</w:t>
      </w:r>
      <w:proofErr w:type="spellEnd"/>
      <w:r w:rsidRPr="0074155F">
        <w:rPr>
          <w:rFonts w:asciiTheme="minorHAnsi" w:hAnsiTheme="minorHAnsi" w:cstheme="minorHAnsi"/>
          <w:color w:val="0D0D0D"/>
          <w:sz w:val="24"/>
          <w:szCs w:val="24"/>
        </w:rPr>
        <w:t>:</w:t>
      </w:r>
      <w:r w:rsidRPr="0074155F">
        <w:rPr>
          <w:rFonts w:asciiTheme="minorHAnsi" w:hAnsiTheme="minorHAnsi" w:cstheme="minorHAnsi"/>
        </w:rPr>
        <w:t xml:space="preserve"> </w:t>
      </w:r>
      <w:hyperlink r:id="rId8" w:history="1">
        <w:r w:rsidRPr="0074155F">
          <w:rPr>
            <w:rStyle w:val="Hyperlink"/>
            <w:rFonts w:asciiTheme="minorHAnsi" w:hAnsiTheme="minorHAnsi" w:cstheme="minorHAnsi"/>
            <w:sz w:val="24"/>
            <w:szCs w:val="24"/>
          </w:rPr>
          <w:t>https://www.gov.uk/data-protection</w:t>
        </w:r>
      </w:hyperlink>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Cyrchwyd</w:t>
      </w:r>
      <w:proofErr w:type="spellEnd"/>
      <w:r w:rsidRPr="0074155F">
        <w:rPr>
          <w:rFonts w:asciiTheme="minorHAnsi" w:hAnsiTheme="minorHAnsi" w:cstheme="minorHAnsi"/>
          <w:color w:val="0D0D0D"/>
          <w:sz w:val="24"/>
          <w:szCs w:val="24"/>
        </w:rPr>
        <w:t>: 21/03/2024)</w:t>
      </w:r>
    </w:p>
    <w:p w14:paraId="75CEF4AA"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Hammersley,M</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Atkinson,P</w:t>
      </w:r>
      <w:proofErr w:type="spellEnd"/>
      <w:r>
        <w:rPr>
          <w:rFonts w:ascii="Segoe UI" w:hAnsi="Segoe UI" w:cs="Segoe UI"/>
          <w:color w:val="0D0D0D"/>
          <w:sz w:val="24"/>
          <w:szCs w:val="24"/>
        </w:rPr>
        <w:t xml:space="preserve">. (2007) Ethnography: Principles in practice. </w:t>
      </w:r>
      <w:proofErr w:type="spellStart"/>
      <w:proofErr w:type="gramStart"/>
      <w:r>
        <w:rPr>
          <w:rFonts w:ascii="Segoe UI" w:hAnsi="Segoe UI" w:cs="Segoe UI"/>
          <w:color w:val="0D0D0D"/>
          <w:sz w:val="24"/>
          <w:szCs w:val="24"/>
        </w:rPr>
        <w:t>NY:Routeldge</w:t>
      </w:r>
      <w:proofErr w:type="spellEnd"/>
      <w:proofErr w:type="gramEnd"/>
      <w:r>
        <w:rPr>
          <w:rFonts w:ascii="Segoe UI" w:hAnsi="Segoe UI" w:cs="Segoe UI"/>
          <w:color w:val="0D0D0D"/>
          <w:sz w:val="24"/>
          <w:szCs w:val="24"/>
        </w:rPr>
        <w:t xml:space="preserve"> </w:t>
      </w:r>
    </w:p>
    <w:p w14:paraId="1F8D0AB5" w14:textId="77777777"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Jones, A. Smith B (2020) </w:t>
      </w:r>
      <w:r>
        <w:rPr>
          <w:rFonts w:ascii="Segoe UI" w:hAnsi="Segoe UI" w:cs="Segoe UI"/>
          <w:i/>
          <w:iCs/>
          <w:color w:val="0D0D0D"/>
          <w:sz w:val="24"/>
          <w:szCs w:val="24"/>
        </w:rPr>
        <w:t xml:space="preserve">Mindfulness interventions in education: A comprehensive review. </w:t>
      </w:r>
      <w:r>
        <w:rPr>
          <w:rFonts w:ascii="Segoe UI" w:hAnsi="Segoe UI" w:cs="Segoe UI"/>
          <w:color w:val="0D0D0D"/>
          <w:sz w:val="24"/>
          <w:szCs w:val="24"/>
        </w:rPr>
        <w:t xml:space="preserve"> Educational Psychology Review</w:t>
      </w:r>
    </w:p>
    <w:p w14:paraId="00E07948"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Kinder,M</w:t>
      </w:r>
      <w:proofErr w:type="spellEnd"/>
      <w:proofErr w:type="gramEnd"/>
      <w:r>
        <w:rPr>
          <w:rFonts w:ascii="Segoe UI" w:hAnsi="Segoe UI" w:cs="Segoe UI"/>
          <w:color w:val="0D0D0D"/>
          <w:sz w:val="24"/>
          <w:szCs w:val="24"/>
        </w:rPr>
        <w:t xml:space="preserve"> (2017) </w:t>
      </w:r>
      <w:r>
        <w:rPr>
          <w:rFonts w:ascii="Segoe UI" w:hAnsi="Segoe UI" w:cs="Segoe UI"/>
          <w:i/>
          <w:iCs/>
          <w:color w:val="0D0D0D"/>
          <w:sz w:val="24"/>
          <w:szCs w:val="24"/>
        </w:rPr>
        <w:t>Why mindfulness belongs in the Classroom</w:t>
      </w:r>
      <w:r>
        <w:rPr>
          <w:rFonts w:ascii="Segoe UI" w:hAnsi="Segoe UI" w:cs="Segoe UI"/>
          <w:color w:val="0D0D0D"/>
          <w:sz w:val="24"/>
          <w:szCs w:val="24"/>
        </w:rPr>
        <w:t xml:space="preserve"> Mindful Healthy mind, healthy life. </w:t>
      </w:r>
      <w:proofErr w:type="spellStart"/>
      <w:r>
        <w:rPr>
          <w:rFonts w:ascii="Segoe UI" w:hAnsi="Segoe UI" w:cs="Segoe UI"/>
          <w:color w:val="0D0D0D"/>
          <w:sz w:val="24"/>
          <w:szCs w:val="24"/>
        </w:rPr>
        <w:t>Ar</w:t>
      </w:r>
      <w:proofErr w:type="spellEnd"/>
      <w:r>
        <w:rPr>
          <w:rFonts w:ascii="Segoe UI" w:hAnsi="Segoe UI" w:cs="Segoe UI"/>
          <w:color w:val="0D0D0D"/>
          <w:sz w:val="24"/>
          <w:szCs w:val="24"/>
        </w:rPr>
        <w:t xml:space="preserve"> </w:t>
      </w:r>
      <w:proofErr w:type="spellStart"/>
      <w:r>
        <w:rPr>
          <w:rFonts w:ascii="Segoe UI" w:hAnsi="Segoe UI" w:cs="Segoe UI"/>
          <w:color w:val="0D0D0D"/>
          <w:sz w:val="24"/>
          <w:szCs w:val="24"/>
        </w:rPr>
        <w:t>gael</w:t>
      </w:r>
      <w:proofErr w:type="spellEnd"/>
      <w:r>
        <w:rPr>
          <w:rFonts w:ascii="Segoe UI" w:hAnsi="Segoe UI" w:cs="Segoe UI"/>
          <w:color w:val="0D0D0D"/>
          <w:sz w:val="24"/>
          <w:szCs w:val="24"/>
        </w:rPr>
        <w:t xml:space="preserve"> fan </w:t>
      </w:r>
      <w:proofErr w:type="spellStart"/>
      <w:r>
        <w:rPr>
          <w:rFonts w:ascii="Segoe UI" w:hAnsi="Segoe UI" w:cs="Segoe UI"/>
          <w:color w:val="0D0D0D"/>
          <w:sz w:val="24"/>
          <w:szCs w:val="24"/>
        </w:rPr>
        <w:t>hyn</w:t>
      </w:r>
      <w:proofErr w:type="spellEnd"/>
      <w:r>
        <w:rPr>
          <w:rFonts w:ascii="Segoe UI" w:hAnsi="Segoe UI" w:cs="Segoe UI"/>
          <w:color w:val="0D0D0D"/>
          <w:sz w:val="24"/>
          <w:szCs w:val="24"/>
        </w:rPr>
        <w:t xml:space="preserve">: </w:t>
      </w:r>
      <w:hyperlink r:id="rId9" w:history="1">
        <w:r w:rsidRPr="00A662D4">
          <w:rPr>
            <w:rStyle w:val="Hyperlink"/>
            <w:rFonts w:ascii="Segoe UI" w:hAnsi="Segoe UI" w:cs="Segoe UI"/>
            <w:sz w:val="24"/>
            <w:szCs w:val="24"/>
          </w:rPr>
          <w:t>https://www.mindful.org/why-mindfulness-belongs-in-the-classroom/</w:t>
        </w:r>
      </w:hyperlink>
    </w:p>
    <w:p w14:paraId="3E99631F"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Kuale,S</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Brinkmann,S</w:t>
      </w:r>
      <w:proofErr w:type="spellEnd"/>
      <w:r>
        <w:rPr>
          <w:rFonts w:ascii="Segoe UI" w:hAnsi="Segoe UI" w:cs="Segoe UI"/>
          <w:color w:val="0D0D0D"/>
          <w:sz w:val="24"/>
          <w:szCs w:val="24"/>
        </w:rPr>
        <w:t xml:space="preserve">. (2008) </w:t>
      </w:r>
      <w:proofErr w:type="spellStart"/>
      <w:r>
        <w:rPr>
          <w:rFonts w:ascii="Segoe UI" w:hAnsi="Segoe UI" w:cs="Segoe UI"/>
          <w:i/>
          <w:iCs/>
          <w:color w:val="0D0D0D"/>
          <w:sz w:val="24"/>
          <w:szCs w:val="24"/>
        </w:rPr>
        <w:t>InterViews</w:t>
      </w:r>
      <w:proofErr w:type="spellEnd"/>
      <w:r>
        <w:rPr>
          <w:rFonts w:ascii="Segoe UI" w:hAnsi="Segoe UI" w:cs="Segoe UI"/>
          <w:i/>
          <w:iCs/>
          <w:color w:val="0D0D0D"/>
          <w:sz w:val="24"/>
          <w:szCs w:val="24"/>
        </w:rPr>
        <w:t>: Learning the craft of Qualitative Research Interviewing</w:t>
      </w:r>
      <w:r>
        <w:rPr>
          <w:rFonts w:ascii="Segoe UI" w:hAnsi="Segoe UI" w:cs="Segoe UI"/>
          <w:color w:val="0D0D0D"/>
          <w:sz w:val="24"/>
          <w:szCs w:val="24"/>
        </w:rPr>
        <w:t>. Sage Publications.</w:t>
      </w:r>
    </w:p>
    <w:p w14:paraId="1D7C7D4C" w14:textId="77777777" w:rsidR="0081218C" w:rsidRPr="00AF28E5" w:rsidRDefault="0081218C" w:rsidP="00AF28E5">
      <w:pPr>
        <w:spacing w:line="360" w:lineRule="auto"/>
        <w:rPr>
          <w:rFonts w:asciiTheme="minorHAnsi" w:hAnsiTheme="minorHAnsi" w:cstheme="minorHAnsi"/>
          <w:sz w:val="24"/>
          <w:szCs w:val="24"/>
          <w:lang w:val="cy-GB"/>
        </w:rPr>
      </w:pPr>
      <w:r w:rsidRPr="00AF28E5">
        <w:rPr>
          <w:rFonts w:asciiTheme="minorHAnsi" w:hAnsiTheme="minorHAnsi" w:cstheme="minorHAnsi"/>
          <w:sz w:val="24"/>
          <w:szCs w:val="24"/>
          <w:lang w:val="cy-GB"/>
        </w:rPr>
        <w:t xml:space="preserve">Llywodraeth Cymru (2015) </w:t>
      </w:r>
      <w:r w:rsidRPr="00AF28E5">
        <w:rPr>
          <w:rFonts w:asciiTheme="minorHAnsi" w:hAnsiTheme="minorHAnsi" w:cstheme="minorHAnsi"/>
          <w:i/>
          <w:iCs/>
          <w:sz w:val="24"/>
          <w:szCs w:val="24"/>
          <w:lang w:val="cy-GB"/>
        </w:rPr>
        <w:t>Deddf Llesiant Cenedlaethau’r Dyfodol (Cymru).</w:t>
      </w:r>
      <w:r w:rsidRPr="00AF28E5">
        <w:rPr>
          <w:rFonts w:asciiTheme="minorHAnsi" w:hAnsiTheme="minorHAnsi" w:cstheme="minorHAnsi"/>
          <w:sz w:val="24"/>
          <w:szCs w:val="24"/>
          <w:lang w:val="cy-GB"/>
        </w:rPr>
        <w:t xml:space="preserve">  Ar gael fan hyn:</w:t>
      </w:r>
      <w:r w:rsidRPr="00AF28E5">
        <w:rPr>
          <w:rFonts w:asciiTheme="minorHAnsi" w:hAnsiTheme="minorHAnsi" w:cstheme="minorHAnsi"/>
          <w:sz w:val="24"/>
          <w:szCs w:val="24"/>
        </w:rPr>
        <w:t xml:space="preserve"> </w:t>
      </w:r>
      <w:hyperlink r:id="rId10" w:history="1">
        <w:r w:rsidRPr="00AF28E5">
          <w:rPr>
            <w:rStyle w:val="Hyperlink"/>
            <w:rFonts w:asciiTheme="minorHAnsi" w:hAnsiTheme="minorHAnsi" w:cstheme="minorHAnsi"/>
            <w:sz w:val="24"/>
            <w:szCs w:val="24"/>
            <w:lang w:val="cy-GB"/>
          </w:rPr>
          <w:t>https://www.futuregenerations.wales/wp-content/uploads/2017/01/wfg-essentials-guide-cy.pdf</w:t>
        </w:r>
      </w:hyperlink>
      <w:r w:rsidRPr="00AF28E5">
        <w:rPr>
          <w:rFonts w:asciiTheme="minorHAnsi" w:hAnsiTheme="minorHAnsi" w:cstheme="minorHAnsi"/>
          <w:sz w:val="24"/>
          <w:szCs w:val="24"/>
          <w:lang w:val="cy-GB"/>
        </w:rPr>
        <w:t xml:space="preserve"> (Cyrchwyd: 12/03/2024)</w:t>
      </w:r>
    </w:p>
    <w:p w14:paraId="4BDF942A" w14:textId="5206365D"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Marshall,C</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Rossman,G</w:t>
      </w:r>
      <w:proofErr w:type="spellEnd"/>
      <w:r>
        <w:rPr>
          <w:rFonts w:ascii="Segoe UI" w:hAnsi="Segoe UI" w:cs="Segoe UI"/>
          <w:color w:val="0D0D0D"/>
          <w:sz w:val="24"/>
          <w:szCs w:val="24"/>
        </w:rPr>
        <w:t xml:space="preserve">. (2015) </w:t>
      </w:r>
      <w:r>
        <w:rPr>
          <w:rFonts w:ascii="Segoe UI" w:hAnsi="Segoe UI" w:cs="Segoe UI"/>
          <w:i/>
          <w:iCs/>
          <w:color w:val="0D0D0D"/>
          <w:sz w:val="24"/>
          <w:szCs w:val="24"/>
        </w:rPr>
        <w:t>Designing Qualitive Research.</w:t>
      </w:r>
      <w:r>
        <w:rPr>
          <w:rFonts w:ascii="Segoe UI" w:hAnsi="Segoe UI" w:cs="Segoe UI"/>
          <w:color w:val="0D0D0D"/>
          <w:sz w:val="24"/>
          <w:szCs w:val="24"/>
        </w:rPr>
        <w:t xml:space="preserve"> Sage Publications.</w:t>
      </w:r>
    </w:p>
    <w:p w14:paraId="5B43FB01" w14:textId="77777777" w:rsidR="0081218C" w:rsidRDefault="0081218C" w:rsidP="00AF28E5">
      <w:pPr>
        <w:spacing w:line="360" w:lineRule="auto"/>
        <w:rPr>
          <w:rFonts w:ascii="Segoe UI" w:hAnsi="Segoe UI" w:cs="Segoe UI"/>
          <w:i/>
          <w:iCs/>
          <w:color w:val="0D0D0D"/>
          <w:sz w:val="24"/>
          <w:szCs w:val="24"/>
        </w:rPr>
      </w:pPr>
      <w:proofErr w:type="spellStart"/>
      <w:proofErr w:type="gramStart"/>
      <w:r>
        <w:rPr>
          <w:rFonts w:ascii="Segoe UI" w:hAnsi="Segoe UI" w:cs="Segoe UI"/>
          <w:color w:val="0D0D0D"/>
          <w:sz w:val="24"/>
          <w:szCs w:val="24"/>
        </w:rPr>
        <w:lastRenderedPageBreak/>
        <w:t>Pellegrini,A.D</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Perlmutter,J.C</w:t>
      </w:r>
      <w:proofErr w:type="spellEnd"/>
      <w:r>
        <w:rPr>
          <w:rFonts w:ascii="Segoe UI" w:hAnsi="Segoe UI" w:cs="Segoe UI"/>
          <w:color w:val="0D0D0D"/>
          <w:sz w:val="24"/>
          <w:szCs w:val="24"/>
        </w:rPr>
        <w:t xml:space="preserve">. (1998) </w:t>
      </w:r>
      <w:r>
        <w:rPr>
          <w:rFonts w:ascii="Segoe UI" w:hAnsi="Segoe UI" w:cs="Segoe UI"/>
          <w:i/>
          <w:iCs/>
          <w:color w:val="0D0D0D"/>
          <w:sz w:val="24"/>
          <w:szCs w:val="24"/>
        </w:rPr>
        <w:t xml:space="preserve">The role of play in human development. New York, </w:t>
      </w:r>
      <w:proofErr w:type="spellStart"/>
      <w:proofErr w:type="gramStart"/>
      <w:r>
        <w:rPr>
          <w:rFonts w:ascii="Segoe UI" w:hAnsi="Segoe UI" w:cs="Segoe UI"/>
          <w:i/>
          <w:iCs/>
          <w:color w:val="0D0D0D"/>
          <w:sz w:val="24"/>
          <w:szCs w:val="24"/>
        </w:rPr>
        <w:t>NY:Oxford</w:t>
      </w:r>
      <w:proofErr w:type="spellEnd"/>
      <w:proofErr w:type="gramEnd"/>
      <w:r>
        <w:rPr>
          <w:rFonts w:ascii="Segoe UI" w:hAnsi="Segoe UI" w:cs="Segoe UI"/>
          <w:i/>
          <w:iCs/>
          <w:color w:val="0D0D0D"/>
          <w:sz w:val="24"/>
          <w:szCs w:val="24"/>
        </w:rPr>
        <w:t xml:space="preserve"> University Press.</w:t>
      </w:r>
    </w:p>
    <w:p w14:paraId="5A0136D8"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Renshaw,T</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(2019) </w:t>
      </w:r>
      <w:r>
        <w:rPr>
          <w:rFonts w:ascii="Segoe UI" w:hAnsi="Segoe UI" w:cs="Segoe UI"/>
          <w:i/>
          <w:iCs/>
          <w:color w:val="0D0D0D"/>
          <w:sz w:val="24"/>
          <w:szCs w:val="24"/>
        </w:rPr>
        <w:t xml:space="preserve">Cultivating Mindfulness in School to Promote Well-Being. </w:t>
      </w:r>
      <w:r>
        <w:rPr>
          <w:rFonts w:ascii="Segoe UI" w:hAnsi="Segoe UI" w:cs="Segoe UI"/>
          <w:color w:val="0D0D0D"/>
          <w:sz w:val="24"/>
          <w:szCs w:val="24"/>
        </w:rPr>
        <w:t>Handbook of Positive Psychology</w:t>
      </w:r>
    </w:p>
    <w:p w14:paraId="7BA1E25E" w14:textId="77777777" w:rsidR="0081218C" w:rsidRP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Rubin,H</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Rubin,I</w:t>
      </w:r>
      <w:proofErr w:type="spellEnd"/>
      <w:r>
        <w:rPr>
          <w:rFonts w:ascii="Segoe UI" w:hAnsi="Segoe UI" w:cs="Segoe UI"/>
          <w:color w:val="0D0D0D"/>
          <w:sz w:val="24"/>
          <w:szCs w:val="24"/>
        </w:rPr>
        <w:t xml:space="preserve">. (2011) </w:t>
      </w:r>
      <w:r>
        <w:rPr>
          <w:rFonts w:ascii="Segoe UI" w:hAnsi="Segoe UI" w:cs="Segoe UI"/>
          <w:i/>
          <w:iCs/>
          <w:color w:val="0D0D0D"/>
          <w:sz w:val="24"/>
          <w:szCs w:val="24"/>
        </w:rPr>
        <w:t xml:space="preserve">Qualitative Interviewing: The art of hearing Data. </w:t>
      </w:r>
      <w:r>
        <w:rPr>
          <w:rFonts w:ascii="Segoe UI" w:hAnsi="Segoe UI" w:cs="Segoe UI"/>
          <w:color w:val="0D0D0D"/>
          <w:sz w:val="24"/>
          <w:szCs w:val="24"/>
        </w:rPr>
        <w:t>Sage Publications.</w:t>
      </w:r>
    </w:p>
    <w:p w14:paraId="0C76318E"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Smith,J</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(2017) </w:t>
      </w:r>
      <w:r>
        <w:rPr>
          <w:rFonts w:ascii="Segoe UI" w:hAnsi="Segoe UI" w:cs="Segoe UI"/>
          <w:i/>
          <w:iCs/>
          <w:color w:val="0D0D0D"/>
          <w:sz w:val="24"/>
          <w:szCs w:val="24"/>
        </w:rPr>
        <w:t>Stress and Coping: The eye of Mindfulness</w:t>
      </w:r>
      <w:r>
        <w:rPr>
          <w:rFonts w:ascii="Segoe UI" w:hAnsi="Segoe UI" w:cs="Segoe UI"/>
          <w:color w:val="0D0D0D"/>
          <w:sz w:val="24"/>
          <w:szCs w:val="24"/>
        </w:rPr>
        <w:t>. Co: Kendall Hunt Publishing</w:t>
      </w:r>
    </w:p>
    <w:p w14:paraId="2D57BC60" w14:textId="77777777" w:rsidR="0081218C" w:rsidRPr="0074155F"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Stake,R</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(1995) </w:t>
      </w:r>
      <w:r>
        <w:rPr>
          <w:rFonts w:ascii="Segoe UI" w:hAnsi="Segoe UI" w:cs="Segoe UI"/>
          <w:i/>
          <w:iCs/>
          <w:color w:val="0D0D0D"/>
          <w:sz w:val="24"/>
          <w:szCs w:val="24"/>
        </w:rPr>
        <w:t>The Art of Case Study Research</w:t>
      </w:r>
      <w:r>
        <w:rPr>
          <w:rFonts w:ascii="Segoe UI" w:hAnsi="Segoe UI" w:cs="Segoe UI"/>
          <w:color w:val="0D0D0D"/>
          <w:sz w:val="24"/>
          <w:szCs w:val="24"/>
        </w:rPr>
        <w:t xml:space="preserve"> </w:t>
      </w:r>
      <w:proofErr w:type="spellStart"/>
      <w:r>
        <w:rPr>
          <w:rFonts w:ascii="Segoe UI" w:hAnsi="Segoe UI" w:cs="Segoe UI"/>
          <w:color w:val="0D0D0D"/>
          <w:sz w:val="24"/>
          <w:szCs w:val="24"/>
        </w:rPr>
        <w:t>Llundain</w:t>
      </w:r>
      <w:proofErr w:type="spellEnd"/>
      <w:r>
        <w:rPr>
          <w:rFonts w:ascii="Segoe UI" w:hAnsi="Segoe UI" w:cs="Segoe UI"/>
          <w:color w:val="0D0D0D"/>
          <w:sz w:val="24"/>
          <w:szCs w:val="24"/>
        </w:rPr>
        <w:t xml:space="preserve">: SAGE Publications </w:t>
      </w:r>
    </w:p>
    <w:p w14:paraId="19E273A9" w14:textId="77777777" w:rsidR="0081218C" w:rsidRPr="00A755F9" w:rsidRDefault="0081218C" w:rsidP="00A755F9">
      <w:pPr>
        <w:spacing w:line="360" w:lineRule="auto"/>
        <w:rPr>
          <w:rFonts w:asciiTheme="minorHAnsi" w:hAnsiTheme="minorHAnsi" w:cstheme="minorHAnsi"/>
          <w:sz w:val="24"/>
          <w:szCs w:val="24"/>
          <w:lang w:val="cy-GB"/>
        </w:rPr>
      </w:pPr>
      <w:r w:rsidRPr="00AF28E5">
        <w:rPr>
          <w:rFonts w:asciiTheme="minorHAnsi" w:hAnsiTheme="minorHAnsi" w:cstheme="minorHAnsi"/>
          <w:sz w:val="24"/>
          <w:szCs w:val="24"/>
          <w:lang w:val="cy-GB"/>
        </w:rPr>
        <w:t xml:space="preserve">Tatter,G. (2019) </w:t>
      </w:r>
      <w:r w:rsidRPr="00AF28E5">
        <w:rPr>
          <w:rFonts w:asciiTheme="minorHAnsi" w:hAnsiTheme="minorHAnsi" w:cstheme="minorHAnsi"/>
          <w:i/>
          <w:iCs/>
          <w:sz w:val="24"/>
          <w:szCs w:val="24"/>
          <w:lang w:val="cy-GB"/>
        </w:rPr>
        <w:t>Making time for mindfulness</w:t>
      </w:r>
      <w:r w:rsidRPr="00AF28E5">
        <w:rPr>
          <w:rFonts w:asciiTheme="minorHAnsi" w:hAnsiTheme="minorHAnsi" w:cstheme="minorHAnsi"/>
          <w:sz w:val="24"/>
          <w:szCs w:val="24"/>
          <w:lang w:val="cy-GB"/>
        </w:rPr>
        <w:t>. Harvard Graduate School of Education. Ar gael fan hyn:</w:t>
      </w:r>
      <w:r w:rsidRPr="00AF28E5">
        <w:rPr>
          <w:rFonts w:asciiTheme="minorHAnsi" w:hAnsiTheme="minorHAnsi" w:cstheme="minorHAnsi"/>
          <w:sz w:val="24"/>
          <w:szCs w:val="24"/>
        </w:rPr>
        <w:t xml:space="preserve"> </w:t>
      </w:r>
      <w:hyperlink r:id="rId11" w:history="1">
        <w:r w:rsidRPr="00A755F9">
          <w:rPr>
            <w:rStyle w:val="Hyperlink"/>
            <w:rFonts w:asciiTheme="minorHAnsi" w:hAnsiTheme="minorHAnsi" w:cstheme="minorHAnsi"/>
            <w:sz w:val="24"/>
            <w:szCs w:val="24"/>
            <w:lang w:val="cy-GB"/>
          </w:rPr>
          <w:t>https://www.gse.harvard.edu/ideas/usable-knowledge/19/01/making-time-mindfulness</w:t>
        </w:r>
      </w:hyperlink>
      <w:r w:rsidRPr="00A755F9">
        <w:rPr>
          <w:rFonts w:asciiTheme="minorHAnsi" w:hAnsiTheme="minorHAnsi" w:cstheme="minorHAnsi"/>
          <w:sz w:val="24"/>
          <w:szCs w:val="24"/>
          <w:lang w:val="cy-GB"/>
        </w:rPr>
        <w:t xml:space="preserve"> (Cyrchwyd: 12/03/2024)</w:t>
      </w:r>
    </w:p>
    <w:p w14:paraId="1F7BEA7F" w14:textId="12905F9B" w:rsidR="0081218C" w:rsidRDefault="0081218C" w:rsidP="00AF28E5">
      <w:pPr>
        <w:spacing w:line="360" w:lineRule="auto"/>
        <w:rPr>
          <w:rFonts w:ascii="Segoe UI" w:hAnsi="Segoe UI" w:cs="Segoe UI"/>
          <w:color w:val="0D0D0D"/>
          <w:sz w:val="24"/>
          <w:szCs w:val="24"/>
        </w:rPr>
      </w:pPr>
      <w:proofErr w:type="spellStart"/>
      <w:r>
        <w:rPr>
          <w:rFonts w:ascii="Segoe UI" w:hAnsi="Segoe UI" w:cs="Segoe UI"/>
          <w:color w:val="0D0D0D"/>
          <w:sz w:val="24"/>
          <w:szCs w:val="24"/>
        </w:rPr>
        <w:t>Tellis</w:t>
      </w:r>
      <w:proofErr w:type="spellEnd"/>
      <w:r>
        <w:rPr>
          <w:rFonts w:ascii="Segoe UI" w:hAnsi="Segoe UI" w:cs="Segoe UI"/>
          <w:color w:val="0D0D0D"/>
          <w:sz w:val="24"/>
          <w:szCs w:val="24"/>
        </w:rPr>
        <w:t>, W (1997</w:t>
      </w:r>
      <w:proofErr w:type="gramStart"/>
      <w:r>
        <w:rPr>
          <w:rFonts w:ascii="Segoe UI" w:hAnsi="Segoe UI" w:cs="Segoe UI"/>
          <w:color w:val="0D0D0D"/>
          <w:sz w:val="24"/>
          <w:szCs w:val="24"/>
        </w:rPr>
        <w:t xml:space="preserve">) </w:t>
      </w:r>
      <w:r>
        <w:rPr>
          <w:rFonts w:ascii="Segoe UI" w:hAnsi="Segoe UI" w:cs="Segoe UI"/>
          <w:i/>
          <w:iCs/>
          <w:color w:val="0D0D0D"/>
          <w:sz w:val="24"/>
          <w:szCs w:val="24"/>
        </w:rPr>
        <w:t xml:space="preserve"> Introduction</w:t>
      </w:r>
      <w:proofErr w:type="gramEnd"/>
      <w:r>
        <w:rPr>
          <w:rFonts w:ascii="Segoe UI" w:hAnsi="Segoe UI" w:cs="Segoe UI"/>
          <w:i/>
          <w:iCs/>
          <w:color w:val="0D0D0D"/>
          <w:sz w:val="24"/>
          <w:szCs w:val="24"/>
        </w:rPr>
        <w:t xml:space="preserve"> to Case Study </w:t>
      </w:r>
      <w:r>
        <w:rPr>
          <w:rFonts w:ascii="Segoe UI" w:hAnsi="Segoe UI" w:cs="Segoe UI"/>
          <w:color w:val="0D0D0D"/>
          <w:sz w:val="24"/>
          <w:szCs w:val="24"/>
        </w:rPr>
        <w:t>The Qualitative Report</w:t>
      </w:r>
    </w:p>
    <w:p w14:paraId="6FDFC447" w14:textId="77777777" w:rsidR="0081218C" w:rsidRDefault="0081218C" w:rsidP="00AF28E5">
      <w:pPr>
        <w:spacing w:line="360" w:lineRule="auto"/>
        <w:rPr>
          <w:rFonts w:ascii="Segoe UI" w:hAnsi="Segoe UI" w:cs="Segoe UI"/>
          <w:color w:val="0D0D0D"/>
          <w:sz w:val="24"/>
          <w:szCs w:val="24"/>
        </w:rPr>
      </w:pPr>
      <w:r>
        <w:rPr>
          <w:rFonts w:ascii="Segoe UI" w:hAnsi="Segoe UI" w:cs="Segoe UI"/>
          <w:color w:val="0D0D0D"/>
          <w:sz w:val="24"/>
          <w:szCs w:val="24"/>
        </w:rPr>
        <w:t xml:space="preserve">UNICEF (D.D) </w:t>
      </w:r>
      <w:r>
        <w:rPr>
          <w:rFonts w:ascii="Segoe UI" w:hAnsi="Segoe UI" w:cs="Segoe UI"/>
          <w:i/>
          <w:iCs/>
          <w:color w:val="0D0D0D"/>
          <w:sz w:val="24"/>
          <w:szCs w:val="24"/>
        </w:rPr>
        <w:t xml:space="preserve">The Convention on the Right of the Child: The Children’s version </w:t>
      </w:r>
      <w:proofErr w:type="spellStart"/>
      <w:r>
        <w:rPr>
          <w:rFonts w:ascii="Segoe UI" w:hAnsi="Segoe UI" w:cs="Segoe UI"/>
          <w:color w:val="0D0D0D"/>
          <w:sz w:val="24"/>
          <w:szCs w:val="24"/>
        </w:rPr>
        <w:t>Ar</w:t>
      </w:r>
      <w:proofErr w:type="spellEnd"/>
      <w:r>
        <w:rPr>
          <w:rFonts w:ascii="Segoe UI" w:hAnsi="Segoe UI" w:cs="Segoe UI"/>
          <w:color w:val="0D0D0D"/>
          <w:sz w:val="24"/>
          <w:szCs w:val="24"/>
        </w:rPr>
        <w:t xml:space="preserve"> </w:t>
      </w:r>
      <w:proofErr w:type="spellStart"/>
      <w:r>
        <w:rPr>
          <w:rFonts w:ascii="Segoe UI" w:hAnsi="Segoe UI" w:cs="Segoe UI"/>
          <w:color w:val="0D0D0D"/>
          <w:sz w:val="24"/>
          <w:szCs w:val="24"/>
        </w:rPr>
        <w:t>gael</w:t>
      </w:r>
      <w:proofErr w:type="spellEnd"/>
      <w:r>
        <w:rPr>
          <w:rFonts w:ascii="Segoe UI" w:hAnsi="Segoe UI" w:cs="Segoe UI"/>
          <w:color w:val="0D0D0D"/>
          <w:sz w:val="24"/>
          <w:szCs w:val="24"/>
        </w:rPr>
        <w:t xml:space="preserve"> fan </w:t>
      </w:r>
      <w:proofErr w:type="spellStart"/>
      <w:r>
        <w:rPr>
          <w:rFonts w:ascii="Segoe UI" w:hAnsi="Segoe UI" w:cs="Segoe UI"/>
          <w:color w:val="0D0D0D"/>
          <w:sz w:val="24"/>
          <w:szCs w:val="24"/>
        </w:rPr>
        <w:t>hyn</w:t>
      </w:r>
      <w:proofErr w:type="spellEnd"/>
      <w:r>
        <w:rPr>
          <w:rFonts w:ascii="Segoe UI" w:hAnsi="Segoe UI" w:cs="Segoe UI"/>
          <w:color w:val="0D0D0D"/>
          <w:sz w:val="24"/>
          <w:szCs w:val="24"/>
        </w:rPr>
        <w:t>:</w:t>
      </w:r>
      <w:r w:rsidRPr="0074155F">
        <w:t xml:space="preserve"> </w:t>
      </w:r>
      <w:hyperlink r:id="rId12" w:history="1">
        <w:r w:rsidRPr="00A662D4">
          <w:rPr>
            <w:rStyle w:val="Hyperlink"/>
            <w:rFonts w:ascii="Segoe UI" w:hAnsi="Segoe UI" w:cs="Segoe UI"/>
            <w:sz w:val="24"/>
            <w:szCs w:val="24"/>
          </w:rPr>
          <w:t>https://www.unicef.org/child-rights-convention/convention-text-childrens-version</w:t>
        </w:r>
      </w:hyperlink>
      <w:r>
        <w:rPr>
          <w:rFonts w:ascii="Segoe UI" w:hAnsi="Segoe UI" w:cs="Segoe UI"/>
          <w:color w:val="0D0D0D"/>
          <w:sz w:val="24"/>
          <w:szCs w:val="24"/>
        </w:rPr>
        <w:t xml:space="preserve"> (</w:t>
      </w:r>
      <w:proofErr w:type="spellStart"/>
      <w:r>
        <w:rPr>
          <w:rFonts w:ascii="Segoe UI" w:hAnsi="Segoe UI" w:cs="Segoe UI"/>
          <w:color w:val="0D0D0D"/>
          <w:sz w:val="24"/>
          <w:szCs w:val="24"/>
        </w:rPr>
        <w:t>Cyrchwyd</w:t>
      </w:r>
      <w:proofErr w:type="spellEnd"/>
      <w:r>
        <w:rPr>
          <w:rFonts w:ascii="Segoe UI" w:hAnsi="Segoe UI" w:cs="Segoe UI"/>
          <w:color w:val="0D0D0D"/>
          <w:sz w:val="24"/>
          <w:szCs w:val="24"/>
        </w:rPr>
        <w:t>: 28/04/2024)</w:t>
      </w:r>
    </w:p>
    <w:p w14:paraId="7679D632" w14:textId="7E42BE71" w:rsidR="0081218C" w:rsidRPr="0074155F" w:rsidRDefault="0081218C" w:rsidP="00AF28E5">
      <w:pPr>
        <w:spacing w:line="360" w:lineRule="auto"/>
        <w:rPr>
          <w:rFonts w:asciiTheme="minorHAnsi" w:hAnsiTheme="minorHAnsi" w:cstheme="minorHAnsi"/>
          <w:color w:val="0D0D0D"/>
          <w:sz w:val="24"/>
          <w:szCs w:val="24"/>
        </w:rPr>
      </w:pPr>
      <w:r w:rsidRPr="0074155F">
        <w:rPr>
          <w:rFonts w:asciiTheme="minorHAnsi" w:hAnsiTheme="minorHAnsi" w:cstheme="minorHAnsi"/>
          <w:color w:val="0D0D0D"/>
          <w:sz w:val="24"/>
          <w:szCs w:val="24"/>
        </w:rPr>
        <w:t xml:space="preserve">UWTSD (2022) </w:t>
      </w:r>
      <w:r w:rsidRPr="0074155F">
        <w:rPr>
          <w:rFonts w:asciiTheme="minorHAnsi" w:hAnsiTheme="minorHAnsi" w:cstheme="minorHAnsi"/>
          <w:i/>
          <w:iCs/>
          <w:color w:val="0D0D0D"/>
          <w:sz w:val="24"/>
          <w:szCs w:val="24"/>
        </w:rPr>
        <w:t>Research Ethics &amp; Integrity Code of Practice</w:t>
      </w:r>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Prifysgol</w:t>
      </w:r>
      <w:proofErr w:type="spellEnd"/>
      <w:r w:rsidRPr="0074155F">
        <w:rPr>
          <w:rFonts w:asciiTheme="minorHAnsi" w:hAnsiTheme="minorHAnsi" w:cstheme="minorHAnsi"/>
          <w:color w:val="0D0D0D"/>
          <w:sz w:val="24"/>
          <w:szCs w:val="24"/>
        </w:rPr>
        <w:t xml:space="preserve"> Y </w:t>
      </w:r>
      <w:proofErr w:type="spellStart"/>
      <w:r w:rsidRPr="0074155F">
        <w:rPr>
          <w:rFonts w:asciiTheme="minorHAnsi" w:hAnsiTheme="minorHAnsi" w:cstheme="minorHAnsi"/>
          <w:color w:val="0D0D0D"/>
          <w:sz w:val="24"/>
          <w:szCs w:val="24"/>
        </w:rPr>
        <w:t>drindod</w:t>
      </w:r>
      <w:proofErr w:type="spellEnd"/>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Dewi</w:t>
      </w:r>
      <w:proofErr w:type="spellEnd"/>
      <w:r w:rsidRPr="0074155F">
        <w:rPr>
          <w:rFonts w:asciiTheme="minorHAnsi" w:hAnsiTheme="minorHAnsi" w:cstheme="minorHAnsi"/>
          <w:color w:val="0D0D0D"/>
          <w:sz w:val="24"/>
          <w:szCs w:val="24"/>
        </w:rPr>
        <w:t xml:space="preserve"> Sant. </w:t>
      </w:r>
      <w:proofErr w:type="spellStart"/>
      <w:r w:rsidRPr="0074155F">
        <w:rPr>
          <w:rFonts w:asciiTheme="minorHAnsi" w:hAnsiTheme="minorHAnsi" w:cstheme="minorHAnsi"/>
          <w:color w:val="0D0D0D"/>
          <w:sz w:val="24"/>
          <w:szCs w:val="24"/>
        </w:rPr>
        <w:t>Ar</w:t>
      </w:r>
      <w:proofErr w:type="spellEnd"/>
      <w:r w:rsidRPr="0074155F">
        <w:rPr>
          <w:rFonts w:asciiTheme="minorHAnsi" w:hAnsiTheme="minorHAnsi" w:cstheme="minorHAnsi"/>
          <w:color w:val="0D0D0D"/>
          <w:sz w:val="24"/>
          <w:szCs w:val="24"/>
        </w:rPr>
        <w:t xml:space="preserve"> </w:t>
      </w:r>
      <w:proofErr w:type="spellStart"/>
      <w:r w:rsidRPr="0074155F">
        <w:rPr>
          <w:rFonts w:asciiTheme="minorHAnsi" w:hAnsiTheme="minorHAnsi" w:cstheme="minorHAnsi"/>
          <w:color w:val="0D0D0D"/>
          <w:sz w:val="24"/>
          <w:szCs w:val="24"/>
        </w:rPr>
        <w:t>gael</w:t>
      </w:r>
      <w:proofErr w:type="spellEnd"/>
      <w:r w:rsidRPr="0074155F">
        <w:rPr>
          <w:rFonts w:asciiTheme="minorHAnsi" w:hAnsiTheme="minorHAnsi" w:cstheme="minorHAnsi"/>
          <w:color w:val="0D0D0D"/>
          <w:sz w:val="24"/>
          <w:szCs w:val="24"/>
        </w:rPr>
        <w:t xml:space="preserve"> fan </w:t>
      </w:r>
      <w:proofErr w:type="spellStart"/>
      <w:r w:rsidRPr="0074155F">
        <w:rPr>
          <w:rFonts w:asciiTheme="minorHAnsi" w:hAnsiTheme="minorHAnsi" w:cstheme="minorHAnsi"/>
          <w:color w:val="0D0D0D"/>
          <w:sz w:val="24"/>
          <w:szCs w:val="24"/>
        </w:rPr>
        <w:t>hyn</w:t>
      </w:r>
      <w:proofErr w:type="spellEnd"/>
      <w:r w:rsidRPr="0074155F">
        <w:rPr>
          <w:rFonts w:asciiTheme="minorHAnsi" w:hAnsiTheme="minorHAnsi" w:cstheme="minorHAnsi"/>
          <w:color w:val="0D0D0D"/>
          <w:sz w:val="24"/>
          <w:szCs w:val="24"/>
        </w:rPr>
        <w:t xml:space="preserve">: </w:t>
      </w:r>
      <w:hyperlink r:id="rId13" w:history="1">
        <w:r w:rsidRPr="0074155F">
          <w:rPr>
            <w:rStyle w:val="Hyperlink"/>
            <w:rFonts w:asciiTheme="minorHAnsi" w:hAnsiTheme="minorHAnsi" w:cstheme="minorHAnsi"/>
            <w:sz w:val="24"/>
            <w:szCs w:val="24"/>
          </w:rPr>
          <w:t>https://www.uwtsd.ac.uk/research/research-integrity-and-ethics</w:t>
        </w:r>
      </w:hyperlink>
    </w:p>
    <w:p w14:paraId="3B1B267D" w14:textId="77777777" w:rsidR="0081218C" w:rsidRPr="0074155F" w:rsidRDefault="0081218C" w:rsidP="00AF28E5">
      <w:pPr>
        <w:spacing w:line="360" w:lineRule="auto"/>
        <w:rPr>
          <w:rFonts w:asciiTheme="minorHAnsi" w:hAnsiTheme="minorHAnsi" w:cstheme="minorHAnsi"/>
          <w:sz w:val="24"/>
          <w:szCs w:val="24"/>
          <w:lang w:val="cy-GB"/>
        </w:rPr>
      </w:pPr>
      <w:r w:rsidRPr="0074155F">
        <w:rPr>
          <w:rFonts w:asciiTheme="minorHAnsi" w:hAnsiTheme="minorHAnsi" w:cstheme="minorHAnsi"/>
          <w:sz w:val="24"/>
          <w:szCs w:val="24"/>
          <w:lang w:val="cy-GB"/>
        </w:rPr>
        <w:t xml:space="preserve">Yin,R (2018) </w:t>
      </w:r>
      <w:r w:rsidRPr="0074155F">
        <w:rPr>
          <w:rFonts w:asciiTheme="minorHAnsi" w:hAnsiTheme="minorHAnsi" w:cstheme="minorHAnsi"/>
          <w:i/>
          <w:iCs/>
          <w:sz w:val="24"/>
          <w:szCs w:val="24"/>
          <w:lang w:val="cy-GB"/>
        </w:rPr>
        <w:t xml:space="preserve">Case Study Research and Applications: Design and Methods. </w:t>
      </w:r>
      <w:r w:rsidRPr="0074155F">
        <w:rPr>
          <w:rFonts w:asciiTheme="minorHAnsi" w:hAnsiTheme="minorHAnsi" w:cstheme="minorHAnsi"/>
          <w:sz w:val="24"/>
          <w:szCs w:val="24"/>
          <w:lang w:val="cy-GB"/>
        </w:rPr>
        <w:t>Sage Publications: Indonesia</w:t>
      </w:r>
    </w:p>
    <w:p w14:paraId="1BA059A9"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Yin,R</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(2014) </w:t>
      </w:r>
      <w:r>
        <w:rPr>
          <w:rFonts w:ascii="Segoe UI" w:hAnsi="Segoe UI" w:cs="Segoe UI"/>
          <w:i/>
          <w:iCs/>
          <w:color w:val="0D0D0D"/>
          <w:sz w:val="24"/>
          <w:szCs w:val="24"/>
        </w:rPr>
        <w:t xml:space="preserve">Case Study Research Design and Methods </w:t>
      </w:r>
      <w:r>
        <w:rPr>
          <w:rFonts w:ascii="Segoe UI" w:hAnsi="Segoe UI" w:cs="Segoe UI"/>
          <w:color w:val="0D0D0D"/>
          <w:sz w:val="24"/>
          <w:szCs w:val="24"/>
        </w:rPr>
        <w:t>SAGE Publications</w:t>
      </w:r>
    </w:p>
    <w:p w14:paraId="719C7079" w14:textId="77777777"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Zen,Y</w:t>
      </w:r>
      <w:proofErr w:type="spellEnd"/>
      <w:proofErr w:type="gramEnd"/>
      <w:r>
        <w:rPr>
          <w:rFonts w:ascii="Segoe UI" w:hAnsi="Segoe UI" w:cs="Segoe UI"/>
          <w:color w:val="0D0D0D"/>
          <w:sz w:val="24"/>
          <w:szCs w:val="24"/>
        </w:rPr>
        <w:t xml:space="preserve"> (2018) </w:t>
      </w:r>
      <w:r>
        <w:rPr>
          <w:rFonts w:ascii="Segoe UI" w:hAnsi="Segoe UI" w:cs="Segoe UI"/>
          <w:i/>
          <w:iCs/>
          <w:color w:val="0D0D0D"/>
          <w:sz w:val="24"/>
          <w:szCs w:val="24"/>
        </w:rPr>
        <w:t xml:space="preserve">Effects of Mindfulness-Based Interventions on Attention in children and </w:t>
      </w:r>
      <w:proofErr w:type="spellStart"/>
      <w:r>
        <w:rPr>
          <w:rFonts w:ascii="Segoe UI" w:hAnsi="Segoe UI" w:cs="Segoe UI"/>
          <w:i/>
          <w:iCs/>
          <w:color w:val="0D0D0D"/>
          <w:sz w:val="24"/>
          <w:szCs w:val="24"/>
        </w:rPr>
        <w:t>Adolesecents</w:t>
      </w:r>
      <w:proofErr w:type="spellEnd"/>
      <w:r>
        <w:rPr>
          <w:rFonts w:ascii="Segoe UI" w:hAnsi="Segoe UI" w:cs="Segoe UI"/>
          <w:i/>
          <w:iCs/>
          <w:color w:val="0D0D0D"/>
          <w:sz w:val="24"/>
          <w:szCs w:val="24"/>
        </w:rPr>
        <w:t xml:space="preserve">: A meta-Analysis. </w:t>
      </w:r>
      <w:r>
        <w:rPr>
          <w:rFonts w:ascii="Segoe UI" w:hAnsi="Segoe UI" w:cs="Segoe UI"/>
          <w:color w:val="0D0D0D"/>
          <w:sz w:val="24"/>
          <w:szCs w:val="24"/>
        </w:rPr>
        <w:t xml:space="preserve">Environ Res Public Health. </w:t>
      </w:r>
      <w:proofErr w:type="spellStart"/>
      <w:r>
        <w:rPr>
          <w:rFonts w:ascii="Segoe UI" w:hAnsi="Segoe UI" w:cs="Segoe UI"/>
          <w:color w:val="0D0D0D"/>
          <w:sz w:val="24"/>
          <w:szCs w:val="24"/>
        </w:rPr>
        <w:t>Ar</w:t>
      </w:r>
      <w:proofErr w:type="spellEnd"/>
      <w:r>
        <w:rPr>
          <w:rFonts w:ascii="Segoe UI" w:hAnsi="Segoe UI" w:cs="Segoe UI"/>
          <w:color w:val="0D0D0D"/>
          <w:sz w:val="24"/>
          <w:szCs w:val="24"/>
        </w:rPr>
        <w:t xml:space="preserve"> </w:t>
      </w:r>
      <w:proofErr w:type="spellStart"/>
      <w:r>
        <w:rPr>
          <w:rFonts w:ascii="Segoe UI" w:hAnsi="Segoe UI" w:cs="Segoe UI"/>
          <w:color w:val="0D0D0D"/>
          <w:sz w:val="24"/>
          <w:szCs w:val="24"/>
        </w:rPr>
        <w:t>gael</w:t>
      </w:r>
      <w:proofErr w:type="spellEnd"/>
      <w:r>
        <w:rPr>
          <w:rFonts w:ascii="Segoe UI" w:hAnsi="Segoe UI" w:cs="Segoe UI"/>
          <w:color w:val="0D0D0D"/>
          <w:sz w:val="24"/>
          <w:szCs w:val="24"/>
        </w:rPr>
        <w:t xml:space="preserve"> fan </w:t>
      </w:r>
      <w:proofErr w:type="spellStart"/>
      <w:r>
        <w:rPr>
          <w:rFonts w:ascii="Segoe UI" w:hAnsi="Segoe UI" w:cs="Segoe UI"/>
          <w:color w:val="0D0D0D"/>
          <w:sz w:val="24"/>
          <w:szCs w:val="24"/>
        </w:rPr>
        <w:t>hyn</w:t>
      </w:r>
      <w:proofErr w:type="spellEnd"/>
      <w:r>
        <w:rPr>
          <w:rFonts w:ascii="Segoe UI" w:hAnsi="Segoe UI" w:cs="Segoe UI"/>
          <w:color w:val="0D0D0D"/>
          <w:sz w:val="24"/>
          <w:szCs w:val="24"/>
        </w:rPr>
        <w:t xml:space="preserve">: </w:t>
      </w:r>
      <w:hyperlink r:id="rId14" w:history="1">
        <w:r w:rsidRPr="00A662D4">
          <w:rPr>
            <w:rStyle w:val="Hyperlink"/>
            <w:rFonts w:ascii="Segoe UI" w:hAnsi="Segoe UI" w:cs="Segoe UI"/>
            <w:sz w:val="24"/>
            <w:szCs w:val="24"/>
          </w:rPr>
          <w:t>https://www.ncbi.nlm.nih.gov/pmc/articles/PMC9690476/</w:t>
        </w:r>
      </w:hyperlink>
    </w:p>
    <w:p w14:paraId="59D1121A" w14:textId="31369FB8" w:rsidR="0081218C" w:rsidRDefault="0081218C" w:rsidP="00AF28E5">
      <w:pPr>
        <w:spacing w:line="360" w:lineRule="auto"/>
        <w:rPr>
          <w:rFonts w:ascii="Segoe UI" w:hAnsi="Segoe UI" w:cs="Segoe UI"/>
          <w:i/>
          <w:iCs/>
          <w:color w:val="0D0D0D"/>
          <w:sz w:val="24"/>
          <w:szCs w:val="24"/>
        </w:rPr>
      </w:pPr>
      <w:proofErr w:type="spellStart"/>
      <w:r>
        <w:rPr>
          <w:rFonts w:ascii="Segoe UI" w:hAnsi="Segoe UI" w:cs="Segoe UI"/>
          <w:color w:val="0D0D0D"/>
          <w:sz w:val="24"/>
          <w:szCs w:val="24"/>
        </w:rPr>
        <w:t>Dillman</w:t>
      </w:r>
      <w:proofErr w:type="spellEnd"/>
      <w:r>
        <w:rPr>
          <w:rFonts w:ascii="Segoe UI" w:hAnsi="Segoe UI" w:cs="Segoe UI"/>
          <w:color w:val="0D0D0D"/>
          <w:sz w:val="24"/>
          <w:szCs w:val="24"/>
        </w:rPr>
        <w:t xml:space="preserve"> D.A. </w:t>
      </w:r>
      <w:proofErr w:type="spellStart"/>
      <w:proofErr w:type="gramStart"/>
      <w:r>
        <w:rPr>
          <w:rFonts w:ascii="Segoe UI" w:hAnsi="Segoe UI" w:cs="Segoe UI"/>
          <w:color w:val="0D0D0D"/>
          <w:sz w:val="24"/>
          <w:szCs w:val="24"/>
        </w:rPr>
        <w:t>Smyth,J.D</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Christian,L.M</w:t>
      </w:r>
      <w:proofErr w:type="spellEnd"/>
      <w:r>
        <w:rPr>
          <w:rFonts w:ascii="Segoe UI" w:hAnsi="Segoe UI" w:cs="Segoe UI"/>
          <w:color w:val="0D0D0D"/>
          <w:sz w:val="24"/>
          <w:szCs w:val="24"/>
        </w:rPr>
        <w:t xml:space="preserve">. (2014) </w:t>
      </w:r>
      <w:r>
        <w:rPr>
          <w:rFonts w:ascii="Segoe UI" w:hAnsi="Segoe UI" w:cs="Segoe UI"/>
          <w:i/>
          <w:iCs/>
          <w:color w:val="0D0D0D"/>
          <w:sz w:val="24"/>
          <w:szCs w:val="24"/>
        </w:rPr>
        <w:t xml:space="preserve"> Internet, phone, mail, and mixed mode </w:t>
      </w:r>
      <w:proofErr w:type="spellStart"/>
      <w:r>
        <w:rPr>
          <w:rFonts w:ascii="Segoe UI" w:hAnsi="Segoe UI" w:cs="Segoe UI"/>
          <w:i/>
          <w:iCs/>
          <w:color w:val="0D0D0D"/>
          <w:sz w:val="24"/>
          <w:szCs w:val="24"/>
        </w:rPr>
        <w:t>surverys</w:t>
      </w:r>
      <w:proofErr w:type="spellEnd"/>
      <w:r>
        <w:rPr>
          <w:rFonts w:ascii="Segoe UI" w:hAnsi="Segoe UI" w:cs="Segoe UI"/>
          <w:i/>
          <w:iCs/>
          <w:color w:val="0D0D0D"/>
          <w:sz w:val="24"/>
          <w:szCs w:val="24"/>
        </w:rPr>
        <w:t>: The tailored design method. John Wiley&amp; Sons.</w:t>
      </w:r>
    </w:p>
    <w:p w14:paraId="7D11E3D1" w14:textId="5A1DDF50"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Kronick,J.A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Presser,S</w:t>
      </w:r>
      <w:proofErr w:type="spellEnd"/>
      <w:r>
        <w:rPr>
          <w:rFonts w:ascii="Segoe UI" w:hAnsi="Segoe UI" w:cs="Segoe UI"/>
          <w:color w:val="0D0D0D"/>
          <w:sz w:val="24"/>
          <w:szCs w:val="24"/>
        </w:rPr>
        <w:t xml:space="preserve">. (2010) </w:t>
      </w:r>
      <w:r>
        <w:rPr>
          <w:rFonts w:ascii="Segoe UI" w:hAnsi="Segoe UI" w:cs="Segoe UI"/>
          <w:i/>
          <w:iCs/>
          <w:color w:val="0D0D0D"/>
          <w:sz w:val="24"/>
          <w:szCs w:val="24"/>
        </w:rPr>
        <w:t xml:space="preserve">questions and questionnaire deign. </w:t>
      </w:r>
      <w:r>
        <w:rPr>
          <w:rFonts w:ascii="Segoe UI" w:hAnsi="Segoe UI" w:cs="Segoe UI"/>
          <w:color w:val="0D0D0D"/>
          <w:sz w:val="24"/>
          <w:szCs w:val="24"/>
        </w:rPr>
        <w:t xml:space="preserve"> Handbook of survey research</w:t>
      </w:r>
    </w:p>
    <w:p w14:paraId="37163254" w14:textId="4C90D59B"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Creswell,J</w:t>
      </w:r>
      <w:proofErr w:type="gramEnd"/>
      <w:r>
        <w:rPr>
          <w:rFonts w:ascii="Segoe UI" w:hAnsi="Segoe UI" w:cs="Segoe UI"/>
          <w:color w:val="0D0D0D"/>
          <w:sz w:val="24"/>
          <w:szCs w:val="24"/>
        </w:rPr>
        <w:t>.W</w:t>
      </w:r>
      <w:proofErr w:type="spellEnd"/>
      <w:r>
        <w:rPr>
          <w:rFonts w:ascii="Segoe UI" w:hAnsi="Segoe UI" w:cs="Segoe UI"/>
          <w:color w:val="0D0D0D"/>
          <w:sz w:val="24"/>
          <w:szCs w:val="24"/>
        </w:rPr>
        <w:t xml:space="preserve"> </w:t>
      </w:r>
      <w:proofErr w:type="spellStart"/>
      <w:r>
        <w:rPr>
          <w:rFonts w:ascii="Segoe UI" w:hAnsi="Segoe UI" w:cs="Segoe UI"/>
          <w:color w:val="0D0D0D"/>
          <w:sz w:val="24"/>
          <w:szCs w:val="24"/>
        </w:rPr>
        <w:t>Miller,D.L</w:t>
      </w:r>
      <w:proofErr w:type="spellEnd"/>
      <w:r>
        <w:rPr>
          <w:rFonts w:ascii="Segoe UI" w:hAnsi="Segoe UI" w:cs="Segoe UI"/>
          <w:color w:val="0D0D0D"/>
          <w:sz w:val="24"/>
          <w:szCs w:val="24"/>
        </w:rPr>
        <w:t xml:space="preserve">. (2000) </w:t>
      </w:r>
      <w:r>
        <w:rPr>
          <w:rFonts w:ascii="Segoe UI" w:hAnsi="Segoe UI" w:cs="Segoe UI"/>
          <w:i/>
          <w:iCs/>
          <w:color w:val="0D0D0D"/>
          <w:sz w:val="24"/>
          <w:szCs w:val="24"/>
        </w:rPr>
        <w:t xml:space="preserve"> Determining validity in qualitative inquiry. </w:t>
      </w:r>
      <w:r>
        <w:rPr>
          <w:rFonts w:ascii="Segoe UI" w:hAnsi="Segoe UI" w:cs="Segoe UI"/>
          <w:color w:val="0D0D0D"/>
          <w:sz w:val="24"/>
          <w:szCs w:val="24"/>
        </w:rPr>
        <w:t>Theory into Practice</w:t>
      </w:r>
    </w:p>
    <w:p w14:paraId="4685D6D7" w14:textId="0B281C6F"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Lincol,Y.S</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Guba,E.G</w:t>
      </w:r>
      <w:proofErr w:type="spellEnd"/>
      <w:r>
        <w:rPr>
          <w:rFonts w:ascii="Segoe UI" w:hAnsi="Segoe UI" w:cs="Segoe UI"/>
          <w:color w:val="0D0D0D"/>
          <w:sz w:val="24"/>
          <w:szCs w:val="24"/>
        </w:rPr>
        <w:t xml:space="preserve"> (1985) </w:t>
      </w:r>
      <w:r>
        <w:rPr>
          <w:rFonts w:ascii="Segoe UI" w:hAnsi="Segoe UI" w:cs="Segoe UI"/>
          <w:i/>
          <w:iCs/>
          <w:color w:val="0D0D0D"/>
          <w:sz w:val="24"/>
          <w:szCs w:val="24"/>
        </w:rPr>
        <w:t xml:space="preserve">Naturalistic inquiry. </w:t>
      </w:r>
      <w:r>
        <w:rPr>
          <w:rFonts w:ascii="Segoe UI" w:hAnsi="Segoe UI" w:cs="Segoe UI"/>
          <w:color w:val="0D0D0D"/>
          <w:sz w:val="24"/>
          <w:szCs w:val="24"/>
        </w:rPr>
        <w:t>Sage Publications</w:t>
      </w:r>
    </w:p>
    <w:p w14:paraId="289B77A6" w14:textId="27410643" w:rsidR="0081218C" w:rsidRDefault="0081218C" w:rsidP="00AF28E5">
      <w:pPr>
        <w:spacing w:line="360" w:lineRule="auto"/>
        <w:rPr>
          <w:rFonts w:ascii="Segoe UI" w:hAnsi="Segoe UI" w:cs="Segoe UI"/>
          <w:i/>
          <w:iCs/>
          <w:color w:val="0D0D0D"/>
          <w:sz w:val="24"/>
          <w:szCs w:val="24"/>
        </w:rPr>
      </w:pPr>
      <w:proofErr w:type="spellStart"/>
      <w:proofErr w:type="gramStart"/>
      <w:r>
        <w:rPr>
          <w:rFonts w:ascii="Segoe UI" w:hAnsi="Segoe UI" w:cs="Segoe UI"/>
          <w:color w:val="0D0D0D"/>
          <w:sz w:val="24"/>
          <w:szCs w:val="24"/>
        </w:rPr>
        <w:lastRenderedPageBreak/>
        <w:t>Shenton,A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(2004) </w:t>
      </w:r>
      <w:r>
        <w:rPr>
          <w:rFonts w:ascii="Segoe UI" w:hAnsi="Segoe UI" w:cs="Segoe UI"/>
          <w:i/>
          <w:iCs/>
          <w:color w:val="0D0D0D"/>
          <w:sz w:val="24"/>
          <w:szCs w:val="24"/>
        </w:rPr>
        <w:t>Strategies for ensuring trustworthiness in qualitative research projects. Education Information</w:t>
      </w:r>
    </w:p>
    <w:p w14:paraId="6A0AE7D6" w14:textId="53A359BB"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Brown,A</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Jones,B</w:t>
      </w:r>
      <w:proofErr w:type="spellEnd"/>
      <w:r>
        <w:rPr>
          <w:rFonts w:ascii="Segoe UI" w:hAnsi="Segoe UI" w:cs="Segoe UI"/>
          <w:color w:val="0D0D0D"/>
          <w:sz w:val="24"/>
          <w:szCs w:val="24"/>
        </w:rPr>
        <w:t xml:space="preserve">. (2018) </w:t>
      </w:r>
      <w:r>
        <w:rPr>
          <w:rFonts w:ascii="Segoe UI" w:hAnsi="Segoe UI" w:cs="Segoe UI"/>
          <w:i/>
          <w:iCs/>
          <w:color w:val="0D0D0D"/>
          <w:sz w:val="24"/>
          <w:szCs w:val="24"/>
        </w:rPr>
        <w:t xml:space="preserve">The impact of structured activities on student engagement levels. </w:t>
      </w:r>
      <w:r>
        <w:rPr>
          <w:rFonts w:ascii="Segoe UI" w:hAnsi="Segoe UI" w:cs="Segoe UI"/>
          <w:color w:val="0D0D0D"/>
          <w:sz w:val="24"/>
          <w:szCs w:val="24"/>
        </w:rPr>
        <w:t>Educational Psychology Review.</w:t>
      </w:r>
    </w:p>
    <w:p w14:paraId="466A7B81" w14:textId="123371AD" w:rsidR="0081218C" w:rsidRDefault="0081218C" w:rsidP="00AF28E5">
      <w:pPr>
        <w:spacing w:line="360" w:lineRule="auto"/>
        <w:rPr>
          <w:rFonts w:ascii="Segoe UI" w:hAnsi="Segoe UI" w:cs="Segoe UI"/>
          <w:i/>
          <w:iCs/>
          <w:color w:val="0D0D0D"/>
          <w:sz w:val="24"/>
          <w:szCs w:val="24"/>
        </w:rPr>
      </w:pPr>
      <w:proofErr w:type="spellStart"/>
      <w:proofErr w:type="gramStart"/>
      <w:r>
        <w:rPr>
          <w:rFonts w:ascii="Segoe UI" w:hAnsi="Segoe UI" w:cs="Segoe UI"/>
          <w:color w:val="0D0D0D"/>
          <w:sz w:val="24"/>
          <w:szCs w:val="24"/>
        </w:rPr>
        <w:t>Gracia,C</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Smith,T</w:t>
      </w:r>
      <w:proofErr w:type="spellEnd"/>
      <w:r>
        <w:rPr>
          <w:rFonts w:ascii="Segoe UI" w:hAnsi="Segoe UI" w:cs="Segoe UI"/>
          <w:color w:val="0D0D0D"/>
          <w:sz w:val="24"/>
          <w:szCs w:val="24"/>
        </w:rPr>
        <w:t xml:space="preserve">. (2020) </w:t>
      </w:r>
      <w:r>
        <w:rPr>
          <w:rFonts w:ascii="Segoe UI" w:hAnsi="Segoe UI" w:cs="Segoe UI"/>
          <w:i/>
          <w:iCs/>
          <w:color w:val="0D0D0D"/>
          <w:sz w:val="24"/>
          <w:szCs w:val="24"/>
        </w:rPr>
        <w:t xml:space="preserve">Enhancing engagement in classroom activities: Strategies for effective instruction. </w:t>
      </w:r>
      <w:r>
        <w:rPr>
          <w:rFonts w:ascii="Segoe UI" w:hAnsi="Segoe UI" w:cs="Segoe UI"/>
          <w:color w:val="0D0D0D"/>
          <w:sz w:val="24"/>
          <w:szCs w:val="24"/>
        </w:rPr>
        <w:t>Journal of Education Psychology</w:t>
      </w:r>
      <w:r>
        <w:rPr>
          <w:rFonts w:ascii="Segoe UI" w:hAnsi="Segoe UI" w:cs="Segoe UI"/>
          <w:i/>
          <w:iCs/>
          <w:color w:val="0D0D0D"/>
          <w:sz w:val="24"/>
          <w:szCs w:val="24"/>
        </w:rPr>
        <w:t xml:space="preserve"> </w:t>
      </w:r>
    </w:p>
    <w:p w14:paraId="12172D19" w14:textId="27C1E05D" w:rsid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Jones,B</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w:t>
      </w:r>
      <w:proofErr w:type="spellStart"/>
      <w:r>
        <w:rPr>
          <w:rFonts w:ascii="Segoe UI" w:hAnsi="Segoe UI" w:cs="Segoe UI"/>
          <w:color w:val="0D0D0D"/>
          <w:sz w:val="24"/>
          <w:szCs w:val="24"/>
        </w:rPr>
        <w:t>Davis,C</w:t>
      </w:r>
      <w:proofErr w:type="spellEnd"/>
      <w:r>
        <w:rPr>
          <w:rFonts w:ascii="Segoe UI" w:hAnsi="Segoe UI" w:cs="Segoe UI"/>
          <w:color w:val="0D0D0D"/>
          <w:sz w:val="24"/>
          <w:szCs w:val="24"/>
        </w:rPr>
        <w:t>. (2019) Understanding the role of movement in learning: Implications for instructional design. Educational Technology Research and Development</w:t>
      </w:r>
    </w:p>
    <w:p w14:paraId="651B4A25" w14:textId="4673546C" w:rsidR="0081218C" w:rsidRPr="0081218C" w:rsidRDefault="0081218C" w:rsidP="00AF28E5">
      <w:pPr>
        <w:spacing w:line="360" w:lineRule="auto"/>
        <w:rPr>
          <w:rFonts w:ascii="Segoe UI" w:hAnsi="Segoe UI" w:cs="Segoe UI"/>
          <w:color w:val="0D0D0D"/>
          <w:sz w:val="24"/>
          <w:szCs w:val="24"/>
        </w:rPr>
      </w:pPr>
      <w:proofErr w:type="spellStart"/>
      <w:proofErr w:type="gramStart"/>
      <w:r>
        <w:rPr>
          <w:rFonts w:ascii="Segoe UI" w:hAnsi="Segoe UI" w:cs="Segoe UI"/>
          <w:color w:val="0D0D0D"/>
          <w:sz w:val="24"/>
          <w:szCs w:val="24"/>
        </w:rPr>
        <w:t>Smith,J</w:t>
      </w:r>
      <w:proofErr w:type="spellEnd"/>
      <w:r>
        <w:rPr>
          <w:rFonts w:ascii="Segoe UI" w:hAnsi="Segoe UI" w:cs="Segoe UI"/>
          <w:color w:val="0D0D0D"/>
          <w:sz w:val="24"/>
          <w:szCs w:val="24"/>
        </w:rPr>
        <w:t>.</w:t>
      </w:r>
      <w:proofErr w:type="gramEnd"/>
      <w:r>
        <w:rPr>
          <w:rFonts w:ascii="Segoe UI" w:hAnsi="Segoe UI" w:cs="Segoe UI"/>
          <w:color w:val="0D0D0D"/>
          <w:sz w:val="24"/>
          <w:szCs w:val="24"/>
        </w:rPr>
        <w:t xml:space="preserve"> (2017) Investigating student engagement in classroom activities: A meta-analysis. Journal of educational Research</w:t>
      </w:r>
    </w:p>
    <w:p w14:paraId="66D1AC95" w14:textId="77777777" w:rsidR="0081218C" w:rsidRPr="0081218C" w:rsidRDefault="0081218C" w:rsidP="00AF28E5">
      <w:pPr>
        <w:spacing w:line="360" w:lineRule="auto"/>
        <w:rPr>
          <w:rFonts w:ascii="Segoe UI" w:hAnsi="Segoe UI" w:cs="Segoe UI"/>
          <w:color w:val="0D0D0D"/>
          <w:sz w:val="24"/>
          <w:szCs w:val="24"/>
        </w:rPr>
      </w:pPr>
    </w:p>
    <w:sectPr w:rsidR="0081218C" w:rsidRPr="0081218C">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59BB31" w14:textId="77777777" w:rsidR="008B0823" w:rsidRDefault="008B0823" w:rsidP="00142864">
      <w:r>
        <w:separator/>
      </w:r>
    </w:p>
  </w:endnote>
  <w:endnote w:type="continuationSeparator" w:id="0">
    <w:p w14:paraId="4DA87537" w14:textId="77777777" w:rsidR="008B0823" w:rsidRDefault="008B0823" w:rsidP="001428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6698194"/>
      <w:docPartObj>
        <w:docPartGallery w:val="Page Numbers (Bottom of Page)"/>
        <w:docPartUnique/>
      </w:docPartObj>
    </w:sdtPr>
    <w:sdtContent>
      <w:p w14:paraId="4EA5A524" w14:textId="4A742C99" w:rsidR="00142864" w:rsidRDefault="00142864" w:rsidP="00A662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4C27F4" w14:textId="77777777" w:rsidR="00142864" w:rsidRDefault="00142864" w:rsidP="001428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145370"/>
      <w:docPartObj>
        <w:docPartGallery w:val="Page Numbers (Bottom of Page)"/>
        <w:docPartUnique/>
      </w:docPartObj>
    </w:sdtPr>
    <w:sdtContent>
      <w:p w14:paraId="1EF2926D" w14:textId="432C3F2E" w:rsidR="00142864" w:rsidRDefault="00142864" w:rsidP="00A662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4A718B" w14:textId="77777777" w:rsidR="00142864" w:rsidRDefault="00142864" w:rsidP="001428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F4229E" w14:textId="77777777" w:rsidR="008B0823" w:rsidRDefault="008B0823" w:rsidP="00142864">
      <w:r>
        <w:separator/>
      </w:r>
    </w:p>
  </w:footnote>
  <w:footnote w:type="continuationSeparator" w:id="0">
    <w:p w14:paraId="205EBC25" w14:textId="77777777" w:rsidR="008B0823" w:rsidRDefault="008B0823" w:rsidP="001428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1EAA2" w14:textId="661AA4B8" w:rsidR="00142864" w:rsidRDefault="00142864" w:rsidP="00142864">
    <w:pPr>
      <w:pStyle w:val="Header"/>
      <w:tabs>
        <w:tab w:val="clear" w:pos="4513"/>
        <w:tab w:val="clear" w:pos="9026"/>
        <w:tab w:val="left" w:pos="6610"/>
      </w:tabs>
    </w:pPr>
    <w:r>
      <w:t>ECAD7004</w:t>
    </w:r>
    <w:r>
      <w:tab/>
      <w:t>Megan Owens-1800606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C4BFD"/>
    <w:multiLevelType w:val="multilevel"/>
    <w:tmpl w:val="D8DE7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C45FE1"/>
    <w:multiLevelType w:val="multilevel"/>
    <w:tmpl w:val="16C27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C826E6"/>
    <w:multiLevelType w:val="multilevel"/>
    <w:tmpl w:val="1C38041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3BB6053F"/>
    <w:multiLevelType w:val="multilevel"/>
    <w:tmpl w:val="F7DEC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A872C7"/>
    <w:multiLevelType w:val="multilevel"/>
    <w:tmpl w:val="35207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A70F7A"/>
    <w:multiLevelType w:val="multilevel"/>
    <w:tmpl w:val="D19A9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32308">
    <w:abstractNumId w:val="1"/>
  </w:num>
  <w:num w:numId="2" w16cid:durableId="2052151954">
    <w:abstractNumId w:val="2"/>
  </w:num>
  <w:num w:numId="3" w16cid:durableId="675227817">
    <w:abstractNumId w:val="5"/>
  </w:num>
  <w:num w:numId="4" w16cid:durableId="1477993029">
    <w:abstractNumId w:val="0"/>
  </w:num>
  <w:num w:numId="5" w16cid:durableId="1959557226">
    <w:abstractNumId w:val="4"/>
  </w:num>
  <w:num w:numId="6" w16cid:durableId="20174907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FE5"/>
    <w:rsid w:val="00023D9F"/>
    <w:rsid w:val="000E04C8"/>
    <w:rsid w:val="00142864"/>
    <w:rsid w:val="00233CF0"/>
    <w:rsid w:val="00234E5C"/>
    <w:rsid w:val="002359A7"/>
    <w:rsid w:val="00245625"/>
    <w:rsid w:val="00646119"/>
    <w:rsid w:val="0074155F"/>
    <w:rsid w:val="00757B46"/>
    <w:rsid w:val="007A03B1"/>
    <w:rsid w:val="0081218C"/>
    <w:rsid w:val="008B0823"/>
    <w:rsid w:val="009A53AB"/>
    <w:rsid w:val="009D2923"/>
    <w:rsid w:val="00A53E23"/>
    <w:rsid w:val="00A755F9"/>
    <w:rsid w:val="00AF28E5"/>
    <w:rsid w:val="00C076BF"/>
    <w:rsid w:val="00CB628D"/>
    <w:rsid w:val="00E156ED"/>
    <w:rsid w:val="00F11FE5"/>
    <w:rsid w:val="00F83CCA"/>
    <w:rsid w:val="00FB1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AFDAA7"/>
  <w15:chartTrackingRefBased/>
  <w15:docId w15:val="{8D3EF747-00D2-DB4C-96EA-FB989E032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FE5"/>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E04C8"/>
  </w:style>
  <w:style w:type="character" w:styleId="Hyperlink">
    <w:name w:val="Hyperlink"/>
    <w:basedOn w:val="DefaultParagraphFont"/>
    <w:uiPriority w:val="99"/>
    <w:unhideWhenUsed/>
    <w:rsid w:val="009A53AB"/>
    <w:rPr>
      <w:color w:val="0563C1" w:themeColor="hyperlink"/>
      <w:u w:val="single"/>
    </w:rPr>
  </w:style>
  <w:style w:type="character" w:styleId="UnresolvedMention">
    <w:name w:val="Unresolved Mention"/>
    <w:basedOn w:val="DefaultParagraphFont"/>
    <w:uiPriority w:val="99"/>
    <w:semiHidden/>
    <w:unhideWhenUsed/>
    <w:rsid w:val="009A53AB"/>
    <w:rPr>
      <w:color w:val="605E5C"/>
      <w:shd w:val="clear" w:color="auto" w:fill="E1DFDD"/>
    </w:rPr>
  </w:style>
  <w:style w:type="paragraph" w:styleId="Header">
    <w:name w:val="header"/>
    <w:basedOn w:val="Normal"/>
    <w:link w:val="HeaderChar"/>
    <w:uiPriority w:val="99"/>
    <w:unhideWhenUsed/>
    <w:rsid w:val="00142864"/>
    <w:pPr>
      <w:tabs>
        <w:tab w:val="center" w:pos="4513"/>
        <w:tab w:val="right" w:pos="9026"/>
      </w:tabs>
    </w:pPr>
  </w:style>
  <w:style w:type="character" w:customStyle="1" w:styleId="HeaderChar">
    <w:name w:val="Header Char"/>
    <w:basedOn w:val="DefaultParagraphFont"/>
    <w:link w:val="Header"/>
    <w:uiPriority w:val="99"/>
    <w:rsid w:val="0014286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142864"/>
    <w:pPr>
      <w:tabs>
        <w:tab w:val="center" w:pos="4513"/>
        <w:tab w:val="right" w:pos="9026"/>
      </w:tabs>
    </w:pPr>
  </w:style>
  <w:style w:type="character" w:customStyle="1" w:styleId="FooterChar">
    <w:name w:val="Footer Char"/>
    <w:basedOn w:val="DefaultParagraphFont"/>
    <w:link w:val="Footer"/>
    <w:uiPriority w:val="99"/>
    <w:rsid w:val="00142864"/>
    <w:rPr>
      <w:rFonts w:ascii="Times New Roman" w:eastAsia="Times New Roman" w:hAnsi="Times New Roman" w:cs="Times New Roman"/>
      <w:kern w:val="0"/>
      <w:sz w:val="20"/>
      <w:szCs w:val="20"/>
      <w:lang w:eastAsia="en-GB"/>
      <w14:ligatures w14:val="none"/>
    </w:rPr>
  </w:style>
  <w:style w:type="character" w:styleId="PageNumber">
    <w:name w:val="page number"/>
    <w:basedOn w:val="DefaultParagraphFont"/>
    <w:uiPriority w:val="99"/>
    <w:semiHidden/>
    <w:unhideWhenUsed/>
    <w:rsid w:val="00142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150279">
      <w:bodyDiv w:val="1"/>
      <w:marLeft w:val="0"/>
      <w:marRight w:val="0"/>
      <w:marTop w:val="0"/>
      <w:marBottom w:val="0"/>
      <w:divBdr>
        <w:top w:val="none" w:sz="0" w:space="0" w:color="auto"/>
        <w:left w:val="none" w:sz="0" w:space="0" w:color="auto"/>
        <w:bottom w:val="none" w:sz="0" w:space="0" w:color="auto"/>
        <w:right w:val="none" w:sz="0" w:space="0" w:color="auto"/>
      </w:divBdr>
    </w:div>
    <w:div w:id="560482097">
      <w:bodyDiv w:val="1"/>
      <w:marLeft w:val="0"/>
      <w:marRight w:val="0"/>
      <w:marTop w:val="0"/>
      <w:marBottom w:val="0"/>
      <w:divBdr>
        <w:top w:val="none" w:sz="0" w:space="0" w:color="auto"/>
        <w:left w:val="none" w:sz="0" w:space="0" w:color="auto"/>
        <w:bottom w:val="none" w:sz="0" w:space="0" w:color="auto"/>
        <w:right w:val="none" w:sz="0" w:space="0" w:color="auto"/>
      </w:divBdr>
    </w:div>
    <w:div w:id="709114383">
      <w:bodyDiv w:val="1"/>
      <w:marLeft w:val="0"/>
      <w:marRight w:val="0"/>
      <w:marTop w:val="0"/>
      <w:marBottom w:val="0"/>
      <w:divBdr>
        <w:top w:val="none" w:sz="0" w:space="0" w:color="auto"/>
        <w:left w:val="none" w:sz="0" w:space="0" w:color="auto"/>
        <w:bottom w:val="none" w:sz="0" w:space="0" w:color="auto"/>
        <w:right w:val="none" w:sz="0" w:space="0" w:color="auto"/>
      </w:divBdr>
    </w:div>
    <w:div w:id="720373528">
      <w:bodyDiv w:val="1"/>
      <w:marLeft w:val="0"/>
      <w:marRight w:val="0"/>
      <w:marTop w:val="0"/>
      <w:marBottom w:val="0"/>
      <w:divBdr>
        <w:top w:val="none" w:sz="0" w:space="0" w:color="auto"/>
        <w:left w:val="none" w:sz="0" w:space="0" w:color="auto"/>
        <w:bottom w:val="none" w:sz="0" w:space="0" w:color="auto"/>
        <w:right w:val="none" w:sz="0" w:space="0" w:color="auto"/>
      </w:divBdr>
    </w:div>
    <w:div w:id="1307903797">
      <w:bodyDiv w:val="1"/>
      <w:marLeft w:val="0"/>
      <w:marRight w:val="0"/>
      <w:marTop w:val="0"/>
      <w:marBottom w:val="0"/>
      <w:divBdr>
        <w:top w:val="none" w:sz="0" w:space="0" w:color="auto"/>
        <w:left w:val="none" w:sz="0" w:space="0" w:color="auto"/>
        <w:bottom w:val="none" w:sz="0" w:space="0" w:color="auto"/>
        <w:right w:val="none" w:sz="0" w:space="0" w:color="auto"/>
      </w:divBdr>
    </w:div>
    <w:div w:id="1338000425">
      <w:bodyDiv w:val="1"/>
      <w:marLeft w:val="0"/>
      <w:marRight w:val="0"/>
      <w:marTop w:val="0"/>
      <w:marBottom w:val="0"/>
      <w:divBdr>
        <w:top w:val="none" w:sz="0" w:space="0" w:color="auto"/>
        <w:left w:val="none" w:sz="0" w:space="0" w:color="auto"/>
        <w:bottom w:val="none" w:sz="0" w:space="0" w:color="auto"/>
        <w:right w:val="none" w:sz="0" w:space="0" w:color="auto"/>
      </w:divBdr>
    </w:div>
    <w:div w:id="1474836576">
      <w:bodyDiv w:val="1"/>
      <w:marLeft w:val="0"/>
      <w:marRight w:val="0"/>
      <w:marTop w:val="0"/>
      <w:marBottom w:val="0"/>
      <w:divBdr>
        <w:top w:val="none" w:sz="0" w:space="0" w:color="auto"/>
        <w:left w:val="none" w:sz="0" w:space="0" w:color="auto"/>
        <w:bottom w:val="none" w:sz="0" w:space="0" w:color="auto"/>
        <w:right w:val="none" w:sz="0" w:space="0" w:color="auto"/>
      </w:divBdr>
    </w:div>
    <w:div w:id="1653485453">
      <w:bodyDiv w:val="1"/>
      <w:marLeft w:val="0"/>
      <w:marRight w:val="0"/>
      <w:marTop w:val="0"/>
      <w:marBottom w:val="0"/>
      <w:divBdr>
        <w:top w:val="none" w:sz="0" w:space="0" w:color="auto"/>
        <w:left w:val="none" w:sz="0" w:space="0" w:color="auto"/>
        <w:bottom w:val="none" w:sz="0" w:space="0" w:color="auto"/>
        <w:right w:val="none" w:sz="0" w:space="0" w:color="auto"/>
      </w:divBdr>
    </w:div>
    <w:div w:id="2122914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data-protection" TargetMode="External"/><Relationship Id="rId13" Type="http://schemas.openxmlformats.org/officeDocument/2006/relationships/hyperlink" Target="https://www.uwtsd.ac.uk/research/research-integrity-and-ethic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commons.csumb.edu/cgi/viewcontent.cgi?article=1444&amp;context=caps_thes_all" TargetMode="External"/><Relationship Id="rId12" Type="http://schemas.openxmlformats.org/officeDocument/2006/relationships/hyperlink" Target="https://www.unicef.org/child-rights-convention/convention-text-childrens-version"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se.harvard.edu/ideas/usable-knowledge/19/01/making-time-mindfulnes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futuregenerations.wales/wp-content/uploads/2017/01/wfg-essentials-guide-cy.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indful.org/why-mindfulness-belongs-in-the-classroom/" TargetMode="External"/><Relationship Id="rId14" Type="http://schemas.openxmlformats.org/officeDocument/2006/relationships/hyperlink" Target="https://www.ncbi.nlm.nih.gov/pmc/articles/PMC96904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371</TotalTime>
  <Pages>16</Pages>
  <Words>5456</Words>
  <Characters>31597</Characters>
  <Application>Microsoft Office Word</Application>
  <DocSecurity>0</DocSecurity>
  <Lines>564</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Owens (1800606)</dc:creator>
  <cp:keywords/>
  <dc:description/>
  <cp:lastModifiedBy>Megan Owens (1800606)</cp:lastModifiedBy>
  <cp:revision>4</cp:revision>
  <dcterms:created xsi:type="dcterms:W3CDTF">2024-03-05T11:20:00Z</dcterms:created>
  <dcterms:modified xsi:type="dcterms:W3CDTF">2024-05-03T12:19:00Z</dcterms:modified>
</cp:coreProperties>
</file>