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7E5E1D" w14:paraId="063F4906" w14:textId="77777777">
        <w:tc>
          <w:tcPr>
            <w:tcW w:w="2093" w:type="dxa"/>
            <w:tcBorders>
              <w:top w:val="single" w:sz="4" w:space="0" w:color="auto"/>
              <w:left w:val="single" w:sz="4" w:space="0" w:color="auto"/>
              <w:bottom w:val="single" w:sz="4" w:space="0" w:color="auto"/>
              <w:right w:val="single" w:sz="4" w:space="0" w:color="auto"/>
            </w:tcBorders>
            <w:hideMark/>
          </w:tcPr>
          <w:p w14:paraId="1DB40B64" w14:textId="77777777" w:rsidR="007E5E1D" w:rsidRDefault="007E5E1D">
            <w:pPr>
              <w:spacing w:before="120" w:after="120"/>
              <w:jc w:val="both"/>
              <w:rPr>
                <w:rFonts w:ascii="Arial" w:hAnsi="Arial" w:cs="Arial"/>
                <w:b/>
                <w:sz w:val="22"/>
                <w:szCs w:val="22"/>
                <w:lang w:eastAsia="en-US"/>
              </w:rPr>
            </w:pPr>
            <w:proofErr w:type="spellStart"/>
            <w:r>
              <w:rPr>
                <w:rFonts w:ascii="Arial" w:hAnsi="Arial" w:cs="Arial"/>
                <w:b/>
                <w:sz w:val="22"/>
                <w:szCs w:val="22"/>
                <w:lang w:eastAsia="en-US"/>
              </w:rPr>
              <w:t>Programme</w:t>
            </w:r>
            <w:proofErr w:type="spellEnd"/>
            <w:r>
              <w:rPr>
                <w:rFonts w:ascii="Arial" w:hAnsi="Arial" w:cs="Arial"/>
                <w:b/>
                <w:sz w:val="22"/>
                <w:szCs w:val="22"/>
                <w:lang w:eastAsia="en-US"/>
              </w:rPr>
              <w:t>:</w:t>
            </w:r>
          </w:p>
        </w:tc>
        <w:tc>
          <w:tcPr>
            <w:tcW w:w="7829" w:type="dxa"/>
            <w:gridSpan w:val="3"/>
            <w:tcBorders>
              <w:top w:val="single" w:sz="4" w:space="0" w:color="auto"/>
              <w:left w:val="single" w:sz="4" w:space="0" w:color="auto"/>
              <w:bottom w:val="single" w:sz="4" w:space="0" w:color="auto"/>
              <w:right w:val="single" w:sz="4" w:space="0" w:color="auto"/>
            </w:tcBorders>
            <w:hideMark/>
          </w:tcPr>
          <w:p w14:paraId="1F25BFE4" w14:textId="77777777" w:rsidR="007E5E1D" w:rsidRDefault="007E5E1D">
            <w:pPr>
              <w:spacing w:before="120" w:after="120"/>
              <w:jc w:val="both"/>
              <w:rPr>
                <w:rFonts w:ascii="Arial" w:hAnsi="Arial" w:cs="Arial"/>
                <w:b/>
                <w:sz w:val="22"/>
                <w:szCs w:val="22"/>
                <w:lang w:eastAsia="en-US"/>
              </w:rPr>
            </w:pPr>
            <w:r>
              <w:rPr>
                <w:rFonts w:ascii="Arial" w:hAnsi="Arial" w:cs="Arial"/>
                <w:b/>
                <w:sz w:val="22"/>
                <w:szCs w:val="22"/>
                <w:lang w:eastAsia="en-US"/>
              </w:rPr>
              <w:t>BSc Health and Social Care</w:t>
            </w:r>
          </w:p>
        </w:tc>
      </w:tr>
      <w:tr w:rsidR="007E5E1D" w14:paraId="2F6CB703" w14:textId="77777777">
        <w:tc>
          <w:tcPr>
            <w:tcW w:w="2093" w:type="dxa"/>
            <w:tcBorders>
              <w:top w:val="single" w:sz="4" w:space="0" w:color="auto"/>
              <w:left w:val="single" w:sz="4" w:space="0" w:color="auto"/>
              <w:bottom w:val="single" w:sz="4" w:space="0" w:color="auto"/>
              <w:right w:val="single" w:sz="4" w:space="0" w:color="auto"/>
            </w:tcBorders>
            <w:hideMark/>
          </w:tcPr>
          <w:p w14:paraId="44E131B0" w14:textId="77777777" w:rsidR="007E5E1D" w:rsidRDefault="007E5E1D">
            <w:pPr>
              <w:spacing w:before="120" w:after="120"/>
              <w:jc w:val="both"/>
              <w:rPr>
                <w:rFonts w:ascii="Arial" w:hAnsi="Arial" w:cs="Arial"/>
                <w:b/>
                <w:sz w:val="22"/>
                <w:szCs w:val="22"/>
                <w:lang w:eastAsia="en-US"/>
              </w:rPr>
            </w:pPr>
            <w:r>
              <w:rPr>
                <w:rFonts w:ascii="Arial" w:hAnsi="Arial" w:cs="Arial"/>
                <w:b/>
                <w:sz w:val="22"/>
                <w:szCs w:val="22"/>
                <w:lang w:eastAsia="en-US"/>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0E3C03DC" w14:textId="77777777" w:rsidR="007E5E1D" w:rsidRDefault="007E5E1D">
            <w:pPr>
              <w:spacing w:before="120" w:after="120"/>
              <w:jc w:val="both"/>
              <w:rPr>
                <w:rFonts w:ascii="Arial" w:hAnsi="Arial" w:cs="Arial"/>
                <w:b/>
                <w:sz w:val="22"/>
                <w:szCs w:val="22"/>
                <w:lang w:eastAsia="en-US"/>
              </w:rPr>
            </w:pPr>
            <w:r>
              <w:rPr>
                <w:rFonts w:ascii="Arial" w:hAnsi="Arial" w:cs="Arial"/>
                <w:b/>
                <w:sz w:val="22"/>
                <w:szCs w:val="22"/>
                <w:lang w:eastAsia="en-US"/>
              </w:rPr>
              <w:t>Changemakers: Creativity and Value Creation</w:t>
            </w:r>
          </w:p>
        </w:tc>
      </w:tr>
      <w:tr w:rsidR="007E5E1D" w14:paraId="1CB4656B" w14:textId="77777777" w:rsidTr="007E5E1D">
        <w:tc>
          <w:tcPr>
            <w:tcW w:w="2093" w:type="dxa"/>
            <w:tcBorders>
              <w:top w:val="single" w:sz="4" w:space="0" w:color="auto"/>
              <w:left w:val="single" w:sz="4" w:space="0" w:color="auto"/>
              <w:bottom w:val="single" w:sz="4" w:space="0" w:color="auto"/>
              <w:right w:val="single" w:sz="4" w:space="0" w:color="auto"/>
            </w:tcBorders>
            <w:hideMark/>
          </w:tcPr>
          <w:p w14:paraId="78B5A862" w14:textId="77777777" w:rsidR="007E5E1D" w:rsidRDefault="007E5E1D">
            <w:pPr>
              <w:spacing w:before="120" w:after="120"/>
              <w:jc w:val="both"/>
              <w:rPr>
                <w:rFonts w:ascii="Arial" w:hAnsi="Arial" w:cs="Arial"/>
                <w:b/>
                <w:sz w:val="22"/>
                <w:szCs w:val="22"/>
                <w:lang w:eastAsia="en-US"/>
              </w:rPr>
            </w:pPr>
            <w:r>
              <w:rPr>
                <w:rFonts w:ascii="Arial" w:hAnsi="Arial" w:cs="Arial"/>
                <w:b/>
                <w:sz w:val="22"/>
                <w:szCs w:val="22"/>
                <w:lang w:eastAsia="en-US"/>
              </w:rPr>
              <w:t>Module code:</w:t>
            </w:r>
          </w:p>
        </w:tc>
        <w:tc>
          <w:tcPr>
            <w:tcW w:w="3293" w:type="dxa"/>
            <w:tcBorders>
              <w:top w:val="single" w:sz="4" w:space="0" w:color="auto"/>
              <w:left w:val="single" w:sz="4" w:space="0" w:color="auto"/>
              <w:bottom w:val="single" w:sz="4" w:space="0" w:color="auto"/>
              <w:right w:val="single" w:sz="4" w:space="0" w:color="auto"/>
            </w:tcBorders>
            <w:hideMark/>
          </w:tcPr>
          <w:p w14:paraId="6C099D94" w14:textId="77777777" w:rsidR="007E5E1D" w:rsidRDefault="007E5E1D">
            <w:pPr>
              <w:spacing w:before="120" w:after="120"/>
              <w:jc w:val="both"/>
              <w:rPr>
                <w:rFonts w:ascii="Arial" w:hAnsi="Arial" w:cs="Arial"/>
                <w:b/>
                <w:sz w:val="22"/>
                <w:szCs w:val="22"/>
                <w:lang w:eastAsia="en-US"/>
              </w:rPr>
            </w:pPr>
            <w:r>
              <w:rPr>
                <w:rFonts w:ascii="Arial" w:hAnsi="Arial" w:cs="Arial"/>
                <w:b/>
                <w:sz w:val="22"/>
                <w:szCs w:val="22"/>
                <w:lang w:eastAsia="en-US"/>
              </w:rPr>
              <w:t>BMHP5014</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7EF18D9" w14:textId="472AA3B2" w:rsidR="007E5E1D" w:rsidRDefault="007E5E1D">
            <w:pPr>
              <w:pStyle w:val="Heading2"/>
              <w:rPr>
                <w:rFonts w:ascii="Arial" w:hAnsi="Arial" w:cs="Arial"/>
                <w:b/>
                <w:sz w:val="22"/>
                <w:szCs w:val="22"/>
                <w:lang w:eastAsia="en-US"/>
              </w:rPr>
            </w:pPr>
          </w:p>
        </w:tc>
        <w:tc>
          <w:tcPr>
            <w:tcW w:w="2268" w:type="dxa"/>
            <w:tcBorders>
              <w:top w:val="single" w:sz="4" w:space="0" w:color="auto"/>
              <w:left w:val="single" w:sz="4" w:space="0" w:color="auto"/>
              <w:bottom w:val="single" w:sz="4" w:space="0" w:color="auto"/>
              <w:right w:val="single" w:sz="4" w:space="0" w:color="auto"/>
            </w:tcBorders>
          </w:tcPr>
          <w:p w14:paraId="3A990DD5" w14:textId="39FA01FA" w:rsidR="007E5E1D" w:rsidRDefault="007E5E1D" w:rsidP="007E5E1D">
            <w:pPr>
              <w:tabs>
                <w:tab w:val="center" w:pos="1025"/>
              </w:tabs>
              <w:spacing w:before="120" w:after="120"/>
              <w:jc w:val="both"/>
              <w:rPr>
                <w:rFonts w:ascii="Arial" w:hAnsi="Arial" w:cs="Arial"/>
                <w:b/>
                <w:sz w:val="22"/>
                <w:szCs w:val="22"/>
                <w:lang w:eastAsia="en-US"/>
              </w:rPr>
            </w:pPr>
          </w:p>
        </w:tc>
      </w:tr>
      <w:tr w:rsidR="007E5E1D" w14:paraId="62FD6CD1" w14:textId="77777777">
        <w:tc>
          <w:tcPr>
            <w:tcW w:w="2093" w:type="dxa"/>
            <w:tcBorders>
              <w:top w:val="single" w:sz="4" w:space="0" w:color="auto"/>
              <w:left w:val="single" w:sz="4" w:space="0" w:color="auto"/>
              <w:bottom w:val="single" w:sz="4" w:space="0" w:color="auto"/>
              <w:right w:val="single" w:sz="4" w:space="0" w:color="auto"/>
            </w:tcBorders>
            <w:hideMark/>
          </w:tcPr>
          <w:p w14:paraId="4FA386D2" w14:textId="33667C97" w:rsidR="007E5E1D" w:rsidRDefault="007E5E1D">
            <w:pPr>
              <w:spacing w:before="120" w:after="120"/>
              <w:jc w:val="both"/>
              <w:rPr>
                <w:rFonts w:ascii="Arial" w:hAnsi="Arial" w:cs="Arial"/>
                <w:b/>
                <w:sz w:val="22"/>
                <w:szCs w:val="22"/>
                <w:lang w:eastAsia="en-US"/>
              </w:rPr>
            </w:pPr>
            <w:r>
              <w:rPr>
                <w:rFonts w:ascii="Arial" w:hAnsi="Arial" w:cs="Arial"/>
                <w:b/>
                <w:sz w:val="22"/>
                <w:szCs w:val="22"/>
                <w:lang w:eastAsia="en-US"/>
              </w:rPr>
              <w:t xml:space="preserve">Name: </w:t>
            </w:r>
          </w:p>
        </w:tc>
        <w:tc>
          <w:tcPr>
            <w:tcW w:w="3293" w:type="dxa"/>
            <w:tcBorders>
              <w:top w:val="single" w:sz="4" w:space="0" w:color="auto"/>
              <w:left w:val="single" w:sz="4" w:space="0" w:color="auto"/>
              <w:bottom w:val="single" w:sz="4" w:space="0" w:color="auto"/>
              <w:right w:val="single" w:sz="4" w:space="0" w:color="auto"/>
            </w:tcBorders>
          </w:tcPr>
          <w:p w14:paraId="4F781508" w14:textId="78B75259" w:rsidR="007E5E1D" w:rsidRDefault="007E5E1D">
            <w:pPr>
              <w:spacing w:before="120" w:after="120"/>
              <w:jc w:val="both"/>
              <w:rPr>
                <w:rFonts w:ascii="Arial" w:hAnsi="Arial" w:cs="Arial"/>
                <w:b/>
                <w:sz w:val="22"/>
                <w:szCs w:val="22"/>
                <w:lang w:eastAsia="en-US"/>
              </w:rPr>
            </w:pPr>
            <w:r>
              <w:rPr>
                <w:rFonts w:ascii="Arial" w:hAnsi="Arial" w:cs="Arial"/>
                <w:b/>
                <w:sz w:val="22"/>
                <w:szCs w:val="22"/>
                <w:lang w:eastAsia="en-US"/>
              </w:rPr>
              <w:t>Mevish Noor</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CCBBF94" w14:textId="317CE2F2" w:rsidR="007E5E1D" w:rsidRDefault="007E5E1D">
            <w:pPr>
              <w:spacing w:before="120" w:after="120"/>
              <w:jc w:val="both"/>
              <w:rPr>
                <w:rFonts w:ascii="Arial" w:hAnsi="Arial" w:cs="Arial"/>
                <w:b/>
                <w:sz w:val="22"/>
                <w:szCs w:val="22"/>
                <w:lang w:eastAsia="en-US"/>
              </w:rPr>
            </w:pPr>
            <w:r>
              <w:rPr>
                <w:rFonts w:ascii="Arial" w:hAnsi="Arial" w:cs="Arial"/>
                <w:b/>
                <w:sz w:val="22"/>
                <w:szCs w:val="22"/>
                <w:lang w:eastAsia="en-US"/>
              </w:rPr>
              <w:t>Student ID:</w:t>
            </w:r>
          </w:p>
        </w:tc>
        <w:tc>
          <w:tcPr>
            <w:tcW w:w="2268" w:type="dxa"/>
            <w:tcBorders>
              <w:top w:val="single" w:sz="4" w:space="0" w:color="auto"/>
              <w:left w:val="single" w:sz="4" w:space="0" w:color="auto"/>
              <w:bottom w:val="single" w:sz="4" w:space="0" w:color="auto"/>
              <w:right w:val="single" w:sz="4" w:space="0" w:color="auto"/>
            </w:tcBorders>
            <w:hideMark/>
          </w:tcPr>
          <w:p w14:paraId="3F816B48" w14:textId="5704C886" w:rsidR="007E5E1D" w:rsidRDefault="007E5E1D">
            <w:pPr>
              <w:spacing w:before="120" w:after="120" w:line="360" w:lineRule="auto"/>
              <w:rPr>
                <w:rFonts w:ascii="Arial" w:hAnsi="Arial" w:cs="Arial"/>
                <w:b/>
                <w:sz w:val="22"/>
                <w:szCs w:val="22"/>
                <w:lang w:eastAsia="en-US"/>
              </w:rPr>
            </w:pPr>
            <w:r w:rsidRPr="007E5E1D">
              <w:rPr>
                <w:rFonts w:ascii="Arial" w:hAnsi="Arial" w:cs="Arial"/>
                <w:b/>
                <w:sz w:val="22"/>
                <w:szCs w:val="22"/>
                <w:lang w:eastAsia="en-US"/>
              </w:rPr>
              <w:t>2407526</w:t>
            </w:r>
          </w:p>
        </w:tc>
      </w:tr>
    </w:tbl>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1C8CCB68" w14:textId="77777777" w:rsidR="002B294D" w:rsidRDefault="002B294D" w:rsidP="021F216E">
      <w:pPr>
        <w:rPr>
          <w:rFonts w:ascii="Arial Nova" w:eastAsia="Arial Nova" w:hAnsi="Arial Nova" w:cs="Arial Nova"/>
          <w:sz w:val="72"/>
          <w:szCs w:val="72"/>
        </w:rPr>
      </w:pPr>
    </w:p>
    <w:p w14:paraId="5EE53162" w14:textId="356FC95D" w:rsidR="002B294D" w:rsidRDefault="002B294D" w:rsidP="021F216E">
      <w:pPr>
        <w:rPr>
          <w:rFonts w:ascii="Arial Nova" w:eastAsia="Arial Nova" w:hAnsi="Arial Nova" w:cs="Arial Nova"/>
          <w:sz w:val="72"/>
          <w:szCs w:val="72"/>
        </w:rPr>
      </w:pPr>
      <w:r>
        <w:rPr>
          <w:rFonts w:ascii="Arial Nova" w:eastAsia="Arial Nova" w:hAnsi="Arial Nova" w:cs="Arial Nova"/>
          <w:sz w:val="72"/>
          <w:szCs w:val="72"/>
        </w:rPr>
        <w:tab/>
      </w:r>
    </w:p>
    <w:p w14:paraId="5ED067C8" w14:textId="0F95C927" w:rsidR="32ADAAF6" w:rsidRPr="00B36352" w:rsidRDefault="32ADAAF6" w:rsidP="021F216E">
      <w:pPr>
        <w:rPr>
          <w:rFonts w:ascii="Arial Nova" w:eastAsia="Arial Nova" w:hAnsi="Arial Nova" w:cs="Arial Nova"/>
          <w:color w:val="004F88"/>
          <w:sz w:val="72"/>
          <w:szCs w:val="72"/>
        </w:rPr>
      </w:pPr>
      <w:r w:rsidRPr="00B36352">
        <w:rPr>
          <w:rFonts w:ascii="Arial Nova" w:eastAsia="Arial Nova" w:hAnsi="Arial Nova" w:cs="Arial Nova"/>
          <w:color w:val="004F88"/>
          <w:sz w:val="44"/>
          <w:szCs w:val="44"/>
        </w:rPr>
        <w:t>Task 1 – Concept Map</w:t>
      </w:r>
    </w:p>
    <w:p w14:paraId="0BC7D9FC" w14:textId="356F96A3" w:rsidR="021F216E" w:rsidRDefault="002B294D"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w:lastRenderedPageBreak/>
        <w:drawing>
          <wp:inline distT="0" distB="0" distL="0" distR="0" wp14:anchorId="14F2BE77" wp14:editId="7E887E7D">
            <wp:extent cx="5486400" cy="2596551"/>
            <wp:effectExtent l="0" t="0" r="0" b="13335"/>
            <wp:docPr id="204833957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603AB69" w14:textId="2F7B5545" w:rsidR="021F216E" w:rsidRPr="002B294D" w:rsidRDefault="021F216E" w:rsidP="021F216E">
      <w:pPr>
        <w:rPr>
          <w:rFonts w:ascii="Arial" w:eastAsia="Arial Nova" w:hAnsi="Arial" w:cs="Arial"/>
          <w:i/>
          <w:iCs/>
          <w:color w:val="000000" w:themeColor="text1"/>
          <w:sz w:val="22"/>
          <w:szCs w:val="22"/>
        </w:rPr>
      </w:pPr>
    </w:p>
    <w:p w14:paraId="47D95042" w14:textId="77777777" w:rsidR="002B294D" w:rsidRPr="002B294D" w:rsidRDefault="002B294D" w:rsidP="002B294D">
      <w:pPr>
        <w:rPr>
          <w:rFonts w:ascii="Arial" w:eastAsia="Arial Nova" w:hAnsi="Arial" w:cs="Arial"/>
          <w:color w:val="000000" w:themeColor="text1"/>
          <w:sz w:val="22"/>
          <w:szCs w:val="22"/>
          <w:lang w:val="en-GB"/>
        </w:rPr>
      </w:pPr>
      <w:r w:rsidRPr="002B294D">
        <w:rPr>
          <w:rFonts w:ascii="Arial" w:eastAsia="Arial Nova" w:hAnsi="Arial" w:cs="Arial"/>
          <w:color w:val="000000" w:themeColor="text1"/>
          <w:sz w:val="22"/>
          <w:szCs w:val="22"/>
          <w:lang w:val="en-GB"/>
        </w:rPr>
        <w:t>The paperclip activity introduced the concepts of divergent and convergent thinking, which are essential for creativity in health and social care. During the activity, I worked in a group to generate as many uses as possible for a paperclip. This stage involved divergent thinking, where we explored a wide range of creative ideas without limitations. This helped me understand the importance of thinking freely and considering multiple perspectives when solving problems.</w:t>
      </w:r>
    </w:p>
    <w:p w14:paraId="76E8CDD0" w14:textId="77777777" w:rsidR="002B294D" w:rsidRPr="002B294D" w:rsidRDefault="002B294D" w:rsidP="002B294D">
      <w:pPr>
        <w:rPr>
          <w:rFonts w:ascii="Arial" w:eastAsia="Arial Nova" w:hAnsi="Arial" w:cs="Arial"/>
          <w:color w:val="000000" w:themeColor="text1"/>
          <w:sz w:val="22"/>
          <w:szCs w:val="22"/>
          <w:lang w:val="en-GB"/>
        </w:rPr>
      </w:pPr>
      <w:r w:rsidRPr="002B294D">
        <w:rPr>
          <w:rFonts w:ascii="Arial" w:eastAsia="Arial Nova" w:hAnsi="Arial" w:cs="Arial"/>
          <w:color w:val="000000" w:themeColor="text1"/>
          <w:sz w:val="22"/>
          <w:szCs w:val="22"/>
          <w:lang w:val="en-GB"/>
        </w:rPr>
        <w:t xml:space="preserve">After generating ideas, we moved to convergent thinking, where we evaluated and narrowed down the most practical and realistic solutions. This process showed me how creativity must be balanced with critical thinking </w:t>
      </w:r>
      <w:proofErr w:type="gramStart"/>
      <w:r w:rsidRPr="002B294D">
        <w:rPr>
          <w:rFonts w:ascii="Arial" w:eastAsia="Arial Nova" w:hAnsi="Arial" w:cs="Arial"/>
          <w:color w:val="000000" w:themeColor="text1"/>
          <w:sz w:val="22"/>
          <w:szCs w:val="22"/>
          <w:lang w:val="en-GB"/>
        </w:rPr>
        <w:t>in order to</w:t>
      </w:r>
      <w:proofErr w:type="gramEnd"/>
      <w:r w:rsidRPr="002B294D">
        <w:rPr>
          <w:rFonts w:ascii="Arial" w:eastAsia="Arial Nova" w:hAnsi="Arial" w:cs="Arial"/>
          <w:color w:val="000000" w:themeColor="text1"/>
          <w:sz w:val="22"/>
          <w:szCs w:val="22"/>
          <w:lang w:val="en-GB"/>
        </w:rPr>
        <w:t xml:space="preserve"> produce effective outcomes. In a health and social care context, this is important because professionals must not only generate ideas but also ensure they are safe, efficient, and beneficial for service users.</w:t>
      </w:r>
    </w:p>
    <w:p w14:paraId="5C2C9C99" w14:textId="77777777" w:rsidR="002B294D" w:rsidRPr="002B294D" w:rsidRDefault="002B294D" w:rsidP="002B294D">
      <w:pPr>
        <w:rPr>
          <w:rFonts w:ascii="Arial" w:eastAsia="Arial Nova" w:hAnsi="Arial" w:cs="Arial"/>
          <w:color w:val="000000" w:themeColor="text1"/>
          <w:sz w:val="22"/>
          <w:szCs w:val="22"/>
          <w:lang w:val="en-GB"/>
        </w:rPr>
      </w:pPr>
      <w:r w:rsidRPr="002B294D">
        <w:rPr>
          <w:rFonts w:ascii="Arial" w:eastAsia="Arial Nova" w:hAnsi="Arial" w:cs="Arial"/>
          <w:color w:val="000000" w:themeColor="text1"/>
          <w:sz w:val="22"/>
          <w:szCs w:val="22"/>
          <w:lang w:val="en-GB"/>
        </w:rPr>
        <w:t>Using Gibbs’ Reflective Cycle, I can evaluate that the activity improved my ability to think creatively and critically. I felt engaged during the brainstorming process, and I realised that working collaboratively allowed for more diverse ideas. This experience will influence my future practice by encouraging me to approach problems with an open mind before making decisions. Overall, the activity demonstrated how combining divergent and convergent thinking can lead to innovative and valuable solutions in health and social care.</w:t>
      </w:r>
    </w:p>
    <w:p w14:paraId="6CB48DB0" w14:textId="44BB6E91" w:rsidR="021F216E" w:rsidRDefault="021F216E" w:rsidP="021F216E">
      <w:pPr>
        <w:rPr>
          <w:rFonts w:ascii="Arial Nova" w:eastAsia="Arial Nova" w:hAnsi="Arial Nova" w:cs="Arial Nova"/>
          <w:i/>
          <w:iCs/>
          <w:color w:val="000000" w:themeColor="text1"/>
        </w:rPr>
      </w:pPr>
    </w:p>
    <w:p w14:paraId="6EB72287" w14:textId="531088A7" w:rsidR="021F216E" w:rsidRDefault="021F216E" w:rsidP="021F216E">
      <w:pPr>
        <w:rPr>
          <w:rFonts w:ascii="Arial Nova" w:eastAsia="Arial Nova" w:hAnsi="Arial Nova" w:cs="Arial Nova"/>
          <w:i/>
          <w:iCs/>
          <w:color w:val="000000" w:themeColor="text1"/>
        </w:rPr>
      </w:pPr>
    </w:p>
    <w:p w14:paraId="78587690" w14:textId="3A3106A5" w:rsidR="32ADAAF6" w:rsidRPr="00B36352" w:rsidRDefault="469F9A50" w:rsidP="47853A3C">
      <w:pPr>
        <w:rPr>
          <w:rFonts w:ascii="Arial Nova" w:eastAsia="Arial Nova" w:hAnsi="Arial Nova" w:cs="Arial Nova"/>
          <w:color w:val="004F88"/>
          <w:sz w:val="44"/>
          <w:szCs w:val="44"/>
        </w:rPr>
      </w:pPr>
      <w:r w:rsidRPr="00B36352">
        <w:rPr>
          <w:rFonts w:ascii="Arial Nova" w:eastAsia="Arial Nova" w:hAnsi="Arial Nova" w:cs="Arial Nova"/>
          <w:color w:val="004F88"/>
          <w:sz w:val="44"/>
          <w:szCs w:val="44"/>
        </w:rPr>
        <w:t xml:space="preserve">Task 2 - </w:t>
      </w:r>
      <w:r w:rsidR="32ADAAF6" w:rsidRPr="00B36352">
        <w:rPr>
          <w:rFonts w:ascii="Arial Nova" w:eastAsia="Arial Nova" w:hAnsi="Arial Nova" w:cs="Arial Nova"/>
          <w:color w:val="004F88"/>
          <w:sz w:val="44"/>
          <w:szCs w:val="44"/>
        </w:rPr>
        <w:t>Self-Reflection of Group Activity</w:t>
      </w:r>
    </w:p>
    <w:p w14:paraId="097100C0" w14:textId="77777777" w:rsidR="00B36352" w:rsidRPr="00B36352" w:rsidRDefault="00B36352" w:rsidP="00B36352">
      <w:pPr>
        <w:pStyle w:val="NormalWeb"/>
        <w:rPr>
          <w:rFonts w:ascii="Arial" w:hAnsi="Arial" w:cs="Arial"/>
          <w:sz w:val="22"/>
          <w:szCs w:val="22"/>
        </w:rPr>
      </w:pPr>
      <w:r w:rsidRPr="00B36352">
        <w:rPr>
          <w:rFonts w:ascii="Arial" w:hAnsi="Arial" w:cs="Arial"/>
          <w:sz w:val="22"/>
          <w:szCs w:val="22"/>
        </w:rPr>
        <w:t xml:space="preserve">The paperclip activity introduced the concepts of divergent and convergent thinking, which are essential for creativity in health and social care. During the activity, I worked collaboratively in a group to generate as many uses as possible for a paperclip. This stage involved divergent </w:t>
      </w:r>
      <w:r w:rsidRPr="00B36352">
        <w:rPr>
          <w:rFonts w:ascii="Arial" w:hAnsi="Arial" w:cs="Arial"/>
          <w:sz w:val="22"/>
          <w:szCs w:val="22"/>
        </w:rPr>
        <w:lastRenderedPageBreak/>
        <w:t>thinking, where we were encouraged to think freely and produce a wide range of ideas without judgement. I found this process engaging as it allowed creativity to flow and highlighted how different perspectives within a group can lead to more diverse and innovative ideas.</w:t>
      </w:r>
    </w:p>
    <w:p w14:paraId="4F36801E" w14:textId="77777777" w:rsidR="00B36352" w:rsidRPr="00B36352" w:rsidRDefault="00B36352" w:rsidP="00B36352">
      <w:pPr>
        <w:pStyle w:val="NormalWeb"/>
        <w:rPr>
          <w:rFonts w:ascii="Arial" w:hAnsi="Arial" w:cs="Arial"/>
          <w:sz w:val="22"/>
          <w:szCs w:val="22"/>
        </w:rPr>
      </w:pPr>
      <w:r w:rsidRPr="00B36352">
        <w:rPr>
          <w:rFonts w:ascii="Arial" w:hAnsi="Arial" w:cs="Arial"/>
          <w:sz w:val="22"/>
          <w:szCs w:val="22"/>
        </w:rPr>
        <w:t>Following this, we applied convergent thinking by evaluating the ideas and selecting the most practical and realistic solutions. This stage required critical thinking and decision-making, as we had to consider feasibility and effectiveness. I realised that while creativity is important, it must be balanced with logical reasoning to ensure that solutions are safe and suitable, especially in a health and social care context.</w:t>
      </w:r>
    </w:p>
    <w:p w14:paraId="78DDEBD7" w14:textId="77777777" w:rsidR="00B36352" w:rsidRPr="00B36352" w:rsidRDefault="00B36352" w:rsidP="00B36352">
      <w:pPr>
        <w:pStyle w:val="NormalWeb"/>
        <w:rPr>
          <w:rFonts w:ascii="Arial" w:hAnsi="Arial" w:cs="Arial"/>
          <w:sz w:val="22"/>
          <w:szCs w:val="22"/>
        </w:rPr>
      </w:pPr>
      <w:r w:rsidRPr="00B36352">
        <w:rPr>
          <w:rFonts w:ascii="Arial" w:hAnsi="Arial" w:cs="Arial"/>
          <w:sz w:val="22"/>
          <w:szCs w:val="22"/>
        </w:rPr>
        <w:t>Using Gibbs’ Reflective Cycle, I can evaluate that this activity improved both my creative and analytical skills. I felt more confident contributing ideas and recognised the value of teamwork in problem-solving. This experience has influenced my understanding of how professionals in health and social care can use both divergent and convergent thinking to develop innovative solutions that improve patient outcomes. Overall, the activity demonstrated the importance of combining creativity with critical evaluation to create meaningful and effective improvements.</w:t>
      </w:r>
    </w:p>
    <w:p w14:paraId="4C36B484" w14:textId="77777777" w:rsidR="00563EB8" w:rsidRDefault="00563EB8" w:rsidP="021F216E">
      <w:pPr>
        <w:rPr>
          <w:rFonts w:ascii="Arial Nova" w:eastAsia="Arial Nova" w:hAnsi="Arial Nova" w:cs="Arial Nova"/>
          <w:i/>
          <w:iCs/>
          <w:color w:val="000000" w:themeColor="text1"/>
        </w:rPr>
      </w:pPr>
    </w:p>
    <w:p w14:paraId="6AA6FD43" w14:textId="77777777" w:rsidR="00B36352" w:rsidRDefault="00B36352" w:rsidP="021F216E">
      <w:pPr>
        <w:rPr>
          <w:rFonts w:ascii="Arial Nova" w:eastAsia="Arial Nova" w:hAnsi="Arial Nova" w:cs="Arial Nova"/>
          <w:i/>
          <w:iCs/>
          <w:color w:val="000000" w:themeColor="text1"/>
        </w:rPr>
      </w:pPr>
    </w:p>
    <w:p w14:paraId="252A20F5" w14:textId="77777777" w:rsidR="00B36352" w:rsidRDefault="00B36352" w:rsidP="021F216E">
      <w:pPr>
        <w:rPr>
          <w:rFonts w:ascii="Arial Nova" w:eastAsia="Arial Nova" w:hAnsi="Arial Nova" w:cs="Arial Nova"/>
          <w:i/>
          <w:iCs/>
          <w:color w:val="000000" w:themeColor="text1"/>
        </w:rPr>
      </w:pPr>
    </w:p>
    <w:p w14:paraId="7BF1A64A" w14:textId="77777777" w:rsidR="00B36352" w:rsidRDefault="00B36352" w:rsidP="021F216E">
      <w:pPr>
        <w:rPr>
          <w:rFonts w:ascii="Arial Nova" w:eastAsia="Arial Nova" w:hAnsi="Arial Nova" w:cs="Arial Nova"/>
          <w:i/>
          <w:iCs/>
          <w:color w:val="000000" w:themeColor="text1"/>
        </w:rPr>
      </w:pPr>
    </w:p>
    <w:p w14:paraId="16A98428" w14:textId="77777777" w:rsidR="00B36352" w:rsidRDefault="00B36352" w:rsidP="021F216E">
      <w:pPr>
        <w:rPr>
          <w:rFonts w:ascii="Arial Nova" w:eastAsia="Arial Nova" w:hAnsi="Arial Nova" w:cs="Arial Nova"/>
          <w:i/>
          <w:iCs/>
          <w:color w:val="000000" w:themeColor="text1"/>
        </w:rPr>
      </w:pPr>
    </w:p>
    <w:p w14:paraId="254092DC" w14:textId="77777777" w:rsidR="00B36352" w:rsidRDefault="00B36352" w:rsidP="021F216E">
      <w:pPr>
        <w:rPr>
          <w:rFonts w:ascii="Arial Nova" w:eastAsia="Arial Nova" w:hAnsi="Arial Nova" w:cs="Arial Nova"/>
          <w:i/>
          <w:iCs/>
          <w:color w:val="000000" w:themeColor="text1"/>
        </w:rPr>
      </w:pPr>
    </w:p>
    <w:p w14:paraId="1C9BCE27" w14:textId="77777777" w:rsidR="00B36352" w:rsidRDefault="00B36352" w:rsidP="021F216E">
      <w:pPr>
        <w:rPr>
          <w:rFonts w:ascii="Arial Nova" w:eastAsia="Arial Nova" w:hAnsi="Arial Nova" w:cs="Arial Nova"/>
          <w:i/>
          <w:iCs/>
          <w:color w:val="000000" w:themeColor="text1"/>
        </w:rPr>
      </w:pPr>
    </w:p>
    <w:p w14:paraId="63644C4A" w14:textId="77777777" w:rsidR="00B36352" w:rsidRDefault="00B36352" w:rsidP="021F216E">
      <w:pPr>
        <w:rPr>
          <w:rFonts w:ascii="Arial Nova" w:eastAsia="Arial Nova" w:hAnsi="Arial Nova" w:cs="Arial Nova"/>
          <w:i/>
          <w:iCs/>
          <w:color w:val="000000" w:themeColor="text1"/>
        </w:rPr>
      </w:pPr>
    </w:p>
    <w:p w14:paraId="4CFFA83A" w14:textId="77777777" w:rsidR="00B36352" w:rsidRDefault="00B36352" w:rsidP="021F216E">
      <w:pPr>
        <w:rPr>
          <w:rFonts w:ascii="Arial Nova" w:eastAsia="Arial Nova" w:hAnsi="Arial Nova" w:cs="Arial Nova"/>
          <w:i/>
          <w:iCs/>
          <w:color w:val="000000" w:themeColor="text1"/>
        </w:rPr>
      </w:pPr>
    </w:p>
    <w:p w14:paraId="334CC345" w14:textId="77777777" w:rsidR="00B36352" w:rsidRDefault="00B36352" w:rsidP="021F216E">
      <w:pPr>
        <w:rPr>
          <w:rFonts w:ascii="Arial Nova" w:eastAsia="Arial Nova" w:hAnsi="Arial Nova" w:cs="Arial Nova"/>
          <w:i/>
          <w:iCs/>
          <w:color w:val="000000" w:themeColor="text1"/>
        </w:rPr>
      </w:pPr>
    </w:p>
    <w:p w14:paraId="5343091A" w14:textId="77777777" w:rsidR="00B36352" w:rsidRDefault="00B36352" w:rsidP="021F216E">
      <w:pPr>
        <w:rPr>
          <w:rFonts w:ascii="Arial Nova" w:eastAsia="Arial Nova" w:hAnsi="Arial Nova" w:cs="Arial Nova"/>
          <w:i/>
          <w:iCs/>
          <w:color w:val="000000" w:themeColor="text1"/>
        </w:rPr>
      </w:pPr>
    </w:p>
    <w:p w14:paraId="7F66E65B" w14:textId="77777777" w:rsidR="00B36352" w:rsidRDefault="00B36352" w:rsidP="021F216E">
      <w:pPr>
        <w:rPr>
          <w:rFonts w:ascii="Arial Nova" w:eastAsia="Arial Nova" w:hAnsi="Arial Nova" w:cs="Arial Nova"/>
          <w:i/>
          <w:iCs/>
          <w:color w:val="000000" w:themeColor="text1"/>
        </w:rPr>
      </w:pPr>
    </w:p>
    <w:p w14:paraId="3D8E9ECA" w14:textId="33CA9756" w:rsidR="32ADAAF6" w:rsidRPr="00B36352" w:rsidRDefault="2A01ADFD" w:rsidP="47853A3C">
      <w:pPr>
        <w:rPr>
          <w:rFonts w:ascii="Arial Nova" w:eastAsia="Arial Nova" w:hAnsi="Arial Nova" w:cs="Arial Nova"/>
          <w:color w:val="004F88"/>
          <w:sz w:val="44"/>
          <w:szCs w:val="44"/>
        </w:rPr>
      </w:pPr>
      <w:r w:rsidRPr="00B36352">
        <w:rPr>
          <w:rFonts w:ascii="Arial Nova" w:eastAsia="Arial Nova" w:hAnsi="Arial Nova" w:cs="Arial Nova"/>
          <w:color w:val="004F88"/>
          <w:sz w:val="44"/>
          <w:szCs w:val="44"/>
        </w:rPr>
        <w:t xml:space="preserve">Task 3 - </w:t>
      </w:r>
      <w:r w:rsidR="32ADAAF6" w:rsidRPr="00B36352">
        <w:rPr>
          <w:rFonts w:ascii="Arial Nova" w:eastAsia="Arial Nova" w:hAnsi="Arial Nova" w:cs="Arial Nova"/>
          <w:color w:val="004F88"/>
          <w:sz w:val="44"/>
          <w:szCs w:val="44"/>
        </w:rPr>
        <w:t>Case Study of a UK innovation</w:t>
      </w:r>
    </w:p>
    <w:p w14:paraId="3B33719A" w14:textId="567D72C9" w:rsidR="00B36352" w:rsidRDefault="00B36352" w:rsidP="00B36352">
      <w:pPr>
        <w:pStyle w:val="Heading2"/>
      </w:pPr>
      <w:r>
        <w:rPr>
          <w:rStyle w:val="Strong"/>
          <w:b w:val="0"/>
          <w:bCs w:val="0"/>
        </w:rPr>
        <w:t xml:space="preserve">Case Study: Telemedicine in the </w:t>
      </w:r>
      <w:r>
        <w:rPr>
          <w:rStyle w:val="Strong"/>
          <w:b w:val="0"/>
          <w:bCs w:val="0"/>
        </w:rPr>
        <w:t>NHS</w:t>
      </w:r>
    </w:p>
    <w:p w14:paraId="3F99F3BE" w14:textId="77777777" w:rsidR="00B36352" w:rsidRPr="00B36352" w:rsidRDefault="00B36352" w:rsidP="00B36352">
      <w:pPr>
        <w:pStyle w:val="NormalWeb"/>
        <w:rPr>
          <w:rFonts w:ascii="Arial" w:hAnsi="Arial" w:cs="Arial"/>
          <w:sz w:val="22"/>
          <w:szCs w:val="22"/>
        </w:rPr>
      </w:pPr>
      <w:r w:rsidRPr="00B36352">
        <w:rPr>
          <w:rFonts w:ascii="Arial" w:hAnsi="Arial" w:cs="Arial"/>
          <w:sz w:val="22"/>
          <w:szCs w:val="22"/>
        </w:rPr>
        <w:t xml:space="preserve">Telemedicine is a key innovation within the UK healthcare system that demonstrates how creativity can be used to improve health and social care services. Telemedicine refers to the use of digital technologies, such as video consultations, mobile applications, and remote monitoring devices, to deliver healthcare services without requiring patients to attend physical </w:t>
      </w:r>
      <w:r w:rsidRPr="00B36352">
        <w:rPr>
          <w:rFonts w:ascii="Arial" w:hAnsi="Arial" w:cs="Arial"/>
          <w:sz w:val="22"/>
          <w:szCs w:val="22"/>
        </w:rPr>
        <w:lastRenderedPageBreak/>
        <w:t>appointments. This approach became increasingly important during the COVID-19 pandemic, where healthcare providers had to rapidly adapt to ensure continuity of care while reducing physical contact.</w:t>
      </w:r>
    </w:p>
    <w:p w14:paraId="10288EDA" w14:textId="77777777" w:rsidR="00B36352" w:rsidRPr="00B36352" w:rsidRDefault="00B36352" w:rsidP="00B36352">
      <w:pPr>
        <w:pStyle w:val="NormalWeb"/>
        <w:rPr>
          <w:rFonts w:ascii="Arial" w:hAnsi="Arial" w:cs="Arial"/>
          <w:sz w:val="22"/>
          <w:szCs w:val="22"/>
        </w:rPr>
      </w:pPr>
      <w:r w:rsidRPr="00B36352">
        <w:rPr>
          <w:rFonts w:ascii="Arial" w:hAnsi="Arial" w:cs="Arial"/>
          <w:sz w:val="22"/>
          <w:szCs w:val="22"/>
        </w:rPr>
        <w:t>Creativity played a central role in the development and implementation of telemedicine. Healthcare professionals and organisations were required to think beyond traditional face-to-face care models and develop alternative solutions to meet patient needs. This involved reimagining how services could be delivered, integrating digital communication platforms, and designing systems that support remote interaction between patients and healthcare providers. Innovation in health and social care is driven by such creative problem-solving, where new ideas are applied to improve care delivery and patient experience (Care Quality Commission, 2021).</w:t>
      </w:r>
    </w:p>
    <w:p w14:paraId="7EFCF7F7" w14:textId="77777777" w:rsidR="00B36352" w:rsidRPr="00B36352" w:rsidRDefault="00B36352" w:rsidP="00B36352">
      <w:pPr>
        <w:pStyle w:val="NormalWeb"/>
        <w:rPr>
          <w:rFonts w:ascii="Arial" w:hAnsi="Arial" w:cs="Arial"/>
          <w:sz w:val="22"/>
          <w:szCs w:val="22"/>
        </w:rPr>
      </w:pPr>
      <w:r w:rsidRPr="00B36352">
        <w:rPr>
          <w:rFonts w:ascii="Arial" w:hAnsi="Arial" w:cs="Arial"/>
          <w:sz w:val="22"/>
          <w:szCs w:val="22"/>
        </w:rPr>
        <w:t>The value created by telemedicine is significant for both patients and healthcare providers. Firstly, it improves access to healthcare services, particularly for individuals living in rural or underserved areas. Patients can consult healthcare professionals from home, reducing travel time, costs, and inconvenience. Secondly, telemedicine enhances efficiency within the NHS by reducing the burden on hospitals and allowing healthcare professionals to manage more patients effectively. This supports the concept of value in healthcare, which focuses on achieving better patient outcomes while using resources efficiently.</w:t>
      </w:r>
    </w:p>
    <w:p w14:paraId="49C1B677" w14:textId="77777777" w:rsidR="00B36352" w:rsidRPr="00B36352" w:rsidRDefault="00B36352" w:rsidP="00B36352">
      <w:pPr>
        <w:pStyle w:val="NormalWeb"/>
        <w:rPr>
          <w:rFonts w:ascii="Arial" w:hAnsi="Arial" w:cs="Arial"/>
          <w:sz w:val="22"/>
          <w:szCs w:val="22"/>
        </w:rPr>
      </w:pPr>
      <w:r w:rsidRPr="00B36352">
        <w:rPr>
          <w:rFonts w:ascii="Arial" w:hAnsi="Arial" w:cs="Arial"/>
          <w:sz w:val="22"/>
          <w:szCs w:val="22"/>
        </w:rPr>
        <w:t>Furthermore, telemedicine enables continuous monitoring and early intervention. Remote monitoring technologies allow healthcare providers to track patients’ conditions in real time, particularly for individuals with chronic illnesses. This can lead to earlier detection of complications and improved long-term health outcomes. However, despite its benefits, telemedicine also presents challenges. Digital exclusion remains a concern, particularly for older adults or individuals with limited access to technology. In addition, issues related to data privacy and security must be carefully managed to maintain patient trust.</w:t>
      </w:r>
    </w:p>
    <w:p w14:paraId="2781D743" w14:textId="77777777" w:rsidR="00B36352" w:rsidRPr="00B36352" w:rsidRDefault="00B36352" w:rsidP="00B36352">
      <w:pPr>
        <w:pStyle w:val="NormalWeb"/>
        <w:rPr>
          <w:rFonts w:ascii="Arial" w:hAnsi="Arial" w:cs="Arial"/>
          <w:sz w:val="22"/>
          <w:szCs w:val="22"/>
        </w:rPr>
      </w:pPr>
      <w:r w:rsidRPr="00B36352">
        <w:rPr>
          <w:rFonts w:ascii="Arial" w:hAnsi="Arial" w:cs="Arial"/>
          <w:sz w:val="22"/>
          <w:szCs w:val="22"/>
        </w:rPr>
        <w:t>Overall, telemedicine demonstrates how creativity can drive innovation and create value in health and social care. By improving accessibility, efficiency, and patient outcomes, telemedicine highlights the importance of adopting innovative approaches to meet the evolving demands of the healthcare system.</w:t>
      </w:r>
    </w:p>
    <w:p w14:paraId="2CDF689B" w14:textId="30728786" w:rsidR="021F216E" w:rsidRDefault="021F216E" w:rsidP="021F216E">
      <w:pPr>
        <w:rPr>
          <w:rFonts w:ascii="Arial Nova" w:eastAsia="Arial Nova" w:hAnsi="Arial Nova" w:cs="Arial Nova"/>
          <w:color w:val="000000" w:themeColor="text1"/>
        </w:rPr>
      </w:pPr>
    </w:p>
    <w:p w14:paraId="21433688" w14:textId="77777777" w:rsidR="00563EB8" w:rsidRDefault="00563EB8" w:rsidP="021F216E">
      <w:pPr>
        <w:rPr>
          <w:rFonts w:ascii="Arial Nova" w:eastAsia="Arial Nova" w:hAnsi="Arial Nova" w:cs="Arial Nova"/>
          <w:color w:val="000000" w:themeColor="text1"/>
        </w:rPr>
      </w:pPr>
    </w:p>
    <w:p w14:paraId="65F3B817" w14:textId="77777777" w:rsidR="00563EB8" w:rsidRDefault="00563EB8" w:rsidP="021F216E">
      <w:pPr>
        <w:rPr>
          <w:rFonts w:ascii="Arial Nova" w:eastAsia="Arial Nova" w:hAnsi="Arial Nova" w:cs="Arial Nova"/>
          <w:color w:val="000000" w:themeColor="text1"/>
        </w:rPr>
      </w:pPr>
    </w:p>
    <w:p w14:paraId="7A54C266" w14:textId="77777777" w:rsidR="00563EB8" w:rsidRDefault="00563EB8" w:rsidP="021F216E">
      <w:pPr>
        <w:rPr>
          <w:rFonts w:ascii="Arial Nova" w:eastAsia="Arial Nova" w:hAnsi="Arial Nova" w:cs="Arial Nova"/>
          <w:color w:val="000000" w:themeColor="text1"/>
        </w:rPr>
      </w:pPr>
    </w:p>
    <w:p w14:paraId="72AEBFE2" w14:textId="77777777" w:rsidR="00B36352" w:rsidRDefault="11DCB36E" w:rsidP="00B36352">
      <w:pPr>
        <w:pStyle w:val="Heading2"/>
      </w:pPr>
      <w:r w:rsidRPr="00B36352">
        <w:rPr>
          <w:rFonts w:ascii="Arial Nova" w:eastAsia="Arial Nova" w:hAnsi="Arial Nova" w:cs="Arial Nova"/>
          <w:color w:val="004F88"/>
          <w:sz w:val="44"/>
          <w:szCs w:val="44"/>
        </w:rPr>
        <w:t xml:space="preserve">Task 4 - </w:t>
      </w:r>
      <w:r w:rsidR="79E626CA" w:rsidRPr="00B36352">
        <w:rPr>
          <w:rFonts w:ascii="Arial Nova" w:eastAsia="Arial Nova" w:hAnsi="Arial Nova" w:cs="Arial Nova"/>
          <w:color w:val="004F88"/>
          <w:sz w:val="44"/>
          <w:szCs w:val="44"/>
        </w:rPr>
        <w:t>Research Task</w:t>
      </w:r>
      <w:r w:rsidR="00B36352">
        <w:rPr>
          <w:rStyle w:val="Strong"/>
          <w:b w:val="0"/>
          <w:bCs w:val="0"/>
        </w:rPr>
        <w:t>: Mental Health Stigma</w:t>
      </w:r>
    </w:p>
    <w:p w14:paraId="35044367" w14:textId="77777777" w:rsidR="00B36352" w:rsidRPr="00B36352" w:rsidRDefault="00B36352" w:rsidP="00B36352">
      <w:pPr>
        <w:pStyle w:val="NormalWeb"/>
        <w:rPr>
          <w:rFonts w:ascii="Arial" w:hAnsi="Arial" w:cs="Arial"/>
          <w:sz w:val="22"/>
          <w:szCs w:val="22"/>
        </w:rPr>
      </w:pPr>
      <w:r w:rsidRPr="00B36352">
        <w:rPr>
          <w:rFonts w:ascii="Arial" w:hAnsi="Arial" w:cs="Arial"/>
          <w:sz w:val="22"/>
          <w:szCs w:val="22"/>
        </w:rPr>
        <w:t xml:space="preserve">A current issue in health and social care is mental health stigma. This remains a serious problem because it can affect how people are treated by others and whether they feel able to ask for support. One article by Rüsch, </w:t>
      </w:r>
      <w:proofErr w:type="spellStart"/>
      <w:r w:rsidRPr="00B36352">
        <w:rPr>
          <w:rFonts w:ascii="Arial" w:hAnsi="Arial" w:cs="Arial"/>
          <w:sz w:val="22"/>
          <w:szCs w:val="22"/>
        </w:rPr>
        <w:t>Angermeyer</w:t>
      </w:r>
      <w:proofErr w:type="spellEnd"/>
      <w:r w:rsidRPr="00B36352">
        <w:rPr>
          <w:rFonts w:ascii="Arial" w:hAnsi="Arial" w:cs="Arial"/>
          <w:sz w:val="22"/>
          <w:szCs w:val="22"/>
        </w:rPr>
        <w:t xml:space="preserve"> and Corrigan explains that stigma is shaped by stereotypes, prejudice and discrimination towards people with mental illness. The authors show that public stigma can then lead to self-stigma, where individuals begin to accept negative </w:t>
      </w:r>
      <w:r w:rsidRPr="00B36352">
        <w:rPr>
          <w:rFonts w:ascii="Arial" w:hAnsi="Arial" w:cs="Arial"/>
          <w:sz w:val="22"/>
          <w:szCs w:val="22"/>
        </w:rPr>
        <w:lastRenderedPageBreak/>
        <w:t xml:space="preserve">beliefs about themselves. As a result, people may feel shame, reduced self-worth and social exclusion. The article also highlights that fear of being labelled can stop individuals from using mental health services, even when support is available. This suggests that stigma is not just a social attitude, but a barrier that can worsen health outcomes over time. </w:t>
      </w:r>
    </w:p>
    <w:p w14:paraId="7F9A9B75" w14:textId="77777777" w:rsidR="00B36352" w:rsidRPr="00B36352" w:rsidRDefault="00B36352" w:rsidP="00B36352">
      <w:pPr>
        <w:pStyle w:val="NormalWeb"/>
        <w:rPr>
          <w:rFonts w:ascii="Arial" w:hAnsi="Arial" w:cs="Arial"/>
          <w:sz w:val="22"/>
          <w:szCs w:val="22"/>
        </w:rPr>
      </w:pPr>
      <w:r w:rsidRPr="00B36352">
        <w:rPr>
          <w:rFonts w:ascii="Arial" w:hAnsi="Arial" w:cs="Arial"/>
          <w:sz w:val="22"/>
          <w:szCs w:val="22"/>
        </w:rPr>
        <w:t xml:space="preserve">A second article by Clement et al. examines how stigma affects help-seeking. Their systematic review found that stigma has a negative effect on whether people seek professional help for mental health problems. The study explains that many individuals delay or avoid support because they fear judgement, discrimination or being seen differently by others. It also found that concerns about disclosure were especially important, as people worried about how friends, family, employers or wider society might react. This means stigma can stop people from accessing care at an early stage, which may allow mental health problems to become more severe. The article shows that stigma affects not only opinions about mental illness, but also real decisions about treatment and support. </w:t>
      </w:r>
    </w:p>
    <w:p w14:paraId="694ADDEC" w14:textId="77777777" w:rsidR="00B36352" w:rsidRPr="00B36352" w:rsidRDefault="00B36352" w:rsidP="00B36352">
      <w:pPr>
        <w:pStyle w:val="NormalWeb"/>
        <w:rPr>
          <w:rFonts w:ascii="Arial" w:hAnsi="Arial" w:cs="Arial"/>
          <w:sz w:val="22"/>
          <w:szCs w:val="22"/>
        </w:rPr>
      </w:pPr>
      <w:r w:rsidRPr="00B36352">
        <w:rPr>
          <w:rFonts w:ascii="Arial" w:hAnsi="Arial" w:cs="Arial"/>
          <w:sz w:val="22"/>
          <w:szCs w:val="22"/>
        </w:rPr>
        <w:t>Overall, both articles show that mental health stigma is caused by negative social beliefs and fear of discrimination. This makes it a major issue in health and social care because it reduces openness, delays intervention and prevents equal access to support.</w:t>
      </w:r>
    </w:p>
    <w:p w14:paraId="0A496E4E" w14:textId="48E76F8E" w:rsidR="021F216E" w:rsidRDefault="021F216E" w:rsidP="021F216E">
      <w:pPr>
        <w:rPr>
          <w:rFonts w:ascii="Arial Nova" w:eastAsia="Arial Nova" w:hAnsi="Arial Nova" w:cs="Arial Nova"/>
          <w:i/>
          <w:iCs/>
          <w:color w:val="000000" w:themeColor="text1"/>
        </w:rPr>
      </w:pPr>
    </w:p>
    <w:p w14:paraId="6578F6D8" w14:textId="687B7DC4" w:rsidR="021F216E" w:rsidRDefault="021F216E" w:rsidP="021F216E">
      <w:pPr>
        <w:rPr>
          <w:rFonts w:ascii="Arial Nova" w:eastAsia="Arial Nova" w:hAnsi="Arial Nova" w:cs="Arial Nova"/>
          <w:i/>
          <w:iCs/>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07A0DAFF" w14:textId="77777777" w:rsidR="00337274" w:rsidRDefault="00337274" w:rsidP="021F216E">
      <w:pPr>
        <w:rPr>
          <w:rFonts w:ascii="Arial Nova" w:eastAsia="Arial Nova" w:hAnsi="Arial Nova" w:cs="Arial Nova"/>
          <w:i/>
          <w:iCs/>
          <w:color w:val="000000" w:themeColor="text1"/>
        </w:rPr>
      </w:pPr>
    </w:p>
    <w:p w14:paraId="260A9DA3" w14:textId="77777777" w:rsidR="00563EB8" w:rsidRDefault="00563EB8" w:rsidP="021F216E">
      <w:pPr>
        <w:rPr>
          <w:rFonts w:ascii="Arial Nova" w:eastAsia="Arial Nova" w:hAnsi="Arial Nova" w:cs="Arial Nova"/>
          <w:i/>
          <w:iCs/>
          <w:color w:val="000000" w:themeColor="text1"/>
        </w:rPr>
      </w:pPr>
    </w:p>
    <w:p w14:paraId="5376C7E4" w14:textId="77777777" w:rsidR="00563EB8" w:rsidRDefault="00563EB8" w:rsidP="021F216E">
      <w:pPr>
        <w:rPr>
          <w:rFonts w:ascii="Arial Nova" w:eastAsia="Arial Nova" w:hAnsi="Arial Nova" w:cs="Arial Nova"/>
          <w:i/>
          <w:iCs/>
          <w:color w:val="000000" w:themeColor="text1"/>
        </w:rPr>
      </w:pPr>
    </w:p>
    <w:p w14:paraId="2AC0737F" w14:textId="77777777" w:rsidR="00563EB8" w:rsidRDefault="00563EB8" w:rsidP="021F216E">
      <w:pPr>
        <w:rPr>
          <w:rFonts w:ascii="Arial Nova" w:eastAsia="Arial Nova" w:hAnsi="Arial Nova" w:cs="Arial Nova"/>
          <w:i/>
          <w:iCs/>
          <w:color w:val="000000" w:themeColor="text1"/>
        </w:rPr>
      </w:pPr>
    </w:p>
    <w:p w14:paraId="21908EA1" w14:textId="77777777" w:rsidR="00563EB8" w:rsidRDefault="00563EB8" w:rsidP="021F216E">
      <w:pPr>
        <w:rPr>
          <w:rFonts w:ascii="Arial Nova" w:eastAsia="Arial Nova" w:hAnsi="Arial Nova" w:cs="Arial Nova"/>
          <w:i/>
          <w:iCs/>
          <w:color w:val="000000" w:themeColor="text1"/>
        </w:rPr>
      </w:pPr>
    </w:p>
    <w:p w14:paraId="7453D93C" w14:textId="77777777" w:rsidR="00563EB8" w:rsidRDefault="00563EB8" w:rsidP="021F216E">
      <w:pPr>
        <w:rPr>
          <w:rFonts w:ascii="Arial Nova" w:eastAsia="Arial Nova" w:hAnsi="Arial Nova" w:cs="Arial Nova"/>
          <w:i/>
          <w:iCs/>
          <w:color w:val="000000" w:themeColor="text1"/>
        </w:rPr>
      </w:pPr>
    </w:p>
    <w:p w14:paraId="4A6C480A" w14:textId="77777777" w:rsidR="00337274" w:rsidRDefault="00337274" w:rsidP="021F216E">
      <w:pPr>
        <w:rPr>
          <w:rFonts w:ascii="Arial Nova" w:eastAsia="Arial Nova" w:hAnsi="Arial Nova" w:cs="Arial Nova"/>
          <w:color w:val="000000" w:themeColor="text1"/>
        </w:rPr>
      </w:pPr>
    </w:p>
    <w:p w14:paraId="02B4E6DA" w14:textId="77777777" w:rsidR="00563EB8" w:rsidRDefault="00563EB8" w:rsidP="021F216E">
      <w:pPr>
        <w:rPr>
          <w:rFonts w:ascii="Arial Nova" w:eastAsia="Arial Nova" w:hAnsi="Arial Nova" w:cs="Arial Nova"/>
          <w:color w:val="000000" w:themeColor="text1"/>
        </w:rPr>
      </w:pPr>
    </w:p>
    <w:p w14:paraId="443966C0" w14:textId="3E5919AB" w:rsidR="6D65878B" w:rsidRPr="00B36352" w:rsidRDefault="72B6EECC" w:rsidP="47853A3C">
      <w:pPr>
        <w:rPr>
          <w:rFonts w:ascii="Arial Nova" w:eastAsia="Arial Nova" w:hAnsi="Arial Nova" w:cs="Arial Nova"/>
          <w:color w:val="004F88"/>
          <w:sz w:val="44"/>
          <w:szCs w:val="44"/>
        </w:rPr>
      </w:pPr>
      <w:r w:rsidRPr="00B36352">
        <w:rPr>
          <w:rFonts w:ascii="Arial Nova" w:eastAsia="Arial Nova" w:hAnsi="Arial Nova" w:cs="Arial Nova"/>
          <w:color w:val="004F88"/>
          <w:sz w:val="44"/>
          <w:szCs w:val="44"/>
        </w:rPr>
        <w:t xml:space="preserve">Task </w:t>
      </w:r>
      <w:r w:rsidR="00563EB8" w:rsidRPr="00B36352">
        <w:rPr>
          <w:rFonts w:ascii="Arial Nova" w:eastAsia="Arial Nova" w:hAnsi="Arial Nova" w:cs="Arial Nova"/>
          <w:color w:val="004F88"/>
          <w:sz w:val="44"/>
          <w:szCs w:val="44"/>
        </w:rPr>
        <w:t>5</w:t>
      </w:r>
      <w:r w:rsidRPr="00B36352">
        <w:rPr>
          <w:rFonts w:ascii="Arial Nova" w:eastAsia="Arial Nova" w:hAnsi="Arial Nova" w:cs="Arial Nova"/>
          <w:color w:val="004F88"/>
          <w:sz w:val="44"/>
          <w:szCs w:val="44"/>
        </w:rPr>
        <w:t xml:space="preserve"> - </w:t>
      </w:r>
      <w:r w:rsidR="6D65878B" w:rsidRPr="00B36352">
        <w:rPr>
          <w:rFonts w:ascii="Arial Nova" w:eastAsia="Arial Nova" w:hAnsi="Arial Nova" w:cs="Arial Nova"/>
          <w:color w:val="004F88"/>
          <w:sz w:val="44"/>
          <w:szCs w:val="44"/>
        </w:rPr>
        <w:t>Podcast</w:t>
      </w:r>
    </w:p>
    <w:p w14:paraId="296C1697" w14:textId="44B1716F" w:rsidR="021F216E" w:rsidRDefault="021F216E" w:rsidP="021F216E">
      <w:pPr>
        <w:rPr>
          <w:rFonts w:ascii="Arial Nova" w:eastAsia="Arial Nova" w:hAnsi="Arial Nova" w:cs="Arial Nova"/>
          <w:i/>
          <w:iCs/>
        </w:rPr>
      </w:pPr>
    </w:p>
    <w:p w14:paraId="2056293E" w14:textId="7892A662" w:rsidR="021F216E" w:rsidRDefault="007E5E1D" w:rsidP="021F216E">
      <w:pPr>
        <w:rPr>
          <w:rFonts w:ascii="Arial Nova" w:eastAsia="Arial Nova" w:hAnsi="Arial Nova" w:cs="Arial Nova"/>
          <w:i/>
          <w:iCs/>
        </w:rPr>
      </w:pPr>
      <w:r>
        <w:rPr>
          <w:rFonts w:ascii="Arial Nova" w:eastAsia="Arial Nova" w:hAnsi="Arial Nova" w:cs="Arial Nova"/>
          <w:i/>
          <w:iCs/>
        </w:rPr>
        <w:object w:dxaOrig="2280" w:dyaOrig="810" w14:anchorId="5198F0A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4.1pt;height:40.75pt" o:ole="">
            <v:imagedata r:id="rId13" o:title=""/>
          </v:shape>
          <o:OLEObject Type="Embed" ProgID="Package" ShapeID="_x0000_i1027" DrawAspect="Content" ObjectID="_1835869156" r:id="rId14"/>
        </w:object>
      </w:r>
    </w:p>
    <w:p w14:paraId="0D0443BA" w14:textId="520F57D8" w:rsidR="021F216E" w:rsidRDefault="021F216E" w:rsidP="021F216E">
      <w:pPr>
        <w:rPr>
          <w:rFonts w:ascii="Arial Nova" w:eastAsia="Arial Nova" w:hAnsi="Arial Nova" w:cs="Arial Nova"/>
          <w:i/>
          <w:iCs/>
        </w:rPr>
      </w:pP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40BF57B2" w14:textId="5648DE36" w:rsidR="47853A3C" w:rsidRDefault="47853A3C" w:rsidP="47853A3C">
      <w:pPr>
        <w:rPr>
          <w:rFonts w:ascii="Arial Nova" w:eastAsia="Arial Nova" w:hAnsi="Arial Nova" w:cs="Arial Nova"/>
          <w:color w:val="000000" w:themeColor="text1"/>
          <w:sz w:val="44"/>
          <w:szCs w:val="44"/>
        </w:rPr>
      </w:pPr>
    </w:p>
    <w:p w14:paraId="280B5864" w14:textId="77777777" w:rsidR="00337274" w:rsidRDefault="00337274" w:rsidP="47853A3C">
      <w:pPr>
        <w:rPr>
          <w:rFonts w:ascii="Arial Nova" w:eastAsia="Arial Nova" w:hAnsi="Arial Nova" w:cs="Arial Nova"/>
          <w:color w:val="000000" w:themeColor="text1"/>
          <w:sz w:val="44"/>
          <w:szCs w:val="44"/>
        </w:rPr>
      </w:pPr>
    </w:p>
    <w:p w14:paraId="0B927ECD" w14:textId="77777777" w:rsidR="00337274" w:rsidRDefault="00337274" w:rsidP="47853A3C">
      <w:pPr>
        <w:rPr>
          <w:rFonts w:ascii="Arial Nova" w:eastAsia="Arial Nova" w:hAnsi="Arial Nova" w:cs="Arial Nova"/>
          <w:color w:val="000000" w:themeColor="text1"/>
          <w:sz w:val="44"/>
          <w:szCs w:val="44"/>
        </w:rPr>
      </w:pPr>
    </w:p>
    <w:p w14:paraId="2BB2FFA4" w14:textId="77777777" w:rsidR="00337274" w:rsidRDefault="00337274" w:rsidP="47853A3C">
      <w:pPr>
        <w:rPr>
          <w:rFonts w:ascii="Arial Nova" w:eastAsia="Arial Nova" w:hAnsi="Arial Nova" w:cs="Arial Nova"/>
          <w:color w:val="000000" w:themeColor="text1"/>
          <w:sz w:val="44"/>
          <w:szCs w:val="44"/>
        </w:rPr>
      </w:pPr>
    </w:p>
    <w:p w14:paraId="57659659" w14:textId="77777777" w:rsidR="007E5E1D" w:rsidRDefault="007E5E1D" w:rsidP="47853A3C">
      <w:pPr>
        <w:rPr>
          <w:rFonts w:ascii="Arial Nova" w:eastAsia="Arial Nova" w:hAnsi="Arial Nova" w:cs="Arial Nova"/>
          <w:color w:val="000000" w:themeColor="text1"/>
          <w:sz w:val="44"/>
          <w:szCs w:val="44"/>
        </w:rPr>
      </w:pPr>
    </w:p>
    <w:p w14:paraId="5EE44368" w14:textId="77777777" w:rsidR="007E5E1D" w:rsidRDefault="007E5E1D" w:rsidP="47853A3C">
      <w:pPr>
        <w:rPr>
          <w:rFonts w:ascii="Arial Nova" w:eastAsia="Arial Nova" w:hAnsi="Arial Nova" w:cs="Arial Nova"/>
          <w:color w:val="000000" w:themeColor="text1"/>
          <w:sz w:val="44"/>
          <w:szCs w:val="44"/>
        </w:rPr>
      </w:pPr>
    </w:p>
    <w:p w14:paraId="313DCC74" w14:textId="77777777" w:rsidR="007E5E1D" w:rsidRDefault="007E5E1D" w:rsidP="47853A3C">
      <w:pPr>
        <w:rPr>
          <w:rFonts w:ascii="Arial Nova" w:eastAsia="Arial Nova" w:hAnsi="Arial Nova" w:cs="Arial Nova"/>
          <w:color w:val="000000" w:themeColor="text1"/>
          <w:sz w:val="44"/>
          <w:szCs w:val="44"/>
        </w:rPr>
      </w:pPr>
    </w:p>
    <w:p w14:paraId="38669BF2" w14:textId="77777777" w:rsidR="00337274" w:rsidRDefault="00337274" w:rsidP="47853A3C">
      <w:pPr>
        <w:rPr>
          <w:rFonts w:ascii="Arial Nova" w:eastAsia="Arial Nova" w:hAnsi="Arial Nova" w:cs="Arial Nova"/>
          <w:color w:val="000000" w:themeColor="text1"/>
          <w:sz w:val="44"/>
          <w:szCs w:val="44"/>
        </w:rPr>
      </w:pPr>
    </w:p>
    <w:p w14:paraId="7470783B" w14:textId="77777777" w:rsidR="00337274" w:rsidRDefault="00337274" w:rsidP="47853A3C">
      <w:pPr>
        <w:rPr>
          <w:rFonts w:ascii="Arial Nova" w:eastAsia="Arial Nova" w:hAnsi="Arial Nova" w:cs="Arial Nova"/>
          <w:color w:val="000000" w:themeColor="text1"/>
          <w:sz w:val="44"/>
          <w:szCs w:val="44"/>
        </w:rPr>
      </w:pPr>
    </w:p>
    <w:p w14:paraId="2B29E5E1" w14:textId="77777777" w:rsidR="00337274" w:rsidRDefault="00337274" w:rsidP="47853A3C">
      <w:pPr>
        <w:rPr>
          <w:rFonts w:ascii="Arial Nova" w:eastAsia="Arial Nova" w:hAnsi="Arial Nova" w:cs="Arial Nova"/>
          <w:color w:val="000000" w:themeColor="text1"/>
          <w:sz w:val="44"/>
          <w:szCs w:val="44"/>
        </w:rPr>
      </w:pPr>
    </w:p>
    <w:p w14:paraId="304D0822" w14:textId="08498922" w:rsidR="47853A3C" w:rsidRDefault="47853A3C" w:rsidP="47853A3C">
      <w:pPr>
        <w:rPr>
          <w:rFonts w:ascii="Arial Nova" w:eastAsia="Arial Nova" w:hAnsi="Arial Nova" w:cs="Arial Nova"/>
          <w:color w:val="000000" w:themeColor="text1"/>
          <w:sz w:val="44"/>
          <w:szCs w:val="44"/>
        </w:rPr>
      </w:pPr>
    </w:p>
    <w:p w14:paraId="58A63EFA" w14:textId="11154A4C" w:rsidR="17E92B46" w:rsidRPr="00B36352" w:rsidRDefault="21B62BFC" w:rsidP="47853A3C">
      <w:pPr>
        <w:rPr>
          <w:rFonts w:ascii="Arial Nova" w:eastAsia="Arial Nova" w:hAnsi="Arial Nova" w:cs="Arial Nova"/>
          <w:color w:val="004F88"/>
          <w:sz w:val="44"/>
          <w:szCs w:val="44"/>
        </w:rPr>
      </w:pPr>
      <w:r w:rsidRPr="00B36352">
        <w:rPr>
          <w:rFonts w:ascii="Arial Nova" w:eastAsia="Arial Nova" w:hAnsi="Arial Nova" w:cs="Arial Nova"/>
          <w:color w:val="004F88"/>
          <w:sz w:val="44"/>
          <w:szCs w:val="44"/>
        </w:rPr>
        <w:t xml:space="preserve">Task </w:t>
      </w:r>
      <w:r w:rsidR="00563EB8" w:rsidRPr="00B36352">
        <w:rPr>
          <w:rFonts w:ascii="Arial Nova" w:eastAsia="Arial Nova" w:hAnsi="Arial Nova" w:cs="Arial Nova"/>
          <w:color w:val="004F88"/>
          <w:sz w:val="44"/>
          <w:szCs w:val="44"/>
        </w:rPr>
        <w:t>6</w:t>
      </w:r>
      <w:r w:rsidRPr="00B36352">
        <w:rPr>
          <w:rFonts w:ascii="Arial Nova" w:eastAsia="Arial Nova" w:hAnsi="Arial Nova" w:cs="Arial Nova"/>
          <w:color w:val="004F88"/>
          <w:sz w:val="44"/>
          <w:szCs w:val="44"/>
        </w:rPr>
        <w:t xml:space="preserve"> - </w:t>
      </w:r>
      <w:r w:rsidR="17E92B46" w:rsidRPr="00B36352">
        <w:rPr>
          <w:rFonts w:ascii="Arial Nova" w:eastAsia="Arial Nova" w:hAnsi="Arial Nova" w:cs="Arial Nova"/>
          <w:color w:val="004F88"/>
          <w:sz w:val="44"/>
          <w:szCs w:val="44"/>
        </w:rPr>
        <w:t>NHS Leadership Framework Analysis</w:t>
      </w:r>
    </w:p>
    <w:p w14:paraId="76B68B43" w14:textId="77777777" w:rsidR="00671047" w:rsidRPr="00671047" w:rsidRDefault="00671047" w:rsidP="00671047">
      <w:pPr>
        <w:pStyle w:val="NormalWeb"/>
        <w:rPr>
          <w:rFonts w:ascii="Arial" w:hAnsi="Arial" w:cs="Arial"/>
          <w:sz w:val="22"/>
          <w:szCs w:val="22"/>
        </w:rPr>
      </w:pPr>
      <w:r w:rsidRPr="00671047">
        <w:rPr>
          <w:rFonts w:ascii="Arial" w:hAnsi="Arial" w:cs="Arial"/>
          <w:sz w:val="22"/>
          <w:szCs w:val="22"/>
        </w:rPr>
        <w:t xml:space="preserve">The NHS Leadership Framework outlines the knowledge, skills and behaviours needed for effective leadership in health and social care. It is designed to help leaders improve services, support staff and maintain high-quality, person-centred care. The framework includes seven key domains: demonstrating personal qualities, working with others, managing services, improving services, setting direction, creating the vision, and delivering the strategy . Demonstrating personal qualities involves self-awareness, integrity and continuous learning. Working with others focuses on teamwork, communication and building strong professional relationships. </w:t>
      </w:r>
      <w:r w:rsidRPr="00671047">
        <w:rPr>
          <w:rFonts w:ascii="Arial" w:hAnsi="Arial" w:cs="Arial"/>
          <w:sz w:val="22"/>
          <w:szCs w:val="22"/>
        </w:rPr>
        <w:lastRenderedPageBreak/>
        <w:t>Managing services relates to planning, accountability and the effective use of people and resources. Improving services emphasises patient safety, innovation and evaluating practice. Setting direction involves understanding the context for change and using evidence to make informed decisions. Creating the vision is about developing and communicating a clear purpose that inspires others. Delivering the strategy means turning ideas into action, aligning resources and ensuring sustainable outcomes. Together, these components help leaders respond to challenges, maintain standards and guide organisations through change. In health and social care, the framework is valuable because it promotes leadership that is ethical, collaborative and focused on improving outcomes for patients and service users .</w:t>
      </w:r>
    </w:p>
    <w:p w14:paraId="54098139" w14:textId="77777777" w:rsidR="00671047" w:rsidRPr="00671047" w:rsidRDefault="00671047" w:rsidP="00671047">
      <w:pPr>
        <w:pStyle w:val="NormalWeb"/>
        <w:rPr>
          <w:rFonts w:ascii="Arial" w:hAnsi="Arial" w:cs="Arial"/>
          <w:sz w:val="22"/>
          <w:szCs w:val="22"/>
        </w:rPr>
      </w:pPr>
      <w:r w:rsidRPr="00671047">
        <w:rPr>
          <w:rFonts w:ascii="Arial" w:hAnsi="Arial" w:cs="Arial"/>
          <w:sz w:val="22"/>
          <w:szCs w:val="22"/>
        </w:rPr>
        <w:t xml:space="preserve">One important component of the framework is </w:t>
      </w:r>
      <w:r w:rsidRPr="00671047">
        <w:rPr>
          <w:rStyle w:val="Strong"/>
          <w:rFonts w:ascii="Arial" w:eastAsiaTheme="majorEastAsia" w:hAnsi="Arial" w:cs="Arial"/>
          <w:sz w:val="22"/>
          <w:szCs w:val="22"/>
        </w:rPr>
        <w:t>improving services</w:t>
      </w:r>
      <w:r w:rsidRPr="00671047">
        <w:rPr>
          <w:rFonts w:ascii="Arial" w:hAnsi="Arial" w:cs="Arial"/>
          <w:sz w:val="22"/>
          <w:szCs w:val="22"/>
        </w:rPr>
        <w:t>. A leader using this domain would encourage staff to identify problems, reflect on current practice and suggest new ideas to improve care. This supports creativity because it creates an environment where innovation is welcomed rather than resisted. For example, a ward manager might introduce a new digital system for monitoring patients or encourage staff to redesign a care process to reduce delays. By evaluating outcomes and listening to both staff and patients, the leader can identify what works well and what needs to change. This helps improve patient safety, efficiency and overall experience. In the NHS, leaders who focus on improving services can inspire teams to think creatively while still ensuring that care remains effective, evidence-based and person-centred</w:t>
      </w:r>
    </w:p>
    <w:p w14:paraId="156F27C2" w14:textId="301D9C6F" w:rsidR="021F216E" w:rsidRDefault="021F216E" w:rsidP="021F216E">
      <w:pPr>
        <w:rPr>
          <w:rFonts w:ascii="Arial Nova" w:eastAsia="Arial Nova" w:hAnsi="Arial Nova" w:cs="Arial Nova"/>
          <w:i/>
          <w:iCs/>
          <w:color w:val="000000" w:themeColor="text1"/>
        </w:rPr>
      </w:pPr>
    </w:p>
    <w:p w14:paraId="5C013B84" w14:textId="14936285" w:rsidR="021F216E" w:rsidRDefault="021F216E" w:rsidP="021F216E">
      <w:pPr>
        <w:rPr>
          <w:rFonts w:ascii="Arial Nova" w:eastAsia="Arial Nova" w:hAnsi="Arial Nova" w:cs="Arial Nova"/>
          <w:i/>
          <w:iCs/>
          <w:color w:val="000000" w:themeColor="text1"/>
        </w:rPr>
      </w:pPr>
    </w:p>
    <w:p w14:paraId="06C8C088" w14:textId="03EA1888" w:rsidR="021F216E" w:rsidRDefault="021F216E" w:rsidP="021F216E">
      <w:pPr>
        <w:rPr>
          <w:rFonts w:ascii="Arial Nova" w:eastAsia="Arial Nova" w:hAnsi="Arial Nova" w:cs="Arial Nova"/>
          <w:i/>
          <w:iCs/>
          <w:color w:val="000000" w:themeColor="text1"/>
        </w:rPr>
      </w:pP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78217C65" w14:textId="77777777" w:rsidR="00671047" w:rsidRDefault="00671047" w:rsidP="021F216E">
      <w:pPr>
        <w:rPr>
          <w:rFonts w:ascii="Arial Nova" w:eastAsia="Arial Nova" w:hAnsi="Arial Nova" w:cs="Arial Nova"/>
          <w:i/>
          <w:iCs/>
          <w:color w:val="000000" w:themeColor="text1"/>
        </w:rPr>
      </w:pPr>
    </w:p>
    <w:p w14:paraId="743C7137" w14:textId="376E5415" w:rsidR="17E92B46" w:rsidRPr="00B36352" w:rsidRDefault="38F3069B" w:rsidP="47853A3C">
      <w:pPr>
        <w:rPr>
          <w:rFonts w:ascii="Arial Nova" w:eastAsia="Arial Nova" w:hAnsi="Arial Nova" w:cs="Arial Nova"/>
          <w:color w:val="004F88"/>
          <w:sz w:val="44"/>
          <w:szCs w:val="44"/>
        </w:rPr>
      </w:pPr>
      <w:r w:rsidRPr="00B36352">
        <w:rPr>
          <w:rFonts w:ascii="Arial Nova" w:eastAsia="Arial Nova" w:hAnsi="Arial Nova" w:cs="Arial Nova"/>
          <w:color w:val="004F88"/>
          <w:sz w:val="44"/>
          <w:szCs w:val="44"/>
        </w:rPr>
        <w:t xml:space="preserve">Task </w:t>
      </w:r>
      <w:r w:rsidR="00563EB8" w:rsidRPr="00B36352">
        <w:rPr>
          <w:rFonts w:ascii="Arial Nova" w:eastAsia="Arial Nova" w:hAnsi="Arial Nova" w:cs="Arial Nova"/>
          <w:color w:val="004F88"/>
          <w:sz w:val="44"/>
          <w:szCs w:val="44"/>
        </w:rPr>
        <w:t>7</w:t>
      </w:r>
      <w:r w:rsidRPr="00B36352">
        <w:rPr>
          <w:rFonts w:ascii="Arial Nova" w:eastAsia="Arial Nova" w:hAnsi="Arial Nova" w:cs="Arial Nova"/>
          <w:color w:val="004F88"/>
          <w:sz w:val="44"/>
          <w:szCs w:val="44"/>
        </w:rPr>
        <w:t xml:space="preserve"> - </w:t>
      </w:r>
      <w:r w:rsidR="17E92B46" w:rsidRPr="00B36352">
        <w:rPr>
          <w:rFonts w:ascii="Arial Nova" w:eastAsia="Arial Nova" w:hAnsi="Arial Nova" w:cs="Arial Nova"/>
          <w:color w:val="004F88"/>
          <w:sz w:val="44"/>
          <w:szCs w:val="44"/>
        </w:rPr>
        <w:t>Self-Reflection Journal Entry</w:t>
      </w:r>
    </w:p>
    <w:p w14:paraId="6CD44E6B" w14:textId="77777777" w:rsidR="00671047" w:rsidRPr="00671047" w:rsidRDefault="00671047" w:rsidP="00671047">
      <w:pPr>
        <w:pStyle w:val="NormalWeb"/>
        <w:rPr>
          <w:rFonts w:ascii="Arial" w:hAnsi="Arial" w:cs="Arial"/>
          <w:sz w:val="22"/>
          <w:szCs w:val="22"/>
        </w:rPr>
      </w:pPr>
      <w:r w:rsidRPr="00671047">
        <w:rPr>
          <w:rFonts w:ascii="Arial" w:hAnsi="Arial" w:cs="Arial"/>
          <w:sz w:val="22"/>
          <w:szCs w:val="22"/>
        </w:rPr>
        <w:t>Throughout this module, I have developed a stronger understanding of how creativity and value creation apply within health and social care. At the start, I mainly associated creativity with arts or imaginative thinking, but I now understand that it also involves problem-solving, innovation and finding better ways to meet the needs of service users. The module showed me that creativity is important in health and social care because services are often under pressure and require new ideas to improve quality, access and efficiency .</w:t>
      </w:r>
    </w:p>
    <w:p w14:paraId="27D16359" w14:textId="77777777" w:rsidR="00671047" w:rsidRPr="00671047" w:rsidRDefault="00671047" w:rsidP="00671047">
      <w:pPr>
        <w:pStyle w:val="NormalWeb"/>
        <w:rPr>
          <w:rFonts w:ascii="Arial" w:hAnsi="Arial" w:cs="Arial"/>
          <w:sz w:val="22"/>
          <w:szCs w:val="22"/>
        </w:rPr>
      </w:pPr>
      <w:r w:rsidRPr="00671047">
        <w:rPr>
          <w:rFonts w:ascii="Arial" w:hAnsi="Arial" w:cs="Arial"/>
          <w:sz w:val="22"/>
          <w:szCs w:val="22"/>
        </w:rPr>
        <w:lastRenderedPageBreak/>
        <w:t>My understanding of value creation has also changed. I previously thought value only meant saving money, but I now see that it also includes improving patient outcomes, experience and person-centred care. Learning about innovation, leadership and campaign planning helped me understand how creative ideas can lead to meaningful improvements in practice. For example, I have seen how technology, service redesign and health campaigns can all create value when they are planned around the needs of patients and communities .</w:t>
      </w:r>
    </w:p>
    <w:p w14:paraId="26DD0634" w14:textId="77777777" w:rsidR="00671047" w:rsidRPr="00671047" w:rsidRDefault="00671047" w:rsidP="00671047">
      <w:pPr>
        <w:pStyle w:val="NormalWeb"/>
        <w:rPr>
          <w:rFonts w:ascii="Arial" w:hAnsi="Arial" w:cs="Arial"/>
          <w:sz w:val="22"/>
          <w:szCs w:val="22"/>
        </w:rPr>
      </w:pPr>
      <w:r w:rsidRPr="00671047">
        <w:rPr>
          <w:rFonts w:ascii="Arial" w:hAnsi="Arial" w:cs="Arial"/>
          <w:sz w:val="22"/>
          <w:szCs w:val="22"/>
        </w:rPr>
        <w:t>This module has informed my professional practice by encouraging me to think more openly, critically and creatively. In future, I will be more confident in suggesting improvements, reflecting on challenges and considering how innovation can be used to support better and more effective care.</w:t>
      </w:r>
    </w:p>
    <w:p w14:paraId="11710E1B" w14:textId="6B61F835" w:rsidR="021F216E" w:rsidRDefault="021F216E" w:rsidP="021F216E">
      <w:pPr>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632C106F" w14:textId="49338FCB" w:rsidR="021F216E" w:rsidRDefault="021F216E" w:rsidP="021F216E">
      <w:pPr>
        <w:rPr>
          <w:rFonts w:ascii="Arial Nova" w:eastAsia="Arial Nova" w:hAnsi="Arial Nova" w:cs="Arial Nova"/>
          <w:i/>
          <w:iCs/>
          <w:color w:val="000000" w:themeColor="text1"/>
        </w:rPr>
      </w:pPr>
    </w:p>
    <w:p w14:paraId="69DC84A5" w14:textId="24E1A433" w:rsidR="021F216E" w:rsidRDefault="021F216E" w:rsidP="021F216E">
      <w:pPr>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71A6ADDC" w14:textId="31FBB468" w:rsidR="021F216E" w:rsidRDefault="021F216E" w:rsidP="021F216E">
      <w:pPr>
        <w:rPr>
          <w:rFonts w:ascii="Arial Nova" w:eastAsia="Arial Nova" w:hAnsi="Arial Nova" w:cs="Arial Nova"/>
          <w:i/>
          <w:iCs/>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2BE99980" w14:textId="54CD5EB0" w:rsidR="021F216E" w:rsidRDefault="021F216E" w:rsidP="021F216E">
      <w:pPr>
        <w:rPr>
          <w:rFonts w:ascii="Arial Nova" w:eastAsia="Arial Nova" w:hAnsi="Arial Nova" w:cs="Arial Nova"/>
          <w:i/>
          <w:iCs/>
          <w:color w:val="000000" w:themeColor="text1"/>
        </w:rPr>
      </w:pPr>
    </w:p>
    <w:p w14:paraId="05D2A745" w14:textId="506872F1" w:rsidR="021F216E" w:rsidRDefault="021F216E" w:rsidP="021F216E">
      <w:pPr>
        <w:rPr>
          <w:rFonts w:ascii="Arial Nova" w:eastAsia="Arial Nova" w:hAnsi="Arial Nova" w:cs="Arial Nova"/>
          <w:i/>
          <w:iCs/>
          <w:color w:val="000000" w:themeColor="text1"/>
        </w:rPr>
      </w:pPr>
    </w:p>
    <w:p w14:paraId="4E2229F2" w14:textId="693DDDE4" w:rsidR="021F216E" w:rsidRDefault="021F216E" w:rsidP="021F216E">
      <w:pPr>
        <w:rPr>
          <w:rFonts w:ascii="Arial Nova" w:eastAsia="Arial Nova" w:hAnsi="Arial Nova" w:cs="Arial Nova"/>
          <w:i/>
          <w:iCs/>
          <w:color w:val="000000" w:themeColor="text1"/>
        </w:rPr>
      </w:pPr>
    </w:p>
    <w:p w14:paraId="7F0E6703" w14:textId="0DC3FDC2" w:rsidR="021F216E" w:rsidRDefault="021F216E" w:rsidP="021F216E">
      <w:pPr>
        <w:rPr>
          <w:rFonts w:ascii="Arial Nova" w:eastAsia="Arial Nova" w:hAnsi="Arial Nova" w:cs="Arial Nova"/>
          <w:i/>
          <w:iCs/>
          <w:color w:val="000000" w:themeColor="text1"/>
        </w:rPr>
      </w:pPr>
    </w:p>
    <w:p w14:paraId="01DF7FF4" w14:textId="6B6F0180" w:rsidR="021F216E" w:rsidRDefault="021F216E" w:rsidP="021F216E">
      <w:pPr>
        <w:rPr>
          <w:rFonts w:ascii="Arial Nova" w:eastAsia="Arial Nova" w:hAnsi="Arial Nova" w:cs="Arial Nova"/>
          <w:i/>
          <w:iCs/>
          <w:color w:val="000000" w:themeColor="text1"/>
        </w:rPr>
      </w:pPr>
    </w:p>
    <w:p w14:paraId="63DF3BF2" w14:textId="17BFE8AB" w:rsidR="021F216E" w:rsidRDefault="021F216E" w:rsidP="021F216E">
      <w:pPr>
        <w:rPr>
          <w:rFonts w:ascii="Arial Nova" w:eastAsia="Arial Nova" w:hAnsi="Arial Nova" w:cs="Arial Nova"/>
          <w:i/>
          <w:iCs/>
          <w:color w:val="000000" w:themeColor="text1"/>
        </w:rPr>
      </w:pPr>
    </w:p>
    <w:p w14:paraId="5CB95668" w14:textId="48FCE4BC" w:rsidR="021F216E" w:rsidRDefault="021F216E" w:rsidP="021F216E">
      <w:pPr>
        <w:rPr>
          <w:rFonts w:ascii="Arial Nova" w:eastAsia="Arial Nova" w:hAnsi="Arial Nova" w:cs="Arial Nova"/>
          <w:i/>
          <w:iCs/>
          <w:color w:val="000000" w:themeColor="text1"/>
        </w:rPr>
      </w:pPr>
    </w:p>
    <w:p w14:paraId="5E2803DD" w14:textId="5DC26F9A"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15CCCB7B" w14:textId="3A56F521" w:rsidR="00671047" w:rsidRDefault="00671047" w:rsidP="00671047">
      <w:pPr>
        <w:pStyle w:val="NormalWeb"/>
      </w:pPr>
      <w:r>
        <w:t xml:space="preserve">Care Quality Commission (2021) </w:t>
      </w:r>
      <w:r>
        <w:rPr>
          <w:rStyle w:val="Emphasis"/>
          <w:rFonts w:eastAsiaTheme="majorEastAsia"/>
        </w:rPr>
        <w:t>Enabling innovation and adoption in health and social care: Developing a shared view</w:t>
      </w:r>
      <w:r>
        <w:t xml:space="preserve">. Available at: </w:t>
      </w:r>
      <w:hyperlink r:id="rId15" w:tgtFrame="_new" w:history="1">
        <w:r>
          <w:rPr>
            <w:rStyle w:val="Hyperlink"/>
            <w:rFonts w:eastAsiaTheme="majorEastAsia"/>
          </w:rPr>
          <w:t>https://www.cqc.org.uk/publications/themed-work/enabling-innovation-adoption-health-social-care-developing-shared-view</w:t>
        </w:r>
      </w:hyperlink>
      <w:r>
        <w:t xml:space="preserve"> </w:t>
      </w:r>
    </w:p>
    <w:p w14:paraId="6CA6EECB" w14:textId="61CCE899" w:rsidR="00671047" w:rsidRDefault="00671047" w:rsidP="00671047">
      <w:pPr>
        <w:pStyle w:val="NormalWeb"/>
      </w:pPr>
      <w:r>
        <w:t xml:space="preserve">Clement, S., Schauman, O., Graham, T., Maggioni, F., Evans-Lacko, S., </w:t>
      </w:r>
      <w:proofErr w:type="spellStart"/>
      <w:r>
        <w:t>Bezborodovs</w:t>
      </w:r>
      <w:proofErr w:type="spellEnd"/>
      <w:r>
        <w:t xml:space="preserve">, N., Morgan, C., </w:t>
      </w:r>
      <w:proofErr w:type="spellStart"/>
      <w:r>
        <w:t>Rüsch</w:t>
      </w:r>
      <w:proofErr w:type="spellEnd"/>
      <w:r>
        <w:t xml:space="preserve">, N., Brown, J.S.L. and Thornicroft, G. (2015) ‘What is the impact of mental health-related stigma on help-seeking? A systematic review of quantitative and qualitative </w:t>
      </w:r>
      <w:r>
        <w:lastRenderedPageBreak/>
        <w:t xml:space="preserve">studies’, </w:t>
      </w:r>
      <w:r>
        <w:rPr>
          <w:rStyle w:val="Emphasis"/>
          <w:rFonts w:eastAsiaTheme="majorEastAsia"/>
        </w:rPr>
        <w:t>Psychological Medicine</w:t>
      </w:r>
      <w:r>
        <w:t xml:space="preserve">, 45(1), pp. 11–27. Available at: </w:t>
      </w:r>
      <w:hyperlink r:id="rId16" w:tgtFrame="_new" w:history="1">
        <w:r>
          <w:rPr>
            <w:rStyle w:val="Hyperlink"/>
            <w:rFonts w:eastAsiaTheme="majorEastAsia"/>
          </w:rPr>
          <w:t>https://pubmed.ncbi.nlm.nih.gov/24569086/</w:t>
        </w:r>
      </w:hyperlink>
      <w:r>
        <w:t xml:space="preserve"> </w:t>
      </w:r>
    </w:p>
    <w:p w14:paraId="5B23DC07" w14:textId="0D0426CD" w:rsidR="00671047" w:rsidRDefault="00671047" w:rsidP="00671047">
      <w:pPr>
        <w:pStyle w:val="NormalWeb"/>
      </w:pPr>
      <w:r>
        <w:t xml:space="preserve">Davenport, T. and </w:t>
      </w:r>
      <w:proofErr w:type="spellStart"/>
      <w:r>
        <w:t>Kalakota</w:t>
      </w:r>
      <w:proofErr w:type="spellEnd"/>
      <w:r>
        <w:t xml:space="preserve">, R. (2019) ‘The potential for artificial intelligence in healthcare’, </w:t>
      </w:r>
      <w:r>
        <w:rPr>
          <w:rStyle w:val="Emphasis"/>
          <w:rFonts w:eastAsiaTheme="majorEastAsia"/>
        </w:rPr>
        <w:t>Future Healthcare Journal</w:t>
      </w:r>
      <w:r>
        <w:t xml:space="preserve">, 6(2), pp. 94–98. Available at: </w:t>
      </w:r>
      <w:hyperlink r:id="rId17" w:tgtFrame="_new" w:history="1">
        <w:r>
          <w:rPr>
            <w:rStyle w:val="Hyperlink"/>
            <w:rFonts w:eastAsiaTheme="majorEastAsia"/>
          </w:rPr>
          <w:t>https://pubmed.ncbi.nlm.nih.gov/31363513/</w:t>
        </w:r>
      </w:hyperlink>
      <w:r>
        <w:t xml:space="preserve"> </w:t>
      </w:r>
    </w:p>
    <w:p w14:paraId="09BCE32B" w14:textId="77777777" w:rsidR="00671047" w:rsidRDefault="00671047" w:rsidP="00671047">
      <w:pPr>
        <w:pStyle w:val="NormalWeb"/>
      </w:pPr>
      <w:r>
        <w:t xml:space="preserve">Fullan, M. (2016) </w:t>
      </w:r>
      <w:r>
        <w:rPr>
          <w:rStyle w:val="Emphasis"/>
          <w:rFonts w:eastAsiaTheme="majorEastAsia"/>
        </w:rPr>
        <w:t>Indelible leadership: Always leave them learning</w:t>
      </w:r>
      <w:r>
        <w:t>. Thousand Oaks, CA: Corwin Press.</w:t>
      </w:r>
    </w:p>
    <w:p w14:paraId="2E63AE4E" w14:textId="77777777" w:rsidR="00671047" w:rsidRDefault="00671047" w:rsidP="00671047">
      <w:pPr>
        <w:pStyle w:val="NormalWeb"/>
      </w:pPr>
      <w:r>
        <w:t xml:space="preserve">Guilford, J.P. (1967) </w:t>
      </w:r>
      <w:r>
        <w:rPr>
          <w:rStyle w:val="Emphasis"/>
          <w:rFonts w:eastAsiaTheme="majorEastAsia"/>
        </w:rPr>
        <w:t>The nature of human intelligence</w:t>
      </w:r>
      <w:r>
        <w:t>. New York: McGraw-Hill.</w:t>
      </w:r>
    </w:p>
    <w:p w14:paraId="4122BD54" w14:textId="10CC7290" w:rsidR="00671047" w:rsidRDefault="00671047" w:rsidP="00671047">
      <w:pPr>
        <w:pStyle w:val="NormalWeb"/>
      </w:pPr>
      <w:r>
        <w:t xml:space="preserve">NHS Leadership Academy (n.d.) </w:t>
      </w:r>
      <w:r>
        <w:rPr>
          <w:rStyle w:val="Emphasis"/>
          <w:rFonts w:eastAsiaTheme="majorEastAsia"/>
        </w:rPr>
        <w:t>Healthcare Leadership Model</w:t>
      </w:r>
      <w:r>
        <w:t xml:space="preserve">. Available at: </w:t>
      </w:r>
      <w:hyperlink r:id="rId18" w:tgtFrame="_new" w:history="1">
        <w:r>
          <w:rPr>
            <w:rStyle w:val="Hyperlink"/>
            <w:rFonts w:eastAsiaTheme="majorEastAsia"/>
          </w:rPr>
          <w:t>https://www.leadershipacademy.nhs.uk/healthcare-leadership-model/</w:t>
        </w:r>
      </w:hyperlink>
      <w:r>
        <w:t xml:space="preserve"> </w:t>
      </w:r>
    </w:p>
    <w:p w14:paraId="6CC614EE" w14:textId="3A62B4DE" w:rsidR="00671047" w:rsidRDefault="00671047" w:rsidP="00671047">
      <w:pPr>
        <w:pStyle w:val="NormalWeb"/>
      </w:pPr>
      <w:proofErr w:type="spellStart"/>
      <w:r>
        <w:t>Rüsch</w:t>
      </w:r>
      <w:proofErr w:type="spellEnd"/>
      <w:r>
        <w:t xml:space="preserve">, N., </w:t>
      </w:r>
      <w:proofErr w:type="spellStart"/>
      <w:r>
        <w:t>Angermeyer</w:t>
      </w:r>
      <w:proofErr w:type="spellEnd"/>
      <w:r>
        <w:t xml:space="preserve">, M.C. and Corrigan, P.W. (2005) ‘Mental illness stigma: Concepts, consequences, and initiatives to reduce stigma’, </w:t>
      </w:r>
      <w:r>
        <w:rPr>
          <w:rStyle w:val="Emphasis"/>
          <w:rFonts w:eastAsiaTheme="majorEastAsia"/>
        </w:rPr>
        <w:t>European Psychiatry</w:t>
      </w:r>
      <w:r>
        <w:t xml:space="preserve">, 20(8), pp. 529–539. Available at: </w:t>
      </w:r>
      <w:hyperlink r:id="rId19" w:tgtFrame="_new" w:history="1">
        <w:r>
          <w:rPr>
            <w:rStyle w:val="Hyperlink"/>
            <w:rFonts w:eastAsiaTheme="majorEastAsia"/>
          </w:rPr>
          <w:t>https://pubmed.ncbi.nlm.nih.gov/16171984/</w:t>
        </w:r>
      </w:hyperlink>
      <w:r>
        <w:t xml:space="preserve"> </w:t>
      </w: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0084FF" w14:textId="77777777" w:rsidR="00DD5F39" w:rsidRDefault="00DD5F39" w:rsidP="00255A0D">
      <w:pPr>
        <w:spacing w:after="0" w:line="240" w:lineRule="auto"/>
      </w:pPr>
      <w:r>
        <w:separator/>
      </w:r>
    </w:p>
  </w:endnote>
  <w:endnote w:type="continuationSeparator" w:id="0">
    <w:p w14:paraId="67F43E0B" w14:textId="77777777" w:rsidR="00DD5F39" w:rsidRDefault="00DD5F39"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3E7FD7" w14:textId="77777777" w:rsidR="00DD5F39" w:rsidRDefault="00DD5F39" w:rsidP="00255A0D">
      <w:pPr>
        <w:spacing w:after="0" w:line="240" w:lineRule="auto"/>
      </w:pPr>
      <w:r>
        <w:separator/>
      </w:r>
    </w:p>
  </w:footnote>
  <w:footnote w:type="continuationSeparator" w:id="0">
    <w:p w14:paraId="6C10836A" w14:textId="77777777" w:rsidR="00DD5F39" w:rsidRDefault="00DD5F39"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94EFD"/>
    <w:rsid w:val="001A0E8E"/>
    <w:rsid w:val="001C40BE"/>
    <w:rsid w:val="00255A0D"/>
    <w:rsid w:val="002B294D"/>
    <w:rsid w:val="00337274"/>
    <w:rsid w:val="00352BC6"/>
    <w:rsid w:val="00456C61"/>
    <w:rsid w:val="00563EB8"/>
    <w:rsid w:val="00577423"/>
    <w:rsid w:val="00671047"/>
    <w:rsid w:val="006A1A81"/>
    <w:rsid w:val="007E5E1D"/>
    <w:rsid w:val="007F0718"/>
    <w:rsid w:val="008F2FE9"/>
    <w:rsid w:val="009C5459"/>
    <w:rsid w:val="00A507D8"/>
    <w:rsid w:val="00A64215"/>
    <w:rsid w:val="00B36352"/>
    <w:rsid w:val="00CA384C"/>
    <w:rsid w:val="00DC2ECF"/>
    <w:rsid w:val="00DD5F39"/>
    <w:rsid w:val="00E27A2D"/>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NormalWeb">
    <w:name w:val="Normal (Web)"/>
    <w:basedOn w:val="Normal"/>
    <w:uiPriority w:val="99"/>
    <w:semiHidden/>
    <w:unhideWhenUsed/>
    <w:rsid w:val="00B36352"/>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B36352"/>
    <w:rPr>
      <w:b/>
      <w:bCs/>
    </w:rPr>
  </w:style>
  <w:style w:type="character" w:styleId="Emphasis">
    <w:name w:val="Emphasis"/>
    <w:basedOn w:val="DefaultParagraphFont"/>
    <w:uiPriority w:val="20"/>
    <w:qFormat/>
    <w:rsid w:val="0067104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emf"/><Relationship Id="rId18" Type="http://schemas.openxmlformats.org/officeDocument/2006/relationships/hyperlink" Target="https://www.leadershipacademy.nhs.uk/healthcare-leadership-model/?utm_source=chatgpt.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hyperlink" Target="https://pubmed.ncbi.nlm.nih.gov/31363513/?utm_source=chatgpt.com" TargetMode="External"/><Relationship Id="rId2" Type="http://schemas.openxmlformats.org/officeDocument/2006/relationships/styles" Target="styles.xml"/><Relationship Id="rId16" Type="http://schemas.openxmlformats.org/officeDocument/2006/relationships/hyperlink" Target="https://pubmed.ncbi.nlm.nih.gov/24569086/?utm_source=chatgpt.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hyperlink" Target="https://www.cqc.org.uk/publications/themed-work/enabling-innovation-adoption-health-social-care-developing-shared-view?utm_source=chatgpt.com" TargetMode="External"/><Relationship Id="rId10" Type="http://schemas.openxmlformats.org/officeDocument/2006/relationships/diagramQuickStyle" Target="diagrams/quickStyle1.xml"/><Relationship Id="rId19" Type="http://schemas.openxmlformats.org/officeDocument/2006/relationships/hyperlink" Target="https://pubmed.ncbi.nlm.nih.gov/16171984/?utm_source=chatgpt.com"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oleObject" Target="embeddings/oleObject1.bin"/></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038D871-7E72-46E0-AFAC-EA3BC5576273}"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4FF2CD84-3E01-4FEB-A47B-CDDC9861246E}">
      <dgm:prSet phldrT="[Text]"/>
      <dgm:spPr/>
      <dgm:t>
        <a:bodyPr/>
        <a:lstStyle/>
        <a:p>
          <a:pPr>
            <a:buNone/>
          </a:pPr>
          <a:r>
            <a:rPr lang="en-GB" b="1"/>
            <a:t>Creativity</a:t>
          </a:r>
          <a:br>
            <a:rPr lang="en-GB"/>
          </a:br>
          <a:r>
            <a:rPr lang="en-GB" i="1"/>
            <a:t>(Generating new ideas)</a:t>
          </a:r>
          <a:endParaRPr lang="en-GB"/>
        </a:p>
      </dgm:t>
    </dgm:pt>
    <dgm:pt modelId="{7544C10D-BD97-4D80-9A09-E8F647BBBEA0}" type="parTrans" cxnId="{B4A7B2AB-57BF-46C8-B331-FA893B8199BE}">
      <dgm:prSet/>
      <dgm:spPr/>
      <dgm:t>
        <a:bodyPr/>
        <a:lstStyle/>
        <a:p>
          <a:endParaRPr lang="en-GB"/>
        </a:p>
      </dgm:t>
    </dgm:pt>
    <dgm:pt modelId="{0665AF3F-3509-4097-9B4D-A86895799B8C}" type="sibTrans" cxnId="{B4A7B2AB-57BF-46C8-B331-FA893B8199BE}">
      <dgm:prSet/>
      <dgm:spPr/>
      <dgm:t>
        <a:bodyPr/>
        <a:lstStyle/>
        <a:p>
          <a:endParaRPr lang="en-GB"/>
        </a:p>
      </dgm:t>
    </dgm:pt>
    <dgm:pt modelId="{40CE4DE7-F24F-4C86-BCE5-102688A71E0D}">
      <dgm:prSet phldrT="[Text]"/>
      <dgm:spPr/>
      <dgm:t>
        <a:bodyPr/>
        <a:lstStyle/>
        <a:p>
          <a:pPr>
            <a:buNone/>
          </a:pPr>
          <a:r>
            <a:rPr lang="en-GB" b="1"/>
            <a:t>Innovation</a:t>
          </a:r>
          <a:br>
            <a:rPr lang="en-GB"/>
          </a:br>
          <a:r>
            <a:rPr lang="en-GB" b="0"/>
            <a:t>(Implementing Creative Solutions in Healthcare)</a:t>
          </a:r>
        </a:p>
        <a:p>
          <a:pPr>
            <a:buNone/>
          </a:pPr>
          <a:endParaRPr lang="en-GB"/>
        </a:p>
      </dgm:t>
    </dgm:pt>
    <dgm:pt modelId="{25B41157-20F5-43DA-A73E-BC83C16B4473}" type="parTrans" cxnId="{1F6F6477-6834-47E0-82FA-5CAF33D5E850}">
      <dgm:prSet/>
      <dgm:spPr/>
      <dgm:t>
        <a:bodyPr/>
        <a:lstStyle/>
        <a:p>
          <a:endParaRPr lang="en-GB"/>
        </a:p>
      </dgm:t>
    </dgm:pt>
    <dgm:pt modelId="{99212DCC-695C-47AB-B22A-1B47323A202A}" type="sibTrans" cxnId="{1F6F6477-6834-47E0-82FA-5CAF33D5E850}">
      <dgm:prSet/>
      <dgm:spPr/>
      <dgm:t>
        <a:bodyPr/>
        <a:lstStyle/>
        <a:p>
          <a:endParaRPr lang="en-GB"/>
        </a:p>
      </dgm:t>
    </dgm:pt>
    <dgm:pt modelId="{9353173A-A80E-43B5-BA57-D346AA9D3936}">
      <dgm:prSet phldrT="[Text]"/>
      <dgm:spPr/>
      <dgm:t>
        <a:bodyPr/>
        <a:lstStyle/>
        <a:p>
          <a:pPr>
            <a:buNone/>
          </a:pPr>
          <a:r>
            <a:rPr lang="en-GB" b="1"/>
            <a:t>Value Creation</a:t>
          </a:r>
          <a:br>
            <a:rPr lang="en-GB"/>
          </a:br>
          <a:r>
            <a:rPr lang="en-GB" i="1"/>
            <a:t>(Better outcomes &amp; efficiency)</a:t>
          </a:r>
          <a:endParaRPr lang="en-GB"/>
        </a:p>
      </dgm:t>
    </dgm:pt>
    <dgm:pt modelId="{955002C6-82B8-405A-9F66-0DEA3299437D}" type="parTrans" cxnId="{5BEFFC53-7B2B-4A9C-B5AC-522174BB4DC7}">
      <dgm:prSet/>
      <dgm:spPr/>
      <dgm:t>
        <a:bodyPr/>
        <a:lstStyle/>
        <a:p>
          <a:endParaRPr lang="en-GB"/>
        </a:p>
      </dgm:t>
    </dgm:pt>
    <dgm:pt modelId="{B367EBC9-B715-455B-9904-83840176E0D2}" type="sibTrans" cxnId="{5BEFFC53-7B2B-4A9C-B5AC-522174BB4DC7}">
      <dgm:prSet/>
      <dgm:spPr/>
      <dgm:t>
        <a:bodyPr/>
        <a:lstStyle/>
        <a:p>
          <a:endParaRPr lang="en-GB"/>
        </a:p>
      </dgm:t>
    </dgm:pt>
    <dgm:pt modelId="{6AD1C9A7-6033-43F5-8C75-1F0551F76D96}">
      <dgm:prSet phldrT="[Text]"/>
      <dgm:spPr/>
      <dgm:t>
        <a:bodyPr/>
        <a:lstStyle/>
        <a:p>
          <a:pPr>
            <a:buNone/>
          </a:pPr>
          <a:r>
            <a:rPr lang="en-GB" b="1"/>
            <a:t>Improved Health &amp; Social Care</a:t>
          </a:r>
          <a:br>
            <a:rPr lang="en-GB"/>
          </a:br>
          <a:r>
            <a:rPr lang="en-GB" i="1"/>
            <a:t>(Better patient care)</a:t>
          </a:r>
          <a:endParaRPr lang="en-GB"/>
        </a:p>
      </dgm:t>
    </dgm:pt>
    <dgm:pt modelId="{4B301A2B-04C3-4D70-94EB-BD50D5239ED4}" type="parTrans" cxnId="{2931C13E-4CD7-4E6E-80FA-5E1FCDFBB7C1}">
      <dgm:prSet/>
      <dgm:spPr/>
      <dgm:t>
        <a:bodyPr/>
        <a:lstStyle/>
        <a:p>
          <a:endParaRPr lang="en-GB"/>
        </a:p>
      </dgm:t>
    </dgm:pt>
    <dgm:pt modelId="{2DE7F44F-77A2-4993-8B6D-95D804A54CFF}" type="sibTrans" cxnId="{2931C13E-4CD7-4E6E-80FA-5E1FCDFBB7C1}">
      <dgm:prSet/>
      <dgm:spPr/>
      <dgm:t>
        <a:bodyPr/>
        <a:lstStyle/>
        <a:p>
          <a:endParaRPr lang="en-GB"/>
        </a:p>
      </dgm:t>
    </dgm:pt>
    <dgm:pt modelId="{3F74E36B-60F6-45B2-8ACE-28B19645254D}" type="pres">
      <dgm:prSet presAssocID="{F038D871-7E72-46E0-AFAC-EA3BC5576273}" presName="cycle" presStyleCnt="0">
        <dgm:presLayoutVars>
          <dgm:dir/>
          <dgm:resizeHandles val="exact"/>
        </dgm:presLayoutVars>
      </dgm:prSet>
      <dgm:spPr/>
    </dgm:pt>
    <dgm:pt modelId="{8F3C3058-895D-4E73-BAA2-934B61F7B592}" type="pres">
      <dgm:prSet presAssocID="{4FF2CD84-3E01-4FEB-A47B-CDDC9861246E}" presName="node" presStyleLbl="node1" presStyleIdx="0" presStyleCnt="4">
        <dgm:presLayoutVars>
          <dgm:bulletEnabled val="1"/>
        </dgm:presLayoutVars>
      </dgm:prSet>
      <dgm:spPr/>
    </dgm:pt>
    <dgm:pt modelId="{A1EE8996-AEEB-4F0F-B5C1-2D1213273773}" type="pres">
      <dgm:prSet presAssocID="{0665AF3F-3509-4097-9B4D-A86895799B8C}" presName="sibTrans" presStyleLbl="sibTrans2D1" presStyleIdx="0" presStyleCnt="4"/>
      <dgm:spPr/>
    </dgm:pt>
    <dgm:pt modelId="{7EC75360-34A9-4703-AFAA-55F84AA17C1E}" type="pres">
      <dgm:prSet presAssocID="{0665AF3F-3509-4097-9B4D-A86895799B8C}" presName="connectorText" presStyleLbl="sibTrans2D1" presStyleIdx="0" presStyleCnt="4"/>
      <dgm:spPr/>
    </dgm:pt>
    <dgm:pt modelId="{25EB27D0-F10A-4B4B-BA54-F3CC8E345773}" type="pres">
      <dgm:prSet presAssocID="{40CE4DE7-F24F-4C86-BCE5-102688A71E0D}" presName="node" presStyleLbl="node1" presStyleIdx="1" presStyleCnt="4">
        <dgm:presLayoutVars>
          <dgm:bulletEnabled val="1"/>
        </dgm:presLayoutVars>
      </dgm:prSet>
      <dgm:spPr/>
    </dgm:pt>
    <dgm:pt modelId="{E5CDF75C-A29A-4735-BC3C-2144A9D3746D}" type="pres">
      <dgm:prSet presAssocID="{99212DCC-695C-47AB-B22A-1B47323A202A}" presName="sibTrans" presStyleLbl="sibTrans2D1" presStyleIdx="1" presStyleCnt="4"/>
      <dgm:spPr/>
    </dgm:pt>
    <dgm:pt modelId="{C8A2D641-B5E4-4CF1-8523-3721D684227D}" type="pres">
      <dgm:prSet presAssocID="{99212DCC-695C-47AB-B22A-1B47323A202A}" presName="connectorText" presStyleLbl="sibTrans2D1" presStyleIdx="1" presStyleCnt="4"/>
      <dgm:spPr/>
    </dgm:pt>
    <dgm:pt modelId="{5EB2E612-050A-4398-B082-EBAA5F561B6D}" type="pres">
      <dgm:prSet presAssocID="{9353173A-A80E-43B5-BA57-D346AA9D3936}" presName="node" presStyleLbl="node1" presStyleIdx="2" presStyleCnt="4">
        <dgm:presLayoutVars>
          <dgm:bulletEnabled val="1"/>
        </dgm:presLayoutVars>
      </dgm:prSet>
      <dgm:spPr/>
    </dgm:pt>
    <dgm:pt modelId="{2D23A069-7494-4B67-8BC8-60527F5ABE87}" type="pres">
      <dgm:prSet presAssocID="{B367EBC9-B715-455B-9904-83840176E0D2}" presName="sibTrans" presStyleLbl="sibTrans2D1" presStyleIdx="2" presStyleCnt="4"/>
      <dgm:spPr/>
    </dgm:pt>
    <dgm:pt modelId="{28B3752C-71A5-49A2-B680-EABC6EB0FF6F}" type="pres">
      <dgm:prSet presAssocID="{B367EBC9-B715-455B-9904-83840176E0D2}" presName="connectorText" presStyleLbl="sibTrans2D1" presStyleIdx="2" presStyleCnt="4"/>
      <dgm:spPr/>
    </dgm:pt>
    <dgm:pt modelId="{52117143-74B7-4164-944E-AD1CD4D6985F}" type="pres">
      <dgm:prSet presAssocID="{6AD1C9A7-6033-43F5-8C75-1F0551F76D96}" presName="node" presStyleLbl="node1" presStyleIdx="3" presStyleCnt="4">
        <dgm:presLayoutVars>
          <dgm:bulletEnabled val="1"/>
        </dgm:presLayoutVars>
      </dgm:prSet>
      <dgm:spPr/>
    </dgm:pt>
    <dgm:pt modelId="{E74CE156-411F-40C8-9C13-D8E86166783C}" type="pres">
      <dgm:prSet presAssocID="{2DE7F44F-77A2-4993-8B6D-95D804A54CFF}" presName="sibTrans" presStyleLbl="sibTrans2D1" presStyleIdx="3" presStyleCnt="4"/>
      <dgm:spPr/>
    </dgm:pt>
    <dgm:pt modelId="{15441E91-8EDD-45A5-B11F-F83E5A092CB0}" type="pres">
      <dgm:prSet presAssocID="{2DE7F44F-77A2-4993-8B6D-95D804A54CFF}" presName="connectorText" presStyleLbl="sibTrans2D1" presStyleIdx="3" presStyleCnt="4"/>
      <dgm:spPr/>
    </dgm:pt>
  </dgm:ptLst>
  <dgm:cxnLst>
    <dgm:cxn modelId="{BFE0EB1B-3899-4C6C-8D49-1E51590784B8}" type="presOf" srcId="{2DE7F44F-77A2-4993-8B6D-95D804A54CFF}" destId="{E74CE156-411F-40C8-9C13-D8E86166783C}" srcOrd="0" destOrd="0" presId="urn:microsoft.com/office/officeart/2005/8/layout/cycle2"/>
    <dgm:cxn modelId="{A46A8D21-43A2-48AD-9E41-DC0A340E5768}" type="presOf" srcId="{40CE4DE7-F24F-4C86-BCE5-102688A71E0D}" destId="{25EB27D0-F10A-4B4B-BA54-F3CC8E345773}" srcOrd="0" destOrd="0" presId="urn:microsoft.com/office/officeart/2005/8/layout/cycle2"/>
    <dgm:cxn modelId="{C3AA4A30-01CF-4A3D-9762-6B3E47AFCADC}" type="presOf" srcId="{B367EBC9-B715-455B-9904-83840176E0D2}" destId="{28B3752C-71A5-49A2-B680-EABC6EB0FF6F}" srcOrd="1" destOrd="0" presId="urn:microsoft.com/office/officeart/2005/8/layout/cycle2"/>
    <dgm:cxn modelId="{EFA27E30-1ABD-4042-B3B3-D5552D74CB15}" type="presOf" srcId="{0665AF3F-3509-4097-9B4D-A86895799B8C}" destId="{A1EE8996-AEEB-4F0F-B5C1-2D1213273773}" srcOrd="0" destOrd="0" presId="urn:microsoft.com/office/officeart/2005/8/layout/cycle2"/>
    <dgm:cxn modelId="{2931C13E-4CD7-4E6E-80FA-5E1FCDFBB7C1}" srcId="{F038D871-7E72-46E0-AFAC-EA3BC5576273}" destId="{6AD1C9A7-6033-43F5-8C75-1F0551F76D96}" srcOrd="3" destOrd="0" parTransId="{4B301A2B-04C3-4D70-94EB-BD50D5239ED4}" sibTransId="{2DE7F44F-77A2-4993-8B6D-95D804A54CFF}"/>
    <dgm:cxn modelId="{B068B85C-7D85-4B81-AD94-C0197C77E984}" type="presOf" srcId="{2DE7F44F-77A2-4993-8B6D-95D804A54CFF}" destId="{15441E91-8EDD-45A5-B11F-F83E5A092CB0}" srcOrd="1" destOrd="0" presId="urn:microsoft.com/office/officeart/2005/8/layout/cycle2"/>
    <dgm:cxn modelId="{3C1BC364-031F-4D17-A587-626C0D5AD81B}" type="presOf" srcId="{4FF2CD84-3E01-4FEB-A47B-CDDC9861246E}" destId="{8F3C3058-895D-4E73-BAA2-934B61F7B592}" srcOrd="0" destOrd="0" presId="urn:microsoft.com/office/officeart/2005/8/layout/cycle2"/>
    <dgm:cxn modelId="{9B4E406A-1E1C-41CD-BBB3-F2199C892C2E}" type="presOf" srcId="{99212DCC-695C-47AB-B22A-1B47323A202A}" destId="{C8A2D641-B5E4-4CF1-8523-3721D684227D}" srcOrd="1" destOrd="0" presId="urn:microsoft.com/office/officeart/2005/8/layout/cycle2"/>
    <dgm:cxn modelId="{E2203E6B-E787-47CA-9DEF-A82D7ABF434F}" type="presOf" srcId="{0665AF3F-3509-4097-9B4D-A86895799B8C}" destId="{7EC75360-34A9-4703-AFAA-55F84AA17C1E}" srcOrd="1" destOrd="0" presId="urn:microsoft.com/office/officeart/2005/8/layout/cycle2"/>
    <dgm:cxn modelId="{9800964F-CFE5-4881-B8E8-E17D056B0736}" type="presOf" srcId="{9353173A-A80E-43B5-BA57-D346AA9D3936}" destId="{5EB2E612-050A-4398-B082-EBAA5F561B6D}" srcOrd="0" destOrd="0" presId="urn:microsoft.com/office/officeart/2005/8/layout/cycle2"/>
    <dgm:cxn modelId="{25565652-9184-4529-A1AE-B8AB420A6C35}" type="presOf" srcId="{99212DCC-695C-47AB-B22A-1B47323A202A}" destId="{E5CDF75C-A29A-4735-BC3C-2144A9D3746D}" srcOrd="0" destOrd="0" presId="urn:microsoft.com/office/officeart/2005/8/layout/cycle2"/>
    <dgm:cxn modelId="{5BEFFC53-7B2B-4A9C-B5AC-522174BB4DC7}" srcId="{F038D871-7E72-46E0-AFAC-EA3BC5576273}" destId="{9353173A-A80E-43B5-BA57-D346AA9D3936}" srcOrd="2" destOrd="0" parTransId="{955002C6-82B8-405A-9F66-0DEA3299437D}" sibTransId="{B367EBC9-B715-455B-9904-83840176E0D2}"/>
    <dgm:cxn modelId="{1F6F6477-6834-47E0-82FA-5CAF33D5E850}" srcId="{F038D871-7E72-46E0-AFAC-EA3BC5576273}" destId="{40CE4DE7-F24F-4C86-BCE5-102688A71E0D}" srcOrd="1" destOrd="0" parTransId="{25B41157-20F5-43DA-A73E-BC83C16B4473}" sibTransId="{99212DCC-695C-47AB-B22A-1B47323A202A}"/>
    <dgm:cxn modelId="{46B7DC9C-43D7-4643-964C-DB8F0D1B42B9}" type="presOf" srcId="{F038D871-7E72-46E0-AFAC-EA3BC5576273}" destId="{3F74E36B-60F6-45B2-8ACE-28B19645254D}" srcOrd="0" destOrd="0" presId="urn:microsoft.com/office/officeart/2005/8/layout/cycle2"/>
    <dgm:cxn modelId="{B4A7B2AB-57BF-46C8-B331-FA893B8199BE}" srcId="{F038D871-7E72-46E0-AFAC-EA3BC5576273}" destId="{4FF2CD84-3E01-4FEB-A47B-CDDC9861246E}" srcOrd="0" destOrd="0" parTransId="{7544C10D-BD97-4D80-9A09-E8F647BBBEA0}" sibTransId="{0665AF3F-3509-4097-9B4D-A86895799B8C}"/>
    <dgm:cxn modelId="{D06E96D1-F4E1-4562-9C39-AB56211B86B5}" type="presOf" srcId="{B367EBC9-B715-455B-9904-83840176E0D2}" destId="{2D23A069-7494-4B67-8BC8-60527F5ABE87}" srcOrd="0" destOrd="0" presId="urn:microsoft.com/office/officeart/2005/8/layout/cycle2"/>
    <dgm:cxn modelId="{70BAD6EE-F12C-4D15-8B03-D0B2405E082A}" type="presOf" srcId="{6AD1C9A7-6033-43F5-8C75-1F0551F76D96}" destId="{52117143-74B7-4164-944E-AD1CD4D6985F}" srcOrd="0" destOrd="0" presId="urn:microsoft.com/office/officeart/2005/8/layout/cycle2"/>
    <dgm:cxn modelId="{10602636-F037-489D-BA1B-B0AEBE6A287B}" type="presParOf" srcId="{3F74E36B-60F6-45B2-8ACE-28B19645254D}" destId="{8F3C3058-895D-4E73-BAA2-934B61F7B592}" srcOrd="0" destOrd="0" presId="urn:microsoft.com/office/officeart/2005/8/layout/cycle2"/>
    <dgm:cxn modelId="{E49B7970-D5E4-47B9-B97D-7E226928D446}" type="presParOf" srcId="{3F74E36B-60F6-45B2-8ACE-28B19645254D}" destId="{A1EE8996-AEEB-4F0F-B5C1-2D1213273773}" srcOrd="1" destOrd="0" presId="urn:microsoft.com/office/officeart/2005/8/layout/cycle2"/>
    <dgm:cxn modelId="{1F847A79-E507-4E38-9BF5-C21F1D5E934B}" type="presParOf" srcId="{A1EE8996-AEEB-4F0F-B5C1-2D1213273773}" destId="{7EC75360-34A9-4703-AFAA-55F84AA17C1E}" srcOrd="0" destOrd="0" presId="urn:microsoft.com/office/officeart/2005/8/layout/cycle2"/>
    <dgm:cxn modelId="{52F3DB70-E3CC-43A7-89AD-E005D3E9E5BE}" type="presParOf" srcId="{3F74E36B-60F6-45B2-8ACE-28B19645254D}" destId="{25EB27D0-F10A-4B4B-BA54-F3CC8E345773}" srcOrd="2" destOrd="0" presId="urn:microsoft.com/office/officeart/2005/8/layout/cycle2"/>
    <dgm:cxn modelId="{A78796E3-60CA-4ED5-B494-DFDBC42568AE}" type="presParOf" srcId="{3F74E36B-60F6-45B2-8ACE-28B19645254D}" destId="{E5CDF75C-A29A-4735-BC3C-2144A9D3746D}" srcOrd="3" destOrd="0" presId="urn:microsoft.com/office/officeart/2005/8/layout/cycle2"/>
    <dgm:cxn modelId="{D6A04053-89CF-4B99-9CD7-380A1EB1C839}" type="presParOf" srcId="{E5CDF75C-A29A-4735-BC3C-2144A9D3746D}" destId="{C8A2D641-B5E4-4CF1-8523-3721D684227D}" srcOrd="0" destOrd="0" presId="urn:microsoft.com/office/officeart/2005/8/layout/cycle2"/>
    <dgm:cxn modelId="{4F97B835-8AE6-4CE8-90D8-0AE6AA15E936}" type="presParOf" srcId="{3F74E36B-60F6-45B2-8ACE-28B19645254D}" destId="{5EB2E612-050A-4398-B082-EBAA5F561B6D}" srcOrd="4" destOrd="0" presId="urn:microsoft.com/office/officeart/2005/8/layout/cycle2"/>
    <dgm:cxn modelId="{87ED624B-6065-4CD7-A5F8-99083A111649}" type="presParOf" srcId="{3F74E36B-60F6-45B2-8ACE-28B19645254D}" destId="{2D23A069-7494-4B67-8BC8-60527F5ABE87}" srcOrd="5" destOrd="0" presId="urn:microsoft.com/office/officeart/2005/8/layout/cycle2"/>
    <dgm:cxn modelId="{FD9B2AE7-917D-4C1B-91DC-94971E1274AF}" type="presParOf" srcId="{2D23A069-7494-4B67-8BC8-60527F5ABE87}" destId="{28B3752C-71A5-49A2-B680-EABC6EB0FF6F}" srcOrd="0" destOrd="0" presId="urn:microsoft.com/office/officeart/2005/8/layout/cycle2"/>
    <dgm:cxn modelId="{B0C94267-5425-417E-9028-99BFF2570C7A}" type="presParOf" srcId="{3F74E36B-60F6-45B2-8ACE-28B19645254D}" destId="{52117143-74B7-4164-944E-AD1CD4D6985F}" srcOrd="6" destOrd="0" presId="urn:microsoft.com/office/officeart/2005/8/layout/cycle2"/>
    <dgm:cxn modelId="{D201502C-9B47-4295-8E14-D47D56F7B6F6}" type="presParOf" srcId="{3F74E36B-60F6-45B2-8ACE-28B19645254D}" destId="{E74CE156-411F-40C8-9C13-D8E86166783C}" srcOrd="7" destOrd="0" presId="urn:microsoft.com/office/officeart/2005/8/layout/cycle2"/>
    <dgm:cxn modelId="{01476CDE-6937-4B3C-8E3C-D8CB14B29AB0}" type="presParOf" srcId="{E74CE156-411F-40C8-9C13-D8E86166783C}" destId="{15441E91-8EDD-45A5-B11F-F83E5A092CB0}"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F3C3058-895D-4E73-BAA2-934B61F7B592}">
      <dsp:nvSpPr>
        <dsp:cNvPr id="0" name=""/>
        <dsp:cNvSpPr/>
      </dsp:nvSpPr>
      <dsp:spPr>
        <a:xfrm>
          <a:off x="2327969" y="423"/>
          <a:ext cx="830460" cy="8304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1" kern="1200"/>
            <a:t>Creativity</a:t>
          </a:r>
          <a:br>
            <a:rPr lang="en-GB" sz="600" kern="1200"/>
          </a:br>
          <a:r>
            <a:rPr lang="en-GB" sz="600" i="1" kern="1200"/>
            <a:t>(Generating new ideas)</a:t>
          </a:r>
          <a:endParaRPr lang="en-GB" sz="600" kern="1200"/>
        </a:p>
      </dsp:txBody>
      <dsp:txXfrm>
        <a:off x="2449587" y="122041"/>
        <a:ext cx="587224" cy="587224"/>
      </dsp:txXfrm>
    </dsp:sp>
    <dsp:sp modelId="{A1EE8996-AEEB-4F0F-B5C1-2D1213273773}">
      <dsp:nvSpPr>
        <dsp:cNvPr id="0" name=""/>
        <dsp:cNvSpPr/>
      </dsp:nvSpPr>
      <dsp:spPr>
        <a:xfrm rot="2700000">
          <a:off x="3069374" y="712393"/>
          <a:ext cx="221409" cy="2802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079101" y="744965"/>
        <a:ext cx="154986" cy="168168"/>
      </dsp:txXfrm>
    </dsp:sp>
    <dsp:sp modelId="{25EB27D0-F10A-4B4B-BA54-F3CC8E345773}">
      <dsp:nvSpPr>
        <dsp:cNvPr id="0" name=""/>
        <dsp:cNvSpPr/>
      </dsp:nvSpPr>
      <dsp:spPr>
        <a:xfrm>
          <a:off x="3210590" y="883045"/>
          <a:ext cx="830460" cy="8304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1" kern="1200"/>
            <a:t>Innovation</a:t>
          </a:r>
          <a:br>
            <a:rPr lang="en-GB" sz="600" kern="1200"/>
          </a:br>
          <a:r>
            <a:rPr lang="en-GB" sz="600" b="0" kern="1200"/>
            <a:t>(Implementing Creative Solutions in Healthcare)</a:t>
          </a:r>
        </a:p>
        <a:p>
          <a:pPr marL="0" lvl="0" indent="0" algn="ctr" defTabSz="266700">
            <a:lnSpc>
              <a:spcPct val="90000"/>
            </a:lnSpc>
            <a:spcBef>
              <a:spcPct val="0"/>
            </a:spcBef>
            <a:spcAft>
              <a:spcPct val="35000"/>
            </a:spcAft>
            <a:buNone/>
          </a:pPr>
          <a:endParaRPr lang="en-GB" sz="600" kern="1200"/>
        </a:p>
      </dsp:txBody>
      <dsp:txXfrm>
        <a:off x="3332208" y="1004663"/>
        <a:ext cx="587224" cy="587224"/>
      </dsp:txXfrm>
    </dsp:sp>
    <dsp:sp modelId="{E5CDF75C-A29A-4735-BC3C-2144A9D3746D}">
      <dsp:nvSpPr>
        <dsp:cNvPr id="0" name=""/>
        <dsp:cNvSpPr/>
      </dsp:nvSpPr>
      <dsp:spPr>
        <a:xfrm rot="8100000">
          <a:off x="3078236" y="1595014"/>
          <a:ext cx="221409" cy="2802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3134932" y="1627586"/>
        <a:ext cx="154986" cy="168168"/>
      </dsp:txXfrm>
    </dsp:sp>
    <dsp:sp modelId="{5EB2E612-050A-4398-B082-EBAA5F561B6D}">
      <dsp:nvSpPr>
        <dsp:cNvPr id="0" name=""/>
        <dsp:cNvSpPr/>
      </dsp:nvSpPr>
      <dsp:spPr>
        <a:xfrm>
          <a:off x="2327969" y="1765666"/>
          <a:ext cx="830460" cy="8304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1" kern="1200"/>
            <a:t>Value Creation</a:t>
          </a:r>
          <a:br>
            <a:rPr lang="en-GB" sz="600" kern="1200"/>
          </a:br>
          <a:r>
            <a:rPr lang="en-GB" sz="600" i="1" kern="1200"/>
            <a:t>(Better outcomes &amp; efficiency)</a:t>
          </a:r>
          <a:endParaRPr lang="en-GB" sz="600" kern="1200"/>
        </a:p>
      </dsp:txBody>
      <dsp:txXfrm>
        <a:off x="2449587" y="1887284"/>
        <a:ext cx="587224" cy="587224"/>
      </dsp:txXfrm>
    </dsp:sp>
    <dsp:sp modelId="{2D23A069-7494-4B67-8BC8-60527F5ABE87}">
      <dsp:nvSpPr>
        <dsp:cNvPr id="0" name=""/>
        <dsp:cNvSpPr/>
      </dsp:nvSpPr>
      <dsp:spPr>
        <a:xfrm rot="13500000">
          <a:off x="2195615" y="1603876"/>
          <a:ext cx="221409" cy="2802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252311" y="1683416"/>
        <a:ext cx="154986" cy="168168"/>
      </dsp:txXfrm>
    </dsp:sp>
    <dsp:sp modelId="{52117143-74B7-4164-944E-AD1CD4D6985F}">
      <dsp:nvSpPr>
        <dsp:cNvPr id="0" name=""/>
        <dsp:cNvSpPr/>
      </dsp:nvSpPr>
      <dsp:spPr>
        <a:xfrm>
          <a:off x="1445348" y="883045"/>
          <a:ext cx="830460" cy="8304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1" kern="1200"/>
            <a:t>Improved Health &amp; Social Care</a:t>
          </a:r>
          <a:br>
            <a:rPr lang="en-GB" sz="600" kern="1200"/>
          </a:br>
          <a:r>
            <a:rPr lang="en-GB" sz="600" i="1" kern="1200"/>
            <a:t>(Better patient care)</a:t>
          </a:r>
          <a:endParaRPr lang="en-GB" sz="600" kern="1200"/>
        </a:p>
      </dsp:txBody>
      <dsp:txXfrm>
        <a:off x="1566966" y="1004663"/>
        <a:ext cx="587224" cy="587224"/>
      </dsp:txXfrm>
    </dsp:sp>
    <dsp:sp modelId="{E74CE156-411F-40C8-9C13-D8E86166783C}">
      <dsp:nvSpPr>
        <dsp:cNvPr id="0" name=""/>
        <dsp:cNvSpPr/>
      </dsp:nvSpPr>
      <dsp:spPr>
        <a:xfrm rot="18900000">
          <a:off x="2186753" y="721255"/>
          <a:ext cx="221409" cy="2802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196480" y="800795"/>
        <a:ext cx="154986" cy="16816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2219</Words>
  <Characters>11561</Characters>
  <Application>Microsoft Office Word</Application>
  <DocSecurity>0</DocSecurity>
  <Lines>1284</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Burhan Tahir Muhammad</cp:lastModifiedBy>
  <cp:revision>2</cp:revision>
  <dcterms:created xsi:type="dcterms:W3CDTF">2026-03-24T14:53:00Z</dcterms:created>
  <dcterms:modified xsi:type="dcterms:W3CDTF">2026-03-24T14:53:00Z</dcterms:modified>
</cp:coreProperties>
</file>