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40BE7" w14:textId="77777777" w:rsidR="00F735C8" w:rsidRPr="00AF7E31" w:rsidRDefault="00F735C8" w:rsidP="00F735C8">
      <w:pPr>
        <w:jc w:val="center"/>
        <w:rPr>
          <w:rFonts w:ascii="Aptos" w:hAnsi="Aptos"/>
          <w:sz w:val="22"/>
          <w:szCs w:val="22"/>
        </w:rPr>
      </w:pPr>
      <w:r w:rsidRPr="00AF7E31">
        <w:rPr>
          <w:rFonts w:ascii="Aptos" w:hAnsi="Aptos"/>
          <w:sz w:val="22"/>
          <w:szCs w:val="22"/>
        </w:rPr>
        <w:t>Name: Sharon Cuthbert</w:t>
      </w:r>
    </w:p>
    <w:p w14:paraId="61B983A5" w14:textId="77777777" w:rsidR="00F735C8" w:rsidRPr="00AF7E31" w:rsidRDefault="00F735C8" w:rsidP="00F735C8">
      <w:pPr>
        <w:jc w:val="center"/>
        <w:rPr>
          <w:rFonts w:ascii="Aptos" w:hAnsi="Aptos"/>
          <w:sz w:val="22"/>
          <w:szCs w:val="22"/>
        </w:rPr>
      </w:pPr>
      <w:r w:rsidRPr="00AF7E31">
        <w:rPr>
          <w:rFonts w:ascii="Aptos" w:hAnsi="Aptos"/>
          <w:sz w:val="22"/>
          <w:szCs w:val="22"/>
        </w:rPr>
        <w:t>Student No: 2409782</w:t>
      </w:r>
    </w:p>
    <w:p w14:paraId="24FC2BE8" w14:textId="31884420" w:rsidR="00F735C8" w:rsidRPr="00B81E03" w:rsidRDefault="00F735C8" w:rsidP="00F735C8">
      <w:pPr>
        <w:jc w:val="center"/>
        <w:rPr>
          <w:rFonts w:ascii="Aptos" w:hAnsi="Aptos"/>
          <w:color w:val="EE0000"/>
          <w:sz w:val="22"/>
          <w:szCs w:val="22"/>
        </w:rPr>
      </w:pPr>
      <w:r w:rsidRPr="00AF7E31">
        <w:rPr>
          <w:rFonts w:ascii="Aptos" w:hAnsi="Aptos"/>
          <w:sz w:val="22"/>
          <w:szCs w:val="22"/>
        </w:rPr>
        <w:t xml:space="preserve">Word Count:  </w:t>
      </w:r>
      <w:r w:rsidR="00B87229" w:rsidRPr="00B81E03">
        <w:rPr>
          <w:rFonts w:ascii="Aptos" w:hAnsi="Aptos"/>
          <w:strike/>
          <w:sz w:val="22"/>
          <w:szCs w:val="22"/>
        </w:rPr>
        <w:t>4,035</w:t>
      </w:r>
      <w:r w:rsidR="00B81E03">
        <w:rPr>
          <w:rFonts w:ascii="Aptos" w:hAnsi="Aptos"/>
          <w:sz w:val="22"/>
          <w:szCs w:val="22"/>
        </w:rPr>
        <w:t xml:space="preserve"> </w:t>
      </w:r>
      <w:r w:rsidR="00B81E03" w:rsidRPr="00B81E03">
        <w:rPr>
          <w:rFonts w:ascii="Aptos" w:hAnsi="Aptos"/>
          <w:color w:val="EE0000"/>
          <w:sz w:val="22"/>
          <w:szCs w:val="22"/>
        </w:rPr>
        <w:t>4,23</w:t>
      </w:r>
      <w:r w:rsidR="00662A60">
        <w:rPr>
          <w:rFonts w:ascii="Aptos" w:hAnsi="Aptos"/>
          <w:color w:val="EE0000"/>
          <w:sz w:val="22"/>
          <w:szCs w:val="22"/>
        </w:rPr>
        <w:t>6</w:t>
      </w:r>
    </w:p>
    <w:p w14:paraId="792D2A63" w14:textId="77777777" w:rsidR="00F735C8" w:rsidRPr="00AF7E31" w:rsidRDefault="00F735C8" w:rsidP="00F735C8">
      <w:pPr>
        <w:jc w:val="center"/>
        <w:rPr>
          <w:rFonts w:ascii="Aptos" w:hAnsi="Aptos"/>
          <w:sz w:val="22"/>
          <w:szCs w:val="22"/>
        </w:rPr>
      </w:pPr>
      <w:r w:rsidRPr="00AF7E31">
        <w:rPr>
          <w:rFonts w:ascii="Aptos" w:hAnsi="Aptos"/>
          <w:sz w:val="22"/>
          <w:szCs w:val="22"/>
        </w:rPr>
        <w:t>CIPD 5HR01</w:t>
      </w:r>
    </w:p>
    <w:p w14:paraId="54C00044" w14:textId="77777777" w:rsidR="00F735C8" w:rsidRPr="00AF7E31" w:rsidRDefault="00F735C8" w:rsidP="00F735C8">
      <w:pPr>
        <w:jc w:val="center"/>
        <w:rPr>
          <w:rFonts w:ascii="Aptos" w:hAnsi="Aptos"/>
          <w:sz w:val="22"/>
          <w:szCs w:val="22"/>
        </w:rPr>
      </w:pPr>
      <w:r w:rsidRPr="00AF7E31">
        <w:rPr>
          <w:rFonts w:ascii="Aptos" w:hAnsi="Aptos"/>
          <w:sz w:val="22"/>
          <w:szCs w:val="22"/>
        </w:rPr>
        <w:t>Employment Relationship Management</w:t>
      </w:r>
    </w:p>
    <w:p w14:paraId="64D7048C" w14:textId="77777777" w:rsidR="00F735C8" w:rsidRPr="00AF7E31" w:rsidRDefault="00F735C8" w:rsidP="00F735C8">
      <w:pPr>
        <w:rPr>
          <w:rFonts w:ascii="Aptos" w:hAnsi="Aptos"/>
          <w:sz w:val="22"/>
          <w:szCs w:val="22"/>
        </w:rPr>
      </w:pPr>
    </w:p>
    <w:p w14:paraId="64285BC1" w14:textId="77777777" w:rsidR="00F735C8" w:rsidRPr="00AF7E31" w:rsidRDefault="00F735C8" w:rsidP="00F735C8">
      <w:pPr>
        <w:pStyle w:val="Listparag"/>
        <w:spacing w:after="0" w:line="240" w:lineRule="auto"/>
        <w:rPr>
          <w:rFonts w:ascii="Aptos" w:hAnsi="Aptos"/>
          <w:b/>
          <w:bCs/>
        </w:rPr>
      </w:pPr>
      <w:r w:rsidRPr="00AF7E31">
        <w:rPr>
          <w:rFonts w:ascii="Aptos" w:hAnsi="Aptos"/>
          <w:b/>
          <w:bCs/>
          <w:color w:val="auto"/>
          <w:u w:color="004147"/>
        </w:rPr>
        <w:t xml:space="preserve">(AC 1.1) - </w:t>
      </w:r>
      <w:r w:rsidRPr="00AF7E31">
        <w:rPr>
          <w:rFonts w:ascii="Aptos" w:hAnsi="Aptos"/>
          <w:b/>
          <w:bCs/>
        </w:rPr>
        <w:t>Differentiate between employee involvement and employee participation and how they build relationships.</w:t>
      </w:r>
    </w:p>
    <w:p w14:paraId="5E7216C7" w14:textId="77777777" w:rsidR="00B87229" w:rsidRPr="00AF7E31" w:rsidRDefault="00B87229" w:rsidP="004420B2">
      <w:pPr>
        <w:rPr>
          <w:rFonts w:ascii="Aptos" w:hAnsi="Aptos"/>
          <w:sz w:val="22"/>
          <w:szCs w:val="22"/>
        </w:rPr>
      </w:pPr>
    </w:p>
    <w:p w14:paraId="3D99904E" w14:textId="712CCAEF" w:rsidR="004420B2" w:rsidRPr="0043040F" w:rsidRDefault="004420B2" w:rsidP="004420B2">
      <w:pPr>
        <w:rPr>
          <w:rFonts w:ascii="Aptos" w:hAnsi="Aptos"/>
          <w:strike/>
          <w:sz w:val="22"/>
          <w:szCs w:val="22"/>
        </w:rPr>
      </w:pPr>
      <w:r w:rsidRPr="0043040F">
        <w:rPr>
          <w:rFonts w:ascii="Aptos" w:hAnsi="Aptos"/>
          <w:strike/>
          <w:sz w:val="22"/>
          <w:szCs w:val="22"/>
        </w:rPr>
        <w:t>Employee involvement and participation are often used interchangeably but are distinct concepts that both help build effective workplace relationships. Employee involvement means employees are consulted or informed about decisions, making them feel valued and included, but without direct influence over final outcomes. Decision-making authority remains primarily with management (</w:t>
      </w:r>
      <w:proofErr w:type="spellStart"/>
      <w:r w:rsidRPr="0043040F">
        <w:rPr>
          <w:rFonts w:ascii="Aptos" w:hAnsi="Aptos"/>
          <w:strike/>
          <w:sz w:val="22"/>
          <w:szCs w:val="22"/>
        </w:rPr>
        <w:t>Acas</w:t>
      </w:r>
      <w:proofErr w:type="spellEnd"/>
      <w:r w:rsidRPr="0043040F">
        <w:rPr>
          <w:rFonts w:ascii="Aptos" w:hAnsi="Aptos"/>
          <w:strike/>
          <w:sz w:val="22"/>
          <w:szCs w:val="22"/>
        </w:rPr>
        <w:t>, 2021).</w:t>
      </w:r>
    </w:p>
    <w:p w14:paraId="4741C69E" w14:textId="77777777" w:rsidR="004420B2" w:rsidRPr="0043040F" w:rsidRDefault="004420B2" w:rsidP="004420B2">
      <w:pPr>
        <w:rPr>
          <w:rFonts w:ascii="Aptos" w:hAnsi="Aptos"/>
          <w:strike/>
          <w:sz w:val="22"/>
          <w:szCs w:val="22"/>
        </w:rPr>
      </w:pPr>
      <w:r w:rsidRPr="0043040F">
        <w:rPr>
          <w:rFonts w:ascii="Aptos" w:hAnsi="Aptos"/>
          <w:strike/>
          <w:sz w:val="22"/>
          <w:szCs w:val="22"/>
        </w:rPr>
        <w:t>Employee engagement is vital for organisational success. It empowers employees to take ownership of their projects and collaborate with management on key decisions. This direct interaction encourages innovation, motivation, and increased productivity. By providing training and development opportunities, organisations can create a structure where employees can make important decisions independently, without needing approval from senior management. Flat organisational structures and decentralised reporting lines also encourage greater engagement with less resistance (Hussain, 2024).</w:t>
      </w:r>
    </w:p>
    <w:p w14:paraId="416D83C6" w14:textId="77777777" w:rsidR="004420B2" w:rsidRPr="0043040F" w:rsidRDefault="004420B2" w:rsidP="004420B2">
      <w:pPr>
        <w:rPr>
          <w:rFonts w:ascii="Aptos" w:hAnsi="Aptos"/>
          <w:strike/>
          <w:sz w:val="22"/>
          <w:szCs w:val="22"/>
        </w:rPr>
      </w:pPr>
      <w:r w:rsidRPr="0043040F">
        <w:rPr>
          <w:rFonts w:ascii="Aptos" w:hAnsi="Aptos"/>
          <w:strike/>
          <w:sz w:val="22"/>
          <w:szCs w:val="22"/>
        </w:rPr>
        <w:t>Employee participation fosters a team-oriented and community-based environment where employees from various functions work together to generate ideas. For example, a company specialising in information security might form teams to simulate computer breach scenarios, leveraging diverse skills to boost morale and create a more inclusive workplace (Involvement and Participation Association, 2015).</w:t>
      </w:r>
    </w:p>
    <w:p w14:paraId="21651DBF" w14:textId="77777777" w:rsidR="004420B2" w:rsidRPr="0043040F" w:rsidRDefault="004420B2" w:rsidP="004420B2">
      <w:pPr>
        <w:rPr>
          <w:rFonts w:ascii="Aptos" w:hAnsi="Aptos"/>
          <w:strike/>
          <w:sz w:val="22"/>
          <w:szCs w:val="22"/>
        </w:rPr>
      </w:pPr>
      <w:r w:rsidRPr="0043040F">
        <w:rPr>
          <w:rFonts w:ascii="Aptos" w:hAnsi="Aptos"/>
          <w:strike/>
          <w:sz w:val="22"/>
          <w:szCs w:val="22"/>
        </w:rPr>
        <w:t>In contrast, employee participation involves a more active role in decision-making, such as through joint consultation committees or voting mechanisms, fostering stronger ownership and commitment to organisational goals (</w:t>
      </w:r>
      <w:proofErr w:type="spellStart"/>
      <w:r w:rsidRPr="0043040F">
        <w:rPr>
          <w:rFonts w:ascii="Aptos" w:hAnsi="Aptos"/>
          <w:strike/>
          <w:sz w:val="22"/>
          <w:szCs w:val="22"/>
        </w:rPr>
        <w:t>Acas</w:t>
      </w:r>
      <w:proofErr w:type="spellEnd"/>
      <w:r w:rsidRPr="0043040F">
        <w:rPr>
          <w:rFonts w:ascii="Aptos" w:hAnsi="Aptos"/>
          <w:strike/>
          <w:sz w:val="22"/>
          <w:szCs w:val="22"/>
        </w:rPr>
        <w:t>, 2023).</w:t>
      </w:r>
    </w:p>
    <w:p w14:paraId="3F32E18F" w14:textId="77777777" w:rsidR="004420B2" w:rsidRPr="0043040F" w:rsidRDefault="004420B2" w:rsidP="004420B2">
      <w:pPr>
        <w:rPr>
          <w:rFonts w:ascii="Aptos" w:hAnsi="Aptos"/>
          <w:strike/>
          <w:sz w:val="22"/>
          <w:szCs w:val="22"/>
        </w:rPr>
      </w:pPr>
      <w:r w:rsidRPr="0043040F">
        <w:rPr>
          <w:rFonts w:ascii="Aptos" w:hAnsi="Aptos"/>
          <w:strike/>
          <w:sz w:val="22"/>
          <w:szCs w:val="22"/>
        </w:rPr>
        <w:t>Early research, such as the Hawthorne studies from the 1920s and 1930s, demonstrated that when employees are treated with respect and given some control over working conditions, their productivity improves. This highlighted the importance of involving employees in decisions affecting their work. Modern research supports that meaningful engagement is a key driver of motivation and organisational performance (Taylor and Woodhams, 2016).</w:t>
      </w:r>
    </w:p>
    <w:p w14:paraId="1E03F521" w14:textId="77777777" w:rsidR="004420B2" w:rsidRPr="0043040F" w:rsidRDefault="004420B2" w:rsidP="004420B2">
      <w:pPr>
        <w:rPr>
          <w:rFonts w:ascii="Aptos" w:hAnsi="Aptos"/>
          <w:strike/>
          <w:sz w:val="22"/>
          <w:szCs w:val="22"/>
        </w:rPr>
      </w:pPr>
      <w:r w:rsidRPr="0043040F">
        <w:rPr>
          <w:rFonts w:ascii="Aptos" w:hAnsi="Aptos"/>
          <w:strike/>
          <w:sz w:val="22"/>
          <w:szCs w:val="22"/>
        </w:rPr>
        <w:t>Participation means employees have a genuine voice in workplace decisions, influencing policies or major organisational choices. Active participation develops stronger ownership, motivation, positive behaviours, and improved performance (Waite et al., 2021).</w:t>
      </w:r>
    </w:p>
    <w:p w14:paraId="18DFC616" w14:textId="77777777" w:rsidR="004420B2" w:rsidRPr="0043040F" w:rsidRDefault="004420B2" w:rsidP="004420B2">
      <w:pPr>
        <w:rPr>
          <w:rFonts w:ascii="Aptos" w:hAnsi="Aptos"/>
          <w:strike/>
          <w:sz w:val="22"/>
          <w:szCs w:val="22"/>
        </w:rPr>
      </w:pPr>
      <w:r w:rsidRPr="0043040F">
        <w:rPr>
          <w:rFonts w:ascii="Aptos" w:hAnsi="Aptos"/>
          <w:strike/>
          <w:sz w:val="22"/>
          <w:szCs w:val="22"/>
        </w:rPr>
        <w:t>Research shows that involving employees in discussions about pay and reward systems builds trust and motivation, enhancing overall organisational outcomes. Conversely, lack of transparency or unilateral changes to pay can damage trust and reduce engagement (GMB, 2023). The Involvement and Participation Association (2015) states that giving employees a real voice is not only fair but also improves organisational performance.</w:t>
      </w:r>
    </w:p>
    <w:p w14:paraId="5DD9F3EC" w14:textId="18790EFD" w:rsidR="003357DF" w:rsidRDefault="004420B2" w:rsidP="004420B2">
      <w:pPr>
        <w:rPr>
          <w:rFonts w:ascii="Aptos" w:hAnsi="Aptos"/>
          <w:strike/>
          <w:sz w:val="22"/>
          <w:szCs w:val="22"/>
        </w:rPr>
      </w:pPr>
      <w:r w:rsidRPr="0043040F">
        <w:rPr>
          <w:rFonts w:ascii="Aptos" w:hAnsi="Aptos"/>
          <w:strike/>
          <w:sz w:val="22"/>
          <w:szCs w:val="22"/>
        </w:rPr>
        <w:t>Overall, employee involvement and participation are complementary. Involvement uses surveys, suggestion schemes, or team meetings to foster inclusion and trust between staff and management, while participation involves formal representation on committees or boards, strengthening collaboration and cohesion. Together, these approaches enhance organisational performance and cultivate a culture of mutual respect and cooperation throughout the workplace (CIPD, 2024).</w:t>
      </w:r>
    </w:p>
    <w:p w14:paraId="569214A7"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Employee involvement and employee participation are related yet distinct approaches organisations use to build strong workplace relationships, which is especially important during a public sector merger where leadership and HR teams are often new and inexperienced in managing employee relations (</w:t>
      </w:r>
      <w:proofErr w:type="spellStart"/>
      <w:r w:rsidRPr="003357DF">
        <w:rPr>
          <w:rFonts w:ascii="Aptos" w:hAnsi="Aptos"/>
          <w:color w:val="EE0000"/>
          <w:sz w:val="22"/>
          <w:szCs w:val="22"/>
        </w:rPr>
        <w:t>Acas</w:t>
      </w:r>
      <w:proofErr w:type="spellEnd"/>
      <w:r w:rsidRPr="003357DF">
        <w:rPr>
          <w:rFonts w:ascii="Aptos" w:hAnsi="Aptos"/>
          <w:color w:val="EE0000"/>
          <w:sz w:val="22"/>
          <w:szCs w:val="22"/>
        </w:rPr>
        <w:t>, 2021).</w:t>
      </w:r>
    </w:p>
    <w:p w14:paraId="3D2F3E6F"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Employee involvement usually refers to informal communication and consultation where employees are kept informed and their opinions sought, but they do not have formal decision-making power. This includes staff surveys, suggestion schemes, team meetings, or focus groups (</w:t>
      </w:r>
      <w:proofErr w:type="spellStart"/>
      <w:r w:rsidRPr="003357DF">
        <w:rPr>
          <w:rFonts w:ascii="Aptos" w:hAnsi="Aptos"/>
          <w:color w:val="EE0000"/>
          <w:sz w:val="22"/>
          <w:szCs w:val="22"/>
        </w:rPr>
        <w:t>Acas</w:t>
      </w:r>
      <w:proofErr w:type="spellEnd"/>
      <w:r w:rsidRPr="003357DF">
        <w:rPr>
          <w:rFonts w:ascii="Aptos" w:hAnsi="Aptos"/>
          <w:color w:val="EE0000"/>
          <w:sz w:val="22"/>
          <w:szCs w:val="22"/>
        </w:rPr>
        <w:t>, 2021; CIPD, 2024). Involvement helps employees feel valued and included, reducing uncertainty and increasing trust during change. For example, a local authority might consult staff via regular forums about service delivery improvements without altering management’s final authority. This maintains clear roles while encouraging dialogue and early issue identification, allowing proactive management.</w:t>
      </w:r>
    </w:p>
    <w:p w14:paraId="587AF427"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By contrast, employee participation gives employees a formal role in decision-making, often through recognised bodies like trade unions, works councils, or joint consultation committees (</w:t>
      </w:r>
      <w:proofErr w:type="spellStart"/>
      <w:r w:rsidRPr="003357DF">
        <w:rPr>
          <w:rFonts w:ascii="Aptos" w:hAnsi="Aptos"/>
          <w:color w:val="EE0000"/>
          <w:sz w:val="22"/>
          <w:szCs w:val="22"/>
        </w:rPr>
        <w:t>Acas</w:t>
      </w:r>
      <w:proofErr w:type="spellEnd"/>
      <w:r w:rsidRPr="003357DF">
        <w:rPr>
          <w:rFonts w:ascii="Aptos" w:hAnsi="Aptos"/>
          <w:color w:val="EE0000"/>
          <w:sz w:val="22"/>
          <w:szCs w:val="22"/>
        </w:rPr>
        <w:t>, 2021). In the public sector, Joint Negotiating and Consultation Committees (JNCCs) are common where management and employee representatives negotiate pay, terms, and organisational change (NHS Employers, 2022). Participation empowers employees with a voice in governance, increasing ownership, fostering collaboration, and enhancing commitment (Waite et al., 2021). This is vital in mergers to align different cultures, avoid conflict, ensure fairness, and maintain morale and retention.</w:t>
      </w:r>
    </w:p>
    <w:p w14:paraId="7FF54F1C"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Recent research highlights the importance of these mechanisms. Active employee voice—whether informal or formal—has been linked to improved motivation, stronger commitment, and better organisational performance (Taylor and Woodhams, 2016; Waite et al., 2021). Evidence also shows that meaningful involvement and participation reduce workplace conflict and promote employee wellbeing (CIPD, 2024). For organisations undergoing mergers, especially in the public sector, maintaining or establishing these structures helps manage employee relations effectively and supports cultural integration (LGA, 2020).</w:t>
      </w:r>
    </w:p>
    <w:p w14:paraId="00E8E84D"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In the context of your recent merger, it is particularly important that the new leadership implements both involvement and participation mechanisms. This will bridge gaps in understanding public sector employee relations, build trust with staff, and ensure smoother integration of teams and practices. Without these, employee voices risk being overlooked, leading to disengagement and conflict.</w:t>
      </w:r>
    </w:p>
    <w:p w14:paraId="022480A8" w14:textId="77777777" w:rsidR="003357DF" w:rsidRPr="003357DF" w:rsidRDefault="003357DF" w:rsidP="003357DF">
      <w:pPr>
        <w:rPr>
          <w:rFonts w:ascii="Aptos" w:hAnsi="Aptos"/>
          <w:color w:val="EE0000"/>
          <w:sz w:val="22"/>
          <w:szCs w:val="22"/>
        </w:rPr>
      </w:pPr>
      <w:r w:rsidRPr="003357DF">
        <w:rPr>
          <w:rFonts w:ascii="Aptos" w:hAnsi="Aptos"/>
          <w:color w:val="EE0000"/>
          <w:sz w:val="22"/>
          <w:szCs w:val="22"/>
        </w:rPr>
        <w:t>In summary, employee involvement builds trust through consultation, while employee participation provides formal influence in decision-making. Both are essential for maintaining workplace harmony and effective relations in a newly merged public sector organisation with changing leadership (IPA, 2015). Their effective use will support leaders in fostering commitment and aligning with existing practices.</w:t>
      </w:r>
    </w:p>
    <w:p w14:paraId="0D59D0E9" w14:textId="77777777" w:rsidR="003357DF" w:rsidRPr="0043040F" w:rsidRDefault="003357DF" w:rsidP="004420B2">
      <w:pPr>
        <w:rPr>
          <w:rFonts w:ascii="Aptos" w:hAnsi="Aptos"/>
          <w:strike/>
          <w:sz w:val="22"/>
          <w:szCs w:val="22"/>
        </w:rPr>
      </w:pPr>
    </w:p>
    <w:p w14:paraId="2DFAD3BC" w14:textId="1C6B58B9" w:rsidR="00F735C8" w:rsidRPr="00AF7E31" w:rsidRDefault="00B87229" w:rsidP="00F735C8">
      <w:pPr>
        <w:pStyle w:val="Listparag"/>
        <w:spacing w:after="0" w:line="240" w:lineRule="auto"/>
        <w:rPr>
          <w:rFonts w:ascii="Aptos" w:hAnsi="Aptos"/>
          <w:b/>
          <w:bCs/>
        </w:rPr>
      </w:pPr>
      <w:r w:rsidRPr="00AF7E31">
        <w:rPr>
          <w:rFonts w:ascii="Aptos" w:hAnsi="Aptos"/>
          <w:b/>
          <w:bCs/>
        </w:rPr>
        <w:t>(</w:t>
      </w:r>
      <w:r w:rsidR="008F7D32" w:rsidRPr="00AF7E31">
        <w:rPr>
          <w:rFonts w:ascii="Aptos" w:hAnsi="Aptos"/>
          <w:b/>
          <w:bCs/>
        </w:rPr>
        <w:t>AC 1.2</w:t>
      </w:r>
      <w:r w:rsidRPr="00AF7E31">
        <w:rPr>
          <w:rFonts w:ascii="Aptos" w:hAnsi="Aptos"/>
          <w:b/>
          <w:bCs/>
        </w:rPr>
        <w:t>) - Compare</w:t>
      </w:r>
      <w:r w:rsidR="008F7D32" w:rsidRPr="00AF7E31">
        <w:rPr>
          <w:rFonts w:ascii="Aptos" w:hAnsi="Aptos"/>
          <w:b/>
          <w:bCs/>
        </w:rPr>
        <w:t xml:space="preserve"> forms of union and non-union employee representation.</w:t>
      </w:r>
    </w:p>
    <w:p w14:paraId="0A999DEE" w14:textId="77777777" w:rsidR="00F735C8" w:rsidRPr="00AF7E31" w:rsidRDefault="00F735C8" w:rsidP="00F735C8">
      <w:pPr>
        <w:pStyle w:val="Listparag"/>
        <w:spacing w:after="0" w:line="240" w:lineRule="auto"/>
        <w:rPr>
          <w:rFonts w:ascii="Aptos" w:hAnsi="Aptos"/>
        </w:rPr>
      </w:pPr>
    </w:p>
    <w:p w14:paraId="384F8991" w14:textId="77777777" w:rsidR="006F28FF" w:rsidRPr="00BB6AD3" w:rsidRDefault="006F28FF" w:rsidP="006F28FF">
      <w:pPr>
        <w:rPr>
          <w:rFonts w:ascii="Aptos" w:hAnsi="Aptos"/>
          <w:strike/>
          <w:sz w:val="22"/>
          <w:szCs w:val="22"/>
        </w:rPr>
      </w:pPr>
      <w:r w:rsidRPr="00BB6AD3">
        <w:rPr>
          <w:rFonts w:ascii="Aptos" w:hAnsi="Aptos"/>
          <w:strike/>
          <w:sz w:val="22"/>
          <w:szCs w:val="22"/>
        </w:rPr>
        <w:t xml:space="preserve">Union and non-union employee representation provide distinct yet complementary methods for workers to influence workplace decisions and protect their interests. Trade unions are formal organisations with legal recognition, financial resources, and dedicated personnel, which enhances their bargaining power and effectiveness. According to </w:t>
      </w:r>
      <w:proofErr w:type="spellStart"/>
      <w:r w:rsidRPr="00BB6AD3">
        <w:rPr>
          <w:rFonts w:ascii="Aptos" w:hAnsi="Aptos"/>
          <w:strike/>
          <w:sz w:val="22"/>
          <w:szCs w:val="22"/>
        </w:rPr>
        <w:t>Acas</w:t>
      </w:r>
      <w:proofErr w:type="spellEnd"/>
      <w:r w:rsidRPr="00BB6AD3">
        <w:rPr>
          <w:rFonts w:ascii="Aptos" w:hAnsi="Aptos"/>
          <w:strike/>
          <w:sz w:val="22"/>
          <w:szCs w:val="22"/>
        </w:rPr>
        <w:t xml:space="preserve"> (2021), union representatives possess statutory rights including paid time off for representation duties, access to specialist training, and legal protection against unfair dismissal while undertaking their roles. These safeguards enable union reps to negotiate collective agreements on pay, working conditions, and resolve disputes efficiently on behalf of their members. Despite this, union membership has declined substantially over recent decades, dropping from approximately 13 million in 1979 to around 6.4 million today, especially in the private sector where union presence is comparatively weaker and less influential (IPA, 2015).</w:t>
      </w:r>
    </w:p>
    <w:p w14:paraId="5E5D432F" w14:textId="77777777" w:rsidR="006F28FF" w:rsidRPr="00BB6AD3" w:rsidRDefault="006F28FF" w:rsidP="006F28FF">
      <w:pPr>
        <w:rPr>
          <w:rFonts w:ascii="Aptos" w:hAnsi="Aptos"/>
          <w:strike/>
          <w:sz w:val="22"/>
          <w:szCs w:val="22"/>
        </w:rPr>
      </w:pPr>
      <w:r w:rsidRPr="00BB6AD3">
        <w:rPr>
          <w:rFonts w:ascii="Aptos" w:hAnsi="Aptos"/>
          <w:strike/>
          <w:sz w:val="22"/>
          <w:szCs w:val="22"/>
        </w:rPr>
        <w:t>Non-union representation usually manifests through work councils, staff forums, or other informal consultative groups. These arrangements tend to be less formalised and often lack the statutory protections that unions enjoy unless explicitly recognised under frameworks like the Information and Consultation of Employees (ICE) regulations. Non-union forums rely heavily on management’s goodwill and the organisation’s culture to have meaningful impact, which can lead to employees perceiving them as less authoritative or influential compared to unions (IPA, 2015). While some non-union forums are embedded in organisational decision-making structures, many face challenges such as limited employee engagement, narrow focus on individual grievances, and difficulties in addressing broader workforce concerns.</w:t>
      </w:r>
    </w:p>
    <w:p w14:paraId="3AE7552A" w14:textId="77777777" w:rsidR="006F28FF" w:rsidRPr="00BB6AD3" w:rsidRDefault="006F28FF" w:rsidP="006F28FF">
      <w:pPr>
        <w:rPr>
          <w:rFonts w:ascii="Aptos" w:hAnsi="Aptos"/>
          <w:strike/>
          <w:sz w:val="22"/>
          <w:szCs w:val="22"/>
        </w:rPr>
      </w:pPr>
      <w:r w:rsidRPr="00BB6AD3">
        <w:rPr>
          <w:rFonts w:ascii="Aptos" w:hAnsi="Aptos"/>
          <w:strike/>
          <w:sz w:val="22"/>
          <w:szCs w:val="22"/>
        </w:rPr>
        <w:t>A notable example of union strength is the Communication Workers Union (CWU), which represents employees of Royal Mail. In 2023, approximately 96% of CWU members voted in favour of continuing strike action over unresolved disputes related to pay, job security, and working conditions, showcasing the union’s capacity to mobilise collective action and directly challenge employer decisions (BBC News, 2023).</w:t>
      </w:r>
    </w:p>
    <w:p w14:paraId="57BB0619" w14:textId="70D9534B" w:rsidR="006F28FF" w:rsidRPr="00BB6AD3" w:rsidRDefault="006F28FF" w:rsidP="006F28FF">
      <w:pPr>
        <w:rPr>
          <w:rFonts w:ascii="Aptos" w:hAnsi="Aptos"/>
          <w:strike/>
          <w:sz w:val="22"/>
          <w:szCs w:val="22"/>
        </w:rPr>
      </w:pPr>
      <w:r w:rsidRPr="00BB6AD3">
        <w:rPr>
          <w:rFonts w:ascii="Aptos" w:hAnsi="Aptos"/>
          <w:strike/>
          <w:sz w:val="22"/>
          <w:szCs w:val="22"/>
        </w:rPr>
        <w:t>Both forms of representation face evolving challenges. Trade unions must modernise and adapt their approaches to engage younger workers who often prefer direct and individual communication methods over traditional collective representation (IPA, 2015). Conversely, non-union forums offer greater flexibility and can be more responsive to immediate employee concerns but risk marginalisation and reduced effectiveness without formal recognition, adequate resourcing, and management commitment (</w:t>
      </w:r>
      <w:proofErr w:type="spellStart"/>
      <w:r w:rsidRPr="00BB6AD3">
        <w:rPr>
          <w:rFonts w:ascii="Aptos" w:hAnsi="Aptos"/>
          <w:strike/>
          <w:sz w:val="22"/>
          <w:szCs w:val="22"/>
        </w:rPr>
        <w:t>Acas</w:t>
      </w:r>
      <w:proofErr w:type="spellEnd"/>
      <w:r w:rsidRPr="00BB6AD3">
        <w:rPr>
          <w:rFonts w:ascii="Aptos" w:hAnsi="Aptos"/>
          <w:strike/>
          <w:sz w:val="22"/>
          <w:szCs w:val="22"/>
        </w:rPr>
        <w:t xml:space="preserve">, 2021). Ultimately, unions benefit from robust legal protections, financial support, and a clear mandate for collective bargaining, while non-union models offer adaptability and can foster a collaborative culture, though generally with less formal influence. The relative success of either approach depends significantly on organisational culture, levels of employee engagement, and management’s willingness to foster genuine representation </w:t>
      </w:r>
      <w:proofErr w:type="spellStart"/>
      <w:r w:rsidRPr="00BB6AD3">
        <w:rPr>
          <w:rFonts w:ascii="Aptos" w:hAnsi="Aptos"/>
          <w:strike/>
          <w:sz w:val="22"/>
          <w:szCs w:val="22"/>
        </w:rPr>
        <w:t>Acas</w:t>
      </w:r>
      <w:proofErr w:type="spellEnd"/>
      <w:r w:rsidRPr="00BB6AD3">
        <w:rPr>
          <w:rFonts w:ascii="Aptos" w:hAnsi="Aptos"/>
          <w:strike/>
          <w:sz w:val="22"/>
          <w:szCs w:val="22"/>
        </w:rPr>
        <w:t xml:space="preserve">, </w:t>
      </w:r>
      <w:r w:rsidR="00DF23F1" w:rsidRPr="00BB6AD3">
        <w:rPr>
          <w:rFonts w:ascii="Aptos" w:hAnsi="Aptos"/>
          <w:strike/>
          <w:sz w:val="22"/>
          <w:szCs w:val="22"/>
        </w:rPr>
        <w:t>(</w:t>
      </w:r>
      <w:r w:rsidRPr="00BB6AD3">
        <w:rPr>
          <w:rFonts w:ascii="Aptos" w:hAnsi="Aptos"/>
          <w:strike/>
          <w:sz w:val="22"/>
          <w:szCs w:val="22"/>
        </w:rPr>
        <w:t>2021).</w:t>
      </w:r>
    </w:p>
    <w:p w14:paraId="267BBE22" w14:textId="77777777" w:rsidR="00974C06" w:rsidRPr="00AF7E31" w:rsidRDefault="00974C06" w:rsidP="00AD0243">
      <w:pPr>
        <w:pStyle w:val="Listparag"/>
        <w:spacing w:after="0" w:line="240" w:lineRule="auto"/>
        <w:rPr>
          <w:rFonts w:ascii="Aptos" w:hAnsi="Aptos"/>
          <w:b/>
          <w:bCs/>
        </w:rPr>
      </w:pPr>
    </w:p>
    <w:p w14:paraId="08D7D09F" w14:textId="77777777" w:rsidR="00974C06" w:rsidRPr="00974C06" w:rsidRDefault="00974C06" w:rsidP="00974C06">
      <w:pPr>
        <w:rPr>
          <w:rFonts w:ascii="Aptos" w:hAnsi="Aptos"/>
          <w:color w:val="EE0000"/>
          <w:sz w:val="22"/>
          <w:szCs w:val="22"/>
        </w:rPr>
      </w:pPr>
      <w:r w:rsidRPr="00974C06">
        <w:rPr>
          <w:rFonts w:ascii="Aptos" w:hAnsi="Aptos"/>
          <w:color w:val="EE0000"/>
          <w:sz w:val="22"/>
          <w:szCs w:val="22"/>
        </w:rPr>
        <w:t>Union and non-union employee representation provide distinct but complementary ways for workers to influence workplace decisions and protect their interests. This is particularly important during a public sector merger where new leadership and HR teams may have limited experience managing employee relations within this sector (</w:t>
      </w:r>
      <w:proofErr w:type="spellStart"/>
      <w:r w:rsidRPr="00974C06">
        <w:rPr>
          <w:rFonts w:ascii="Aptos" w:hAnsi="Aptos"/>
          <w:color w:val="EE0000"/>
          <w:sz w:val="22"/>
          <w:szCs w:val="22"/>
        </w:rPr>
        <w:t>Acas</w:t>
      </w:r>
      <w:proofErr w:type="spellEnd"/>
      <w:r w:rsidRPr="00974C06">
        <w:rPr>
          <w:rFonts w:ascii="Aptos" w:hAnsi="Aptos"/>
          <w:color w:val="EE0000"/>
          <w:sz w:val="22"/>
          <w:szCs w:val="22"/>
        </w:rPr>
        <w:t>, 2021).</w:t>
      </w:r>
    </w:p>
    <w:p w14:paraId="5A6B1AD5" w14:textId="77777777" w:rsidR="00974C06" w:rsidRPr="00974C06" w:rsidRDefault="00974C06" w:rsidP="00974C06">
      <w:pPr>
        <w:rPr>
          <w:rFonts w:ascii="Aptos" w:hAnsi="Aptos"/>
          <w:color w:val="EE0000"/>
          <w:sz w:val="22"/>
          <w:szCs w:val="22"/>
        </w:rPr>
      </w:pPr>
      <w:r w:rsidRPr="00974C06">
        <w:rPr>
          <w:rFonts w:ascii="Aptos" w:hAnsi="Aptos"/>
          <w:color w:val="EE0000"/>
          <w:sz w:val="22"/>
          <w:szCs w:val="22"/>
        </w:rPr>
        <w:t xml:space="preserve">Trade unions are formal, legally recognised organisations with dedicated resources and statutory protections that enhance their role in collective bargaining and dispute resolution. According to </w:t>
      </w:r>
      <w:proofErr w:type="spellStart"/>
      <w:r w:rsidRPr="00974C06">
        <w:rPr>
          <w:rFonts w:ascii="Aptos" w:hAnsi="Aptos"/>
          <w:color w:val="EE0000"/>
          <w:sz w:val="22"/>
          <w:szCs w:val="22"/>
        </w:rPr>
        <w:t>Acas</w:t>
      </w:r>
      <w:proofErr w:type="spellEnd"/>
      <w:r w:rsidRPr="00974C06">
        <w:rPr>
          <w:rFonts w:ascii="Aptos" w:hAnsi="Aptos"/>
          <w:color w:val="EE0000"/>
          <w:sz w:val="22"/>
          <w:szCs w:val="22"/>
        </w:rPr>
        <w:t xml:space="preserve"> (2021), union representatives have statutory rights, including paid time off for representation duties, access to specialist training, and protection from unfair dismissal while carrying out their roles. These protections are crucial during organisational changes, enabling unions to effectively negotiate pay, working conditions, and address workforce concerns on behalf of their members. For instance, in public sector mergers, unions often serve as stabilising forces, managing staff anxieties related to job security and role changes (IPA, 2015). Although union membership has declined from around 13 million in 1979 to approximately 6.4 million today, especially in the private sector, unions maintain a stronger presence in the public sector, making them vital during transitional phases (IPA, 2015).</w:t>
      </w:r>
    </w:p>
    <w:p w14:paraId="59F14AA0" w14:textId="77777777" w:rsidR="00974C06" w:rsidRPr="00974C06" w:rsidRDefault="00974C06" w:rsidP="00974C06">
      <w:pPr>
        <w:rPr>
          <w:rFonts w:ascii="Aptos" w:hAnsi="Aptos"/>
          <w:color w:val="EE0000"/>
          <w:sz w:val="22"/>
          <w:szCs w:val="22"/>
        </w:rPr>
      </w:pPr>
      <w:r w:rsidRPr="00974C06">
        <w:rPr>
          <w:rFonts w:ascii="Aptos" w:hAnsi="Aptos"/>
          <w:color w:val="EE0000"/>
          <w:sz w:val="22"/>
          <w:szCs w:val="22"/>
        </w:rPr>
        <w:t>Non-union representation usually takes the form of work councils, staff forums, or consultative groups. These are typically less formalised and often lack legal protections unless governed by frameworks such as the Information and Consultation of Employees (ICE) regulations (</w:t>
      </w:r>
      <w:proofErr w:type="spellStart"/>
      <w:r w:rsidRPr="00974C06">
        <w:rPr>
          <w:rFonts w:ascii="Aptos" w:hAnsi="Aptos"/>
          <w:color w:val="EE0000"/>
          <w:sz w:val="22"/>
          <w:szCs w:val="22"/>
        </w:rPr>
        <w:t>Acas</w:t>
      </w:r>
      <w:proofErr w:type="spellEnd"/>
      <w:r w:rsidRPr="00974C06">
        <w:rPr>
          <w:rFonts w:ascii="Aptos" w:hAnsi="Aptos"/>
          <w:color w:val="EE0000"/>
          <w:sz w:val="22"/>
          <w:szCs w:val="22"/>
        </w:rPr>
        <w:t xml:space="preserve">, 2021). In a newly merged organisation with inexperienced leadership, non-union forums rely heavily on management goodwill and culture to function effectively. Without strong management commitment, these mechanisms risk being perceived as tokenistic or ineffective, which can damage trust and morale (IPA, 2015). Nevertheless, non-union forums offer greater flexibility and can quickly address local concerns, </w:t>
      </w:r>
      <w:proofErr w:type="gramStart"/>
      <w:r w:rsidRPr="00974C06">
        <w:rPr>
          <w:rFonts w:ascii="Aptos" w:hAnsi="Aptos"/>
          <w:color w:val="EE0000"/>
          <w:sz w:val="22"/>
          <w:szCs w:val="22"/>
        </w:rPr>
        <w:t>complementing</w:t>
      </w:r>
      <w:proofErr w:type="gramEnd"/>
      <w:r w:rsidRPr="00974C06">
        <w:rPr>
          <w:rFonts w:ascii="Aptos" w:hAnsi="Aptos"/>
          <w:color w:val="EE0000"/>
          <w:sz w:val="22"/>
          <w:szCs w:val="22"/>
        </w:rPr>
        <w:t xml:space="preserve"> union activity and fostering inclusivity if properly supported.</w:t>
      </w:r>
    </w:p>
    <w:p w14:paraId="18C8AF86" w14:textId="77777777" w:rsidR="00974C06" w:rsidRPr="00974C06" w:rsidRDefault="00974C06" w:rsidP="00974C06">
      <w:pPr>
        <w:rPr>
          <w:rFonts w:ascii="Aptos" w:hAnsi="Aptos"/>
          <w:color w:val="EE0000"/>
          <w:sz w:val="22"/>
          <w:szCs w:val="22"/>
        </w:rPr>
      </w:pPr>
      <w:r w:rsidRPr="00974C06">
        <w:rPr>
          <w:rFonts w:ascii="Aptos" w:hAnsi="Aptos"/>
          <w:color w:val="EE0000"/>
          <w:sz w:val="22"/>
          <w:szCs w:val="22"/>
        </w:rPr>
        <w:t>An example of union strength is the Communication Workers Union (CWU), representing Royal Mail employees. In 2023, 96% of CWU members voted to continue strike action over pay and conditions, demonstrating unions’ capacity to mobilise collective action during disputes (BBC News, 2023). In a merger context, such collective action may indicate unresolved issues or serve as a formal channel for negotiating workforce concerns, requiring careful management by new leadership.</w:t>
      </w:r>
    </w:p>
    <w:p w14:paraId="66026186" w14:textId="77777777" w:rsidR="00974C06" w:rsidRPr="00974C06" w:rsidRDefault="00974C06" w:rsidP="00974C06">
      <w:pPr>
        <w:rPr>
          <w:rFonts w:ascii="Aptos" w:hAnsi="Aptos"/>
          <w:color w:val="EE0000"/>
          <w:sz w:val="22"/>
          <w:szCs w:val="22"/>
        </w:rPr>
      </w:pPr>
      <w:r w:rsidRPr="00974C06">
        <w:rPr>
          <w:rFonts w:ascii="Aptos" w:hAnsi="Aptos"/>
          <w:color w:val="EE0000"/>
          <w:sz w:val="22"/>
          <w:szCs w:val="22"/>
        </w:rPr>
        <w:t>Both union and non-union representation face challenges in evolving workplaces. Trade unions must modernise to engage younger, more individualistic workers who may prefer direct communication. Conversely, non-union forums need formal recognition, sufficient resources, and management support to avoid marginalisation (</w:t>
      </w:r>
      <w:proofErr w:type="spellStart"/>
      <w:r w:rsidRPr="00974C06">
        <w:rPr>
          <w:rFonts w:ascii="Aptos" w:hAnsi="Aptos"/>
          <w:color w:val="EE0000"/>
          <w:sz w:val="22"/>
          <w:szCs w:val="22"/>
        </w:rPr>
        <w:t>Acas</w:t>
      </w:r>
      <w:proofErr w:type="spellEnd"/>
      <w:r w:rsidRPr="00974C06">
        <w:rPr>
          <w:rFonts w:ascii="Aptos" w:hAnsi="Aptos"/>
          <w:color w:val="EE0000"/>
          <w:sz w:val="22"/>
          <w:szCs w:val="22"/>
        </w:rPr>
        <w:t>, 2021; IPA, 2015). For a newly merged public sector organisation, success depends on integrating both approaches—leveraging unions’ legal protections and collective mandate alongside flexible non-union representation—to build trust, improve communication, and support cultural integration (LGA, 2020).</w:t>
      </w:r>
    </w:p>
    <w:p w14:paraId="36FB8371" w14:textId="77777777" w:rsidR="00CE3F12" w:rsidRPr="00AF7E31" w:rsidRDefault="00CE3F12" w:rsidP="00811DC4">
      <w:pPr>
        <w:rPr>
          <w:rFonts w:ascii="Aptos" w:hAnsi="Aptos"/>
          <w:sz w:val="22"/>
          <w:szCs w:val="22"/>
        </w:rPr>
      </w:pPr>
    </w:p>
    <w:p w14:paraId="3079E467" w14:textId="4DB59CF9" w:rsidR="00F735C8" w:rsidRPr="00AF7E31" w:rsidRDefault="00F735C8" w:rsidP="00F735C8">
      <w:pPr>
        <w:pStyle w:val="Default"/>
        <w:spacing w:line="240" w:lineRule="auto"/>
        <w:rPr>
          <w:rFonts w:ascii="Aptos" w:hAnsi="Aptos"/>
          <w:b/>
          <w:bCs/>
          <w:color w:val="004147"/>
          <w:sz w:val="22"/>
          <w:szCs w:val="22"/>
          <w:u w:color="004147"/>
        </w:rPr>
      </w:pPr>
      <w:r w:rsidRPr="00AF7E31">
        <w:rPr>
          <w:rFonts w:ascii="Aptos" w:hAnsi="Aptos"/>
          <w:b/>
          <w:bCs/>
          <w:color w:val="004147"/>
          <w:sz w:val="22"/>
          <w:szCs w:val="22"/>
          <w:u w:color="004147"/>
        </w:rPr>
        <w:t xml:space="preserve">(AC </w:t>
      </w:r>
      <w:r w:rsidR="00B87229" w:rsidRPr="00AF7E31">
        <w:rPr>
          <w:rFonts w:ascii="Aptos" w:hAnsi="Aptos"/>
          <w:b/>
          <w:bCs/>
          <w:color w:val="004147"/>
          <w:sz w:val="22"/>
          <w:szCs w:val="22"/>
          <w:u w:color="004147"/>
        </w:rPr>
        <w:t>1.3)</w:t>
      </w:r>
      <w:r w:rsidRPr="00AF7E31">
        <w:rPr>
          <w:rFonts w:ascii="Aptos" w:hAnsi="Aptos"/>
          <w:b/>
          <w:bCs/>
          <w:color w:val="004147"/>
          <w:sz w:val="22"/>
          <w:szCs w:val="22"/>
          <w:u w:color="004147"/>
        </w:rPr>
        <w:t xml:space="preserve"> - Evaluate the relationship between employee voice and </w:t>
      </w:r>
      <w:proofErr w:type="spellStart"/>
      <w:r w:rsidRPr="00AF7E31">
        <w:rPr>
          <w:rFonts w:ascii="Aptos" w:hAnsi="Aptos"/>
          <w:b/>
          <w:bCs/>
          <w:color w:val="004147"/>
          <w:sz w:val="22"/>
          <w:szCs w:val="22"/>
          <w:u w:color="004147"/>
        </w:rPr>
        <w:t>organisational</w:t>
      </w:r>
      <w:proofErr w:type="spellEnd"/>
      <w:r w:rsidRPr="00AF7E31">
        <w:rPr>
          <w:rFonts w:ascii="Aptos" w:hAnsi="Aptos"/>
          <w:b/>
          <w:bCs/>
          <w:color w:val="004147"/>
          <w:sz w:val="22"/>
          <w:szCs w:val="22"/>
          <w:u w:color="004147"/>
        </w:rPr>
        <w:t xml:space="preserve"> performance. </w:t>
      </w:r>
    </w:p>
    <w:p w14:paraId="64B7113A" w14:textId="77777777" w:rsidR="00B66799" w:rsidRPr="00AF7E31" w:rsidRDefault="00B66799" w:rsidP="00F735C8">
      <w:pPr>
        <w:pStyle w:val="Default"/>
        <w:spacing w:line="240" w:lineRule="auto"/>
        <w:rPr>
          <w:rFonts w:ascii="Aptos" w:hAnsi="Aptos"/>
          <w:color w:val="004147"/>
          <w:sz w:val="22"/>
          <w:szCs w:val="22"/>
          <w:u w:color="004147"/>
        </w:rPr>
      </w:pPr>
    </w:p>
    <w:p w14:paraId="6472F595"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Employee voice encompasses the ways employees express ideas, concerns, and feedback to influence workplace decisions.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performance refers to how effectively a company achieves its goals, including productivity, profitability, innovation, and employee satisfaction. The relationship between employee voice and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performance is generally positive but depends on effective management and authentic engagement.</w:t>
      </w:r>
    </w:p>
    <w:p w14:paraId="399D89AC" w14:textId="77777777" w:rsidR="00420BC2" w:rsidRPr="004065A6" w:rsidRDefault="00420BC2" w:rsidP="00420BC2">
      <w:pPr>
        <w:pStyle w:val="Default"/>
        <w:rPr>
          <w:rFonts w:ascii="Aptos" w:hAnsi="Aptos"/>
          <w:strike/>
          <w:sz w:val="22"/>
          <w:szCs w:val="22"/>
        </w:rPr>
      </w:pPr>
    </w:p>
    <w:p w14:paraId="29443A22"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When employees have a strong voice, they tend to be more engaged and motivated, which often leads to higher productivity and creativity. Feeling valued and involved encourages discretionary effort, with employees contributing innovative ideas that can improve processes and customer service. For instance, suggestion schemes and staff forums are practical examples where employee input has generated beneficial changes. Moreover, open communication reduces misunderstandings and conflicts, fostering better teamwork and a positive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climate (Taylor, 2024).</w:t>
      </w:r>
    </w:p>
    <w:p w14:paraId="7532B8C5" w14:textId="77777777" w:rsidR="00420BC2" w:rsidRPr="004065A6" w:rsidRDefault="00420BC2" w:rsidP="00420BC2">
      <w:pPr>
        <w:pStyle w:val="Default"/>
        <w:rPr>
          <w:rFonts w:ascii="Aptos" w:hAnsi="Aptos"/>
          <w:strike/>
          <w:sz w:val="22"/>
          <w:szCs w:val="22"/>
        </w:rPr>
      </w:pPr>
    </w:p>
    <w:p w14:paraId="3976FE7F"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However, the impact of employee voice on performance relies on how it is implemented. If employee concerns are ignored or the voice process becomes symbolic, cynicism and reduced morale may result. Additionally, unmanaged conflicting opinions can lead to decision-making delays or paralysis. Therefore, </w:t>
      </w:r>
      <w:proofErr w:type="spellStart"/>
      <w:r w:rsidRPr="004065A6">
        <w:rPr>
          <w:rFonts w:ascii="Aptos" w:hAnsi="Aptos"/>
          <w:strike/>
          <w:sz w:val="22"/>
          <w:szCs w:val="22"/>
        </w:rPr>
        <w:t>organisations</w:t>
      </w:r>
      <w:proofErr w:type="spellEnd"/>
      <w:r w:rsidRPr="004065A6">
        <w:rPr>
          <w:rFonts w:ascii="Aptos" w:hAnsi="Aptos"/>
          <w:strike/>
          <w:sz w:val="22"/>
          <w:szCs w:val="22"/>
        </w:rPr>
        <w:t xml:space="preserve"> must balance encouraging employee voice with strong leadership to effectively channel input towards constructive outcomes (Taylor and Woodhams, 2016).</w:t>
      </w:r>
    </w:p>
    <w:p w14:paraId="079DA4F9" w14:textId="77777777" w:rsidR="00420BC2" w:rsidRPr="004065A6" w:rsidRDefault="00420BC2" w:rsidP="00420BC2">
      <w:pPr>
        <w:pStyle w:val="Default"/>
        <w:rPr>
          <w:rFonts w:ascii="Aptos" w:hAnsi="Aptos"/>
          <w:strike/>
          <w:sz w:val="22"/>
          <w:szCs w:val="22"/>
        </w:rPr>
      </w:pPr>
    </w:p>
    <w:p w14:paraId="250E274E"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Formal mechanisms like trade unions provide structured voice opportunities with legal protections, often leading to more consistent and reliable outcomes. Informal channels, such as staff councils or forums, offer greater flexibility but may risk </w:t>
      </w:r>
      <w:proofErr w:type="spellStart"/>
      <w:r w:rsidRPr="004065A6">
        <w:rPr>
          <w:rFonts w:ascii="Aptos" w:hAnsi="Aptos"/>
          <w:strike/>
          <w:sz w:val="22"/>
          <w:szCs w:val="22"/>
        </w:rPr>
        <w:t>marginalisation</w:t>
      </w:r>
      <w:proofErr w:type="spellEnd"/>
      <w:r w:rsidRPr="004065A6">
        <w:rPr>
          <w:rFonts w:ascii="Aptos" w:hAnsi="Aptos"/>
          <w:strike/>
          <w:sz w:val="22"/>
          <w:szCs w:val="22"/>
        </w:rPr>
        <w:t xml:space="preserve"> without clear management support. Both types of representation can positively impact performance when embedded in a supportive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culture and backed by leadership commitment (Taylor and Woodhams, 2016).</w:t>
      </w:r>
    </w:p>
    <w:p w14:paraId="21DE1B0B" w14:textId="77777777" w:rsidR="00420BC2" w:rsidRPr="004065A6" w:rsidRDefault="00420BC2" w:rsidP="00420BC2">
      <w:pPr>
        <w:pStyle w:val="Default"/>
        <w:rPr>
          <w:rFonts w:ascii="Aptos" w:hAnsi="Aptos"/>
          <w:strike/>
          <w:sz w:val="22"/>
          <w:szCs w:val="22"/>
        </w:rPr>
      </w:pPr>
    </w:p>
    <w:p w14:paraId="2B0694A8"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The best practice approach explains the positive link between employee voice and performance by advocating HR practices that foster worker commitment, often described as high-commitment work systems or high-involvement HRM. Committed employees are more likely to exceed basic duties, motivated by feeling valued and invested in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success. Kew and Stredwick (2010, pp. 413–416) highlight that flexibility, teamwork, performance recognition, learning opportunities, and employee voice mechanisms significantly contribute to higher employee commitment.</w:t>
      </w:r>
    </w:p>
    <w:p w14:paraId="468FDF1F" w14:textId="77777777" w:rsidR="00420BC2" w:rsidRPr="004065A6" w:rsidRDefault="00420BC2" w:rsidP="00420BC2">
      <w:pPr>
        <w:pStyle w:val="Default"/>
        <w:rPr>
          <w:rFonts w:ascii="Aptos" w:hAnsi="Aptos"/>
          <w:strike/>
          <w:sz w:val="22"/>
          <w:szCs w:val="22"/>
        </w:rPr>
      </w:pPr>
    </w:p>
    <w:p w14:paraId="3681C926" w14:textId="77777777" w:rsidR="00420BC2" w:rsidRPr="004065A6" w:rsidRDefault="00420BC2" w:rsidP="00420BC2">
      <w:pPr>
        <w:pStyle w:val="Default"/>
        <w:rPr>
          <w:rFonts w:ascii="Aptos" w:hAnsi="Aptos"/>
          <w:strike/>
          <w:sz w:val="22"/>
          <w:szCs w:val="22"/>
        </w:rPr>
      </w:pPr>
      <w:r w:rsidRPr="004065A6">
        <w:rPr>
          <w:rFonts w:ascii="Aptos" w:hAnsi="Aptos"/>
          <w:strike/>
          <w:sz w:val="22"/>
          <w:szCs w:val="22"/>
        </w:rPr>
        <w:t xml:space="preserve">In conclusion, employee voice can enhance </w:t>
      </w:r>
      <w:proofErr w:type="spellStart"/>
      <w:r w:rsidRPr="004065A6">
        <w:rPr>
          <w:rFonts w:ascii="Aptos" w:hAnsi="Aptos"/>
          <w:strike/>
          <w:sz w:val="22"/>
          <w:szCs w:val="22"/>
        </w:rPr>
        <w:t>organisational</w:t>
      </w:r>
      <w:proofErr w:type="spellEnd"/>
      <w:r w:rsidRPr="004065A6">
        <w:rPr>
          <w:rFonts w:ascii="Aptos" w:hAnsi="Aptos"/>
          <w:strike/>
          <w:sz w:val="22"/>
          <w:szCs w:val="22"/>
        </w:rPr>
        <w:t xml:space="preserve"> performance, but it is not an automatic guarantee. Its success depends on authentic integration within workplace culture and consistent leadership support. When implemented effectively, employee voice delivers measurable benefits; when neglected, it risks disengagement and poor performance.</w:t>
      </w:r>
    </w:p>
    <w:p w14:paraId="23A96195" w14:textId="77777777" w:rsidR="00733CD6" w:rsidRPr="00AF7E31" w:rsidRDefault="00733CD6" w:rsidP="00420BC2">
      <w:pPr>
        <w:pStyle w:val="Default"/>
        <w:rPr>
          <w:rFonts w:ascii="Aptos" w:hAnsi="Aptos"/>
          <w:sz w:val="22"/>
          <w:szCs w:val="22"/>
        </w:rPr>
      </w:pPr>
    </w:p>
    <w:p w14:paraId="443577EE"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Employee voice refers to the ways in which employees express their ideas, concerns, and feedback to influence workplace decisions (Taylor and Woodhams, 2016). Organisational performance relates to the extent to which an organisation achieves its objectives in areas such as productivity, innovation, service delivery, and employee wellbeing (CIPD, 2024). Research suggests a generally positive relationship between employee voice and organisational performance, provided that voice is genuinely encouraged, heard, and acted upon.</w:t>
      </w:r>
    </w:p>
    <w:p w14:paraId="5246C512"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When employees feel that their voice matters, they are more likely to be engaged, motivated, and committed to organisational goals. This often results in improved productivity, reduced turnover, and increased innovation. For instance, suggestion schemes, regular employee surveys, and team feedback sessions can offer practical platforms for staff input. In the context of your newly merged public sector organisation—where teams are adjusting to cultural and operational changes—these mechanisms are essential for surfacing concerns early and involving staff in shaping the new working environment (CIPD, 2024). This can help mitigate uncertainty and improve morale across both legacy workforces.</w:t>
      </w:r>
    </w:p>
    <w:p w14:paraId="000314B1"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Employee voice also plays a key role in preventing and resolving conflict, improving communication, and supporting inclusive cultures. Open dialogue reduces the likelihood of misunderstandings escalating, thereby improving collaboration and organisational resilience (Taylor and Woodhams, 2016). For example, setting up cross-departmental forums during the merger allows staff to raise integration issues and suggest workable solutions before they become formal grievances.</w:t>
      </w:r>
    </w:p>
    <w:p w14:paraId="113D72EA"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However, the positive impact of employee voice depends heavily on how it is received and acted upon by leadership. If employees perceive voice mechanisms as tokenistic or feel that their concerns are regularly dismissed, trust is eroded. This can lead to disengagement, resistance to change, or even industrial action (</w:t>
      </w:r>
      <w:proofErr w:type="spellStart"/>
      <w:r w:rsidRPr="00DA0AAE">
        <w:rPr>
          <w:rFonts w:ascii="Aptos" w:hAnsi="Aptos"/>
          <w:color w:val="EE0000"/>
          <w:sz w:val="22"/>
          <w:szCs w:val="22"/>
          <w:lang w:val="en-GB"/>
        </w:rPr>
        <w:t>Acas</w:t>
      </w:r>
      <w:proofErr w:type="spellEnd"/>
      <w:r w:rsidRPr="00DA0AAE">
        <w:rPr>
          <w:rFonts w:ascii="Aptos" w:hAnsi="Aptos"/>
          <w:color w:val="EE0000"/>
          <w:sz w:val="22"/>
          <w:szCs w:val="22"/>
          <w:lang w:val="en-GB"/>
        </w:rPr>
        <w:t>, 2021). This is particularly relevant to your organisation’s current scenario, where the incoming leadership may not yet fully understand the value of employee voice in a unionised public sector setting. A failure to take voice seriously could undermine the success of the merger.</w:t>
      </w:r>
    </w:p>
    <w:p w14:paraId="7D6E3FB7"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Formal voice mechanisms, such as trade union representation or Joint Negotiating and Consultation Committees (JNCCs), offer employees a legally supported channel to influence decisions. These are particularly important in the public sector and should be maintained or strengthened during structural change (</w:t>
      </w:r>
      <w:proofErr w:type="spellStart"/>
      <w:r w:rsidRPr="00DA0AAE">
        <w:rPr>
          <w:rFonts w:ascii="Aptos" w:hAnsi="Aptos"/>
          <w:color w:val="EE0000"/>
          <w:sz w:val="22"/>
          <w:szCs w:val="22"/>
          <w:lang w:val="en-GB"/>
        </w:rPr>
        <w:t>Acas</w:t>
      </w:r>
      <w:proofErr w:type="spellEnd"/>
      <w:r w:rsidRPr="00DA0AAE">
        <w:rPr>
          <w:rFonts w:ascii="Aptos" w:hAnsi="Aptos"/>
          <w:color w:val="EE0000"/>
          <w:sz w:val="22"/>
          <w:szCs w:val="22"/>
          <w:lang w:val="en-GB"/>
        </w:rPr>
        <w:t>, 2021). At the same time, informal channels such as employee networks, focus groups, or town halls provide additional flexibility but require visible leadership support to be effective. A blended approach—combining formal representation with informal engagement—can ensure all employee groups feel heard and respected during transition periods (CIPD, 2024).</w:t>
      </w:r>
    </w:p>
    <w:p w14:paraId="098F4CCD" w14:textId="77777777" w:rsidR="00DA0AAE" w:rsidRPr="00DA0AAE" w:rsidRDefault="00DA0AAE" w:rsidP="00DA0AAE">
      <w:pPr>
        <w:pStyle w:val="Default"/>
        <w:rPr>
          <w:rFonts w:ascii="Aptos" w:hAnsi="Aptos"/>
          <w:color w:val="EE0000"/>
          <w:sz w:val="22"/>
          <w:szCs w:val="22"/>
          <w:lang w:val="en-GB"/>
        </w:rPr>
      </w:pPr>
      <w:r w:rsidRPr="00DA0AAE">
        <w:rPr>
          <w:rFonts w:ascii="Aptos" w:hAnsi="Aptos"/>
          <w:color w:val="EE0000"/>
          <w:sz w:val="22"/>
          <w:szCs w:val="22"/>
          <w:lang w:val="en-GB"/>
        </w:rPr>
        <w:t>In summary, employee voice contributes positively to organisational performance by boosting engagement, fostering innovation, and enabling constructive dialogue. In a newly merged public sector organisation, establishing and maintaining robust voice mechanisms—both formal and informal—will be critical to ensuring cultural alignment, reducing resistance, and improving overall performance.</w:t>
      </w:r>
    </w:p>
    <w:p w14:paraId="5332BC82" w14:textId="77777777" w:rsidR="00733CD6" w:rsidRPr="00AF7E31" w:rsidRDefault="00733CD6" w:rsidP="00420BC2">
      <w:pPr>
        <w:pStyle w:val="Default"/>
        <w:rPr>
          <w:rFonts w:ascii="Aptos" w:hAnsi="Aptos"/>
          <w:sz w:val="22"/>
          <w:szCs w:val="22"/>
        </w:rPr>
      </w:pPr>
    </w:p>
    <w:p w14:paraId="33D6A247" w14:textId="77777777" w:rsidR="003503B0" w:rsidRPr="00AF7E31" w:rsidRDefault="003503B0" w:rsidP="00BE7079">
      <w:pPr>
        <w:pStyle w:val="Default"/>
        <w:rPr>
          <w:rFonts w:ascii="Aptos" w:hAnsi="Aptos"/>
          <w:sz w:val="22"/>
          <w:szCs w:val="22"/>
          <w:lang w:val="en-GB"/>
        </w:rPr>
      </w:pPr>
    </w:p>
    <w:p w14:paraId="044C669F" w14:textId="4A6B6E60" w:rsidR="00E81718" w:rsidRPr="00AF7E31" w:rsidRDefault="000C68A5" w:rsidP="00BE7079">
      <w:pPr>
        <w:pStyle w:val="Default"/>
        <w:rPr>
          <w:rFonts w:ascii="Aptos" w:hAnsi="Aptos"/>
          <w:b/>
          <w:bCs/>
          <w:sz w:val="22"/>
          <w:szCs w:val="22"/>
          <w:lang w:val="en-GB"/>
        </w:rPr>
      </w:pPr>
      <w:r w:rsidRPr="00AF7E31">
        <w:rPr>
          <w:rFonts w:ascii="Aptos" w:hAnsi="Aptos"/>
          <w:b/>
          <w:bCs/>
          <w:sz w:val="22"/>
          <w:szCs w:val="22"/>
          <w:lang w:val="en-GB"/>
        </w:rPr>
        <w:t xml:space="preserve">(AC </w:t>
      </w:r>
      <w:r w:rsidR="00B87229" w:rsidRPr="00AF7E31">
        <w:rPr>
          <w:rFonts w:ascii="Aptos" w:hAnsi="Aptos"/>
          <w:b/>
          <w:bCs/>
          <w:sz w:val="22"/>
          <w:szCs w:val="22"/>
          <w:lang w:val="en-GB"/>
        </w:rPr>
        <w:t>1.4)</w:t>
      </w:r>
      <w:r w:rsidRPr="00AF7E31">
        <w:rPr>
          <w:rFonts w:ascii="Aptos" w:hAnsi="Aptos"/>
          <w:b/>
          <w:bCs/>
          <w:sz w:val="22"/>
          <w:szCs w:val="22"/>
          <w:lang w:val="en-GB"/>
        </w:rPr>
        <w:t xml:space="preserve"> – </w:t>
      </w:r>
      <w:r w:rsidR="00B7179A" w:rsidRPr="00AF7E31">
        <w:rPr>
          <w:rFonts w:ascii="Aptos" w:hAnsi="Aptos"/>
          <w:b/>
          <w:bCs/>
          <w:sz w:val="22"/>
          <w:szCs w:val="22"/>
        </w:rPr>
        <w:t>Explain the concept of better working lives and how this can be designed.</w:t>
      </w:r>
    </w:p>
    <w:p w14:paraId="427B28FF" w14:textId="77777777" w:rsidR="000C68A5" w:rsidRPr="00AF7E31" w:rsidRDefault="000C68A5" w:rsidP="00BE7079">
      <w:pPr>
        <w:pStyle w:val="Default"/>
        <w:rPr>
          <w:rFonts w:ascii="Aptos" w:hAnsi="Aptos"/>
          <w:sz w:val="22"/>
          <w:szCs w:val="22"/>
          <w:lang w:val="en-GB"/>
        </w:rPr>
      </w:pPr>
    </w:p>
    <w:p w14:paraId="2EF164F1" w14:textId="175E25C7" w:rsidR="00DF50F3" w:rsidRPr="00F2653B" w:rsidRDefault="00DF50F3" w:rsidP="00DF50F3">
      <w:pPr>
        <w:rPr>
          <w:rFonts w:ascii="Aptos" w:hAnsi="Aptos"/>
          <w:strike/>
          <w:sz w:val="22"/>
          <w:szCs w:val="22"/>
        </w:rPr>
      </w:pPr>
      <w:r w:rsidRPr="00F2653B">
        <w:rPr>
          <w:rFonts w:ascii="Aptos" w:hAnsi="Aptos"/>
          <w:strike/>
          <w:sz w:val="22"/>
          <w:szCs w:val="22"/>
        </w:rPr>
        <w:t>Better working lives are based on key elements such as job autonomy, meaningful work, employee voice, and effective management. Designing such an environment requires a thorough understanding of job quality dimensions, including fair pay, job security, flexibility, and opportunities for personal and professional development. Employers should utilise regular employee surveys, feedback mechanisms, and one-to-one meetings to capture staff experiences and priorities. These insights should inform decisions on job design, workload, and resource allocation. Effective line management is essential, with managers trained to support wellbeing, resolve conflicts promptly, and promote inclusive team cultures. Providing ongoing training and career development pathways boosts employee engagement and retention. Inclusive communication through clear updates, open forums, and anonymous feedback channels ensures all employees feel heard and valued (CIPD, 202</w:t>
      </w:r>
      <w:r w:rsidR="00B17083" w:rsidRPr="00F2653B">
        <w:rPr>
          <w:rFonts w:ascii="Aptos" w:hAnsi="Aptos"/>
          <w:strike/>
          <w:sz w:val="22"/>
          <w:szCs w:val="22"/>
        </w:rPr>
        <w:t>5</w:t>
      </w:r>
      <w:r w:rsidRPr="00F2653B">
        <w:rPr>
          <w:rFonts w:ascii="Aptos" w:hAnsi="Aptos"/>
          <w:strike/>
          <w:sz w:val="22"/>
          <w:szCs w:val="22"/>
        </w:rPr>
        <w:t>).</w:t>
      </w:r>
    </w:p>
    <w:p w14:paraId="7DBA4B29" w14:textId="77777777" w:rsidR="00DF50F3" w:rsidRPr="00F2653B" w:rsidRDefault="00DF50F3" w:rsidP="00DF50F3">
      <w:pPr>
        <w:rPr>
          <w:rFonts w:ascii="Aptos" w:hAnsi="Aptos"/>
          <w:strike/>
          <w:sz w:val="22"/>
          <w:szCs w:val="22"/>
        </w:rPr>
      </w:pPr>
      <w:r w:rsidRPr="00F2653B">
        <w:rPr>
          <w:rFonts w:ascii="Aptos" w:hAnsi="Aptos"/>
          <w:strike/>
          <w:sz w:val="22"/>
          <w:szCs w:val="22"/>
        </w:rPr>
        <w:t>A supportive organisational culture built on trust, transparency and compassion encourages employees to bring their whole selves to work. Psychological safety promotes openness, idea sharing, and commitment to organisational goals. This culture must be deliberately cultivated through leadership behaviour, consistent values, and fair decision-making (CIPD, 2024).</w:t>
      </w:r>
    </w:p>
    <w:p w14:paraId="6EE26D63" w14:textId="77777777" w:rsidR="00DF50F3" w:rsidRPr="00F2653B" w:rsidRDefault="00DF50F3" w:rsidP="00DF50F3">
      <w:pPr>
        <w:rPr>
          <w:rFonts w:ascii="Aptos" w:hAnsi="Aptos"/>
          <w:strike/>
          <w:sz w:val="22"/>
          <w:szCs w:val="22"/>
        </w:rPr>
      </w:pPr>
      <w:r w:rsidRPr="00F2653B">
        <w:rPr>
          <w:rFonts w:ascii="Aptos" w:hAnsi="Aptos"/>
          <w:strike/>
          <w:sz w:val="22"/>
          <w:szCs w:val="22"/>
        </w:rPr>
        <w:t xml:space="preserve">The COVID-19 pandemic highlighted and worsened workplace inequalities including insecure contracts and disparities in gender, ethnicity, and income. Sir Brendan Barber, former Chair of </w:t>
      </w:r>
      <w:proofErr w:type="spellStart"/>
      <w:r w:rsidRPr="00F2653B">
        <w:rPr>
          <w:rFonts w:ascii="Aptos" w:hAnsi="Aptos"/>
          <w:strike/>
          <w:sz w:val="22"/>
          <w:szCs w:val="22"/>
        </w:rPr>
        <w:t>Acas</w:t>
      </w:r>
      <w:proofErr w:type="spellEnd"/>
      <w:r w:rsidRPr="00F2653B">
        <w:rPr>
          <w:rFonts w:ascii="Aptos" w:hAnsi="Aptos"/>
          <w:strike/>
          <w:sz w:val="22"/>
          <w:szCs w:val="22"/>
        </w:rPr>
        <w:t>, emphasises this moment as an opportunity to “build back better” by reshaping the workplace contract around fairness, wellbeing and trust, supported by compassionate leadership and meaningful employee voice (Barber, 2020).</w:t>
      </w:r>
    </w:p>
    <w:p w14:paraId="7F8B54CA" w14:textId="77777777" w:rsidR="00DF50F3" w:rsidRPr="00F2653B" w:rsidRDefault="00DF50F3" w:rsidP="00DF50F3">
      <w:pPr>
        <w:rPr>
          <w:rFonts w:ascii="Aptos" w:hAnsi="Aptos"/>
          <w:strike/>
          <w:sz w:val="22"/>
          <w:szCs w:val="22"/>
        </w:rPr>
      </w:pPr>
      <w:r w:rsidRPr="00F2653B">
        <w:rPr>
          <w:rFonts w:ascii="Aptos" w:hAnsi="Aptos"/>
          <w:strike/>
          <w:sz w:val="22"/>
          <w:szCs w:val="22"/>
        </w:rPr>
        <w:t>Beyond the pandemic, the UK faces structural challenges such as skills shortages, stagnant productivity and workplace inequality. The CIPD (2020) urges government and employers to improve employment practices, invest in lifelong learning, and strengthen people management skills. Collaboration across sectors is essential to designing better work that supports economic resilience and national prosperity.</w:t>
      </w:r>
    </w:p>
    <w:p w14:paraId="59549910" w14:textId="6DC154F9" w:rsidR="00C03F3F" w:rsidRPr="00F2653B" w:rsidRDefault="00CA04E8" w:rsidP="00621A85">
      <w:pPr>
        <w:rPr>
          <w:rFonts w:ascii="Aptos" w:hAnsi="Aptos"/>
          <w:strike/>
          <w:sz w:val="22"/>
          <w:szCs w:val="22"/>
        </w:rPr>
      </w:pPr>
      <w:r w:rsidRPr="00F2653B">
        <w:rPr>
          <w:rFonts w:ascii="Aptos" w:hAnsi="Aptos"/>
          <w:strike/>
          <w:sz w:val="22"/>
          <w:szCs w:val="22"/>
        </w:rPr>
        <w:t xml:space="preserve">A diverse workforce enhances creativity, problem-solving, innovation, and decision-making, leading to improved organisational performance, efficiency, trust, and employee commitment (Urwin et al., 2013; Wright et al., 2014; </w:t>
      </w:r>
      <w:proofErr w:type="spellStart"/>
      <w:r w:rsidRPr="00F2653B">
        <w:rPr>
          <w:rFonts w:ascii="Aptos" w:hAnsi="Aptos"/>
          <w:strike/>
          <w:sz w:val="22"/>
          <w:szCs w:val="22"/>
        </w:rPr>
        <w:t>Ozbilgin</w:t>
      </w:r>
      <w:proofErr w:type="spellEnd"/>
      <w:r w:rsidRPr="00F2653B">
        <w:rPr>
          <w:rFonts w:ascii="Aptos" w:hAnsi="Aptos"/>
          <w:strike/>
          <w:sz w:val="22"/>
          <w:szCs w:val="22"/>
        </w:rPr>
        <w:t xml:space="preserve"> &amp; Tatli, 2011). Organisations reflecting their external environment benefit from lower costs, better talent acquisition, and a stronger reputation. However, although diversity positively correlates with financial performance, these benefits depend on context and are not definitively causal (Hunt et al., 2015; </w:t>
      </w:r>
      <w:proofErr w:type="spellStart"/>
      <w:r w:rsidRPr="00F2653B">
        <w:rPr>
          <w:rFonts w:ascii="Aptos" w:hAnsi="Aptos"/>
          <w:strike/>
          <w:sz w:val="22"/>
          <w:szCs w:val="22"/>
        </w:rPr>
        <w:t>Eagly</w:t>
      </w:r>
      <w:proofErr w:type="spellEnd"/>
      <w:r w:rsidRPr="00F2653B">
        <w:rPr>
          <w:rFonts w:ascii="Aptos" w:hAnsi="Aptos"/>
          <w:strike/>
          <w:sz w:val="22"/>
          <w:szCs w:val="22"/>
        </w:rPr>
        <w:t>, 2016). Successful diversity and inclusion initiatives must be evidence-based and tailored to the organisation’s specific needs (Urwin et al., 2013; Wright et al., 2014).</w:t>
      </w:r>
    </w:p>
    <w:p w14:paraId="2EFD157B"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The concept of better working lives involves creating conditions that enhance employee wellbeing, engagement, fairness, and productivity. According to the CIPD (2024), this includes job autonomy, meaningful work, effective people management, employee voice, fair treatment, and opportunities for development. Designing better working lives starts with understanding job quality dimensions such as fair pay, job security, work-life balance, flexibility, manageable workloads, and development opportunities (CIPD, 2025). In a newly merged public sector organisation, where staff may feel uncertain due to leadership changes, focusing on job quality is essential for morale and performance.</w:t>
      </w:r>
    </w:p>
    <w:p w14:paraId="3E2DEDF2"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To identify employee priorities, organisations should conduct staff surveys, hold one-to-one check-ins, and maintain open feedback channels. These promote employee voice and demonstrate that concerns are valued. In mergers, active listening is vital to ensure staff feel included and respected during cultural integration.</w:t>
      </w:r>
    </w:p>
    <w:p w14:paraId="030E23BA"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Line managers play a crucial role in fostering better working lives by managing wellbeing, resolving conflict, and creating psychologically safe, inclusive teams. This requires investment in management training and clear communication frameworks to ensure consistency. Career development pathways and training access further boost engagement and retention, key concerns in the public sector.</w:t>
      </w:r>
    </w:p>
    <w:p w14:paraId="507D3CA2"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A supportive culture is central to better working lives. The CIPD (2024) highlights organisational values promoting trust, transparency, and compassion. Leadership behaviour, fair decision-making, and visible commitment to wellbeing are vital. New leaders should acknowledge legacy concerns, engage staff in shaping culture, and model fairness.</w:t>
      </w:r>
    </w:p>
    <w:p w14:paraId="6F8BF72E"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 xml:space="preserve">The COVID-19 pandemic exacerbated workplace inequalities, especially for marginalised groups. Barber (2020), former </w:t>
      </w:r>
      <w:proofErr w:type="spellStart"/>
      <w:r w:rsidRPr="00500736">
        <w:rPr>
          <w:rFonts w:ascii="Aptos" w:hAnsi="Aptos"/>
          <w:color w:val="EE0000"/>
          <w:sz w:val="22"/>
          <w:szCs w:val="22"/>
        </w:rPr>
        <w:t>Acas</w:t>
      </w:r>
      <w:proofErr w:type="spellEnd"/>
      <w:r w:rsidRPr="00500736">
        <w:rPr>
          <w:rFonts w:ascii="Aptos" w:hAnsi="Aptos"/>
          <w:color w:val="EE0000"/>
          <w:sz w:val="22"/>
          <w:szCs w:val="22"/>
        </w:rPr>
        <w:t xml:space="preserve"> Chair, described this as an opportunity to “build back better” by designing work around fairness, wellbeing, and trust. In a post-pandemic, post-merger context, such an approach is essential to restore resilience and foster staff commitment.</w:t>
      </w:r>
    </w:p>
    <w:p w14:paraId="679698DE"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Broader challenges like skills shortages, stagnant productivity, and systemic inequality impact the UK workforce. The CIPD (2020) urges investment in lifelong learning, improved people management, and employment standards. Public sector organisations can lead by example in creating inclusive, fair, and future-ready jobs serving both staff and communities.</w:t>
      </w:r>
    </w:p>
    <w:p w14:paraId="177371EA" w14:textId="77777777" w:rsidR="00500736" w:rsidRPr="00500736" w:rsidRDefault="00500736" w:rsidP="00500736">
      <w:pPr>
        <w:rPr>
          <w:rFonts w:ascii="Aptos" w:hAnsi="Aptos"/>
          <w:color w:val="EE0000"/>
          <w:sz w:val="22"/>
          <w:szCs w:val="22"/>
        </w:rPr>
      </w:pPr>
      <w:r w:rsidRPr="00500736">
        <w:rPr>
          <w:rFonts w:ascii="Aptos" w:hAnsi="Aptos"/>
          <w:color w:val="EE0000"/>
          <w:sz w:val="22"/>
          <w:szCs w:val="22"/>
        </w:rPr>
        <w:t xml:space="preserve">Finally, diversity and inclusion are vital for better working lives. A diverse workforce drives creativity, innovation, and better decisions (Urwin et al., 2013; Wright et al., 2014). Organisations reflecting their communities benefit from stronger reputations, improved recruitment, and loyalty. While Hunt et al. (2015) and </w:t>
      </w:r>
      <w:proofErr w:type="spellStart"/>
      <w:r w:rsidRPr="00500736">
        <w:rPr>
          <w:rFonts w:ascii="Aptos" w:hAnsi="Aptos"/>
          <w:color w:val="EE0000"/>
          <w:sz w:val="22"/>
          <w:szCs w:val="22"/>
        </w:rPr>
        <w:t>Eagly</w:t>
      </w:r>
      <w:proofErr w:type="spellEnd"/>
      <w:r w:rsidRPr="00500736">
        <w:rPr>
          <w:rFonts w:ascii="Aptos" w:hAnsi="Aptos"/>
          <w:color w:val="EE0000"/>
          <w:sz w:val="22"/>
          <w:szCs w:val="22"/>
        </w:rPr>
        <w:t xml:space="preserve"> (2016) link diversity to financial performance, success depends on context and execution. Tailored, evidence-based D&amp;I strategies are essential to maximise benefits (Urwin et al., 2013; Wright et al., 2014).</w:t>
      </w:r>
    </w:p>
    <w:p w14:paraId="726DBC35" w14:textId="77777777" w:rsidR="00C03F3F" w:rsidRPr="00AF7E31" w:rsidRDefault="00C03F3F" w:rsidP="00621A85">
      <w:pPr>
        <w:rPr>
          <w:rFonts w:ascii="Aptos" w:hAnsi="Aptos"/>
          <w:sz w:val="22"/>
          <w:szCs w:val="22"/>
        </w:rPr>
      </w:pPr>
    </w:p>
    <w:p w14:paraId="2CBD6D9A" w14:textId="46F18725" w:rsidR="00E17A85" w:rsidRPr="00AF7E31" w:rsidRDefault="00643FB5" w:rsidP="00621A85">
      <w:pPr>
        <w:rPr>
          <w:rFonts w:ascii="Aptos" w:hAnsi="Aptos"/>
          <w:b/>
          <w:bCs/>
          <w:sz w:val="22"/>
          <w:szCs w:val="22"/>
        </w:rPr>
      </w:pPr>
      <w:r w:rsidRPr="00AF7E31">
        <w:rPr>
          <w:rFonts w:ascii="Aptos" w:hAnsi="Aptos"/>
          <w:b/>
          <w:bCs/>
          <w:sz w:val="22"/>
          <w:szCs w:val="22"/>
        </w:rPr>
        <w:t>(AC</w:t>
      </w:r>
      <w:r w:rsidR="00F306A1" w:rsidRPr="00AF7E31">
        <w:rPr>
          <w:rFonts w:ascii="Aptos" w:hAnsi="Aptos"/>
          <w:b/>
          <w:bCs/>
          <w:sz w:val="22"/>
          <w:szCs w:val="22"/>
        </w:rPr>
        <w:t xml:space="preserve"> 2.1) - </w:t>
      </w:r>
      <w:r w:rsidR="00322449" w:rsidRPr="00AF7E31">
        <w:rPr>
          <w:rFonts w:ascii="Aptos" w:hAnsi="Aptos"/>
          <w:b/>
          <w:bCs/>
          <w:sz w:val="22"/>
          <w:szCs w:val="22"/>
        </w:rPr>
        <w:t>Distinguish between organisational conflict and misbehaviour</w:t>
      </w:r>
    </w:p>
    <w:p w14:paraId="3C6E14CF" w14:textId="77777777" w:rsidR="00876F0D" w:rsidRPr="004065A6" w:rsidRDefault="00876F0D" w:rsidP="00876F0D">
      <w:pPr>
        <w:rPr>
          <w:rFonts w:ascii="Aptos" w:hAnsi="Aptos"/>
          <w:strike/>
          <w:sz w:val="22"/>
          <w:szCs w:val="22"/>
        </w:rPr>
      </w:pPr>
      <w:r w:rsidRPr="004065A6">
        <w:rPr>
          <w:rFonts w:ascii="Aptos" w:hAnsi="Aptos"/>
          <w:strike/>
          <w:sz w:val="22"/>
          <w:szCs w:val="22"/>
        </w:rPr>
        <w:t>Organisational conflict refers to disagreements or differences of opinion between employees or groups within the workplace. These conflicts often stem from misunderstandings, personality clashes, or differing goals and values. When managed effectively, organisational conflict can even promote positive change by encouraging dialogue and innovation. Early informal approaches such as open dialogue and facilitated conversations create safe spaces for employees to express concerns and resolve issues before they escalate. Training in conflict resolution, diversity, equity, and inclusion further supports a culture of open communication and helps prevent conflicts from worsening. When these informal methods are insufficient, mediation serves as a voluntary and confidential process where a neutral third party assists conflicting individuals in reaching a mutually acceptable agreement. If mediation fails or the conflict is more serious, formal workplace investigations may be initiated to gather evidence, interview witnesses, and produce reports to guide management decisions. In rare cases, conflicts may escalate to arbitration or litigation, which are more costly, time-consuming, and legally binding processes. Early intervention is crucial, as informal methods are generally less costly financially and psychologically and help preserve workplace relationships and productivity. Understanding this continuum of conflict resolution options enables organisations to apply the most appropriate strategies to maintain a healthy and productive work environment (Baker, 2025).</w:t>
      </w:r>
    </w:p>
    <w:p w14:paraId="6EB9E7C8" w14:textId="77777777" w:rsidR="007D0207" w:rsidRPr="004065A6" w:rsidRDefault="007D0207" w:rsidP="00876F0D">
      <w:pPr>
        <w:rPr>
          <w:rFonts w:ascii="Aptos" w:hAnsi="Aptos"/>
          <w:strike/>
          <w:sz w:val="22"/>
          <w:szCs w:val="22"/>
        </w:rPr>
      </w:pPr>
      <w:r w:rsidRPr="004065A6">
        <w:rPr>
          <w:rFonts w:ascii="Aptos" w:hAnsi="Aptos"/>
          <w:strike/>
          <w:sz w:val="22"/>
          <w:szCs w:val="22"/>
        </w:rPr>
        <w:t>Workplace conflict remains a significant concern; CIPD (2020) reports that approximately four in ten employees experienced interpersonal conflict in the past year, often linked to poor leadership, personality clashes, or organisational change. While some conflicts can be constructive, unresolved disputes typically lead to stress, disengagement, and reduced productivity. The CIPD emphasises the importance of early intervention by line managers, supported by adequate training and resources, and highlights an increasing preference for informal resolution strategies—like open dialogue and mediation—which tend to be more effective and cost-efficient than formal grievance procedures (CIPD, 2020; 2023). Mediation provides a confidential, collaborative process that preserves working relationships and minimizes escalation risks, aligning with broader HR strategies focused on prevention rather than reactive measures (CIPD, 2024).</w:t>
      </w:r>
    </w:p>
    <w:p w14:paraId="21133F41" w14:textId="09D941B1" w:rsidR="00876F0D" w:rsidRPr="004065A6" w:rsidRDefault="00876F0D" w:rsidP="00876F0D">
      <w:pPr>
        <w:rPr>
          <w:rFonts w:ascii="Aptos" w:hAnsi="Aptos"/>
          <w:strike/>
          <w:sz w:val="22"/>
          <w:szCs w:val="22"/>
        </w:rPr>
      </w:pPr>
      <w:r w:rsidRPr="004065A6">
        <w:rPr>
          <w:rFonts w:ascii="Aptos" w:hAnsi="Aptos"/>
          <w:strike/>
          <w:sz w:val="22"/>
          <w:szCs w:val="22"/>
        </w:rPr>
        <w:t>In contrast, misbehaviour involves deliberate actions that violate workplace rules or norms, such as insubordination, persistent lateness, or harassment. Misbehaviour typically requires formal disciplinary procedures to uphold organisational standards and ensure a respectful and productive work environment (CIPD, 2021). Thus, while organisational conflict often arises from differing perspectives and can be managed through dialogue and mediation, misbehaviour reflects conscious rule-breaking necessitating firm corrective action.</w:t>
      </w:r>
    </w:p>
    <w:p w14:paraId="4902101C" w14:textId="77777777" w:rsidR="00CE25F0" w:rsidRPr="00CE25F0" w:rsidRDefault="00CE25F0" w:rsidP="00CE25F0">
      <w:pPr>
        <w:rPr>
          <w:rFonts w:ascii="Aptos" w:hAnsi="Aptos"/>
          <w:color w:val="EE0000"/>
          <w:sz w:val="22"/>
          <w:szCs w:val="22"/>
        </w:rPr>
      </w:pPr>
      <w:r w:rsidRPr="00CE25F0">
        <w:rPr>
          <w:rFonts w:ascii="Aptos" w:hAnsi="Aptos"/>
          <w:color w:val="EE0000"/>
          <w:sz w:val="22"/>
          <w:szCs w:val="22"/>
        </w:rPr>
        <w:t>Organisational conflict and employee misbehaviour are two distinct but sometimes overlapping challenges in the workplace. In the context of your newly merged public sector organisation—where staff are adjusting to cultural changes and unfamiliar leadership—understanding the difference between these issues is essential for maintaining effective employee relations.</w:t>
      </w:r>
    </w:p>
    <w:p w14:paraId="6F30D680" w14:textId="77777777" w:rsidR="00CE25F0" w:rsidRPr="00CE25F0" w:rsidRDefault="00CE25F0" w:rsidP="00CE25F0">
      <w:pPr>
        <w:rPr>
          <w:rFonts w:ascii="Aptos" w:hAnsi="Aptos"/>
          <w:color w:val="EE0000"/>
          <w:sz w:val="22"/>
          <w:szCs w:val="22"/>
        </w:rPr>
      </w:pPr>
      <w:r w:rsidRPr="00CE25F0">
        <w:rPr>
          <w:rFonts w:ascii="Aptos" w:hAnsi="Aptos"/>
          <w:b/>
          <w:bCs/>
          <w:color w:val="EE0000"/>
          <w:sz w:val="22"/>
          <w:szCs w:val="22"/>
        </w:rPr>
        <w:t>Organisational conflict</w:t>
      </w:r>
      <w:r w:rsidRPr="00CE25F0">
        <w:rPr>
          <w:rFonts w:ascii="Aptos" w:hAnsi="Aptos"/>
          <w:color w:val="EE0000"/>
          <w:sz w:val="22"/>
          <w:szCs w:val="22"/>
        </w:rPr>
        <w:t xml:space="preserve"> refers to disagreements between individuals or groups, often arising from differing values, goals, communication styles, or misunderstandings (Baker, 2025). Conflict is not inherently negative; when handled constructively, it can lead to innovation, improved processes, and stronger relationships. For example, a disagreement between departments over service delivery methods in your organisation could, if facilitated properly, result in more efficient cross-functional collaboration. However, unmanaged or escalating conflict can cause stress, damage morale, and reduce productivity (CIPD, 2023).</w:t>
      </w:r>
    </w:p>
    <w:p w14:paraId="3FA1EA3B" w14:textId="77777777" w:rsidR="00CE25F0" w:rsidRPr="00CE25F0" w:rsidRDefault="00CE25F0" w:rsidP="00CE25F0">
      <w:pPr>
        <w:rPr>
          <w:rFonts w:ascii="Aptos" w:hAnsi="Aptos"/>
          <w:color w:val="EE0000"/>
          <w:sz w:val="22"/>
          <w:szCs w:val="22"/>
        </w:rPr>
      </w:pPr>
      <w:r w:rsidRPr="00CE25F0">
        <w:rPr>
          <w:rFonts w:ascii="Aptos" w:hAnsi="Aptos"/>
          <w:color w:val="EE0000"/>
          <w:sz w:val="22"/>
          <w:szCs w:val="22"/>
        </w:rPr>
        <w:t>CIPD research (2020) found that nearly four in ten employees in the UK experienced interpersonal conflict at work in the past year, often linked to poor leadership, organisational change, or personality clashes. In a newly merged organisation, these factors are particularly relevant, especially if new managers lack experience in the public sector or have not yet built trust with their teams.</w:t>
      </w:r>
    </w:p>
    <w:p w14:paraId="41A3AB7B" w14:textId="77777777" w:rsidR="00CE25F0" w:rsidRPr="00CE25F0" w:rsidRDefault="00CE25F0" w:rsidP="00CE25F0">
      <w:pPr>
        <w:rPr>
          <w:rFonts w:ascii="Aptos" w:hAnsi="Aptos"/>
          <w:color w:val="EE0000"/>
          <w:sz w:val="22"/>
          <w:szCs w:val="22"/>
        </w:rPr>
      </w:pPr>
      <w:r w:rsidRPr="00CE25F0">
        <w:rPr>
          <w:rFonts w:ascii="Aptos" w:hAnsi="Aptos"/>
          <w:color w:val="EE0000"/>
          <w:sz w:val="22"/>
          <w:szCs w:val="22"/>
        </w:rPr>
        <w:t>Early intervention is crucial. Informal approaches such as open dialogue, facilitated conversations, and conflict resolution training can resolve issues before they escalate. Mediation, a voluntary and confidential process facilitated by a neutral third party, is also increasingly promoted in the public sector as a way to preserve working relationships and reduce the burden on formal grievance procedures (CIPD, 2024). These techniques support a culture of communication and early resolution—vital in an organisation facing cultural integration challenges.</w:t>
      </w:r>
    </w:p>
    <w:p w14:paraId="3EF6638D" w14:textId="77777777" w:rsidR="00CE25F0" w:rsidRPr="00CE25F0" w:rsidRDefault="00CE25F0" w:rsidP="00CE25F0">
      <w:pPr>
        <w:rPr>
          <w:rFonts w:ascii="Aptos" w:hAnsi="Aptos"/>
          <w:color w:val="EE0000"/>
          <w:sz w:val="22"/>
          <w:szCs w:val="22"/>
        </w:rPr>
      </w:pPr>
      <w:r w:rsidRPr="00CE25F0">
        <w:rPr>
          <w:rFonts w:ascii="Aptos" w:hAnsi="Aptos"/>
          <w:b/>
          <w:bCs/>
          <w:color w:val="EE0000"/>
          <w:sz w:val="22"/>
          <w:szCs w:val="22"/>
        </w:rPr>
        <w:t>Employee misbehaviour</w:t>
      </w:r>
      <w:r w:rsidRPr="00CE25F0">
        <w:rPr>
          <w:rFonts w:ascii="Aptos" w:hAnsi="Aptos"/>
          <w:color w:val="EE0000"/>
          <w:sz w:val="22"/>
          <w:szCs w:val="22"/>
        </w:rPr>
        <w:t>, on the other hand, involves deliberate violations of workplace rules, policies, or norms. Examples include repeated lateness, insubordination, bullying, or harassment. Unlike conflict, misbehaviour reflects conscious misconduct rather than a difference of opinion or values (CIPD, 2021). Such behaviour undermines team cohesion and organisational integrity and typically requires formal disciplinary action.</w:t>
      </w:r>
    </w:p>
    <w:p w14:paraId="0D55F836" w14:textId="77777777" w:rsidR="00CE25F0" w:rsidRPr="00CE25F0" w:rsidRDefault="00CE25F0" w:rsidP="00CE25F0">
      <w:pPr>
        <w:rPr>
          <w:rFonts w:ascii="Aptos" w:hAnsi="Aptos"/>
          <w:color w:val="EE0000"/>
          <w:sz w:val="22"/>
          <w:szCs w:val="22"/>
        </w:rPr>
      </w:pPr>
      <w:r w:rsidRPr="00CE25F0">
        <w:rPr>
          <w:rFonts w:ascii="Aptos" w:hAnsi="Aptos"/>
          <w:color w:val="EE0000"/>
          <w:sz w:val="22"/>
          <w:szCs w:val="22"/>
        </w:rPr>
        <w:t>In your organisation, where new policies and procedures may still be bedding in post-merger, it is critical to set clear behavioural expectations early on. Managers must distinguish between an employee who is challenging a decision out of genuine concern (conflict) and one who is undermining leadership or colleagues (misbehaviour). For instance, a team member voicing concerns about new working hours through a staff forum is an example of constructive conflict; a colleague refusing to follow agreed rota changes after consultation may be engaging in misbehaviour.</w:t>
      </w:r>
    </w:p>
    <w:p w14:paraId="361FD6E1" w14:textId="77777777" w:rsidR="00CE25F0" w:rsidRPr="00CE25F0" w:rsidRDefault="00CE25F0" w:rsidP="00CE25F0">
      <w:pPr>
        <w:rPr>
          <w:rFonts w:ascii="Aptos" w:hAnsi="Aptos"/>
          <w:color w:val="EE0000"/>
          <w:sz w:val="22"/>
          <w:szCs w:val="22"/>
        </w:rPr>
      </w:pPr>
      <w:r w:rsidRPr="00CE25F0">
        <w:rPr>
          <w:rFonts w:ascii="Aptos" w:hAnsi="Aptos"/>
          <w:color w:val="EE0000"/>
          <w:sz w:val="22"/>
          <w:szCs w:val="22"/>
        </w:rPr>
        <w:t xml:space="preserve">The disciplinary process should follow the </w:t>
      </w:r>
      <w:proofErr w:type="spellStart"/>
      <w:r w:rsidRPr="00CE25F0">
        <w:rPr>
          <w:rFonts w:ascii="Aptos" w:hAnsi="Aptos"/>
          <w:color w:val="EE0000"/>
          <w:sz w:val="22"/>
          <w:szCs w:val="22"/>
        </w:rPr>
        <w:t>Acas</w:t>
      </w:r>
      <w:proofErr w:type="spellEnd"/>
      <w:r w:rsidRPr="00CE25F0">
        <w:rPr>
          <w:rFonts w:ascii="Aptos" w:hAnsi="Aptos"/>
          <w:color w:val="EE0000"/>
          <w:sz w:val="22"/>
          <w:szCs w:val="22"/>
        </w:rPr>
        <w:t xml:space="preserve"> Code of Practice (</w:t>
      </w:r>
      <w:proofErr w:type="spellStart"/>
      <w:r w:rsidRPr="00CE25F0">
        <w:rPr>
          <w:rFonts w:ascii="Aptos" w:hAnsi="Aptos"/>
          <w:color w:val="EE0000"/>
          <w:sz w:val="22"/>
          <w:szCs w:val="22"/>
        </w:rPr>
        <w:t>Acas</w:t>
      </w:r>
      <w:proofErr w:type="spellEnd"/>
      <w:r w:rsidRPr="00CE25F0">
        <w:rPr>
          <w:rFonts w:ascii="Aptos" w:hAnsi="Aptos"/>
          <w:color w:val="EE0000"/>
          <w:sz w:val="22"/>
          <w:szCs w:val="22"/>
        </w:rPr>
        <w:t>, 2023), ensuring fairness, transparency, and legal compliance. At the same time, management must be trained to assess situations accurately—avoiding overly punitive responses to conflict while firmly addressing genuine misconduct.</w:t>
      </w:r>
    </w:p>
    <w:p w14:paraId="606E310D" w14:textId="77777777" w:rsidR="00876F0D" w:rsidRPr="00AF7E31" w:rsidRDefault="00876F0D" w:rsidP="00D40ABE">
      <w:pPr>
        <w:rPr>
          <w:rFonts w:ascii="Aptos" w:hAnsi="Aptos"/>
          <w:sz w:val="22"/>
          <w:szCs w:val="22"/>
        </w:rPr>
      </w:pPr>
    </w:p>
    <w:p w14:paraId="49E6850B" w14:textId="745C03FB" w:rsidR="00D40ABE" w:rsidRPr="00AF7E31" w:rsidRDefault="001F4310" w:rsidP="00D40ABE">
      <w:pPr>
        <w:rPr>
          <w:rFonts w:ascii="Aptos" w:hAnsi="Aptos"/>
          <w:b/>
          <w:bCs/>
          <w:sz w:val="22"/>
          <w:szCs w:val="22"/>
        </w:rPr>
      </w:pPr>
      <w:r w:rsidRPr="00AF7E31">
        <w:rPr>
          <w:rFonts w:ascii="Aptos" w:hAnsi="Aptos"/>
          <w:b/>
          <w:bCs/>
          <w:sz w:val="22"/>
          <w:szCs w:val="22"/>
        </w:rPr>
        <w:t xml:space="preserve">(AC 2.2) </w:t>
      </w:r>
      <w:r w:rsidR="00B87229" w:rsidRPr="00AF7E31">
        <w:rPr>
          <w:rFonts w:ascii="Aptos" w:hAnsi="Aptos"/>
          <w:b/>
          <w:bCs/>
          <w:sz w:val="22"/>
          <w:szCs w:val="22"/>
        </w:rPr>
        <w:t>- Assess</w:t>
      </w:r>
      <w:r w:rsidRPr="00AF7E31">
        <w:rPr>
          <w:rFonts w:ascii="Aptos" w:hAnsi="Aptos"/>
          <w:b/>
          <w:bCs/>
          <w:sz w:val="22"/>
          <w:szCs w:val="22"/>
        </w:rPr>
        <w:t xml:space="preserve"> emerging trends in the types of conflict and industrial sanctions</w:t>
      </w:r>
    </w:p>
    <w:p w14:paraId="0A1F8EB6" w14:textId="77777777" w:rsidR="00B35A18" w:rsidRPr="004065A6" w:rsidRDefault="00B35A18" w:rsidP="00B35A18">
      <w:pPr>
        <w:rPr>
          <w:rFonts w:ascii="Aptos" w:hAnsi="Aptos"/>
          <w:strike/>
          <w:sz w:val="22"/>
          <w:szCs w:val="22"/>
        </w:rPr>
      </w:pPr>
      <w:r w:rsidRPr="004065A6">
        <w:rPr>
          <w:rFonts w:ascii="Aptos" w:hAnsi="Aptos"/>
          <w:strike/>
          <w:sz w:val="22"/>
          <w:szCs w:val="22"/>
        </w:rPr>
        <w:t>The CIPD (2024) reports that one in four employees in the UK experienced workplace conflict in the past year, including incidents such as being undermined, facing verbal abuse, or experiencing discrimination. A significant emerging trend is conflict related to hybrid and flexible working arrangements. While many employees appreciate flexibility due to caregiving responsibilities or wellbeing concerns, others—particularly some managers and leaders—emphasize the importance of physical office presence to maintain productivity and organisational culture. These contrasting expectations often lead to interpersonal friction, resentment, and reduced collaboration (CIPD, 2024). Furthermore, societal polarisation on sensitive issues—such as politics, race, or health policies—is increasingly mirrored in workplace interactions, making conflict resolution more complex and sensitive for organisations to navigate.</w:t>
      </w:r>
    </w:p>
    <w:p w14:paraId="77B28BEB" w14:textId="0D144B95" w:rsidR="00B35A18" w:rsidRPr="004065A6" w:rsidRDefault="00B35A18" w:rsidP="00B35A18">
      <w:pPr>
        <w:rPr>
          <w:rFonts w:ascii="Aptos" w:hAnsi="Aptos"/>
          <w:strike/>
          <w:sz w:val="22"/>
          <w:szCs w:val="22"/>
        </w:rPr>
      </w:pPr>
      <w:r w:rsidRPr="004065A6">
        <w:rPr>
          <w:rFonts w:ascii="Aptos" w:hAnsi="Aptos"/>
          <w:strike/>
          <w:sz w:val="22"/>
          <w:szCs w:val="22"/>
        </w:rPr>
        <w:t xml:space="preserve">Regarding industrial sanctions, </w:t>
      </w:r>
      <w:r w:rsidR="00A00182" w:rsidRPr="004065A6">
        <w:rPr>
          <w:rFonts w:ascii="Aptos" w:hAnsi="Aptos"/>
          <w:strike/>
          <w:sz w:val="22"/>
          <w:szCs w:val="22"/>
        </w:rPr>
        <w:t>(</w:t>
      </w:r>
      <w:proofErr w:type="spellStart"/>
      <w:r w:rsidRPr="004065A6">
        <w:rPr>
          <w:rFonts w:ascii="Aptos" w:hAnsi="Aptos"/>
          <w:strike/>
          <w:sz w:val="22"/>
          <w:szCs w:val="22"/>
        </w:rPr>
        <w:t>Acas</w:t>
      </w:r>
      <w:proofErr w:type="spellEnd"/>
      <w:r w:rsidR="00A00182" w:rsidRPr="004065A6">
        <w:rPr>
          <w:rFonts w:ascii="Aptos" w:hAnsi="Aptos"/>
          <w:strike/>
          <w:sz w:val="22"/>
          <w:szCs w:val="22"/>
        </w:rPr>
        <w:t>,</w:t>
      </w:r>
      <w:r w:rsidR="003558B6" w:rsidRPr="004065A6">
        <w:rPr>
          <w:rFonts w:ascii="Aptos" w:hAnsi="Aptos"/>
          <w:strike/>
          <w:sz w:val="22"/>
          <w:szCs w:val="22"/>
        </w:rPr>
        <w:t xml:space="preserve"> </w:t>
      </w:r>
      <w:r w:rsidRPr="004065A6">
        <w:rPr>
          <w:rFonts w:ascii="Aptos" w:hAnsi="Aptos"/>
          <w:strike/>
          <w:sz w:val="22"/>
          <w:szCs w:val="22"/>
        </w:rPr>
        <w:t>2023) highlights a decline in the overall number of formal collective disputes; however, the disputes that do occur tend to be more intense and polarised. This escalation is partly attributed to deteriorating negotiation skills and increasing mistrust between trade unions and employers. Legislative changes have also expanded employee rights, such as the right to request flexible working from the first day of employment and strengthened protections against unfair dismissal. These developments may encourage more employees to engage in collective action or pursue formal legal challenges, potentially increasing industrial action despite fewer disputes overall (</w:t>
      </w:r>
      <w:proofErr w:type="spellStart"/>
      <w:r w:rsidRPr="004065A6">
        <w:rPr>
          <w:rFonts w:ascii="Aptos" w:hAnsi="Aptos"/>
          <w:strike/>
          <w:sz w:val="22"/>
          <w:szCs w:val="22"/>
        </w:rPr>
        <w:t>Acas</w:t>
      </w:r>
      <w:proofErr w:type="spellEnd"/>
      <w:r w:rsidRPr="004065A6">
        <w:rPr>
          <w:rFonts w:ascii="Aptos" w:hAnsi="Aptos"/>
          <w:strike/>
          <w:sz w:val="22"/>
          <w:szCs w:val="22"/>
        </w:rPr>
        <w:t>, 2023).</w:t>
      </w:r>
    </w:p>
    <w:p w14:paraId="17AEB23B" w14:textId="77777777" w:rsidR="00B35A18" w:rsidRPr="004065A6" w:rsidRDefault="00B35A18" w:rsidP="00B35A18">
      <w:pPr>
        <w:rPr>
          <w:rFonts w:ascii="Aptos" w:hAnsi="Aptos"/>
          <w:strike/>
          <w:sz w:val="22"/>
          <w:szCs w:val="22"/>
        </w:rPr>
      </w:pPr>
      <w:r w:rsidRPr="004065A6">
        <w:rPr>
          <w:rFonts w:ascii="Aptos" w:hAnsi="Aptos"/>
          <w:strike/>
          <w:sz w:val="22"/>
          <w:szCs w:val="22"/>
        </w:rPr>
        <w:t>From a legal perspective, Daniels (2025) explains that industrial actions like strikes can lead to economic tort claims under common law—including inducing breach of contract, conspiracy, intimidation, and interference with business. However, trade unions benefit from legal immunity under the “golden formula” if the industrial action is taken “in contemplation or furtherance of a trade dispute” and statutory procedures such as proper balloting and notice are followed. This legal framework carefully balances workers’ rights to protest with employers’ interests in safeguarding business operations and continuity, ensuring a regulated and fair approach to industrial action.</w:t>
      </w:r>
    </w:p>
    <w:p w14:paraId="44136930" w14:textId="4331BB41" w:rsidR="007515BC" w:rsidRPr="004065A6" w:rsidRDefault="00B35A18" w:rsidP="00B35A18">
      <w:pPr>
        <w:rPr>
          <w:rFonts w:ascii="Aptos" w:hAnsi="Aptos"/>
          <w:strike/>
          <w:sz w:val="22"/>
          <w:szCs w:val="22"/>
        </w:rPr>
      </w:pPr>
      <w:r w:rsidRPr="004065A6">
        <w:rPr>
          <w:rFonts w:ascii="Aptos" w:hAnsi="Aptos"/>
          <w:strike/>
          <w:sz w:val="22"/>
          <w:szCs w:val="22"/>
        </w:rPr>
        <w:t>In conclusion, UK workplaces face evolving conflicts driven by changing work models and ideological divides. Industrial sanctions are becoming more complex due to legal reforms and shifting employee attitudes. Organisations should prioritise early conflict resolution, constructive dialogue, and legal awareness, alongside investing in leadership development and inclusive cultures, to reduce formal disputes and promote long-term organisational resilience and employee wellbeing.</w:t>
      </w:r>
    </w:p>
    <w:p w14:paraId="5526735B"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The CIPD (2024) reports that one in four UK employees experienced workplace conflict in the past year, often due to being undermined, verbal abuse, or discrimination. A growing source of conflict is hybrid and flexible working. Post-pandemic, tensions arise between employees seeking flexibility for wellbeing or caregiving and managers who prioritise physical presence for collaboration, performance, or culture (CIPD, 2024).</w:t>
      </w:r>
    </w:p>
    <w:p w14:paraId="3F245BBA"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In a newly merged public sector organisation with leaders largely new to public service, private sector expectations of office presence may clash with public sector norms that support flexibility. Without clear expectations and consultation, this risks interpersonal friction, lowered trust, and reduced cooperation.</w:t>
      </w:r>
    </w:p>
    <w:p w14:paraId="70DFB719"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Societal polarisation on sensitive issues like political views, race, and health policies increasingly spills into workplace conversations, potentially sparking disputes or exclusion if mishandled (</w:t>
      </w:r>
      <w:proofErr w:type="spellStart"/>
      <w:r w:rsidRPr="007E435A">
        <w:rPr>
          <w:rFonts w:ascii="Aptos" w:hAnsi="Aptos"/>
          <w:color w:val="EE0000"/>
          <w:sz w:val="22"/>
          <w:szCs w:val="22"/>
        </w:rPr>
        <w:t>Acas</w:t>
      </w:r>
      <w:proofErr w:type="spellEnd"/>
      <w:r w:rsidRPr="007E435A">
        <w:rPr>
          <w:rFonts w:ascii="Aptos" w:hAnsi="Aptos"/>
          <w:color w:val="EE0000"/>
          <w:sz w:val="22"/>
          <w:szCs w:val="22"/>
        </w:rPr>
        <w:t>, 2023; CIPD, 2024). For example, differing views on equality initiatives during local authority consultations have caused staff divisions. In merging different workplace cultures, failure to address these issues may fragment the workforce.</w:t>
      </w:r>
    </w:p>
    <w:p w14:paraId="518033B1"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 xml:space="preserve">Regarding industrial disputes, </w:t>
      </w:r>
      <w:proofErr w:type="spellStart"/>
      <w:r w:rsidRPr="007E435A">
        <w:rPr>
          <w:rFonts w:ascii="Aptos" w:hAnsi="Aptos"/>
          <w:color w:val="EE0000"/>
          <w:sz w:val="22"/>
          <w:szCs w:val="22"/>
        </w:rPr>
        <w:t>Acas</w:t>
      </w:r>
      <w:proofErr w:type="spellEnd"/>
      <w:r w:rsidRPr="007E435A">
        <w:rPr>
          <w:rFonts w:ascii="Aptos" w:hAnsi="Aptos"/>
          <w:color w:val="EE0000"/>
          <w:sz w:val="22"/>
          <w:szCs w:val="22"/>
        </w:rPr>
        <w:t xml:space="preserve"> (2023) notes that while formal collective disputes are declining, those occurring tend to be more polarised and intense, reflecting trust breakdowns between unions and employers. In a merged public sector context, uncertainties over pay harmonisation or restructuring can be flashpoints, especially if unions are sidelined or communication is weak.</w:t>
      </w:r>
    </w:p>
    <w:p w14:paraId="3E4BDFA6"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New legislation—such as the right to request flexible working from day one and enhanced protections against unfair dismissal—may increase employee-led actions like grievances or strikes (</w:t>
      </w:r>
      <w:proofErr w:type="spellStart"/>
      <w:r w:rsidRPr="007E435A">
        <w:rPr>
          <w:rFonts w:ascii="Aptos" w:hAnsi="Aptos"/>
          <w:color w:val="EE0000"/>
          <w:sz w:val="22"/>
          <w:szCs w:val="22"/>
        </w:rPr>
        <w:t>Acas</w:t>
      </w:r>
      <w:proofErr w:type="spellEnd"/>
      <w:r w:rsidRPr="007E435A">
        <w:rPr>
          <w:rFonts w:ascii="Aptos" w:hAnsi="Aptos"/>
          <w:color w:val="EE0000"/>
          <w:sz w:val="22"/>
          <w:szCs w:val="22"/>
        </w:rPr>
        <w:t>, 2023). HR teams must proactively manage expectations and engage meaningfully with recognised unions.</w:t>
      </w:r>
    </w:p>
    <w:p w14:paraId="7FCFAEAE" w14:textId="77777777" w:rsidR="007E435A" w:rsidRPr="007E435A" w:rsidRDefault="007E435A" w:rsidP="007E435A">
      <w:pPr>
        <w:rPr>
          <w:rFonts w:ascii="Aptos" w:hAnsi="Aptos"/>
          <w:color w:val="EE0000"/>
          <w:sz w:val="22"/>
          <w:szCs w:val="22"/>
        </w:rPr>
      </w:pPr>
      <w:r w:rsidRPr="007E435A">
        <w:rPr>
          <w:rFonts w:ascii="Aptos" w:hAnsi="Aptos"/>
          <w:color w:val="EE0000"/>
          <w:sz w:val="22"/>
          <w:szCs w:val="22"/>
        </w:rPr>
        <w:t>Legally, Daniels (2025) explains that industrial actions can trigger economic tort claims, including conspiracy or inducement of breach of contract. However, the UK’s “golden formula” grants trade unions immunity if actions are properly balloted and tied to genuine trade disputes. This balance is critical in the public sector, where essential services must continue during unrest. Leaders unfamiliar with these boundaries risk escalating tensions or legal challenges.</w:t>
      </w:r>
    </w:p>
    <w:p w14:paraId="70FB13B5" w14:textId="7EC30D50" w:rsidR="00F67D18" w:rsidRPr="001B6C7D" w:rsidRDefault="007E435A" w:rsidP="00D40ABE">
      <w:pPr>
        <w:rPr>
          <w:rFonts w:ascii="Aptos" w:hAnsi="Aptos"/>
          <w:color w:val="EE0000"/>
          <w:sz w:val="22"/>
          <w:szCs w:val="22"/>
        </w:rPr>
      </w:pPr>
      <w:r w:rsidRPr="007E435A">
        <w:rPr>
          <w:rFonts w:ascii="Aptos" w:hAnsi="Aptos"/>
          <w:color w:val="EE0000"/>
          <w:sz w:val="22"/>
          <w:szCs w:val="22"/>
        </w:rPr>
        <w:t>In summary, modern workplace conflict is shaped by changing work patterns, ideological divides, and evolving legal protections. For your merged public sector organisation, effective conflict management requires clear communication on hybrid work, early union engagement, and training for new leaders on public sector consultation norms. This approach helps prevent escalation, maintain service continuity, and protect employee trust and morale.</w:t>
      </w:r>
    </w:p>
    <w:p w14:paraId="5C487D30" w14:textId="007724E3" w:rsidR="00752D75" w:rsidRPr="00AF7E31" w:rsidRDefault="00F242AC" w:rsidP="00D40ABE">
      <w:pPr>
        <w:rPr>
          <w:rFonts w:ascii="Aptos" w:hAnsi="Aptos"/>
          <w:b/>
          <w:bCs/>
          <w:sz w:val="22"/>
          <w:szCs w:val="22"/>
        </w:rPr>
      </w:pPr>
      <w:r w:rsidRPr="00AF7E31">
        <w:rPr>
          <w:rFonts w:ascii="Aptos" w:hAnsi="Aptos"/>
          <w:b/>
          <w:bCs/>
          <w:sz w:val="22"/>
          <w:szCs w:val="22"/>
        </w:rPr>
        <w:t>(AC 2.3) - Distinguish between third-party conciliation, mediation and arbitration</w:t>
      </w:r>
      <w:r w:rsidR="00484A68" w:rsidRPr="00AF7E31">
        <w:rPr>
          <w:rFonts w:ascii="Aptos" w:hAnsi="Aptos"/>
          <w:b/>
          <w:bCs/>
          <w:sz w:val="22"/>
          <w:szCs w:val="22"/>
        </w:rPr>
        <w:t xml:space="preserve"> </w:t>
      </w:r>
    </w:p>
    <w:p w14:paraId="184F9187" w14:textId="32D28D42" w:rsidR="007C01B8" w:rsidRPr="004065A6" w:rsidRDefault="007C01B8" w:rsidP="007C01B8">
      <w:pPr>
        <w:rPr>
          <w:rFonts w:ascii="Aptos" w:hAnsi="Aptos"/>
          <w:strike/>
          <w:sz w:val="22"/>
          <w:szCs w:val="22"/>
        </w:rPr>
      </w:pPr>
      <w:r w:rsidRPr="004065A6">
        <w:rPr>
          <w:rFonts w:ascii="Aptos" w:hAnsi="Aptos"/>
          <w:strike/>
          <w:sz w:val="22"/>
          <w:szCs w:val="22"/>
        </w:rPr>
        <w:t xml:space="preserve">When workplace disputes arise, organisations often rely on third-party support to resolve issues constructively and avoid formal legal action. Conciliation is typically the first step in this process and is used in both individual and collective disputes. A conciliator works independently with both sides to encourage dialogue and rebuild trust. They may suggest practical solutions or compromises, but ultimately the decision remains with the parties involved. Conciliation is often used in situations where an employee has raised a grievance or is considering taking a case to an employment tribunal. According to </w:t>
      </w:r>
      <w:r w:rsidR="003558B6" w:rsidRPr="004065A6">
        <w:rPr>
          <w:rFonts w:ascii="Aptos" w:hAnsi="Aptos"/>
          <w:strike/>
          <w:sz w:val="22"/>
          <w:szCs w:val="22"/>
        </w:rPr>
        <w:t>(</w:t>
      </w:r>
      <w:proofErr w:type="spellStart"/>
      <w:r w:rsidRPr="004065A6">
        <w:rPr>
          <w:rFonts w:ascii="Aptos" w:hAnsi="Aptos"/>
          <w:strike/>
          <w:sz w:val="22"/>
          <w:szCs w:val="22"/>
        </w:rPr>
        <w:t>Acas</w:t>
      </w:r>
      <w:proofErr w:type="spellEnd"/>
      <w:r w:rsidR="003558B6" w:rsidRPr="004065A6">
        <w:rPr>
          <w:rFonts w:ascii="Aptos" w:hAnsi="Aptos"/>
          <w:strike/>
          <w:sz w:val="22"/>
          <w:szCs w:val="22"/>
        </w:rPr>
        <w:t>,</w:t>
      </w:r>
      <w:r w:rsidRPr="004065A6">
        <w:rPr>
          <w:rFonts w:ascii="Aptos" w:hAnsi="Aptos"/>
          <w:strike/>
          <w:sz w:val="22"/>
          <w:szCs w:val="22"/>
        </w:rPr>
        <w:t xml:space="preserve"> 2023), early conciliation is mandatory before most employment tribunal claims in the UK, offering a chance to resolve matters quickly and informally while saving time, stress, and cost.</w:t>
      </w:r>
    </w:p>
    <w:p w14:paraId="3F8E9693" w14:textId="77777777" w:rsidR="007C01B8" w:rsidRPr="004065A6" w:rsidRDefault="007C01B8" w:rsidP="007C01B8">
      <w:pPr>
        <w:rPr>
          <w:rFonts w:ascii="Aptos" w:hAnsi="Aptos"/>
          <w:strike/>
          <w:sz w:val="22"/>
          <w:szCs w:val="22"/>
        </w:rPr>
      </w:pPr>
      <w:r w:rsidRPr="004065A6">
        <w:rPr>
          <w:rFonts w:ascii="Aptos" w:hAnsi="Aptos"/>
          <w:strike/>
          <w:sz w:val="22"/>
          <w:szCs w:val="22"/>
        </w:rPr>
        <w:t>Mediation, though also informal and voluntary, takes a more facilitative approach. A trained mediator helps the parties involved explore the underlying causes of the dispute and guides them toward creating a mutually acceptable outcome. The emphasis is on collaboration rather than blame, making it particularly suitable for conflicts between colleagues, such as personality clashes, miscommunication, or tension within teams. Unlike conciliation, the mediator does not offer solutions or take sides. Mediation can be internal, using a trained workplace mediator, or external, with a neutral third party brought in. The Employment Tribunal Service (2024) notes that mediation is increasingly promoted to avoid escalation to formal proceedings and preserve working relationships, especially when ongoing cooperation between parties is important.</w:t>
      </w:r>
    </w:p>
    <w:p w14:paraId="5C335786" w14:textId="77777777" w:rsidR="007C01B8" w:rsidRPr="004065A6" w:rsidRDefault="007C01B8" w:rsidP="007C01B8">
      <w:pPr>
        <w:rPr>
          <w:rFonts w:ascii="Aptos" w:hAnsi="Aptos"/>
          <w:strike/>
          <w:sz w:val="22"/>
          <w:szCs w:val="22"/>
        </w:rPr>
      </w:pPr>
      <w:r w:rsidRPr="004065A6">
        <w:rPr>
          <w:rFonts w:ascii="Aptos" w:hAnsi="Aptos"/>
          <w:strike/>
          <w:sz w:val="22"/>
          <w:szCs w:val="22"/>
        </w:rPr>
        <w:t>In contrast, arbitration is a more formal and structured method of dispute resolution. Both parties present their arguments and evidence to a neutral arbitrator, who then makes a final decision, which is usually legally binding. Arbitration is often used in collective employment disputes, especially where trade unions are involved, and can be agreed upon as an alternative to court action. Daniels (2025) explains that arbitration provides certainty and finality, which can be essential in cases where informal methods have failed or are inappropriate.</w:t>
      </w:r>
    </w:p>
    <w:p w14:paraId="27F02BA5" w14:textId="32521475" w:rsidR="00D62CF4" w:rsidRPr="004065A6" w:rsidRDefault="007C01B8" w:rsidP="007C01B8">
      <w:pPr>
        <w:rPr>
          <w:rFonts w:ascii="Aptos" w:hAnsi="Aptos"/>
          <w:strike/>
          <w:sz w:val="22"/>
          <w:szCs w:val="22"/>
        </w:rPr>
      </w:pPr>
      <w:r w:rsidRPr="004065A6">
        <w:rPr>
          <w:rFonts w:ascii="Aptos" w:hAnsi="Aptos"/>
          <w:strike/>
          <w:sz w:val="22"/>
          <w:szCs w:val="22"/>
        </w:rPr>
        <w:t>In summary, conciliation and mediation prioritise open dialogue and mutual agreement, fostering cooperation and preserving relationships, while arbitration delivers a binding decision when other approaches are unsuitable. All three involve a neutral third party, but the key difference lies in decision-making: conciliation and mediation encourage parties to work things out together, whereas arbitration results in an external decision imposed on the parties.</w:t>
      </w:r>
    </w:p>
    <w:p w14:paraId="0F89EE0D" w14:textId="77777777" w:rsidR="00D234FF" w:rsidRPr="00D234FF" w:rsidRDefault="00D234FF" w:rsidP="00D234FF">
      <w:pPr>
        <w:rPr>
          <w:rFonts w:ascii="Aptos" w:hAnsi="Aptos"/>
          <w:color w:val="EE0000"/>
          <w:sz w:val="22"/>
          <w:szCs w:val="22"/>
        </w:rPr>
      </w:pPr>
      <w:r w:rsidRPr="00D234FF">
        <w:rPr>
          <w:rFonts w:ascii="Aptos" w:hAnsi="Aptos"/>
          <w:color w:val="EE0000"/>
          <w:sz w:val="22"/>
          <w:szCs w:val="22"/>
        </w:rPr>
        <w:t>In a merged public sector organisation with new leadership and limited employee relations experience, understanding third-party dispute resolution methods is essential for managing conflict effectively and maintaining workplace harmony.</w:t>
      </w:r>
    </w:p>
    <w:p w14:paraId="397E2917" w14:textId="77777777" w:rsidR="00D234FF" w:rsidRPr="00D234FF" w:rsidRDefault="00D234FF" w:rsidP="00D234FF">
      <w:pPr>
        <w:rPr>
          <w:rFonts w:ascii="Aptos" w:hAnsi="Aptos"/>
          <w:color w:val="EE0000"/>
          <w:sz w:val="22"/>
          <w:szCs w:val="22"/>
        </w:rPr>
      </w:pPr>
      <w:r w:rsidRPr="00D234FF">
        <w:rPr>
          <w:rFonts w:ascii="Aptos" w:hAnsi="Aptos"/>
          <w:b/>
          <w:bCs/>
          <w:color w:val="EE0000"/>
          <w:sz w:val="22"/>
          <w:szCs w:val="22"/>
        </w:rPr>
        <w:t>Conciliation</w:t>
      </w:r>
      <w:r w:rsidRPr="00D234FF">
        <w:rPr>
          <w:rFonts w:ascii="Aptos" w:hAnsi="Aptos"/>
          <w:color w:val="EE0000"/>
          <w:sz w:val="22"/>
          <w:szCs w:val="22"/>
        </w:rPr>
        <w:t xml:space="preserve"> is typically used in individual disputes, especially where an employee is considering legal action. It involves an impartial conciliator, usually from </w:t>
      </w:r>
      <w:proofErr w:type="spellStart"/>
      <w:r w:rsidRPr="00D234FF">
        <w:rPr>
          <w:rFonts w:ascii="Aptos" w:hAnsi="Aptos"/>
          <w:color w:val="EE0000"/>
          <w:sz w:val="22"/>
          <w:szCs w:val="22"/>
        </w:rPr>
        <w:t>Acas</w:t>
      </w:r>
      <w:proofErr w:type="spellEnd"/>
      <w:r w:rsidRPr="00D234FF">
        <w:rPr>
          <w:rFonts w:ascii="Aptos" w:hAnsi="Aptos"/>
          <w:color w:val="EE0000"/>
          <w:sz w:val="22"/>
          <w:szCs w:val="22"/>
        </w:rPr>
        <w:t>, who facilitates communication between the parties to explore potential resolutions. The conciliator may offer suggestions but has no power to impose a solution. In the UK, early conciliation is a mandatory step before most employment tribunal claims can proceed (</w:t>
      </w:r>
      <w:proofErr w:type="spellStart"/>
      <w:r w:rsidRPr="00D234FF">
        <w:rPr>
          <w:rFonts w:ascii="Aptos" w:hAnsi="Aptos"/>
          <w:color w:val="EE0000"/>
          <w:sz w:val="22"/>
          <w:szCs w:val="22"/>
        </w:rPr>
        <w:t>Acas</w:t>
      </w:r>
      <w:proofErr w:type="spellEnd"/>
      <w:r w:rsidRPr="00D234FF">
        <w:rPr>
          <w:rFonts w:ascii="Aptos" w:hAnsi="Aptos"/>
          <w:color w:val="EE0000"/>
          <w:sz w:val="22"/>
          <w:szCs w:val="22"/>
        </w:rPr>
        <w:t>, 2023). For example, if a public sector employee raises a grievance related to redundancy or contract changes post-merger, conciliation can help resolve the matter informally, saving the organisation time and legal costs.</w:t>
      </w:r>
    </w:p>
    <w:p w14:paraId="37FB1775" w14:textId="77777777" w:rsidR="00D234FF" w:rsidRPr="00D234FF" w:rsidRDefault="00D234FF" w:rsidP="00D234FF">
      <w:pPr>
        <w:rPr>
          <w:rFonts w:ascii="Aptos" w:hAnsi="Aptos"/>
          <w:color w:val="EE0000"/>
          <w:sz w:val="22"/>
          <w:szCs w:val="22"/>
        </w:rPr>
      </w:pPr>
      <w:r w:rsidRPr="00D234FF">
        <w:rPr>
          <w:rFonts w:ascii="Aptos" w:hAnsi="Aptos"/>
          <w:b/>
          <w:bCs/>
          <w:color w:val="EE0000"/>
          <w:sz w:val="22"/>
          <w:szCs w:val="22"/>
        </w:rPr>
        <w:t>Mediation</w:t>
      </w:r>
      <w:r w:rsidRPr="00D234FF">
        <w:rPr>
          <w:rFonts w:ascii="Aptos" w:hAnsi="Aptos"/>
          <w:color w:val="EE0000"/>
          <w:sz w:val="22"/>
          <w:szCs w:val="22"/>
        </w:rPr>
        <w:t xml:space="preserve"> is another voluntary and informal process, but with a different emphasis. A trained mediator helps parties understand each other’s perspectives and identify mutually agreeable outcomes. Unlike a conciliator, a mediator does not suggest solutions or evaluate the case. Mediation is particularly useful in addressing interpersonal conflicts, personality clashes, or team disputes, which are common during periods of organisational change. Mediation can be conducted internally by trained staff or externally by third parties. According to the Employment Tribunal Service (2024), mediation is increasingly used in the public sector to preserve working relationships and reduce formal grievances, particularly where collaboration is ongoing.</w:t>
      </w:r>
    </w:p>
    <w:p w14:paraId="36BFB939" w14:textId="77777777" w:rsidR="00D234FF" w:rsidRPr="00D234FF" w:rsidRDefault="00D234FF" w:rsidP="00D234FF">
      <w:pPr>
        <w:rPr>
          <w:rFonts w:ascii="Aptos" w:hAnsi="Aptos"/>
          <w:color w:val="EE0000"/>
          <w:sz w:val="22"/>
          <w:szCs w:val="22"/>
        </w:rPr>
      </w:pPr>
      <w:r w:rsidRPr="00D234FF">
        <w:rPr>
          <w:rFonts w:ascii="Aptos" w:hAnsi="Aptos"/>
          <w:b/>
          <w:bCs/>
          <w:color w:val="EE0000"/>
          <w:sz w:val="22"/>
          <w:szCs w:val="22"/>
        </w:rPr>
        <w:t>Arbitration</w:t>
      </w:r>
      <w:r w:rsidRPr="00D234FF">
        <w:rPr>
          <w:rFonts w:ascii="Aptos" w:hAnsi="Aptos"/>
          <w:color w:val="EE0000"/>
          <w:sz w:val="22"/>
          <w:szCs w:val="22"/>
        </w:rPr>
        <w:t>, in contrast, is a formal process where a neutral arbitrator hears both sides of a dispute and makes a binding decision. It is often used in collective disputes involving trade unions, such as disagreements over terms and conditions following a merger. Arbitration provides finality and avoids lengthy tribunal proceedings. However, it limits the parties’ control over the outcome. Daniels (2025) notes that arbitration is most appropriate when informal resolution has failed, or the dispute requires a definitive and enforceable ruling.</w:t>
      </w:r>
    </w:p>
    <w:p w14:paraId="743191C0" w14:textId="77777777" w:rsidR="00D234FF" w:rsidRPr="00D234FF" w:rsidRDefault="00D234FF" w:rsidP="00D234FF">
      <w:pPr>
        <w:rPr>
          <w:rFonts w:ascii="Aptos" w:hAnsi="Aptos"/>
          <w:color w:val="EE0000"/>
          <w:sz w:val="22"/>
          <w:szCs w:val="22"/>
        </w:rPr>
      </w:pPr>
      <w:r w:rsidRPr="00D234FF">
        <w:rPr>
          <w:rFonts w:ascii="Aptos" w:hAnsi="Aptos"/>
          <w:color w:val="EE0000"/>
          <w:sz w:val="22"/>
          <w:szCs w:val="22"/>
        </w:rPr>
        <w:t>To summarise:</w:t>
      </w:r>
    </w:p>
    <w:p w14:paraId="2CB16EFC" w14:textId="77777777" w:rsidR="00D234FF" w:rsidRPr="00D234FF" w:rsidRDefault="00D234FF" w:rsidP="00D234FF">
      <w:pPr>
        <w:numPr>
          <w:ilvl w:val="0"/>
          <w:numId w:val="3"/>
        </w:numPr>
        <w:rPr>
          <w:rFonts w:ascii="Aptos" w:hAnsi="Aptos"/>
          <w:color w:val="EE0000"/>
          <w:sz w:val="22"/>
          <w:szCs w:val="22"/>
        </w:rPr>
      </w:pPr>
      <w:r w:rsidRPr="00D234FF">
        <w:rPr>
          <w:rFonts w:ascii="Aptos" w:hAnsi="Aptos"/>
          <w:b/>
          <w:bCs/>
          <w:color w:val="EE0000"/>
          <w:sz w:val="22"/>
          <w:szCs w:val="22"/>
        </w:rPr>
        <w:t>Conciliation</w:t>
      </w:r>
      <w:r w:rsidRPr="00D234FF">
        <w:rPr>
          <w:rFonts w:ascii="Aptos" w:hAnsi="Aptos"/>
          <w:color w:val="EE0000"/>
          <w:sz w:val="22"/>
          <w:szCs w:val="22"/>
        </w:rPr>
        <w:t xml:space="preserve"> promotes resolution through suggestion and compromise, often in the context of legal claims.</w:t>
      </w:r>
    </w:p>
    <w:p w14:paraId="2DFB7351" w14:textId="77777777" w:rsidR="00D234FF" w:rsidRPr="00D234FF" w:rsidRDefault="00D234FF" w:rsidP="00D234FF">
      <w:pPr>
        <w:numPr>
          <w:ilvl w:val="0"/>
          <w:numId w:val="3"/>
        </w:numPr>
        <w:rPr>
          <w:rFonts w:ascii="Aptos" w:hAnsi="Aptos"/>
          <w:color w:val="EE0000"/>
          <w:sz w:val="22"/>
          <w:szCs w:val="22"/>
        </w:rPr>
      </w:pPr>
      <w:r w:rsidRPr="00D234FF">
        <w:rPr>
          <w:rFonts w:ascii="Aptos" w:hAnsi="Aptos"/>
          <w:b/>
          <w:bCs/>
          <w:color w:val="EE0000"/>
          <w:sz w:val="22"/>
          <w:szCs w:val="22"/>
        </w:rPr>
        <w:t>Mediation</w:t>
      </w:r>
      <w:r w:rsidRPr="00D234FF">
        <w:rPr>
          <w:rFonts w:ascii="Aptos" w:hAnsi="Aptos"/>
          <w:color w:val="EE0000"/>
          <w:sz w:val="22"/>
          <w:szCs w:val="22"/>
        </w:rPr>
        <w:t xml:space="preserve"> enables parties to reach their own solutions through dialogue and understanding.</w:t>
      </w:r>
    </w:p>
    <w:p w14:paraId="2283C5FE" w14:textId="77777777" w:rsidR="00D234FF" w:rsidRPr="00D234FF" w:rsidRDefault="00D234FF" w:rsidP="00D234FF">
      <w:pPr>
        <w:numPr>
          <w:ilvl w:val="0"/>
          <w:numId w:val="3"/>
        </w:numPr>
        <w:rPr>
          <w:rFonts w:ascii="Aptos" w:hAnsi="Aptos"/>
          <w:color w:val="EE0000"/>
          <w:sz w:val="22"/>
          <w:szCs w:val="22"/>
        </w:rPr>
      </w:pPr>
      <w:r w:rsidRPr="00D234FF">
        <w:rPr>
          <w:rFonts w:ascii="Aptos" w:hAnsi="Aptos"/>
          <w:b/>
          <w:bCs/>
          <w:color w:val="EE0000"/>
          <w:sz w:val="22"/>
          <w:szCs w:val="22"/>
        </w:rPr>
        <w:t>Arbitration</w:t>
      </w:r>
      <w:r w:rsidRPr="00D234FF">
        <w:rPr>
          <w:rFonts w:ascii="Aptos" w:hAnsi="Aptos"/>
          <w:color w:val="EE0000"/>
          <w:sz w:val="22"/>
          <w:szCs w:val="22"/>
        </w:rPr>
        <w:t xml:space="preserve"> delivers a legally binding decision imposed by a third party.</w:t>
      </w:r>
    </w:p>
    <w:p w14:paraId="6F9A5F2B" w14:textId="7961F30D" w:rsidR="009259C1" w:rsidRPr="00420F5D" w:rsidRDefault="00D234FF" w:rsidP="00F735C8">
      <w:pPr>
        <w:rPr>
          <w:rFonts w:ascii="Aptos" w:hAnsi="Aptos"/>
          <w:color w:val="EE0000"/>
          <w:sz w:val="22"/>
          <w:szCs w:val="22"/>
        </w:rPr>
      </w:pPr>
      <w:r w:rsidRPr="00D234FF">
        <w:rPr>
          <w:rFonts w:ascii="Aptos" w:hAnsi="Aptos"/>
          <w:color w:val="EE0000"/>
          <w:sz w:val="22"/>
          <w:szCs w:val="22"/>
        </w:rPr>
        <w:t>Each method has its place, and selecting the most appropriate depends on the nature of the conflict, the parties involved, and the desired outcome. In the context of your newly merged public sector organisation, building awareness and capability around these methods will support early resolution, reduce disruption, and strengthen employee relations.</w:t>
      </w:r>
    </w:p>
    <w:p w14:paraId="4AA95320" w14:textId="6E348334" w:rsidR="00F812D4" w:rsidRPr="00AF7E31" w:rsidRDefault="00306961" w:rsidP="00F735C8">
      <w:pPr>
        <w:rPr>
          <w:rFonts w:ascii="Aptos" w:hAnsi="Aptos"/>
          <w:b/>
          <w:bCs/>
          <w:sz w:val="22"/>
          <w:szCs w:val="22"/>
        </w:rPr>
      </w:pPr>
      <w:r w:rsidRPr="00AF7E31">
        <w:rPr>
          <w:rFonts w:ascii="Aptos" w:hAnsi="Aptos"/>
          <w:b/>
          <w:bCs/>
          <w:sz w:val="22"/>
          <w:szCs w:val="22"/>
        </w:rPr>
        <w:t xml:space="preserve">(AC </w:t>
      </w:r>
      <w:r w:rsidR="004A195C" w:rsidRPr="00AF7E31">
        <w:rPr>
          <w:rFonts w:ascii="Aptos" w:hAnsi="Aptos"/>
          <w:b/>
          <w:bCs/>
          <w:sz w:val="22"/>
          <w:szCs w:val="22"/>
        </w:rPr>
        <w:t>3.1</w:t>
      </w:r>
      <w:r w:rsidRPr="00AF7E31">
        <w:rPr>
          <w:rFonts w:ascii="Aptos" w:hAnsi="Aptos"/>
          <w:b/>
          <w:bCs/>
          <w:sz w:val="22"/>
          <w:szCs w:val="22"/>
        </w:rPr>
        <w:t xml:space="preserve">) - </w:t>
      </w:r>
      <w:r w:rsidR="00C0743D" w:rsidRPr="00AF7E31">
        <w:rPr>
          <w:rFonts w:ascii="Aptos" w:hAnsi="Aptos"/>
          <w:b/>
          <w:bCs/>
          <w:sz w:val="22"/>
          <w:szCs w:val="22"/>
        </w:rPr>
        <w:t>Explain the principles of legislation relating to unfair dismissal in respect of capability and misconduct issues.</w:t>
      </w:r>
    </w:p>
    <w:p w14:paraId="33682416" w14:textId="77777777" w:rsidR="00551D0E" w:rsidRPr="004065A6" w:rsidRDefault="00551D0E" w:rsidP="00551D0E">
      <w:pPr>
        <w:rPr>
          <w:rFonts w:ascii="Aptos" w:hAnsi="Aptos"/>
          <w:strike/>
          <w:sz w:val="22"/>
          <w:szCs w:val="22"/>
        </w:rPr>
      </w:pPr>
      <w:r w:rsidRPr="004065A6">
        <w:rPr>
          <w:rFonts w:ascii="Aptos" w:hAnsi="Aptos"/>
          <w:strike/>
          <w:sz w:val="22"/>
          <w:szCs w:val="22"/>
        </w:rPr>
        <w:t>In UK employment law, the principles governing unfair dismissal are primarily established under the Employment Rights Act 1996 and the Equality Act 2010. These laws require employers to have a fair reason for dismissing an employee and to follow a fair and reasonable procedure throughout the dismissal process. Two of the most frequent grounds for dismissal relate to capability—such as poor performance or prolonged sickness absence—and misconduct, which involves behaviours breaching workplace policies or standards (Waite et al., 2021). To ensure fairness, employers must act reasonably in all circumstances, considering alternatives to dismissal where appropriate, and ensuring the process respects employee rights.</w:t>
      </w:r>
    </w:p>
    <w:p w14:paraId="3D3D1F9B" w14:textId="77777777" w:rsidR="00551D0E" w:rsidRPr="004065A6" w:rsidRDefault="00551D0E" w:rsidP="00551D0E">
      <w:pPr>
        <w:rPr>
          <w:rFonts w:ascii="Aptos" w:hAnsi="Aptos"/>
          <w:strike/>
          <w:sz w:val="22"/>
          <w:szCs w:val="22"/>
        </w:rPr>
      </w:pPr>
      <w:r w:rsidRPr="004065A6">
        <w:rPr>
          <w:rFonts w:ascii="Aptos" w:hAnsi="Aptos"/>
          <w:strike/>
          <w:sz w:val="22"/>
          <w:szCs w:val="22"/>
        </w:rPr>
        <w:t>Capability dismissals occur when an employee is unable to perform their role effectively. This may be due to a lack of skills, inadequate performance, or health issues impacting their ability to work. Employers have a duty to clearly communicate job expectations and provide support, such as training or mentoring, to help the employee improve (Daniels, 2025). In cases of long-term illness, medical advice should be sought and reasonable adjustments considered to accommodate the employee’s condition. Employers must give the employee sufficient time and opportunity to meet the required standards before considering dismissal. Only after these steps, and if the employee fails to improve, should dismissal be contemplated—and even then, the process must remain fair and transparent.</w:t>
      </w:r>
    </w:p>
    <w:p w14:paraId="6CF25F50" w14:textId="77777777" w:rsidR="00551D0E" w:rsidRPr="004065A6" w:rsidRDefault="00551D0E" w:rsidP="00551D0E">
      <w:pPr>
        <w:rPr>
          <w:rFonts w:ascii="Aptos" w:hAnsi="Aptos"/>
          <w:strike/>
          <w:sz w:val="22"/>
          <w:szCs w:val="22"/>
        </w:rPr>
      </w:pPr>
      <w:r w:rsidRPr="004065A6">
        <w:rPr>
          <w:rFonts w:ascii="Aptos" w:hAnsi="Aptos"/>
          <w:strike/>
          <w:sz w:val="22"/>
          <w:szCs w:val="22"/>
        </w:rPr>
        <w:t xml:space="preserve">Misconduct dismissals concern inappropriate or unacceptable employee behaviour, ranging from minor breaches like repeated lateness to serious offences such as harassment, theft, or fraud. Before dismissing for misconduct, employers are required to conduct a full investigation, hold a disciplinary hearing, and allow the employee to respond to the accusations. The </w:t>
      </w:r>
      <w:proofErr w:type="spellStart"/>
      <w:r w:rsidRPr="004065A6">
        <w:rPr>
          <w:rFonts w:ascii="Aptos" w:hAnsi="Aptos"/>
          <w:strike/>
          <w:sz w:val="22"/>
          <w:szCs w:val="22"/>
        </w:rPr>
        <w:t>Acas</w:t>
      </w:r>
      <w:proofErr w:type="spellEnd"/>
      <w:r w:rsidRPr="004065A6">
        <w:rPr>
          <w:rFonts w:ascii="Aptos" w:hAnsi="Aptos"/>
          <w:strike/>
          <w:sz w:val="22"/>
          <w:szCs w:val="22"/>
        </w:rPr>
        <w:t xml:space="preserve"> Code of Practice (2023) provides guidance emphasizing the employee’s right to be accompanied during disciplinary meetings and to appeal decisions. Even in gross misconduct cases where immediate dismissal may be justified, employers must ensure the procedure is consistent and fair to avoid claims of unfair dismissal.</w:t>
      </w:r>
    </w:p>
    <w:p w14:paraId="293F7062" w14:textId="77777777" w:rsidR="00551D0E" w:rsidRPr="004065A6" w:rsidRDefault="00551D0E" w:rsidP="00551D0E">
      <w:pPr>
        <w:rPr>
          <w:rFonts w:ascii="Aptos" w:hAnsi="Aptos"/>
          <w:strike/>
          <w:sz w:val="22"/>
          <w:szCs w:val="22"/>
        </w:rPr>
      </w:pPr>
      <w:r w:rsidRPr="004065A6">
        <w:rPr>
          <w:rFonts w:ascii="Aptos" w:hAnsi="Aptos"/>
          <w:strike/>
          <w:sz w:val="22"/>
          <w:szCs w:val="22"/>
        </w:rPr>
        <w:t>If an employee believes their dismissal was unfair, they may bring a claim before an employment tribunal. The tribunal will examine whether the employer had a genuine and fair reason and whether proper procedures were followed. If unfair, remedies may include compensation, reinstatement, or re-engagement (Employment Tribunal Service, 2024).</w:t>
      </w:r>
    </w:p>
    <w:p w14:paraId="797F8B39" w14:textId="4E8E3DEC" w:rsidR="00D234FF" w:rsidRPr="004065A6" w:rsidRDefault="00551D0E" w:rsidP="00D234FF">
      <w:pPr>
        <w:rPr>
          <w:rFonts w:ascii="Aptos" w:hAnsi="Aptos"/>
          <w:strike/>
          <w:sz w:val="22"/>
          <w:szCs w:val="22"/>
        </w:rPr>
      </w:pPr>
      <w:r w:rsidRPr="004065A6">
        <w:rPr>
          <w:rFonts w:ascii="Aptos" w:hAnsi="Aptos"/>
          <w:strike/>
          <w:sz w:val="22"/>
          <w:szCs w:val="22"/>
        </w:rPr>
        <w:t>In conclusion, unfair dismissal law requires employers to have a fair reason, act reasonably, and follow a fair process, especially in capability and misconduct cases. Clear communication, support, and thorough investigations help protect employee rights and reduce legal risks.</w:t>
      </w:r>
    </w:p>
    <w:p w14:paraId="69D8DEA4" w14:textId="77777777" w:rsidR="000863BE" w:rsidRPr="000863BE" w:rsidRDefault="000863BE" w:rsidP="000863BE">
      <w:pPr>
        <w:rPr>
          <w:rFonts w:ascii="Aptos" w:hAnsi="Aptos"/>
          <w:color w:val="EE0000"/>
          <w:sz w:val="22"/>
          <w:szCs w:val="22"/>
        </w:rPr>
      </w:pPr>
      <w:r w:rsidRPr="000863BE">
        <w:rPr>
          <w:rFonts w:ascii="Aptos" w:hAnsi="Aptos"/>
          <w:color w:val="EE0000"/>
          <w:sz w:val="22"/>
          <w:szCs w:val="22"/>
        </w:rPr>
        <w:t>In UK employment law, the key principles relating to unfair dismissal are set out in the Employment Rights Act 1996 and further supported by the Equality Act 2010. These laws ensure that dismissals are both substantively and procedurally fair. For a dismissal to be lawful, employers must demonstrate a valid reason and follow a fair process, particularly when the dismissal is related to either capability or misconduct.</w:t>
      </w:r>
    </w:p>
    <w:p w14:paraId="3FE21AAF" w14:textId="77777777" w:rsidR="000863BE" w:rsidRPr="000863BE" w:rsidRDefault="000863BE" w:rsidP="000863BE">
      <w:pPr>
        <w:rPr>
          <w:rFonts w:ascii="Aptos" w:hAnsi="Aptos"/>
          <w:color w:val="EE0000"/>
          <w:sz w:val="22"/>
          <w:szCs w:val="22"/>
        </w:rPr>
      </w:pPr>
      <w:r w:rsidRPr="000863BE">
        <w:rPr>
          <w:rFonts w:ascii="Aptos" w:hAnsi="Aptos"/>
          <w:color w:val="EE0000"/>
          <w:sz w:val="22"/>
          <w:szCs w:val="22"/>
        </w:rPr>
        <w:t xml:space="preserve">Capability dismissals occur when an employee is unable to carry out their duties due to poor performance, lack of skills, or ill health. In such cases, employers must provide clear expectations, offer support (such as additional training or reasonable adjustments), and allow reasonable time for improvement. According to </w:t>
      </w:r>
      <w:proofErr w:type="spellStart"/>
      <w:r w:rsidRPr="000863BE">
        <w:rPr>
          <w:rFonts w:ascii="Aptos" w:hAnsi="Aptos"/>
          <w:color w:val="EE0000"/>
          <w:sz w:val="22"/>
          <w:szCs w:val="22"/>
        </w:rPr>
        <w:t>Acas</w:t>
      </w:r>
      <w:proofErr w:type="spellEnd"/>
      <w:r w:rsidRPr="000863BE">
        <w:rPr>
          <w:rFonts w:ascii="Aptos" w:hAnsi="Aptos"/>
          <w:color w:val="EE0000"/>
          <w:sz w:val="22"/>
          <w:szCs w:val="22"/>
        </w:rPr>
        <w:t xml:space="preserve"> (2023), dismissing someone without offering the opportunity to improve their performance could result in an unfair dismissal claim. In a newly merged public sector organisation, new managers unfamiliar with public sector procedures may inadvertently overlook these requirements, increasing legal risk and damaging employee trust.</w:t>
      </w:r>
    </w:p>
    <w:p w14:paraId="602694FF" w14:textId="77777777" w:rsidR="000863BE" w:rsidRPr="000863BE" w:rsidRDefault="000863BE" w:rsidP="000863BE">
      <w:pPr>
        <w:rPr>
          <w:rFonts w:ascii="Aptos" w:hAnsi="Aptos"/>
          <w:color w:val="EE0000"/>
          <w:sz w:val="22"/>
          <w:szCs w:val="22"/>
        </w:rPr>
      </w:pPr>
      <w:r w:rsidRPr="000863BE">
        <w:rPr>
          <w:rFonts w:ascii="Aptos" w:hAnsi="Aptos"/>
          <w:color w:val="EE0000"/>
          <w:sz w:val="22"/>
          <w:szCs w:val="22"/>
        </w:rPr>
        <w:t xml:space="preserve">Misconduct refers to unacceptable behaviour that breaches organisational policies or standards. This may range from minor issues like poor timekeeping to more serious offences such as bullying, harassment, or theft. Employers must follow a structured disciplinary process that includes a thorough investigation, a formal hearing, and an opportunity for the employee to respond. The </w:t>
      </w:r>
      <w:proofErr w:type="spellStart"/>
      <w:r w:rsidRPr="000863BE">
        <w:rPr>
          <w:rFonts w:ascii="Aptos" w:hAnsi="Aptos"/>
          <w:color w:val="EE0000"/>
          <w:sz w:val="22"/>
          <w:szCs w:val="22"/>
        </w:rPr>
        <w:t>Acas</w:t>
      </w:r>
      <w:proofErr w:type="spellEnd"/>
      <w:r w:rsidRPr="000863BE">
        <w:rPr>
          <w:rFonts w:ascii="Aptos" w:hAnsi="Aptos"/>
          <w:color w:val="EE0000"/>
          <w:sz w:val="22"/>
          <w:szCs w:val="22"/>
        </w:rPr>
        <w:t xml:space="preserve"> Code of Practice requires that employees are informed of the allegations, have the right to be accompanied during hearings, and are given a chance to appeal the outcome. Even in cases of gross misconduct, where dismissal without notice may be appropriate, due process must still be followed to avoid tribunal claims (</w:t>
      </w:r>
      <w:proofErr w:type="spellStart"/>
      <w:r w:rsidRPr="000863BE">
        <w:rPr>
          <w:rFonts w:ascii="Aptos" w:hAnsi="Aptos"/>
          <w:color w:val="EE0000"/>
          <w:sz w:val="22"/>
          <w:szCs w:val="22"/>
        </w:rPr>
        <w:t>Acas</w:t>
      </w:r>
      <w:proofErr w:type="spellEnd"/>
      <w:r w:rsidRPr="000863BE">
        <w:rPr>
          <w:rFonts w:ascii="Aptos" w:hAnsi="Aptos"/>
          <w:color w:val="EE0000"/>
          <w:sz w:val="22"/>
          <w:szCs w:val="22"/>
        </w:rPr>
        <w:t>, 2023).</w:t>
      </w:r>
    </w:p>
    <w:p w14:paraId="432EEA48" w14:textId="77777777" w:rsidR="000863BE" w:rsidRPr="000863BE" w:rsidRDefault="000863BE" w:rsidP="000863BE">
      <w:pPr>
        <w:rPr>
          <w:rFonts w:ascii="Aptos" w:hAnsi="Aptos"/>
          <w:color w:val="EE0000"/>
          <w:sz w:val="22"/>
          <w:szCs w:val="22"/>
        </w:rPr>
      </w:pPr>
      <w:r w:rsidRPr="000863BE">
        <w:rPr>
          <w:rFonts w:ascii="Aptos" w:hAnsi="Aptos"/>
          <w:color w:val="EE0000"/>
          <w:sz w:val="22"/>
          <w:szCs w:val="22"/>
        </w:rPr>
        <w:t>If an employee believes they have been unfairly dismissed, they may lodge a claim with an employment tribunal. The tribunal will assess both the reason for dismissal and whether the employer acted reasonably in the circumstances. Remedies include compensation, re-engagement, or reinstatement (Employment Tribunal Service, 2024).</w:t>
      </w:r>
    </w:p>
    <w:p w14:paraId="79DE985B" w14:textId="77777777" w:rsidR="000863BE" w:rsidRPr="000863BE" w:rsidRDefault="000863BE" w:rsidP="000863BE">
      <w:pPr>
        <w:rPr>
          <w:rFonts w:ascii="Aptos" w:hAnsi="Aptos"/>
          <w:color w:val="EE0000"/>
          <w:sz w:val="22"/>
          <w:szCs w:val="22"/>
        </w:rPr>
      </w:pPr>
      <w:r w:rsidRPr="000863BE">
        <w:rPr>
          <w:rFonts w:ascii="Aptos" w:hAnsi="Aptos"/>
          <w:color w:val="EE0000"/>
          <w:sz w:val="22"/>
          <w:szCs w:val="22"/>
        </w:rPr>
        <w:t>In the context of a newly merged public sector organisation with inexperienced leadership, it is critical that HR teams provide clear policies and training on handling dismissal procedures in line with legislative requirements. This ensures consistency, legal compliance, and protects the organisation from reputational and financial risks.</w:t>
      </w:r>
    </w:p>
    <w:p w14:paraId="27A2DFE9" w14:textId="4B08E315" w:rsidR="001D4EF9" w:rsidRPr="00C234F6" w:rsidRDefault="000863BE" w:rsidP="002C4141">
      <w:pPr>
        <w:rPr>
          <w:rFonts w:ascii="Aptos" w:hAnsi="Aptos"/>
          <w:color w:val="EE0000"/>
          <w:sz w:val="22"/>
          <w:szCs w:val="22"/>
        </w:rPr>
      </w:pPr>
      <w:r w:rsidRPr="000863BE">
        <w:rPr>
          <w:rFonts w:ascii="Aptos" w:hAnsi="Aptos"/>
          <w:color w:val="EE0000"/>
          <w:sz w:val="22"/>
          <w:szCs w:val="22"/>
        </w:rPr>
        <w:t>In summary, the legislation requires dismissals on grounds of capability or misconduct to be fair, reasonable, and well-documented. Employers must adopt transparent processes that respect employee rights, promote fairness, and reduce the likelihood of disputes escalating to legal claims.</w:t>
      </w:r>
    </w:p>
    <w:p w14:paraId="5EC0FBF0" w14:textId="4A011C2E" w:rsidR="002A5148" w:rsidRPr="00AF7E31" w:rsidRDefault="006117E2" w:rsidP="002C4141">
      <w:pPr>
        <w:rPr>
          <w:rFonts w:ascii="Aptos" w:hAnsi="Aptos"/>
          <w:b/>
          <w:bCs/>
          <w:sz w:val="22"/>
          <w:szCs w:val="22"/>
        </w:rPr>
      </w:pPr>
      <w:r w:rsidRPr="00AF7E31">
        <w:rPr>
          <w:rFonts w:ascii="Aptos" w:hAnsi="Aptos"/>
          <w:b/>
          <w:bCs/>
          <w:sz w:val="22"/>
          <w:szCs w:val="22"/>
        </w:rPr>
        <w:t xml:space="preserve">(AC 3.2) - </w:t>
      </w:r>
      <w:r w:rsidR="00F7731D" w:rsidRPr="00AF7E31">
        <w:rPr>
          <w:rFonts w:ascii="Aptos" w:hAnsi="Aptos"/>
          <w:b/>
          <w:bCs/>
          <w:sz w:val="22"/>
          <w:szCs w:val="22"/>
        </w:rPr>
        <w:t>Analyse three key causes of employee grievances</w:t>
      </w:r>
    </w:p>
    <w:p w14:paraId="4CD7F1C3" w14:textId="77777777" w:rsidR="003B02C7" w:rsidRPr="004065A6" w:rsidRDefault="003B02C7" w:rsidP="003B02C7">
      <w:pPr>
        <w:rPr>
          <w:rFonts w:ascii="Aptos" w:hAnsi="Aptos"/>
          <w:strike/>
          <w:sz w:val="22"/>
          <w:szCs w:val="22"/>
        </w:rPr>
      </w:pPr>
      <w:r w:rsidRPr="004065A6">
        <w:rPr>
          <w:rFonts w:ascii="Aptos" w:hAnsi="Aptos"/>
          <w:strike/>
          <w:sz w:val="22"/>
          <w:szCs w:val="22"/>
        </w:rPr>
        <w:t>Employee grievances arise when workers feel dissatisfied or unfairly treated, impacting morale and productivity. Understanding common causes enables organisations to manage and resolve disputes effectively. Three key causes are unfair treatment or discrimination, poor management or leadership, and disputes over pay or working conditions.</w:t>
      </w:r>
    </w:p>
    <w:p w14:paraId="6B2C76FC" w14:textId="670E692F" w:rsidR="00426989" w:rsidRPr="004065A6" w:rsidRDefault="00181AB2" w:rsidP="003B02C7">
      <w:pPr>
        <w:rPr>
          <w:rFonts w:ascii="Aptos" w:hAnsi="Aptos"/>
          <w:strike/>
          <w:sz w:val="22"/>
          <w:szCs w:val="22"/>
        </w:rPr>
      </w:pPr>
      <w:r w:rsidRPr="004065A6">
        <w:rPr>
          <w:rFonts w:ascii="Aptos" w:hAnsi="Aptos"/>
          <w:strike/>
          <w:sz w:val="22"/>
          <w:szCs w:val="22"/>
        </w:rPr>
        <w:t>Effective grievance handling is essential to prevent workplace disputes escalating and to protect employee wellbeing. The Equality and Human Rights Commission (EHRC, 20</w:t>
      </w:r>
      <w:r w:rsidR="00C21466" w:rsidRPr="004065A6">
        <w:rPr>
          <w:rFonts w:ascii="Aptos" w:hAnsi="Aptos"/>
          <w:strike/>
          <w:sz w:val="22"/>
          <w:szCs w:val="22"/>
        </w:rPr>
        <w:t>19</w:t>
      </w:r>
      <w:r w:rsidRPr="004065A6">
        <w:rPr>
          <w:rFonts w:ascii="Aptos" w:hAnsi="Aptos"/>
          <w:strike/>
          <w:sz w:val="22"/>
          <w:szCs w:val="22"/>
        </w:rPr>
        <w:t>) emphasises that proper grievance procedures help tackle discrimination and promote fairness, reducing legal risks. Addressing issues early builds trust and encourages employees to raise concerns without fear. Ignoring grievances can damage morale, increase absenteeism, and harm organisational reputation. Therefore, organisations must implement clear, fair grievance processes to support a respectful and inclusive workplace culture that benefits both employees and the business.</w:t>
      </w:r>
    </w:p>
    <w:p w14:paraId="6CA1588F" w14:textId="0AF16E98" w:rsidR="003B02C7" w:rsidRPr="004065A6" w:rsidRDefault="003B02C7" w:rsidP="003B02C7">
      <w:pPr>
        <w:rPr>
          <w:rFonts w:ascii="Aptos" w:hAnsi="Aptos"/>
          <w:strike/>
          <w:sz w:val="22"/>
          <w:szCs w:val="22"/>
        </w:rPr>
      </w:pPr>
      <w:r w:rsidRPr="004065A6">
        <w:rPr>
          <w:rFonts w:ascii="Aptos" w:hAnsi="Aptos"/>
          <w:strike/>
          <w:sz w:val="22"/>
          <w:szCs w:val="22"/>
        </w:rPr>
        <w:t>Secondly, poor management and leadership frequently cause grievances. This includes inconsistent policy application, lack of support, and ineffective communication. Managers set the tone for workplace culture and influence grievance handling. When managers fail to address issues transparently or show bias, grievances escalate. CIPD (2022) reports that effective line management training reduces grievances by fostering fairness and early resolution. Unite (2023) supports this, identifying poor management and inconsistent enforcement as leading triggers for grievances. Compared to discrimination, management grievances may be more common but less likely to lead to legal action if handled properly.</w:t>
      </w:r>
    </w:p>
    <w:p w14:paraId="20D71737" w14:textId="77777777" w:rsidR="003B02C7" w:rsidRPr="004065A6" w:rsidRDefault="003B02C7" w:rsidP="003B02C7">
      <w:pPr>
        <w:rPr>
          <w:rFonts w:ascii="Aptos" w:hAnsi="Aptos"/>
          <w:strike/>
          <w:sz w:val="22"/>
          <w:szCs w:val="22"/>
        </w:rPr>
      </w:pPr>
      <w:r w:rsidRPr="004065A6">
        <w:rPr>
          <w:rFonts w:ascii="Aptos" w:hAnsi="Aptos"/>
          <w:strike/>
          <w:sz w:val="22"/>
          <w:szCs w:val="22"/>
        </w:rPr>
        <w:t xml:space="preserve">Thirdly, pay and working condition disputes remain significant. Issues such as unfair pay, unclear bonus structures, and poor work environments can violate legislation like the National Minimum Wage Act 1998 and Health and Safety at Work Act 1974 (CIPD, 2023; </w:t>
      </w:r>
      <w:proofErr w:type="spellStart"/>
      <w:r w:rsidRPr="004065A6">
        <w:rPr>
          <w:rFonts w:ascii="Aptos" w:hAnsi="Aptos"/>
          <w:strike/>
          <w:sz w:val="22"/>
          <w:szCs w:val="22"/>
        </w:rPr>
        <w:t>Acas</w:t>
      </w:r>
      <w:proofErr w:type="spellEnd"/>
      <w:r w:rsidRPr="004065A6">
        <w:rPr>
          <w:rFonts w:ascii="Aptos" w:hAnsi="Aptos"/>
          <w:strike/>
          <w:sz w:val="22"/>
          <w:szCs w:val="22"/>
        </w:rPr>
        <w:t>, 2023). While these grievances may lack the emotional weight of discrimination claims, they directly affect wellbeing and retention. GMB (2023) warns that unresolved pay disputes can cause industrial action. Employers failing legal standards risk formal complaints, sanctions, and damaged employee relations (</w:t>
      </w:r>
      <w:proofErr w:type="spellStart"/>
      <w:r w:rsidRPr="004065A6">
        <w:rPr>
          <w:rFonts w:ascii="Aptos" w:hAnsi="Aptos"/>
          <w:strike/>
          <w:sz w:val="22"/>
          <w:szCs w:val="22"/>
        </w:rPr>
        <w:t>Acas</w:t>
      </w:r>
      <w:proofErr w:type="spellEnd"/>
      <w:r w:rsidRPr="004065A6">
        <w:rPr>
          <w:rFonts w:ascii="Aptos" w:hAnsi="Aptos"/>
          <w:strike/>
          <w:sz w:val="22"/>
          <w:szCs w:val="22"/>
        </w:rPr>
        <w:t>, 2023).</w:t>
      </w:r>
    </w:p>
    <w:p w14:paraId="4C504B2F" w14:textId="77777777" w:rsidR="003B02C7" w:rsidRPr="004065A6" w:rsidRDefault="003B02C7" w:rsidP="003B02C7">
      <w:pPr>
        <w:rPr>
          <w:rFonts w:ascii="Aptos" w:hAnsi="Aptos"/>
          <w:strike/>
          <w:sz w:val="22"/>
          <w:szCs w:val="22"/>
        </w:rPr>
      </w:pPr>
      <w:r w:rsidRPr="004065A6">
        <w:rPr>
          <w:rFonts w:ascii="Aptos" w:hAnsi="Aptos"/>
          <w:strike/>
          <w:sz w:val="22"/>
          <w:szCs w:val="22"/>
        </w:rPr>
        <w:t>In comparison, unfair treatment and discrimination often have severe legal consequences but may occur less frequently, while poor management issues are widespread and preventable through training and communication (CIPD, 2022). Pay disputes impact financial security and satisfaction, quickly causing dissatisfaction if unaddressed (</w:t>
      </w:r>
      <w:proofErr w:type="spellStart"/>
      <w:r w:rsidRPr="004065A6">
        <w:rPr>
          <w:rFonts w:ascii="Aptos" w:hAnsi="Aptos"/>
          <w:strike/>
          <w:sz w:val="22"/>
          <w:szCs w:val="22"/>
        </w:rPr>
        <w:t>Acas</w:t>
      </w:r>
      <w:proofErr w:type="spellEnd"/>
      <w:r w:rsidRPr="004065A6">
        <w:rPr>
          <w:rFonts w:ascii="Aptos" w:hAnsi="Aptos"/>
          <w:strike/>
          <w:sz w:val="22"/>
          <w:szCs w:val="22"/>
        </w:rPr>
        <w:t>, 2023).</w:t>
      </w:r>
    </w:p>
    <w:p w14:paraId="55E299B3" w14:textId="0AD39475" w:rsidR="005622A9" w:rsidRPr="004065A6" w:rsidRDefault="003B02C7" w:rsidP="003B02C7">
      <w:pPr>
        <w:rPr>
          <w:rFonts w:ascii="Aptos" w:hAnsi="Aptos"/>
          <w:strike/>
          <w:sz w:val="22"/>
          <w:szCs w:val="22"/>
        </w:rPr>
      </w:pPr>
      <w:r w:rsidRPr="004065A6">
        <w:rPr>
          <w:rFonts w:ascii="Aptos" w:hAnsi="Aptos"/>
          <w:strike/>
          <w:sz w:val="22"/>
          <w:szCs w:val="22"/>
        </w:rPr>
        <w:t>In summary, organisations must uphold legal anti-discrimination standards, invest in fair and consistent management practices, and ensure transparent, lawful pay and conditions to reduce grievance incidence, improve relations, and minimise legal risks (CIPD, 2023).</w:t>
      </w:r>
    </w:p>
    <w:p w14:paraId="73BF6CC8" w14:textId="77777777" w:rsidR="007B05E2" w:rsidRPr="007B05E2" w:rsidRDefault="007B05E2" w:rsidP="007B05E2">
      <w:pPr>
        <w:rPr>
          <w:rFonts w:ascii="Aptos" w:hAnsi="Aptos"/>
          <w:color w:val="EE0000"/>
          <w:sz w:val="22"/>
          <w:szCs w:val="22"/>
        </w:rPr>
      </w:pPr>
      <w:r w:rsidRPr="007B05E2">
        <w:rPr>
          <w:rFonts w:ascii="Aptos" w:hAnsi="Aptos"/>
          <w:color w:val="EE0000"/>
          <w:sz w:val="22"/>
          <w:szCs w:val="22"/>
        </w:rPr>
        <w:t>Employee grievances arise when individuals feel dissatisfied, unfairly treated, or believe their concerns are not adequately addressed. If unmanaged, grievances can cause low morale, reduced productivity, and reputational risks. In a recently merged public sector organisation with largely new leadership, identifying and addressing root causes is vital to maintaining trust and harmony amid change.</w:t>
      </w:r>
    </w:p>
    <w:p w14:paraId="11BD1744" w14:textId="77777777" w:rsidR="007B05E2" w:rsidRPr="007B05E2" w:rsidRDefault="007B05E2" w:rsidP="007B05E2">
      <w:pPr>
        <w:rPr>
          <w:rFonts w:ascii="Aptos" w:hAnsi="Aptos"/>
          <w:color w:val="EE0000"/>
          <w:sz w:val="22"/>
          <w:szCs w:val="22"/>
        </w:rPr>
      </w:pPr>
      <w:r w:rsidRPr="007B05E2">
        <w:rPr>
          <w:rFonts w:ascii="Aptos" w:hAnsi="Aptos"/>
          <w:color w:val="EE0000"/>
          <w:sz w:val="22"/>
          <w:szCs w:val="22"/>
        </w:rPr>
        <w:t>1. Unfair treatment and discrimination</w:t>
      </w:r>
      <w:r w:rsidRPr="007B05E2">
        <w:rPr>
          <w:rFonts w:ascii="Aptos" w:hAnsi="Aptos"/>
          <w:color w:val="EE0000"/>
          <w:sz w:val="22"/>
          <w:szCs w:val="22"/>
        </w:rPr>
        <w:br/>
        <w:t>A common cause of grievances is perceived or actual unfair treatment or discrimination related to protected characteristics under the Equality Act 2010, such as race, gender, age, or disability, or issues like favouritism or exclusion. The Equality and Human Rights Commission (2019) highlights that robust, transparent grievance procedures are essential for preventing discrimination and making employees feel safe to raise concerns. Failure to address grievances promptly risks legal claims, damages morale, and undermines trust—especially critical in a merged organisation shaping a new culture.</w:t>
      </w:r>
    </w:p>
    <w:p w14:paraId="1E3240AE" w14:textId="77777777" w:rsidR="007B05E2" w:rsidRPr="007B05E2" w:rsidRDefault="007B05E2" w:rsidP="007B05E2">
      <w:pPr>
        <w:rPr>
          <w:rFonts w:ascii="Aptos" w:hAnsi="Aptos"/>
          <w:color w:val="EE0000"/>
          <w:sz w:val="22"/>
          <w:szCs w:val="22"/>
        </w:rPr>
      </w:pPr>
      <w:r w:rsidRPr="007B05E2">
        <w:rPr>
          <w:rFonts w:ascii="Aptos" w:hAnsi="Aptos"/>
          <w:color w:val="EE0000"/>
          <w:sz w:val="22"/>
          <w:szCs w:val="22"/>
        </w:rPr>
        <w:t>2. Poor management and inconsistent application of procedures</w:t>
      </w:r>
      <w:r w:rsidRPr="007B05E2">
        <w:rPr>
          <w:rFonts w:ascii="Aptos" w:hAnsi="Aptos"/>
          <w:color w:val="EE0000"/>
          <w:sz w:val="22"/>
          <w:szCs w:val="22"/>
        </w:rPr>
        <w:br/>
        <w:t>Poor or inconsistent management is another leading grievance cause, including unclear communication, unequal treatment, lack of feedback, or inconsistent policy enforcement. The CIPD (2022) stresses the importance of effective line management in identifying and resolving issues early. In mergers, new or inexperienced managers may lack necessary training or understanding of existing policies, causing perceived unfairness. This risk escalates when change feels imposed without consultation or is poorly communicated, potentially triggering formal grievances.</w:t>
      </w:r>
    </w:p>
    <w:p w14:paraId="08E816CD" w14:textId="77777777" w:rsidR="007B05E2" w:rsidRPr="007B05E2" w:rsidRDefault="007B05E2" w:rsidP="007B05E2">
      <w:pPr>
        <w:rPr>
          <w:rFonts w:ascii="Aptos" w:hAnsi="Aptos"/>
          <w:color w:val="EE0000"/>
          <w:sz w:val="22"/>
          <w:szCs w:val="22"/>
        </w:rPr>
      </w:pPr>
      <w:r w:rsidRPr="007B05E2">
        <w:rPr>
          <w:rFonts w:ascii="Aptos" w:hAnsi="Aptos"/>
          <w:color w:val="EE0000"/>
          <w:sz w:val="22"/>
          <w:szCs w:val="22"/>
        </w:rPr>
        <w:t>3. Pay, working conditions, and lack of transparency</w:t>
      </w:r>
      <w:r w:rsidRPr="007B05E2">
        <w:rPr>
          <w:rFonts w:ascii="Aptos" w:hAnsi="Aptos"/>
          <w:color w:val="EE0000"/>
          <w:sz w:val="22"/>
          <w:szCs w:val="22"/>
        </w:rPr>
        <w:br/>
        <w:t>Disputes over pay, workload, or working conditions remain long-standing grievance drivers. Tight budgets and high expectations in the public sector often result in concerns about pay parity, progression, and resources. Legislation such as the National Minimum Wage Act 1998 and Health and Safety at Work Act 1974 underpin fair treatment in these areas. Perceived unfairness in pay distribution or workload, or poor handling of flexible working during mergers, can cause resentment and formal complaints, especially if employees feel excluded from decisions affecting their roles.</w:t>
      </w:r>
    </w:p>
    <w:p w14:paraId="63409568" w14:textId="0DF09AB1" w:rsidR="00760E65" w:rsidRPr="00521221" w:rsidRDefault="007B05E2" w:rsidP="002B7BB8">
      <w:pPr>
        <w:rPr>
          <w:rFonts w:ascii="Aptos" w:hAnsi="Aptos"/>
          <w:color w:val="EE0000"/>
          <w:sz w:val="22"/>
          <w:szCs w:val="22"/>
        </w:rPr>
      </w:pPr>
      <w:r w:rsidRPr="007B05E2">
        <w:rPr>
          <w:rFonts w:ascii="Aptos" w:hAnsi="Aptos"/>
          <w:color w:val="EE0000"/>
          <w:sz w:val="22"/>
          <w:szCs w:val="22"/>
        </w:rPr>
        <w:t>Conclusion</w:t>
      </w:r>
      <w:r w:rsidRPr="007B05E2">
        <w:rPr>
          <w:rFonts w:ascii="Aptos" w:hAnsi="Aptos"/>
          <w:color w:val="EE0000"/>
          <w:sz w:val="22"/>
          <w:szCs w:val="22"/>
        </w:rPr>
        <w:br/>
        <w:t>Grievances commonly stem from poor communication, unfairness, and mismanagement. In a newly merged public sector organisation, these risks intensify due to cultural integration challenges and unfamiliarity with sector norms. Leadership should prioritise management training, consistent policy application, and foster transparency and inclusion. Proactively addressing grievances supports legal compliance and builds trust and employee wellbeing during organisational change (CIPD, 2024).</w:t>
      </w:r>
    </w:p>
    <w:p w14:paraId="01B9ADD4" w14:textId="6B049C11" w:rsidR="00B43EBD" w:rsidRPr="00AF7E31" w:rsidRDefault="00B43EBD" w:rsidP="002B7BB8">
      <w:pPr>
        <w:rPr>
          <w:rFonts w:ascii="Aptos" w:hAnsi="Aptos"/>
          <w:b/>
          <w:bCs/>
          <w:sz w:val="22"/>
          <w:szCs w:val="22"/>
        </w:rPr>
      </w:pPr>
      <w:r w:rsidRPr="00AF7E31">
        <w:rPr>
          <w:rFonts w:ascii="Aptos" w:hAnsi="Aptos"/>
          <w:b/>
          <w:bCs/>
          <w:sz w:val="22"/>
          <w:szCs w:val="22"/>
        </w:rPr>
        <w:t xml:space="preserve">(AC 3.3) - </w:t>
      </w:r>
      <w:r w:rsidR="008313D3" w:rsidRPr="00AF7E31">
        <w:rPr>
          <w:rFonts w:ascii="Aptos" w:hAnsi="Aptos"/>
          <w:b/>
          <w:bCs/>
          <w:sz w:val="22"/>
          <w:szCs w:val="22"/>
        </w:rPr>
        <w:t>Advise on the importance of handling grievances effectively</w:t>
      </w:r>
    </w:p>
    <w:p w14:paraId="473D5DA6" w14:textId="77777777" w:rsidR="00F01783" w:rsidRPr="004065A6" w:rsidRDefault="00F01783" w:rsidP="00F01783">
      <w:pPr>
        <w:rPr>
          <w:rFonts w:ascii="Aptos" w:hAnsi="Aptos"/>
          <w:strike/>
          <w:sz w:val="22"/>
          <w:szCs w:val="22"/>
        </w:rPr>
      </w:pPr>
      <w:r w:rsidRPr="004065A6">
        <w:rPr>
          <w:rFonts w:ascii="Aptos" w:hAnsi="Aptos"/>
          <w:strike/>
          <w:sz w:val="22"/>
          <w:szCs w:val="22"/>
        </w:rPr>
        <w:t>Dealing with grievances properly is crucial for maintaining a positive workplace atmosphere, complying with legal requirements, and supporting employee wellbeing. When issues are addressed quickly and fairly, it prevents problems from escalating into major disputes or strikes that can damage morale, disrupt productivity, and harm organisational reputation (CIPD, 2023). Effective grievance handling also helps organisations identify and resolve underlying issues early, reducing the risk of larger conflicts (CIPD, 2023). This proactive approach protects the organisation from costly legal claims and fosters a culture where employees feel safe and encouraged to raise concerns without fear of retaliation (CIPD, 2024).</w:t>
      </w:r>
    </w:p>
    <w:p w14:paraId="183E75E2" w14:textId="77777777" w:rsidR="00F01783" w:rsidRPr="004065A6" w:rsidRDefault="00F01783" w:rsidP="00F01783">
      <w:pPr>
        <w:rPr>
          <w:rFonts w:ascii="Aptos" w:hAnsi="Aptos"/>
          <w:strike/>
          <w:sz w:val="22"/>
          <w:szCs w:val="22"/>
        </w:rPr>
      </w:pPr>
      <w:r w:rsidRPr="004065A6">
        <w:rPr>
          <w:rFonts w:ascii="Aptos" w:hAnsi="Aptos"/>
          <w:strike/>
          <w:sz w:val="22"/>
          <w:szCs w:val="22"/>
        </w:rPr>
        <w:t xml:space="preserve">From a legal perspective, failing to manage grievances appropriately can result in tribunal claims, particularly concerning discrimination or unfair dismissal. Legislation such as the Equality Act 2010 and Employment Rights Act 1996 requires employers to treat employees fairly and follow proper procedures. Both CIPD (2023) and </w:t>
      </w:r>
      <w:proofErr w:type="spellStart"/>
      <w:r w:rsidRPr="004065A6">
        <w:rPr>
          <w:rFonts w:ascii="Aptos" w:hAnsi="Aptos"/>
          <w:strike/>
          <w:sz w:val="22"/>
          <w:szCs w:val="22"/>
        </w:rPr>
        <w:t>Acas</w:t>
      </w:r>
      <w:proofErr w:type="spellEnd"/>
      <w:r w:rsidRPr="004065A6">
        <w:rPr>
          <w:rFonts w:ascii="Aptos" w:hAnsi="Aptos"/>
          <w:strike/>
          <w:sz w:val="22"/>
          <w:szCs w:val="22"/>
        </w:rPr>
        <w:t xml:space="preserve"> (2023) emphasise that early resolution is essential to avoid expensive legal consequences and to ensure compliance with the law. Additionally, organisations that do not handle grievances effectively may face reputational damage and difficulty attracting or retaining talent (CIPD, 2022).</w:t>
      </w:r>
    </w:p>
    <w:p w14:paraId="2F3D2B01" w14:textId="77777777" w:rsidR="00F01783" w:rsidRPr="004065A6" w:rsidRDefault="00F01783" w:rsidP="00F01783">
      <w:pPr>
        <w:rPr>
          <w:rFonts w:ascii="Aptos" w:hAnsi="Aptos"/>
          <w:strike/>
          <w:sz w:val="22"/>
          <w:szCs w:val="22"/>
        </w:rPr>
      </w:pPr>
      <w:r w:rsidRPr="004065A6">
        <w:rPr>
          <w:rFonts w:ascii="Aptos" w:hAnsi="Aptos"/>
          <w:strike/>
          <w:sz w:val="22"/>
          <w:szCs w:val="22"/>
        </w:rPr>
        <w:t>Addressing grievances effectively also tackles common causes such as poor management, pay disputes, or perceived unfair treatment. Strong leadership, clear communication, and training managers in grievance handling help prevent complaints from escalating (CIPD, 2022). Additionally, promoting open dialogue and mediation supports resolving misunderstandings before they intensify (</w:t>
      </w:r>
      <w:proofErr w:type="spellStart"/>
      <w:r w:rsidRPr="004065A6">
        <w:rPr>
          <w:rFonts w:ascii="Aptos" w:hAnsi="Aptos"/>
          <w:strike/>
          <w:sz w:val="22"/>
          <w:szCs w:val="22"/>
        </w:rPr>
        <w:t>Acas</w:t>
      </w:r>
      <w:proofErr w:type="spellEnd"/>
      <w:r w:rsidRPr="004065A6">
        <w:rPr>
          <w:rFonts w:ascii="Aptos" w:hAnsi="Aptos"/>
          <w:strike/>
          <w:sz w:val="22"/>
          <w:szCs w:val="22"/>
        </w:rPr>
        <w:t>, 2023). Creating a transparent grievance process builds trust in management and encourages employees to come forward with issues promptly (CIPD, 2024).</w:t>
      </w:r>
    </w:p>
    <w:p w14:paraId="58A79F47" w14:textId="77777777" w:rsidR="00F01783" w:rsidRPr="004065A6" w:rsidRDefault="00F01783" w:rsidP="00F01783">
      <w:pPr>
        <w:rPr>
          <w:rFonts w:ascii="Aptos" w:hAnsi="Aptos"/>
          <w:strike/>
          <w:sz w:val="22"/>
          <w:szCs w:val="22"/>
        </w:rPr>
      </w:pPr>
      <w:r w:rsidRPr="004065A6">
        <w:rPr>
          <w:rFonts w:ascii="Aptos" w:hAnsi="Aptos"/>
          <w:strike/>
          <w:sz w:val="22"/>
          <w:szCs w:val="22"/>
        </w:rPr>
        <w:t>Proper grievance handling makes employees feel valued and heard, boosting trust, morale, and overall productivity. Ignoring problems can lead to stress, absenteeism, decreased engagement, and a toxic work environment that negatively impacts the entire organisation (CIPD, 2024). This can result in higher turnover and increased recruitment and training costs (CIPD, 2020).</w:t>
      </w:r>
    </w:p>
    <w:p w14:paraId="31963F6F" w14:textId="77777777" w:rsidR="00F01783" w:rsidRPr="004065A6" w:rsidRDefault="00F01783" w:rsidP="00F01783">
      <w:pPr>
        <w:rPr>
          <w:rFonts w:ascii="Aptos" w:hAnsi="Aptos"/>
          <w:strike/>
          <w:sz w:val="22"/>
          <w:szCs w:val="22"/>
        </w:rPr>
      </w:pPr>
      <w:r w:rsidRPr="004065A6">
        <w:rPr>
          <w:rFonts w:ascii="Aptos" w:hAnsi="Aptos"/>
          <w:strike/>
          <w:sz w:val="22"/>
          <w:szCs w:val="22"/>
        </w:rPr>
        <w:t>Finally, effective grievance management aligns with broader HR goals to foster a respectful and inclusive workplace. It strengthens organisational resilience by addressing issues early, reducing strikes or formal actions, and balancing employee rights with business needs (</w:t>
      </w:r>
      <w:proofErr w:type="spellStart"/>
      <w:r w:rsidRPr="004065A6">
        <w:rPr>
          <w:rFonts w:ascii="Aptos" w:hAnsi="Aptos"/>
          <w:strike/>
          <w:sz w:val="22"/>
          <w:szCs w:val="22"/>
        </w:rPr>
        <w:t>Acas</w:t>
      </w:r>
      <w:proofErr w:type="spellEnd"/>
      <w:r w:rsidRPr="004065A6">
        <w:rPr>
          <w:rFonts w:ascii="Aptos" w:hAnsi="Aptos"/>
          <w:strike/>
          <w:sz w:val="22"/>
          <w:szCs w:val="22"/>
        </w:rPr>
        <w:t>, 2023; CIPD, 2024). When employees know their concerns are taken seriously, they are more motivated and engaged, contributing to a more positive and respectful workplace culture (CIPD, 2020).</w:t>
      </w:r>
    </w:p>
    <w:p w14:paraId="1EEB4195" w14:textId="2AF362B5" w:rsidR="00AF50D2" w:rsidRPr="004065A6" w:rsidRDefault="00F01783" w:rsidP="00F01783">
      <w:pPr>
        <w:rPr>
          <w:rFonts w:ascii="Aptos" w:hAnsi="Aptos"/>
          <w:strike/>
          <w:sz w:val="22"/>
          <w:szCs w:val="22"/>
        </w:rPr>
      </w:pPr>
      <w:r w:rsidRPr="004065A6">
        <w:rPr>
          <w:rFonts w:ascii="Aptos" w:hAnsi="Aptos"/>
          <w:strike/>
          <w:sz w:val="22"/>
          <w:szCs w:val="22"/>
        </w:rPr>
        <w:t>In conclusion, handling grievances effectively is essential not only for legal compliance but also for creating a productive, respectful environment where conflicts are resolved before they escalate, ultimately supporting long-term organisational success.</w:t>
      </w:r>
    </w:p>
    <w:p w14:paraId="0E1F685F" w14:textId="77777777" w:rsidR="00CB56C4" w:rsidRPr="00CB56C4" w:rsidRDefault="00CB56C4" w:rsidP="00CB56C4">
      <w:pPr>
        <w:rPr>
          <w:rFonts w:ascii="Aptos" w:hAnsi="Aptos"/>
          <w:color w:val="EE0000"/>
          <w:sz w:val="22"/>
          <w:szCs w:val="22"/>
        </w:rPr>
      </w:pPr>
      <w:r w:rsidRPr="00CB56C4">
        <w:rPr>
          <w:rFonts w:ascii="Aptos" w:hAnsi="Aptos"/>
          <w:color w:val="EE0000"/>
          <w:sz w:val="22"/>
          <w:szCs w:val="22"/>
        </w:rPr>
        <w:t>Handling grievances effectively is crucial for maintaining a positive workplace environment, ensuring legal compliance, and supporting overall employee wellbeing. When organisations address concerns promptly and fairly, they prevent minor issues from escalating into major disputes or industrial action, which can damage morale, disrupt productivity, and harm the organisation’s reputation (CIPD, 2023). Early intervention enables employers to identify and resolve underlying problems before they worsen, reducing the risk of wider conflicts (CIPD, 2023). This proactive approach also safeguards the organisation from costly legal claims and fosters a culture where employees feel safe to raise concerns without fear of retaliation (CIPD, 2024).</w:t>
      </w:r>
    </w:p>
    <w:p w14:paraId="65F3ADF2" w14:textId="77777777" w:rsidR="00CB56C4" w:rsidRPr="00CB56C4" w:rsidRDefault="00CB56C4" w:rsidP="00CB56C4">
      <w:pPr>
        <w:rPr>
          <w:rFonts w:ascii="Aptos" w:hAnsi="Aptos"/>
          <w:color w:val="EE0000"/>
          <w:sz w:val="22"/>
          <w:szCs w:val="22"/>
        </w:rPr>
      </w:pPr>
      <w:r w:rsidRPr="00CB56C4">
        <w:rPr>
          <w:rFonts w:ascii="Aptos" w:hAnsi="Aptos"/>
          <w:color w:val="EE0000"/>
          <w:sz w:val="22"/>
          <w:szCs w:val="22"/>
        </w:rPr>
        <w:t xml:space="preserve">From a legal perspective, failure to handle grievances appropriately can lead to employment tribunal claims, especially concerning discrimination or unfair dismissal. Legislation such as the Equality Act 2010 and the Employment Rights Act 1996 requires employers to treat employees fairly and adhere to fair procedures throughout grievance processes. Both CIPD (2023) and </w:t>
      </w:r>
      <w:proofErr w:type="spellStart"/>
      <w:r w:rsidRPr="00CB56C4">
        <w:rPr>
          <w:rFonts w:ascii="Aptos" w:hAnsi="Aptos"/>
          <w:color w:val="EE0000"/>
          <w:sz w:val="22"/>
          <w:szCs w:val="22"/>
        </w:rPr>
        <w:t>Acas</w:t>
      </w:r>
      <w:proofErr w:type="spellEnd"/>
      <w:r w:rsidRPr="00CB56C4">
        <w:rPr>
          <w:rFonts w:ascii="Aptos" w:hAnsi="Aptos"/>
          <w:color w:val="EE0000"/>
          <w:sz w:val="22"/>
          <w:szCs w:val="22"/>
        </w:rPr>
        <w:t xml:space="preserve"> (2023) emphasise that early resolution is essential to avoid expensive legal consequences and ensure compliance. Neglecting grievance management risks reputational damage and can hinder talent attraction and retention (CIPD, 2022).</w:t>
      </w:r>
    </w:p>
    <w:p w14:paraId="506507E9" w14:textId="77777777" w:rsidR="00CB56C4" w:rsidRPr="00CB56C4" w:rsidRDefault="00CB56C4" w:rsidP="00CB56C4">
      <w:pPr>
        <w:rPr>
          <w:rFonts w:ascii="Aptos" w:hAnsi="Aptos"/>
          <w:color w:val="EE0000"/>
          <w:sz w:val="22"/>
          <w:szCs w:val="22"/>
        </w:rPr>
      </w:pPr>
      <w:r w:rsidRPr="00CB56C4">
        <w:rPr>
          <w:rFonts w:ascii="Aptos" w:hAnsi="Aptos"/>
          <w:color w:val="EE0000"/>
          <w:sz w:val="22"/>
          <w:szCs w:val="22"/>
        </w:rPr>
        <w:t>Effective grievance handling also addresses common sources of dissatisfaction, such as poor management, pay disputes, and perceptions of unfair treatment. Strong leadership, clear communication, and training managers in grievance procedures are critical in preventing complaints from escalating (CIPD, 2022). Encouraging open dialogue and employing mediation techniques can resolve misunderstandings before they intensify (</w:t>
      </w:r>
      <w:proofErr w:type="spellStart"/>
      <w:r w:rsidRPr="00CB56C4">
        <w:rPr>
          <w:rFonts w:ascii="Aptos" w:hAnsi="Aptos"/>
          <w:color w:val="EE0000"/>
          <w:sz w:val="22"/>
          <w:szCs w:val="22"/>
        </w:rPr>
        <w:t>Acas</w:t>
      </w:r>
      <w:proofErr w:type="spellEnd"/>
      <w:r w:rsidRPr="00CB56C4">
        <w:rPr>
          <w:rFonts w:ascii="Aptos" w:hAnsi="Aptos"/>
          <w:color w:val="EE0000"/>
          <w:sz w:val="22"/>
          <w:szCs w:val="22"/>
        </w:rPr>
        <w:t>, 2023). A transparent grievance process builds trust in management and encourages employees to voice concerns early, fostering a more engaged workforce (CIPD, 2024).</w:t>
      </w:r>
    </w:p>
    <w:p w14:paraId="4EED5E2B" w14:textId="77777777" w:rsidR="00CB56C4" w:rsidRPr="00CB56C4" w:rsidRDefault="00CB56C4" w:rsidP="00CB56C4">
      <w:pPr>
        <w:rPr>
          <w:rFonts w:ascii="Aptos" w:hAnsi="Aptos"/>
          <w:color w:val="EE0000"/>
          <w:sz w:val="22"/>
          <w:szCs w:val="22"/>
        </w:rPr>
      </w:pPr>
      <w:r w:rsidRPr="00CB56C4">
        <w:rPr>
          <w:rFonts w:ascii="Aptos" w:hAnsi="Aptos"/>
          <w:color w:val="EE0000"/>
          <w:sz w:val="22"/>
          <w:szCs w:val="22"/>
        </w:rPr>
        <w:t>Properly managed grievances make employees feel valued and heard, which increases trust, morale, and productivity. Ignoring grievances can lead to higher stress levels, absenteeism, disengagement, and a toxic workplace culture, negatively affecting overall organisational performance (CIPD, 2024). This often results in increased turnover and additional recruitment and training costs (CIPD, 2020).</w:t>
      </w:r>
    </w:p>
    <w:p w14:paraId="03428060" w14:textId="77777777" w:rsidR="00CB56C4" w:rsidRPr="00CB56C4" w:rsidRDefault="00CB56C4" w:rsidP="00CB56C4">
      <w:pPr>
        <w:rPr>
          <w:rFonts w:ascii="Aptos" w:hAnsi="Aptos"/>
          <w:color w:val="EE0000"/>
          <w:sz w:val="22"/>
          <w:szCs w:val="22"/>
        </w:rPr>
      </w:pPr>
      <w:r w:rsidRPr="00CB56C4">
        <w:rPr>
          <w:rFonts w:ascii="Aptos" w:hAnsi="Aptos"/>
          <w:color w:val="EE0000"/>
          <w:sz w:val="22"/>
          <w:szCs w:val="22"/>
        </w:rPr>
        <w:t>Finally, effective grievance management supports broader HR goals to create a respectful and inclusive workplace. It enhances organisational resilience by resolving issues early, reducing the likelihood of strikes or formal disputes, and balancing employee rights with business needs (</w:t>
      </w:r>
      <w:proofErr w:type="spellStart"/>
      <w:r w:rsidRPr="00CB56C4">
        <w:rPr>
          <w:rFonts w:ascii="Aptos" w:hAnsi="Aptos"/>
          <w:color w:val="EE0000"/>
          <w:sz w:val="22"/>
          <w:szCs w:val="22"/>
        </w:rPr>
        <w:t>Acas</w:t>
      </w:r>
      <w:proofErr w:type="spellEnd"/>
      <w:r w:rsidRPr="00CB56C4">
        <w:rPr>
          <w:rFonts w:ascii="Aptos" w:hAnsi="Aptos"/>
          <w:color w:val="EE0000"/>
          <w:sz w:val="22"/>
          <w:szCs w:val="22"/>
        </w:rPr>
        <w:t>, 2023; CIPD, 2024). When employees know their concerns are taken seriously, they are more motivated and engaged, contributing to a positive culture that underpins long-term organisational success (CIPD, 2020).</w:t>
      </w:r>
    </w:p>
    <w:p w14:paraId="3C9774A3" w14:textId="1E3986AC" w:rsidR="00AF50D2" w:rsidRPr="004065A6" w:rsidRDefault="00CB56C4" w:rsidP="00F01783">
      <w:pPr>
        <w:rPr>
          <w:rFonts w:ascii="Aptos" w:hAnsi="Aptos"/>
          <w:color w:val="EE0000"/>
          <w:sz w:val="22"/>
          <w:szCs w:val="22"/>
        </w:rPr>
      </w:pPr>
      <w:r w:rsidRPr="00CB56C4">
        <w:rPr>
          <w:rFonts w:ascii="Aptos" w:hAnsi="Aptos"/>
          <w:color w:val="EE0000"/>
          <w:sz w:val="22"/>
          <w:szCs w:val="22"/>
        </w:rPr>
        <w:t>In conclusion, handling grievances effectively is essential not only for legal compliance but also for fostering a productive, respectful, and stable working environment where conflicts are resolved before escalation, supporting both organisational stability and employee wellbeing.</w:t>
      </w:r>
    </w:p>
    <w:p w14:paraId="6D58F351" w14:textId="77777777" w:rsidR="0092554E" w:rsidRPr="00AF7E31" w:rsidRDefault="0092554E" w:rsidP="000528EA">
      <w:pPr>
        <w:rPr>
          <w:rFonts w:ascii="Aptos" w:hAnsi="Aptos"/>
          <w:sz w:val="22"/>
          <w:szCs w:val="22"/>
        </w:rPr>
      </w:pPr>
    </w:p>
    <w:p w14:paraId="34ECB0B9" w14:textId="77777777" w:rsidR="00B929C5" w:rsidRDefault="00B929C5" w:rsidP="00B929C5">
      <w:pPr>
        <w:rPr>
          <w:rFonts w:ascii="Aptos" w:hAnsi="Aptos"/>
          <w:b/>
          <w:bCs/>
          <w:sz w:val="22"/>
          <w:szCs w:val="22"/>
        </w:rPr>
      </w:pPr>
      <w:r w:rsidRPr="00B929C5">
        <w:rPr>
          <w:rFonts w:ascii="Aptos" w:hAnsi="Aptos"/>
          <w:b/>
          <w:bCs/>
          <w:sz w:val="22"/>
          <w:szCs w:val="22"/>
        </w:rPr>
        <w:t>References</w:t>
      </w:r>
    </w:p>
    <w:p w14:paraId="6342458B" w14:textId="77777777" w:rsidR="0057444B" w:rsidRDefault="0057444B" w:rsidP="00B929C5">
      <w:pPr>
        <w:rPr>
          <w:rFonts w:ascii="Aptos" w:hAnsi="Aptos"/>
          <w:b/>
          <w:bCs/>
          <w:sz w:val="22"/>
          <w:szCs w:val="22"/>
        </w:rPr>
      </w:pPr>
    </w:p>
    <w:p w14:paraId="31854775"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(n.d.) </w:t>
      </w:r>
      <w:r w:rsidRPr="0057444B">
        <w:rPr>
          <w:rFonts w:ascii="Aptos" w:hAnsi="Aptos"/>
          <w:i/>
          <w:iCs/>
          <w:sz w:val="22"/>
          <w:szCs w:val="22"/>
        </w:rPr>
        <w:t>Making working life better for everyone in Britain</w:t>
      </w:r>
      <w:r w:rsidRPr="0057444B">
        <w:rPr>
          <w:rFonts w:ascii="Aptos" w:hAnsi="Aptos"/>
          <w:sz w:val="22"/>
          <w:szCs w:val="22"/>
        </w:rPr>
        <w:t xml:space="preserve">. Available at: </w:t>
      </w:r>
      <w:hyperlink r:id="rId5" w:tgtFrame="_new" w:history="1">
        <w:r w:rsidRPr="0057444B">
          <w:rPr>
            <w:rStyle w:val="Hyperlink"/>
            <w:rFonts w:ascii="Aptos" w:hAnsi="Aptos"/>
            <w:sz w:val="22"/>
            <w:szCs w:val="22"/>
          </w:rPr>
          <w:t>https://www.acas.org.uk</w:t>
        </w:r>
      </w:hyperlink>
      <w:r w:rsidRPr="0057444B">
        <w:rPr>
          <w:rFonts w:ascii="Aptos" w:hAnsi="Aptos"/>
          <w:sz w:val="22"/>
          <w:szCs w:val="22"/>
        </w:rPr>
        <w:t xml:space="preserve"> (Accessed: 21 July 2025).</w:t>
      </w:r>
    </w:p>
    <w:p w14:paraId="611327B9"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(2021) </w:t>
      </w:r>
      <w:r w:rsidRPr="0057444B">
        <w:rPr>
          <w:rFonts w:ascii="Aptos" w:hAnsi="Aptos"/>
          <w:i/>
          <w:iCs/>
          <w:sz w:val="22"/>
          <w:szCs w:val="22"/>
        </w:rPr>
        <w:t>Employee representation and consultation</w:t>
      </w:r>
      <w:r w:rsidRPr="0057444B">
        <w:rPr>
          <w:rFonts w:ascii="Aptos" w:hAnsi="Aptos"/>
          <w:sz w:val="22"/>
          <w:szCs w:val="22"/>
        </w:rPr>
        <w:t xml:space="preserve">. Available at: </w:t>
      </w:r>
      <w:hyperlink r:id="rId6" w:tgtFrame="_new" w:history="1">
        <w:r w:rsidRPr="0057444B">
          <w:rPr>
            <w:rStyle w:val="Hyperlink"/>
            <w:rFonts w:ascii="Aptos" w:hAnsi="Aptos"/>
            <w:sz w:val="22"/>
            <w:szCs w:val="22"/>
          </w:rPr>
          <w:t>https://www.acas.org.uk/employee-representation-and-consultation</w:t>
        </w:r>
      </w:hyperlink>
      <w:r w:rsidRPr="0057444B">
        <w:rPr>
          <w:rFonts w:ascii="Aptos" w:hAnsi="Aptos"/>
          <w:sz w:val="22"/>
          <w:szCs w:val="22"/>
        </w:rPr>
        <w:t xml:space="preserve"> (Accessed: 21 July 2025).</w:t>
      </w:r>
    </w:p>
    <w:p w14:paraId="36E7C457"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(2021) </w:t>
      </w:r>
      <w:r w:rsidRPr="0057444B">
        <w:rPr>
          <w:rFonts w:ascii="Aptos" w:hAnsi="Aptos"/>
          <w:i/>
          <w:iCs/>
          <w:sz w:val="22"/>
          <w:szCs w:val="22"/>
        </w:rPr>
        <w:t>Employee voice and representation</w:t>
      </w:r>
      <w:r w:rsidRPr="0057444B">
        <w:rPr>
          <w:rFonts w:ascii="Aptos" w:hAnsi="Aptos"/>
          <w:sz w:val="22"/>
          <w:szCs w:val="22"/>
        </w:rPr>
        <w:t xml:space="preserve">. Available at: </w:t>
      </w:r>
      <w:hyperlink r:id="rId7" w:tgtFrame="_new" w:history="1">
        <w:r w:rsidRPr="0057444B">
          <w:rPr>
            <w:rStyle w:val="Hyperlink"/>
            <w:rFonts w:ascii="Aptos" w:hAnsi="Aptos"/>
            <w:sz w:val="22"/>
            <w:szCs w:val="22"/>
          </w:rPr>
          <w:t>https://www.acas.org.uk/employee-voice-and-representation</w:t>
        </w:r>
      </w:hyperlink>
      <w:r w:rsidRPr="0057444B">
        <w:rPr>
          <w:rFonts w:ascii="Aptos" w:hAnsi="Aptos"/>
          <w:sz w:val="22"/>
          <w:szCs w:val="22"/>
        </w:rPr>
        <w:t xml:space="preserve"> (Accessed: 4 September 2025).</w:t>
      </w:r>
    </w:p>
    <w:p w14:paraId="7464192A"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Code of Practice on Disciplinary and Grievance Procedures</w:t>
      </w:r>
      <w:r w:rsidRPr="0057444B">
        <w:rPr>
          <w:rFonts w:ascii="Aptos" w:hAnsi="Aptos"/>
          <w:sz w:val="22"/>
          <w:szCs w:val="22"/>
        </w:rPr>
        <w:t xml:space="preserve">. Available at: </w:t>
      </w:r>
      <w:hyperlink r:id="rId8" w:tgtFrame="_new" w:history="1">
        <w:r w:rsidRPr="0057444B">
          <w:rPr>
            <w:rStyle w:val="Hyperlink"/>
            <w:rFonts w:ascii="Aptos" w:hAnsi="Aptos"/>
            <w:sz w:val="22"/>
            <w:szCs w:val="22"/>
          </w:rPr>
          <w:t>https://www.acas.org.uk/disciplinary-and-grievance-procedures-code-of-practice</w:t>
        </w:r>
      </w:hyperlink>
      <w:r w:rsidRPr="0057444B">
        <w:rPr>
          <w:rFonts w:ascii="Aptos" w:hAnsi="Aptos"/>
          <w:sz w:val="22"/>
          <w:szCs w:val="22"/>
        </w:rPr>
        <w:t xml:space="preserve"> (Accessed: 24 July 2025).</w:t>
      </w:r>
    </w:p>
    <w:p w14:paraId="3F265F1D"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Handling grievances at work</w:t>
      </w:r>
      <w:r w:rsidRPr="0057444B">
        <w:rPr>
          <w:rFonts w:ascii="Aptos" w:hAnsi="Aptos"/>
          <w:sz w:val="22"/>
          <w:szCs w:val="22"/>
        </w:rPr>
        <w:t xml:space="preserve">. Available at: </w:t>
      </w:r>
      <w:hyperlink r:id="rId9" w:tgtFrame="_new" w:history="1">
        <w:r w:rsidRPr="0057444B">
          <w:rPr>
            <w:rStyle w:val="Hyperlink"/>
            <w:rFonts w:ascii="Aptos" w:hAnsi="Aptos"/>
            <w:sz w:val="22"/>
            <w:szCs w:val="22"/>
          </w:rPr>
          <w:t>https://www.acas.org.uk/handling-grievances-at-work</w:t>
        </w:r>
      </w:hyperlink>
      <w:r w:rsidRPr="0057444B">
        <w:rPr>
          <w:rFonts w:ascii="Aptos" w:hAnsi="Aptos"/>
          <w:sz w:val="22"/>
          <w:szCs w:val="22"/>
        </w:rPr>
        <w:t xml:space="preserve"> (Accessed: 4 September 2025).</w:t>
      </w:r>
    </w:p>
    <w:p w14:paraId="3E1BA2F1"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Handling workplace grievances</w:t>
      </w:r>
      <w:r w:rsidRPr="0057444B">
        <w:rPr>
          <w:rFonts w:ascii="Aptos" w:hAnsi="Aptos"/>
          <w:sz w:val="22"/>
          <w:szCs w:val="22"/>
        </w:rPr>
        <w:t xml:space="preserve">. Available at: </w:t>
      </w:r>
      <w:hyperlink r:id="rId10" w:tgtFrame="_new" w:history="1">
        <w:r w:rsidRPr="0057444B">
          <w:rPr>
            <w:rStyle w:val="Hyperlink"/>
            <w:rFonts w:ascii="Aptos" w:hAnsi="Aptos"/>
            <w:sz w:val="22"/>
            <w:szCs w:val="22"/>
          </w:rPr>
          <w:t>https://www.acas.org.uk/handling-workplace-grievances</w:t>
        </w:r>
      </w:hyperlink>
      <w:r w:rsidRPr="0057444B">
        <w:rPr>
          <w:rFonts w:ascii="Aptos" w:hAnsi="Aptos"/>
          <w:sz w:val="22"/>
          <w:szCs w:val="22"/>
        </w:rPr>
        <w:t xml:space="preserve"> (Accessed: 24 July 2025).</w:t>
      </w:r>
    </w:p>
    <w:p w14:paraId="4546D55C"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Industrial disputes becoming more polarised</w:t>
      </w:r>
      <w:r w:rsidRPr="0057444B">
        <w:rPr>
          <w:rFonts w:ascii="Aptos" w:hAnsi="Aptos"/>
          <w:sz w:val="22"/>
          <w:szCs w:val="22"/>
        </w:rPr>
        <w:t xml:space="preserve">. Available at: </w:t>
      </w:r>
      <w:hyperlink r:id="rId11" w:tgtFrame="_new" w:history="1">
        <w:r w:rsidRPr="0057444B">
          <w:rPr>
            <w:rStyle w:val="Hyperlink"/>
            <w:rFonts w:ascii="Aptos" w:hAnsi="Aptos"/>
            <w:sz w:val="22"/>
            <w:szCs w:val="22"/>
          </w:rPr>
          <w:t>https://www.acas.org.uk/industrial-disputes-becoming-more-polarised</w:t>
        </w:r>
      </w:hyperlink>
      <w:r w:rsidRPr="0057444B">
        <w:rPr>
          <w:rFonts w:ascii="Aptos" w:hAnsi="Aptos"/>
          <w:sz w:val="22"/>
          <w:szCs w:val="22"/>
        </w:rPr>
        <w:t xml:space="preserve"> (Accessed: 24 July 2025).</w:t>
      </w:r>
    </w:p>
    <w:p w14:paraId="49741425"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Managing workplace conflict and grievances</w:t>
      </w:r>
      <w:r w:rsidRPr="0057444B">
        <w:rPr>
          <w:rFonts w:ascii="Aptos" w:hAnsi="Aptos"/>
          <w:sz w:val="22"/>
          <w:szCs w:val="22"/>
        </w:rPr>
        <w:t xml:space="preserve">. Available at: </w:t>
      </w:r>
      <w:hyperlink r:id="rId12" w:tgtFrame="_new" w:history="1">
        <w:r w:rsidRPr="0057444B">
          <w:rPr>
            <w:rStyle w:val="Hyperlink"/>
            <w:rFonts w:ascii="Aptos" w:hAnsi="Aptos"/>
            <w:sz w:val="22"/>
            <w:szCs w:val="22"/>
          </w:rPr>
          <w:t>https://www.acas.org.uk</w:t>
        </w:r>
      </w:hyperlink>
      <w:r w:rsidRPr="0057444B">
        <w:rPr>
          <w:rFonts w:ascii="Aptos" w:hAnsi="Aptos"/>
          <w:sz w:val="22"/>
          <w:szCs w:val="22"/>
        </w:rPr>
        <w:t xml:space="preserve"> (Accessed: 25 July 2025).</w:t>
      </w:r>
    </w:p>
    <w:p w14:paraId="0535B499" w14:textId="77777777" w:rsidR="0057444B" w:rsidRPr="0057444B" w:rsidRDefault="0057444B" w:rsidP="0057444B">
      <w:pPr>
        <w:rPr>
          <w:rFonts w:ascii="Aptos" w:hAnsi="Aptos"/>
          <w:sz w:val="22"/>
          <w:szCs w:val="22"/>
        </w:rPr>
      </w:pPr>
      <w:proofErr w:type="spellStart"/>
      <w:r w:rsidRPr="0057444B">
        <w:rPr>
          <w:rFonts w:ascii="Aptos" w:hAnsi="Aptos"/>
          <w:sz w:val="22"/>
          <w:szCs w:val="22"/>
        </w:rPr>
        <w:t>Acas</w:t>
      </w:r>
      <w:proofErr w:type="spellEnd"/>
      <w:r w:rsidRPr="0057444B">
        <w:rPr>
          <w:rFonts w:ascii="Aptos" w:hAnsi="Aptos"/>
          <w:sz w:val="22"/>
          <w:szCs w:val="22"/>
        </w:rPr>
        <w:t xml:space="preserve"> (2023) </w:t>
      </w:r>
      <w:r w:rsidRPr="0057444B">
        <w:rPr>
          <w:rFonts w:ascii="Aptos" w:hAnsi="Aptos"/>
          <w:i/>
          <w:iCs/>
          <w:sz w:val="22"/>
          <w:szCs w:val="22"/>
        </w:rPr>
        <w:t>Resolving workplace disputes: Conciliation and mediation</w:t>
      </w:r>
      <w:r w:rsidRPr="0057444B">
        <w:rPr>
          <w:rFonts w:ascii="Aptos" w:hAnsi="Aptos"/>
          <w:sz w:val="22"/>
          <w:szCs w:val="22"/>
        </w:rPr>
        <w:t xml:space="preserve">. London: </w:t>
      </w:r>
      <w:proofErr w:type="spellStart"/>
      <w:r w:rsidRPr="0057444B">
        <w:rPr>
          <w:rFonts w:ascii="Aptos" w:hAnsi="Aptos"/>
          <w:sz w:val="22"/>
          <w:szCs w:val="22"/>
        </w:rPr>
        <w:t>Acas</w:t>
      </w:r>
      <w:proofErr w:type="spellEnd"/>
      <w:r w:rsidRPr="0057444B">
        <w:rPr>
          <w:rFonts w:ascii="Aptos" w:hAnsi="Aptos"/>
          <w:sz w:val="22"/>
          <w:szCs w:val="22"/>
        </w:rPr>
        <w:t xml:space="preserve">. Available at: </w:t>
      </w:r>
      <w:hyperlink r:id="rId13" w:tgtFrame="_new" w:history="1">
        <w:r w:rsidRPr="0057444B">
          <w:rPr>
            <w:rStyle w:val="Hyperlink"/>
            <w:rFonts w:ascii="Aptos" w:hAnsi="Aptos"/>
            <w:sz w:val="22"/>
            <w:szCs w:val="22"/>
          </w:rPr>
          <w:t>https://www.acas.org.uk/conciliation-and-mediation</w:t>
        </w:r>
      </w:hyperlink>
      <w:r w:rsidRPr="0057444B">
        <w:rPr>
          <w:rFonts w:ascii="Aptos" w:hAnsi="Aptos"/>
          <w:sz w:val="22"/>
          <w:szCs w:val="22"/>
        </w:rPr>
        <w:t xml:space="preserve"> (Accessed: 25 July 2025).</w:t>
      </w:r>
    </w:p>
    <w:p w14:paraId="785E0D4C" w14:textId="77777777" w:rsidR="0057444B" w:rsidRPr="0057444B" w:rsidRDefault="0057444B" w:rsidP="0057444B">
      <w:pPr>
        <w:rPr>
          <w:rFonts w:ascii="Aptos" w:hAnsi="Aptos"/>
          <w:sz w:val="22"/>
          <w:szCs w:val="22"/>
        </w:rPr>
      </w:pPr>
      <w:r w:rsidRPr="0057444B">
        <w:rPr>
          <w:rFonts w:ascii="Aptos" w:hAnsi="Aptos"/>
          <w:sz w:val="22"/>
          <w:szCs w:val="22"/>
        </w:rPr>
        <w:t xml:space="preserve">Baker, G. (2025, June 12) ‘Workplace conflict resolution continuum’ [LinkedIn post]. LinkedIn. Available at: </w:t>
      </w:r>
      <w:hyperlink r:id="rId14" w:tgtFrame="_new" w:history="1">
        <w:r w:rsidRPr="0057444B">
          <w:rPr>
            <w:rStyle w:val="Hyperlink"/>
            <w:rFonts w:ascii="Aptos" w:hAnsi="Aptos"/>
            <w:sz w:val="22"/>
            <w:szCs w:val="22"/>
          </w:rPr>
          <w:t>https://www.linkedin.com/in/gracebaker</w:t>
        </w:r>
      </w:hyperlink>
      <w:r w:rsidRPr="0057444B">
        <w:rPr>
          <w:rFonts w:ascii="Aptos" w:hAnsi="Aptos"/>
          <w:sz w:val="22"/>
          <w:szCs w:val="22"/>
        </w:rPr>
        <w:t xml:space="preserve"> (Accessed: 25 July 2025).</w:t>
      </w:r>
    </w:p>
    <w:p w14:paraId="4B3113E5" w14:textId="77777777" w:rsidR="0057444B" w:rsidRPr="0057444B" w:rsidRDefault="0057444B" w:rsidP="0057444B">
      <w:pPr>
        <w:rPr>
          <w:rFonts w:ascii="Aptos" w:hAnsi="Aptos"/>
          <w:sz w:val="22"/>
          <w:szCs w:val="22"/>
        </w:rPr>
      </w:pPr>
      <w:r w:rsidRPr="0057444B">
        <w:rPr>
          <w:rFonts w:ascii="Aptos" w:hAnsi="Aptos"/>
          <w:sz w:val="22"/>
          <w:szCs w:val="22"/>
        </w:rPr>
        <w:t xml:space="preserve">Barber, B. (2020) </w:t>
      </w:r>
      <w:r w:rsidRPr="0057444B">
        <w:rPr>
          <w:rFonts w:ascii="Aptos" w:hAnsi="Aptos"/>
          <w:i/>
          <w:iCs/>
          <w:sz w:val="22"/>
          <w:szCs w:val="22"/>
        </w:rPr>
        <w:t>Building back: Making working lives better</w:t>
      </w:r>
      <w:r w:rsidRPr="0057444B">
        <w:rPr>
          <w:rFonts w:ascii="Aptos" w:hAnsi="Aptos"/>
          <w:sz w:val="22"/>
          <w:szCs w:val="22"/>
        </w:rPr>
        <w:t xml:space="preserve">. London: </w:t>
      </w:r>
      <w:proofErr w:type="spellStart"/>
      <w:r w:rsidRPr="0057444B">
        <w:rPr>
          <w:rFonts w:ascii="Aptos" w:hAnsi="Aptos"/>
          <w:sz w:val="22"/>
          <w:szCs w:val="22"/>
        </w:rPr>
        <w:t>Acas</w:t>
      </w:r>
      <w:proofErr w:type="spellEnd"/>
      <w:r w:rsidRPr="0057444B">
        <w:rPr>
          <w:rFonts w:ascii="Aptos" w:hAnsi="Aptos"/>
          <w:sz w:val="22"/>
          <w:szCs w:val="22"/>
        </w:rPr>
        <w:t xml:space="preserve">. Available at: </w:t>
      </w:r>
      <w:hyperlink r:id="rId15" w:tgtFrame="_new" w:history="1">
        <w:r w:rsidRPr="0057444B">
          <w:rPr>
            <w:rStyle w:val="Hyperlink"/>
            <w:rFonts w:ascii="Aptos" w:hAnsi="Aptos"/>
            <w:sz w:val="22"/>
            <w:szCs w:val="22"/>
          </w:rPr>
          <w:t>https://www.acas.org.uk/research-and-commentary/building-back-making-working-lives-better/paper</w:t>
        </w:r>
      </w:hyperlink>
      <w:r w:rsidRPr="0057444B">
        <w:rPr>
          <w:rFonts w:ascii="Aptos" w:hAnsi="Aptos"/>
          <w:sz w:val="22"/>
          <w:szCs w:val="22"/>
        </w:rPr>
        <w:t xml:space="preserve"> (Accessed: 24 July 2025).</w:t>
      </w:r>
    </w:p>
    <w:p w14:paraId="34D518A0" w14:textId="77777777" w:rsidR="0057444B" w:rsidRPr="0057444B" w:rsidRDefault="0057444B" w:rsidP="0057444B">
      <w:pPr>
        <w:rPr>
          <w:rFonts w:ascii="Aptos" w:hAnsi="Aptos"/>
          <w:sz w:val="22"/>
          <w:szCs w:val="22"/>
        </w:rPr>
      </w:pPr>
      <w:r w:rsidRPr="0057444B">
        <w:rPr>
          <w:rFonts w:ascii="Aptos" w:hAnsi="Aptos"/>
          <w:sz w:val="22"/>
          <w:szCs w:val="22"/>
        </w:rPr>
        <w:t xml:space="preserve">BBC News (2023) ‘Royal Mail workers vote overwhelmingly for strike action’, </w:t>
      </w:r>
      <w:r w:rsidRPr="0057444B">
        <w:rPr>
          <w:rFonts w:ascii="Aptos" w:hAnsi="Aptos"/>
          <w:i/>
          <w:iCs/>
          <w:sz w:val="22"/>
          <w:szCs w:val="22"/>
        </w:rPr>
        <w:t>BBC News</w:t>
      </w:r>
      <w:r w:rsidRPr="0057444B">
        <w:rPr>
          <w:rFonts w:ascii="Aptos" w:hAnsi="Aptos"/>
          <w:sz w:val="22"/>
          <w:szCs w:val="22"/>
        </w:rPr>
        <w:t xml:space="preserve">, 15 March. Available at: </w:t>
      </w:r>
      <w:hyperlink r:id="rId16" w:tgtFrame="_new" w:history="1">
        <w:r w:rsidRPr="0057444B">
          <w:rPr>
            <w:rStyle w:val="Hyperlink"/>
            <w:rFonts w:ascii="Aptos" w:hAnsi="Aptos"/>
            <w:sz w:val="22"/>
            <w:szCs w:val="22"/>
          </w:rPr>
          <w:t>https://www.bbc.co.uk/news/business-64912345</w:t>
        </w:r>
      </w:hyperlink>
      <w:r w:rsidRPr="0057444B">
        <w:rPr>
          <w:rFonts w:ascii="Aptos" w:hAnsi="Aptos"/>
          <w:sz w:val="22"/>
          <w:szCs w:val="22"/>
        </w:rPr>
        <w:t xml:space="preserve"> (Accessed: 21 July 2025).</w:t>
      </w:r>
    </w:p>
    <w:p w14:paraId="6E1E8332" w14:textId="06A3F7E2" w:rsidR="0057444B" w:rsidRPr="0057444B" w:rsidRDefault="0057444B" w:rsidP="0057444B">
      <w:pPr>
        <w:rPr>
          <w:rFonts w:ascii="Aptos" w:hAnsi="Aptos"/>
          <w:sz w:val="22"/>
          <w:szCs w:val="22"/>
        </w:rPr>
      </w:pPr>
      <w:r w:rsidRPr="0057444B">
        <w:rPr>
          <w:rFonts w:ascii="Aptos" w:hAnsi="Aptos"/>
          <w:sz w:val="22"/>
          <w:szCs w:val="22"/>
        </w:rPr>
        <w:t xml:space="preserve">BBC News (2023) ‘Royal Mail workers vote to continue strike action’, </w:t>
      </w:r>
      <w:r w:rsidRPr="0057444B">
        <w:rPr>
          <w:rFonts w:ascii="Aptos" w:hAnsi="Aptos"/>
          <w:i/>
          <w:iCs/>
          <w:sz w:val="22"/>
          <w:szCs w:val="22"/>
        </w:rPr>
        <w:t>BBC News</w:t>
      </w:r>
      <w:r w:rsidRPr="0057444B">
        <w:rPr>
          <w:rFonts w:ascii="Aptos" w:hAnsi="Aptos"/>
          <w:sz w:val="22"/>
          <w:szCs w:val="22"/>
        </w:rPr>
        <w:t xml:space="preserve">, 15 August. Available at: </w:t>
      </w:r>
      <w:hyperlink r:id="rId17" w:tgtFrame="_new" w:history="1">
        <w:r w:rsidRPr="0057444B">
          <w:rPr>
            <w:rStyle w:val="Hyperlink"/>
            <w:rFonts w:ascii="Aptos" w:hAnsi="Aptos"/>
            <w:sz w:val="22"/>
            <w:szCs w:val="22"/>
          </w:rPr>
          <w:t>https://www.bbc.co.uk/news/uk-66598765</w:t>
        </w:r>
      </w:hyperlink>
      <w:r w:rsidRPr="0057444B">
        <w:rPr>
          <w:rFonts w:ascii="Aptos" w:hAnsi="Aptos"/>
          <w:sz w:val="22"/>
          <w:szCs w:val="22"/>
        </w:rPr>
        <w:t xml:space="preserve"> (Accessed: </w:t>
      </w:r>
      <w:r w:rsidR="00402A08">
        <w:rPr>
          <w:rFonts w:ascii="Aptos" w:hAnsi="Aptos"/>
          <w:sz w:val="22"/>
          <w:szCs w:val="22"/>
        </w:rPr>
        <w:t>1</w:t>
      </w:r>
      <w:r w:rsidRPr="0057444B">
        <w:rPr>
          <w:rFonts w:ascii="Aptos" w:hAnsi="Aptos"/>
          <w:sz w:val="22"/>
          <w:szCs w:val="22"/>
        </w:rPr>
        <w:t xml:space="preserve"> September 2025).</w:t>
      </w:r>
    </w:p>
    <w:p w14:paraId="239C0389" w14:textId="77777777" w:rsidR="0057444B" w:rsidRPr="0057444B" w:rsidRDefault="0057444B" w:rsidP="0057444B">
      <w:pPr>
        <w:rPr>
          <w:rFonts w:ascii="Aptos" w:hAnsi="Aptos"/>
          <w:sz w:val="22"/>
          <w:szCs w:val="22"/>
        </w:rPr>
      </w:pPr>
      <w:r w:rsidRPr="0057444B">
        <w:rPr>
          <w:rFonts w:ascii="Aptos" w:hAnsi="Aptos"/>
          <w:sz w:val="22"/>
          <w:szCs w:val="22"/>
        </w:rPr>
        <w:t xml:space="preserve">CIPD (2020) </w:t>
      </w:r>
      <w:r w:rsidRPr="0057444B">
        <w:rPr>
          <w:rFonts w:ascii="Aptos" w:hAnsi="Aptos"/>
          <w:i/>
          <w:iCs/>
          <w:sz w:val="22"/>
          <w:szCs w:val="22"/>
        </w:rPr>
        <w:t>Diversity and inclusion at work</w:t>
      </w:r>
      <w:r w:rsidRPr="0057444B">
        <w:rPr>
          <w:rFonts w:ascii="Aptos" w:hAnsi="Aptos"/>
          <w:sz w:val="22"/>
          <w:szCs w:val="22"/>
        </w:rPr>
        <w:t xml:space="preserve">. London: Chartered Institute of Personnel and Development. Available at: </w:t>
      </w:r>
      <w:hyperlink r:id="rId18" w:tgtFrame="_new" w:history="1">
        <w:r w:rsidRPr="0057444B">
          <w:rPr>
            <w:rStyle w:val="Hyperlink"/>
            <w:rFonts w:ascii="Aptos" w:hAnsi="Aptos"/>
            <w:sz w:val="22"/>
            <w:szCs w:val="22"/>
          </w:rPr>
          <w:t>https://www.cipd.co.uk</w:t>
        </w:r>
      </w:hyperlink>
      <w:r w:rsidRPr="0057444B">
        <w:rPr>
          <w:rFonts w:ascii="Aptos" w:hAnsi="Aptos"/>
          <w:sz w:val="22"/>
          <w:szCs w:val="22"/>
        </w:rPr>
        <w:t xml:space="preserve"> (Accessed: 19 July 2025).</w:t>
      </w:r>
    </w:p>
    <w:p w14:paraId="334067AD" w14:textId="77777777" w:rsidR="0057444B" w:rsidRPr="0057444B" w:rsidRDefault="0057444B" w:rsidP="0057444B">
      <w:pPr>
        <w:rPr>
          <w:rFonts w:ascii="Aptos" w:hAnsi="Aptos"/>
          <w:sz w:val="22"/>
          <w:szCs w:val="22"/>
        </w:rPr>
      </w:pPr>
      <w:r w:rsidRPr="0057444B">
        <w:rPr>
          <w:rFonts w:ascii="Aptos" w:hAnsi="Aptos"/>
          <w:sz w:val="22"/>
          <w:szCs w:val="22"/>
        </w:rPr>
        <w:t xml:space="preserve">CIPD (2020) </w:t>
      </w:r>
      <w:r w:rsidRPr="0057444B">
        <w:rPr>
          <w:rFonts w:ascii="Aptos" w:hAnsi="Aptos"/>
          <w:i/>
          <w:iCs/>
          <w:sz w:val="22"/>
          <w:szCs w:val="22"/>
        </w:rPr>
        <w:t>Manifesto for work</w:t>
      </w:r>
      <w:r w:rsidRPr="0057444B">
        <w:rPr>
          <w:rFonts w:ascii="Arial" w:hAnsi="Arial" w:cs="Arial"/>
          <w:i/>
          <w:iCs/>
          <w:sz w:val="22"/>
          <w:szCs w:val="22"/>
        </w:rPr>
        <w:t> </w:t>
      </w:r>
      <w:r w:rsidRPr="0057444B">
        <w:rPr>
          <w:rFonts w:ascii="Aptos" w:hAnsi="Aptos"/>
          <w:i/>
          <w:iCs/>
          <w:sz w:val="22"/>
          <w:szCs w:val="22"/>
        </w:rPr>
        <w:t>2020: Championing better work and working lives</w:t>
      </w:r>
      <w:r w:rsidRPr="0057444B">
        <w:rPr>
          <w:rFonts w:ascii="Aptos" w:hAnsi="Aptos"/>
          <w:sz w:val="22"/>
          <w:szCs w:val="22"/>
        </w:rPr>
        <w:t xml:space="preserve"> [PDF]. London: Chartered Institute of Personnel and Development. Available at: </w:t>
      </w:r>
      <w:hyperlink r:id="rId19" w:tgtFrame="_new" w:history="1">
        <w:r w:rsidRPr="0057444B">
          <w:rPr>
            <w:rStyle w:val="Hyperlink"/>
            <w:rFonts w:ascii="Aptos" w:hAnsi="Aptos"/>
            <w:sz w:val="22"/>
            <w:szCs w:val="22"/>
          </w:rPr>
          <w:t>https://www.cipd.org/globalassets/media/misc-hero-images/cipd-manifesto-for-work-2020_tcm18-68625.pdf</w:t>
        </w:r>
      </w:hyperlink>
      <w:r w:rsidRPr="0057444B">
        <w:rPr>
          <w:rFonts w:ascii="Aptos" w:hAnsi="Aptos"/>
          <w:sz w:val="22"/>
          <w:szCs w:val="22"/>
        </w:rPr>
        <w:t xml:space="preserve"> (Accessed: 19 July 2025).</w:t>
      </w:r>
    </w:p>
    <w:p w14:paraId="48D62792" w14:textId="77777777" w:rsidR="0057444B" w:rsidRPr="0057444B" w:rsidRDefault="0057444B" w:rsidP="0057444B">
      <w:pPr>
        <w:rPr>
          <w:rFonts w:ascii="Aptos" w:hAnsi="Aptos"/>
          <w:sz w:val="22"/>
          <w:szCs w:val="22"/>
        </w:rPr>
      </w:pPr>
      <w:r w:rsidRPr="0057444B">
        <w:rPr>
          <w:rFonts w:ascii="Aptos" w:hAnsi="Aptos"/>
          <w:sz w:val="22"/>
          <w:szCs w:val="22"/>
        </w:rPr>
        <w:t xml:space="preserve">CIPD (2020) </w:t>
      </w:r>
      <w:r w:rsidRPr="0057444B">
        <w:rPr>
          <w:rFonts w:ascii="Aptos" w:hAnsi="Aptos"/>
          <w:i/>
          <w:iCs/>
          <w:sz w:val="22"/>
          <w:szCs w:val="22"/>
        </w:rPr>
        <w:t>Managing conflict in the modern workplace</w:t>
      </w:r>
      <w:r w:rsidRPr="0057444B">
        <w:rPr>
          <w:rFonts w:ascii="Aptos" w:hAnsi="Aptos"/>
          <w:sz w:val="22"/>
          <w:szCs w:val="22"/>
        </w:rPr>
        <w:t xml:space="preserve">. Available at: </w:t>
      </w:r>
      <w:hyperlink r:id="rId20" w:tgtFrame="_new" w:history="1">
        <w:r w:rsidRPr="0057444B">
          <w:rPr>
            <w:rStyle w:val="Hyperlink"/>
            <w:rFonts w:ascii="Aptos" w:hAnsi="Aptos"/>
            <w:sz w:val="22"/>
            <w:szCs w:val="22"/>
          </w:rPr>
          <w:t>https://www.cipd.org/uk/knowledge/reports/managing-workplace-conflict-report/</w:t>
        </w:r>
      </w:hyperlink>
      <w:r w:rsidRPr="0057444B">
        <w:rPr>
          <w:rFonts w:ascii="Aptos" w:hAnsi="Aptos"/>
          <w:sz w:val="22"/>
          <w:szCs w:val="22"/>
        </w:rPr>
        <w:t xml:space="preserve"> (Accessed: 19 July 2025).</w:t>
      </w:r>
    </w:p>
    <w:p w14:paraId="5AB8F011" w14:textId="77777777" w:rsidR="0057444B" w:rsidRPr="0057444B" w:rsidRDefault="0057444B" w:rsidP="0057444B">
      <w:pPr>
        <w:rPr>
          <w:rFonts w:ascii="Aptos" w:hAnsi="Aptos"/>
          <w:sz w:val="22"/>
          <w:szCs w:val="22"/>
        </w:rPr>
      </w:pPr>
      <w:r w:rsidRPr="0057444B">
        <w:rPr>
          <w:rFonts w:ascii="Aptos" w:hAnsi="Aptos"/>
          <w:sz w:val="22"/>
          <w:szCs w:val="22"/>
        </w:rPr>
        <w:t xml:space="preserve">CIPD (2021) </w:t>
      </w:r>
      <w:r w:rsidRPr="0057444B">
        <w:rPr>
          <w:rFonts w:ascii="Aptos" w:hAnsi="Aptos"/>
          <w:i/>
          <w:iCs/>
          <w:sz w:val="22"/>
          <w:szCs w:val="22"/>
        </w:rPr>
        <w:t>Employee relations: Overview</w:t>
      </w:r>
      <w:r w:rsidRPr="0057444B">
        <w:rPr>
          <w:rFonts w:ascii="Aptos" w:hAnsi="Aptos"/>
          <w:sz w:val="22"/>
          <w:szCs w:val="22"/>
        </w:rPr>
        <w:t xml:space="preserve">. Available at: </w:t>
      </w:r>
      <w:hyperlink r:id="rId21" w:tgtFrame="_new" w:history="1">
        <w:r w:rsidRPr="0057444B">
          <w:rPr>
            <w:rStyle w:val="Hyperlink"/>
            <w:rFonts w:ascii="Aptos" w:hAnsi="Aptos"/>
            <w:sz w:val="22"/>
            <w:szCs w:val="22"/>
          </w:rPr>
          <w:t>https://www.cipd.org/uk/knowledge/fundamentals/emp-law/employee-relations</w:t>
        </w:r>
      </w:hyperlink>
      <w:r w:rsidRPr="0057444B">
        <w:rPr>
          <w:rFonts w:ascii="Aptos" w:hAnsi="Aptos"/>
          <w:sz w:val="22"/>
          <w:szCs w:val="22"/>
        </w:rPr>
        <w:t xml:space="preserve"> (Accessed: 19 July 2025).</w:t>
      </w:r>
    </w:p>
    <w:p w14:paraId="03DEA8D3" w14:textId="77777777" w:rsidR="0057444B" w:rsidRPr="0057444B" w:rsidRDefault="0057444B" w:rsidP="0057444B">
      <w:pPr>
        <w:rPr>
          <w:rFonts w:ascii="Aptos" w:hAnsi="Aptos"/>
          <w:sz w:val="22"/>
          <w:szCs w:val="22"/>
        </w:rPr>
      </w:pPr>
      <w:r w:rsidRPr="0057444B">
        <w:rPr>
          <w:rFonts w:ascii="Aptos" w:hAnsi="Aptos"/>
          <w:sz w:val="22"/>
          <w:szCs w:val="22"/>
        </w:rPr>
        <w:t xml:space="preserve">CIPD (2022) </w:t>
      </w:r>
      <w:r w:rsidRPr="0057444B">
        <w:rPr>
          <w:rFonts w:ascii="Aptos" w:hAnsi="Aptos"/>
          <w:i/>
          <w:iCs/>
          <w:sz w:val="22"/>
          <w:szCs w:val="22"/>
        </w:rPr>
        <w:t>Employee relations: Managing grievances</w:t>
      </w:r>
      <w:r w:rsidRPr="0057444B">
        <w:rPr>
          <w:rFonts w:ascii="Aptos" w:hAnsi="Aptos"/>
          <w:sz w:val="22"/>
          <w:szCs w:val="22"/>
        </w:rPr>
        <w:t xml:space="preserve">. London: Chartered Institute of Personnel and Development. Available at: </w:t>
      </w:r>
      <w:hyperlink r:id="rId22" w:tgtFrame="_new" w:history="1">
        <w:r w:rsidRPr="0057444B">
          <w:rPr>
            <w:rStyle w:val="Hyperlink"/>
            <w:rFonts w:ascii="Aptos" w:hAnsi="Aptos"/>
            <w:sz w:val="22"/>
            <w:szCs w:val="22"/>
          </w:rPr>
          <w:t>https://www.cipd.co.uk/knowledge/fundamentals/emp-law/disciplinary-grievances-factsheet</w:t>
        </w:r>
      </w:hyperlink>
      <w:r w:rsidRPr="0057444B">
        <w:rPr>
          <w:rFonts w:ascii="Aptos" w:hAnsi="Aptos"/>
          <w:sz w:val="22"/>
          <w:szCs w:val="22"/>
        </w:rPr>
        <w:t xml:space="preserve"> (Accessed: 4 September 2025).</w:t>
      </w:r>
    </w:p>
    <w:p w14:paraId="0FFF68AB" w14:textId="77777777" w:rsidR="0057444B" w:rsidRPr="0057444B" w:rsidRDefault="0057444B" w:rsidP="0057444B">
      <w:pPr>
        <w:rPr>
          <w:rFonts w:ascii="Aptos" w:hAnsi="Aptos"/>
          <w:sz w:val="22"/>
          <w:szCs w:val="22"/>
        </w:rPr>
      </w:pPr>
      <w:r w:rsidRPr="0057444B">
        <w:rPr>
          <w:rFonts w:ascii="Aptos" w:hAnsi="Aptos"/>
          <w:sz w:val="22"/>
          <w:szCs w:val="22"/>
        </w:rPr>
        <w:t xml:space="preserve">CIPD (2022) </w:t>
      </w:r>
      <w:r w:rsidRPr="0057444B">
        <w:rPr>
          <w:rFonts w:ascii="Aptos" w:hAnsi="Aptos"/>
          <w:i/>
          <w:iCs/>
          <w:sz w:val="22"/>
          <w:szCs w:val="22"/>
        </w:rPr>
        <w:t>Leadership and management: The role of line managers</w:t>
      </w:r>
      <w:r w:rsidRPr="0057444B">
        <w:rPr>
          <w:rFonts w:ascii="Aptos" w:hAnsi="Aptos"/>
          <w:sz w:val="22"/>
          <w:szCs w:val="22"/>
        </w:rPr>
        <w:t xml:space="preserve">. London: Chartered Institute of Personnel and Development. Available at: </w:t>
      </w:r>
      <w:hyperlink r:id="rId23" w:tgtFrame="_new" w:history="1">
        <w:r w:rsidRPr="0057444B">
          <w:rPr>
            <w:rStyle w:val="Hyperlink"/>
            <w:rFonts w:ascii="Aptos" w:hAnsi="Aptos"/>
            <w:sz w:val="22"/>
            <w:szCs w:val="22"/>
          </w:rPr>
          <w:t>https://www.cipd.co.uk/knowledge/strategy/leadership/line-managers</w:t>
        </w:r>
      </w:hyperlink>
      <w:r w:rsidRPr="0057444B">
        <w:rPr>
          <w:rFonts w:ascii="Aptos" w:hAnsi="Aptos"/>
          <w:sz w:val="22"/>
          <w:szCs w:val="22"/>
        </w:rPr>
        <w:t xml:space="preserve"> (Accessed: 19 July 2025).</w:t>
      </w:r>
    </w:p>
    <w:p w14:paraId="545F1C92" w14:textId="77777777" w:rsidR="0057444B" w:rsidRPr="0057444B" w:rsidRDefault="0057444B" w:rsidP="0057444B">
      <w:pPr>
        <w:rPr>
          <w:rFonts w:ascii="Aptos" w:hAnsi="Aptos"/>
          <w:sz w:val="22"/>
          <w:szCs w:val="22"/>
        </w:rPr>
      </w:pPr>
      <w:r w:rsidRPr="0057444B">
        <w:rPr>
          <w:rFonts w:ascii="Aptos" w:hAnsi="Aptos"/>
          <w:sz w:val="22"/>
          <w:szCs w:val="22"/>
        </w:rPr>
        <w:t xml:space="preserve">CIPD (2022) </w:t>
      </w:r>
      <w:r w:rsidRPr="0057444B">
        <w:rPr>
          <w:rFonts w:ascii="Aptos" w:hAnsi="Aptos"/>
          <w:i/>
          <w:iCs/>
          <w:sz w:val="22"/>
          <w:szCs w:val="22"/>
        </w:rPr>
        <w:t>Line management competency framework</w:t>
      </w:r>
      <w:r w:rsidRPr="0057444B">
        <w:rPr>
          <w:rFonts w:ascii="Aptos" w:hAnsi="Aptos"/>
          <w:sz w:val="22"/>
          <w:szCs w:val="22"/>
        </w:rPr>
        <w:t xml:space="preserve">. London: Chartered Institute of Personnel and Development. Available at: </w:t>
      </w:r>
      <w:hyperlink r:id="rId24" w:tgtFrame="_new" w:history="1">
        <w:r w:rsidRPr="0057444B">
          <w:rPr>
            <w:rStyle w:val="Hyperlink"/>
            <w:rFonts w:ascii="Aptos" w:hAnsi="Aptos"/>
            <w:sz w:val="22"/>
            <w:szCs w:val="22"/>
          </w:rPr>
          <w:t>https://www.cipd.co.uk</w:t>
        </w:r>
      </w:hyperlink>
      <w:r w:rsidRPr="0057444B">
        <w:rPr>
          <w:rFonts w:ascii="Aptos" w:hAnsi="Aptos"/>
          <w:sz w:val="22"/>
          <w:szCs w:val="22"/>
        </w:rPr>
        <w:t xml:space="preserve"> (Accessed: 19 July 2025).</w:t>
      </w:r>
    </w:p>
    <w:p w14:paraId="5FD7EC92" w14:textId="77777777" w:rsidR="0057444B" w:rsidRPr="0057444B" w:rsidRDefault="0057444B" w:rsidP="0057444B">
      <w:pPr>
        <w:rPr>
          <w:rFonts w:ascii="Aptos" w:hAnsi="Aptos"/>
          <w:sz w:val="22"/>
          <w:szCs w:val="22"/>
        </w:rPr>
      </w:pPr>
      <w:r w:rsidRPr="0057444B">
        <w:rPr>
          <w:rFonts w:ascii="Aptos" w:hAnsi="Aptos"/>
          <w:sz w:val="22"/>
          <w:szCs w:val="22"/>
        </w:rPr>
        <w:t xml:space="preserve">CIPD (2022) </w:t>
      </w:r>
      <w:r w:rsidRPr="0057444B">
        <w:rPr>
          <w:rFonts w:ascii="Aptos" w:hAnsi="Aptos"/>
          <w:i/>
          <w:iCs/>
          <w:sz w:val="22"/>
          <w:szCs w:val="22"/>
        </w:rPr>
        <w:t>Line management: Developing managers to improve employee relations</w:t>
      </w:r>
      <w:r w:rsidRPr="0057444B">
        <w:rPr>
          <w:rFonts w:ascii="Aptos" w:hAnsi="Aptos"/>
          <w:sz w:val="22"/>
          <w:szCs w:val="22"/>
        </w:rPr>
        <w:t xml:space="preserve">. Available at: </w:t>
      </w:r>
      <w:hyperlink r:id="rId25" w:tgtFrame="_new" w:history="1">
        <w:r w:rsidRPr="0057444B">
          <w:rPr>
            <w:rStyle w:val="Hyperlink"/>
            <w:rFonts w:ascii="Aptos" w:hAnsi="Aptos"/>
            <w:sz w:val="22"/>
            <w:szCs w:val="22"/>
          </w:rPr>
          <w:t>https://www.cipd.co.uk/knowledge/strategy/people-management/line-management</w:t>
        </w:r>
      </w:hyperlink>
      <w:r w:rsidRPr="0057444B">
        <w:rPr>
          <w:rFonts w:ascii="Aptos" w:hAnsi="Aptos"/>
          <w:sz w:val="22"/>
          <w:szCs w:val="22"/>
        </w:rPr>
        <w:t xml:space="preserve"> (Accessed: 4 September 2025).</w:t>
      </w:r>
    </w:p>
    <w:p w14:paraId="799B8D94" w14:textId="77777777" w:rsidR="0057444B" w:rsidRPr="0057444B" w:rsidRDefault="0057444B" w:rsidP="0057444B">
      <w:pPr>
        <w:rPr>
          <w:rFonts w:ascii="Aptos" w:hAnsi="Aptos"/>
          <w:sz w:val="22"/>
          <w:szCs w:val="22"/>
        </w:rPr>
      </w:pPr>
      <w:r w:rsidRPr="0057444B">
        <w:rPr>
          <w:rFonts w:ascii="Aptos" w:hAnsi="Aptos"/>
          <w:sz w:val="22"/>
          <w:szCs w:val="22"/>
        </w:rPr>
        <w:t xml:space="preserve">CIPD (2022) </w:t>
      </w:r>
      <w:r w:rsidRPr="0057444B">
        <w:rPr>
          <w:rFonts w:ascii="Aptos" w:hAnsi="Aptos"/>
          <w:i/>
          <w:iCs/>
          <w:sz w:val="22"/>
          <w:szCs w:val="22"/>
        </w:rPr>
        <w:t>Mediation in the workplace</w:t>
      </w:r>
      <w:r w:rsidRPr="0057444B">
        <w:rPr>
          <w:rFonts w:ascii="Aptos" w:hAnsi="Aptos"/>
          <w:sz w:val="22"/>
          <w:szCs w:val="22"/>
        </w:rPr>
        <w:t xml:space="preserve">. London: CIPD. Available at: </w:t>
      </w:r>
      <w:hyperlink r:id="rId26" w:tgtFrame="_new" w:history="1">
        <w:r w:rsidRPr="0057444B">
          <w:rPr>
            <w:rStyle w:val="Hyperlink"/>
            <w:rFonts w:ascii="Aptos" w:hAnsi="Aptos"/>
            <w:sz w:val="22"/>
            <w:szCs w:val="22"/>
          </w:rPr>
          <w:t>https://www.cipd.co.uk/knowledge/fundamentals/relations/mediation-factsheet</w:t>
        </w:r>
      </w:hyperlink>
      <w:r w:rsidRPr="0057444B">
        <w:rPr>
          <w:rFonts w:ascii="Aptos" w:hAnsi="Aptos"/>
          <w:sz w:val="22"/>
          <w:szCs w:val="22"/>
        </w:rPr>
        <w:t xml:space="preserve"> (Accessed: 19 July 2025).</w:t>
      </w:r>
    </w:p>
    <w:p w14:paraId="5F936039"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Conflict management</w:t>
      </w:r>
      <w:r w:rsidRPr="0057444B">
        <w:rPr>
          <w:rFonts w:ascii="Aptos" w:hAnsi="Aptos"/>
          <w:sz w:val="22"/>
          <w:szCs w:val="22"/>
        </w:rPr>
        <w:t xml:space="preserve">. London: Chartered Institute of Personnel and Development. Available at: </w:t>
      </w:r>
      <w:hyperlink r:id="rId27" w:tgtFrame="_new" w:history="1">
        <w:r w:rsidRPr="0057444B">
          <w:rPr>
            <w:rStyle w:val="Hyperlink"/>
            <w:rFonts w:ascii="Aptos" w:hAnsi="Aptos"/>
            <w:sz w:val="22"/>
            <w:szCs w:val="22"/>
          </w:rPr>
          <w:t>https://www.cipd.co.uk</w:t>
        </w:r>
      </w:hyperlink>
      <w:r w:rsidRPr="0057444B">
        <w:rPr>
          <w:rFonts w:ascii="Aptos" w:hAnsi="Aptos"/>
          <w:sz w:val="22"/>
          <w:szCs w:val="22"/>
        </w:rPr>
        <w:t xml:space="preserve"> (Accessed: 21 July 2025).</w:t>
      </w:r>
    </w:p>
    <w:p w14:paraId="33DF557B"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Employee engagement and involvement</w:t>
      </w:r>
      <w:r w:rsidRPr="0057444B">
        <w:rPr>
          <w:rFonts w:ascii="Aptos" w:hAnsi="Aptos"/>
          <w:sz w:val="22"/>
          <w:szCs w:val="22"/>
        </w:rPr>
        <w:t xml:space="preserve">. Available at: </w:t>
      </w:r>
      <w:hyperlink r:id="rId28" w:tgtFrame="_new" w:history="1">
        <w:r w:rsidRPr="0057444B">
          <w:rPr>
            <w:rStyle w:val="Hyperlink"/>
            <w:rFonts w:ascii="Aptos" w:hAnsi="Aptos"/>
            <w:sz w:val="22"/>
            <w:szCs w:val="22"/>
          </w:rPr>
          <w:t>https://www.cipd.co.uk/knowledge/fundamentals/relations/engagement-factsheet</w:t>
        </w:r>
      </w:hyperlink>
      <w:r w:rsidRPr="0057444B">
        <w:rPr>
          <w:rFonts w:ascii="Aptos" w:hAnsi="Aptos"/>
          <w:sz w:val="22"/>
          <w:szCs w:val="22"/>
        </w:rPr>
        <w:t xml:space="preserve"> (Accessed: 21 July 2025).</w:t>
      </w:r>
    </w:p>
    <w:p w14:paraId="19DF234E"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Employee relations: Grievances and disciplinary</w:t>
      </w:r>
      <w:r w:rsidRPr="0057444B">
        <w:rPr>
          <w:rFonts w:ascii="Aptos" w:hAnsi="Aptos"/>
          <w:sz w:val="22"/>
          <w:szCs w:val="22"/>
        </w:rPr>
        <w:t xml:space="preserve">. London: Chartered Institute of Personnel and Development. Available at: </w:t>
      </w:r>
      <w:hyperlink r:id="rId29" w:tgtFrame="_new" w:history="1">
        <w:r w:rsidRPr="0057444B">
          <w:rPr>
            <w:rStyle w:val="Hyperlink"/>
            <w:rFonts w:ascii="Aptos" w:hAnsi="Aptos"/>
            <w:sz w:val="22"/>
            <w:szCs w:val="22"/>
          </w:rPr>
          <w:t>https://www.cipd.co.uk/knowledge/fundamentals/emp-law/disciplinary-grievances-factsheet</w:t>
        </w:r>
      </w:hyperlink>
      <w:r w:rsidRPr="0057444B">
        <w:rPr>
          <w:rFonts w:ascii="Aptos" w:hAnsi="Aptos"/>
          <w:sz w:val="22"/>
          <w:szCs w:val="22"/>
        </w:rPr>
        <w:t xml:space="preserve"> (Accessed: 21 July 2025).</w:t>
      </w:r>
    </w:p>
    <w:p w14:paraId="205A3616"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Mediation at work: Factsheet</w:t>
      </w:r>
      <w:r w:rsidRPr="0057444B">
        <w:rPr>
          <w:rFonts w:ascii="Aptos" w:hAnsi="Aptos"/>
          <w:sz w:val="22"/>
          <w:szCs w:val="22"/>
        </w:rPr>
        <w:t xml:space="preserve">. Available at: </w:t>
      </w:r>
      <w:hyperlink r:id="rId30" w:tgtFrame="_new" w:history="1">
        <w:r w:rsidRPr="0057444B">
          <w:rPr>
            <w:rStyle w:val="Hyperlink"/>
            <w:rFonts w:ascii="Aptos" w:hAnsi="Aptos"/>
            <w:sz w:val="22"/>
            <w:szCs w:val="22"/>
          </w:rPr>
          <w:t>https://prod.cipd.org/en/knowledge/factsheets/mediation-factsheet/</w:t>
        </w:r>
      </w:hyperlink>
      <w:r w:rsidRPr="0057444B">
        <w:rPr>
          <w:rFonts w:ascii="Aptos" w:hAnsi="Aptos"/>
          <w:sz w:val="22"/>
          <w:szCs w:val="22"/>
        </w:rPr>
        <w:t xml:space="preserve"> (Accessed: 21 July 2025).</w:t>
      </w:r>
    </w:p>
    <w:p w14:paraId="3FD9C029" w14:textId="46288EBD"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Reward management factsheet</w:t>
      </w:r>
      <w:r w:rsidRPr="0057444B">
        <w:rPr>
          <w:rFonts w:ascii="Aptos" w:hAnsi="Aptos"/>
          <w:sz w:val="22"/>
          <w:szCs w:val="22"/>
        </w:rPr>
        <w:t xml:space="preserve">. Available at: </w:t>
      </w:r>
      <w:hyperlink r:id="rId31" w:tgtFrame="_new" w:history="1">
        <w:r w:rsidRPr="0057444B">
          <w:rPr>
            <w:rStyle w:val="Hyperlink"/>
            <w:rFonts w:ascii="Aptos" w:hAnsi="Aptos"/>
            <w:sz w:val="22"/>
            <w:szCs w:val="22"/>
          </w:rPr>
          <w:t>https://www.cipd.co.uk/knowledge/strategy/reward-factsheet</w:t>
        </w:r>
      </w:hyperlink>
      <w:r w:rsidRPr="0057444B">
        <w:rPr>
          <w:rFonts w:ascii="Aptos" w:hAnsi="Aptos"/>
          <w:sz w:val="22"/>
          <w:szCs w:val="22"/>
        </w:rPr>
        <w:t xml:space="preserve"> (Accessed: </w:t>
      </w:r>
      <w:r w:rsidR="00402A08">
        <w:rPr>
          <w:rFonts w:ascii="Aptos" w:hAnsi="Aptos"/>
          <w:sz w:val="22"/>
          <w:szCs w:val="22"/>
        </w:rPr>
        <w:t>1</w:t>
      </w:r>
      <w:r w:rsidRPr="0057444B">
        <w:rPr>
          <w:rFonts w:ascii="Aptos" w:hAnsi="Aptos"/>
          <w:sz w:val="22"/>
          <w:szCs w:val="22"/>
        </w:rPr>
        <w:t xml:space="preserve"> September 2025).</w:t>
      </w:r>
    </w:p>
    <w:p w14:paraId="1FADBA64"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Resolving workplace conflict</w:t>
      </w:r>
      <w:r w:rsidRPr="0057444B">
        <w:rPr>
          <w:rFonts w:ascii="Aptos" w:hAnsi="Aptos"/>
          <w:sz w:val="22"/>
          <w:szCs w:val="22"/>
        </w:rPr>
        <w:t xml:space="preserve">. London: Chartered Institute of Personnel and Development. Available at: </w:t>
      </w:r>
      <w:hyperlink r:id="rId32" w:tgtFrame="_new" w:history="1">
        <w:r w:rsidRPr="0057444B">
          <w:rPr>
            <w:rStyle w:val="Hyperlink"/>
            <w:rFonts w:ascii="Aptos" w:hAnsi="Aptos"/>
            <w:sz w:val="22"/>
            <w:szCs w:val="22"/>
          </w:rPr>
          <w:t>https://www.cipd.co.uk</w:t>
        </w:r>
      </w:hyperlink>
      <w:r w:rsidRPr="0057444B">
        <w:rPr>
          <w:rFonts w:ascii="Aptos" w:hAnsi="Aptos"/>
          <w:sz w:val="22"/>
          <w:szCs w:val="22"/>
        </w:rPr>
        <w:t xml:space="preserve"> (Accessed: 21 July 2025).</w:t>
      </w:r>
    </w:p>
    <w:p w14:paraId="66D44B78" w14:textId="77777777" w:rsidR="0057444B" w:rsidRPr="0057444B" w:rsidRDefault="0057444B" w:rsidP="0057444B">
      <w:pPr>
        <w:rPr>
          <w:rFonts w:ascii="Aptos" w:hAnsi="Aptos"/>
          <w:sz w:val="22"/>
          <w:szCs w:val="22"/>
        </w:rPr>
      </w:pPr>
      <w:r w:rsidRPr="0057444B">
        <w:rPr>
          <w:rFonts w:ascii="Aptos" w:hAnsi="Aptos"/>
          <w:sz w:val="22"/>
          <w:szCs w:val="22"/>
        </w:rPr>
        <w:t xml:space="preserve">CIPD (2023) </w:t>
      </w:r>
      <w:r w:rsidRPr="0057444B">
        <w:rPr>
          <w:rFonts w:ascii="Aptos" w:hAnsi="Aptos"/>
          <w:i/>
          <w:iCs/>
          <w:sz w:val="22"/>
          <w:szCs w:val="22"/>
        </w:rPr>
        <w:t>Workplace conflict and grievance handling</w:t>
      </w:r>
      <w:r w:rsidRPr="0057444B">
        <w:rPr>
          <w:rFonts w:ascii="Aptos" w:hAnsi="Aptos"/>
          <w:sz w:val="22"/>
          <w:szCs w:val="22"/>
        </w:rPr>
        <w:t>. London: CIPD.</w:t>
      </w:r>
    </w:p>
    <w:p w14:paraId="79601CD2" w14:textId="0D648485" w:rsidR="0057444B" w:rsidRPr="0057444B" w:rsidRDefault="0057444B" w:rsidP="0057444B">
      <w:pPr>
        <w:rPr>
          <w:rFonts w:ascii="Aptos" w:hAnsi="Aptos"/>
          <w:sz w:val="22"/>
          <w:szCs w:val="22"/>
        </w:rPr>
      </w:pPr>
      <w:r w:rsidRPr="0057444B">
        <w:rPr>
          <w:rFonts w:ascii="Aptos" w:hAnsi="Aptos"/>
          <w:sz w:val="22"/>
          <w:szCs w:val="22"/>
        </w:rPr>
        <w:t xml:space="preserve">CIPD (2024) </w:t>
      </w:r>
      <w:r w:rsidRPr="0057444B">
        <w:rPr>
          <w:rFonts w:ascii="Aptos" w:hAnsi="Aptos"/>
          <w:i/>
          <w:iCs/>
          <w:sz w:val="22"/>
          <w:szCs w:val="22"/>
        </w:rPr>
        <w:t>Employee voice factsheet</w:t>
      </w:r>
      <w:r w:rsidRPr="0057444B">
        <w:rPr>
          <w:rFonts w:ascii="Aptos" w:hAnsi="Aptos"/>
          <w:sz w:val="22"/>
          <w:szCs w:val="22"/>
        </w:rPr>
        <w:t xml:space="preserve">. Available at: </w:t>
      </w:r>
      <w:hyperlink r:id="rId33" w:tgtFrame="_new" w:history="1">
        <w:r w:rsidRPr="0057444B">
          <w:rPr>
            <w:rStyle w:val="Hyperlink"/>
            <w:rFonts w:ascii="Aptos" w:hAnsi="Aptos"/>
            <w:sz w:val="22"/>
            <w:szCs w:val="22"/>
          </w:rPr>
          <w:t>https://www.cipd.org/uk/knowledge/factsheets/employee-voice-factsheet</w:t>
        </w:r>
      </w:hyperlink>
      <w:r w:rsidRPr="0057444B">
        <w:rPr>
          <w:rFonts w:ascii="Aptos" w:hAnsi="Aptos"/>
          <w:sz w:val="22"/>
          <w:szCs w:val="22"/>
        </w:rPr>
        <w:t xml:space="preserve"> (Accessed: </w:t>
      </w:r>
      <w:r w:rsidR="00402A08">
        <w:rPr>
          <w:rFonts w:ascii="Aptos" w:hAnsi="Aptos"/>
          <w:sz w:val="22"/>
          <w:szCs w:val="22"/>
        </w:rPr>
        <w:t>1</w:t>
      </w:r>
      <w:r w:rsidRPr="0057444B">
        <w:rPr>
          <w:rFonts w:ascii="Aptos" w:hAnsi="Aptos"/>
          <w:sz w:val="22"/>
          <w:szCs w:val="22"/>
        </w:rPr>
        <w:t xml:space="preserve"> September 2025).</w:t>
      </w:r>
    </w:p>
    <w:p w14:paraId="773EA982" w14:textId="77777777" w:rsidR="0057444B" w:rsidRPr="0057444B" w:rsidRDefault="0057444B" w:rsidP="0057444B">
      <w:pPr>
        <w:rPr>
          <w:rFonts w:ascii="Aptos" w:hAnsi="Aptos"/>
          <w:sz w:val="22"/>
          <w:szCs w:val="22"/>
        </w:rPr>
      </w:pPr>
      <w:r w:rsidRPr="0057444B">
        <w:rPr>
          <w:rFonts w:ascii="Aptos" w:hAnsi="Aptos"/>
          <w:sz w:val="22"/>
          <w:szCs w:val="22"/>
        </w:rPr>
        <w:t xml:space="preserve">CIPD (2024) </w:t>
      </w:r>
      <w:r w:rsidRPr="0057444B">
        <w:rPr>
          <w:rFonts w:ascii="Aptos" w:hAnsi="Aptos"/>
          <w:i/>
          <w:iCs/>
          <w:sz w:val="22"/>
          <w:szCs w:val="22"/>
        </w:rPr>
        <w:t>Good work index 2024</w:t>
      </w:r>
      <w:r w:rsidRPr="0057444B">
        <w:rPr>
          <w:rFonts w:ascii="Aptos" w:hAnsi="Aptos"/>
          <w:sz w:val="22"/>
          <w:szCs w:val="22"/>
        </w:rPr>
        <w:t xml:space="preserve">. Available at: </w:t>
      </w:r>
      <w:hyperlink r:id="rId34" w:tgtFrame="_new" w:history="1">
        <w:r w:rsidRPr="0057444B">
          <w:rPr>
            <w:rStyle w:val="Hyperlink"/>
            <w:rFonts w:ascii="Aptos" w:hAnsi="Aptos"/>
            <w:sz w:val="22"/>
            <w:szCs w:val="22"/>
          </w:rPr>
          <w:t>https://www.cipd.org/uk/about/press-releases/workplace-conflict-puts-strain-on-job-quality</w:t>
        </w:r>
      </w:hyperlink>
      <w:r w:rsidRPr="0057444B">
        <w:rPr>
          <w:rFonts w:ascii="Aptos" w:hAnsi="Aptos"/>
          <w:sz w:val="22"/>
          <w:szCs w:val="22"/>
        </w:rPr>
        <w:t xml:space="preserve"> (Accessed: 22 July 2025).</w:t>
      </w:r>
    </w:p>
    <w:p w14:paraId="39F9DEEE" w14:textId="77777777" w:rsidR="0057444B" w:rsidRPr="0057444B" w:rsidRDefault="0057444B" w:rsidP="0057444B">
      <w:pPr>
        <w:rPr>
          <w:rFonts w:ascii="Aptos" w:hAnsi="Aptos"/>
          <w:sz w:val="22"/>
          <w:szCs w:val="22"/>
        </w:rPr>
      </w:pPr>
      <w:r w:rsidRPr="0057444B">
        <w:rPr>
          <w:rFonts w:ascii="Aptos" w:hAnsi="Aptos"/>
          <w:sz w:val="22"/>
          <w:szCs w:val="22"/>
        </w:rPr>
        <w:t xml:space="preserve">CIPD (2024) </w:t>
      </w:r>
      <w:r w:rsidRPr="0057444B">
        <w:rPr>
          <w:rFonts w:ascii="Aptos" w:hAnsi="Aptos"/>
          <w:i/>
          <w:iCs/>
          <w:sz w:val="22"/>
          <w:szCs w:val="22"/>
        </w:rPr>
        <w:t>Preventing and dealing with bullying and workplace conflict: Guide for managers</w:t>
      </w:r>
      <w:r w:rsidRPr="0057444B">
        <w:rPr>
          <w:rFonts w:ascii="Aptos" w:hAnsi="Aptos"/>
          <w:sz w:val="22"/>
          <w:szCs w:val="22"/>
        </w:rPr>
        <w:t xml:space="preserve">. Available at: </w:t>
      </w:r>
      <w:hyperlink r:id="rId35" w:tgtFrame="_new" w:history="1">
        <w:r w:rsidRPr="0057444B">
          <w:rPr>
            <w:rStyle w:val="Hyperlink"/>
            <w:rFonts w:ascii="Aptos" w:hAnsi="Aptos"/>
            <w:sz w:val="22"/>
            <w:szCs w:val="22"/>
          </w:rPr>
          <w:t>https://www.cipd.org/uk/knowledge/guides/workplace-conflict-people-manager-guide/</w:t>
        </w:r>
      </w:hyperlink>
      <w:r w:rsidRPr="0057444B">
        <w:rPr>
          <w:rFonts w:ascii="Aptos" w:hAnsi="Aptos"/>
          <w:sz w:val="22"/>
          <w:szCs w:val="22"/>
        </w:rPr>
        <w:t xml:space="preserve"> (Accessed: 22 July 2025).</w:t>
      </w:r>
    </w:p>
    <w:p w14:paraId="41EA304B" w14:textId="77777777" w:rsidR="0057444B" w:rsidRPr="0057444B" w:rsidRDefault="0057444B" w:rsidP="0057444B">
      <w:pPr>
        <w:rPr>
          <w:rFonts w:ascii="Aptos" w:hAnsi="Aptos"/>
          <w:sz w:val="22"/>
          <w:szCs w:val="22"/>
        </w:rPr>
      </w:pPr>
      <w:r w:rsidRPr="0057444B">
        <w:rPr>
          <w:rFonts w:ascii="Aptos" w:hAnsi="Aptos"/>
          <w:sz w:val="22"/>
          <w:szCs w:val="22"/>
        </w:rPr>
        <w:t xml:space="preserve">CIPD (2024) </w:t>
      </w:r>
      <w:r w:rsidRPr="0057444B">
        <w:rPr>
          <w:rFonts w:ascii="Aptos" w:hAnsi="Aptos"/>
          <w:i/>
          <w:iCs/>
          <w:sz w:val="22"/>
          <w:szCs w:val="22"/>
        </w:rPr>
        <w:t>What’s hampering good work?</w:t>
      </w:r>
      <w:r w:rsidRPr="0057444B">
        <w:rPr>
          <w:rFonts w:ascii="Aptos" w:hAnsi="Aptos"/>
          <w:sz w:val="22"/>
          <w:szCs w:val="22"/>
        </w:rPr>
        <w:t xml:space="preserve"> [Podcast] 4 June. Hosted by N.</w:t>
      </w:r>
      <w:r w:rsidRPr="0057444B">
        <w:rPr>
          <w:rFonts w:ascii="Arial" w:hAnsi="Arial" w:cs="Arial"/>
          <w:sz w:val="22"/>
          <w:szCs w:val="22"/>
        </w:rPr>
        <w:t> </w:t>
      </w:r>
      <w:r w:rsidRPr="0057444B">
        <w:rPr>
          <w:rFonts w:ascii="Aptos" w:hAnsi="Aptos"/>
          <w:sz w:val="22"/>
          <w:szCs w:val="22"/>
        </w:rPr>
        <w:t xml:space="preserve">Cassidy. Available at: </w:t>
      </w:r>
      <w:hyperlink r:id="rId36" w:tgtFrame="_new" w:history="1">
        <w:r w:rsidRPr="0057444B">
          <w:rPr>
            <w:rStyle w:val="Hyperlink"/>
            <w:rFonts w:ascii="Aptos" w:hAnsi="Aptos"/>
            <w:sz w:val="22"/>
            <w:szCs w:val="22"/>
          </w:rPr>
          <w:t>https://www.cipd.org/uk/knowledge/podcasts/whats-hampering-good-work</w:t>
        </w:r>
      </w:hyperlink>
      <w:r w:rsidRPr="0057444B">
        <w:rPr>
          <w:rFonts w:ascii="Aptos" w:hAnsi="Aptos"/>
          <w:sz w:val="22"/>
          <w:szCs w:val="22"/>
        </w:rPr>
        <w:t xml:space="preserve"> (Accessed: 24 July 2025).</w:t>
      </w:r>
    </w:p>
    <w:p w14:paraId="504B934C" w14:textId="77777777" w:rsidR="0057444B" w:rsidRPr="0057444B" w:rsidRDefault="0057444B" w:rsidP="0057444B">
      <w:pPr>
        <w:rPr>
          <w:rFonts w:ascii="Aptos" w:hAnsi="Aptos"/>
          <w:sz w:val="22"/>
          <w:szCs w:val="22"/>
        </w:rPr>
      </w:pPr>
      <w:r w:rsidRPr="0057444B">
        <w:rPr>
          <w:rFonts w:ascii="Aptos" w:hAnsi="Aptos"/>
          <w:sz w:val="22"/>
          <w:szCs w:val="22"/>
        </w:rPr>
        <w:t xml:space="preserve">CIPD (2024) </w:t>
      </w:r>
      <w:r w:rsidRPr="0057444B">
        <w:rPr>
          <w:rFonts w:ascii="Aptos" w:hAnsi="Aptos"/>
          <w:i/>
          <w:iCs/>
          <w:sz w:val="22"/>
          <w:szCs w:val="22"/>
        </w:rPr>
        <w:t>Workplace conflict and resolution</w:t>
      </w:r>
      <w:r w:rsidRPr="0057444B">
        <w:rPr>
          <w:rFonts w:ascii="Aptos" w:hAnsi="Aptos"/>
          <w:sz w:val="22"/>
          <w:szCs w:val="22"/>
        </w:rPr>
        <w:t xml:space="preserve">. London: Chartered Institute of Personnel and Development. Available at: </w:t>
      </w:r>
      <w:hyperlink r:id="rId37" w:tgtFrame="_new" w:history="1">
        <w:r w:rsidRPr="0057444B">
          <w:rPr>
            <w:rStyle w:val="Hyperlink"/>
            <w:rFonts w:ascii="Aptos" w:hAnsi="Aptos"/>
            <w:sz w:val="22"/>
            <w:szCs w:val="22"/>
          </w:rPr>
          <w:t>https://www.cipd.co.uk/knowledge/fundamentals/relations/conflict-resolution</w:t>
        </w:r>
      </w:hyperlink>
      <w:r w:rsidRPr="0057444B">
        <w:rPr>
          <w:rFonts w:ascii="Aptos" w:hAnsi="Aptos"/>
          <w:sz w:val="22"/>
          <w:szCs w:val="22"/>
        </w:rPr>
        <w:t xml:space="preserve"> (Accessed: 22 July 2025).</w:t>
      </w:r>
    </w:p>
    <w:p w14:paraId="7E5EB395" w14:textId="77777777" w:rsidR="0057444B" w:rsidRPr="0057444B" w:rsidRDefault="0057444B" w:rsidP="0057444B">
      <w:pPr>
        <w:rPr>
          <w:rFonts w:ascii="Aptos" w:hAnsi="Aptos"/>
          <w:sz w:val="22"/>
          <w:szCs w:val="22"/>
        </w:rPr>
      </w:pPr>
      <w:r w:rsidRPr="0057444B">
        <w:rPr>
          <w:rFonts w:ascii="Aptos" w:hAnsi="Aptos"/>
          <w:sz w:val="22"/>
          <w:szCs w:val="22"/>
        </w:rPr>
        <w:t xml:space="preserve">CIPD (2025) </w:t>
      </w:r>
      <w:r w:rsidRPr="0057444B">
        <w:rPr>
          <w:rFonts w:ascii="Aptos" w:hAnsi="Aptos"/>
          <w:i/>
          <w:iCs/>
          <w:sz w:val="22"/>
          <w:szCs w:val="22"/>
        </w:rPr>
        <w:t>Employee voice and engagement</w:t>
      </w:r>
      <w:r w:rsidRPr="0057444B">
        <w:rPr>
          <w:rFonts w:ascii="Aptos" w:hAnsi="Aptos"/>
          <w:sz w:val="22"/>
          <w:szCs w:val="22"/>
        </w:rPr>
        <w:t xml:space="preserve">. London: Chartered Institute of Personnel and Development. Available at: </w:t>
      </w:r>
      <w:hyperlink r:id="rId38" w:tgtFrame="_new" w:history="1">
        <w:r w:rsidRPr="0057444B">
          <w:rPr>
            <w:rStyle w:val="Hyperlink"/>
            <w:rFonts w:ascii="Aptos" w:hAnsi="Aptos"/>
            <w:sz w:val="22"/>
            <w:szCs w:val="22"/>
          </w:rPr>
          <w:t>https://www.cipd.co.uk</w:t>
        </w:r>
      </w:hyperlink>
      <w:r w:rsidRPr="0057444B">
        <w:rPr>
          <w:rFonts w:ascii="Aptos" w:hAnsi="Aptos"/>
          <w:sz w:val="22"/>
          <w:szCs w:val="22"/>
        </w:rPr>
        <w:t xml:space="preserve"> (Accessed: 25 July 2025).</w:t>
      </w:r>
    </w:p>
    <w:p w14:paraId="121C4754" w14:textId="77777777" w:rsidR="0057444B" w:rsidRPr="0057444B" w:rsidRDefault="0057444B" w:rsidP="0057444B">
      <w:pPr>
        <w:rPr>
          <w:rFonts w:ascii="Aptos" w:hAnsi="Aptos"/>
          <w:sz w:val="22"/>
          <w:szCs w:val="22"/>
        </w:rPr>
      </w:pPr>
      <w:r w:rsidRPr="0057444B">
        <w:rPr>
          <w:rFonts w:ascii="Aptos" w:hAnsi="Aptos"/>
          <w:sz w:val="22"/>
          <w:szCs w:val="22"/>
        </w:rPr>
        <w:t xml:space="preserve">Daniels, K. (2025) </w:t>
      </w:r>
      <w:r w:rsidRPr="0057444B">
        <w:rPr>
          <w:rFonts w:ascii="Aptos" w:hAnsi="Aptos"/>
          <w:i/>
          <w:iCs/>
          <w:sz w:val="22"/>
          <w:szCs w:val="22"/>
        </w:rPr>
        <w:t>Introduction to employment law: Fundamentals for HR and business studies</w:t>
      </w:r>
      <w:r w:rsidRPr="0057444B">
        <w:rPr>
          <w:rFonts w:ascii="Aptos" w:hAnsi="Aptos"/>
          <w:sz w:val="22"/>
          <w:szCs w:val="22"/>
        </w:rPr>
        <w:t xml:space="preserve">. 7th </w:t>
      </w:r>
      <w:proofErr w:type="spellStart"/>
      <w:r w:rsidRPr="0057444B">
        <w:rPr>
          <w:rFonts w:ascii="Aptos" w:hAnsi="Aptos"/>
          <w:sz w:val="22"/>
          <w:szCs w:val="22"/>
        </w:rPr>
        <w:t>edn</w:t>
      </w:r>
      <w:proofErr w:type="spellEnd"/>
      <w:r w:rsidRPr="0057444B">
        <w:rPr>
          <w:rFonts w:ascii="Aptos" w:hAnsi="Aptos"/>
          <w:sz w:val="22"/>
          <w:szCs w:val="22"/>
        </w:rPr>
        <w:t>. London: Kogan Page.</w:t>
      </w:r>
    </w:p>
    <w:p w14:paraId="61E92014" w14:textId="77777777" w:rsidR="0057444B" w:rsidRPr="0057444B" w:rsidRDefault="0057444B" w:rsidP="0057444B">
      <w:pPr>
        <w:rPr>
          <w:rFonts w:ascii="Aptos" w:hAnsi="Aptos"/>
          <w:sz w:val="22"/>
          <w:szCs w:val="22"/>
        </w:rPr>
      </w:pPr>
      <w:r w:rsidRPr="0057444B">
        <w:rPr>
          <w:rFonts w:ascii="Aptos" w:hAnsi="Aptos"/>
          <w:sz w:val="22"/>
          <w:szCs w:val="22"/>
        </w:rPr>
        <w:t xml:space="preserve">Employment Tribunal Service (2024) </w:t>
      </w:r>
      <w:r w:rsidRPr="0057444B">
        <w:rPr>
          <w:rFonts w:ascii="Aptos" w:hAnsi="Aptos"/>
          <w:i/>
          <w:iCs/>
          <w:sz w:val="22"/>
          <w:szCs w:val="22"/>
        </w:rPr>
        <w:t>Employment tribunal guide: Unfair dismissal</w:t>
      </w:r>
      <w:r w:rsidRPr="0057444B">
        <w:rPr>
          <w:rFonts w:ascii="Aptos" w:hAnsi="Aptos"/>
          <w:sz w:val="22"/>
          <w:szCs w:val="22"/>
        </w:rPr>
        <w:t xml:space="preserve">. Available at: </w:t>
      </w:r>
      <w:hyperlink r:id="rId39" w:tgtFrame="_new" w:history="1">
        <w:r w:rsidRPr="0057444B">
          <w:rPr>
            <w:rStyle w:val="Hyperlink"/>
            <w:rFonts w:ascii="Aptos" w:hAnsi="Aptos"/>
            <w:sz w:val="22"/>
            <w:szCs w:val="22"/>
          </w:rPr>
          <w:t>https://www.gov.uk/employment-tribunals/unfair-dismissal</w:t>
        </w:r>
      </w:hyperlink>
      <w:r w:rsidRPr="0057444B">
        <w:rPr>
          <w:rFonts w:ascii="Aptos" w:hAnsi="Aptos"/>
          <w:sz w:val="22"/>
          <w:szCs w:val="22"/>
        </w:rPr>
        <w:t xml:space="preserve"> (Accessed: 25 July 2025).</w:t>
      </w:r>
    </w:p>
    <w:p w14:paraId="478092CE" w14:textId="77777777" w:rsidR="0057444B" w:rsidRPr="0057444B" w:rsidRDefault="0057444B" w:rsidP="0057444B">
      <w:pPr>
        <w:rPr>
          <w:rFonts w:ascii="Aptos" w:hAnsi="Aptos"/>
          <w:sz w:val="22"/>
          <w:szCs w:val="22"/>
        </w:rPr>
      </w:pPr>
      <w:r w:rsidRPr="0057444B">
        <w:rPr>
          <w:rFonts w:ascii="Aptos" w:hAnsi="Aptos"/>
          <w:sz w:val="22"/>
          <w:szCs w:val="22"/>
        </w:rPr>
        <w:t xml:space="preserve">Equality Act 2010. Available at: </w:t>
      </w:r>
      <w:hyperlink r:id="rId40" w:tgtFrame="_new" w:history="1">
        <w:r w:rsidRPr="0057444B">
          <w:rPr>
            <w:rStyle w:val="Hyperlink"/>
            <w:rFonts w:ascii="Aptos" w:hAnsi="Aptos"/>
            <w:sz w:val="22"/>
            <w:szCs w:val="22"/>
          </w:rPr>
          <w:t>https://www.legislation.gov.uk/ukpga/2010/15/contents</w:t>
        </w:r>
      </w:hyperlink>
      <w:r w:rsidRPr="0057444B">
        <w:rPr>
          <w:rFonts w:ascii="Aptos" w:hAnsi="Aptos"/>
          <w:sz w:val="22"/>
          <w:szCs w:val="22"/>
        </w:rPr>
        <w:t xml:space="preserve"> (Accessed: 4 September 2025).</w:t>
      </w:r>
    </w:p>
    <w:p w14:paraId="2A8CC620" w14:textId="77777777" w:rsidR="0057444B" w:rsidRPr="0057444B" w:rsidRDefault="0057444B" w:rsidP="0057444B">
      <w:pPr>
        <w:rPr>
          <w:rFonts w:ascii="Aptos" w:hAnsi="Aptos"/>
          <w:sz w:val="22"/>
          <w:szCs w:val="22"/>
        </w:rPr>
      </w:pPr>
      <w:r w:rsidRPr="0057444B">
        <w:rPr>
          <w:rFonts w:ascii="Aptos" w:hAnsi="Aptos"/>
          <w:sz w:val="22"/>
          <w:szCs w:val="22"/>
        </w:rPr>
        <w:t xml:space="preserve">Equality and Human Rights Commission (EHRC) (2019) </w:t>
      </w:r>
      <w:r w:rsidRPr="0057444B">
        <w:rPr>
          <w:rFonts w:ascii="Aptos" w:hAnsi="Aptos"/>
          <w:i/>
          <w:iCs/>
          <w:sz w:val="22"/>
          <w:szCs w:val="22"/>
        </w:rPr>
        <w:t>Workplace discrimination and its effects</w:t>
      </w:r>
      <w:r w:rsidRPr="0057444B">
        <w:rPr>
          <w:rFonts w:ascii="Aptos" w:hAnsi="Aptos"/>
          <w:sz w:val="22"/>
          <w:szCs w:val="22"/>
        </w:rPr>
        <w:t xml:space="preserve">. Available at: </w:t>
      </w:r>
      <w:hyperlink r:id="rId41" w:tgtFrame="_new" w:history="1">
        <w:r w:rsidRPr="0057444B">
          <w:rPr>
            <w:rStyle w:val="Hyperlink"/>
            <w:rFonts w:ascii="Aptos" w:hAnsi="Aptos"/>
            <w:sz w:val="22"/>
            <w:szCs w:val="22"/>
          </w:rPr>
          <w:t>https://www.equalityhumanrights.com/en/advice-and-guidance/workplace-grievance-procedures</w:t>
        </w:r>
      </w:hyperlink>
      <w:r w:rsidRPr="0057444B">
        <w:rPr>
          <w:rFonts w:ascii="Aptos" w:hAnsi="Aptos"/>
          <w:sz w:val="22"/>
          <w:szCs w:val="22"/>
        </w:rPr>
        <w:t xml:space="preserve"> (Accessed: 25 July 2025).</w:t>
      </w:r>
    </w:p>
    <w:p w14:paraId="75997291" w14:textId="77777777" w:rsidR="0057444B" w:rsidRPr="0057444B" w:rsidRDefault="0057444B" w:rsidP="0057444B">
      <w:pPr>
        <w:rPr>
          <w:rFonts w:ascii="Aptos" w:hAnsi="Aptos"/>
          <w:sz w:val="22"/>
          <w:szCs w:val="22"/>
        </w:rPr>
      </w:pPr>
      <w:r w:rsidRPr="0057444B">
        <w:rPr>
          <w:rFonts w:ascii="Aptos" w:hAnsi="Aptos"/>
          <w:sz w:val="22"/>
          <w:szCs w:val="22"/>
        </w:rPr>
        <w:t xml:space="preserve">GMB (2023) </w:t>
      </w:r>
      <w:r w:rsidRPr="0057444B">
        <w:rPr>
          <w:rFonts w:ascii="Aptos" w:hAnsi="Aptos"/>
          <w:i/>
          <w:iCs/>
          <w:sz w:val="22"/>
          <w:szCs w:val="22"/>
        </w:rPr>
        <w:t>Pay and conditions disputes: Causes and consequences</w:t>
      </w:r>
      <w:r w:rsidRPr="0057444B">
        <w:rPr>
          <w:rFonts w:ascii="Aptos" w:hAnsi="Aptos"/>
          <w:sz w:val="22"/>
          <w:szCs w:val="22"/>
        </w:rPr>
        <w:t xml:space="preserve">. Available at: </w:t>
      </w:r>
      <w:hyperlink r:id="rId42" w:tgtFrame="_new" w:history="1">
        <w:r w:rsidRPr="0057444B">
          <w:rPr>
            <w:rStyle w:val="Hyperlink"/>
            <w:rFonts w:ascii="Aptos" w:hAnsi="Aptos"/>
            <w:sz w:val="22"/>
            <w:szCs w:val="22"/>
          </w:rPr>
          <w:t>https://www.gmb.org.uk</w:t>
        </w:r>
      </w:hyperlink>
      <w:r w:rsidRPr="0057444B">
        <w:rPr>
          <w:rFonts w:ascii="Aptos" w:hAnsi="Aptos"/>
          <w:sz w:val="22"/>
          <w:szCs w:val="22"/>
        </w:rPr>
        <w:t xml:space="preserve"> (Accessed: 25 July 2025).</w:t>
      </w:r>
    </w:p>
    <w:p w14:paraId="1ACD26AE" w14:textId="541373A7" w:rsidR="0057444B" w:rsidRPr="0057444B" w:rsidRDefault="0057444B" w:rsidP="0057444B">
      <w:pPr>
        <w:rPr>
          <w:rFonts w:ascii="Aptos" w:hAnsi="Aptos"/>
          <w:sz w:val="22"/>
          <w:szCs w:val="22"/>
        </w:rPr>
      </w:pPr>
      <w:r w:rsidRPr="0057444B">
        <w:rPr>
          <w:rFonts w:ascii="Aptos" w:hAnsi="Aptos"/>
          <w:sz w:val="22"/>
          <w:szCs w:val="22"/>
        </w:rPr>
        <w:t xml:space="preserve">Health and Safety at Work Act 1974. Available at: </w:t>
      </w:r>
      <w:hyperlink r:id="rId43" w:tgtFrame="_new" w:history="1">
        <w:r w:rsidRPr="0057444B">
          <w:rPr>
            <w:rStyle w:val="Hyperlink"/>
            <w:rFonts w:ascii="Aptos" w:hAnsi="Aptos"/>
            <w:sz w:val="22"/>
            <w:szCs w:val="22"/>
          </w:rPr>
          <w:t>https://www.legislation.gov.uk/ukpga/1974/37/contents</w:t>
        </w:r>
      </w:hyperlink>
      <w:r w:rsidRPr="0057444B">
        <w:rPr>
          <w:rFonts w:ascii="Aptos" w:hAnsi="Aptos"/>
          <w:sz w:val="22"/>
          <w:szCs w:val="22"/>
        </w:rPr>
        <w:t xml:space="preserve"> (Accessed: </w:t>
      </w:r>
      <w:r w:rsidR="001536B0">
        <w:rPr>
          <w:rFonts w:ascii="Aptos" w:hAnsi="Aptos"/>
          <w:sz w:val="22"/>
          <w:szCs w:val="22"/>
        </w:rPr>
        <w:t>2</w:t>
      </w:r>
      <w:r w:rsidRPr="0057444B">
        <w:rPr>
          <w:rFonts w:ascii="Aptos" w:hAnsi="Aptos"/>
          <w:sz w:val="22"/>
          <w:szCs w:val="22"/>
        </w:rPr>
        <w:t xml:space="preserve"> September 2025).</w:t>
      </w:r>
    </w:p>
    <w:p w14:paraId="4B519A62" w14:textId="77777777" w:rsidR="0057444B" w:rsidRPr="0057444B" w:rsidRDefault="0057444B" w:rsidP="0057444B">
      <w:pPr>
        <w:rPr>
          <w:rFonts w:ascii="Aptos" w:hAnsi="Aptos"/>
          <w:sz w:val="22"/>
          <w:szCs w:val="22"/>
        </w:rPr>
      </w:pPr>
      <w:r w:rsidRPr="0057444B">
        <w:rPr>
          <w:rFonts w:ascii="Aptos" w:hAnsi="Aptos"/>
          <w:sz w:val="22"/>
          <w:szCs w:val="22"/>
        </w:rPr>
        <w:t xml:space="preserve">Hussain, H.B. (2024) ‘Employee involvement &amp; participation’, LinkedIn, 17 March. Available at: </w:t>
      </w:r>
      <w:hyperlink r:id="rId44" w:tgtFrame="_new" w:history="1">
        <w:r w:rsidRPr="0057444B">
          <w:rPr>
            <w:rStyle w:val="Hyperlink"/>
            <w:rFonts w:ascii="Aptos" w:hAnsi="Aptos"/>
            <w:sz w:val="22"/>
            <w:szCs w:val="22"/>
          </w:rPr>
          <w:t>https://www.linkedin.com/pulse/employee-involvement-participation-hussain-bin-hussain/</w:t>
        </w:r>
      </w:hyperlink>
      <w:r w:rsidRPr="0057444B">
        <w:rPr>
          <w:rFonts w:ascii="Aptos" w:hAnsi="Aptos"/>
          <w:sz w:val="22"/>
          <w:szCs w:val="22"/>
        </w:rPr>
        <w:t xml:space="preserve"> (Accessed: 25 July 2025).</w:t>
      </w:r>
    </w:p>
    <w:p w14:paraId="149C6BC9" w14:textId="0085DFAD" w:rsidR="0057444B" w:rsidRPr="0057444B" w:rsidRDefault="0057444B" w:rsidP="0057444B">
      <w:pPr>
        <w:rPr>
          <w:rFonts w:ascii="Aptos" w:hAnsi="Aptos"/>
          <w:sz w:val="22"/>
          <w:szCs w:val="22"/>
        </w:rPr>
      </w:pPr>
      <w:r w:rsidRPr="0057444B">
        <w:rPr>
          <w:rFonts w:ascii="Aptos" w:hAnsi="Aptos"/>
          <w:sz w:val="22"/>
          <w:szCs w:val="22"/>
        </w:rPr>
        <w:t xml:space="preserve">Involvement and Participation Association (IPA) (2015) </w:t>
      </w:r>
      <w:r w:rsidRPr="0057444B">
        <w:rPr>
          <w:rFonts w:ascii="Aptos" w:hAnsi="Aptos"/>
          <w:i/>
          <w:iCs/>
          <w:sz w:val="22"/>
          <w:szCs w:val="22"/>
        </w:rPr>
        <w:t>Reassessing employee voice</w:t>
      </w:r>
      <w:r w:rsidRPr="0057444B">
        <w:rPr>
          <w:rFonts w:ascii="Aptos" w:hAnsi="Aptos"/>
          <w:sz w:val="22"/>
          <w:szCs w:val="22"/>
        </w:rPr>
        <w:t xml:space="preserve">. Available at: </w:t>
      </w:r>
      <w:hyperlink r:id="rId45" w:tgtFrame="_new" w:history="1">
        <w:r w:rsidRPr="0057444B">
          <w:rPr>
            <w:rStyle w:val="Hyperlink"/>
            <w:rFonts w:ascii="Aptos" w:hAnsi="Aptos"/>
            <w:sz w:val="22"/>
            <w:szCs w:val="22"/>
          </w:rPr>
          <w:t>https://www.ipa-involve.com</w:t>
        </w:r>
      </w:hyperlink>
      <w:r w:rsidRPr="0057444B">
        <w:rPr>
          <w:rFonts w:ascii="Aptos" w:hAnsi="Aptos"/>
          <w:sz w:val="22"/>
          <w:szCs w:val="22"/>
        </w:rPr>
        <w:t xml:space="preserve"> (Accessed: </w:t>
      </w:r>
      <w:r w:rsidR="001536B0">
        <w:rPr>
          <w:rFonts w:ascii="Aptos" w:hAnsi="Aptos"/>
          <w:sz w:val="22"/>
          <w:szCs w:val="22"/>
        </w:rPr>
        <w:t>2</w:t>
      </w:r>
      <w:r w:rsidRPr="0057444B">
        <w:rPr>
          <w:rFonts w:ascii="Aptos" w:hAnsi="Aptos"/>
          <w:sz w:val="22"/>
          <w:szCs w:val="22"/>
        </w:rPr>
        <w:t xml:space="preserve"> September 2025).</w:t>
      </w:r>
    </w:p>
    <w:p w14:paraId="4FDFAAC0" w14:textId="77777777" w:rsidR="0057444B" w:rsidRPr="0057444B" w:rsidRDefault="0057444B" w:rsidP="0057444B">
      <w:pPr>
        <w:rPr>
          <w:rFonts w:ascii="Aptos" w:hAnsi="Aptos"/>
          <w:sz w:val="22"/>
          <w:szCs w:val="22"/>
        </w:rPr>
      </w:pPr>
      <w:r w:rsidRPr="0057444B">
        <w:rPr>
          <w:rFonts w:ascii="Aptos" w:hAnsi="Aptos"/>
          <w:sz w:val="22"/>
          <w:szCs w:val="22"/>
        </w:rPr>
        <w:t xml:space="preserve">Involvement and Participation Association (IPA) (2015) </w:t>
      </w:r>
      <w:r w:rsidRPr="0057444B">
        <w:rPr>
          <w:rFonts w:ascii="Aptos" w:hAnsi="Aptos"/>
          <w:i/>
          <w:iCs/>
          <w:sz w:val="22"/>
          <w:szCs w:val="22"/>
        </w:rPr>
        <w:t>Workplace representation: What next for trade unions and staff forums?</w:t>
      </w:r>
      <w:r w:rsidRPr="0057444B">
        <w:rPr>
          <w:rFonts w:ascii="Aptos" w:hAnsi="Aptos"/>
          <w:sz w:val="22"/>
          <w:szCs w:val="22"/>
        </w:rPr>
        <w:t xml:space="preserve"> Available at: </w:t>
      </w:r>
      <w:hyperlink r:id="rId46" w:tgtFrame="_new" w:history="1">
        <w:r w:rsidRPr="0057444B">
          <w:rPr>
            <w:rStyle w:val="Hyperlink"/>
            <w:rFonts w:ascii="Aptos" w:hAnsi="Aptos"/>
            <w:sz w:val="22"/>
            <w:szCs w:val="22"/>
          </w:rPr>
          <w:t>https://www.ipa-involve.com/News/workplace-representation-what-next-for-trade-s-and-staff-forums</w:t>
        </w:r>
      </w:hyperlink>
      <w:r w:rsidRPr="0057444B">
        <w:rPr>
          <w:rFonts w:ascii="Aptos" w:hAnsi="Aptos"/>
          <w:sz w:val="22"/>
          <w:szCs w:val="22"/>
        </w:rPr>
        <w:t xml:space="preserve"> (Accessed: 21 July 2025).</w:t>
      </w:r>
    </w:p>
    <w:p w14:paraId="52A67272" w14:textId="77777777" w:rsidR="0057444B" w:rsidRPr="0057444B" w:rsidRDefault="0057444B" w:rsidP="0057444B">
      <w:pPr>
        <w:rPr>
          <w:rFonts w:ascii="Aptos" w:hAnsi="Aptos"/>
          <w:sz w:val="22"/>
          <w:szCs w:val="22"/>
        </w:rPr>
      </w:pPr>
      <w:r w:rsidRPr="0057444B">
        <w:rPr>
          <w:rFonts w:ascii="Aptos" w:hAnsi="Aptos"/>
          <w:sz w:val="22"/>
          <w:szCs w:val="22"/>
        </w:rPr>
        <w:t xml:space="preserve">LGA (Local Government Association) (2020) </w:t>
      </w:r>
      <w:r w:rsidRPr="0057444B">
        <w:rPr>
          <w:rFonts w:ascii="Aptos" w:hAnsi="Aptos"/>
          <w:i/>
          <w:iCs/>
          <w:sz w:val="22"/>
          <w:szCs w:val="22"/>
        </w:rPr>
        <w:t>Managing local authority mergers: HR and workforce case studies</w:t>
      </w:r>
      <w:r w:rsidRPr="0057444B">
        <w:rPr>
          <w:rFonts w:ascii="Aptos" w:hAnsi="Aptos"/>
          <w:sz w:val="22"/>
          <w:szCs w:val="22"/>
        </w:rPr>
        <w:t xml:space="preserve">. Available at: </w:t>
      </w:r>
      <w:hyperlink r:id="rId47" w:tgtFrame="_new" w:history="1">
        <w:r w:rsidRPr="0057444B">
          <w:rPr>
            <w:rStyle w:val="Hyperlink"/>
            <w:rFonts w:ascii="Aptos" w:hAnsi="Aptos"/>
            <w:sz w:val="22"/>
            <w:szCs w:val="22"/>
          </w:rPr>
          <w:t>https://www.local.gov.uk</w:t>
        </w:r>
      </w:hyperlink>
      <w:r w:rsidRPr="0057444B">
        <w:rPr>
          <w:rFonts w:ascii="Aptos" w:hAnsi="Aptos"/>
          <w:sz w:val="22"/>
          <w:szCs w:val="22"/>
        </w:rPr>
        <w:t xml:space="preserve"> (Accessed: 4 September 2025).</w:t>
      </w:r>
    </w:p>
    <w:p w14:paraId="5681726E" w14:textId="77777777" w:rsidR="0057444B" w:rsidRPr="0057444B" w:rsidRDefault="0057444B" w:rsidP="0057444B">
      <w:pPr>
        <w:rPr>
          <w:rFonts w:ascii="Aptos" w:hAnsi="Aptos"/>
          <w:sz w:val="22"/>
          <w:szCs w:val="22"/>
        </w:rPr>
      </w:pPr>
      <w:r w:rsidRPr="0057444B">
        <w:rPr>
          <w:rFonts w:ascii="Aptos" w:hAnsi="Aptos"/>
          <w:sz w:val="22"/>
          <w:szCs w:val="22"/>
        </w:rPr>
        <w:t xml:space="preserve">National Minimum Wage Act 1998. (1998) </w:t>
      </w:r>
      <w:r w:rsidRPr="0057444B">
        <w:rPr>
          <w:rFonts w:ascii="Aptos" w:hAnsi="Aptos"/>
          <w:i/>
          <w:iCs/>
          <w:sz w:val="22"/>
          <w:szCs w:val="22"/>
        </w:rPr>
        <w:t>National Minimum Wage Act 1998</w:t>
      </w:r>
      <w:r w:rsidRPr="0057444B">
        <w:rPr>
          <w:rFonts w:ascii="Aptos" w:hAnsi="Aptos"/>
          <w:sz w:val="22"/>
          <w:szCs w:val="22"/>
        </w:rPr>
        <w:t xml:space="preserve">. Available at: </w:t>
      </w:r>
      <w:hyperlink r:id="rId48" w:tgtFrame="_new" w:history="1">
        <w:r w:rsidRPr="0057444B">
          <w:rPr>
            <w:rStyle w:val="Hyperlink"/>
            <w:rFonts w:ascii="Aptos" w:hAnsi="Aptos"/>
            <w:sz w:val="22"/>
            <w:szCs w:val="22"/>
          </w:rPr>
          <w:t>https://www.legislation.gov.uk/ukpga/1998/39/contents</w:t>
        </w:r>
      </w:hyperlink>
      <w:r w:rsidRPr="0057444B">
        <w:rPr>
          <w:rFonts w:ascii="Aptos" w:hAnsi="Aptos"/>
          <w:sz w:val="22"/>
          <w:szCs w:val="22"/>
        </w:rPr>
        <w:t xml:space="preserve"> (Accessed: 4 September 2025).</w:t>
      </w:r>
    </w:p>
    <w:p w14:paraId="3F0FB8D5" w14:textId="77777777" w:rsidR="0057444B" w:rsidRPr="0057444B" w:rsidRDefault="0057444B" w:rsidP="0057444B">
      <w:pPr>
        <w:rPr>
          <w:rFonts w:ascii="Aptos" w:hAnsi="Aptos"/>
          <w:b/>
          <w:bCs/>
          <w:sz w:val="22"/>
          <w:szCs w:val="22"/>
        </w:rPr>
      </w:pPr>
      <w:r w:rsidRPr="0057444B">
        <w:rPr>
          <w:rFonts w:ascii="Aptos" w:hAnsi="Aptos"/>
          <w:sz w:val="22"/>
          <w:szCs w:val="22"/>
        </w:rPr>
        <w:t xml:space="preserve">NHS Employers (2022) </w:t>
      </w:r>
      <w:r w:rsidRPr="0057444B">
        <w:rPr>
          <w:rFonts w:ascii="Aptos" w:hAnsi="Aptos"/>
          <w:i/>
          <w:iCs/>
          <w:sz w:val="22"/>
          <w:szCs w:val="22"/>
        </w:rPr>
        <w:t>Working in partnership with staff side</w:t>
      </w:r>
      <w:r w:rsidRPr="0057444B">
        <w:rPr>
          <w:rFonts w:ascii="Aptos" w:hAnsi="Aptos"/>
          <w:sz w:val="22"/>
          <w:szCs w:val="22"/>
        </w:rPr>
        <w:t xml:space="preserve">. Available at: </w:t>
      </w:r>
      <w:hyperlink r:id="rId49" w:tgtFrame="_new" w:history="1">
        <w:r w:rsidRPr="0057444B">
          <w:rPr>
            <w:rStyle w:val="Hyperlink"/>
            <w:rFonts w:ascii="Aptos" w:hAnsi="Aptos"/>
            <w:sz w:val="22"/>
            <w:szCs w:val="22"/>
          </w:rPr>
          <w:t>https://www.nhsemployers.org/your-workforce/relations/working-in-partnership-with-staff-side</w:t>
        </w:r>
      </w:hyperlink>
      <w:r w:rsidRPr="0057444B">
        <w:rPr>
          <w:rFonts w:ascii="Aptos" w:hAnsi="Aptos"/>
          <w:sz w:val="22"/>
          <w:szCs w:val="22"/>
        </w:rPr>
        <w:t xml:space="preserve"> (Accessed: 4 September 2025).</w:t>
      </w:r>
    </w:p>
    <w:p w14:paraId="51D4A1DB" w14:textId="77777777" w:rsidR="0057444B" w:rsidRDefault="0057444B" w:rsidP="00B929C5">
      <w:pPr>
        <w:rPr>
          <w:rFonts w:ascii="Aptos" w:hAnsi="Aptos"/>
          <w:b/>
          <w:bCs/>
          <w:sz w:val="22"/>
          <w:szCs w:val="22"/>
        </w:rPr>
      </w:pPr>
    </w:p>
    <w:p w14:paraId="1C632881" w14:textId="77777777" w:rsidR="0057444B" w:rsidRDefault="0057444B" w:rsidP="00B929C5">
      <w:pPr>
        <w:rPr>
          <w:rFonts w:ascii="Aptos" w:hAnsi="Aptos"/>
          <w:b/>
          <w:bCs/>
          <w:sz w:val="22"/>
          <w:szCs w:val="22"/>
        </w:rPr>
      </w:pPr>
    </w:p>
    <w:p w14:paraId="0D9CC7CA" w14:textId="77777777" w:rsidR="0057444B" w:rsidRDefault="0057444B" w:rsidP="00B929C5">
      <w:pPr>
        <w:rPr>
          <w:rFonts w:ascii="Aptos" w:hAnsi="Aptos"/>
          <w:b/>
          <w:bCs/>
          <w:sz w:val="22"/>
          <w:szCs w:val="22"/>
        </w:rPr>
      </w:pPr>
    </w:p>
    <w:p w14:paraId="431E7AC6" w14:textId="77777777" w:rsidR="0057444B" w:rsidRDefault="0057444B" w:rsidP="00B929C5">
      <w:pPr>
        <w:rPr>
          <w:rFonts w:ascii="Aptos" w:hAnsi="Aptos"/>
          <w:b/>
          <w:bCs/>
          <w:sz w:val="22"/>
          <w:szCs w:val="22"/>
        </w:rPr>
      </w:pPr>
    </w:p>
    <w:sectPr w:rsidR="00574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E5268"/>
    <w:multiLevelType w:val="hybridMultilevel"/>
    <w:tmpl w:val="B01EFA5A"/>
    <w:numStyleLink w:val="ImportedStyle6"/>
  </w:abstractNum>
  <w:abstractNum w:abstractNumId="1" w15:restartNumberingAfterBreak="0">
    <w:nsid w:val="33643137"/>
    <w:multiLevelType w:val="hybridMultilevel"/>
    <w:tmpl w:val="B01EFA5A"/>
    <w:styleLink w:val="ImportedStyle6"/>
    <w:lvl w:ilvl="0" w:tplc="D12E861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74CFBA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6583EB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E664460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BFA9CE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88E11E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B62A6B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B45A7F2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A7E9F8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64722888"/>
    <w:multiLevelType w:val="multilevel"/>
    <w:tmpl w:val="4A343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080F4B"/>
    <w:multiLevelType w:val="multilevel"/>
    <w:tmpl w:val="C2DE5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510987">
    <w:abstractNumId w:val="1"/>
  </w:num>
  <w:num w:numId="2" w16cid:durableId="1741712914">
    <w:abstractNumId w:val="0"/>
  </w:num>
  <w:num w:numId="3" w16cid:durableId="2029485585">
    <w:abstractNumId w:val="3"/>
  </w:num>
  <w:num w:numId="4" w16cid:durableId="2087918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C8"/>
    <w:rsid w:val="00005122"/>
    <w:rsid w:val="0001337F"/>
    <w:rsid w:val="0001624C"/>
    <w:rsid w:val="00024DD3"/>
    <w:rsid w:val="00035617"/>
    <w:rsid w:val="000377DC"/>
    <w:rsid w:val="0004407B"/>
    <w:rsid w:val="00050C38"/>
    <w:rsid w:val="000528EA"/>
    <w:rsid w:val="000533AF"/>
    <w:rsid w:val="00053DD9"/>
    <w:rsid w:val="00054FEE"/>
    <w:rsid w:val="00060851"/>
    <w:rsid w:val="0006286C"/>
    <w:rsid w:val="0006413A"/>
    <w:rsid w:val="00066586"/>
    <w:rsid w:val="000732AE"/>
    <w:rsid w:val="0008180C"/>
    <w:rsid w:val="00083220"/>
    <w:rsid w:val="00084D9B"/>
    <w:rsid w:val="000863BE"/>
    <w:rsid w:val="00094049"/>
    <w:rsid w:val="000A25DF"/>
    <w:rsid w:val="000A62AF"/>
    <w:rsid w:val="000C68A5"/>
    <w:rsid w:val="000D3095"/>
    <w:rsid w:val="000D6864"/>
    <w:rsid w:val="000D75B9"/>
    <w:rsid w:val="000E3460"/>
    <w:rsid w:val="000E383A"/>
    <w:rsid w:val="000E6082"/>
    <w:rsid w:val="000E7132"/>
    <w:rsid w:val="000F57C5"/>
    <w:rsid w:val="000F7496"/>
    <w:rsid w:val="00101EDA"/>
    <w:rsid w:val="001026A4"/>
    <w:rsid w:val="001314AE"/>
    <w:rsid w:val="0013708E"/>
    <w:rsid w:val="00137F9A"/>
    <w:rsid w:val="0014260B"/>
    <w:rsid w:val="00150C13"/>
    <w:rsid w:val="001536B0"/>
    <w:rsid w:val="00181AB2"/>
    <w:rsid w:val="001A1260"/>
    <w:rsid w:val="001A789D"/>
    <w:rsid w:val="001B4F42"/>
    <w:rsid w:val="001B6C7D"/>
    <w:rsid w:val="001B787F"/>
    <w:rsid w:val="001D4D10"/>
    <w:rsid w:val="001D4EF9"/>
    <w:rsid w:val="001D53D2"/>
    <w:rsid w:val="001E054C"/>
    <w:rsid w:val="001F4310"/>
    <w:rsid w:val="0020664F"/>
    <w:rsid w:val="00207881"/>
    <w:rsid w:val="00210067"/>
    <w:rsid w:val="002209BC"/>
    <w:rsid w:val="002469F9"/>
    <w:rsid w:val="0027291E"/>
    <w:rsid w:val="00285950"/>
    <w:rsid w:val="002860F7"/>
    <w:rsid w:val="0029222E"/>
    <w:rsid w:val="002924E1"/>
    <w:rsid w:val="00292B58"/>
    <w:rsid w:val="002957F9"/>
    <w:rsid w:val="002A5148"/>
    <w:rsid w:val="002A6C9A"/>
    <w:rsid w:val="002B62B4"/>
    <w:rsid w:val="002B7BB8"/>
    <w:rsid w:val="002C4141"/>
    <w:rsid w:val="002E5A8C"/>
    <w:rsid w:val="00304B61"/>
    <w:rsid w:val="00306961"/>
    <w:rsid w:val="003215BF"/>
    <w:rsid w:val="00322449"/>
    <w:rsid w:val="003357DF"/>
    <w:rsid w:val="00344E78"/>
    <w:rsid w:val="003503B0"/>
    <w:rsid w:val="003547E0"/>
    <w:rsid w:val="0035488F"/>
    <w:rsid w:val="003558B6"/>
    <w:rsid w:val="00366E1C"/>
    <w:rsid w:val="003710C9"/>
    <w:rsid w:val="003775F6"/>
    <w:rsid w:val="0038119A"/>
    <w:rsid w:val="003856A2"/>
    <w:rsid w:val="00392CAE"/>
    <w:rsid w:val="003B02C7"/>
    <w:rsid w:val="003D7577"/>
    <w:rsid w:val="003E6DD9"/>
    <w:rsid w:val="003F6083"/>
    <w:rsid w:val="00402A08"/>
    <w:rsid w:val="004065A6"/>
    <w:rsid w:val="00420BC2"/>
    <w:rsid w:val="00420F5D"/>
    <w:rsid w:val="00426989"/>
    <w:rsid w:val="0043040F"/>
    <w:rsid w:val="00431111"/>
    <w:rsid w:val="00432F58"/>
    <w:rsid w:val="004420B2"/>
    <w:rsid w:val="00447734"/>
    <w:rsid w:val="00452256"/>
    <w:rsid w:val="00461C3A"/>
    <w:rsid w:val="00465C2C"/>
    <w:rsid w:val="004665B0"/>
    <w:rsid w:val="004771A4"/>
    <w:rsid w:val="00484A68"/>
    <w:rsid w:val="00486C98"/>
    <w:rsid w:val="00497BA5"/>
    <w:rsid w:val="004A195C"/>
    <w:rsid w:val="004A712C"/>
    <w:rsid w:val="004B4D87"/>
    <w:rsid w:val="004C77B9"/>
    <w:rsid w:val="004E4D50"/>
    <w:rsid w:val="00500312"/>
    <w:rsid w:val="00500736"/>
    <w:rsid w:val="00502C42"/>
    <w:rsid w:val="00502F37"/>
    <w:rsid w:val="00507382"/>
    <w:rsid w:val="00521221"/>
    <w:rsid w:val="00524B8B"/>
    <w:rsid w:val="00526502"/>
    <w:rsid w:val="00551D0E"/>
    <w:rsid w:val="005541E5"/>
    <w:rsid w:val="005622A9"/>
    <w:rsid w:val="005636C0"/>
    <w:rsid w:val="0056400B"/>
    <w:rsid w:val="0057193C"/>
    <w:rsid w:val="0057444B"/>
    <w:rsid w:val="00583B25"/>
    <w:rsid w:val="00586883"/>
    <w:rsid w:val="005940F3"/>
    <w:rsid w:val="00596D47"/>
    <w:rsid w:val="005A2D22"/>
    <w:rsid w:val="005D18DD"/>
    <w:rsid w:val="005D75A4"/>
    <w:rsid w:val="005E30F7"/>
    <w:rsid w:val="005E77D5"/>
    <w:rsid w:val="006049B9"/>
    <w:rsid w:val="00604CDD"/>
    <w:rsid w:val="006117E2"/>
    <w:rsid w:val="00621A85"/>
    <w:rsid w:val="00643FB5"/>
    <w:rsid w:val="00653666"/>
    <w:rsid w:val="0065676A"/>
    <w:rsid w:val="00662A60"/>
    <w:rsid w:val="00672030"/>
    <w:rsid w:val="00673D2E"/>
    <w:rsid w:val="006778AA"/>
    <w:rsid w:val="00682224"/>
    <w:rsid w:val="00682BB7"/>
    <w:rsid w:val="00683778"/>
    <w:rsid w:val="00685635"/>
    <w:rsid w:val="00690875"/>
    <w:rsid w:val="00692C06"/>
    <w:rsid w:val="00693B57"/>
    <w:rsid w:val="00693E53"/>
    <w:rsid w:val="006B10B3"/>
    <w:rsid w:val="006B39F4"/>
    <w:rsid w:val="006C3375"/>
    <w:rsid w:val="006C5819"/>
    <w:rsid w:val="006F101D"/>
    <w:rsid w:val="006F28FF"/>
    <w:rsid w:val="006F6B85"/>
    <w:rsid w:val="006F7D26"/>
    <w:rsid w:val="007029E2"/>
    <w:rsid w:val="00711984"/>
    <w:rsid w:val="00715B4C"/>
    <w:rsid w:val="00717987"/>
    <w:rsid w:val="00733CD6"/>
    <w:rsid w:val="00734ECA"/>
    <w:rsid w:val="00737B5D"/>
    <w:rsid w:val="0074015B"/>
    <w:rsid w:val="00746B99"/>
    <w:rsid w:val="007515BC"/>
    <w:rsid w:val="00752D75"/>
    <w:rsid w:val="007535F7"/>
    <w:rsid w:val="00755EA8"/>
    <w:rsid w:val="00760E65"/>
    <w:rsid w:val="007738DF"/>
    <w:rsid w:val="007771DB"/>
    <w:rsid w:val="0078082B"/>
    <w:rsid w:val="0078367F"/>
    <w:rsid w:val="00783C20"/>
    <w:rsid w:val="007977EE"/>
    <w:rsid w:val="007A11F2"/>
    <w:rsid w:val="007A7D6E"/>
    <w:rsid w:val="007B05E2"/>
    <w:rsid w:val="007C01B8"/>
    <w:rsid w:val="007D0207"/>
    <w:rsid w:val="007D3046"/>
    <w:rsid w:val="007D4643"/>
    <w:rsid w:val="007E435A"/>
    <w:rsid w:val="007E5D68"/>
    <w:rsid w:val="00806CA5"/>
    <w:rsid w:val="00811DC4"/>
    <w:rsid w:val="0082103E"/>
    <w:rsid w:val="00825DEB"/>
    <w:rsid w:val="0082639F"/>
    <w:rsid w:val="008313D3"/>
    <w:rsid w:val="0083381A"/>
    <w:rsid w:val="00834D31"/>
    <w:rsid w:val="00835895"/>
    <w:rsid w:val="00836567"/>
    <w:rsid w:val="0085561F"/>
    <w:rsid w:val="0086266B"/>
    <w:rsid w:val="00864A3F"/>
    <w:rsid w:val="008746EF"/>
    <w:rsid w:val="00876F0D"/>
    <w:rsid w:val="00880A41"/>
    <w:rsid w:val="0088501A"/>
    <w:rsid w:val="00887BBC"/>
    <w:rsid w:val="008905EB"/>
    <w:rsid w:val="00897430"/>
    <w:rsid w:val="008A2DBE"/>
    <w:rsid w:val="008A58C7"/>
    <w:rsid w:val="008C2089"/>
    <w:rsid w:val="008C3551"/>
    <w:rsid w:val="008C5E29"/>
    <w:rsid w:val="008D37CC"/>
    <w:rsid w:val="008E7656"/>
    <w:rsid w:val="008F4629"/>
    <w:rsid w:val="008F7D32"/>
    <w:rsid w:val="00907F35"/>
    <w:rsid w:val="00914899"/>
    <w:rsid w:val="009254A3"/>
    <w:rsid w:val="0092554E"/>
    <w:rsid w:val="009259C1"/>
    <w:rsid w:val="00934421"/>
    <w:rsid w:val="009456F5"/>
    <w:rsid w:val="00964D31"/>
    <w:rsid w:val="00965DD2"/>
    <w:rsid w:val="00972930"/>
    <w:rsid w:val="00974C06"/>
    <w:rsid w:val="009764BA"/>
    <w:rsid w:val="009A0329"/>
    <w:rsid w:val="009B67AD"/>
    <w:rsid w:val="009C6D00"/>
    <w:rsid w:val="009D0431"/>
    <w:rsid w:val="009D0560"/>
    <w:rsid w:val="009E3136"/>
    <w:rsid w:val="009F217A"/>
    <w:rsid w:val="009F5CD4"/>
    <w:rsid w:val="009F7F14"/>
    <w:rsid w:val="00A00182"/>
    <w:rsid w:val="00A01A8B"/>
    <w:rsid w:val="00A10024"/>
    <w:rsid w:val="00A21CF9"/>
    <w:rsid w:val="00A26E31"/>
    <w:rsid w:val="00A27923"/>
    <w:rsid w:val="00A33CD2"/>
    <w:rsid w:val="00A34C26"/>
    <w:rsid w:val="00A5339D"/>
    <w:rsid w:val="00A60772"/>
    <w:rsid w:val="00A6430E"/>
    <w:rsid w:val="00A6579C"/>
    <w:rsid w:val="00A6676B"/>
    <w:rsid w:val="00A90111"/>
    <w:rsid w:val="00A94454"/>
    <w:rsid w:val="00AA26E0"/>
    <w:rsid w:val="00AA6F5E"/>
    <w:rsid w:val="00AB2AD8"/>
    <w:rsid w:val="00AB3AE4"/>
    <w:rsid w:val="00AB69EB"/>
    <w:rsid w:val="00AB79BE"/>
    <w:rsid w:val="00AC560E"/>
    <w:rsid w:val="00AD0243"/>
    <w:rsid w:val="00AD3123"/>
    <w:rsid w:val="00AD345E"/>
    <w:rsid w:val="00AD5F7F"/>
    <w:rsid w:val="00AF492B"/>
    <w:rsid w:val="00AF50D2"/>
    <w:rsid w:val="00AF7E31"/>
    <w:rsid w:val="00B17083"/>
    <w:rsid w:val="00B17DD5"/>
    <w:rsid w:val="00B35A18"/>
    <w:rsid w:val="00B366AA"/>
    <w:rsid w:val="00B43EBD"/>
    <w:rsid w:val="00B513DE"/>
    <w:rsid w:val="00B533F9"/>
    <w:rsid w:val="00B66799"/>
    <w:rsid w:val="00B7179A"/>
    <w:rsid w:val="00B73DDC"/>
    <w:rsid w:val="00B753F0"/>
    <w:rsid w:val="00B77C3D"/>
    <w:rsid w:val="00B81E03"/>
    <w:rsid w:val="00B87229"/>
    <w:rsid w:val="00B91C7E"/>
    <w:rsid w:val="00B929C5"/>
    <w:rsid w:val="00BA175C"/>
    <w:rsid w:val="00BA6D6C"/>
    <w:rsid w:val="00BB435E"/>
    <w:rsid w:val="00BB6AD3"/>
    <w:rsid w:val="00BB79D2"/>
    <w:rsid w:val="00BC1810"/>
    <w:rsid w:val="00BC339A"/>
    <w:rsid w:val="00BE7079"/>
    <w:rsid w:val="00BF244C"/>
    <w:rsid w:val="00BF51B8"/>
    <w:rsid w:val="00BF5322"/>
    <w:rsid w:val="00C0149A"/>
    <w:rsid w:val="00C03F3F"/>
    <w:rsid w:val="00C068A4"/>
    <w:rsid w:val="00C0743D"/>
    <w:rsid w:val="00C20E9A"/>
    <w:rsid w:val="00C21466"/>
    <w:rsid w:val="00C234F6"/>
    <w:rsid w:val="00C3799B"/>
    <w:rsid w:val="00C41651"/>
    <w:rsid w:val="00C51012"/>
    <w:rsid w:val="00C51205"/>
    <w:rsid w:val="00C56C85"/>
    <w:rsid w:val="00C6075A"/>
    <w:rsid w:val="00C60F17"/>
    <w:rsid w:val="00C6361F"/>
    <w:rsid w:val="00C72EAF"/>
    <w:rsid w:val="00C838E4"/>
    <w:rsid w:val="00C97FA0"/>
    <w:rsid w:val="00CA0085"/>
    <w:rsid w:val="00CA04E8"/>
    <w:rsid w:val="00CA1878"/>
    <w:rsid w:val="00CB56C4"/>
    <w:rsid w:val="00CB655F"/>
    <w:rsid w:val="00CC199F"/>
    <w:rsid w:val="00CC361A"/>
    <w:rsid w:val="00CD5B3A"/>
    <w:rsid w:val="00CE25F0"/>
    <w:rsid w:val="00CE3F12"/>
    <w:rsid w:val="00CE4C3A"/>
    <w:rsid w:val="00CE652F"/>
    <w:rsid w:val="00CE6F58"/>
    <w:rsid w:val="00CE7A66"/>
    <w:rsid w:val="00CF209E"/>
    <w:rsid w:val="00D00718"/>
    <w:rsid w:val="00D04F46"/>
    <w:rsid w:val="00D12D33"/>
    <w:rsid w:val="00D1784A"/>
    <w:rsid w:val="00D234FF"/>
    <w:rsid w:val="00D31198"/>
    <w:rsid w:val="00D32111"/>
    <w:rsid w:val="00D40ABE"/>
    <w:rsid w:val="00D50F9D"/>
    <w:rsid w:val="00D61906"/>
    <w:rsid w:val="00D62CF4"/>
    <w:rsid w:val="00D74C8D"/>
    <w:rsid w:val="00DA0AAE"/>
    <w:rsid w:val="00DA2475"/>
    <w:rsid w:val="00DA249C"/>
    <w:rsid w:val="00DA4139"/>
    <w:rsid w:val="00DB53CA"/>
    <w:rsid w:val="00DB67A9"/>
    <w:rsid w:val="00DC2F4A"/>
    <w:rsid w:val="00DD3FDD"/>
    <w:rsid w:val="00DD535B"/>
    <w:rsid w:val="00DD7DE1"/>
    <w:rsid w:val="00DE301E"/>
    <w:rsid w:val="00DF0C81"/>
    <w:rsid w:val="00DF23F1"/>
    <w:rsid w:val="00DF50F3"/>
    <w:rsid w:val="00DF5977"/>
    <w:rsid w:val="00E10D29"/>
    <w:rsid w:val="00E12F11"/>
    <w:rsid w:val="00E13A06"/>
    <w:rsid w:val="00E17A85"/>
    <w:rsid w:val="00E24CD4"/>
    <w:rsid w:val="00E3018C"/>
    <w:rsid w:val="00E30BE2"/>
    <w:rsid w:val="00E34962"/>
    <w:rsid w:val="00E46D56"/>
    <w:rsid w:val="00E577D7"/>
    <w:rsid w:val="00E60F0A"/>
    <w:rsid w:val="00E63FFE"/>
    <w:rsid w:val="00E73A7F"/>
    <w:rsid w:val="00E81718"/>
    <w:rsid w:val="00E84F48"/>
    <w:rsid w:val="00E858BD"/>
    <w:rsid w:val="00EA0C0C"/>
    <w:rsid w:val="00EA47E1"/>
    <w:rsid w:val="00ED39B5"/>
    <w:rsid w:val="00ED7D7D"/>
    <w:rsid w:val="00ED7D96"/>
    <w:rsid w:val="00EE4173"/>
    <w:rsid w:val="00EF3B89"/>
    <w:rsid w:val="00EF5C66"/>
    <w:rsid w:val="00EF736C"/>
    <w:rsid w:val="00F01783"/>
    <w:rsid w:val="00F123BF"/>
    <w:rsid w:val="00F204BE"/>
    <w:rsid w:val="00F236EF"/>
    <w:rsid w:val="00F242AC"/>
    <w:rsid w:val="00F24B34"/>
    <w:rsid w:val="00F26220"/>
    <w:rsid w:val="00F2653B"/>
    <w:rsid w:val="00F306A1"/>
    <w:rsid w:val="00F32D93"/>
    <w:rsid w:val="00F330CA"/>
    <w:rsid w:val="00F35867"/>
    <w:rsid w:val="00F4546C"/>
    <w:rsid w:val="00F55E4E"/>
    <w:rsid w:val="00F57C24"/>
    <w:rsid w:val="00F621F1"/>
    <w:rsid w:val="00F658CA"/>
    <w:rsid w:val="00F67D18"/>
    <w:rsid w:val="00F735C8"/>
    <w:rsid w:val="00F7468D"/>
    <w:rsid w:val="00F7731D"/>
    <w:rsid w:val="00F812D4"/>
    <w:rsid w:val="00F85EBC"/>
    <w:rsid w:val="00F912A6"/>
    <w:rsid w:val="00FA0515"/>
    <w:rsid w:val="00FA3399"/>
    <w:rsid w:val="00FA7753"/>
    <w:rsid w:val="00FA79DD"/>
    <w:rsid w:val="00FB3F6F"/>
    <w:rsid w:val="00FB60C1"/>
    <w:rsid w:val="00FB76DD"/>
    <w:rsid w:val="00FC5310"/>
    <w:rsid w:val="00FD35BD"/>
    <w:rsid w:val="00FD5A33"/>
    <w:rsid w:val="00FE0FC0"/>
    <w:rsid w:val="00FE2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536B"/>
  <w15:chartTrackingRefBased/>
  <w15:docId w15:val="{296E314B-77AE-4B0C-85B8-0D4FF333B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5C8"/>
  </w:style>
  <w:style w:type="paragraph" w:styleId="Heading1">
    <w:name w:val="heading 1"/>
    <w:basedOn w:val="Normal"/>
    <w:next w:val="Normal"/>
    <w:link w:val="Heading1Char"/>
    <w:uiPriority w:val="9"/>
    <w:qFormat/>
    <w:rsid w:val="00F735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735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735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735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735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35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5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5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5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735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735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735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735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35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5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5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5C8"/>
    <w:rPr>
      <w:rFonts w:eastAsiaTheme="majorEastAsia" w:cstheme="majorBidi"/>
      <w:color w:val="272727" w:themeColor="text1" w:themeTint="D8"/>
    </w:rPr>
  </w:style>
  <w:style w:type="paragraph" w:styleId="Title">
    <w:name w:val="Title"/>
    <w:basedOn w:val="Normal"/>
    <w:next w:val="Normal"/>
    <w:link w:val="TitleChar"/>
    <w:uiPriority w:val="10"/>
    <w:qFormat/>
    <w:rsid w:val="00F735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5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5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5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5C8"/>
    <w:pPr>
      <w:spacing w:before="160"/>
      <w:jc w:val="center"/>
    </w:pPr>
    <w:rPr>
      <w:i/>
      <w:iCs/>
      <w:color w:val="404040" w:themeColor="text1" w:themeTint="BF"/>
    </w:rPr>
  </w:style>
  <w:style w:type="character" w:customStyle="1" w:styleId="QuoteChar">
    <w:name w:val="Quote Char"/>
    <w:basedOn w:val="DefaultParagraphFont"/>
    <w:link w:val="Quote"/>
    <w:uiPriority w:val="29"/>
    <w:rsid w:val="00F735C8"/>
    <w:rPr>
      <w:i/>
      <w:iCs/>
      <w:color w:val="404040" w:themeColor="text1" w:themeTint="BF"/>
    </w:rPr>
  </w:style>
  <w:style w:type="paragraph" w:styleId="ListParagraph">
    <w:name w:val="List Paragraph"/>
    <w:basedOn w:val="Normal"/>
    <w:uiPriority w:val="34"/>
    <w:qFormat/>
    <w:rsid w:val="00F735C8"/>
    <w:pPr>
      <w:ind w:left="720"/>
      <w:contextualSpacing/>
    </w:pPr>
  </w:style>
  <w:style w:type="character" w:styleId="IntenseEmphasis">
    <w:name w:val="Intense Emphasis"/>
    <w:basedOn w:val="DefaultParagraphFont"/>
    <w:uiPriority w:val="21"/>
    <w:qFormat/>
    <w:rsid w:val="00F735C8"/>
    <w:rPr>
      <w:i/>
      <w:iCs/>
      <w:color w:val="2F5496" w:themeColor="accent1" w:themeShade="BF"/>
    </w:rPr>
  </w:style>
  <w:style w:type="paragraph" w:styleId="IntenseQuote">
    <w:name w:val="Intense Quote"/>
    <w:basedOn w:val="Normal"/>
    <w:next w:val="Normal"/>
    <w:link w:val="IntenseQuoteChar"/>
    <w:uiPriority w:val="30"/>
    <w:qFormat/>
    <w:rsid w:val="00F735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35C8"/>
    <w:rPr>
      <w:i/>
      <w:iCs/>
      <w:color w:val="2F5496" w:themeColor="accent1" w:themeShade="BF"/>
    </w:rPr>
  </w:style>
  <w:style w:type="character" w:styleId="IntenseReference">
    <w:name w:val="Intense Reference"/>
    <w:basedOn w:val="DefaultParagraphFont"/>
    <w:uiPriority w:val="32"/>
    <w:qFormat/>
    <w:rsid w:val="00F735C8"/>
    <w:rPr>
      <w:b/>
      <w:bCs/>
      <w:smallCaps/>
      <w:color w:val="2F5496" w:themeColor="accent1" w:themeShade="BF"/>
      <w:spacing w:val="5"/>
    </w:rPr>
  </w:style>
  <w:style w:type="paragraph" w:customStyle="1" w:styleId="Body">
    <w:name w:val="Body"/>
    <w:rsid w:val="00F735C8"/>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customStyle="1" w:styleId="Listparag">
    <w:name w:val="List parag"/>
    <w:rsid w:val="00F735C8"/>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paragraph" w:customStyle="1" w:styleId="Default">
    <w:name w:val="Default"/>
    <w:rsid w:val="00F735C8"/>
    <w:pPr>
      <w:pBdr>
        <w:top w:val="nil"/>
        <w:left w:val="nil"/>
        <w:bottom w:val="nil"/>
        <w:right w:val="nil"/>
        <w:between w:val="nil"/>
        <w:bar w:val="nil"/>
      </w:pBdr>
      <w:spacing w:after="0" w:line="259" w:lineRule="auto"/>
    </w:pPr>
    <w:rPr>
      <w:rFonts w:ascii="Trebuchet MS" w:eastAsia="Arial Unicode MS" w:hAnsi="Trebuchet MS" w:cs="Arial Unicode MS"/>
      <w:color w:val="000000"/>
      <w:kern w:val="0"/>
      <w:u w:color="000000"/>
      <w:bdr w:val="nil"/>
      <w:lang w:val="en-US"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604CDD"/>
    <w:rPr>
      <w:color w:val="0563C1" w:themeColor="hyperlink"/>
      <w:u w:val="single"/>
    </w:rPr>
  </w:style>
  <w:style w:type="character" w:styleId="UnresolvedMention">
    <w:name w:val="Unresolved Mention"/>
    <w:basedOn w:val="DefaultParagraphFont"/>
    <w:uiPriority w:val="99"/>
    <w:semiHidden/>
    <w:unhideWhenUsed/>
    <w:rsid w:val="00604CDD"/>
    <w:rPr>
      <w:color w:val="605E5C"/>
      <w:shd w:val="clear" w:color="auto" w:fill="E1DFDD"/>
    </w:rPr>
  </w:style>
  <w:style w:type="paragraph" w:customStyle="1" w:styleId="Nornal">
    <w:name w:val="Nornal"/>
    <w:rsid w:val="00B17DD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6">
    <w:name w:val="Imported Style 6"/>
    <w:rsid w:val="00B17DD5"/>
    <w:pPr>
      <w:numPr>
        <w:numId w:val="1"/>
      </w:numPr>
    </w:pPr>
  </w:style>
  <w:style w:type="character" w:styleId="FollowedHyperlink">
    <w:name w:val="FollowedHyperlink"/>
    <w:basedOn w:val="DefaultParagraphFont"/>
    <w:uiPriority w:val="99"/>
    <w:semiHidden/>
    <w:unhideWhenUsed/>
    <w:rsid w:val="008A2DBE"/>
    <w:rPr>
      <w:color w:val="954F72" w:themeColor="followedHyperlink"/>
      <w:u w:val="single"/>
    </w:rPr>
  </w:style>
  <w:style w:type="paragraph" w:styleId="NormalWeb">
    <w:name w:val="Normal (Web)"/>
    <w:basedOn w:val="Normal"/>
    <w:uiPriority w:val="99"/>
    <w:semiHidden/>
    <w:unhideWhenUsed/>
    <w:rsid w:val="000F57C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494">
      <w:bodyDiv w:val="1"/>
      <w:marLeft w:val="0"/>
      <w:marRight w:val="0"/>
      <w:marTop w:val="0"/>
      <w:marBottom w:val="0"/>
      <w:divBdr>
        <w:top w:val="none" w:sz="0" w:space="0" w:color="auto"/>
        <w:left w:val="none" w:sz="0" w:space="0" w:color="auto"/>
        <w:bottom w:val="none" w:sz="0" w:space="0" w:color="auto"/>
        <w:right w:val="none" w:sz="0" w:space="0" w:color="auto"/>
      </w:divBdr>
    </w:div>
    <w:div w:id="6955440">
      <w:bodyDiv w:val="1"/>
      <w:marLeft w:val="0"/>
      <w:marRight w:val="0"/>
      <w:marTop w:val="0"/>
      <w:marBottom w:val="0"/>
      <w:divBdr>
        <w:top w:val="none" w:sz="0" w:space="0" w:color="auto"/>
        <w:left w:val="none" w:sz="0" w:space="0" w:color="auto"/>
        <w:bottom w:val="none" w:sz="0" w:space="0" w:color="auto"/>
        <w:right w:val="none" w:sz="0" w:space="0" w:color="auto"/>
      </w:divBdr>
    </w:div>
    <w:div w:id="35546895">
      <w:bodyDiv w:val="1"/>
      <w:marLeft w:val="0"/>
      <w:marRight w:val="0"/>
      <w:marTop w:val="0"/>
      <w:marBottom w:val="0"/>
      <w:divBdr>
        <w:top w:val="none" w:sz="0" w:space="0" w:color="auto"/>
        <w:left w:val="none" w:sz="0" w:space="0" w:color="auto"/>
        <w:bottom w:val="none" w:sz="0" w:space="0" w:color="auto"/>
        <w:right w:val="none" w:sz="0" w:space="0" w:color="auto"/>
      </w:divBdr>
    </w:div>
    <w:div w:id="38825466">
      <w:bodyDiv w:val="1"/>
      <w:marLeft w:val="0"/>
      <w:marRight w:val="0"/>
      <w:marTop w:val="0"/>
      <w:marBottom w:val="0"/>
      <w:divBdr>
        <w:top w:val="none" w:sz="0" w:space="0" w:color="auto"/>
        <w:left w:val="none" w:sz="0" w:space="0" w:color="auto"/>
        <w:bottom w:val="none" w:sz="0" w:space="0" w:color="auto"/>
        <w:right w:val="none" w:sz="0" w:space="0" w:color="auto"/>
      </w:divBdr>
    </w:div>
    <w:div w:id="40250237">
      <w:bodyDiv w:val="1"/>
      <w:marLeft w:val="0"/>
      <w:marRight w:val="0"/>
      <w:marTop w:val="0"/>
      <w:marBottom w:val="0"/>
      <w:divBdr>
        <w:top w:val="none" w:sz="0" w:space="0" w:color="auto"/>
        <w:left w:val="none" w:sz="0" w:space="0" w:color="auto"/>
        <w:bottom w:val="none" w:sz="0" w:space="0" w:color="auto"/>
        <w:right w:val="none" w:sz="0" w:space="0" w:color="auto"/>
      </w:divBdr>
    </w:div>
    <w:div w:id="60520727">
      <w:bodyDiv w:val="1"/>
      <w:marLeft w:val="0"/>
      <w:marRight w:val="0"/>
      <w:marTop w:val="0"/>
      <w:marBottom w:val="0"/>
      <w:divBdr>
        <w:top w:val="none" w:sz="0" w:space="0" w:color="auto"/>
        <w:left w:val="none" w:sz="0" w:space="0" w:color="auto"/>
        <w:bottom w:val="none" w:sz="0" w:space="0" w:color="auto"/>
        <w:right w:val="none" w:sz="0" w:space="0" w:color="auto"/>
      </w:divBdr>
    </w:div>
    <w:div w:id="84574113">
      <w:bodyDiv w:val="1"/>
      <w:marLeft w:val="0"/>
      <w:marRight w:val="0"/>
      <w:marTop w:val="0"/>
      <w:marBottom w:val="0"/>
      <w:divBdr>
        <w:top w:val="none" w:sz="0" w:space="0" w:color="auto"/>
        <w:left w:val="none" w:sz="0" w:space="0" w:color="auto"/>
        <w:bottom w:val="none" w:sz="0" w:space="0" w:color="auto"/>
        <w:right w:val="none" w:sz="0" w:space="0" w:color="auto"/>
      </w:divBdr>
    </w:div>
    <w:div w:id="97798709">
      <w:bodyDiv w:val="1"/>
      <w:marLeft w:val="0"/>
      <w:marRight w:val="0"/>
      <w:marTop w:val="0"/>
      <w:marBottom w:val="0"/>
      <w:divBdr>
        <w:top w:val="none" w:sz="0" w:space="0" w:color="auto"/>
        <w:left w:val="none" w:sz="0" w:space="0" w:color="auto"/>
        <w:bottom w:val="none" w:sz="0" w:space="0" w:color="auto"/>
        <w:right w:val="none" w:sz="0" w:space="0" w:color="auto"/>
      </w:divBdr>
    </w:div>
    <w:div w:id="104159581">
      <w:bodyDiv w:val="1"/>
      <w:marLeft w:val="0"/>
      <w:marRight w:val="0"/>
      <w:marTop w:val="0"/>
      <w:marBottom w:val="0"/>
      <w:divBdr>
        <w:top w:val="none" w:sz="0" w:space="0" w:color="auto"/>
        <w:left w:val="none" w:sz="0" w:space="0" w:color="auto"/>
        <w:bottom w:val="none" w:sz="0" w:space="0" w:color="auto"/>
        <w:right w:val="none" w:sz="0" w:space="0" w:color="auto"/>
      </w:divBdr>
    </w:div>
    <w:div w:id="104735353">
      <w:bodyDiv w:val="1"/>
      <w:marLeft w:val="0"/>
      <w:marRight w:val="0"/>
      <w:marTop w:val="0"/>
      <w:marBottom w:val="0"/>
      <w:divBdr>
        <w:top w:val="none" w:sz="0" w:space="0" w:color="auto"/>
        <w:left w:val="none" w:sz="0" w:space="0" w:color="auto"/>
        <w:bottom w:val="none" w:sz="0" w:space="0" w:color="auto"/>
        <w:right w:val="none" w:sz="0" w:space="0" w:color="auto"/>
      </w:divBdr>
    </w:div>
    <w:div w:id="138497830">
      <w:bodyDiv w:val="1"/>
      <w:marLeft w:val="0"/>
      <w:marRight w:val="0"/>
      <w:marTop w:val="0"/>
      <w:marBottom w:val="0"/>
      <w:divBdr>
        <w:top w:val="none" w:sz="0" w:space="0" w:color="auto"/>
        <w:left w:val="none" w:sz="0" w:space="0" w:color="auto"/>
        <w:bottom w:val="none" w:sz="0" w:space="0" w:color="auto"/>
        <w:right w:val="none" w:sz="0" w:space="0" w:color="auto"/>
      </w:divBdr>
    </w:div>
    <w:div w:id="153030068">
      <w:bodyDiv w:val="1"/>
      <w:marLeft w:val="0"/>
      <w:marRight w:val="0"/>
      <w:marTop w:val="0"/>
      <w:marBottom w:val="0"/>
      <w:divBdr>
        <w:top w:val="none" w:sz="0" w:space="0" w:color="auto"/>
        <w:left w:val="none" w:sz="0" w:space="0" w:color="auto"/>
        <w:bottom w:val="none" w:sz="0" w:space="0" w:color="auto"/>
        <w:right w:val="none" w:sz="0" w:space="0" w:color="auto"/>
      </w:divBdr>
    </w:div>
    <w:div w:id="163936081">
      <w:bodyDiv w:val="1"/>
      <w:marLeft w:val="0"/>
      <w:marRight w:val="0"/>
      <w:marTop w:val="0"/>
      <w:marBottom w:val="0"/>
      <w:divBdr>
        <w:top w:val="none" w:sz="0" w:space="0" w:color="auto"/>
        <w:left w:val="none" w:sz="0" w:space="0" w:color="auto"/>
        <w:bottom w:val="none" w:sz="0" w:space="0" w:color="auto"/>
        <w:right w:val="none" w:sz="0" w:space="0" w:color="auto"/>
      </w:divBdr>
    </w:div>
    <w:div w:id="171989023">
      <w:bodyDiv w:val="1"/>
      <w:marLeft w:val="0"/>
      <w:marRight w:val="0"/>
      <w:marTop w:val="0"/>
      <w:marBottom w:val="0"/>
      <w:divBdr>
        <w:top w:val="none" w:sz="0" w:space="0" w:color="auto"/>
        <w:left w:val="none" w:sz="0" w:space="0" w:color="auto"/>
        <w:bottom w:val="none" w:sz="0" w:space="0" w:color="auto"/>
        <w:right w:val="none" w:sz="0" w:space="0" w:color="auto"/>
      </w:divBdr>
    </w:div>
    <w:div w:id="203640355">
      <w:bodyDiv w:val="1"/>
      <w:marLeft w:val="0"/>
      <w:marRight w:val="0"/>
      <w:marTop w:val="0"/>
      <w:marBottom w:val="0"/>
      <w:divBdr>
        <w:top w:val="none" w:sz="0" w:space="0" w:color="auto"/>
        <w:left w:val="none" w:sz="0" w:space="0" w:color="auto"/>
        <w:bottom w:val="none" w:sz="0" w:space="0" w:color="auto"/>
        <w:right w:val="none" w:sz="0" w:space="0" w:color="auto"/>
      </w:divBdr>
    </w:div>
    <w:div w:id="207644106">
      <w:bodyDiv w:val="1"/>
      <w:marLeft w:val="0"/>
      <w:marRight w:val="0"/>
      <w:marTop w:val="0"/>
      <w:marBottom w:val="0"/>
      <w:divBdr>
        <w:top w:val="none" w:sz="0" w:space="0" w:color="auto"/>
        <w:left w:val="none" w:sz="0" w:space="0" w:color="auto"/>
        <w:bottom w:val="none" w:sz="0" w:space="0" w:color="auto"/>
        <w:right w:val="none" w:sz="0" w:space="0" w:color="auto"/>
      </w:divBdr>
    </w:div>
    <w:div w:id="221870815">
      <w:bodyDiv w:val="1"/>
      <w:marLeft w:val="0"/>
      <w:marRight w:val="0"/>
      <w:marTop w:val="0"/>
      <w:marBottom w:val="0"/>
      <w:divBdr>
        <w:top w:val="none" w:sz="0" w:space="0" w:color="auto"/>
        <w:left w:val="none" w:sz="0" w:space="0" w:color="auto"/>
        <w:bottom w:val="none" w:sz="0" w:space="0" w:color="auto"/>
        <w:right w:val="none" w:sz="0" w:space="0" w:color="auto"/>
      </w:divBdr>
    </w:div>
    <w:div w:id="253173163">
      <w:bodyDiv w:val="1"/>
      <w:marLeft w:val="0"/>
      <w:marRight w:val="0"/>
      <w:marTop w:val="0"/>
      <w:marBottom w:val="0"/>
      <w:divBdr>
        <w:top w:val="none" w:sz="0" w:space="0" w:color="auto"/>
        <w:left w:val="none" w:sz="0" w:space="0" w:color="auto"/>
        <w:bottom w:val="none" w:sz="0" w:space="0" w:color="auto"/>
        <w:right w:val="none" w:sz="0" w:space="0" w:color="auto"/>
      </w:divBdr>
    </w:div>
    <w:div w:id="260726700">
      <w:bodyDiv w:val="1"/>
      <w:marLeft w:val="0"/>
      <w:marRight w:val="0"/>
      <w:marTop w:val="0"/>
      <w:marBottom w:val="0"/>
      <w:divBdr>
        <w:top w:val="none" w:sz="0" w:space="0" w:color="auto"/>
        <w:left w:val="none" w:sz="0" w:space="0" w:color="auto"/>
        <w:bottom w:val="none" w:sz="0" w:space="0" w:color="auto"/>
        <w:right w:val="none" w:sz="0" w:space="0" w:color="auto"/>
      </w:divBdr>
    </w:div>
    <w:div w:id="323898434">
      <w:bodyDiv w:val="1"/>
      <w:marLeft w:val="0"/>
      <w:marRight w:val="0"/>
      <w:marTop w:val="0"/>
      <w:marBottom w:val="0"/>
      <w:divBdr>
        <w:top w:val="none" w:sz="0" w:space="0" w:color="auto"/>
        <w:left w:val="none" w:sz="0" w:space="0" w:color="auto"/>
        <w:bottom w:val="none" w:sz="0" w:space="0" w:color="auto"/>
        <w:right w:val="none" w:sz="0" w:space="0" w:color="auto"/>
      </w:divBdr>
    </w:div>
    <w:div w:id="357584318">
      <w:bodyDiv w:val="1"/>
      <w:marLeft w:val="0"/>
      <w:marRight w:val="0"/>
      <w:marTop w:val="0"/>
      <w:marBottom w:val="0"/>
      <w:divBdr>
        <w:top w:val="none" w:sz="0" w:space="0" w:color="auto"/>
        <w:left w:val="none" w:sz="0" w:space="0" w:color="auto"/>
        <w:bottom w:val="none" w:sz="0" w:space="0" w:color="auto"/>
        <w:right w:val="none" w:sz="0" w:space="0" w:color="auto"/>
      </w:divBdr>
    </w:div>
    <w:div w:id="361640008">
      <w:bodyDiv w:val="1"/>
      <w:marLeft w:val="0"/>
      <w:marRight w:val="0"/>
      <w:marTop w:val="0"/>
      <w:marBottom w:val="0"/>
      <w:divBdr>
        <w:top w:val="none" w:sz="0" w:space="0" w:color="auto"/>
        <w:left w:val="none" w:sz="0" w:space="0" w:color="auto"/>
        <w:bottom w:val="none" w:sz="0" w:space="0" w:color="auto"/>
        <w:right w:val="none" w:sz="0" w:space="0" w:color="auto"/>
      </w:divBdr>
    </w:div>
    <w:div w:id="363021603">
      <w:bodyDiv w:val="1"/>
      <w:marLeft w:val="0"/>
      <w:marRight w:val="0"/>
      <w:marTop w:val="0"/>
      <w:marBottom w:val="0"/>
      <w:divBdr>
        <w:top w:val="none" w:sz="0" w:space="0" w:color="auto"/>
        <w:left w:val="none" w:sz="0" w:space="0" w:color="auto"/>
        <w:bottom w:val="none" w:sz="0" w:space="0" w:color="auto"/>
        <w:right w:val="none" w:sz="0" w:space="0" w:color="auto"/>
      </w:divBdr>
    </w:div>
    <w:div w:id="369958171">
      <w:bodyDiv w:val="1"/>
      <w:marLeft w:val="0"/>
      <w:marRight w:val="0"/>
      <w:marTop w:val="0"/>
      <w:marBottom w:val="0"/>
      <w:divBdr>
        <w:top w:val="none" w:sz="0" w:space="0" w:color="auto"/>
        <w:left w:val="none" w:sz="0" w:space="0" w:color="auto"/>
        <w:bottom w:val="none" w:sz="0" w:space="0" w:color="auto"/>
        <w:right w:val="none" w:sz="0" w:space="0" w:color="auto"/>
      </w:divBdr>
    </w:div>
    <w:div w:id="388306183">
      <w:bodyDiv w:val="1"/>
      <w:marLeft w:val="0"/>
      <w:marRight w:val="0"/>
      <w:marTop w:val="0"/>
      <w:marBottom w:val="0"/>
      <w:divBdr>
        <w:top w:val="none" w:sz="0" w:space="0" w:color="auto"/>
        <w:left w:val="none" w:sz="0" w:space="0" w:color="auto"/>
        <w:bottom w:val="none" w:sz="0" w:space="0" w:color="auto"/>
        <w:right w:val="none" w:sz="0" w:space="0" w:color="auto"/>
      </w:divBdr>
    </w:div>
    <w:div w:id="388922643">
      <w:bodyDiv w:val="1"/>
      <w:marLeft w:val="0"/>
      <w:marRight w:val="0"/>
      <w:marTop w:val="0"/>
      <w:marBottom w:val="0"/>
      <w:divBdr>
        <w:top w:val="none" w:sz="0" w:space="0" w:color="auto"/>
        <w:left w:val="none" w:sz="0" w:space="0" w:color="auto"/>
        <w:bottom w:val="none" w:sz="0" w:space="0" w:color="auto"/>
        <w:right w:val="none" w:sz="0" w:space="0" w:color="auto"/>
      </w:divBdr>
    </w:div>
    <w:div w:id="392003325">
      <w:bodyDiv w:val="1"/>
      <w:marLeft w:val="0"/>
      <w:marRight w:val="0"/>
      <w:marTop w:val="0"/>
      <w:marBottom w:val="0"/>
      <w:divBdr>
        <w:top w:val="none" w:sz="0" w:space="0" w:color="auto"/>
        <w:left w:val="none" w:sz="0" w:space="0" w:color="auto"/>
        <w:bottom w:val="none" w:sz="0" w:space="0" w:color="auto"/>
        <w:right w:val="none" w:sz="0" w:space="0" w:color="auto"/>
      </w:divBdr>
    </w:div>
    <w:div w:id="393356391">
      <w:bodyDiv w:val="1"/>
      <w:marLeft w:val="0"/>
      <w:marRight w:val="0"/>
      <w:marTop w:val="0"/>
      <w:marBottom w:val="0"/>
      <w:divBdr>
        <w:top w:val="none" w:sz="0" w:space="0" w:color="auto"/>
        <w:left w:val="none" w:sz="0" w:space="0" w:color="auto"/>
        <w:bottom w:val="none" w:sz="0" w:space="0" w:color="auto"/>
        <w:right w:val="none" w:sz="0" w:space="0" w:color="auto"/>
      </w:divBdr>
    </w:div>
    <w:div w:id="397435365">
      <w:bodyDiv w:val="1"/>
      <w:marLeft w:val="0"/>
      <w:marRight w:val="0"/>
      <w:marTop w:val="0"/>
      <w:marBottom w:val="0"/>
      <w:divBdr>
        <w:top w:val="none" w:sz="0" w:space="0" w:color="auto"/>
        <w:left w:val="none" w:sz="0" w:space="0" w:color="auto"/>
        <w:bottom w:val="none" w:sz="0" w:space="0" w:color="auto"/>
        <w:right w:val="none" w:sz="0" w:space="0" w:color="auto"/>
      </w:divBdr>
    </w:div>
    <w:div w:id="416902048">
      <w:bodyDiv w:val="1"/>
      <w:marLeft w:val="0"/>
      <w:marRight w:val="0"/>
      <w:marTop w:val="0"/>
      <w:marBottom w:val="0"/>
      <w:divBdr>
        <w:top w:val="none" w:sz="0" w:space="0" w:color="auto"/>
        <w:left w:val="none" w:sz="0" w:space="0" w:color="auto"/>
        <w:bottom w:val="none" w:sz="0" w:space="0" w:color="auto"/>
        <w:right w:val="none" w:sz="0" w:space="0" w:color="auto"/>
      </w:divBdr>
    </w:div>
    <w:div w:id="437139699">
      <w:bodyDiv w:val="1"/>
      <w:marLeft w:val="0"/>
      <w:marRight w:val="0"/>
      <w:marTop w:val="0"/>
      <w:marBottom w:val="0"/>
      <w:divBdr>
        <w:top w:val="none" w:sz="0" w:space="0" w:color="auto"/>
        <w:left w:val="none" w:sz="0" w:space="0" w:color="auto"/>
        <w:bottom w:val="none" w:sz="0" w:space="0" w:color="auto"/>
        <w:right w:val="none" w:sz="0" w:space="0" w:color="auto"/>
      </w:divBdr>
    </w:div>
    <w:div w:id="454257309">
      <w:bodyDiv w:val="1"/>
      <w:marLeft w:val="0"/>
      <w:marRight w:val="0"/>
      <w:marTop w:val="0"/>
      <w:marBottom w:val="0"/>
      <w:divBdr>
        <w:top w:val="none" w:sz="0" w:space="0" w:color="auto"/>
        <w:left w:val="none" w:sz="0" w:space="0" w:color="auto"/>
        <w:bottom w:val="none" w:sz="0" w:space="0" w:color="auto"/>
        <w:right w:val="none" w:sz="0" w:space="0" w:color="auto"/>
      </w:divBdr>
    </w:div>
    <w:div w:id="460269080">
      <w:bodyDiv w:val="1"/>
      <w:marLeft w:val="0"/>
      <w:marRight w:val="0"/>
      <w:marTop w:val="0"/>
      <w:marBottom w:val="0"/>
      <w:divBdr>
        <w:top w:val="none" w:sz="0" w:space="0" w:color="auto"/>
        <w:left w:val="none" w:sz="0" w:space="0" w:color="auto"/>
        <w:bottom w:val="none" w:sz="0" w:space="0" w:color="auto"/>
        <w:right w:val="none" w:sz="0" w:space="0" w:color="auto"/>
      </w:divBdr>
    </w:div>
    <w:div w:id="469592215">
      <w:bodyDiv w:val="1"/>
      <w:marLeft w:val="0"/>
      <w:marRight w:val="0"/>
      <w:marTop w:val="0"/>
      <w:marBottom w:val="0"/>
      <w:divBdr>
        <w:top w:val="none" w:sz="0" w:space="0" w:color="auto"/>
        <w:left w:val="none" w:sz="0" w:space="0" w:color="auto"/>
        <w:bottom w:val="none" w:sz="0" w:space="0" w:color="auto"/>
        <w:right w:val="none" w:sz="0" w:space="0" w:color="auto"/>
      </w:divBdr>
    </w:div>
    <w:div w:id="475343711">
      <w:bodyDiv w:val="1"/>
      <w:marLeft w:val="0"/>
      <w:marRight w:val="0"/>
      <w:marTop w:val="0"/>
      <w:marBottom w:val="0"/>
      <w:divBdr>
        <w:top w:val="none" w:sz="0" w:space="0" w:color="auto"/>
        <w:left w:val="none" w:sz="0" w:space="0" w:color="auto"/>
        <w:bottom w:val="none" w:sz="0" w:space="0" w:color="auto"/>
        <w:right w:val="none" w:sz="0" w:space="0" w:color="auto"/>
      </w:divBdr>
    </w:div>
    <w:div w:id="484055824">
      <w:bodyDiv w:val="1"/>
      <w:marLeft w:val="0"/>
      <w:marRight w:val="0"/>
      <w:marTop w:val="0"/>
      <w:marBottom w:val="0"/>
      <w:divBdr>
        <w:top w:val="none" w:sz="0" w:space="0" w:color="auto"/>
        <w:left w:val="none" w:sz="0" w:space="0" w:color="auto"/>
        <w:bottom w:val="none" w:sz="0" w:space="0" w:color="auto"/>
        <w:right w:val="none" w:sz="0" w:space="0" w:color="auto"/>
      </w:divBdr>
    </w:div>
    <w:div w:id="487868320">
      <w:bodyDiv w:val="1"/>
      <w:marLeft w:val="0"/>
      <w:marRight w:val="0"/>
      <w:marTop w:val="0"/>
      <w:marBottom w:val="0"/>
      <w:divBdr>
        <w:top w:val="none" w:sz="0" w:space="0" w:color="auto"/>
        <w:left w:val="none" w:sz="0" w:space="0" w:color="auto"/>
        <w:bottom w:val="none" w:sz="0" w:space="0" w:color="auto"/>
        <w:right w:val="none" w:sz="0" w:space="0" w:color="auto"/>
      </w:divBdr>
    </w:div>
    <w:div w:id="493229454">
      <w:bodyDiv w:val="1"/>
      <w:marLeft w:val="0"/>
      <w:marRight w:val="0"/>
      <w:marTop w:val="0"/>
      <w:marBottom w:val="0"/>
      <w:divBdr>
        <w:top w:val="none" w:sz="0" w:space="0" w:color="auto"/>
        <w:left w:val="none" w:sz="0" w:space="0" w:color="auto"/>
        <w:bottom w:val="none" w:sz="0" w:space="0" w:color="auto"/>
        <w:right w:val="none" w:sz="0" w:space="0" w:color="auto"/>
      </w:divBdr>
    </w:div>
    <w:div w:id="513420976">
      <w:bodyDiv w:val="1"/>
      <w:marLeft w:val="0"/>
      <w:marRight w:val="0"/>
      <w:marTop w:val="0"/>
      <w:marBottom w:val="0"/>
      <w:divBdr>
        <w:top w:val="none" w:sz="0" w:space="0" w:color="auto"/>
        <w:left w:val="none" w:sz="0" w:space="0" w:color="auto"/>
        <w:bottom w:val="none" w:sz="0" w:space="0" w:color="auto"/>
        <w:right w:val="none" w:sz="0" w:space="0" w:color="auto"/>
      </w:divBdr>
    </w:div>
    <w:div w:id="516845360">
      <w:bodyDiv w:val="1"/>
      <w:marLeft w:val="0"/>
      <w:marRight w:val="0"/>
      <w:marTop w:val="0"/>
      <w:marBottom w:val="0"/>
      <w:divBdr>
        <w:top w:val="none" w:sz="0" w:space="0" w:color="auto"/>
        <w:left w:val="none" w:sz="0" w:space="0" w:color="auto"/>
        <w:bottom w:val="none" w:sz="0" w:space="0" w:color="auto"/>
        <w:right w:val="none" w:sz="0" w:space="0" w:color="auto"/>
      </w:divBdr>
    </w:div>
    <w:div w:id="532770787">
      <w:bodyDiv w:val="1"/>
      <w:marLeft w:val="0"/>
      <w:marRight w:val="0"/>
      <w:marTop w:val="0"/>
      <w:marBottom w:val="0"/>
      <w:divBdr>
        <w:top w:val="none" w:sz="0" w:space="0" w:color="auto"/>
        <w:left w:val="none" w:sz="0" w:space="0" w:color="auto"/>
        <w:bottom w:val="none" w:sz="0" w:space="0" w:color="auto"/>
        <w:right w:val="none" w:sz="0" w:space="0" w:color="auto"/>
      </w:divBdr>
    </w:div>
    <w:div w:id="545530165">
      <w:bodyDiv w:val="1"/>
      <w:marLeft w:val="0"/>
      <w:marRight w:val="0"/>
      <w:marTop w:val="0"/>
      <w:marBottom w:val="0"/>
      <w:divBdr>
        <w:top w:val="none" w:sz="0" w:space="0" w:color="auto"/>
        <w:left w:val="none" w:sz="0" w:space="0" w:color="auto"/>
        <w:bottom w:val="none" w:sz="0" w:space="0" w:color="auto"/>
        <w:right w:val="none" w:sz="0" w:space="0" w:color="auto"/>
      </w:divBdr>
    </w:div>
    <w:div w:id="548347129">
      <w:bodyDiv w:val="1"/>
      <w:marLeft w:val="0"/>
      <w:marRight w:val="0"/>
      <w:marTop w:val="0"/>
      <w:marBottom w:val="0"/>
      <w:divBdr>
        <w:top w:val="none" w:sz="0" w:space="0" w:color="auto"/>
        <w:left w:val="none" w:sz="0" w:space="0" w:color="auto"/>
        <w:bottom w:val="none" w:sz="0" w:space="0" w:color="auto"/>
        <w:right w:val="none" w:sz="0" w:space="0" w:color="auto"/>
      </w:divBdr>
    </w:div>
    <w:div w:id="556162083">
      <w:bodyDiv w:val="1"/>
      <w:marLeft w:val="0"/>
      <w:marRight w:val="0"/>
      <w:marTop w:val="0"/>
      <w:marBottom w:val="0"/>
      <w:divBdr>
        <w:top w:val="none" w:sz="0" w:space="0" w:color="auto"/>
        <w:left w:val="none" w:sz="0" w:space="0" w:color="auto"/>
        <w:bottom w:val="none" w:sz="0" w:space="0" w:color="auto"/>
        <w:right w:val="none" w:sz="0" w:space="0" w:color="auto"/>
      </w:divBdr>
    </w:div>
    <w:div w:id="559023375">
      <w:bodyDiv w:val="1"/>
      <w:marLeft w:val="0"/>
      <w:marRight w:val="0"/>
      <w:marTop w:val="0"/>
      <w:marBottom w:val="0"/>
      <w:divBdr>
        <w:top w:val="none" w:sz="0" w:space="0" w:color="auto"/>
        <w:left w:val="none" w:sz="0" w:space="0" w:color="auto"/>
        <w:bottom w:val="none" w:sz="0" w:space="0" w:color="auto"/>
        <w:right w:val="none" w:sz="0" w:space="0" w:color="auto"/>
      </w:divBdr>
    </w:div>
    <w:div w:id="560605867">
      <w:bodyDiv w:val="1"/>
      <w:marLeft w:val="0"/>
      <w:marRight w:val="0"/>
      <w:marTop w:val="0"/>
      <w:marBottom w:val="0"/>
      <w:divBdr>
        <w:top w:val="none" w:sz="0" w:space="0" w:color="auto"/>
        <w:left w:val="none" w:sz="0" w:space="0" w:color="auto"/>
        <w:bottom w:val="none" w:sz="0" w:space="0" w:color="auto"/>
        <w:right w:val="none" w:sz="0" w:space="0" w:color="auto"/>
      </w:divBdr>
    </w:div>
    <w:div w:id="566377710">
      <w:bodyDiv w:val="1"/>
      <w:marLeft w:val="0"/>
      <w:marRight w:val="0"/>
      <w:marTop w:val="0"/>
      <w:marBottom w:val="0"/>
      <w:divBdr>
        <w:top w:val="none" w:sz="0" w:space="0" w:color="auto"/>
        <w:left w:val="none" w:sz="0" w:space="0" w:color="auto"/>
        <w:bottom w:val="none" w:sz="0" w:space="0" w:color="auto"/>
        <w:right w:val="none" w:sz="0" w:space="0" w:color="auto"/>
      </w:divBdr>
    </w:div>
    <w:div w:id="576398798">
      <w:bodyDiv w:val="1"/>
      <w:marLeft w:val="0"/>
      <w:marRight w:val="0"/>
      <w:marTop w:val="0"/>
      <w:marBottom w:val="0"/>
      <w:divBdr>
        <w:top w:val="none" w:sz="0" w:space="0" w:color="auto"/>
        <w:left w:val="none" w:sz="0" w:space="0" w:color="auto"/>
        <w:bottom w:val="none" w:sz="0" w:space="0" w:color="auto"/>
        <w:right w:val="none" w:sz="0" w:space="0" w:color="auto"/>
      </w:divBdr>
    </w:div>
    <w:div w:id="584463398">
      <w:bodyDiv w:val="1"/>
      <w:marLeft w:val="0"/>
      <w:marRight w:val="0"/>
      <w:marTop w:val="0"/>
      <w:marBottom w:val="0"/>
      <w:divBdr>
        <w:top w:val="none" w:sz="0" w:space="0" w:color="auto"/>
        <w:left w:val="none" w:sz="0" w:space="0" w:color="auto"/>
        <w:bottom w:val="none" w:sz="0" w:space="0" w:color="auto"/>
        <w:right w:val="none" w:sz="0" w:space="0" w:color="auto"/>
      </w:divBdr>
    </w:div>
    <w:div w:id="587083378">
      <w:bodyDiv w:val="1"/>
      <w:marLeft w:val="0"/>
      <w:marRight w:val="0"/>
      <w:marTop w:val="0"/>
      <w:marBottom w:val="0"/>
      <w:divBdr>
        <w:top w:val="none" w:sz="0" w:space="0" w:color="auto"/>
        <w:left w:val="none" w:sz="0" w:space="0" w:color="auto"/>
        <w:bottom w:val="none" w:sz="0" w:space="0" w:color="auto"/>
        <w:right w:val="none" w:sz="0" w:space="0" w:color="auto"/>
      </w:divBdr>
    </w:div>
    <w:div w:id="590699231">
      <w:bodyDiv w:val="1"/>
      <w:marLeft w:val="0"/>
      <w:marRight w:val="0"/>
      <w:marTop w:val="0"/>
      <w:marBottom w:val="0"/>
      <w:divBdr>
        <w:top w:val="none" w:sz="0" w:space="0" w:color="auto"/>
        <w:left w:val="none" w:sz="0" w:space="0" w:color="auto"/>
        <w:bottom w:val="none" w:sz="0" w:space="0" w:color="auto"/>
        <w:right w:val="none" w:sz="0" w:space="0" w:color="auto"/>
      </w:divBdr>
    </w:div>
    <w:div w:id="592517789">
      <w:bodyDiv w:val="1"/>
      <w:marLeft w:val="0"/>
      <w:marRight w:val="0"/>
      <w:marTop w:val="0"/>
      <w:marBottom w:val="0"/>
      <w:divBdr>
        <w:top w:val="none" w:sz="0" w:space="0" w:color="auto"/>
        <w:left w:val="none" w:sz="0" w:space="0" w:color="auto"/>
        <w:bottom w:val="none" w:sz="0" w:space="0" w:color="auto"/>
        <w:right w:val="none" w:sz="0" w:space="0" w:color="auto"/>
      </w:divBdr>
    </w:div>
    <w:div w:id="608242962">
      <w:bodyDiv w:val="1"/>
      <w:marLeft w:val="0"/>
      <w:marRight w:val="0"/>
      <w:marTop w:val="0"/>
      <w:marBottom w:val="0"/>
      <w:divBdr>
        <w:top w:val="none" w:sz="0" w:space="0" w:color="auto"/>
        <w:left w:val="none" w:sz="0" w:space="0" w:color="auto"/>
        <w:bottom w:val="none" w:sz="0" w:space="0" w:color="auto"/>
        <w:right w:val="none" w:sz="0" w:space="0" w:color="auto"/>
      </w:divBdr>
    </w:div>
    <w:div w:id="619075282">
      <w:bodyDiv w:val="1"/>
      <w:marLeft w:val="0"/>
      <w:marRight w:val="0"/>
      <w:marTop w:val="0"/>
      <w:marBottom w:val="0"/>
      <w:divBdr>
        <w:top w:val="none" w:sz="0" w:space="0" w:color="auto"/>
        <w:left w:val="none" w:sz="0" w:space="0" w:color="auto"/>
        <w:bottom w:val="none" w:sz="0" w:space="0" w:color="auto"/>
        <w:right w:val="none" w:sz="0" w:space="0" w:color="auto"/>
      </w:divBdr>
    </w:div>
    <w:div w:id="623734177">
      <w:bodyDiv w:val="1"/>
      <w:marLeft w:val="0"/>
      <w:marRight w:val="0"/>
      <w:marTop w:val="0"/>
      <w:marBottom w:val="0"/>
      <w:divBdr>
        <w:top w:val="none" w:sz="0" w:space="0" w:color="auto"/>
        <w:left w:val="none" w:sz="0" w:space="0" w:color="auto"/>
        <w:bottom w:val="none" w:sz="0" w:space="0" w:color="auto"/>
        <w:right w:val="none" w:sz="0" w:space="0" w:color="auto"/>
      </w:divBdr>
    </w:div>
    <w:div w:id="629212495">
      <w:bodyDiv w:val="1"/>
      <w:marLeft w:val="0"/>
      <w:marRight w:val="0"/>
      <w:marTop w:val="0"/>
      <w:marBottom w:val="0"/>
      <w:divBdr>
        <w:top w:val="none" w:sz="0" w:space="0" w:color="auto"/>
        <w:left w:val="none" w:sz="0" w:space="0" w:color="auto"/>
        <w:bottom w:val="none" w:sz="0" w:space="0" w:color="auto"/>
        <w:right w:val="none" w:sz="0" w:space="0" w:color="auto"/>
      </w:divBdr>
    </w:div>
    <w:div w:id="635179579">
      <w:bodyDiv w:val="1"/>
      <w:marLeft w:val="0"/>
      <w:marRight w:val="0"/>
      <w:marTop w:val="0"/>
      <w:marBottom w:val="0"/>
      <w:divBdr>
        <w:top w:val="none" w:sz="0" w:space="0" w:color="auto"/>
        <w:left w:val="none" w:sz="0" w:space="0" w:color="auto"/>
        <w:bottom w:val="none" w:sz="0" w:space="0" w:color="auto"/>
        <w:right w:val="none" w:sz="0" w:space="0" w:color="auto"/>
      </w:divBdr>
    </w:div>
    <w:div w:id="660428258">
      <w:bodyDiv w:val="1"/>
      <w:marLeft w:val="0"/>
      <w:marRight w:val="0"/>
      <w:marTop w:val="0"/>
      <w:marBottom w:val="0"/>
      <w:divBdr>
        <w:top w:val="none" w:sz="0" w:space="0" w:color="auto"/>
        <w:left w:val="none" w:sz="0" w:space="0" w:color="auto"/>
        <w:bottom w:val="none" w:sz="0" w:space="0" w:color="auto"/>
        <w:right w:val="none" w:sz="0" w:space="0" w:color="auto"/>
      </w:divBdr>
    </w:div>
    <w:div w:id="664012533">
      <w:bodyDiv w:val="1"/>
      <w:marLeft w:val="0"/>
      <w:marRight w:val="0"/>
      <w:marTop w:val="0"/>
      <w:marBottom w:val="0"/>
      <w:divBdr>
        <w:top w:val="none" w:sz="0" w:space="0" w:color="auto"/>
        <w:left w:val="none" w:sz="0" w:space="0" w:color="auto"/>
        <w:bottom w:val="none" w:sz="0" w:space="0" w:color="auto"/>
        <w:right w:val="none" w:sz="0" w:space="0" w:color="auto"/>
      </w:divBdr>
    </w:div>
    <w:div w:id="686903911">
      <w:bodyDiv w:val="1"/>
      <w:marLeft w:val="0"/>
      <w:marRight w:val="0"/>
      <w:marTop w:val="0"/>
      <w:marBottom w:val="0"/>
      <w:divBdr>
        <w:top w:val="none" w:sz="0" w:space="0" w:color="auto"/>
        <w:left w:val="none" w:sz="0" w:space="0" w:color="auto"/>
        <w:bottom w:val="none" w:sz="0" w:space="0" w:color="auto"/>
        <w:right w:val="none" w:sz="0" w:space="0" w:color="auto"/>
      </w:divBdr>
    </w:div>
    <w:div w:id="689336142">
      <w:bodyDiv w:val="1"/>
      <w:marLeft w:val="0"/>
      <w:marRight w:val="0"/>
      <w:marTop w:val="0"/>
      <w:marBottom w:val="0"/>
      <w:divBdr>
        <w:top w:val="none" w:sz="0" w:space="0" w:color="auto"/>
        <w:left w:val="none" w:sz="0" w:space="0" w:color="auto"/>
        <w:bottom w:val="none" w:sz="0" w:space="0" w:color="auto"/>
        <w:right w:val="none" w:sz="0" w:space="0" w:color="auto"/>
      </w:divBdr>
    </w:div>
    <w:div w:id="702824572">
      <w:bodyDiv w:val="1"/>
      <w:marLeft w:val="0"/>
      <w:marRight w:val="0"/>
      <w:marTop w:val="0"/>
      <w:marBottom w:val="0"/>
      <w:divBdr>
        <w:top w:val="none" w:sz="0" w:space="0" w:color="auto"/>
        <w:left w:val="none" w:sz="0" w:space="0" w:color="auto"/>
        <w:bottom w:val="none" w:sz="0" w:space="0" w:color="auto"/>
        <w:right w:val="none" w:sz="0" w:space="0" w:color="auto"/>
      </w:divBdr>
    </w:div>
    <w:div w:id="704604120">
      <w:bodyDiv w:val="1"/>
      <w:marLeft w:val="0"/>
      <w:marRight w:val="0"/>
      <w:marTop w:val="0"/>
      <w:marBottom w:val="0"/>
      <w:divBdr>
        <w:top w:val="none" w:sz="0" w:space="0" w:color="auto"/>
        <w:left w:val="none" w:sz="0" w:space="0" w:color="auto"/>
        <w:bottom w:val="none" w:sz="0" w:space="0" w:color="auto"/>
        <w:right w:val="none" w:sz="0" w:space="0" w:color="auto"/>
      </w:divBdr>
    </w:div>
    <w:div w:id="707990987">
      <w:bodyDiv w:val="1"/>
      <w:marLeft w:val="0"/>
      <w:marRight w:val="0"/>
      <w:marTop w:val="0"/>
      <w:marBottom w:val="0"/>
      <w:divBdr>
        <w:top w:val="none" w:sz="0" w:space="0" w:color="auto"/>
        <w:left w:val="none" w:sz="0" w:space="0" w:color="auto"/>
        <w:bottom w:val="none" w:sz="0" w:space="0" w:color="auto"/>
        <w:right w:val="none" w:sz="0" w:space="0" w:color="auto"/>
      </w:divBdr>
    </w:div>
    <w:div w:id="715785583">
      <w:bodyDiv w:val="1"/>
      <w:marLeft w:val="0"/>
      <w:marRight w:val="0"/>
      <w:marTop w:val="0"/>
      <w:marBottom w:val="0"/>
      <w:divBdr>
        <w:top w:val="none" w:sz="0" w:space="0" w:color="auto"/>
        <w:left w:val="none" w:sz="0" w:space="0" w:color="auto"/>
        <w:bottom w:val="none" w:sz="0" w:space="0" w:color="auto"/>
        <w:right w:val="none" w:sz="0" w:space="0" w:color="auto"/>
      </w:divBdr>
    </w:div>
    <w:div w:id="721514378">
      <w:bodyDiv w:val="1"/>
      <w:marLeft w:val="0"/>
      <w:marRight w:val="0"/>
      <w:marTop w:val="0"/>
      <w:marBottom w:val="0"/>
      <w:divBdr>
        <w:top w:val="none" w:sz="0" w:space="0" w:color="auto"/>
        <w:left w:val="none" w:sz="0" w:space="0" w:color="auto"/>
        <w:bottom w:val="none" w:sz="0" w:space="0" w:color="auto"/>
        <w:right w:val="none" w:sz="0" w:space="0" w:color="auto"/>
      </w:divBdr>
    </w:div>
    <w:div w:id="727651562">
      <w:bodyDiv w:val="1"/>
      <w:marLeft w:val="0"/>
      <w:marRight w:val="0"/>
      <w:marTop w:val="0"/>
      <w:marBottom w:val="0"/>
      <w:divBdr>
        <w:top w:val="none" w:sz="0" w:space="0" w:color="auto"/>
        <w:left w:val="none" w:sz="0" w:space="0" w:color="auto"/>
        <w:bottom w:val="none" w:sz="0" w:space="0" w:color="auto"/>
        <w:right w:val="none" w:sz="0" w:space="0" w:color="auto"/>
      </w:divBdr>
    </w:div>
    <w:div w:id="767889013">
      <w:bodyDiv w:val="1"/>
      <w:marLeft w:val="0"/>
      <w:marRight w:val="0"/>
      <w:marTop w:val="0"/>
      <w:marBottom w:val="0"/>
      <w:divBdr>
        <w:top w:val="none" w:sz="0" w:space="0" w:color="auto"/>
        <w:left w:val="none" w:sz="0" w:space="0" w:color="auto"/>
        <w:bottom w:val="none" w:sz="0" w:space="0" w:color="auto"/>
        <w:right w:val="none" w:sz="0" w:space="0" w:color="auto"/>
      </w:divBdr>
    </w:div>
    <w:div w:id="797259210">
      <w:bodyDiv w:val="1"/>
      <w:marLeft w:val="0"/>
      <w:marRight w:val="0"/>
      <w:marTop w:val="0"/>
      <w:marBottom w:val="0"/>
      <w:divBdr>
        <w:top w:val="none" w:sz="0" w:space="0" w:color="auto"/>
        <w:left w:val="none" w:sz="0" w:space="0" w:color="auto"/>
        <w:bottom w:val="none" w:sz="0" w:space="0" w:color="auto"/>
        <w:right w:val="none" w:sz="0" w:space="0" w:color="auto"/>
      </w:divBdr>
    </w:div>
    <w:div w:id="797917813">
      <w:bodyDiv w:val="1"/>
      <w:marLeft w:val="0"/>
      <w:marRight w:val="0"/>
      <w:marTop w:val="0"/>
      <w:marBottom w:val="0"/>
      <w:divBdr>
        <w:top w:val="none" w:sz="0" w:space="0" w:color="auto"/>
        <w:left w:val="none" w:sz="0" w:space="0" w:color="auto"/>
        <w:bottom w:val="none" w:sz="0" w:space="0" w:color="auto"/>
        <w:right w:val="none" w:sz="0" w:space="0" w:color="auto"/>
      </w:divBdr>
    </w:div>
    <w:div w:id="823930583">
      <w:bodyDiv w:val="1"/>
      <w:marLeft w:val="0"/>
      <w:marRight w:val="0"/>
      <w:marTop w:val="0"/>
      <w:marBottom w:val="0"/>
      <w:divBdr>
        <w:top w:val="none" w:sz="0" w:space="0" w:color="auto"/>
        <w:left w:val="none" w:sz="0" w:space="0" w:color="auto"/>
        <w:bottom w:val="none" w:sz="0" w:space="0" w:color="auto"/>
        <w:right w:val="none" w:sz="0" w:space="0" w:color="auto"/>
      </w:divBdr>
    </w:div>
    <w:div w:id="838926988">
      <w:bodyDiv w:val="1"/>
      <w:marLeft w:val="0"/>
      <w:marRight w:val="0"/>
      <w:marTop w:val="0"/>
      <w:marBottom w:val="0"/>
      <w:divBdr>
        <w:top w:val="none" w:sz="0" w:space="0" w:color="auto"/>
        <w:left w:val="none" w:sz="0" w:space="0" w:color="auto"/>
        <w:bottom w:val="none" w:sz="0" w:space="0" w:color="auto"/>
        <w:right w:val="none" w:sz="0" w:space="0" w:color="auto"/>
      </w:divBdr>
    </w:div>
    <w:div w:id="846480725">
      <w:bodyDiv w:val="1"/>
      <w:marLeft w:val="0"/>
      <w:marRight w:val="0"/>
      <w:marTop w:val="0"/>
      <w:marBottom w:val="0"/>
      <w:divBdr>
        <w:top w:val="none" w:sz="0" w:space="0" w:color="auto"/>
        <w:left w:val="none" w:sz="0" w:space="0" w:color="auto"/>
        <w:bottom w:val="none" w:sz="0" w:space="0" w:color="auto"/>
        <w:right w:val="none" w:sz="0" w:space="0" w:color="auto"/>
      </w:divBdr>
    </w:div>
    <w:div w:id="857162024">
      <w:bodyDiv w:val="1"/>
      <w:marLeft w:val="0"/>
      <w:marRight w:val="0"/>
      <w:marTop w:val="0"/>
      <w:marBottom w:val="0"/>
      <w:divBdr>
        <w:top w:val="none" w:sz="0" w:space="0" w:color="auto"/>
        <w:left w:val="none" w:sz="0" w:space="0" w:color="auto"/>
        <w:bottom w:val="none" w:sz="0" w:space="0" w:color="auto"/>
        <w:right w:val="none" w:sz="0" w:space="0" w:color="auto"/>
      </w:divBdr>
    </w:div>
    <w:div w:id="868489587">
      <w:bodyDiv w:val="1"/>
      <w:marLeft w:val="0"/>
      <w:marRight w:val="0"/>
      <w:marTop w:val="0"/>
      <w:marBottom w:val="0"/>
      <w:divBdr>
        <w:top w:val="none" w:sz="0" w:space="0" w:color="auto"/>
        <w:left w:val="none" w:sz="0" w:space="0" w:color="auto"/>
        <w:bottom w:val="none" w:sz="0" w:space="0" w:color="auto"/>
        <w:right w:val="none" w:sz="0" w:space="0" w:color="auto"/>
      </w:divBdr>
    </w:div>
    <w:div w:id="904529415">
      <w:bodyDiv w:val="1"/>
      <w:marLeft w:val="0"/>
      <w:marRight w:val="0"/>
      <w:marTop w:val="0"/>
      <w:marBottom w:val="0"/>
      <w:divBdr>
        <w:top w:val="none" w:sz="0" w:space="0" w:color="auto"/>
        <w:left w:val="none" w:sz="0" w:space="0" w:color="auto"/>
        <w:bottom w:val="none" w:sz="0" w:space="0" w:color="auto"/>
        <w:right w:val="none" w:sz="0" w:space="0" w:color="auto"/>
      </w:divBdr>
    </w:div>
    <w:div w:id="959801231">
      <w:bodyDiv w:val="1"/>
      <w:marLeft w:val="0"/>
      <w:marRight w:val="0"/>
      <w:marTop w:val="0"/>
      <w:marBottom w:val="0"/>
      <w:divBdr>
        <w:top w:val="none" w:sz="0" w:space="0" w:color="auto"/>
        <w:left w:val="none" w:sz="0" w:space="0" w:color="auto"/>
        <w:bottom w:val="none" w:sz="0" w:space="0" w:color="auto"/>
        <w:right w:val="none" w:sz="0" w:space="0" w:color="auto"/>
      </w:divBdr>
    </w:div>
    <w:div w:id="967274256">
      <w:bodyDiv w:val="1"/>
      <w:marLeft w:val="0"/>
      <w:marRight w:val="0"/>
      <w:marTop w:val="0"/>
      <w:marBottom w:val="0"/>
      <w:divBdr>
        <w:top w:val="none" w:sz="0" w:space="0" w:color="auto"/>
        <w:left w:val="none" w:sz="0" w:space="0" w:color="auto"/>
        <w:bottom w:val="none" w:sz="0" w:space="0" w:color="auto"/>
        <w:right w:val="none" w:sz="0" w:space="0" w:color="auto"/>
      </w:divBdr>
    </w:div>
    <w:div w:id="968169117">
      <w:bodyDiv w:val="1"/>
      <w:marLeft w:val="0"/>
      <w:marRight w:val="0"/>
      <w:marTop w:val="0"/>
      <w:marBottom w:val="0"/>
      <w:divBdr>
        <w:top w:val="none" w:sz="0" w:space="0" w:color="auto"/>
        <w:left w:val="none" w:sz="0" w:space="0" w:color="auto"/>
        <w:bottom w:val="none" w:sz="0" w:space="0" w:color="auto"/>
        <w:right w:val="none" w:sz="0" w:space="0" w:color="auto"/>
      </w:divBdr>
    </w:div>
    <w:div w:id="971053817">
      <w:bodyDiv w:val="1"/>
      <w:marLeft w:val="0"/>
      <w:marRight w:val="0"/>
      <w:marTop w:val="0"/>
      <w:marBottom w:val="0"/>
      <w:divBdr>
        <w:top w:val="none" w:sz="0" w:space="0" w:color="auto"/>
        <w:left w:val="none" w:sz="0" w:space="0" w:color="auto"/>
        <w:bottom w:val="none" w:sz="0" w:space="0" w:color="auto"/>
        <w:right w:val="none" w:sz="0" w:space="0" w:color="auto"/>
      </w:divBdr>
    </w:div>
    <w:div w:id="1019620952">
      <w:bodyDiv w:val="1"/>
      <w:marLeft w:val="0"/>
      <w:marRight w:val="0"/>
      <w:marTop w:val="0"/>
      <w:marBottom w:val="0"/>
      <w:divBdr>
        <w:top w:val="none" w:sz="0" w:space="0" w:color="auto"/>
        <w:left w:val="none" w:sz="0" w:space="0" w:color="auto"/>
        <w:bottom w:val="none" w:sz="0" w:space="0" w:color="auto"/>
        <w:right w:val="none" w:sz="0" w:space="0" w:color="auto"/>
      </w:divBdr>
    </w:div>
    <w:div w:id="1026903953">
      <w:bodyDiv w:val="1"/>
      <w:marLeft w:val="0"/>
      <w:marRight w:val="0"/>
      <w:marTop w:val="0"/>
      <w:marBottom w:val="0"/>
      <w:divBdr>
        <w:top w:val="none" w:sz="0" w:space="0" w:color="auto"/>
        <w:left w:val="none" w:sz="0" w:space="0" w:color="auto"/>
        <w:bottom w:val="none" w:sz="0" w:space="0" w:color="auto"/>
        <w:right w:val="none" w:sz="0" w:space="0" w:color="auto"/>
      </w:divBdr>
    </w:div>
    <w:div w:id="1033269618">
      <w:bodyDiv w:val="1"/>
      <w:marLeft w:val="0"/>
      <w:marRight w:val="0"/>
      <w:marTop w:val="0"/>
      <w:marBottom w:val="0"/>
      <w:divBdr>
        <w:top w:val="none" w:sz="0" w:space="0" w:color="auto"/>
        <w:left w:val="none" w:sz="0" w:space="0" w:color="auto"/>
        <w:bottom w:val="none" w:sz="0" w:space="0" w:color="auto"/>
        <w:right w:val="none" w:sz="0" w:space="0" w:color="auto"/>
      </w:divBdr>
    </w:div>
    <w:div w:id="1064370671">
      <w:bodyDiv w:val="1"/>
      <w:marLeft w:val="0"/>
      <w:marRight w:val="0"/>
      <w:marTop w:val="0"/>
      <w:marBottom w:val="0"/>
      <w:divBdr>
        <w:top w:val="none" w:sz="0" w:space="0" w:color="auto"/>
        <w:left w:val="none" w:sz="0" w:space="0" w:color="auto"/>
        <w:bottom w:val="none" w:sz="0" w:space="0" w:color="auto"/>
        <w:right w:val="none" w:sz="0" w:space="0" w:color="auto"/>
      </w:divBdr>
    </w:div>
    <w:div w:id="1111969080">
      <w:bodyDiv w:val="1"/>
      <w:marLeft w:val="0"/>
      <w:marRight w:val="0"/>
      <w:marTop w:val="0"/>
      <w:marBottom w:val="0"/>
      <w:divBdr>
        <w:top w:val="none" w:sz="0" w:space="0" w:color="auto"/>
        <w:left w:val="none" w:sz="0" w:space="0" w:color="auto"/>
        <w:bottom w:val="none" w:sz="0" w:space="0" w:color="auto"/>
        <w:right w:val="none" w:sz="0" w:space="0" w:color="auto"/>
      </w:divBdr>
    </w:div>
    <w:div w:id="1112170091">
      <w:bodyDiv w:val="1"/>
      <w:marLeft w:val="0"/>
      <w:marRight w:val="0"/>
      <w:marTop w:val="0"/>
      <w:marBottom w:val="0"/>
      <w:divBdr>
        <w:top w:val="none" w:sz="0" w:space="0" w:color="auto"/>
        <w:left w:val="none" w:sz="0" w:space="0" w:color="auto"/>
        <w:bottom w:val="none" w:sz="0" w:space="0" w:color="auto"/>
        <w:right w:val="none" w:sz="0" w:space="0" w:color="auto"/>
      </w:divBdr>
    </w:div>
    <w:div w:id="1114251246">
      <w:bodyDiv w:val="1"/>
      <w:marLeft w:val="0"/>
      <w:marRight w:val="0"/>
      <w:marTop w:val="0"/>
      <w:marBottom w:val="0"/>
      <w:divBdr>
        <w:top w:val="none" w:sz="0" w:space="0" w:color="auto"/>
        <w:left w:val="none" w:sz="0" w:space="0" w:color="auto"/>
        <w:bottom w:val="none" w:sz="0" w:space="0" w:color="auto"/>
        <w:right w:val="none" w:sz="0" w:space="0" w:color="auto"/>
      </w:divBdr>
    </w:div>
    <w:div w:id="1118647280">
      <w:bodyDiv w:val="1"/>
      <w:marLeft w:val="0"/>
      <w:marRight w:val="0"/>
      <w:marTop w:val="0"/>
      <w:marBottom w:val="0"/>
      <w:divBdr>
        <w:top w:val="none" w:sz="0" w:space="0" w:color="auto"/>
        <w:left w:val="none" w:sz="0" w:space="0" w:color="auto"/>
        <w:bottom w:val="none" w:sz="0" w:space="0" w:color="auto"/>
        <w:right w:val="none" w:sz="0" w:space="0" w:color="auto"/>
      </w:divBdr>
    </w:div>
    <w:div w:id="1127166813">
      <w:bodyDiv w:val="1"/>
      <w:marLeft w:val="0"/>
      <w:marRight w:val="0"/>
      <w:marTop w:val="0"/>
      <w:marBottom w:val="0"/>
      <w:divBdr>
        <w:top w:val="none" w:sz="0" w:space="0" w:color="auto"/>
        <w:left w:val="none" w:sz="0" w:space="0" w:color="auto"/>
        <w:bottom w:val="none" w:sz="0" w:space="0" w:color="auto"/>
        <w:right w:val="none" w:sz="0" w:space="0" w:color="auto"/>
      </w:divBdr>
    </w:div>
    <w:div w:id="1133206288">
      <w:bodyDiv w:val="1"/>
      <w:marLeft w:val="0"/>
      <w:marRight w:val="0"/>
      <w:marTop w:val="0"/>
      <w:marBottom w:val="0"/>
      <w:divBdr>
        <w:top w:val="none" w:sz="0" w:space="0" w:color="auto"/>
        <w:left w:val="none" w:sz="0" w:space="0" w:color="auto"/>
        <w:bottom w:val="none" w:sz="0" w:space="0" w:color="auto"/>
        <w:right w:val="none" w:sz="0" w:space="0" w:color="auto"/>
      </w:divBdr>
    </w:div>
    <w:div w:id="1134105641">
      <w:bodyDiv w:val="1"/>
      <w:marLeft w:val="0"/>
      <w:marRight w:val="0"/>
      <w:marTop w:val="0"/>
      <w:marBottom w:val="0"/>
      <w:divBdr>
        <w:top w:val="none" w:sz="0" w:space="0" w:color="auto"/>
        <w:left w:val="none" w:sz="0" w:space="0" w:color="auto"/>
        <w:bottom w:val="none" w:sz="0" w:space="0" w:color="auto"/>
        <w:right w:val="none" w:sz="0" w:space="0" w:color="auto"/>
      </w:divBdr>
    </w:div>
    <w:div w:id="1148546902">
      <w:bodyDiv w:val="1"/>
      <w:marLeft w:val="0"/>
      <w:marRight w:val="0"/>
      <w:marTop w:val="0"/>
      <w:marBottom w:val="0"/>
      <w:divBdr>
        <w:top w:val="none" w:sz="0" w:space="0" w:color="auto"/>
        <w:left w:val="none" w:sz="0" w:space="0" w:color="auto"/>
        <w:bottom w:val="none" w:sz="0" w:space="0" w:color="auto"/>
        <w:right w:val="none" w:sz="0" w:space="0" w:color="auto"/>
      </w:divBdr>
    </w:div>
    <w:div w:id="1164781019">
      <w:bodyDiv w:val="1"/>
      <w:marLeft w:val="0"/>
      <w:marRight w:val="0"/>
      <w:marTop w:val="0"/>
      <w:marBottom w:val="0"/>
      <w:divBdr>
        <w:top w:val="none" w:sz="0" w:space="0" w:color="auto"/>
        <w:left w:val="none" w:sz="0" w:space="0" w:color="auto"/>
        <w:bottom w:val="none" w:sz="0" w:space="0" w:color="auto"/>
        <w:right w:val="none" w:sz="0" w:space="0" w:color="auto"/>
      </w:divBdr>
    </w:div>
    <w:div w:id="1193811609">
      <w:bodyDiv w:val="1"/>
      <w:marLeft w:val="0"/>
      <w:marRight w:val="0"/>
      <w:marTop w:val="0"/>
      <w:marBottom w:val="0"/>
      <w:divBdr>
        <w:top w:val="none" w:sz="0" w:space="0" w:color="auto"/>
        <w:left w:val="none" w:sz="0" w:space="0" w:color="auto"/>
        <w:bottom w:val="none" w:sz="0" w:space="0" w:color="auto"/>
        <w:right w:val="none" w:sz="0" w:space="0" w:color="auto"/>
      </w:divBdr>
    </w:div>
    <w:div w:id="1198816169">
      <w:bodyDiv w:val="1"/>
      <w:marLeft w:val="0"/>
      <w:marRight w:val="0"/>
      <w:marTop w:val="0"/>
      <w:marBottom w:val="0"/>
      <w:divBdr>
        <w:top w:val="none" w:sz="0" w:space="0" w:color="auto"/>
        <w:left w:val="none" w:sz="0" w:space="0" w:color="auto"/>
        <w:bottom w:val="none" w:sz="0" w:space="0" w:color="auto"/>
        <w:right w:val="none" w:sz="0" w:space="0" w:color="auto"/>
      </w:divBdr>
    </w:div>
    <w:div w:id="1205600814">
      <w:bodyDiv w:val="1"/>
      <w:marLeft w:val="0"/>
      <w:marRight w:val="0"/>
      <w:marTop w:val="0"/>
      <w:marBottom w:val="0"/>
      <w:divBdr>
        <w:top w:val="none" w:sz="0" w:space="0" w:color="auto"/>
        <w:left w:val="none" w:sz="0" w:space="0" w:color="auto"/>
        <w:bottom w:val="none" w:sz="0" w:space="0" w:color="auto"/>
        <w:right w:val="none" w:sz="0" w:space="0" w:color="auto"/>
      </w:divBdr>
    </w:div>
    <w:div w:id="1218273647">
      <w:bodyDiv w:val="1"/>
      <w:marLeft w:val="0"/>
      <w:marRight w:val="0"/>
      <w:marTop w:val="0"/>
      <w:marBottom w:val="0"/>
      <w:divBdr>
        <w:top w:val="none" w:sz="0" w:space="0" w:color="auto"/>
        <w:left w:val="none" w:sz="0" w:space="0" w:color="auto"/>
        <w:bottom w:val="none" w:sz="0" w:space="0" w:color="auto"/>
        <w:right w:val="none" w:sz="0" w:space="0" w:color="auto"/>
      </w:divBdr>
    </w:div>
    <w:div w:id="1230270209">
      <w:bodyDiv w:val="1"/>
      <w:marLeft w:val="0"/>
      <w:marRight w:val="0"/>
      <w:marTop w:val="0"/>
      <w:marBottom w:val="0"/>
      <w:divBdr>
        <w:top w:val="none" w:sz="0" w:space="0" w:color="auto"/>
        <w:left w:val="none" w:sz="0" w:space="0" w:color="auto"/>
        <w:bottom w:val="none" w:sz="0" w:space="0" w:color="auto"/>
        <w:right w:val="none" w:sz="0" w:space="0" w:color="auto"/>
      </w:divBdr>
    </w:div>
    <w:div w:id="1234706240">
      <w:bodyDiv w:val="1"/>
      <w:marLeft w:val="0"/>
      <w:marRight w:val="0"/>
      <w:marTop w:val="0"/>
      <w:marBottom w:val="0"/>
      <w:divBdr>
        <w:top w:val="none" w:sz="0" w:space="0" w:color="auto"/>
        <w:left w:val="none" w:sz="0" w:space="0" w:color="auto"/>
        <w:bottom w:val="none" w:sz="0" w:space="0" w:color="auto"/>
        <w:right w:val="none" w:sz="0" w:space="0" w:color="auto"/>
      </w:divBdr>
    </w:div>
    <w:div w:id="1244024116">
      <w:bodyDiv w:val="1"/>
      <w:marLeft w:val="0"/>
      <w:marRight w:val="0"/>
      <w:marTop w:val="0"/>
      <w:marBottom w:val="0"/>
      <w:divBdr>
        <w:top w:val="none" w:sz="0" w:space="0" w:color="auto"/>
        <w:left w:val="none" w:sz="0" w:space="0" w:color="auto"/>
        <w:bottom w:val="none" w:sz="0" w:space="0" w:color="auto"/>
        <w:right w:val="none" w:sz="0" w:space="0" w:color="auto"/>
      </w:divBdr>
    </w:div>
    <w:div w:id="1262450954">
      <w:bodyDiv w:val="1"/>
      <w:marLeft w:val="0"/>
      <w:marRight w:val="0"/>
      <w:marTop w:val="0"/>
      <w:marBottom w:val="0"/>
      <w:divBdr>
        <w:top w:val="none" w:sz="0" w:space="0" w:color="auto"/>
        <w:left w:val="none" w:sz="0" w:space="0" w:color="auto"/>
        <w:bottom w:val="none" w:sz="0" w:space="0" w:color="auto"/>
        <w:right w:val="none" w:sz="0" w:space="0" w:color="auto"/>
      </w:divBdr>
    </w:div>
    <w:div w:id="1279411821">
      <w:bodyDiv w:val="1"/>
      <w:marLeft w:val="0"/>
      <w:marRight w:val="0"/>
      <w:marTop w:val="0"/>
      <w:marBottom w:val="0"/>
      <w:divBdr>
        <w:top w:val="none" w:sz="0" w:space="0" w:color="auto"/>
        <w:left w:val="none" w:sz="0" w:space="0" w:color="auto"/>
        <w:bottom w:val="none" w:sz="0" w:space="0" w:color="auto"/>
        <w:right w:val="none" w:sz="0" w:space="0" w:color="auto"/>
      </w:divBdr>
    </w:div>
    <w:div w:id="1284268311">
      <w:bodyDiv w:val="1"/>
      <w:marLeft w:val="0"/>
      <w:marRight w:val="0"/>
      <w:marTop w:val="0"/>
      <w:marBottom w:val="0"/>
      <w:divBdr>
        <w:top w:val="none" w:sz="0" w:space="0" w:color="auto"/>
        <w:left w:val="none" w:sz="0" w:space="0" w:color="auto"/>
        <w:bottom w:val="none" w:sz="0" w:space="0" w:color="auto"/>
        <w:right w:val="none" w:sz="0" w:space="0" w:color="auto"/>
      </w:divBdr>
    </w:div>
    <w:div w:id="1293973506">
      <w:bodyDiv w:val="1"/>
      <w:marLeft w:val="0"/>
      <w:marRight w:val="0"/>
      <w:marTop w:val="0"/>
      <w:marBottom w:val="0"/>
      <w:divBdr>
        <w:top w:val="none" w:sz="0" w:space="0" w:color="auto"/>
        <w:left w:val="none" w:sz="0" w:space="0" w:color="auto"/>
        <w:bottom w:val="none" w:sz="0" w:space="0" w:color="auto"/>
        <w:right w:val="none" w:sz="0" w:space="0" w:color="auto"/>
      </w:divBdr>
    </w:div>
    <w:div w:id="1303078770">
      <w:bodyDiv w:val="1"/>
      <w:marLeft w:val="0"/>
      <w:marRight w:val="0"/>
      <w:marTop w:val="0"/>
      <w:marBottom w:val="0"/>
      <w:divBdr>
        <w:top w:val="none" w:sz="0" w:space="0" w:color="auto"/>
        <w:left w:val="none" w:sz="0" w:space="0" w:color="auto"/>
        <w:bottom w:val="none" w:sz="0" w:space="0" w:color="auto"/>
        <w:right w:val="none" w:sz="0" w:space="0" w:color="auto"/>
      </w:divBdr>
    </w:div>
    <w:div w:id="1309432497">
      <w:bodyDiv w:val="1"/>
      <w:marLeft w:val="0"/>
      <w:marRight w:val="0"/>
      <w:marTop w:val="0"/>
      <w:marBottom w:val="0"/>
      <w:divBdr>
        <w:top w:val="none" w:sz="0" w:space="0" w:color="auto"/>
        <w:left w:val="none" w:sz="0" w:space="0" w:color="auto"/>
        <w:bottom w:val="none" w:sz="0" w:space="0" w:color="auto"/>
        <w:right w:val="none" w:sz="0" w:space="0" w:color="auto"/>
      </w:divBdr>
    </w:div>
    <w:div w:id="1331256969">
      <w:bodyDiv w:val="1"/>
      <w:marLeft w:val="0"/>
      <w:marRight w:val="0"/>
      <w:marTop w:val="0"/>
      <w:marBottom w:val="0"/>
      <w:divBdr>
        <w:top w:val="none" w:sz="0" w:space="0" w:color="auto"/>
        <w:left w:val="none" w:sz="0" w:space="0" w:color="auto"/>
        <w:bottom w:val="none" w:sz="0" w:space="0" w:color="auto"/>
        <w:right w:val="none" w:sz="0" w:space="0" w:color="auto"/>
      </w:divBdr>
    </w:div>
    <w:div w:id="1358897088">
      <w:bodyDiv w:val="1"/>
      <w:marLeft w:val="0"/>
      <w:marRight w:val="0"/>
      <w:marTop w:val="0"/>
      <w:marBottom w:val="0"/>
      <w:divBdr>
        <w:top w:val="none" w:sz="0" w:space="0" w:color="auto"/>
        <w:left w:val="none" w:sz="0" w:space="0" w:color="auto"/>
        <w:bottom w:val="none" w:sz="0" w:space="0" w:color="auto"/>
        <w:right w:val="none" w:sz="0" w:space="0" w:color="auto"/>
      </w:divBdr>
    </w:div>
    <w:div w:id="1417553088">
      <w:bodyDiv w:val="1"/>
      <w:marLeft w:val="0"/>
      <w:marRight w:val="0"/>
      <w:marTop w:val="0"/>
      <w:marBottom w:val="0"/>
      <w:divBdr>
        <w:top w:val="none" w:sz="0" w:space="0" w:color="auto"/>
        <w:left w:val="none" w:sz="0" w:space="0" w:color="auto"/>
        <w:bottom w:val="none" w:sz="0" w:space="0" w:color="auto"/>
        <w:right w:val="none" w:sz="0" w:space="0" w:color="auto"/>
      </w:divBdr>
    </w:div>
    <w:div w:id="1450735570">
      <w:bodyDiv w:val="1"/>
      <w:marLeft w:val="0"/>
      <w:marRight w:val="0"/>
      <w:marTop w:val="0"/>
      <w:marBottom w:val="0"/>
      <w:divBdr>
        <w:top w:val="none" w:sz="0" w:space="0" w:color="auto"/>
        <w:left w:val="none" w:sz="0" w:space="0" w:color="auto"/>
        <w:bottom w:val="none" w:sz="0" w:space="0" w:color="auto"/>
        <w:right w:val="none" w:sz="0" w:space="0" w:color="auto"/>
      </w:divBdr>
    </w:div>
    <w:div w:id="1453597908">
      <w:bodyDiv w:val="1"/>
      <w:marLeft w:val="0"/>
      <w:marRight w:val="0"/>
      <w:marTop w:val="0"/>
      <w:marBottom w:val="0"/>
      <w:divBdr>
        <w:top w:val="none" w:sz="0" w:space="0" w:color="auto"/>
        <w:left w:val="none" w:sz="0" w:space="0" w:color="auto"/>
        <w:bottom w:val="none" w:sz="0" w:space="0" w:color="auto"/>
        <w:right w:val="none" w:sz="0" w:space="0" w:color="auto"/>
      </w:divBdr>
    </w:div>
    <w:div w:id="1464692915">
      <w:bodyDiv w:val="1"/>
      <w:marLeft w:val="0"/>
      <w:marRight w:val="0"/>
      <w:marTop w:val="0"/>
      <w:marBottom w:val="0"/>
      <w:divBdr>
        <w:top w:val="none" w:sz="0" w:space="0" w:color="auto"/>
        <w:left w:val="none" w:sz="0" w:space="0" w:color="auto"/>
        <w:bottom w:val="none" w:sz="0" w:space="0" w:color="auto"/>
        <w:right w:val="none" w:sz="0" w:space="0" w:color="auto"/>
      </w:divBdr>
    </w:div>
    <w:div w:id="1467551254">
      <w:bodyDiv w:val="1"/>
      <w:marLeft w:val="0"/>
      <w:marRight w:val="0"/>
      <w:marTop w:val="0"/>
      <w:marBottom w:val="0"/>
      <w:divBdr>
        <w:top w:val="none" w:sz="0" w:space="0" w:color="auto"/>
        <w:left w:val="none" w:sz="0" w:space="0" w:color="auto"/>
        <w:bottom w:val="none" w:sz="0" w:space="0" w:color="auto"/>
        <w:right w:val="none" w:sz="0" w:space="0" w:color="auto"/>
      </w:divBdr>
    </w:div>
    <w:div w:id="1488865988">
      <w:bodyDiv w:val="1"/>
      <w:marLeft w:val="0"/>
      <w:marRight w:val="0"/>
      <w:marTop w:val="0"/>
      <w:marBottom w:val="0"/>
      <w:divBdr>
        <w:top w:val="none" w:sz="0" w:space="0" w:color="auto"/>
        <w:left w:val="none" w:sz="0" w:space="0" w:color="auto"/>
        <w:bottom w:val="none" w:sz="0" w:space="0" w:color="auto"/>
        <w:right w:val="none" w:sz="0" w:space="0" w:color="auto"/>
      </w:divBdr>
    </w:div>
    <w:div w:id="1553350709">
      <w:bodyDiv w:val="1"/>
      <w:marLeft w:val="0"/>
      <w:marRight w:val="0"/>
      <w:marTop w:val="0"/>
      <w:marBottom w:val="0"/>
      <w:divBdr>
        <w:top w:val="none" w:sz="0" w:space="0" w:color="auto"/>
        <w:left w:val="none" w:sz="0" w:space="0" w:color="auto"/>
        <w:bottom w:val="none" w:sz="0" w:space="0" w:color="auto"/>
        <w:right w:val="none" w:sz="0" w:space="0" w:color="auto"/>
      </w:divBdr>
    </w:div>
    <w:div w:id="1561399148">
      <w:bodyDiv w:val="1"/>
      <w:marLeft w:val="0"/>
      <w:marRight w:val="0"/>
      <w:marTop w:val="0"/>
      <w:marBottom w:val="0"/>
      <w:divBdr>
        <w:top w:val="none" w:sz="0" w:space="0" w:color="auto"/>
        <w:left w:val="none" w:sz="0" w:space="0" w:color="auto"/>
        <w:bottom w:val="none" w:sz="0" w:space="0" w:color="auto"/>
        <w:right w:val="none" w:sz="0" w:space="0" w:color="auto"/>
      </w:divBdr>
    </w:div>
    <w:div w:id="1571042538">
      <w:bodyDiv w:val="1"/>
      <w:marLeft w:val="0"/>
      <w:marRight w:val="0"/>
      <w:marTop w:val="0"/>
      <w:marBottom w:val="0"/>
      <w:divBdr>
        <w:top w:val="none" w:sz="0" w:space="0" w:color="auto"/>
        <w:left w:val="none" w:sz="0" w:space="0" w:color="auto"/>
        <w:bottom w:val="none" w:sz="0" w:space="0" w:color="auto"/>
        <w:right w:val="none" w:sz="0" w:space="0" w:color="auto"/>
      </w:divBdr>
    </w:div>
    <w:div w:id="1585795863">
      <w:bodyDiv w:val="1"/>
      <w:marLeft w:val="0"/>
      <w:marRight w:val="0"/>
      <w:marTop w:val="0"/>
      <w:marBottom w:val="0"/>
      <w:divBdr>
        <w:top w:val="none" w:sz="0" w:space="0" w:color="auto"/>
        <w:left w:val="none" w:sz="0" w:space="0" w:color="auto"/>
        <w:bottom w:val="none" w:sz="0" w:space="0" w:color="auto"/>
        <w:right w:val="none" w:sz="0" w:space="0" w:color="auto"/>
      </w:divBdr>
    </w:div>
    <w:div w:id="1626228661">
      <w:bodyDiv w:val="1"/>
      <w:marLeft w:val="0"/>
      <w:marRight w:val="0"/>
      <w:marTop w:val="0"/>
      <w:marBottom w:val="0"/>
      <w:divBdr>
        <w:top w:val="none" w:sz="0" w:space="0" w:color="auto"/>
        <w:left w:val="none" w:sz="0" w:space="0" w:color="auto"/>
        <w:bottom w:val="none" w:sz="0" w:space="0" w:color="auto"/>
        <w:right w:val="none" w:sz="0" w:space="0" w:color="auto"/>
      </w:divBdr>
    </w:div>
    <w:div w:id="1637491138">
      <w:bodyDiv w:val="1"/>
      <w:marLeft w:val="0"/>
      <w:marRight w:val="0"/>
      <w:marTop w:val="0"/>
      <w:marBottom w:val="0"/>
      <w:divBdr>
        <w:top w:val="none" w:sz="0" w:space="0" w:color="auto"/>
        <w:left w:val="none" w:sz="0" w:space="0" w:color="auto"/>
        <w:bottom w:val="none" w:sz="0" w:space="0" w:color="auto"/>
        <w:right w:val="none" w:sz="0" w:space="0" w:color="auto"/>
      </w:divBdr>
    </w:div>
    <w:div w:id="1661352098">
      <w:bodyDiv w:val="1"/>
      <w:marLeft w:val="0"/>
      <w:marRight w:val="0"/>
      <w:marTop w:val="0"/>
      <w:marBottom w:val="0"/>
      <w:divBdr>
        <w:top w:val="none" w:sz="0" w:space="0" w:color="auto"/>
        <w:left w:val="none" w:sz="0" w:space="0" w:color="auto"/>
        <w:bottom w:val="none" w:sz="0" w:space="0" w:color="auto"/>
        <w:right w:val="none" w:sz="0" w:space="0" w:color="auto"/>
      </w:divBdr>
    </w:div>
    <w:div w:id="1669942734">
      <w:bodyDiv w:val="1"/>
      <w:marLeft w:val="0"/>
      <w:marRight w:val="0"/>
      <w:marTop w:val="0"/>
      <w:marBottom w:val="0"/>
      <w:divBdr>
        <w:top w:val="none" w:sz="0" w:space="0" w:color="auto"/>
        <w:left w:val="none" w:sz="0" w:space="0" w:color="auto"/>
        <w:bottom w:val="none" w:sz="0" w:space="0" w:color="auto"/>
        <w:right w:val="none" w:sz="0" w:space="0" w:color="auto"/>
      </w:divBdr>
    </w:div>
    <w:div w:id="1677997608">
      <w:bodyDiv w:val="1"/>
      <w:marLeft w:val="0"/>
      <w:marRight w:val="0"/>
      <w:marTop w:val="0"/>
      <w:marBottom w:val="0"/>
      <w:divBdr>
        <w:top w:val="none" w:sz="0" w:space="0" w:color="auto"/>
        <w:left w:val="none" w:sz="0" w:space="0" w:color="auto"/>
        <w:bottom w:val="none" w:sz="0" w:space="0" w:color="auto"/>
        <w:right w:val="none" w:sz="0" w:space="0" w:color="auto"/>
      </w:divBdr>
    </w:div>
    <w:div w:id="1693191340">
      <w:bodyDiv w:val="1"/>
      <w:marLeft w:val="0"/>
      <w:marRight w:val="0"/>
      <w:marTop w:val="0"/>
      <w:marBottom w:val="0"/>
      <w:divBdr>
        <w:top w:val="none" w:sz="0" w:space="0" w:color="auto"/>
        <w:left w:val="none" w:sz="0" w:space="0" w:color="auto"/>
        <w:bottom w:val="none" w:sz="0" w:space="0" w:color="auto"/>
        <w:right w:val="none" w:sz="0" w:space="0" w:color="auto"/>
      </w:divBdr>
    </w:div>
    <w:div w:id="1705446131">
      <w:bodyDiv w:val="1"/>
      <w:marLeft w:val="0"/>
      <w:marRight w:val="0"/>
      <w:marTop w:val="0"/>
      <w:marBottom w:val="0"/>
      <w:divBdr>
        <w:top w:val="none" w:sz="0" w:space="0" w:color="auto"/>
        <w:left w:val="none" w:sz="0" w:space="0" w:color="auto"/>
        <w:bottom w:val="none" w:sz="0" w:space="0" w:color="auto"/>
        <w:right w:val="none" w:sz="0" w:space="0" w:color="auto"/>
      </w:divBdr>
    </w:div>
    <w:div w:id="1705909140">
      <w:bodyDiv w:val="1"/>
      <w:marLeft w:val="0"/>
      <w:marRight w:val="0"/>
      <w:marTop w:val="0"/>
      <w:marBottom w:val="0"/>
      <w:divBdr>
        <w:top w:val="none" w:sz="0" w:space="0" w:color="auto"/>
        <w:left w:val="none" w:sz="0" w:space="0" w:color="auto"/>
        <w:bottom w:val="none" w:sz="0" w:space="0" w:color="auto"/>
        <w:right w:val="none" w:sz="0" w:space="0" w:color="auto"/>
      </w:divBdr>
    </w:div>
    <w:div w:id="1710032985">
      <w:bodyDiv w:val="1"/>
      <w:marLeft w:val="0"/>
      <w:marRight w:val="0"/>
      <w:marTop w:val="0"/>
      <w:marBottom w:val="0"/>
      <w:divBdr>
        <w:top w:val="none" w:sz="0" w:space="0" w:color="auto"/>
        <w:left w:val="none" w:sz="0" w:space="0" w:color="auto"/>
        <w:bottom w:val="none" w:sz="0" w:space="0" w:color="auto"/>
        <w:right w:val="none" w:sz="0" w:space="0" w:color="auto"/>
      </w:divBdr>
    </w:div>
    <w:div w:id="1714576027">
      <w:bodyDiv w:val="1"/>
      <w:marLeft w:val="0"/>
      <w:marRight w:val="0"/>
      <w:marTop w:val="0"/>
      <w:marBottom w:val="0"/>
      <w:divBdr>
        <w:top w:val="none" w:sz="0" w:space="0" w:color="auto"/>
        <w:left w:val="none" w:sz="0" w:space="0" w:color="auto"/>
        <w:bottom w:val="none" w:sz="0" w:space="0" w:color="auto"/>
        <w:right w:val="none" w:sz="0" w:space="0" w:color="auto"/>
      </w:divBdr>
    </w:div>
    <w:div w:id="1749305171">
      <w:bodyDiv w:val="1"/>
      <w:marLeft w:val="0"/>
      <w:marRight w:val="0"/>
      <w:marTop w:val="0"/>
      <w:marBottom w:val="0"/>
      <w:divBdr>
        <w:top w:val="none" w:sz="0" w:space="0" w:color="auto"/>
        <w:left w:val="none" w:sz="0" w:space="0" w:color="auto"/>
        <w:bottom w:val="none" w:sz="0" w:space="0" w:color="auto"/>
        <w:right w:val="none" w:sz="0" w:space="0" w:color="auto"/>
      </w:divBdr>
    </w:div>
    <w:div w:id="1752384985">
      <w:bodyDiv w:val="1"/>
      <w:marLeft w:val="0"/>
      <w:marRight w:val="0"/>
      <w:marTop w:val="0"/>
      <w:marBottom w:val="0"/>
      <w:divBdr>
        <w:top w:val="none" w:sz="0" w:space="0" w:color="auto"/>
        <w:left w:val="none" w:sz="0" w:space="0" w:color="auto"/>
        <w:bottom w:val="none" w:sz="0" w:space="0" w:color="auto"/>
        <w:right w:val="none" w:sz="0" w:space="0" w:color="auto"/>
      </w:divBdr>
    </w:div>
    <w:div w:id="1755474439">
      <w:bodyDiv w:val="1"/>
      <w:marLeft w:val="0"/>
      <w:marRight w:val="0"/>
      <w:marTop w:val="0"/>
      <w:marBottom w:val="0"/>
      <w:divBdr>
        <w:top w:val="none" w:sz="0" w:space="0" w:color="auto"/>
        <w:left w:val="none" w:sz="0" w:space="0" w:color="auto"/>
        <w:bottom w:val="none" w:sz="0" w:space="0" w:color="auto"/>
        <w:right w:val="none" w:sz="0" w:space="0" w:color="auto"/>
      </w:divBdr>
    </w:div>
    <w:div w:id="1761102419">
      <w:bodyDiv w:val="1"/>
      <w:marLeft w:val="0"/>
      <w:marRight w:val="0"/>
      <w:marTop w:val="0"/>
      <w:marBottom w:val="0"/>
      <w:divBdr>
        <w:top w:val="none" w:sz="0" w:space="0" w:color="auto"/>
        <w:left w:val="none" w:sz="0" w:space="0" w:color="auto"/>
        <w:bottom w:val="none" w:sz="0" w:space="0" w:color="auto"/>
        <w:right w:val="none" w:sz="0" w:space="0" w:color="auto"/>
      </w:divBdr>
    </w:div>
    <w:div w:id="1774592510">
      <w:bodyDiv w:val="1"/>
      <w:marLeft w:val="0"/>
      <w:marRight w:val="0"/>
      <w:marTop w:val="0"/>
      <w:marBottom w:val="0"/>
      <w:divBdr>
        <w:top w:val="none" w:sz="0" w:space="0" w:color="auto"/>
        <w:left w:val="none" w:sz="0" w:space="0" w:color="auto"/>
        <w:bottom w:val="none" w:sz="0" w:space="0" w:color="auto"/>
        <w:right w:val="none" w:sz="0" w:space="0" w:color="auto"/>
      </w:divBdr>
    </w:div>
    <w:div w:id="1779330967">
      <w:bodyDiv w:val="1"/>
      <w:marLeft w:val="0"/>
      <w:marRight w:val="0"/>
      <w:marTop w:val="0"/>
      <w:marBottom w:val="0"/>
      <w:divBdr>
        <w:top w:val="none" w:sz="0" w:space="0" w:color="auto"/>
        <w:left w:val="none" w:sz="0" w:space="0" w:color="auto"/>
        <w:bottom w:val="none" w:sz="0" w:space="0" w:color="auto"/>
        <w:right w:val="none" w:sz="0" w:space="0" w:color="auto"/>
      </w:divBdr>
    </w:div>
    <w:div w:id="1793596489">
      <w:bodyDiv w:val="1"/>
      <w:marLeft w:val="0"/>
      <w:marRight w:val="0"/>
      <w:marTop w:val="0"/>
      <w:marBottom w:val="0"/>
      <w:divBdr>
        <w:top w:val="none" w:sz="0" w:space="0" w:color="auto"/>
        <w:left w:val="none" w:sz="0" w:space="0" w:color="auto"/>
        <w:bottom w:val="none" w:sz="0" w:space="0" w:color="auto"/>
        <w:right w:val="none" w:sz="0" w:space="0" w:color="auto"/>
      </w:divBdr>
    </w:div>
    <w:div w:id="1825513847">
      <w:bodyDiv w:val="1"/>
      <w:marLeft w:val="0"/>
      <w:marRight w:val="0"/>
      <w:marTop w:val="0"/>
      <w:marBottom w:val="0"/>
      <w:divBdr>
        <w:top w:val="none" w:sz="0" w:space="0" w:color="auto"/>
        <w:left w:val="none" w:sz="0" w:space="0" w:color="auto"/>
        <w:bottom w:val="none" w:sz="0" w:space="0" w:color="auto"/>
        <w:right w:val="none" w:sz="0" w:space="0" w:color="auto"/>
      </w:divBdr>
    </w:div>
    <w:div w:id="1831436260">
      <w:bodyDiv w:val="1"/>
      <w:marLeft w:val="0"/>
      <w:marRight w:val="0"/>
      <w:marTop w:val="0"/>
      <w:marBottom w:val="0"/>
      <w:divBdr>
        <w:top w:val="none" w:sz="0" w:space="0" w:color="auto"/>
        <w:left w:val="none" w:sz="0" w:space="0" w:color="auto"/>
        <w:bottom w:val="none" w:sz="0" w:space="0" w:color="auto"/>
        <w:right w:val="none" w:sz="0" w:space="0" w:color="auto"/>
      </w:divBdr>
    </w:div>
    <w:div w:id="1839230690">
      <w:bodyDiv w:val="1"/>
      <w:marLeft w:val="0"/>
      <w:marRight w:val="0"/>
      <w:marTop w:val="0"/>
      <w:marBottom w:val="0"/>
      <w:divBdr>
        <w:top w:val="none" w:sz="0" w:space="0" w:color="auto"/>
        <w:left w:val="none" w:sz="0" w:space="0" w:color="auto"/>
        <w:bottom w:val="none" w:sz="0" w:space="0" w:color="auto"/>
        <w:right w:val="none" w:sz="0" w:space="0" w:color="auto"/>
      </w:divBdr>
    </w:div>
    <w:div w:id="1900700680">
      <w:bodyDiv w:val="1"/>
      <w:marLeft w:val="0"/>
      <w:marRight w:val="0"/>
      <w:marTop w:val="0"/>
      <w:marBottom w:val="0"/>
      <w:divBdr>
        <w:top w:val="none" w:sz="0" w:space="0" w:color="auto"/>
        <w:left w:val="none" w:sz="0" w:space="0" w:color="auto"/>
        <w:bottom w:val="none" w:sz="0" w:space="0" w:color="auto"/>
        <w:right w:val="none" w:sz="0" w:space="0" w:color="auto"/>
      </w:divBdr>
    </w:div>
    <w:div w:id="1903521193">
      <w:bodyDiv w:val="1"/>
      <w:marLeft w:val="0"/>
      <w:marRight w:val="0"/>
      <w:marTop w:val="0"/>
      <w:marBottom w:val="0"/>
      <w:divBdr>
        <w:top w:val="none" w:sz="0" w:space="0" w:color="auto"/>
        <w:left w:val="none" w:sz="0" w:space="0" w:color="auto"/>
        <w:bottom w:val="none" w:sz="0" w:space="0" w:color="auto"/>
        <w:right w:val="none" w:sz="0" w:space="0" w:color="auto"/>
      </w:divBdr>
    </w:div>
    <w:div w:id="1917083356">
      <w:bodyDiv w:val="1"/>
      <w:marLeft w:val="0"/>
      <w:marRight w:val="0"/>
      <w:marTop w:val="0"/>
      <w:marBottom w:val="0"/>
      <w:divBdr>
        <w:top w:val="none" w:sz="0" w:space="0" w:color="auto"/>
        <w:left w:val="none" w:sz="0" w:space="0" w:color="auto"/>
        <w:bottom w:val="none" w:sz="0" w:space="0" w:color="auto"/>
        <w:right w:val="none" w:sz="0" w:space="0" w:color="auto"/>
      </w:divBdr>
    </w:div>
    <w:div w:id="1921326142">
      <w:bodyDiv w:val="1"/>
      <w:marLeft w:val="0"/>
      <w:marRight w:val="0"/>
      <w:marTop w:val="0"/>
      <w:marBottom w:val="0"/>
      <w:divBdr>
        <w:top w:val="none" w:sz="0" w:space="0" w:color="auto"/>
        <w:left w:val="none" w:sz="0" w:space="0" w:color="auto"/>
        <w:bottom w:val="none" w:sz="0" w:space="0" w:color="auto"/>
        <w:right w:val="none" w:sz="0" w:space="0" w:color="auto"/>
      </w:divBdr>
    </w:div>
    <w:div w:id="1927617098">
      <w:bodyDiv w:val="1"/>
      <w:marLeft w:val="0"/>
      <w:marRight w:val="0"/>
      <w:marTop w:val="0"/>
      <w:marBottom w:val="0"/>
      <w:divBdr>
        <w:top w:val="none" w:sz="0" w:space="0" w:color="auto"/>
        <w:left w:val="none" w:sz="0" w:space="0" w:color="auto"/>
        <w:bottom w:val="none" w:sz="0" w:space="0" w:color="auto"/>
        <w:right w:val="none" w:sz="0" w:space="0" w:color="auto"/>
      </w:divBdr>
    </w:div>
    <w:div w:id="1955285570">
      <w:bodyDiv w:val="1"/>
      <w:marLeft w:val="0"/>
      <w:marRight w:val="0"/>
      <w:marTop w:val="0"/>
      <w:marBottom w:val="0"/>
      <w:divBdr>
        <w:top w:val="none" w:sz="0" w:space="0" w:color="auto"/>
        <w:left w:val="none" w:sz="0" w:space="0" w:color="auto"/>
        <w:bottom w:val="none" w:sz="0" w:space="0" w:color="auto"/>
        <w:right w:val="none" w:sz="0" w:space="0" w:color="auto"/>
      </w:divBdr>
    </w:div>
    <w:div w:id="1961572330">
      <w:bodyDiv w:val="1"/>
      <w:marLeft w:val="0"/>
      <w:marRight w:val="0"/>
      <w:marTop w:val="0"/>
      <w:marBottom w:val="0"/>
      <w:divBdr>
        <w:top w:val="none" w:sz="0" w:space="0" w:color="auto"/>
        <w:left w:val="none" w:sz="0" w:space="0" w:color="auto"/>
        <w:bottom w:val="none" w:sz="0" w:space="0" w:color="auto"/>
        <w:right w:val="none" w:sz="0" w:space="0" w:color="auto"/>
      </w:divBdr>
    </w:div>
    <w:div w:id="1969317088">
      <w:bodyDiv w:val="1"/>
      <w:marLeft w:val="0"/>
      <w:marRight w:val="0"/>
      <w:marTop w:val="0"/>
      <w:marBottom w:val="0"/>
      <w:divBdr>
        <w:top w:val="none" w:sz="0" w:space="0" w:color="auto"/>
        <w:left w:val="none" w:sz="0" w:space="0" w:color="auto"/>
        <w:bottom w:val="none" w:sz="0" w:space="0" w:color="auto"/>
        <w:right w:val="none" w:sz="0" w:space="0" w:color="auto"/>
      </w:divBdr>
    </w:div>
    <w:div w:id="1972245255">
      <w:bodyDiv w:val="1"/>
      <w:marLeft w:val="0"/>
      <w:marRight w:val="0"/>
      <w:marTop w:val="0"/>
      <w:marBottom w:val="0"/>
      <w:divBdr>
        <w:top w:val="none" w:sz="0" w:space="0" w:color="auto"/>
        <w:left w:val="none" w:sz="0" w:space="0" w:color="auto"/>
        <w:bottom w:val="none" w:sz="0" w:space="0" w:color="auto"/>
        <w:right w:val="none" w:sz="0" w:space="0" w:color="auto"/>
      </w:divBdr>
    </w:div>
    <w:div w:id="1994526382">
      <w:bodyDiv w:val="1"/>
      <w:marLeft w:val="0"/>
      <w:marRight w:val="0"/>
      <w:marTop w:val="0"/>
      <w:marBottom w:val="0"/>
      <w:divBdr>
        <w:top w:val="none" w:sz="0" w:space="0" w:color="auto"/>
        <w:left w:val="none" w:sz="0" w:space="0" w:color="auto"/>
        <w:bottom w:val="none" w:sz="0" w:space="0" w:color="auto"/>
        <w:right w:val="none" w:sz="0" w:space="0" w:color="auto"/>
      </w:divBdr>
    </w:div>
    <w:div w:id="2016498024">
      <w:bodyDiv w:val="1"/>
      <w:marLeft w:val="0"/>
      <w:marRight w:val="0"/>
      <w:marTop w:val="0"/>
      <w:marBottom w:val="0"/>
      <w:divBdr>
        <w:top w:val="none" w:sz="0" w:space="0" w:color="auto"/>
        <w:left w:val="none" w:sz="0" w:space="0" w:color="auto"/>
        <w:bottom w:val="none" w:sz="0" w:space="0" w:color="auto"/>
        <w:right w:val="none" w:sz="0" w:space="0" w:color="auto"/>
      </w:divBdr>
    </w:div>
    <w:div w:id="2044212809">
      <w:bodyDiv w:val="1"/>
      <w:marLeft w:val="0"/>
      <w:marRight w:val="0"/>
      <w:marTop w:val="0"/>
      <w:marBottom w:val="0"/>
      <w:divBdr>
        <w:top w:val="none" w:sz="0" w:space="0" w:color="auto"/>
        <w:left w:val="none" w:sz="0" w:space="0" w:color="auto"/>
        <w:bottom w:val="none" w:sz="0" w:space="0" w:color="auto"/>
        <w:right w:val="none" w:sz="0" w:space="0" w:color="auto"/>
      </w:divBdr>
    </w:div>
    <w:div w:id="2061591978">
      <w:bodyDiv w:val="1"/>
      <w:marLeft w:val="0"/>
      <w:marRight w:val="0"/>
      <w:marTop w:val="0"/>
      <w:marBottom w:val="0"/>
      <w:divBdr>
        <w:top w:val="none" w:sz="0" w:space="0" w:color="auto"/>
        <w:left w:val="none" w:sz="0" w:space="0" w:color="auto"/>
        <w:bottom w:val="none" w:sz="0" w:space="0" w:color="auto"/>
        <w:right w:val="none" w:sz="0" w:space="0" w:color="auto"/>
      </w:divBdr>
    </w:div>
    <w:div w:id="2120445363">
      <w:bodyDiv w:val="1"/>
      <w:marLeft w:val="0"/>
      <w:marRight w:val="0"/>
      <w:marTop w:val="0"/>
      <w:marBottom w:val="0"/>
      <w:divBdr>
        <w:top w:val="none" w:sz="0" w:space="0" w:color="auto"/>
        <w:left w:val="none" w:sz="0" w:space="0" w:color="auto"/>
        <w:bottom w:val="none" w:sz="0" w:space="0" w:color="auto"/>
        <w:right w:val="none" w:sz="0" w:space="0" w:color="auto"/>
      </w:divBdr>
    </w:div>
    <w:div w:id="213308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conciliation-and-mediation?utm_source=chatgpt.com" TargetMode="External"/><Relationship Id="rId18" Type="http://schemas.openxmlformats.org/officeDocument/2006/relationships/hyperlink" Target="https://www.cipd.co.uk?utm_source=chatgpt.com" TargetMode="External"/><Relationship Id="rId26" Type="http://schemas.openxmlformats.org/officeDocument/2006/relationships/hyperlink" Target="https://www.cipd.co.uk/knowledge/fundamentals/relations/mediation-factsheet?utm_source=chatgpt.com" TargetMode="External"/><Relationship Id="rId39" Type="http://schemas.openxmlformats.org/officeDocument/2006/relationships/hyperlink" Target="https://www.gov.uk/employment-tribunals/unfair-dismissal?utm_source=chatgpt.com" TargetMode="External"/><Relationship Id="rId21" Type="http://schemas.openxmlformats.org/officeDocument/2006/relationships/hyperlink" Target="https://www.cipd.org/uk/knowledge/fundamentals/emp-law/employee-relations?utm_source=chatgpt.com" TargetMode="External"/><Relationship Id="rId34" Type="http://schemas.openxmlformats.org/officeDocument/2006/relationships/hyperlink" Target="https://www.cipd.org/uk/about/press-releases/workplace-conflict-puts-strain-on-job-quality?utm_source=chatgpt.com" TargetMode="External"/><Relationship Id="rId42" Type="http://schemas.openxmlformats.org/officeDocument/2006/relationships/hyperlink" Target="https://www.gmb.org.uk?utm_source=chatgpt.com" TargetMode="External"/><Relationship Id="rId47" Type="http://schemas.openxmlformats.org/officeDocument/2006/relationships/hyperlink" Target="https://www.local.gov.uk?utm_source=chatgpt.com" TargetMode="External"/><Relationship Id="rId50" Type="http://schemas.openxmlformats.org/officeDocument/2006/relationships/fontTable" Target="fontTable.xml"/><Relationship Id="rId7" Type="http://schemas.openxmlformats.org/officeDocument/2006/relationships/hyperlink" Target="https://www.acas.org.uk/employee-voice-and-representation?utm_source=chatgpt.com" TargetMode="External"/><Relationship Id="rId2" Type="http://schemas.openxmlformats.org/officeDocument/2006/relationships/styles" Target="styles.xml"/><Relationship Id="rId16" Type="http://schemas.openxmlformats.org/officeDocument/2006/relationships/hyperlink" Target="https://www.bbc.co.uk/news/business-64912345?utm_source=chatgpt.com" TargetMode="External"/><Relationship Id="rId29" Type="http://schemas.openxmlformats.org/officeDocument/2006/relationships/hyperlink" Target="https://www.cipd.co.uk/knowledge/fundamentals/emp-law/disciplinary-grievances-factsheet?utm_source=chatgpt.com" TargetMode="External"/><Relationship Id="rId11" Type="http://schemas.openxmlformats.org/officeDocument/2006/relationships/hyperlink" Target="https://www.acas.org.uk/industrial-disputes-becoming-more-polarised?utm_source=chatgpt.com" TargetMode="External"/><Relationship Id="rId24" Type="http://schemas.openxmlformats.org/officeDocument/2006/relationships/hyperlink" Target="https://www.cipd.co.uk?utm_source=chatgpt.com" TargetMode="External"/><Relationship Id="rId32" Type="http://schemas.openxmlformats.org/officeDocument/2006/relationships/hyperlink" Target="https://www.cipd.co.uk?utm_source=chatgpt.com" TargetMode="External"/><Relationship Id="rId37" Type="http://schemas.openxmlformats.org/officeDocument/2006/relationships/hyperlink" Target="https://www.cipd.co.uk/knowledge/fundamentals/relations/conflict-resolution?utm_source=chatgpt.com" TargetMode="External"/><Relationship Id="rId40" Type="http://schemas.openxmlformats.org/officeDocument/2006/relationships/hyperlink" Target="https://www.legislation.gov.uk/ukpga/2010/15/contents?utm_source=chatgpt.com" TargetMode="External"/><Relationship Id="rId45" Type="http://schemas.openxmlformats.org/officeDocument/2006/relationships/hyperlink" Target="https://www.ipa-involve.com?utm_source=chatgpt.com" TargetMode="External"/><Relationship Id="rId5" Type="http://schemas.openxmlformats.org/officeDocument/2006/relationships/hyperlink" Target="https://www.acas.org.uk?utm_source=chatgpt.com" TargetMode="External"/><Relationship Id="rId15" Type="http://schemas.openxmlformats.org/officeDocument/2006/relationships/hyperlink" Target="https://www.acas.org.uk/research-and-commentary/building-back-making-working-lives-better/paper?utm_source=chatgpt.com" TargetMode="External"/><Relationship Id="rId23" Type="http://schemas.openxmlformats.org/officeDocument/2006/relationships/hyperlink" Target="https://www.cipd.co.uk/knowledge/strategy/leadership/line-managers?utm_source=chatgpt.com" TargetMode="External"/><Relationship Id="rId28" Type="http://schemas.openxmlformats.org/officeDocument/2006/relationships/hyperlink" Target="https://www.cipd.co.uk/knowledge/fundamentals/relations/engagement-factsheet?utm_source=chatgpt.com" TargetMode="External"/><Relationship Id="rId36" Type="http://schemas.openxmlformats.org/officeDocument/2006/relationships/hyperlink" Target="https://www.cipd.org/uk/knowledge/podcasts/whats-hampering-good-work?utm_source=chatgpt.com" TargetMode="External"/><Relationship Id="rId49" Type="http://schemas.openxmlformats.org/officeDocument/2006/relationships/hyperlink" Target="https://www.nhsemployers.org/your-workforce/relations/working-in-partnership-with-staff-side?utm_source=chatgpt.com" TargetMode="External"/><Relationship Id="rId10" Type="http://schemas.openxmlformats.org/officeDocument/2006/relationships/hyperlink" Target="https://www.acas.org.uk/handling-workplace-grievances?utm_source=chatgpt.com" TargetMode="External"/><Relationship Id="rId19" Type="http://schemas.openxmlformats.org/officeDocument/2006/relationships/hyperlink" Target="https://www.cipd.org/globalassets/media/misc-hero-images/cipd-manifesto-for-work-2020_tcm18-68625.pdf?utm_source=chatgpt.com" TargetMode="External"/><Relationship Id="rId31" Type="http://schemas.openxmlformats.org/officeDocument/2006/relationships/hyperlink" Target="https://www.cipd.co.uk/knowledge/strategy/reward-factsheet?utm_source=chatgpt.com" TargetMode="External"/><Relationship Id="rId44" Type="http://schemas.openxmlformats.org/officeDocument/2006/relationships/hyperlink" Target="https://www.linkedin.com/pulse/employee-involvement-participation-hussain-bin-hussain/?utm_source=chatgpt.com" TargetMode="External"/><Relationship Id="rId4" Type="http://schemas.openxmlformats.org/officeDocument/2006/relationships/webSettings" Target="webSettings.xml"/><Relationship Id="rId9" Type="http://schemas.openxmlformats.org/officeDocument/2006/relationships/hyperlink" Target="https://www.acas.org.uk/handling-grievances-at-work?utm_source=chatgpt.com" TargetMode="External"/><Relationship Id="rId14" Type="http://schemas.openxmlformats.org/officeDocument/2006/relationships/hyperlink" Target="https://www.linkedin.com/in/gracebaker?utm_source=chatgpt.com" TargetMode="External"/><Relationship Id="rId22" Type="http://schemas.openxmlformats.org/officeDocument/2006/relationships/hyperlink" Target="https://www.cipd.co.uk/knowledge/fundamentals/emp-law/disciplinary-grievances-factsheet?utm_source=chatgpt.com" TargetMode="External"/><Relationship Id="rId27" Type="http://schemas.openxmlformats.org/officeDocument/2006/relationships/hyperlink" Target="https://www.cipd.co.uk?utm_source=chatgpt.com" TargetMode="External"/><Relationship Id="rId30" Type="http://schemas.openxmlformats.org/officeDocument/2006/relationships/hyperlink" Target="https://prod.cipd.org/en/knowledge/factsheets/mediation-factsheet/?utm_source=chatgpt.com" TargetMode="External"/><Relationship Id="rId35" Type="http://schemas.openxmlformats.org/officeDocument/2006/relationships/hyperlink" Target="https://www.cipd.org/uk/knowledge/guides/workplace-conflict-people-manager-guide/?utm_source=chatgpt.com" TargetMode="External"/><Relationship Id="rId43" Type="http://schemas.openxmlformats.org/officeDocument/2006/relationships/hyperlink" Target="https://www.legislation.gov.uk/ukpga/1974/37/contents?utm_source=chatgpt.com" TargetMode="External"/><Relationship Id="rId48" Type="http://schemas.openxmlformats.org/officeDocument/2006/relationships/hyperlink" Target="https://www.legislation.gov.uk/ukpga/1998/39/contents?utm_source=chatgpt.com" TargetMode="External"/><Relationship Id="rId8" Type="http://schemas.openxmlformats.org/officeDocument/2006/relationships/hyperlink" Target="https://www.acas.org.uk/disciplinary-and-grievance-procedures-code-of-practice?utm_source=chatgpt.com"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acas.org.uk?utm_source=chatgpt.com" TargetMode="External"/><Relationship Id="rId17" Type="http://schemas.openxmlformats.org/officeDocument/2006/relationships/hyperlink" Target="https://www.bbc.co.uk/news/uk-66598765?utm_source=chatgpt.com" TargetMode="External"/><Relationship Id="rId25" Type="http://schemas.openxmlformats.org/officeDocument/2006/relationships/hyperlink" Target="https://www.cipd.co.uk/knowledge/strategy/people-management/line-management?utm_source=chatgpt.com" TargetMode="External"/><Relationship Id="rId33" Type="http://schemas.openxmlformats.org/officeDocument/2006/relationships/hyperlink" Target="https://www.cipd.org/uk/knowledge/factsheets/employee-voice-factsheet?utm_source=chatgpt.com" TargetMode="External"/><Relationship Id="rId38" Type="http://schemas.openxmlformats.org/officeDocument/2006/relationships/hyperlink" Target="https://www.cipd.co.uk?utm_source=chatgpt.com" TargetMode="External"/><Relationship Id="rId46" Type="http://schemas.openxmlformats.org/officeDocument/2006/relationships/hyperlink" Target="https://www.ipa-involve.com/News/workplace-representation-what-next-for-trade-s-and-staff-forums?utm_source=chatgpt.com" TargetMode="External"/><Relationship Id="rId20" Type="http://schemas.openxmlformats.org/officeDocument/2006/relationships/hyperlink" Target="https://www.cipd.org/uk/knowledge/reports/managing-workplace-conflict-report/?utm_source=chatgpt.com" TargetMode="External"/><Relationship Id="rId41" Type="http://schemas.openxmlformats.org/officeDocument/2006/relationships/hyperlink" Target="https://www.equalityhumanrights.com/en/advice-and-guidance/workplace-grievance-procedures?utm_source=chatgpt.com" TargetMode="External"/><Relationship Id="rId1" Type="http://schemas.openxmlformats.org/officeDocument/2006/relationships/numbering" Target="numbering.xml"/><Relationship Id="rId6" Type="http://schemas.openxmlformats.org/officeDocument/2006/relationships/hyperlink" Target="https://www.acas.org.uk/employee-representation-and-consult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1</Pages>
  <Words>10975</Words>
  <Characters>62562</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Morris</dc:creator>
  <cp:keywords/>
  <dc:description/>
  <cp:lastModifiedBy>shaz Morris</cp:lastModifiedBy>
  <cp:revision>498</cp:revision>
  <dcterms:created xsi:type="dcterms:W3CDTF">2025-07-21T20:45:00Z</dcterms:created>
  <dcterms:modified xsi:type="dcterms:W3CDTF">2025-09-04T18:21:00Z</dcterms:modified>
</cp:coreProperties>
</file>