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F81BD" w:themeColor="accent1"/>
        </w:rPr>
        <w:id w:val="1075941640"/>
        <w:docPartObj>
          <w:docPartGallery w:val="Cover Pages"/>
          <w:docPartUnique/>
        </w:docPartObj>
      </w:sdtPr>
      <w:sdtEndPr>
        <w:rPr>
          <w:rFonts w:ascii="Arial" w:hAnsi="Arial"/>
          <w:color w:val="auto"/>
        </w:rPr>
      </w:sdtEndPr>
      <w:sdtContent>
        <w:p w14:paraId="771BE025" w14:textId="31297F9A" w:rsidR="008F71F5" w:rsidRDefault="008F71F5">
          <w:pPr>
            <w:pStyle w:val="NoSpacing"/>
            <w:spacing w:before="1540" w:after="240"/>
            <w:jc w:val="center"/>
            <w:rPr>
              <w:color w:val="4F81BD" w:themeColor="accent1"/>
            </w:rPr>
          </w:pPr>
          <w:r>
            <w:rPr>
              <w:noProof/>
              <w:color w:val="4F81BD" w:themeColor="accent1"/>
            </w:rPr>
            <w:drawing>
              <wp:inline distT="0" distB="0" distL="0" distR="0" wp14:anchorId="464EBB24" wp14:editId="556E3AB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36"/>
              <w:szCs w:val="36"/>
            </w:rPr>
            <w:alias w:val="Title"/>
            <w:tag w:val=""/>
            <w:id w:val="1735040861"/>
            <w:placeholder>
              <w:docPart w:val="40922FB457354397B50F0F1D4DFD7A84"/>
            </w:placeholder>
            <w:dataBinding w:prefixMappings="xmlns:ns0='http://purl.org/dc/elements/1.1/' xmlns:ns1='http://schemas.openxmlformats.org/package/2006/metadata/core-properties' " w:xpath="/ns1:coreProperties[1]/ns0:title[1]" w:storeItemID="{6C3C8BC8-F283-45AE-878A-BAB7291924A1}"/>
            <w:text/>
          </w:sdtPr>
          <w:sdtContent>
            <w:p w14:paraId="0372E701" w14:textId="0C19FF4E" w:rsidR="008F71F5" w:rsidRPr="008F71F5" w:rsidRDefault="008F71F5">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36"/>
                  <w:szCs w:val="36"/>
                </w:rPr>
              </w:pPr>
              <w:r>
                <w:rPr>
                  <w:rFonts w:asciiTheme="majorHAnsi" w:eastAsiaTheme="majorEastAsia" w:hAnsiTheme="majorHAnsi" w:cstheme="majorBidi"/>
                  <w:caps/>
                  <w:color w:val="4F81BD" w:themeColor="accent1"/>
                  <w:sz w:val="36"/>
                  <w:szCs w:val="36"/>
                </w:rPr>
                <w:t xml:space="preserve">research proposal                                                                        </w:t>
              </w:r>
              <w:r w:rsidRPr="008F71F5">
                <w:rPr>
                  <w:rFonts w:asciiTheme="majorHAnsi" w:eastAsiaTheme="majorEastAsia" w:hAnsiTheme="majorHAnsi" w:cstheme="majorBidi"/>
                  <w:caps/>
                  <w:color w:val="4F81BD" w:themeColor="accent1"/>
                  <w:sz w:val="36"/>
                  <w:szCs w:val="36"/>
                </w:rPr>
                <w:t>The Influence of Data Privacy Concerns on Customer Loyalty towards FinTech Companies in the United Kingdom</w:t>
              </w:r>
            </w:p>
          </w:sdtContent>
        </w:sdt>
        <w:sdt>
          <w:sdtPr>
            <w:rPr>
              <w:color w:val="4F81BD" w:themeColor="accent1"/>
              <w:sz w:val="28"/>
              <w:szCs w:val="28"/>
            </w:rPr>
            <w:alias w:val="Subtitle"/>
            <w:tag w:val=""/>
            <w:id w:val="328029620"/>
            <w:placeholder>
              <w:docPart w:val="CE722F762F6B46C18301DE3FD56B3191"/>
            </w:placeholder>
            <w:dataBinding w:prefixMappings="xmlns:ns0='http://purl.org/dc/elements/1.1/' xmlns:ns1='http://schemas.openxmlformats.org/package/2006/metadata/core-properties' " w:xpath="/ns1:coreProperties[1]/ns0:subject[1]" w:storeItemID="{6C3C8BC8-F283-45AE-878A-BAB7291924A1}"/>
            <w:text/>
          </w:sdtPr>
          <w:sdtContent>
            <w:p w14:paraId="6A14B2B4" w14:textId="614AC799" w:rsidR="008F71F5" w:rsidRDefault="008F71F5">
              <w:pPr>
                <w:pStyle w:val="NoSpacing"/>
                <w:jc w:val="center"/>
                <w:rPr>
                  <w:color w:val="4F81BD" w:themeColor="accent1"/>
                  <w:sz w:val="28"/>
                  <w:szCs w:val="28"/>
                </w:rPr>
              </w:pPr>
              <w:r>
                <w:rPr>
                  <w:color w:val="4F81BD" w:themeColor="accent1"/>
                  <w:sz w:val="28"/>
                  <w:szCs w:val="28"/>
                </w:rPr>
                <w:t>Business Research  BMMB7028                                                                                              Mohd Ravish - 2523743</w:t>
              </w:r>
            </w:p>
          </w:sdtContent>
        </w:sdt>
        <w:p w14:paraId="37189D13" w14:textId="77777777" w:rsidR="008F71F5" w:rsidRDefault="008F71F5">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00CFEBEF" wp14:editId="439AD4B0">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14T00:00:00Z">
                                    <w:dateFormat w:val="dd MMMM yyyy"/>
                                    <w:lid w:val="en-GB"/>
                                    <w:storeMappedDataAs w:val="dateTime"/>
                                    <w:calendar w:val="gregorian"/>
                                  </w:date>
                                </w:sdtPr>
                                <w:sdtContent>
                                  <w:p w14:paraId="0A4F8605" w14:textId="6D9D4BFC" w:rsidR="008F71F5" w:rsidRDefault="008F71F5">
                                    <w:pPr>
                                      <w:pStyle w:val="NoSpacing"/>
                                      <w:spacing w:after="40"/>
                                      <w:jc w:val="center"/>
                                      <w:rPr>
                                        <w:caps/>
                                        <w:color w:val="4F81BD" w:themeColor="accent1"/>
                                        <w:sz w:val="28"/>
                                        <w:szCs w:val="28"/>
                                      </w:rPr>
                                    </w:pPr>
                                    <w:r>
                                      <w:rPr>
                                        <w:caps/>
                                        <w:color w:val="4F81BD" w:themeColor="accent1"/>
                                        <w:sz w:val="28"/>
                                        <w:szCs w:val="28"/>
                                        <w:lang w:val="en-GB"/>
                                      </w:rPr>
                                      <w:t>14 July 2026</w:t>
                                    </w:r>
                                  </w:p>
                                </w:sdtContent>
                              </w:sdt>
                              <w:p w14:paraId="27D5238B" w14:textId="5D30B560" w:rsidR="008F71F5" w:rsidRDefault="008F71F5">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F81BD" w:themeColor="accent1"/>
                                      </w:rPr>
                                      <w:t>UNIVERSITY OF WALES TRINITY SAINT DAVID</w:t>
                                    </w:r>
                                  </w:sdtContent>
                                </w:sdt>
                              </w:p>
                              <w:p w14:paraId="36C1480A" w14:textId="2DA5A6B1" w:rsidR="008F71F5" w:rsidRDefault="008F71F5" w:rsidP="008F71F5">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CFEBE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14T00:00:00Z">
                              <w:dateFormat w:val="dd MMMM yyyy"/>
                              <w:lid w:val="en-GB"/>
                              <w:storeMappedDataAs w:val="dateTime"/>
                              <w:calendar w:val="gregorian"/>
                            </w:date>
                          </w:sdtPr>
                          <w:sdtContent>
                            <w:p w14:paraId="0A4F8605" w14:textId="6D9D4BFC" w:rsidR="008F71F5" w:rsidRDefault="008F71F5">
                              <w:pPr>
                                <w:pStyle w:val="NoSpacing"/>
                                <w:spacing w:after="40"/>
                                <w:jc w:val="center"/>
                                <w:rPr>
                                  <w:caps/>
                                  <w:color w:val="4F81BD" w:themeColor="accent1"/>
                                  <w:sz w:val="28"/>
                                  <w:szCs w:val="28"/>
                                </w:rPr>
                              </w:pPr>
                              <w:r>
                                <w:rPr>
                                  <w:caps/>
                                  <w:color w:val="4F81BD" w:themeColor="accent1"/>
                                  <w:sz w:val="28"/>
                                  <w:szCs w:val="28"/>
                                  <w:lang w:val="en-GB"/>
                                </w:rPr>
                                <w:t>14 July 2026</w:t>
                              </w:r>
                            </w:p>
                          </w:sdtContent>
                        </w:sdt>
                        <w:p w14:paraId="27D5238B" w14:textId="5D30B560" w:rsidR="008F71F5" w:rsidRDefault="008F71F5">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F81BD" w:themeColor="accent1"/>
                                </w:rPr>
                                <w:t>UNIVERSITY OF WALES TRINITY SAINT DAVID</w:t>
                              </w:r>
                            </w:sdtContent>
                          </w:sdt>
                        </w:p>
                        <w:p w14:paraId="36C1480A" w14:textId="2DA5A6B1" w:rsidR="008F71F5" w:rsidRDefault="008F71F5" w:rsidP="008F71F5">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v:textbox>
                    <w10:wrap anchorx="margin" anchory="page"/>
                  </v:shape>
                </w:pict>
              </mc:Fallback>
            </mc:AlternateContent>
          </w:r>
          <w:r>
            <w:rPr>
              <w:noProof/>
              <w:color w:val="4F81BD" w:themeColor="accent1"/>
            </w:rPr>
            <w:drawing>
              <wp:inline distT="0" distB="0" distL="0" distR="0" wp14:anchorId="25DE4BDE" wp14:editId="5C11401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662C76" w14:textId="2FB74659" w:rsidR="008F71F5" w:rsidRDefault="008F71F5">
          <w:pPr>
            <w:spacing w:line="259" w:lineRule="auto"/>
            <w:jc w:val="left"/>
          </w:pPr>
          <w:r>
            <w:br w:type="page"/>
          </w:r>
        </w:p>
      </w:sdtContent>
    </w:sdt>
    <w:p w14:paraId="2ECD5531" w14:textId="77777777" w:rsidR="00091A04" w:rsidRDefault="00D74C1E" w:rsidP="00E867A3">
      <w:pPr>
        <w:pStyle w:val="Heading1"/>
      </w:pPr>
      <w:bookmarkStart w:id="0" w:name="_Toc234866833"/>
      <w:r>
        <w:lastRenderedPageBreak/>
        <w:t>Executive Summary</w:t>
      </w:r>
      <w:bookmarkEnd w:id="0"/>
    </w:p>
    <w:p w14:paraId="1649FD5D" w14:textId="77777777" w:rsidR="00E867A3" w:rsidRDefault="00E867A3" w:rsidP="00E867A3">
      <w:pPr>
        <w:rPr>
          <w:rStyle w:val="cursor-pointer"/>
          <w:rFonts w:ascii="Geist Fallback" w:hAnsi="Geist Fallback" w:hint="eastAsia"/>
          <w:sz w:val="23"/>
          <w:szCs w:val="23"/>
        </w:rPr>
      </w:pPr>
      <w:r>
        <w:rPr>
          <w:rStyle w:val="cursor-pointer"/>
          <w:rFonts w:ascii="Geist Fallback" w:hAnsi="Geist Fallback"/>
          <w:sz w:val="23"/>
          <w:szCs w:val="23"/>
        </w:rPr>
        <w:t>The research proposal focuses on the impact of data privacy as a factor affecting customer loyalty in the context of FinTech firms in the United Kingdom.</w:t>
      </w:r>
      <w:r>
        <w:t xml:space="preserve"> </w:t>
      </w:r>
      <w:r>
        <w:rPr>
          <w:rStyle w:val="cursor-pointer"/>
          <w:rFonts w:ascii="Geist Fallback" w:hAnsi="Geist Fallback"/>
          <w:sz w:val="23"/>
          <w:szCs w:val="23"/>
        </w:rPr>
        <w:t>It centres on whether or not there are concerns around data collection, control, transparency, consent, security and third party sharing, and whether these concerns impact on the customers' trust and intentions to continue using, recommend and stay with a provider.</w:t>
      </w:r>
      <w:r>
        <w:t xml:space="preserve"> </w:t>
      </w:r>
      <w:r>
        <w:rPr>
          <w:rStyle w:val="cursor-pointer"/>
          <w:rFonts w:ascii="Geist Fallback" w:hAnsi="Geist Fallback"/>
          <w:sz w:val="23"/>
          <w:szCs w:val="23"/>
        </w:rPr>
        <w:t>The study applies positivist approach with deductive and quantitative approach as the method used is cross sectional approach.</w:t>
      </w:r>
      <w:r>
        <w:t xml:space="preserve"> </w:t>
      </w:r>
      <w:r>
        <w:rPr>
          <w:rStyle w:val="cursor-pointer"/>
          <w:rFonts w:ascii="Geist Fallback" w:hAnsi="Geist Fallback"/>
          <w:sz w:val="23"/>
          <w:szCs w:val="23"/>
        </w:rPr>
        <w:t>The questionnaire is designed using Microsoft Forms and will be sent to 80-100 UK consumers who have interacted with a consumer FinTech service in the last six months, to gather primary data.</w:t>
      </w:r>
      <w:r>
        <w:t xml:space="preserve"> </w:t>
      </w:r>
      <w:r>
        <w:rPr>
          <w:rStyle w:val="cursor-pointer"/>
          <w:rFonts w:ascii="Geist Fallback" w:hAnsi="Geist Fallback"/>
          <w:sz w:val="23"/>
          <w:szCs w:val="23"/>
        </w:rPr>
        <w:t>Convenience and snowball sampling will be used to facilitate recruitment.</w:t>
      </w:r>
      <w:r>
        <w:t xml:space="preserve"> </w:t>
      </w:r>
      <w:r>
        <w:rPr>
          <w:rStyle w:val="cursor-pointer"/>
          <w:rFonts w:ascii="Geist Fallback" w:hAnsi="Geist Fallback"/>
          <w:sz w:val="23"/>
          <w:szCs w:val="23"/>
        </w:rPr>
        <w:t xml:space="preserve">Data will be </w:t>
      </w:r>
      <w:proofErr w:type="spellStart"/>
      <w:r>
        <w:rPr>
          <w:rStyle w:val="cursor-pointer"/>
          <w:rFonts w:ascii="Geist Fallback" w:hAnsi="Geist Fallback"/>
          <w:sz w:val="23"/>
          <w:szCs w:val="23"/>
        </w:rPr>
        <w:t>analysed</w:t>
      </w:r>
      <w:proofErr w:type="spellEnd"/>
      <w:r>
        <w:rPr>
          <w:rStyle w:val="cursor-pointer"/>
          <w:rFonts w:ascii="Geist Fallback" w:hAnsi="Geist Fallback"/>
          <w:sz w:val="23"/>
          <w:szCs w:val="23"/>
        </w:rPr>
        <w:t xml:space="preserve"> by SPSS, descriptive statistics, reliability test, correlation and regression and mediation analysis will be used to analyse the role of trust.</w:t>
      </w:r>
      <w:r>
        <w:t xml:space="preserve"> </w:t>
      </w:r>
      <w:r>
        <w:rPr>
          <w:rStyle w:val="cursor-pointer"/>
          <w:rFonts w:ascii="Geist Fallback" w:hAnsi="Geist Fallback"/>
          <w:sz w:val="23"/>
          <w:szCs w:val="23"/>
        </w:rPr>
        <w:t>The research takes into account loyalty, which is an issue that has not been covered in the existing literature on FinTech in the UK, and not only initial adoption.</w:t>
      </w:r>
      <w:r>
        <w:t xml:space="preserve"> </w:t>
      </w:r>
      <w:r>
        <w:rPr>
          <w:rStyle w:val="cursor-pointer"/>
          <w:rFonts w:ascii="Geist Fallback" w:hAnsi="Geist Fallback"/>
          <w:sz w:val="23"/>
          <w:szCs w:val="23"/>
        </w:rPr>
        <w:t>The results will be used to inform the efforts of FinTech companies to create transparent data governance, customer confidence and relationship.</w:t>
      </w:r>
    </w:p>
    <w:p w14:paraId="2F8993FB" w14:textId="77777777" w:rsidR="00E867A3" w:rsidRDefault="00E867A3" w:rsidP="00E867A3">
      <w:pPr>
        <w:jc w:val="left"/>
      </w:pPr>
      <w:r>
        <w:br w:type="page"/>
      </w:r>
    </w:p>
    <w:sdt>
      <w:sdtPr>
        <w:rPr>
          <w:rFonts w:eastAsiaTheme="minorEastAsia" w:cstheme="minorBidi"/>
          <w:b w:val="0"/>
          <w:bCs w:val="0"/>
          <w:smallCaps w:val="0"/>
          <w:color w:val="auto"/>
          <w:sz w:val="22"/>
          <w:szCs w:val="22"/>
        </w:rPr>
        <w:id w:val="-1028027567"/>
        <w:docPartObj>
          <w:docPartGallery w:val="Table of Contents"/>
          <w:docPartUnique/>
        </w:docPartObj>
      </w:sdtPr>
      <w:sdtEndPr>
        <w:rPr>
          <w:noProof/>
        </w:rPr>
      </w:sdtEndPr>
      <w:sdtContent>
        <w:p w14:paraId="4BFECAB1" w14:textId="77777777" w:rsidR="00E867A3" w:rsidRDefault="00E867A3" w:rsidP="00E867A3">
          <w:pPr>
            <w:pStyle w:val="TOCHeading"/>
            <w:numPr>
              <w:ilvl w:val="0"/>
              <w:numId w:val="0"/>
            </w:numPr>
            <w:ind w:left="432" w:hanging="432"/>
          </w:pPr>
          <w:r>
            <w:t>Table of Contents</w:t>
          </w:r>
        </w:p>
        <w:p w14:paraId="08B2BF39" w14:textId="77777777" w:rsidR="00DE7138" w:rsidRDefault="00E867A3" w:rsidP="00DE7138">
          <w:pPr>
            <w:pStyle w:val="TOC1"/>
            <w:tabs>
              <w:tab w:val="left" w:pos="440"/>
              <w:tab w:val="right" w:leader="dot" w:pos="9396"/>
            </w:tabs>
            <w:spacing w:line="276" w:lineRule="auto"/>
            <w:rPr>
              <w:rFonts w:asciiTheme="minorHAnsi" w:hAnsiTheme="minorHAnsi"/>
              <w:noProof/>
            </w:rPr>
          </w:pPr>
          <w:r>
            <w:fldChar w:fldCharType="begin"/>
          </w:r>
          <w:r>
            <w:instrText xml:space="preserve"> TOC \o "1-3" \h \z \u </w:instrText>
          </w:r>
          <w:r>
            <w:fldChar w:fldCharType="separate"/>
          </w:r>
          <w:hyperlink w:anchor="_Toc234866833" w:history="1">
            <w:r w:rsidR="00DE7138" w:rsidRPr="00344D9B">
              <w:rPr>
                <w:rStyle w:val="Hyperlink"/>
                <w:noProof/>
              </w:rPr>
              <w:t>1</w:t>
            </w:r>
            <w:r w:rsidR="00DE7138">
              <w:rPr>
                <w:rFonts w:asciiTheme="minorHAnsi" w:hAnsiTheme="minorHAnsi"/>
                <w:noProof/>
              </w:rPr>
              <w:tab/>
            </w:r>
            <w:r w:rsidR="00DE7138" w:rsidRPr="00344D9B">
              <w:rPr>
                <w:rStyle w:val="Hyperlink"/>
                <w:noProof/>
              </w:rPr>
              <w:t>Executive Summary</w:t>
            </w:r>
            <w:r w:rsidR="00DE7138">
              <w:rPr>
                <w:noProof/>
                <w:webHidden/>
              </w:rPr>
              <w:tab/>
            </w:r>
            <w:r w:rsidR="00DE7138">
              <w:rPr>
                <w:noProof/>
                <w:webHidden/>
              </w:rPr>
              <w:fldChar w:fldCharType="begin"/>
            </w:r>
            <w:r w:rsidR="00DE7138">
              <w:rPr>
                <w:noProof/>
                <w:webHidden/>
              </w:rPr>
              <w:instrText xml:space="preserve"> PAGEREF _Toc234866833 \h </w:instrText>
            </w:r>
            <w:r w:rsidR="00DE7138">
              <w:rPr>
                <w:noProof/>
                <w:webHidden/>
              </w:rPr>
            </w:r>
            <w:r w:rsidR="00DE7138">
              <w:rPr>
                <w:noProof/>
                <w:webHidden/>
              </w:rPr>
              <w:fldChar w:fldCharType="separate"/>
            </w:r>
            <w:r w:rsidR="00DE7138">
              <w:rPr>
                <w:noProof/>
                <w:webHidden/>
              </w:rPr>
              <w:t>2</w:t>
            </w:r>
            <w:r w:rsidR="00DE7138">
              <w:rPr>
                <w:noProof/>
                <w:webHidden/>
              </w:rPr>
              <w:fldChar w:fldCharType="end"/>
            </w:r>
          </w:hyperlink>
        </w:p>
        <w:p w14:paraId="4C5E95CB" w14:textId="77777777" w:rsidR="00DE7138" w:rsidRDefault="00DE7138" w:rsidP="00DE7138">
          <w:pPr>
            <w:pStyle w:val="TOC1"/>
            <w:tabs>
              <w:tab w:val="left" w:pos="440"/>
              <w:tab w:val="right" w:leader="dot" w:pos="9396"/>
            </w:tabs>
            <w:spacing w:line="276" w:lineRule="auto"/>
            <w:rPr>
              <w:rFonts w:asciiTheme="minorHAnsi" w:hAnsiTheme="minorHAnsi"/>
              <w:noProof/>
            </w:rPr>
          </w:pPr>
          <w:hyperlink w:anchor="_Toc234866834" w:history="1">
            <w:r w:rsidRPr="00344D9B">
              <w:rPr>
                <w:rStyle w:val="Hyperlink"/>
                <w:noProof/>
              </w:rPr>
              <w:t>2</w:t>
            </w:r>
            <w:r>
              <w:rPr>
                <w:rFonts w:asciiTheme="minorHAnsi" w:hAnsiTheme="minorHAnsi"/>
                <w:noProof/>
              </w:rPr>
              <w:tab/>
            </w:r>
            <w:r w:rsidRPr="00344D9B">
              <w:rPr>
                <w:rStyle w:val="Hyperlink"/>
                <w:noProof/>
              </w:rPr>
              <w:t>Introduction</w:t>
            </w:r>
            <w:r>
              <w:rPr>
                <w:noProof/>
                <w:webHidden/>
              </w:rPr>
              <w:tab/>
            </w:r>
            <w:r>
              <w:rPr>
                <w:noProof/>
                <w:webHidden/>
              </w:rPr>
              <w:fldChar w:fldCharType="begin"/>
            </w:r>
            <w:r>
              <w:rPr>
                <w:noProof/>
                <w:webHidden/>
              </w:rPr>
              <w:instrText xml:space="preserve"> PAGEREF _Toc234866834 \h </w:instrText>
            </w:r>
            <w:r>
              <w:rPr>
                <w:noProof/>
                <w:webHidden/>
              </w:rPr>
            </w:r>
            <w:r>
              <w:rPr>
                <w:noProof/>
                <w:webHidden/>
              </w:rPr>
              <w:fldChar w:fldCharType="separate"/>
            </w:r>
            <w:r>
              <w:rPr>
                <w:noProof/>
                <w:webHidden/>
              </w:rPr>
              <w:t>4</w:t>
            </w:r>
            <w:r>
              <w:rPr>
                <w:noProof/>
                <w:webHidden/>
              </w:rPr>
              <w:fldChar w:fldCharType="end"/>
            </w:r>
          </w:hyperlink>
        </w:p>
        <w:p w14:paraId="63A56D67" w14:textId="77777777" w:rsidR="00DE7138" w:rsidRDefault="00DE7138" w:rsidP="00DE7138">
          <w:pPr>
            <w:pStyle w:val="TOC1"/>
            <w:tabs>
              <w:tab w:val="left" w:pos="440"/>
              <w:tab w:val="right" w:leader="dot" w:pos="9396"/>
            </w:tabs>
            <w:spacing w:line="276" w:lineRule="auto"/>
            <w:rPr>
              <w:rFonts w:asciiTheme="minorHAnsi" w:hAnsiTheme="minorHAnsi"/>
              <w:noProof/>
            </w:rPr>
          </w:pPr>
          <w:hyperlink w:anchor="_Toc234866835" w:history="1">
            <w:r w:rsidRPr="00344D9B">
              <w:rPr>
                <w:rStyle w:val="Hyperlink"/>
                <w:noProof/>
              </w:rPr>
              <w:t>3</w:t>
            </w:r>
            <w:r>
              <w:rPr>
                <w:rFonts w:asciiTheme="minorHAnsi" w:hAnsiTheme="minorHAnsi"/>
                <w:noProof/>
              </w:rPr>
              <w:tab/>
            </w:r>
            <w:r w:rsidRPr="00344D9B">
              <w:rPr>
                <w:rStyle w:val="Hyperlink"/>
                <w:noProof/>
              </w:rPr>
              <w:t>Statement of the Research Problem</w:t>
            </w:r>
            <w:r>
              <w:rPr>
                <w:noProof/>
                <w:webHidden/>
              </w:rPr>
              <w:tab/>
            </w:r>
            <w:r>
              <w:rPr>
                <w:noProof/>
                <w:webHidden/>
              </w:rPr>
              <w:fldChar w:fldCharType="begin"/>
            </w:r>
            <w:r>
              <w:rPr>
                <w:noProof/>
                <w:webHidden/>
              </w:rPr>
              <w:instrText xml:space="preserve"> PAGEREF _Toc234866835 \h </w:instrText>
            </w:r>
            <w:r>
              <w:rPr>
                <w:noProof/>
                <w:webHidden/>
              </w:rPr>
            </w:r>
            <w:r>
              <w:rPr>
                <w:noProof/>
                <w:webHidden/>
              </w:rPr>
              <w:fldChar w:fldCharType="separate"/>
            </w:r>
            <w:r>
              <w:rPr>
                <w:noProof/>
                <w:webHidden/>
              </w:rPr>
              <w:t>5</w:t>
            </w:r>
            <w:r>
              <w:rPr>
                <w:noProof/>
                <w:webHidden/>
              </w:rPr>
              <w:fldChar w:fldCharType="end"/>
            </w:r>
          </w:hyperlink>
        </w:p>
        <w:p w14:paraId="5C62EE65" w14:textId="77777777" w:rsidR="00DE7138" w:rsidRDefault="00DE7138" w:rsidP="00DE7138">
          <w:pPr>
            <w:pStyle w:val="TOC1"/>
            <w:tabs>
              <w:tab w:val="left" w:pos="440"/>
              <w:tab w:val="right" w:leader="dot" w:pos="9396"/>
            </w:tabs>
            <w:spacing w:line="276" w:lineRule="auto"/>
            <w:rPr>
              <w:rFonts w:asciiTheme="minorHAnsi" w:hAnsiTheme="minorHAnsi"/>
              <w:noProof/>
            </w:rPr>
          </w:pPr>
          <w:hyperlink w:anchor="_Toc234866836" w:history="1">
            <w:r w:rsidRPr="00344D9B">
              <w:rPr>
                <w:rStyle w:val="Hyperlink"/>
                <w:noProof/>
              </w:rPr>
              <w:t>4</w:t>
            </w:r>
            <w:r>
              <w:rPr>
                <w:rFonts w:asciiTheme="minorHAnsi" w:hAnsiTheme="minorHAnsi"/>
                <w:noProof/>
              </w:rPr>
              <w:tab/>
            </w:r>
            <w:r w:rsidRPr="00344D9B">
              <w:rPr>
                <w:rStyle w:val="Hyperlink"/>
                <w:noProof/>
              </w:rPr>
              <w:t>Research Aim and Objectives</w:t>
            </w:r>
            <w:r>
              <w:rPr>
                <w:noProof/>
                <w:webHidden/>
              </w:rPr>
              <w:tab/>
            </w:r>
            <w:r>
              <w:rPr>
                <w:noProof/>
                <w:webHidden/>
              </w:rPr>
              <w:fldChar w:fldCharType="begin"/>
            </w:r>
            <w:r>
              <w:rPr>
                <w:noProof/>
                <w:webHidden/>
              </w:rPr>
              <w:instrText xml:space="preserve"> PAGEREF _Toc234866836 \h </w:instrText>
            </w:r>
            <w:r>
              <w:rPr>
                <w:noProof/>
                <w:webHidden/>
              </w:rPr>
            </w:r>
            <w:r>
              <w:rPr>
                <w:noProof/>
                <w:webHidden/>
              </w:rPr>
              <w:fldChar w:fldCharType="separate"/>
            </w:r>
            <w:r>
              <w:rPr>
                <w:noProof/>
                <w:webHidden/>
              </w:rPr>
              <w:t>6</w:t>
            </w:r>
            <w:r>
              <w:rPr>
                <w:noProof/>
                <w:webHidden/>
              </w:rPr>
              <w:fldChar w:fldCharType="end"/>
            </w:r>
          </w:hyperlink>
        </w:p>
        <w:p w14:paraId="5A607AB2"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37" w:history="1">
            <w:r w:rsidRPr="00344D9B">
              <w:rPr>
                <w:rStyle w:val="Hyperlink"/>
                <w:noProof/>
              </w:rPr>
              <w:t>4.1</w:t>
            </w:r>
            <w:r>
              <w:rPr>
                <w:rFonts w:asciiTheme="minorHAnsi" w:hAnsiTheme="minorHAnsi"/>
                <w:noProof/>
              </w:rPr>
              <w:tab/>
            </w:r>
            <w:r w:rsidRPr="00344D9B">
              <w:rPr>
                <w:rStyle w:val="Hyperlink"/>
                <w:noProof/>
              </w:rPr>
              <w:t>Aim</w:t>
            </w:r>
            <w:r>
              <w:rPr>
                <w:noProof/>
                <w:webHidden/>
              </w:rPr>
              <w:tab/>
            </w:r>
            <w:r>
              <w:rPr>
                <w:noProof/>
                <w:webHidden/>
              </w:rPr>
              <w:fldChar w:fldCharType="begin"/>
            </w:r>
            <w:r>
              <w:rPr>
                <w:noProof/>
                <w:webHidden/>
              </w:rPr>
              <w:instrText xml:space="preserve"> PAGEREF _Toc234866837 \h </w:instrText>
            </w:r>
            <w:r>
              <w:rPr>
                <w:noProof/>
                <w:webHidden/>
              </w:rPr>
            </w:r>
            <w:r>
              <w:rPr>
                <w:noProof/>
                <w:webHidden/>
              </w:rPr>
              <w:fldChar w:fldCharType="separate"/>
            </w:r>
            <w:r>
              <w:rPr>
                <w:noProof/>
                <w:webHidden/>
              </w:rPr>
              <w:t>6</w:t>
            </w:r>
            <w:r>
              <w:rPr>
                <w:noProof/>
                <w:webHidden/>
              </w:rPr>
              <w:fldChar w:fldCharType="end"/>
            </w:r>
          </w:hyperlink>
        </w:p>
        <w:p w14:paraId="424FEEFB"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38" w:history="1">
            <w:r w:rsidRPr="00344D9B">
              <w:rPr>
                <w:rStyle w:val="Hyperlink"/>
                <w:noProof/>
              </w:rPr>
              <w:t>4.2</w:t>
            </w:r>
            <w:r>
              <w:rPr>
                <w:rFonts w:asciiTheme="minorHAnsi" w:hAnsiTheme="minorHAnsi"/>
                <w:noProof/>
              </w:rPr>
              <w:tab/>
            </w:r>
            <w:r w:rsidRPr="00344D9B">
              <w:rPr>
                <w:rStyle w:val="Hyperlink"/>
                <w:noProof/>
              </w:rPr>
              <w:t>Research objectives</w:t>
            </w:r>
            <w:r>
              <w:rPr>
                <w:noProof/>
                <w:webHidden/>
              </w:rPr>
              <w:tab/>
            </w:r>
            <w:r>
              <w:rPr>
                <w:noProof/>
                <w:webHidden/>
              </w:rPr>
              <w:fldChar w:fldCharType="begin"/>
            </w:r>
            <w:r>
              <w:rPr>
                <w:noProof/>
                <w:webHidden/>
              </w:rPr>
              <w:instrText xml:space="preserve"> PAGEREF _Toc234866838 \h </w:instrText>
            </w:r>
            <w:r>
              <w:rPr>
                <w:noProof/>
                <w:webHidden/>
              </w:rPr>
            </w:r>
            <w:r>
              <w:rPr>
                <w:noProof/>
                <w:webHidden/>
              </w:rPr>
              <w:fldChar w:fldCharType="separate"/>
            </w:r>
            <w:r>
              <w:rPr>
                <w:noProof/>
                <w:webHidden/>
              </w:rPr>
              <w:t>6</w:t>
            </w:r>
            <w:r>
              <w:rPr>
                <w:noProof/>
                <w:webHidden/>
              </w:rPr>
              <w:fldChar w:fldCharType="end"/>
            </w:r>
          </w:hyperlink>
        </w:p>
        <w:p w14:paraId="0F8FF7BE" w14:textId="77777777" w:rsidR="00DE7138" w:rsidRDefault="00DE7138" w:rsidP="00DE7138">
          <w:pPr>
            <w:pStyle w:val="TOC1"/>
            <w:tabs>
              <w:tab w:val="left" w:pos="440"/>
              <w:tab w:val="right" w:leader="dot" w:pos="9396"/>
            </w:tabs>
            <w:spacing w:line="276" w:lineRule="auto"/>
            <w:rPr>
              <w:rFonts w:asciiTheme="minorHAnsi" w:hAnsiTheme="minorHAnsi"/>
              <w:noProof/>
            </w:rPr>
          </w:pPr>
          <w:hyperlink w:anchor="_Toc234866839" w:history="1">
            <w:r w:rsidRPr="00344D9B">
              <w:rPr>
                <w:rStyle w:val="Hyperlink"/>
                <w:noProof/>
              </w:rPr>
              <w:t>5</w:t>
            </w:r>
            <w:r>
              <w:rPr>
                <w:rFonts w:asciiTheme="minorHAnsi" w:hAnsiTheme="minorHAnsi"/>
                <w:noProof/>
              </w:rPr>
              <w:tab/>
            </w:r>
            <w:r w:rsidRPr="00344D9B">
              <w:rPr>
                <w:rStyle w:val="Hyperlink"/>
                <w:noProof/>
              </w:rPr>
              <w:t>Research Questions and Hypotheses</w:t>
            </w:r>
            <w:r>
              <w:rPr>
                <w:noProof/>
                <w:webHidden/>
              </w:rPr>
              <w:tab/>
            </w:r>
            <w:r>
              <w:rPr>
                <w:noProof/>
                <w:webHidden/>
              </w:rPr>
              <w:fldChar w:fldCharType="begin"/>
            </w:r>
            <w:r>
              <w:rPr>
                <w:noProof/>
                <w:webHidden/>
              </w:rPr>
              <w:instrText xml:space="preserve"> PAGEREF _Toc234866839 \h </w:instrText>
            </w:r>
            <w:r>
              <w:rPr>
                <w:noProof/>
                <w:webHidden/>
              </w:rPr>
            </w:r>
            <w:r>
              <w:rPr>
                <w:noProof/>
                <w:webHidden/>
              </w:rPr>
              <w:fldChar w:fldCharType="separate"/>
            </w:r>
            <w:r>
              <w:rPr>
                <w:noProof/>
                <w:webHidden/>
              </w:rPr>
              <w:t>6</w:t>
            </w:r>
            <w:r>
              <w:rPr>
                <w:noProof/>
                <w:webHidden/>
              </w:rPr>
              <w:fldChar w:fldCharType="end"/>
            </w:r>
          </w:hyperlink>
        </w:p>
        <w:p w14:paraId="211FDE5C" w14:textId="77777777" w:rsidR="00DE7138" w:rsidRDefault="00DE7138" w:rsidP="00DE7138">
          <w:pPr>
            <w:pStyle w:val="TOC1"/>
            <w:tabs>
              <w:tab w:val="left" w:pos="440"/>
              <w:tab w:val="right" w:leader="dot" w:pos="9396"/>
            </w:tabs>
            <w:spacing w:line="276" w:lineRule="auto"/>
            <w:rPr>
              <w:rFonts w:asciiTheme="minorHAnsi" w:hAnsiTheme="minorHAnsi"/>
              <w:noProof/>
            </w:rPr>
          </w:pPr>
          <w:hyperlink w:anchor="_Toc234866840" w:history="1">
            <w:r w:rsidRPr="00344D9B">
              <w:rPr>
                <w:rStyle w:val="Hyperlink"/>
                <w:noProof/>
              </w:rPr>
              <w:t>6</w:t>
            </w:r>
            <w:r>
              <w:rPr>
                <w:rFonts w:asciiTheme="minorHAnsi" w:hAnsiTheme="minorHAnsi"/>
                <w:noProof/>
              </w:rPr>
              <w:tab/>
            </w:r>
            <w:r w:rsidRPr="00344D9B">
              <w:rPr>
                <w:rStyle w:val="Hyperlink"/>
                <w:noProof/>
              </w:rPr>
              <w:t>Literature Review</w:t>
            </w:r>
            <w:r>
              <w:rPr>
                <w:noProof/>
                <w:webHidden/>
              </w:rPr>
              <w:tab/>
            </w:r>
            <w:r>
              <w:rPr>
                <w:noProof/>
                <w:webHidden/>
              </w:rPr>
              <w:fldChar w:fldCharType="begin"/>
            </w:r>
            <w:r>
              <w:rPr>
                <w:noProof/>
                <w:webHidden/>
              </w:rPr>
              <w:instrText xml:space="preserve"> PAGEREF _Toc234866840 \h </w:instrText>
            </w:r>
            <w:r>
              <w:rPr>
                <w:noProof/>
                <w:webHidden/>
              </w:rPr>
            </w:r>
            <w:r>
              <w:rPr>
                <w:noProof/>
                <w:webHidden/>
              </w:rPr>
              <w:fldChar w:fldCharType="separate"/>
            </w:r>
            <w:r>
              <w:rPr>
                <w:noProof/>
                <w:webHidden/>
              </w:rPr>
              <w:t>8</w:t>
            </w:r>
            <w:r>
              <w:rPr>
                <w:noProof/>
                <w:webHidden/>
              </w:rPr>
              <w:fldChar w:fldCharType="end"/>
            </w:r>
          </w:hyperlink>
        </w:p>
        <w:p w14:paraId="5EA23AF3"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41" w:history="1">
            <w:r w:rsidRPr="00344D9B">
              <w:rPr>
                <w:rStyle w:val="Hyperlink"/>
                <w:noProof/>
              </w:rPr>
              <w:t>6.1</w:t>
            </w:r>
            <w:r>
              <w:rPr>
                <w:rFonts w:asciiTheme="minorHAnsi" w:hAnsiTheme="minorHAnsi"/>
                <w:noProof/>
              </w:rPr>
              <w:tab/>
            </w:r>
            <w:r w:rsidRPr="00344D9B">
              <w:rPr>
                <w:rStyle w:val="Hyperlink"/>
                <w:noProof/>
              </w:rPr>
              <w:t>Background of Data Privacy Concerns</w:t>
            </w:r>
            <w:r>
              <w:rPr>
                <w:noProof/>
                <w:webHidden/>
              </w:rPr>
              <w:tab/>
            </w:r>
            <w:r>
              <w:rPr>
                <w:noProof/>
                <w:webHidden/>
              </w:rPr>
              <w:fldChar w:fldCharType="begin"/>
            </w:r>
            <w:r>
              <w:rPr>
                <w:noProof/>
                <w:webHidden/>
              </w:rPr>
              <w:instrText xml:space="preserve"> PAGEREF _Toc234866841 \h </w:instrText>
            </w:r>
            <w:r>
              <w:rPr>
                <w:noProof/>
                <w:webHidden/>
              </w:rPr>
            </w:r>
            <w:r>
              <w:rPr>
                <w:noProof/>
                <w:webHidden/>
              </w:rPr>
              <w:fldChar w:fldCharType="separate"/>
            </w:r>
            <w:r>
              <w:rPr>
                <w:noProof/>
                <w:webHidden/>
              </w:rPr>
              <w:t>8</w:t>
            </w:r>
            <w:r>
              <w:rPr>
                <w:noProof/>
                <w:webHidden/>
              </w:rPr>
              <w:fldChar w:fldCharType="end"/>
            </w:r>
          </w:hyperlink>
        </w:p>
        <w:p w14:paraId="10BC59B7"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42" w:history="1">
            <w:r w:rsidRPr="00344D9B">
              <w:rPr>
                <w:rStyle w:val="Hyperlink"/>
                <w:noProof/>
              </w:rPr>
              <w:t>6.2</w:t>
            </w:r>
            <w:r>
              <w:rPr>
                <w:rFonts w:asciiTheme="minorHAnsi" w:hAnsiTheme="minorHAnsi"/>
                <w:noProof/>
              </w:rPr>
              <w:tab/>
            </w:r>
            <w:r w:rsidRPr="00344D9B">
              <w:rPr>
                <w:rStyle w:val="Hyperlink"/>
                <w:noProof/>
              </w:rPr>
              <w:t>The UK FinTech Context</w:t>
            </w:r>
            <w:r>
              <w:rPr>
                <w:noProof/>
                <w:webHidden/>
              </w:rPr>
              <w:tab/>
            </w:r>
            <w:r>
              <w:rPr>
                <w:noProof/>
                <w:webHidden/>
              </w:rPr>
              <w:fldChar w:fldCharType="begin"/>
            </w:r>
            <w:r>
              <w:rPr>
                <w:noProof/>
                <w:webHidden/>
              </w:rPr>
              <w:instrText xml:space="preserve"> PAGEREF _Toc234866842 \h </w:instrText>
            </w:r>
            <w:r>
              <w:rPr>
                <w:noProof/>
                <w:webHidden/>
              </w:rPr>
            </w:r>
            <w:r>
              <w:rPr>
                <w:noProof/>
                <w:webHidden/>
              </w:rPr>
              <w:fldChar w:fldCharType="separate"/>
            </w:r>
            <w:r>
              <w:rPr>
                <w:noProof/>
                <w:webHidden/>
              </w:rPr>
              <w:t>8</w:t>
            </w:r>
            <w:r>
              <w:rPr>
                <w:noProof/>
                <w:webHidden/>
              </w:rPr>
              <w:fldChar w:fldCharType="end"/>
            </w:r>
          </w:hyperlink>
        </w:p>
        <w:p w14:paraId="24CA885D"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43" w:history="1">
            <w:r w:rsidRPr="00344D9B">
              <w:rPr>
                <w:rStyle w:val="Hyperlink"/>
                <w:noProof/>
              </w:rPr>
              <w:t>6.3</w:t>
            </w:r>
            <w:r>
              <w:rPr>
                <w:rFonts w:asciiTheme="minorHAnsi" w:hAnsiTheme="minorHAnsi"/>
                <w:noProof/>
              </w:rPr>
              <w:tab/>
            </w:r>
            <w:r w:rsidRPr="00344D9B">
              <w:rPr>
                <w:rStyle w:val="Hyperlink"/>
                <w:noProof/>
              </w:rPr>
              <w:t>Theoretical Framework</w:t>
            </w:r>
            <w:r>
              <w:rPr>
                <w:noProof/>
                <w:webHidden/>
              </w:rPr>
              <w:tab/>
            </w:r>
            <w:r>
              <w:rPr>
                <w:noProof/>
                <w:webHidden/>
              </w:rPr>
              <w:fldChar w:fldCharType="begin"/>
            </w:r>
            <w:r>
              <w:rPr>
                <w:noProof/>
                <w:webHidden/>
              </w:rPr>
              <w:instrText xml:space="preserve"> PAGEREF _Toc234866843 \h </w:instrText>
            </w:r>
            <w:r>
              <w:rPr>
                <w:noProof/>
                <w:webHidden/>
              </w:rPr>
            </w:r>
            <w:r>
              <w:rPr>
                <w:noProof/>
                <w:webHidden/>
              </w:rPr>
              <w:fldChar w:fldCharType="separate"/>
            </w:r>
            <w:r>
              <w:rPr>
                <w:noProof/>
                <w:webHidden/>
              </w:rPr>
              <w:t>9</w:t>
            </w:r>
            <w:r>
              <w:rPr>
                <w:noProof/>
                <w:webHidden/>
              </w:rPr>
              <w:fldChar w:fldCharType="end"/>
            </w:r>
          </w:hyperlink>
        </w:p>
        <w:p w14:paraId="08DE2B2F"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44" w:history="1">
            <w:r w:rsidRPr="00344D9B">
              <w:rPr>
                <w:rStyle w:val="Hyperlink"/>
                <w:noProof/>
              </w:rPr>
              <w:t>6.4</w:t>
            </w:r>
            <w:r>
              <w:rPr>
                <w:rFonts w:asciiTheme="minorHAnsi" w:hAnsiTheme="minorHAnsi"/>
                <w:noProof/>
              </w:rPr>
              <w:tab/>
            </w:r>
            <w:r w:rsidRPr="00344D9B">
              <w:rPr>
                <w:rStyle w:val="Hyperlink"/>
                <w:noProof/>
              </w:rPr>
              <w:t>Data Privacy Concerns and Customer Trust</w:t>
            </w:r>
            <w:r>
              <w:rPr>
                <w:noProof/>
                <w:webHidden/>
              </w:rPr>
              <w:tab/>
            </w:r>
            <w:r>
              <w:rPr>
                <w:noProof/>
                <w:webHidden/>
              </w:rPr>
              <w:fldChar w:fldCharType="begin"/>
            </w:r>
            <w:r>
              <w:rPr>
                <w:noProof/>
                <w:webHidden/>
              </w:rPr>
              <w:instrText xml:space="preserve"> PAGEREF _Toc234866844 \h </w:instrText>
            </w:r>
            <w:r>
              <w:rPr>
                <w:noProof/>
                <w:webHidden/>
              </w:rPr>
            </w:r>
            <w:r>
              <w:rPr>
                <w:noProof/>
                <w:webHidden/>
              </w:rPr>
              <w:fldChar w:fldCharType="separate"/>
            </w:r>
            <w:r>
              <w:rPr>
                <w:noProof/>
                <w:webHidden/>
              </w:rPr>
              <w:t>10</w:t>
            </w:r>
            <w:r>
              <w:rPr>
                <w:noProof/>
                <w:webHidden/>
              </w:rPr>
              <w:fldChar w:fldCharType="end"/>
            </w:r>
          </w:hyperlink>
        </w:p>
        <w:p w14:paraId="4E2B63EB"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45" w:history="1">
            <w:r w:rsidRPr="00344D9B">
              <w:rPr>
                <w:rStyle w:val="Hyperlink"/>
                <w:noProof/>
              </w:rPr>
              <w:t>6.5</w:t>
            </w:r>
            <w:r>
              <w:rPr>
                <w:rFonts w:asciiTheme="minorHAnsi" w:hAnsiTheme="minorHAnsi"/>
                <w:noProof/>
              </w:rPr>
              <w:tab/>
            </w:r>
            <w:r w:rsidRPr="00344D9B">
              <w:rPr>
                <w:rStyle w:val="Hyperlink"/>
                <w:noProof/>
              </w:rPr>
              <w:t>Customer Trust and Loyalty</w:t>
            </w:r>
            <w:r>
              <w:rPr>
                <w:noProof/>
                <w:webHidden/>
              </w:rPr>
              <w:tab/>
            </w:r>
            <w:r>
              <w:rPr>
                <w:noProof/>
                <w:webHidden/>
              </w:rPr>
              <w:fldChar w:fldCharType="begin"/>
            </w:r>
            <w:r>
              <w:rPr>
                <w:noProof/>
                <w:webHidden/>
              </w:rPr>
              <w:instrText xml:space="preserve"> PAGEREF _Toc234866845 \h </w:instrText>
            </w:r>
            <w:r>
              <w:rPr>
                <w:noProof/>
                <w:webHidden/>
              </w:rPr>
            </w:r>
            <w:r>
              <w:rPr>
                <w:noProof/>
                <w:webHidden/>
              </w:rPr>
              <w:fldChar w:fldCharType="separate"/>
            </w:r>
            <w:r>
              <w:rPr>
                <w:noProof/>
                <w:webHidden/>
              </w:rPr>
              <w:t>11</w:t>
            </w:r>
            <w:r>
              <w:rPr>
                <w:noProof/>
                <w:webHidden/>
              </w:rPr>
              <w:fldChar w:fldCharType="end"/>
            </w:r>
          </w:hyperlink>
        </w:p>
        <w:p w14:paraId="71A510E6"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46" w:history="1">
            <w:r w:rsidRPr="00344D9B">
              <w:rPr>
                <w:rStyle w:val="Hyperlink"/>
                <w:noProof/>
              </w:rPr>
              <w:t>6.6</w:t>
            </w:r>
            <w:r>
              <w:rPr>
                <w:rFonts w:asciiTheme="minorHAnsi" w:hAnsiTheme="minorHAnsi"/>
                <w:noProof/>
              </w:rPr>
              <w:tab/>
            </w:r>
            <w:r w:rsidRPr="00344D9B">
              <w:rPr>
                <w:rStyle w:val="Hyperlink"/>
                <w:noProof/>
              </w:rPr>
              <w:t>UK Regulatory and Policy Environment</w:t>
            </w:r>
            <w:r>
              <w:rPr>
                <w:noProof/>
                <w:webHidden/>
              </w:rPr>
              <w:tab/>
            </w:r>
            <w:r>
              <w:rPr>
                <w:noProof/>
                <w:webHidden/>
              </w:rPr>
              <w:fldChar w:fldCharType="begin"/>
            </w:r>
            <w:r>
              <w:rPr>
                <w:noProof/>
                <w:webHidden/>
              </w:rPr>
              <w:instrText xml:space="preserve"> PAGEREF _Toc234866846 \h </w:instrText>
            </w:r>
            <w:r>
              <w:rPr>
                <w:noProof/>
                <w:webHidden/>
              </w:rPr>
            </w:r>
            <w:r>
              <w:rPr>
                <w:noProof/>
                <w:webHidden/>
              </w:rPr>
              <w:fldChar w:fldCharType="separate"/>
            </w:r>
            <w:r>
              <w:rPr>
                <w:noProof/>
                <w:webHidden/>
              </w:rPr>
              <w:t>11</w:t>
            </w:r>
            <w:r>
              <w:rPr>
                <w:noProof/>
                <w:webHidden/>
              </w:rPr>
              <w:fldChar w:fldCharType="end"/>
            </w:r>
          </w:hyperlink>
        </w:p>
        <w:p w14:paraId="64864249"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47" w:history="1">
            <w:r w:rsidRPr="00344D9B">
              <w:rPr>
                <w:rStyle w:val="Hyperlink"/>
                <w:noProof/>
              </w:rPr>
              <w:t>6.7</w:t>
            </w:r>
            <w:r>
              <w:rPr>
                <w:rFonts w:asciiTheme="minorHAnsi" w:hAnsiTheme="minorHAnsi"/>
                <w:noProof/>
              </w:rPr>
              <w:tab/>
            </w:r>
            <w:r w:rsidRPr="00344D9B">
              <w:rPr>
                <w:rStyle w:val="Hyperlink"/>
                <w:noProof/>
              </w:rPr>
              <w:t>Research Gap and Proposed Contribution</w:t>
            </w:r>
            <w:r>
              <w:rPr>
                <w:noProof/>
                <w:webHidden/>
              </w:rPr>
              <w:tab/>
            </w:r>
            <w:r>
              <w:rPr>
                <w:noProof/>
                <w:webHidden/>
              </w:rPr>
              <w:fldChar w:fldCharType="begin"/>
            </w:r>
            <w:r>
              <w:rPr>
                <w:noProof/>
                <w:webHidden/>
              </w:rPr>
              <w:instrText xml:space="preserve"> PAGEREF _Toc234866847 \h </w:instrText>
            </w:r>
            <w:r>
              <w:rPr>
                <w:noProof/>
                <w:webHidden/>
              </w:rPr>
            </w:r>
            <w:r>
              <w:rPr>
                <w:noProof/>
                <w:webHidden/>
              </w:rPr>
              <w:fldChar w:fldCharType="separate"/>
            </w:r>
            <w:r>
              <w:rPr>
                <w:noProof/>
                <w:webHidden/>
              </w:rPr>
              <w:t>12</w:t>
            </w:r>
            <w:r>
              <w:rPr>
                <w:noProof/>
                <w:webHidden/>
              </w:rPr>
              <w:fldChar w:fldCharType="end"/>
            </w:r>
          </w:hyperlink>
        </w:p>
        <w:p w14:paraId="0DA9D8BE" w14:textId="77777777" w:rsidR="00DE7138" w:rsidRDefault="00DE7138" w:rsidP="00DE7138">
          <w:pPr>
            <w:pStyle w:val="TOC1"/>
            <w:tabs>
              <w:tab w:val="left" w:pos="440"/>
              <w:tab w:val="right" w:leader="dot" w:pos="9396"/>
            </w:tabs>
            <w:spacing w:line="276" w:lineRule="auto"/>
            <w:rPr>
              <w:rFonts w:asciiTheme="minorHAnsi" w:hAnsiTheme="minorHAnsi"/>
              <w:noProof/>
            </w:rPr>
          </w:pPr>
          <w:hyperlink w:anchor="_Toc234866848" w:history="1">
            <w:r w:rsidRPr="00344D9B">
              <w:rPr>
                <w:rStyle w:val="Hyperlink"/>
                <w:noProof/>
              </w:rPr>
              <w:t>7</w:t>
            </w:r>
            <w:r>
              <w:rPr>
                <w:rFonts w:asciiTheme="minorHAnsi" w:hAnsiTheme="minorHAnsi"/>
                <w:noProof/>
              </w:rPr>
              <w:tab/>
            </w:r>
            <w:r w:rsidRPr="00344D9B">
              <w:rPr>
                <w:rStyle w:val="Hyperlink"/>
                <w:noProof/>
              </w:rPr>
              <w:t>Research Methodology</w:t>
            </w:r>
            <w:r>
              <w:rPr>
                <w:noProof/>
                <w:webHidden/>
              </w:rPr>
              <w:tab/>
            </w:r>
            <w:r>
              <w:rPr>
                <w:noProof/>
                <w:webHidden/>
              </w:rPr>
              <w:fldChar w:fldCharType="begin"/>
            </w:r>
            <w:r>
              <w:rPr>
                <w:noProof/>
                <w:webHidden/>
              </w:rPr>
              <w:instrText xml:space="preserve"> PAGEREF _Toc234866848 \h </w:instrText>
            </w:r>
            <w:r>
              <w:rPr>
                <w:noProof/>
                <w:webHidden/>
              </w:rPr>
            </w:r>
            <w:r>
              <w:rPr>
                <w:noProof/>
                <w:webHidden/>
              </w:rPr>
              <w:fldChar w:fldCharType="separate"/>
            </w:r>
            <w:r>
              <w:rPr>
                <w:noProof/>
                <w:webHidden/>
              </w:rPr>
              <w:t>13</w:t>
            </w:r>
            <w:r>
              <w:rPr>
                <w:noProof/>
                <w:webHidden/>
              </w:rPr>
              <w:fldChar w:fldCharType="end"/>
            </w:r>
          </w:hyperlink>
        </w:p>
        <w:p w14:paraId="47ECABEB"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49" w:history="1">
            <w:r w:rsidRPr="00344D9B">
              <w:rPr>
                <w:rStyle w:val="Hyperlink"/>
                <w:noProof/>
              </w:rPr>
              <w:t>7.1</w:t>
            </w:r>
            <w:r>
              <w:rPr>
                <w:rFonts w:asciiTheme="minorHAnsi" w:hAnsiTheme="minorHAnsi"/>
                <w:noProof/>
              </w:rPr>
              <w:tab/>
            </w:r>
            <w:r w:rsidRPr="00344D9B">
              <w:rPr>
                <w:rStyle w:val="Hyperlink"/>
                <w:noProof/>
              </w:rPr>
              <w:t>Research Philosophy and Design</w:t>
            </w:r>
            <w:r>
              <w:rPr>
                <w:noProof/>
                <w:webHidden/>
              </w:rPr>
              <w:tab/>
            </w:r>
            <w:r>
              <w:rPr>
                <w:noProof/>
                <w:webHidden/>
              </w:rPr>
              <w:fldChar w:fldCharType="begin"/>
            </w:r>
            <w:r>
              <w:rPr>
                <w:noProof/>
                <w:webHidden/>
              </w:rPr>
              <w:instrText xml:space="preserve"> PAGEREF _Toc234866849 \h </w:instrText>
            </w:r>
            <w:r>
              <w:rPr>
                <w:noProof/>
                <w:webHidden/>
              </w:rPr>
            </w:r>
            <w:r>
              <w:rPr>
                <w:noProof/>
                <w:webHidden/>
              </w:rPr>
              <w:fldChar w:fldCharType="separate"/>
            </w:r>
            <w:r>
              <w:rPr>
                <w:noProof/>
                <w:webHidden/>
              </w:rPr>
              <w:t>13</w:t>
            </w:r>
            <w:r>
              <w:rPr>
                <w:noProof/>
                <w:webHidden/>
              </w:rPr>
              <w:fldChar w:fldCharType="end"/>
            </w:r>
          </w:hyperlink>
        </w:p>
        <w:p w14:paraId="5D8C275E"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50" w:history="1">
            <w:r w:rsidRPr="00344D9B">
              <w:rPr>
                <w:rStyle w:val="Hyperlink"/>
                <w:noProof/>
              </w:rPr>
              <w:t>7.2</w:t>
            </w:r>
            <w:r>
              <w:rPr>
                <w:rFonts w:asciiTheme="minorHAnsi" w:hAnsiTheme="minorHAnsi"/>
                <w:noProof/>
              </w:rPr>
              <w:tab/>
            </w:r>
            <w:r w:rsidRPr="00344D9B">
              <w:rPr>
                <w:rStyle w:val="Hyperlink"/>
                <w:noProof/>
              </w:rPr>
              <w:t>Justification for the Quantitative Method</w:t>
            </w:r>
            <w:r>
              <w:rPr>
                <w:noProof/>
                <w:webHidden/>
              </w:rPr>
              <w:tab/>
            </w:r>
            <w:r>
              <w:rPr>
                <w:noProof/>
                <w:webHidden/>
              </w:rPr>
              <w:fldChar w:fldCharType="begin"/>
            </w:r>
            <w:r>
              <w:rPr>
                <w:noProof/>
                <w:webHidden/>
              </w:rPr>
              <w:instrText xml:space="preserve"> PAGEREF _Toc234866850 \h </w:instrText>
            </w:r>
            <w:r>
              <w:rPr>
                <w:noProof/>
                <w:webHidden/>
              </w:rPr>
            </w:r>
            <w:r>
              <w:rPr>
                <w:noProof/>
                <w:webHidden/>
              </w:rPr>
              <w:fldChar w:fldCharType="separate"/>
            </w:r>
            <w:r>
              <w:rPr>
                <w:noProof/>
                <w:webHidden/>
              </w:rPr>
              <w:t>13</w:t>
            </w:r>
            <w:r>
              <w:rPr>
                <w:noProof/>
                <w:webHidden/>
              </w:rPr>
              <w:fldChar w:fldCharType="end"/>
            </w:r>
          </w:hyperlink>
        </w:p>
        <w:p w14:paraId="64CF288C"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51" w:history="1">
            <w:r w:rsidRPr="00344D9B">
              <w:rPr>
                <w:rStyle w:val="Hyperlink"/>
                <w:noProof/>
              </w:rPr>
              <w:t>7.3</w:t>
            </w:r>
            <w:r>
              <w:rPr>
                <w:rFonts w:asciiTheme="minorHAnsi" w:hAnsiTheme="minorHAnsi"/>
                <w:noProof/>
              </w:rPr>
              <w:tab/>
            </w:r>
            <w:r w:rsidRPr="00344D9B">
              <w:rPr>
                <w:rStyle w:val="Hyperlink"/>
                <w:noProof/>
              </w:rPr>
              <w:t>Evaluation of the Proposed Method</w:t>
            </w:r>
            <w:r>
              <w:rPr>
                <w:noProof/>
                <w:webHidden/>
              </w:rPr>
              <w:tab/>
            </w:r>
            <w:r>
              <w:rPr>
                <w:noProof/>
                <w:webHidden/>
              </w:rPr>
              <w:fldChar w:fldCharType="begin"/>
            </w:r>
            <w:r>
              <w:rPr>
                <w:noProof/>
                <w:webHidden/>
              </w:rPr>
              <w:instrText xml:space="preserve"> PAGEREF _Toc234866851 \h </w:instrText>
            </w:r>
            <w:r>
              <w:rPr>
                <w:noProof/>
                <w:webHidden/>
              </w:rPr>
            </w:r>
            <w:r>
              <w:rPr>
                <w:noProof/>
                <w:webHidden/>
              </w:rPr>
              <w:fldChar w:fldCharType="separate"/>
            </w:r>
            <w:r>
              <w:rPr>
                <w:noProof/>
                <w:webHidden/>
              </w:rPr>
              <w:t>14</w:t>
            </w:r>
            <w:r>
              <w:rPr>
                <w:noProof/>
                <w:webHidden/>
              </w:rPr>
              <w:fldChar w:fldCharType="end"/>
            </w:r>
          </w:hyperlink>
        </w:p>
        <w:p w14:paraId="7A53762C"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52" w:history="1">
            <w:r w:rsidRPr="00344D9B">
              <w:rPr>
                <w:rStyle w:val="Hyperlink"/>
                <w:noProof/>
              </w:rPr>
              <w:t>7.4</w:t>
            </w:r>
            <w:r>
              <w:rPr>
                <w:rFonts w:asciiTheme="minorHAnsi" w:hAnsiTheme="minorHAnsi"/>
                <w:noProof/>
              </w:rPr>
              <w:tab/>
            </w:r>
            <w:r w:rsidRPr="00344D9B">
              <w:rPr>
                <w:rStyle w:val="Hyperlink"/>
                <w:noProof/>
              </w:rPr>
              <w:t>Data Collection Method</w:t>
            </w:r>
            <w:r>
              <w:rPr>
                <w:noProof/>
                <w:webHidden/>
              </w:rPr>
              <w:tab/>
            </w:r>
            <w:r>
              <w:rPr>
                <w:noProof/>
                <w:webHidden/>
              </w:rPr>
              <w:fldChar w:fldCharType="begin"/>
            </w:r>
            <w:r>
              <w:rPr>
                <w:noProof/>
                <w:webHidden/>
              </w:rPr>
              <w:instrText xml:space="preserve"> PAGEREF _Toc234866852 \h </w:instrText>
            </w:r>
            <w:r>
              <w:rPr>
                <w:noProof/>
                <w:webHidden/>
              </w:rPr>
            </w:r>
            <w:r>
              <w:rPr>
                <w:noProof/>
                <w:webHidden/>
              </w:rPr>
              <w:fldChar w:fldCharType="separate"/>
            </w:r>
            <w:r>
              <w:rPr>
                <w:noProof/>
                <w:webHidden/>
              </w:rPr>
              <w:t>14</w:t>
            </w:r>
            <w:r>
              <w:rPr>
                <w:noProof/>
                <w:webHidden/>
              </w:rPr>
              <w:fldChar w:fldCharType="end"/>
            </w:r>
          </w:hyperlink>
        </w:p>
        <w:p w14:paraId="6EE964BA"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53" w:history="1">
            <w:r w:rsidRPr="00344D9B">
              <w:rPr>
                <w:rStyle w:val="Hyperlink"/>
                <w:noProof/>
              </w:rPr>
              <w:t>7.5</w:t>
            </w:r>
            <w:r>
              <w:rPr>
                <w:rFonts w:asciiTheme="minorHAnsi" w:hAnsiTheme="minorHAnsi"/>
                <w:noProof/>
              </w:rPr>
              <w:tab/>
            </w:r>
            <w:r w:rsidRPr="00344D9B">
              <w:rPr>
                <w:rStyle w:val="Hyperlink"/>
                <w:noProof/>
              </w:rPr>
              <w:t>Sampling Method and Target Population</w:t>
            </w:r>
            <w:r>
              <w:rPr>
                <w:noProof/>
                <w:webHidden/>
              </w:rPr>
              <w:tab/>
            </w:r>
            <w:r>
              <w:rPr>
                <w:noProof/>
                <w:webHidden/>
              </w:rPr>
              <w:fldChar w:fldCharType="begin"/>
            </w:r>
            <w:r>
              <w:rPr>
                <w:noProof/>
                <w:webHidden/>
              </w:rPr>
              <w:instrText xml:space="preserve"> PAGEREF _Toc234866853 \h </w:instrText>
            </w:r>
            <w:r>
              <w:rPr>
                <w:noProof/>
                <w:webHidden/>
              </w:rPr>
            </w:r>
            <w:r>
              <w:rPr>
                <w:noProof/>
                <w:webHidden/>
              </w:rPr>
              <w:fldChar w:fldCharType="separate"/>
            </w:r>
            <w:r>
              <w:rPr>
                <w:noProof/>
                <w:webHidden/>
              </w:rPr>
              <w:t>15</w:t>
            </w:r>
            <w:r>
              <w:rPr>
                <w:noProof/>
                <w:webHidden/>
              </w:rPr>
              <w:fldChar w:fldCharType="end"/>
            </w:r>
          </w:hyperlink>
        </w:p>
        <w:p w14:paraId="0ACA1F65"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54" w:history="1">
            <w:r w:rsidRPr="00344D9B">
              <w:rPr>
                <w:rStyle w:val="Hyperlink"/>
                <w:noProof/>
              </w:rPr>
              <w:t>7.6</w:t>
            </w:r>
            <w:r>
              <w:rPr>
                <w:rFonts w:asciiTheme="minorHAnsi" w:hAnsiTheme="minorHAnsi"/>
                <w:noProof/>
              </w:rPr>
              <w:tab/>
            </w:r>
            <w:r w:rsidRPr="00344D9B">
              <w:rPr>
                <w:rStyle w:val="Hyperlink"/>
                <w:noProof/>
              </w:rPr>
              <w:t>Tools and Techniques for Data Analysis</w:t>
            </w:r>
            <w:r>
              <w:rPr>
                <w:noProof/>
                <w:webHidden/>
              </w:rPr>
              <w:tab/>
            </w:r>
            <w:r>
              <w:rPr>
                <w:noProof/>
                <w:webHidden/>
              </w:rPr>
              <w:fldChar w:fldCharType="begin"/>
            </w:r>
            <w:r>
              <w:rPr>
                <w:noProof/>
                <w:webHidden/>
              </w:rPr>
              <w:instrText xml:space="preserve"> PAGEREF _Toc234866854 \h </w:instrText>
            </w:r>
            <w:r>
              <w:rPr>
                <w:noProof/>
                <w:webHidden/>
              </w:rPr>
            </w:r>
            <w:r>
              <w:rPr>
                <w:noProof/>
                <w:webHidden/>
              </w:rPr>
              <w:fldChar w:fldCharType="separate"/>
            </w:r>
            <w:r>
              <w:rPr>
                <w:noProof/>
                <w:webHidden/>
              </w:rPr>
              <w:t>16</w:t>
            </w:r>
            <w:r>
              <w:rPr>
                <w:noProof/>
                <w:webHidden/>
              </w:rPr>
              <w:fldChar w:fldCharType="end"/>
            </w:r>
          </w:hyperlink>
        </w:p>
        <w:p w14:paraId="072327DB" w14:textId="77777777" w:rsidR="00DE7138" w:rsidRDefault="00DE7138" w:rsidP="00DE7138">
          <w:pPr>
            <w:pStyle w:val="TOC2"/>
            <w:tabs>
              <w:tab w:val="left" w:pos="880"/>
              <w:tab w:val="right" w:leader="dot" w:pos="9396"/>
            </w:tabs>
            <w:spacing w:line="276" w:lineRule="auto"/>
            <w:rPr>
              <w:rFonts w:asciiTheme="minorHAnsi" w:hAnsiTheme="minorHAnsi"/>
              <w:noProof/>
            </w:rPr>
          </w:pPr>
          <w:hyperlink w:anchor="_Toc234866855" w:history="1">
            <w:r w:rsidRPr="00344D9B">
              <w:rPr>
                <w:rStyle w:val="Hyperlink"/>
                <w:noProof/>
              </w:rPr>
              <w:t>7.7</w:t>
            </w:r>
            <w:r>
              <w:rPr>
                <w:rFonts w:asciiTheme="minorHAnsi" w:hAnsiTheme="minorHAnsi"/>
                <w:noProof/>
              </w:rPr>
              <w:tab/>
            </w:r>
            <w:r w:rsidRPr="00344D9B">
              <w:rPr>
                <w:rStyle w:val="Hyperlink"/>
                <w:noProof/>
              </w:rPr>
              <w:t>Validity, Reliability and Research Quality</w:t>
            </w:r>
            <w:r>
              <w:rPr>
                <w:noProof/>
                <w:webHidden/>
              </w:rPr>
              <w:tab/>
            </w:r>
            <w:r>
              <w:rPr>
                <w:noProof/>
                <w:webHidden/>
              </w:rPr>
              <w:fldChar w:fldCharType="begin"/>
            </w:r>
            <w:r>
              <w:rPr>
                <w:noProof/>
                <w:webHidden/>
              </w:rPr>
              <w:instrText xml:space="preserve"> PAGEREF _Toc234866855 \h </w:instrText>
            </w:r>
            <w:r>
              <w:rPr>
                <w:noProof/>
                <w:webHidden/>
              </w:rPr>
            </w:r>
            <w:r>
              <w:rPr>
                <w:noProof/>
                <w:webHidden/>
              </w:rPr>
              <w:fldChar w:fldCharType="separate"/>
            </w:r>
            <w:r>
              <w:rPr>
                <w:noProof/>
                <w:webHidden/>
              </w:rPr>
              <w:t>16</w:t>
            </w:r>
            <w:r>
              <w:rPr>
                <w:noProof/>
                <w:webHidden/>
              </w:rPr>
              <w:fldChar w:fldCharType="end"/>
            </w:r>
          </w:hyperlink>
        </w:p>
        <w:p w14:paraId="6ABCBEF1" w14:textId="77777777" w:rsidR="00DE7138" w:rsidRDefault="00DE7138" w:rsidP="00DE7138">
          <w:pPr>
            <w:pStyle w:val="TOC1"/>
            <w:tabs>
              <w:tab w:val="left" w:pos="440"/>
              <w:tab w:val="right" w:leader="dot" w:pos="9396"/>
            </w:tabs>
            <w:spacing w:line="276" w:lineRule="auto"/>
            <w:rPr>
              <w:rFonts w:asciiTheme="minorHAnsi" w:hAnsiTheme="minorHAnsi"/>
              <w:noProof/>
            </w:rPr>
          </w:pPr>
          <w:hyperlink w:anchor="_Toc234866856" w:history="1">
            <w:r w:rsidRPr="00344D9B">
              <w:rPr>
                <w:rStyle w:val="Hyperlink"/>
                <w:noProof/>
              </w:rPr>
              <w:t>8</w:t>
            </w:r>
            <w:r>
              <w:rPr>
                <w:rFonts w:asciiTheme="minorHAnsi" w:hAnsiTheme="minorHAnsi"/>
                <w:noProof/>
              </w:rPr>
              <w:tab/>
            </w:r>
            <w:r w:rsidRPr="00344D9B">
              <w:rPr>
                <w:rStyle w:val="Hyperlink"/>
                <w:noProof/>
              </w:rPr>
              <w:t>Ethical Considerations</w:t>
            </w:r>
            <w:r>
              <w:rPr>
                <w:noProof/>
                <w:webHidden/>
              </w:rPr>
              <w:tab/>
            </w:r>
            <w:r>
              <w:rPr>
                <w:noProof/>
                <w:webHidden/>
              </w:rPr>
              <w:fldChar w:fldCharType="begin"/>
            </w:r>
            <w:r>
              <w:rPr>
                <w:noProof/>
                <w:webHidden/>
              </w:rPr>
              <w:instrText xml:space="preserve"> PAGEREF _Toc234866856 \h </w:instrText>
            </w:r>
            <w:r>
              <w:rPr>
                <w:noProof/>
                <w:webHidden/>
              </w:rPr>
            </w:r>
            <w:r>
              <w:rPr>
                <w:noProof/>
                <w:webHidden/>
              </w:rPr>
              <w:fldChar w:fldCharType="separate"/>
            </w:r>
            <w:r>
              <w:rPr>
                <w:noProof/>
                <w:webHidden/>
              </w:rPr>
              <w:t>18</w:t>
            </w:r>
            <w:r>
              <w:rPr>
                <w:noProof/>
                <w:webHidden/>
              </w:rPr>
              <w:fldChar w:fldCharType="end"/>
            </w:r>
          </w:hyperlink>
        </w:p>
        <w:p w14:paraId="65F62134" w14:textId="77777777" w:rsidR="00DE7138" w:rsidRDefault="00DE7138" w:rsidP="00DE7138">
          <w:pPr>
            <w:pStyle w:val="TOC1"/>
            <w:tabs>
              <w:tab w:val="left" w:pos="440"/>
              <w:tab w:val="right" w:leader="dot" w:pos="9396"/>
            </w:tabs>
            <w:spacing w:line="276" w:lineRule="auto"/>
            <w:rPr>
              <w:rFonts w:asciiTheme="minorHAnsi" w:hAnsiTheme="minorHAnsi"/>
              <w:noProof/>
            </w:rPr>
          </w:pPr>
          <w:hyperlink w:anchor="_Toc234866857" w:history="1">
            <w:r w:rsidRPr="00344D9B">
              <w:rPr>
                <w:rStyle w:val="Hyperlink"/>
                <w:noProof/>
              </w:rPr>
              <w:t>9</w:t>
            </w:r>
            <w:r>
              <w:rPr>
                <w:rFonts w:asciiTheme="minorHAnsi" w:hAnsiTheme="minorHAnsi"/>
                <w:noProof/>
              </w:rPr>
              <w:tab/>
            </w:r>
            <w:r w:rsidRPr="00344D9B">
              <w:rPr>
                <w:rStyle w:val="Hyperlink"/>
                <w:noProof/>
              </w:rPr>
              <w:t>Resource Implications and Needs</w:t>
            </w:r>
            <w:r>
              <w:rPr>
                <w:noProof/>
                <w:webHidden/>
              </w:rPr>
              <w:tab/>
            </w:r>
            <w:r>
              <w:rPr>
                <w:noProof/>
                <w:webHidden/>
              </w:rPr>
              <w:fldChar w:fldCharType="begin"/>
            </w:r>
            <w:r>
              <w:rPr>
                <w:noProof/>
                <w:webHidden/>
              </w:rPr>
              <w:instrText xml:space="preserve"> PAGEREF _Toc234866857 \h </w:instrText>
            </w:r>
            <w:r>
              <w:rPr>
                <w:noProof/>
                <w:webHidden/>
              </w:rPr>
            </w:r>
            <w:r>
              <w:rPr>
                <w:noProof/>
                <w:webHidden/>
              </w:rPr>
              <w:fldChar w:fldCharType="separate"/>
            </w:r>
            <w:r>
              <w:rPr>
                <w:noProof/>
                <w:webHidden/>
              </w:rPr>
              <w:t>18</w:t>
            </w:r>
            <w:r>
              <w:rPr>
                <w:noProof/>
                <w:webHidden/>
              </w:rPr>
              <w:fldChar w:fldCharType="end"/>
            </w:r>
          </w:hyperlink>
        </w:p>
        <w:p w14:paraId="2E64B92F" w14:textId="77777777" w:rsidR="00DE7138" w:rsidRDefault="00DE7138" w:rsidP="00DE7138">
          <w:pPr>
            <w:pStyle w:val="TOC1"/>
            <w:tabs>
              <w:tab w:val="left" w:pos="660"/>
              <w:tab w:val="right" w:leader="dot" w:pos="9396"/>
            </w:tabs>
            <w:spacing w:line="276" w:lineRule="auto"/>
            <w:rPr>
              <w:rFonts w:asciiTheme="minorHAnsi" w:hAnsiTheme="minorHAnsi"/>
              <w:noProof/>
            </w:rPr>
          </w:pPr>
          <w:hyperlink w:anchor="_Toc234866858" w:history="1">
            <w:r w:rsidRPr="00344D9B">
              <w:rPr>
                <w:rStyle w:val="Hyperlink"/>
                <w:noProof/>
              </w:rPr>
              <w:t>10</w:t>
            </w:r>
            <w:r>
              <w:rPr>
                <w:rFonts w:asciiTheme="minorHAnsi" w:hAnsiTheme="minorHAnsi"/>
                <w:noProof/>
              </w:rPr>
              <w:tab/>
            </w:r>
            <w:r w:rsidRPr="00344D9B">
              <w:rPr>
                <w:rStyle w:val="Hyperlink"/>
                <w:noProof/>
              </w:rPr>
              <w:t>Time Plan</w:t>
            </w:r>
            <w:r>
              <w:rPr>
                <w:noProof/>
                <w:webHidden/>
              </w:rPr>
              <w:tab/>
            </w:r>
            <w:r>
              <w:rPr>
                <w:noProof/>
                <w:webHidden/>
              </w:rPr>
              <w:fldChar w:fldCharType="begin"/>
            </w:r>
            <w:r>
              <w:rPr>
                <w:noProof/>
                <w:webHidden/>
              </w:rPr>
              <w:instrText xml:space="preserve"> PAGEREF _Toc234866858 \h </w:instrText>
            </w:r>
            <w:r>
              <w:rPr>
                <w:noProof/>
                <w:webHidden/>
              </w:rPr>
            </w:r>
            <w:r>
              <w:rPr>
                <w:noProof/>
                <w:webHidden/>
              </w:rPr>
              <w:fldChar w:fldCharType="separate"/>
            </w:r>
            <w:r>
              <w:rPr>
                <w:noProof/>
                <w:webHidden/>
              </w:rPr>
              <w:t>19</w:t>
            </w:r>
            <w:r>
              <w:rPr>
                <w:noProof/>
                <w:webHidden/>
              </w:rPr>
              <w:fldChar w:fldCharType="end"/>
            </w:r>
          </w:hyperlink>
        </w:p>
        <w:p w14:paraId="69210C20" w14:textId="77777777" w:rsidR="00DE7138" w:rsidRDefault="00DE7138" w:rsidP="00DE7138">
          <w:pPr>
            <w:pStyle w:val="TOC1"/>
            <w:tabs>
              <w:tab w:val="left" w:pos="660"/>
              <w:tab w:val="right" w:leader="dot" w:pos="9396"/>
            </w:tabs>
            <w:spacing w:line="276" w:lineRule="auto"/>
            <w:rPr>
              <w:rFonts w:asciiTheme="minorHAnsi" w:hAnsiTheme="minorHAnsi"/>
              <w:noProof/>
            </w:rPr>
          </w:pPr>
          <w:hyperlink w:anchor="_Toc234866859" w:history="1">
            <w:r w:rsidRPr="00344D9B">
              <w:rPr>
                <w:rStyle w:val="Hyperlink"/>
                <w:noProof/>
              </w:rPr>
              <w:t>11</w:t>
            </w:r>
            <w:r>
              <w:rPr>
                <w:rFonts w:asciiTheme="minorHAnsi" w:hAnsiTheme="minorHAnsi"/>
                <w:noProof/>
              </w:rPr>
              <w:tab/>
            </w:r>
            <w:r w:rsidRPr="00344D9B">
              <w:rPr>
                <w:rStyle w:val="Hyperlink"/>
                <w:noProof/>
              </w:rPr>
              <w:t>References</w:t>
            </w:r>
            <w:r>
              <w:rPr>
                <w:noProof/>
                <w:webHidden/>
              </w:rPr>
              <w:tab/>
            </w:r>
            <w:r>
              <w:rPr>
                <w:noProof/>
                <w:webHidden/>
              </w:rPr>
              <w:fldChar w:fldCharType="begin"/>
            </w:r>
            <w:r>
              <w:rPr>
                <w:noProof/>
                <w:webHidden/>
              </w:rPr>
              <w:instrText xml:space="preserve"> PAGEREF _Toc234866859 \h </w:instrText>
            </w:r>
            <w:r>
              <w:rPr>
                <w:noProof/>
                <w:webHidden/>
              </w:rPr>
            </w:r>
            <w:r>
              <w:rPr>
                <w:noProof/>
                <w:webHidden/>
              </w:rPr>
              <w:fldChar w:fldCharType="separate"/>
            </w:r>
            <w:r>
              <w:rPr>
                <w:noProof/>
                <w:webHidden/>
              </w:rPr>
              <w:t>20</w:t>
            </w:r>
            <w:r>
              <w:rPr>
                <w:noProof/>
                <w:webHidden/>
              </w:rPr>
              <w:fldChar w:fldCharType="end"/>
            </w:r>
          </w:hyperlink>
        </w:p>
        <w:p w14:paraId="33DB0F7A" w14:textId="77777777" w:rsidR="009F0174" w:rsidRPr="00E867A3" w:rsidRDefault="00E867A3" w:rsidP="00E867A3">
          <w:r>
            <w:rPr>
              <w:b/>
              <w:bCs/>
              <w:noProof/>
            </w:rPr>
            <w:fldChar w:fldCharType="end"/>
          </w:r>
        </w:p>
      </w:sdtContent>
    </w:sdt>
    <w:p w14:paraId="75ED8BB7" w14:textId="77777777" w:rsidR="00091A04" w:rsidRDefault="00D74C1E" w:rsidP="00E867A3">
      <w:pPr>
        <w:pStyle w:val="Heading1"/>
      </w:pPr>
      <w:bookmarkStart w:id="1" w:name="_Toc234866834"/>
      <w:r>
        <w:lastRenderedPageBreak/>
        <w:t>Introduction</w:t>
      </w:r>
      <w:bookmarkEnd w:id="1"/>
    </w:p>
    <w:p w14:paraId="3515E7DD" w14:textId="77777777" w:rsidR="00B97D49" w:rsidRDefault="00B97D49" w:rsidP="00E867A3">
      <w:pPr>
        <w:rPr>
          <w:rStyle w:val="cursor-pointer"/>
          <w:rFonts w:ascii="Geist Fallback" w:hAnsi="Geist Fallback" w:hint="eastAsia"/>
          <w:sz w:val="23"/>
          <w:szCs w:val="23"/>
        </w:rPr>
      </w:pPr>
      <w:r>
        <w:rPr>
          <w:rStyle w:val="cursor-pointer"/>
          <w:rFonts w:ascii="Geist Fallback" w:hAnsi="Geist Fallback"/>
          <w:sz w:val="23"/>
          <w:szCs w:val="23"/>
        </w:rPr>
        <w:t>Financial technology has revolutionized the way people pay and transfer money, save and borrow funds, and even manage financial information (</w:t>
      </w:r>
      <w:proofErr w:type="spellStart"/>
      <w:r>
        <w:rPr>
          <w:rStyle w:val="cursor-pointer"/>
          <w:rFonts w:ascii="Geist Fallback" w:hAnsi="Geist Fallback"/>
          <w:sz w:val="23"/>
          <w:szCs w:val="23"/>
        </w:rPr>
        <w:t>Apriadi</w:t>
      </w:r>
      <w:proofErr w:type="spellEnd"/>
      <w:r>
        <w:rPr>
          <w:rStyle w:val="cursor-pointer"/>
          <w:rFonts w:ascii="Geist Fallback" w:hAnsi="Geist Fallback"/>
          <w:sz w:val="23"/>
          <w:szCs w:val="23"/>
        </w:rPr>
        <w:t>, et al., 2025).</w:t>
      </w:r>
      <w:r>
        <w:rPr>
          <w:rFonts w:ascii="Geist Fallback" w:hAnsi="Geist Fallback"/>
          <w:sz w:val="23"/>
          <w:szCs w:val="23"/>
        </w:rPr>
        <w:t xml:space="preserve"> </w:t>
      </w:r>
      <w:r>
        <w:rPr>
          <w:rStyle w:val="cursor-pointer"/>
          <w:rFonts w:ascii="Geist Fallback" w:hAnsi="Geist Fallback"/>
          <w:sz w:val="23"/>
          <w:szCs w:val="23"/>
        </w:rPr>
        <w:t>FinTech is used in this definition to describe technology products and services in the financial sector provided via applications and platforms and data-sharing infrastructures.</w:t>
      </w:r>
      <w:r>
        <w:rPr>
          <w:rFonts w:ascii="Geist Fallback" w:hAnsi="Geist Fallback"/>
          <w:sz w:val="23"/>
          <w:szCs w:val="23"/>
        </w:rPr>
        <w:t xml:space="preserve"> </w:t>
      </w:r>
      <w:r>
        <w:rPr>
          <w:rStyle w:val="cursor-pointer"/>
          <w:rFonts w:ascii="Geist Fallback" w:hAnsi="Geist Fallback"/>
          <w:sz w:val="23"/>
          <w:szCs w:val="23"/>
        </w:rPr>
        <w:t>The sector encompasses budgeting tools, electronic wallets, payment apps and open banking providers as well as digital banks.</w:t>
      </w:r>
      <w:r>
        <w:rPr>
          <w:rFonts w:ascii="Geist Fallback" w:hAnsi="Geist Fallback"/>
          <w:sz w:val="23"/>
          <w:szCs w:val="23"/>
        </w:rPr>
        <w:t xml:space="preserve"> </w:t>
      </w:r>
      <w:r>
        <w:rPr>
          <w:rStyle w:val="cursor-pointer"/>
          <w:rFonts w:ascii="Geist Fallback" w:hAnsi="Geist Fallback"/>
          <w:sz w:val="23"/>
          <w:szCs w:val="23"/>
        </w:rPr>
        <w:t xml:space="preserve">Although its value proposition is based on speed, convenience, </w:t>
      </w:r>
      <w:proofErr w:type="spellStart"/>
      <w:r>
        <w:rPr>
          <w:rStyle w:val="cursor-pointer"/>
          <w:rFonts w:ascii="Geist Fallback" w:hAnsi="Geist Fallback"/>
          <w:sz w:val="23"/>
          <w:szCs w:val="23"/>
        </w:rPr>
        <w:t>personalisation</w:t>
      </w:r>
      <w:proofErr w:type="spellEnd"/>
      <w:r>
        <w:rPr>
          <w:rStyle w:val="cursor-pointer"/>
          <w:rFonts w:ascii="Geist Fallback" w:hAnsi="Geist Fallback"/>
          <w:sz w:val="23"/>
          <w:szCs w:val="23"/>
        </w:rPr>
        <w:t xml:space="preserve"> and availability for customers, it is based on the intensive processing of customer data.</w:t>
      </w:r>
      <w:r>
        <w:rPr>
          <w:rFonts w:ascii="Geist Fallback" w:hAnsi="Geist Fallback"/>
          <w:sz w:val="23"/>
          <w:szCs w:val="23"/>
        </w:rPr>
        <w:t xml:space="preserve"> </w:t>
      </w:r>
      <w:r>
        <w:rPr>
          <w:rStyle w:val="cursor-pointer"/>
          <w:rFonts w:ascii="Geist Fallback" w:hAnsi="Geist Fallback"/>
          <w:sz w:val="23"/>
          <w:szCs w:val="23"/>
        </w:rPr>
        <w:t>Financial data are particularly sensitive since they can include transaction history, income, location, relationships, health-related expenditures, lifestyle, and financial vulnerability (</w:t>
      </w:r>
      <w:proofErr w:type="spellStart"/>
      <w:r>
        <w:rPr>
          <w:rStyle w:val="cursor-pointer"/>
          <w:rFonts w:ascii="Geist Fallback" w:hAnsi="Geist Fallback"/>
          <w:sz w:val="23"/>
          <w:szCs w:val="23"/>
        </w:rPr>
        <w:t>Machireddy</w:t>
      </w:r>
      <w:proofErr w:type="spellEnd"/>
      <w:r>
        <w:rPr>
          <w:rStyle w:val="cursor-pointer"/>
          <w:rFonts w:ascii="Geist Fallback" w:hAnsi="Geist Fallback"/>
          <w:sz w:val="23"/>
          <w:szCs w:val="23"/>
        </w:rPr>
        <w:t>, 2023).</w:t>
      </w:r>
      <w:r>
        <w:rPr>
          <w:rFonts w:ascii="Geist Fallback" w:hAnsi="Geist Fallback"/>
          <w:sz w:val="23"/>
          <w:szCs w:val="23"/>
        </w:rPr>
        <w:t xml:space="preserve"> </w:t>
      </w:r>
    </w:p>
    <w:p w14:paraId="246CD0D8" w14:textId="77777777" w:rsidR="00B97D49" w:rsidRDefault="00B97D49" w:rsidP="00E867A3">
      <w:pPr>
        <w:rPr>
          <w:rStyle w:val="cursor-pointer"/>
          <w:rFonts w:ascii="Geist Fallback" w:hAnsi="Geist Fallback" w:hint="eastAsia"/>
          <w:sz w:val="23"/>
          <w:szCs w:val="23"/>
        </w:rPr>
      </w:pPr>
      <w:r>
        <w:rPr>
          <w:rStyle w:val="cursor-pointer"/>
          <w:rFonts w:ascii="Geist Fallback" w:hAnsi="Geist Fallback"/>
          <w:sz w:val="23"/>
          <w:szCs w:val="23"/>
        </w:rPr>
        <w:t>The UK is a suitable environment to explore the implementation of an open banking system as it already has a robust FinTech sector, a clear open banking policy, and an evolving open finance policy.</w:t>
      </w:r>
      <w:r>
        <w:rPr>
          <w:rFonts w:ascii="Geist Fallback" w:hAnsi="Geist Fallback"/>
          <w:sz w:val="23"/>
          <w:szCs w:val="23"/>
        </w:rPr>
        <w:t xml:space="preserve"> </w:t>
      </w:r>
      <w:r>
        <w:rPr>
          <w:rStyle w:val="cursor-pointer"/>
          <w:rFonts w:ascii="Geist Fallback" w:hAnsi="Geist Fallback"/>
          <w:sz w:val="23"/>
          <w:szCs w:val="23"/>
        </w:rPr>
        <w:t>The number of open banking user connections in the UK increased by 36% (from 16.5 million in December 2025 to 21.8 million in December 2026) (Open Banking Limited, 2026).</w:t>
      </w:r>
      <w:r>
        <w:rPr>
          <w:rFonts w:ascii="Geist Fallback" w:hAnsi="Geist Fallback"/>
          <w:sz w:val="23"/>
          <w:szCs w:val="23"/>
        </w:rPr>
        <w:t xml:space="preserve"> </w:t>
      </w:r>
      <w:r>
        <w:rPr>
          <w:rStyle w:val="cursor-pointer"/>
          <w:rFonts w:ascii="Geist Fallback" w:hAnsi="Geist Fallback"/>
          <w:sz w:val="23"/>
          <w:szCs w:val="23"/>
        </w:rPr>
        <w:t>The FCA has since introduced open finance as a way for consumers to be able to securely share their financial information to receive more tailored and competitive services.</w:t>
      </w:r>
      <w:r>
        <w:rPr>
          <w:rFonts w:ascii="Geist Fallback" w:hAnsi="Geist Fallback"/>
          <w:sz w:val="23"/>
          <w:szCs w:val="23"/>
        </w:rPr>
        <w:t xml:space="preserve"> </w:t>
      </w:r>
      <w:r>
        <w:rPr>
          <w:rStyle w:val="cursor-pointer"/>
          <w:rFonts w:ascii="Geist Fallback" w:hAnsi="Geist Fallback"/>
          <w:sz w:val="23"/>
          <w:szCs w:val="23"/>
        </w:rPr>
        <w:t>This growth raises the significance of trust, being informed, and having data governance that is easy to understand.</w:t>
      </w:r>
      <w:r>
        <w:rPr>
          <w:rFonts w:ascii="Geist Fallback" w:hAnsi="Geist Fallback"/>
          <w:sz w:val="23"/>
          <w:szCs w:val="23"/>
        </w:rPr>
        <w:t xml:space="preserve"> </w:t>
      </w:r>
      <w:r>
        <w:rPr>
          <w:rStyle w:val="cursor-pointer"/>
          <w:rFonts w:ascii="Geist Fallback" w:hAnsi="Geist Fallback"/>
          <w:sz w:val="23"/>
          <w:szCs w:val="23"/>
        </w:rPr>
        <w:t>The research note from the FCA on open banking and open finance highlights that establishing trust and awareness are crucial to growth, especially amongst those who aren't very confident in the digital realm (Khan, et al., 2024).</w:t>
      </w:r>
    </w:p>
    <w:p w14:paraId="7D94B3D9" w14:textId="77777777" w:rsidR="00B97D49" w:rsidRPr="00B97D49" w:rsidRDefault="00B97D49" w:rsidP="00E867A3">
      <w:pPr>
        <w:rPr>
          <w:rStyle w:val="cursor-pointer"/>
          <w:sz w:val="32"/>
          <w:szCs w:val="36"/>
        </w:rPr>
      </w:pPr>
      <w:r>
        <w:rPr>
          <w:rStyle w:val="cursor-pointer"/>
          <w:rFonts w:ascii="Geist Fallback" w:hAnsi="Geist Fallback"/>
          <w:sz w:val="23"/>
          <w:szCs w:val="23"/>
        </w:rPr>
        <w:t>Study has academic value due to parallel development of privacy study and FinTech adoption study.</w:t>
      </w:r>
      <w:r>
        <w:t xml:space="preserve"> </w:t>
      </w:r>
      <w:r>
        <w:rPr>
          <w:rStyle w:val="cursor-pointer"/>
          <w:rFonts w:ascii="Geist Fallback" w:hAnsi="Geist Fallback"/>
          <w:sz w:val="23"/>
          <w:szCs w:val="23"/>
        </w:rPr>
        <w:t xml:space="preserve">Privacy literature tends to discuss concerns regarding collection, control, awareness and </w:t>
      </w:r>
      <w:proofErr w:type="spellStart"/>
      <w:r>
        <w:rPr>
          <w:rStyle w:val="cursor-pointer"/>
          <w:rFonts w:ascii="Geist Fallback" w:hAnsi="Geist Fallback"/>
          <w:sz w:val="23"/>
          <w:szCs w:val="23"/>
        </w:rPr>
        <w:t>unauthorised</w:t>
      </w:r>
      <w:proofErr w:type="spellEnd"/>
      <w:r>
        <w:rPr>
          <w:rStyle w:val="cursor-pointer"/>
          <w:rFonts w:ascii="Geist Fallback" w:hAnsi="Geist Fallback"/>
          <w:sz w:val="23"/>
          <w:szCs w:val="23"/>
        </w:rPr>
        <w:t xml:space="preserve"> secondary use, while FinTech literature tends to focus on the usefulness, ease of use, security, risk, and initial adoption of the technologies (Jafri, et al., 2024).</w:t>
      </w:r>
      <w:r>
        <w:t xml:space="preserve"> </w:t>
      </w:r>
      <w:r>
        <w:rPr>
          <w:rStyle w:val="cursor-pointer"/>
          <w:rFonts w:ascii="Geist Fallback" w:hAnsi="Geist Fallback"/>
          <w:sz w:val="23"/>
          <w:szCs w:val="23"/>
        </w:rPr>
        <w:t xml:space="preserve">Moreover, trust and security are high-order influences on user </w:t>
      </w:r>
      <w:proofErr w:type="spellStart"/>
      <w:r>
        <w:rPr>
          <w:rStyle w:val="cursor-pointer"/>
          <w:rFonts w:ascii="Geist Fallback" w:hAnsi="Geist Fallback"/>
          <w:sz w:val="23"/>
          <w:szCs w:val="23"/>
        </w:rPr>
        <w:t>FinTechs'</w:t>
      </w:r>
      <w:proofErr w:type="spellEnd"/>
      <w:r>
        <w:rPr>
          <w:rStyle w:val="cursor-pointer"/>
          <w:rFonts w:ascii="Geist Fallback" w:hAnsi="Geist Fallback"/>
          <w:sz w:val="23"/>
          <w:szCs w:val="23"/>
        </w:rPr>
        <w:t xml:space="preserve"> </w:t>
      </w:r>
      <w:proofErr w:type="spellStart"/>
      <w:r>
        <w:rPr>
          <w:rStyle w:val="cursor-pointer"/>
          <w:rFonts w:ascii="Geist Fallback" w:hAnsi="Geist Fallback"/>
          <w:sz w:val="23"/>
          <w:szCs w:val="23"/>
        </w:rPr>
        <w:t>behaviour</w:t>
      </w:r>
      <w:proofErr w:type="spellEnd"/>
      <w:r>
        <w:rPr>
          <w:rStyle w:val="cursor-pointer"/>
          <w:rFonts w:ascii="Geist Fallback" w:hAnsi="Geist Fallback"/>
          <w:sz w:val="23"/>
          <w:szCs w:val="23"/>
        </w:rPr>
        <w:t>, and resistance to and post-adoption consequences were emphasized.</w:t>
      </w:r>
      <w:r>
        <w:t xml:space="preserve"> </w:t>
      </w:r>
      <w:r>
        <w:rPr>
          <w:rStyle w:val="cursor-pointer"/>
          <w:rFonts w:ascii="Geist Fallback" w:hAnsi="Geist Fallback"/>
          <w:sz w:val="23"/>
          <w:szCs w:val="23"/>
        </w:rPr>
        <w:t>It is particularly important to keep the customers loyal since growth on a mere trial or one-time download is commercially delicate.</w:t>
      </w:r>
      <w:r>
        <w:t xml:space="preserve"> </w:t>
      </w:r>
      <w:r>
        <w:rPr>
          <w:rStyle w:val="cursor-pointer"/>
          <w:rFonts w:ascii="Geist Fallback" w:hAnsi="Geist Fallback"/>
          <w:sz w:val="23"/>
          <w:szCs w:val="23"/>
        </w:rPr>
        <w:t>Consistent users are more inclined to re-engage, suggest and buy extra support, in opposition to contending offers (Liu, et al., 2026).</w:t>
      </w:r>
      <w:r>
        <w:t xml:space="preserve"> </w:t>
      </w:r>
      <w:r>
        <w:rPr>
          <w:rStyle w:val="cursor-pointer"/>
          <w:rFonts w:ascii="Geist Fallback" w:hAnsi="Geist Fallback"/>
          <w:sz w:val="23"/>
          <w:szCs w:val="23"/>
        </w:rPr>
        <w:t>This is important in practice, due to the current threat environment.</w:t>
      </w:r>
      <w:r>
        <w:t xml:space="preserve"> </w:t>
      </w:r>
      <w:r>
        <w:rPr>
          <w:rStyle w:val="cursor-pointer"/>
          <w:rFonts w:ascii="Geist Fallback" w:hAnsi="Geist Fallback"/>
          <w:sz w:val="23"/>
          <w:szCs w:val="23"/>
        </w:rPr>
        <w:t>A recent survey by the UK Government (Department for Science, Innovation and Technology (2026)) revealed that 43% of businesses in the UK suffered from a cyber security breach or attack in the last 12 months.</w:t>
      </w:r>
      <w:r>
        <w:t xml:space="preserve"> </w:t>
      </w:r>
      <w:r>
        <w:rPr>
          <w:rStyle w:val="cursor-pointer"/>
          <w:rFonts w:ascii="Geist Fallback" w:hAnsi="Geist Fallback"/>
          <w:sz w:val="23"/>
          <w:szCs w:val="23"/>
        </w:rPr>
        <w:t xml:space="preserve">These numbers are not to suggest that all FinTech services are inherently insecure – rather, they influence consumers' sense of insecurity and the </w:t>
      </w:r>
      <w:r>
        <w:rPr>
          <w:rStyle w:val="cursor-pointer"/>
          <w:rFonts w:ascii="Geist Fallback" w:hAnsi="Geist Fallback"/>
          <w:sz w:val="23"/>
          <w:szCs w:val="23"/>
        </w:rPr>
        <w:lastRenderedPageBreak/>
        <w:t>repercussions of having their financial data compromised.</w:t>
      </w:r>
      <w:r>
        <w:t xml:space="preserve"> </w:t>
      </w:r>
      <w:r>
        <w:rPr>
          <w:rStyle w:val="cursor-pointer"/>
          <w:rFonts w:ascii="Geist Fallback" w:hAnsi="Geist Fallback"/>
          <w:sz w:val="23"/>
          <w:szCs w:val="23"/>
        </w:rPr>
        <w:t>The proposed research will thus explore whether there is a direct link between privacy concerns and loyalty reduction and whether trust accounts for some of this link.</w:t>
      </w:r>
    </w:p>
    <w:p w14:paraId="4CC493AD" w14:textId="77777777" w:rsidR="00091A04" w:rsidRDefault="00D74C1E" w:rsidP="00E867A3">
      <w:pPr>
        <w:pStyle w:val="Heading1"/>
      </w:pPr>
      <w:bookmarkStart w:id="2" w:name="_Toc234866835"/>
      <w:r>
        <w:t>Statement of the Research Problem</w:t>
      </w:r>
      <w:bookmarkEnd w:id="2"/>
    </w:p>
    <w:p w14:paraId="2C6239D4" w14:textId="77777777" w:rsidR="00B97D49" w:rsidRDefault="00B97D49" w:rsidP="00E867A3">
      <w:pPr>
        <w:rPr>
          <w:rStyle w:val="cursor-pointer"/>
          <w:rFonts w:ascii="Geist Fallback" w:hAnsi="Geist Fallback" w:hint="eastAsia"/>
          <w:sz w:val="23"/>
          <w:szCs w:val="23"/>
        </w:rPr>
      </w:pPr>
      <w:r>
        <w:rPr>
          <w:rStyle w:val="cursor-pointer"/>
          <w:rFonts w:ascii="Geist Fallback" w:hAnsi="Geist Fallback"/>
          <w:sz w:val="23"/>
          <w:szCs w:val="23"/>
        </w:rPr>
        <w:t xml:space="preserve">However, the customer data requirements for proving identity, preventing fraud, </w:t>
      </w:r>
      <w:proofErr w:type="spellStart"/>
      <w:r>
        <w:rPr>
          <w:rStyle w:val="cursor-pointer"/>
          <w:rFonts w:ascii="Geist Fallback" w:hAnsi="Geist Fallback"/>
          <w:sz w:val="23"/>
          <w:szCs w:val="23"/>
        </w:rPr>
        <w:t>personalisation</w:t>
      </w:r>
      <w:proofErr w:type="spellEnd"/>
      <w:r>
        <w:rPr>
          <w:rStyle w:val="cursor-pointer"/>
          <w:rFonts w:ascii="Geist Fallback" w:hAnsi="Geist Fallback"/>
          <w:sz w:val="23"/>
          <w:szCs w:val="23"/>
        </w:rPr>
        <w:t xml:space="preserve"> features, risk assessment and regulatory compliance can lead to the potential impression that consumers do not have visibility or control of the data collection, profiling and sharing with third parties (Gindre, and Ibarra, 2026)</w:t>
      </w:r>
      <w:r>
        <w:rPr>
          <w:rFonts w:ascii="Geist Fallback" w:hAnsi="Geist Fallback"/>
          <w:sz w:val="23"/>
          <w:szCs w:val="23"/>
        </w:rPr>
        <w:t xml:space="preserve">. </w:t>
      </w:r>
      <w:r>
        <w:rPr>
          <w:rStyle w:val="cursor-pointer"/>
          <w:rFonts w:ascii="Geist Fallback" w:hAnsi="Geist Fallback"/>
          <w:sz w:val="23"/>
          <w:szCs w:val="23"/>
        </w:rPr>
        <w:t>A service which is technically secure and convenient for a company can be losers in terms of loyalty if the user feels that the service is not consistent with their expectations, the data is excessive, unclear or inconsistent.</w:t>
      </w:r>
    </w:p>
    <w:p w14:paraId="4F5135A8" w14:textId="77777777" w:rsidR="00B97D49" w:rsidRDefault="00B97D49" w:rsidP="00E867A3">
      <w:pPr>
        <w:rPr>
          <w:rStyle w:val="cursor-pointer"/>
          <w:rFonts w:ascii="Geist Fallback" w:hAnsi="Geist Fallback" w:hint="eastAsia"/>
          <w:sz w:val="23"/>
          <w:szCs w:val="23"/>
        </w:rPr>
      </w:pPr>
      <w:r>
        <w:rPr>
          <w:rStyle w:val="cursor-pointer"/>
          <w:rFonts w:ascii="Geist Fallback" w:hAnsi="Geist Fallback"/>
          <w:sz w:val="23"/>
          <w:szCs w:val="23"/>
        </w:rPr>
        <w:t>Existing evidence is not comprehensive in the UK.</w:t>
      </w:r>
      <w:r>
        <w:rPr>
          <w:rFonts w:ascii="Geist Fallback" w:hAnsi="Geist Fallback"/>
          <w:sz w:val="23"/>
          <w:szCs w:val="23"/>
        </w:rPr>
        <w:t xml:space="preserve"> </w:t>
      </w:r>
      <w:r>
        <w:rPr>
          <w:rStyle w:val="cursor-pointer"/>
          <w:rFonts w:ascii="Geist Fallback" w:hAnsi="Geist Fallback"/>
          <w:sz w:val="23"/>
          <w:szCs w:val="23"/>
        </w:rPr>
        <w:t>The results of various studies in different markets indicate that trust, perceived security and service quality may be able to impact FinTech adoption or loyalty (Wang, et al., 2026).</w:t>
      </w:r>
      <w:r>
        <w:rPr>
          <w:rFonts w:ascii="Geist Fallback" w:hAnsi="Geist Fallback"/>
          <w:sz w:val="23"/>
          <w:szCs w:val="23"/>
        </w:rPr>
        <w:t xml:space="preserve"> </w:t>
      </w:r>
      <w:r>
        <w:rPr>
          <w:rStyle w:val="cursor-pointer"/>
          <w:rFonts w:ascii="Geist Fallback" w:hAnsi="Geist Fallback"/>
          <w:sz w:val="23"/>
          <w:szCs w:val="23"/>
        </w:rPr>
        <w:t>However, results are not consistent.</w:t>
      </w:r>
      <w:r>
        <w:rPr>
          <w:rFonts w:ascii="Geist Fallback" w:hAnsi="Geist Fallback"/>
          <w:sz w:val="23"/>
          <w:szCs w:val="23"/>
        </w:rPr>
        <w:t xml:space="preserve"> </w:t>
      </w:r>
      <w:r>
        <w:rPr>
          <w:rStyle w:val="cursor-pointer"/>
          <w:rFonts w:ascii="Geist Fallback" w:hAnsi="Geist Fallback"/>
          <w:sz w:val="23"/>
          <w:szCs w:val="23"/>
        </w:rPr>
        <w:t>The results of the other studies show that data security and privacy have a strong impact, while others indicate perceived usefulness, brand image, or digital literacy are more influential.</w:t>
      </w:r>
      <w:r>
        <w:rPr>
          <w:rFonts w:ascii="Geist Fallback" w:hAnsi="Geist Fallback"/>
          <w:sz w:val="23"/>
          <w:szCs w:val="23"/>
        </w:rPr>
        <w:t xml:space="preserve"> </w:t>
      </w:r>
      <w:r>
        <w:rPr>
          <w:rStyle w:val="cursor-pointer"/>
          <w:rFonts w:ascii="Geist Fallback" w:hAnsi="Geist Fallback"/>
          <w:sz w:val="23"/>
          <w:szCs w:val="23"/>
        </w:rPr>
        <w:t>Regulation, digital maturity, institutional trust and past experience with financial services vary between countries and this has implications for the context.</w:t>
      </w:r>
      <w:r>
        <w:rPr>
          <w:rFonts w:ascii="Geist Fallback" w:hAnsi="Geist Fallback"/>
          <w:sz w:val="23"/>
          <w:szCs w:val="23"/>
        </w:rPr>
        <w:t xml:space="preserve"> </w:t>
      </w:r>
      <w:r>
        <w:rPr>
          <w:rStyle w:val="cursor-pointer"/>
          <w:rFonts w:ascii="Geist Fallback" w:hAnsi="Geist Fallback"/>
          <w:sz w:val="23"/>
          <w:szCs w:val="23"/>
        </w:rPr>
        <w:t>Furthermore, the UK has a unique regulatory landscape that has been influenced by the UK GDPR, Data Protection Act 2018, Data (Use and Access) Act 2025 (Clarke), Consumer Duty and open banking (Macartney, 2026).</w:t>
      </w:r>
    </w:p>
    <w:p w14:paraId="79845E58" w14:textId="77777777" w:rsidR="00B97D49" w:rsidRPr="00B97D49" w:rsidRDefault="00B97D49" w:rsidP="00E867A3">
      <w:pPr>
        <w:rPr>
          <w:rStyle w:val="cursor-pointer"/>
          <w:sz w:val="32"/>
          <w:szCs w:val="36"/>
        </w:rPr>
      </w:pPr>
      <w:r>
        <w:rPr>
          <w:rStyle w:val="cursor-pointer"/>
          <w:rFonts w:ascii="Geist Fallback" w:hAnsi="Geist Fallback"/>
          <w:sz w:val="23"/>
          <w:szCs w:val="23"/>
        </w:rPr>
        <w:t>Secondly, many studies in FinTech focus on intention to adopt and not loyalty post adoption.</w:t>
      </w:r>
      <w:r>
        <w:t xml:space="preserve"> </w:t>
      </w:r>
      <w:r>
        <w:rPr>
          <w:rStyle w:val="cursor-pointer"/>
          <w:rFonts w:ascii="Geist Fallback" w:hAnsi="Geist Fallback"/>
          <w:sz w:val="23"/>
          <w:szCs w:val="23"/>
        </w:rPr>
        <w:t>The question of adoption is whether or not a person will start using a service, the question of loyalty is whether or not a person will continue to use a service, and whether or not a person will recommend or prefer the service, and whether or not a person will resist switching to another service.</w:t>
      </w:r>
      <w:r>
        <w:t xml:space="preserve"> </w:t>
      </w:r>
      <w:r>
        <w:rPr>
          <w:rStyle w:val="cursor-pointer"/>
          <w:rFonts w:ascii="Geist Fallback" w:hAnsi="Geist Fallback"/>
          <w:sz w:val="23"/>
          <w:szCs w:val="23"/>
        </w:rPr>
        <w:t>These outcomes need a long-term confidence in relationships.</w:t>
      </w:r>
      <w:r>
        <w:t xml:space="preserve"> </w:t>
      </w:r>
    </w:p>
    <w:p w14:paraId="662460E2" w14:textId="77777777" w:rsidR="00091A04" w:rsidRDefault="00D74C1E" w:rsidP="00E867A3">
      <w:pPr>
        <w:pStyle w:val="Heading1"/>
      </w:pPr>
      <w:bookmarkStart w:id="3" w:name="_Toc234866836"/>
      <w:r>
        <w:t>Research Aim and Objectives</w:t>
      </w:r>
      <w:bookmarkEnd w:id="3"/>
    </w:p>
    <w:p w14:paraId="1CA5B551" w14:textId="77777777" w:rsidR="00E867A3" w:rsidRDefault="00E867A3" w:rsidP="00E867A3">
      <w:pPr>
        <w:pStyle w:val="Heading2"/>
      </w:pPr>
      <w:bookmarkStart w:id="4" w:name="_Toc234866837"/>
      <w:r>
        <w:t>Aim</w:t>
      </w:r>
      <w:bookmarkEnd w:id="4"/>
    </w:p>
    <w:p w14:paraId="1C299788" w14:textId="77777777" w:rsidR="00091A04" w:rsidRDefault="00D74C1E" w:rsidP="00E867A3">
      <w:r>
        <w:t>The main aim of this research is to evaluate the influence of data privacy concerns on customer loyalty towards FinTech companies in the United Kingdom.</w:t>
      </w:r>
    </w:p>
    <w:p w14:paraId="02A6EB3E" w14:textId="77777777" w:rsidR="00091A04" w:rsidRDefault="00E867A3" w:rsidP="00E867A3">
      <w:pPr>
        <w:pStyle w:val="Heading2"/>
      </w:pPr>
      <w:bookmarkStart w:id="5" w:name="_Toc234866838"/>
      <w:r w:rsidRPr="00E867A3">
        <w:lastRenderedPageBreak/>
        <w:t>Research objectives</w:t>
      </w:r>
      <w:bookmarkEnd w:id="5"/>
    </w:p>
    <w:p w14:paraId="589B4ACA" w14:textId="77777777" w:rsidR="00091A04" w:rsidRDefault="00D74C1E" w:rsidP="00E867A3">
      <w:pPr>
        <w:ind w:left="340" w:hanging="170"/>
      </w:pPr>
      <w:r>
        <w:t>• To assess the principal data privacy concerns experienced by customers using FinTech services in the United Kingdom.</w:t>
      </w:r>
    </w:p>
    <w:p w14:paraId="58911A19" w14:textId="77777777" w:rsidR="00091A04" w:rsidRDefault="00D74C1E" w:rsidP="00E867A3">
      <w:pPr>
        <w:ind w:left="340" w:hanging="170"/>
      </w:pPr>
      <w:r>
        <w:t>• To analyse the relationship between data privacy concerns and customer trust in FinTech companies.</w:t>
      </w:r>
    </w:p>
    <w:p w14:paraId="51A32572" w14:textId="77777777" w:rsidR="00091A04" w:rsidRDefault="00D74C1E" w:rsidP="00E867A3">
      <w:pPr>
        <w:ind w:left="340" w:hanging="170"/>
      </w:pPr>
      <w:r>
        <w:t>• To determine the direct influence of data privacy concerns on customer loyalty, including continued use, recommendation and resistance to switching.</w:t>
      </w:r>
    </w:p>
    <w:p w14:paraId="7AE0639F" w14:textId="77777777" w:rsidR="00091A04" w:rsidRDefault="00D74C1E" w:rsidP="00E867A3">
      <w:pPr>
        <w:ind w:left="340" w:hanging="170"/>
      </w:pPr>
      <w:r>
        <w:t>• To examine whether customer trust mediates the relationship between data privacy concerns and customer loyalty.</w:t>
      </w:r>
    </w:p>
    <w:p w14:paraId="0D5AC978" w14:textId="77777777" w:rsidR="00091A04" w:rsidRDefault="00D74C1E" w:rsidP="00E867A3">
      <w:pPr>
        <w:pStyle w:val="Heading1"/>
      </w:pPr>
      <w:bookmarkStart w:id="6" w:name="_Toc234866839"/>
      <w:r>
        <w:t>Research Questions and Hypotheses</w:t>
      </w:r>
      <w:bookmarkEnd w:id="6"/>
    </w:p>
    <w:p w14:paraId="6EEFBA10" w14:textId="77777777" w:rsidR="00091A04" w:rsidRDefault="00D74C1E" w:rsidP="00E867A3">
      <w:pPr>
        <w:ind w:left="340" w:hanging="170"/>
      </w:pPr>
      <w:r>
        <w:t>• What types and levels of data privacy concern are experienced by UK FinTech customers?</w:t>
      </w:r>
    </w:p>
    <w:p w14:paraId="7DC1DDDD" w14:textId="77777777" w:rsidR="00091A04" w:rsidRDefault="00D74C1E" w:rsidP="00E867A3">
      <w:pPr>
        <w:ind w:left="340" w:hanging="170"/>
      </w:pPr>
      <w:r>
        <w:t>• How do data privacy concerns influence customer trust in FinTech companies?</w:t>
      </w:r>
    </w:p>
    <w:p w14:paraId="1169506A" w14:textId="77777777" w:rsidR="00091A04" w:rsidRDefault="00D74C1E" w:rsidP="00E867A3">
      <w:pPr>
        <w:ind w:left="340" w:hanging="170"/>
      </w:pPr>
      <w:r>
        <w:t>• To what extent do data privacy concerns influence customer loyalty?</w:t>
      </w:r>
    </w:p>
    <w:p w14:paraId="103E9FFE" w14:textId="77777777" w:rsidR="00091A04" w:rsidRDefault="00D74C1E" w:rsidP="00E867A3">
      <w:pPr>
        <w:ind w:left="340" w:hanging="170"/>
      </w:pPr>
      <w:r>
        <w:t>• Does customer trust mediate the relationship between data privacy concerns and customer loyalty?</w:t>
      </w:r>
    </w:p>
    <w:p w14:paraId="4D8C9090" w14:textId="77777777" w:rsidR="00091A04" w:rsidRDefault="00FD1473" w:rsidP="00E867A3">
      <w:r>
        <w:rPr>
          <w:b/>
        </w:rPr>
        <w:t>Hypothesis</w:t>
      </w:r>
    </w:p>
    <w:p w14:paraId="2492D47B" w14:textId="77777777" w:rsidR="00091A04" w:rsidRDefault="00D74C1E" w:rsidP="00E867A3">
      <w:r>
        <w:rPr>
          <w:b/>
        </w:rPr>
        <w:t>H1: Data privacy concerns have a negative relationship with customer trust.</w:t>
      </w:r>
    </w:p>
    <w:p w14:paraId="2FEE494D" w14:textId="77777777" w:rsidR="00091A04" w:rsidRDefault="00D74C1E" w:rsidP="00E867A3">
      <w:r>
        <w:rPr>
          <w:b/>
        </w:rPr>
        <w:t>H2: Customer trust has a positive relationship with customer loyalty.</w:t>
      </w:r>
    </w:p>
    <w:p w14:paraId="637EE7E9" w14:textId="77777777" w:rsidR="00091A04" w:rsidRDefault="00D74C1E" w:rsidP="00E867A3">
      <w:r>
        <w:rPr>
          <w:b/>
        </w:rPr>
        <w:t>H3: Data privacy concerns have a negative relationship with customer loyalty.</w:t>
      </w:r>
    </w:p>
    <w:p w14:paraId="1693C6CA" w14:textId="77777777" w:rsidR="00FD1473" w:rsidRDefault="00D74C1E" w:rsidP="00E867A3">
      <w:pPr>
        <w:rPr>
          <w:b/>
        </w:rPr>
      </w:pPr>
      <w:r>
        <w:rPr>
          <w:b/>
        </w:rPr>
        <w:t>H4: Customer trust mediates the relationship between data privacy concerns and customer loyalty.</w:t>
      </w:r>
    </w:p>
    <w:p w14:paraId="3E3DF180" w14:textId="77777777" w:rsidR="00091A04" w:rsidRPr="00FD1473" w:rsidRDefault="00FD1473" w:rsidP="00FD1473">
      <w:pPr>
        <w:spacing w:line="259" w:lineRule="auto"/>
        <w:jc w:val="left"/>
        <w:rPr>
          <w:b/>
        </w:rPr>
      </w:pPr>
      <w:r>
        <w:rPr>
          <w:b/>
        </w:rPr>
        <w:br w:type="page"/>
      </w:r>
    </w:p>
    <w:p w14:paraId="6966853A" w14:textId="77777777" w:rsidR="00091A04" w:rsidRDefault="00D74C1E" w:rsidP="00E867A3">
      <w:pPr>
        <w:pStyle w:val="Heading1"/>
      </w:pPr>
      <w:bookmarkStart w:id="7" w:name="_Toc234866840"/>
      <w:r>
        <w:lastRenderedPageBreak/>
        <w:t>Literature Review</w:t>
      </w:r>
      <w:bookmarkEnd w:id="7"/>
    </w:p>
    <w:p w14:paraId="1D11F816" w14:textId="77777777" w:rsidR="00091A04" w:rsidRDefault="00D74C1E" w:rsidP="00E867A3">
      <w:pPr>
        <w:pStyle w:val="Heading2"/>
      </w:pPr>
      <w:bookmarkStart w:id="8" w:name="_Toc234866841"/>
      <w:r>
        <w:t>Background of Data Privacy Concerns</w:t>
      </w:r>
      <w:bookmarkEnd w:id="8"/>
    </w:p>
    <w:p w14:paraId="55671AB0" w14:textId="77777777" w:rsidR="00B97D49" w:rsidRDefault="00B97D49" w:rsidP="00E867A3">
      <w:pPr>
        <w:rPr>
          <w:rStyle w:val="cursor-pointer"/>
          <w:rFonts w:ascii="Geist Fallback" w:hAnsi="Geist Fallback" w:hint="eastAsia"/>
          <w:sz w:val="23"/>
          <w:szCs w:val="23"/>
        </w:rPr>
      </w:pPr>
      <w:r>
        <w:rPr>
          <w:rStyle w:val="cursor-pointer"/>
          <w:rFonts w:ascii="Geist Fallback" w:hAnsi="Geist Fallback"/>
          <w:sz w:val="23"/>
          <w:szCs w:val="23"/>
        </w:rPr>
        <w:t>The information privacy concerns refer to people's perceptions and fears with regard to the collection, control, use, and protection of their personal information by organisations.</w:t>
      </w:r>
      <w:r>
        <w:rPr>
          <w:rFonts w:ascii="Geist Fallback" w:hAnsi="Geist Fallback"/>
          <w:sz w:val="23"/>
          <w:szCs w:val="23"/>
        </w:rPr>
        <w:t xml:space="preserve"> </w:t>
      </w:r>
      <w:r>
        <w:rPr>
          <w:rStyle w:val="cursor-pointer"/>
          <w:rFonts w:ascii="Geist Fallback" w:hAnsi="Geist Fallback"/>
          <w:sz w:val="23"/>
          <w:szCs w:val="23"/>
        </w:rPr>
        <w:t>Moreover, privacy from security: security relates to the technical and organisational safeguarding of information, while privacy relates to the appropriateness and consistency of data practices with the individual's expectations (Nayak, et al., 2025).</w:t>
      </w:r>
      <w:r>
        <w:rPr>
          <w:rFonts w:ascii="Geist Fallback" w:hAnsi="Geist Fallback"/>
          <w:sz w:val="23"/>
          <w:szCs w:val="23"/>
        </w:rPr>
        <w:t xml:space="preserve"> </w:t>
      </w:r>
      <w:r>
        <w:rPr>
          <w:rStyle w:val="cursor-pointer"/>
          <w:rFonts w:ascii="Geist Fallback" w:hAnsi="Geist Fallback"/>
          <w:sz w:val="23"/>
          <w:szCs w:val="23"/>
        </w:rPr>
        <w:t>The constructs are overlapping since a company can be breaching privacy even if it does not technically breach the security, for example by collecting too much data or using collected data for an unexpected purpose.</w:t>
      </w:r>
    </w:p>
    <w:p w14:paraId="6F77C2B4" w14:textId="77777777" w:rsidR="00B97D49" w:rsidRDefault="00B97D49" w:rsidP="00E867A3">
      <w:pPr>
        <w:rPr>
          <w:rStyle w:val="cursor-pointer"/>
          <w:rFonts w:ascii="Geist Fallback" w:hAnsi="Geist Fallback" w:hint="eastAsia"/>
          <w:sz w:val="23"/>
          <w:szCs w:val="23"/>
        </w:rPr>
      </w:pPr>
      <w:r>
        <w:rPr>
          <w:rStyle w:val="cursor-pointer"/>
          <w:rFonts w:ascii="Geist Fallback" w:hAnsi="Geist Fallback"/>
          <w:sz w:val="23"/>
          <w:szCs w:val="23"/>
        </w:rPr>
        <w:t>The Internet Users' Information Privacy Concerns scale was designed by Menard, and Bott (2025) around the collection, control and awareness of information.</w:t>
      </w:r>
      <w:r>
        <w:rPr>
          <w:rFonts w:ascii="Geist Fallback" w:hAnsi="Geist Fallback"/>
          <w:sz w:val="23"/>
          <w:szCs w:val="23"/>
        </w:rPr>
        <w:t xml:space="preserve"> </w:t>
      </w:r>
      <w:r>
        <w:rPr>
          <w:rStyle w:val="cursor-pointer"/>
          <w:rFonts w:ascii="Geist Fallback" w:hAnsi="Geist Fallback"/>
          <w:sz w:val="23"/>
          <w:szCs w:val="23"/>
        </w:rPr>
        <w:t>Collection relates to whether organisations get more information than they need; control relates to whether people can control information collection and usage; and awareness relates to whether information practices are understandable and transparent.</w:t>
      </w:r>
      <w:r>
        <w:rPr>
          <w:rFonts w:ascii="Geist Fallback" w:hAnsi="Geist Fallback"/>
          <w:sz w:val="23"/>
          <w:szCs w:val="23"/>
        </w:rPr>
        <w:t xml:space="preserve"> </w:t>
      </w:r>
      <w:proofErr w:type="spellStart"/>
      <w:r>
        <w:rPr>
          <w:rStyle w:val="cursor-pointer"/>
          <w:rFonts w:ascii="Geist Fallback" w:hAnsi="Geist Fallback"/>
          <w:sz w:val="23"/>
          <w:szCs w:val="23"/>
        </w:rPr>
        <w:t>Karwatzki</w:t>
      </w:r>
      <w:proofErr w:type="spellEnd"/>
      <w:r>
        <w:rPr>
          <w:rStyle w:val="cursor-pointer"/>
          <w:rFonts w:ascii="Geist Fallback" w:hAnsi="Geist Fallback"/>
          <w:sz w:val="23"/>
          <w:szCs w:val="23"/>
        </w:rPr>
        <w:t>, et al. (2022) defined privacy concern as a multidimensional concept consisting of interaction management, information management and awareness.</w:t>
      </w:r>
      <w:r>
        <w:rPr>
          <w:rFonts w:ascii="Geist Fallback" w:hAnsi="Geist Fallback"/>
          <w:sz w:val="23"/>
          <w:szCs w:val="23"/>
        </w:rPr>
        <w:t xml:space="preserve"> </w:t>
      </w:r>
      <w:r>
        <w:rPr>
          <w:rStyle w:val="cursor-pointer"/>
          <w:rFonts w:ascii="Geist Fallback" w:hAnsi="Geist Fallback"/>
          <w:sz w:val="23"/>
          <w:szCs w:val="23"/>
        </w:rPr>
        <w:t>These frameworks are applicable to FinTech since users may be willing to give consent to identity verification and transaction monitoring but not to such things as opaque profiling, advertising, cross-platform tracking or onward disclosure.</w:t>
      </w:r>
    </w:p>
    <w:p w14:paraId="60755B64" w14:textId="77777777" w:rsidR="00B97D49" w:rsidRPr="00B97D49" w:rsidRDefault="00B97D49" w:rsidP="00E867A3">
      <w:pPr>
        <w:rPr>
          <w:rStyle w:val="cursor-pointer"/>
          <w:rFonts w:asciiTheme="majorHAnsi" w:hAnsiTheme="majorHAnsi"/>
          <w:sz w:val="28"/>
          <w:szCs w:val="28"/>
        </w:rPr>
      </w:pPr>
      <w:r>
        <w:rPr>
          <w:rStyle w:val="cursor-pointer"/>
          <w:rFonts w:ascii="Geist Fallback" w:hAnsi="Geist Fallback"/>
          <w:sz w:val="23"/>
          <w:szCs w:val="23"/>
        </w:rPr>
        <w:t>A privacy concern doesn't necessarily mean an absolute refusal to share information.</w:t>
      </w:r>
      <w:r>
        <w:t xml:space="preserve"> </w:t>
      </w:r>
      <w:r>
        <w:rPr>
          <w:rStyle w:val="cursor-pointer"/>
          <w:rFonts w:ascii="Geist Fallback" w:hAnsi="Geist Fallback"/>
          <w:sz w:val="23"/>
          <w:szCs w:val="23"/>
        </w:rPr>
        <w:t>According to privacy calculus theory, people compare risks to benefits when making decisions on sharing or allowing processing of information (Fu, et al., 2023).</w:t>
      </w:r>
      <w:r>
        <w:t xml:space="preserve"> </w:t>
      </w:r>
    </w:p>
    <w:p w14:paraId="113FE9AB" w14:textId="77777777" w:rsidR="00091A04" w:rsidRDefault="00D74C1E" w:rsidP="00E867A3">
      <w:pPr>
        <w:pStyle w:val="Heading2"/>
      </w:pPr>
      <w:bookmarkStart w:id="9" w:name="_Toc234866842"/>
      <w:r>
        <w:t>The UK FinTech Context</w:t>
      </w:r>
      <w:bookmarkEnd w:id="9"/>
    </w:p>
    <w:p w14:paraId="5BF3EC88" w14:textId="77777777" w:rsidR="00B97D49" w:rsidRDefault="00B97D49" w:rsidP="00E867A3">
      <w:pPr>
        <w:rPr>
          <w:rStyle w:val="cursor-pointer"/>
          <w:rFonts w:ascii="Geist Fallback" w:hAnsi="Geist Fallback" w:hint="eastAsia"/>
          <w:sz w:val="23"/>
          <w:szCs w:val="23"/>
        </w:rPr>
      </w:pPr>
      <w:r>
        <w:rPr>
          <w:rStyle w:val="cursor-pointer"/>
          <w:rFonts w:ascii="Geist Fallback" w:hAnsi="Geist Fallback"/>
          <w:sz w:val="23"/>
          <w:szCs w:val="23"/>
        </w:rPr>
        <w:t>The UK FinTech market is fast growing and experiencing ongoing trust issues.</w:t>
      </w:r>
      <w:r>
        <w:rPr>
          <w:rFonts w:ascii="Geist Fallback" w:hAnsi="Geist Fallback"/>
          <w:sz w:val="23"/>
          <w:szCs w:val="23"/>
        </w:rPr>
        <w:t xml:space="preserve"> </w:t>
      </w:r>
      <w:r>
        <w:rPr>
          <w:rStyle w:val="cursor-pointer"/>
          <w:rFonts w:ascii="Geist Fallback" w:hAnsi="Geist Fallback"/>
          <w:sz w:val="23"/>
          <w:szCs w:val="23"/>
        </w:rPr>
        <w:t xml:space="preserve">Open banking is an approach that allows customers to grant regulated third parties access to their bank data or to make payments using a </w:t>
      </w:r>
      <w:proofErr w:type="spellStart"/>
      <w:r>
        <w:rPr>
          <w:rStyle w:val="cursor-pointer"/>
          <w:rFonts w:ascii="Geist Fallback" w:hAnsi="Geist Fallback"/>
          <w:sz w:val="23"/>
          <w:szCs w:val="23"/>
        </w:rPr>
        <w:t>standardised</w:t>
      </w:r>
      <w:proofErr w:type="spellEnd"/>
      <w:r>
        <w:rPr>
          <w:rStyle w:val="cursor-pointer"/>
          <w:rFonts w:ascii="Geist Fallback" w:hAnsi="Geist Fallback"/>
          <w:sz w:val="23"/>
          <w:szCs w:val="23"/>
        </w:rPr>
        <w:t xml:space="preserve"> API.</w:t>
      </w:r>
      <w:r>
        <w:rPr>
          <w:rFonts w:ascii="Geist Fallback" w:hAnsi="Geist Fallback"/>
          <w:sz w:val="23"/>
          <w:szCs w:val="23"/>
        </w:rPr>
        <w:t xml:space="preserve"> </w:t>
      </w:r>
      <w:r>
        <w:rPr>
          <w:rStyle w:val="cursor-pointer"/>
          <w:rFonts w:ascii="Geist Fallback" w:hAnsi="Geist Fallback"/>
          <w:sz w:val="23"/>
          <w:szCs w:val="23"/>
        </w:rPr>
        <w:t>In its research note 2025, the FCA also noted that there has been progress in the development of open banking in the UK, but that there are significant challenges to overcome, including uneven consumer trust and lack of awareness of open finance.</w:t>
      </w:r>
    </w:p>
    <w:p w14:paraId="37C60C13" w14:textId="77777777" w:rsidR="003E3E8D" w:rsidRDefault="003E3E8D" w:rsidP="00E867A3">
      <w:pPr>
        <w:rPr>
          <w:rStyle w:val="cursor-pointer"/>
          <w:rFonts w:ascii="Geist Fallback" w:hAnsi="Geist Fallback" w:hint="eastAsia"/>
          <w:sz w:val="23"/>
          <w:szCs w:val="23"/>
        </w:rPr>
      </w:pPr>
      <w:r>
        <w:rPr>
          <w:rStyle w:val="cursor-pointer"/>
          <w:rFonts w:ascii="Geist Fallback" w:hAnsi="Geist Fallback"/>
          <w:sz w:val="23"/>
          <w:szCs w:val="23"/>
        </w:rPr>
        <w:t>This information is part of the broader picture from the FCA's Financial Lives 2024 survey.</w:t>
      </w:r>
      <w:r>
        <w:rPr>
          <w:rFonts w:ascii="Geist Fallback" w:hAnsi="Geist Fallback"/>
          <w:sz w:val="23"/>
          <w:szCs w:val="23"/>
        </w:rPr>
        <w:t xml:space="preserve"> </w:t>
      </w:r>
      <w:r>
        <w:rPr>
          <w:rStyle w:val="cursor-pointer"/>
          <w:rFonts w:ascii="Geist Fallback" w:hAnsi="Geist Fallback"/>
          <w:sz w:val="23"/>
          <w:szCs w:val="23"/>
        </w:rPr>
        <w:t xml:space="preserve">A third of adults (39%) trusted the financial-services industry and a third (36%) trusted that most financial firms were honest and transparent in their treatment of customers in 2024 (Financial Conduct Authority, </w:t>
      </w:r>
      <w:r>
        <w:rPr>
          <w:rStyle w:val="cursor-pointer"/>
          <w:rFonts w:ascii="Geist Fallback" w:hAnsi="Geist Fallback"/>
          <w:sz w:val="23"/>
          <w:szCs w:val="23"/>
        </w:rPr>
        <w:lastRenderedPageBreak/>
        <w:t>2025a).</w:t>
      </w:r>
      <w:r>
        <w:rPr>
          <w:rFonts w:ascii="Geist Fallback" w:hAnsi="Geist Fallback"/>
          <w:sz w:val="23"/>
          <w:szCs w:val="23"/>
        </w:rPr>
        <w:t xml:space="preserve"> </w:t>
      </w:r>
      <w:r>
        <w:rPr>
          <w:rStyle w:val="cursor-pointer"/>
          <w:rFonts w:ascii="Geist Fallback" w:hAnsi="Geist Fallback"/>
          <w:sz w:val="23"/>
          <w:szCs w:val="23"/>
        </w:rPr>
        <w:t>The results show that even in a highly regulated market, the level of trust cannot be taken for granted.</w:t>
      </w:r>
      <w:r>
        <w:rPr>
          <w:rFonts w:ascii="Geist Fallback" w:hAnsi="Geist Fallback"/>
          <w:sz w:val="23"/>
          <w:szCs w:val="23"/>
        </w:rPr>
        <w:t xml:space="preserve"> </w:t>
      </w:r>
      <w:r>
        <w:rPr>
          <w:rStyle w:val="cursor-pointer"/>
          <w:rFonts w:ascii="Geist Fallback" w:hAnsi="Geist Fallback"/>
          <w:sz w:val="23"/>
          <w:szCs w:val="23"/>
        </w:rPr>
        <w:t>The FCA's Consumer Duty also calls for action to ensure that retail customers benefit from good outcomes, which highlights the importance of communication, treatment and support in relation to privacy-related customer interactions.</w:t>
      </w:r>
    </w:p>
    <w:p w14:paraId="43CA199B" w14:textId="77777777" w:rsidR="003E3E8D" w:rsidRDefault="003E3E8D" w:rsidP="00E867A3">
      <w:pPr>
        <w:rPr>
          <w:rStyle w:val="cursor-pointer"/>
          <w:rFonts w:ascii="Geist Fallback" w:hAnsi="Geist Fallback" w:hint="eastAsia"/>
          <w:sz w:val="23"/>
          <w:szCs w:val="23"/>
        </w:rPr>
      </w:pPr>
      <w:r>
        <w:rPr>
          <w:rStyle w:val="cursor-pointer"/>
          <w:rFonts w:ascii="Geist Fallback" w:hAnsi="Geist Fallback"/>
          <w:sz w:val="23"/>
          <w:szCs w:val="23"/>
        </w:rPr>
        <w:t>The complexity is increased by the application of technology.</w:t>
      </w:r>
      <w:r>
        <w:rPr>
          <w:rFonts w:ascii="Geist Fallback" w:hAnsi="Geist Fallback"/>
          <w:sz w:val="23"/>
          <w:szCs w:val="23"/>
        </w:rPr>
        <w:t xml:space="preserve"> </w:t>
      </w:r>
      <w:r>
        <w:rPr>
          <w:rStyle w:val="cursor-pointer"/>
          <w:rFonts w:ascii="Geist Fallback" w:hAnsi="Geist Fallback"/>
          <w:sz w:val="23"/>
          <w:szCs w:val="23"/>
        </w:rPr>
        <w:t xml:space="preserve">The FCA and ICO have found that 118 financial-services firms surveyed reported using or intending to use AI, with three-quarters (85%) already in use, and 33% stating that data protection has been a barrier to AI adoption (Financial Conduct Authority, 2025b).Fraud detection, credit assessment, </w:t>
      </w:r>
      <w:proofErr w:type="spellStart"/>
      <w:r>
        <w:rPr>
          <w:rStyle w:val="cursor-pointer"/>
          <w:rFonts w:ascii="Geist Fallback" w:hAnsi="Geist Fallback"/>
          <w:sz w:val="23"/>
          <w:szCs w:val="23"/>
        </w:rPr>
        <w:t>personalisation</w:t>
      </w:r>
      <w:proofErr w:type="spellEnd"/>
      <w:r>
        <w:rPr>
          <w:rStyle w:val="cursor-pointer"/>
          <w:rFonts w:ascii="Geist Fallback" w:hAnsi="Geist Fallback"/>
          <w:sz w:val="23"/>
          <w:szCs w:val="23"/>
        </w:rPr>
        <w:t xml:space="preserve"> and customer service with AI can enhance customers' experience, but can also be more difficult to explain and drive profiling.</w:t>
      </w:r>
      <w:r>
        <w:rPr>
          <w:rFonts w:ascii="Geist Fallback" w:hAnsi="Geist Fallback"/>
          <w:sz w:val="23"/>
          <w:szCs w:val="23"/>
        </w:rPr>
        <w:t xml:space="preserve"> </w:t>
      </w:r>
      <w:r>
        <w:rPr>
          <w:rStyle w:val="cursor-pointer"/>
          <w:rFonts w:ascii="Geist Fallback" w:hAnsi="Geist Fallback"/>
          <w:sz w:val="23"/>
          <w:szCs w:val="23"/>
        </w:rPr>
        <w:t>The 2026 Mills Review highlights how the use of AI in retail financial services is becoming more prevalent, and that regulators need to balance accountability, effective oversight and protection against fraud, cyber risk and consumer harm with enabling innovation and consumer benefits (Mills, 2026).</w:t>
      </w:r>
    </w:p>
    <w:p w14:paraId="3B452DF2" w14:textId="77777777" w:rsidR="003E3E8D" w:rsidRPr="003E3E8D" w:rsidRDefault="003E3E8D" w:rsidP="00E867A3">
      <w:pPr>
        <w:rPr>
          <w:rStyle w:val="cursor-pointer"/>
          <w:rFonts w:asciiTheme="majorHAnsi" w:hAnsiTheme="majorHAnsi"/>
          <w:sz w:val="28"/>
          <w:szCs w:val="28"/>
        </w:rPr>
      </w:pPr>
      <w:r>
        <w:rPr>
          <w:rStyle w:val="cursor-pointer"/>
          <w:rFonts w:ascii="Geist Fallback" w:hAnsi="Geist Fallback"/>
          <w:sz w:val="23"/>
          <w:szCs w:val="23"/>
        </w:rPr>
        <w:t>The external fraud and cyber security landscape is also a factor in its trust.</w:t>
      </w:r>
      <w:r>
        <w:t xml:space="preserve"> </w:t>
      </w:r>
      <w:r>
        <w:rPr>
          <w:rStyle w:val="cursor-pointer"/>
          <w:rFonts w:ascii="Geist Fallback" w:hAnsi="Geist Fallback"/>
          <w:sz w:val="23"/>
          <w:szCs w:val="23"/>
        </w:rPr>
        <w:t>Forty three (43%)% of businesses reported experiencing a breach or attack in 2025/26 in the government Cyber Security Breaches Survey (Department for Science, Innovation and Technology, 2026).</w:t>
      </w:r>
      <w:r>
        <w:t xml:space="preserve"> </w:t>
      </w:r>
      <w:r>
        <w:rPr>
          <w:rStyle w:val="cursor-pointer"/>
          <w:rFonts w:ascii="Geist Fallback" w:hAnsi="Geist Fallback"/>
          <w:sz w:val="23"/>
          <w:szCs w:val="23"/>
        </w:rPr>
        <w:t>Customers may not be able to differentiate between the privacy policy, cyber controls and fraud prevention measures of a provider and online risks in general, thus the signals add up to a general sense of vulnerability.</w:t>
      </w:r>
      <w:r>
        <w:t xml:space="preserve"> </w:t>
      </w:r>
    </w:p>
    <w:p w14:paraId="68006033" w14:textId="77777777" w:rsidR="00091A04" w:rsidRDefault="00D74C1E" w:rsidP="00E867A3">
      <w:pPr>
        <w:pStyle w:val="Heading2"/>
      </w:pPr>
      <w:bookmarkStart w:id="10" w:name="_Toc234866843"/>
      <w:r>
        <w:t>Theoretical Framework</w:t>
      </w:r>
      <w:bookmarkEnd w:id="10"/>
    </w:p>
    <w:p w14:paraId="717762B6" w14:textId="77777777" w:rsidR="003E3E8D" w:rsidRDefault="003E3E8D" w:rsidP="00E867A3">
      <w:pPr>
        <w:rPr>
          <w:rStyle w:val="cursor-pointer"/>
          <w:rFonts w:ascii="Geist Fallback" w:hAnsi="Geist Fallback" w:hint="eastAsia"/>
          <w:sz w:val="23"/>
          <w:szCs w:val="23"/>
        </w:rPr>
      </w:pPr>
      <w:r>
        <w:rPr>
          <w:rStyle w:val="cursor-pointer"/>
          <w:rFonts w:ascii="Geist Fallback" w:hAnsi="Geist Fallback"/>
          <w:sz w:val="23"/>
          <w:szCs w:val="23"/>
        </w:rPr>
        <w:t>The conceptual framework merges together notions from privacy calculus theory, commitment–trust perspective and post-adoption loyalty theory.</w:t>
      </w:r>
      <w:r>
        <w:rPr>
          <w:rFonts w:ascii="Geist Fallback" w:hAnsi="Geist Fallback"/>
          <w:sz w:val="23"/>
          <w:szCs w:val="23"/>
        </w:rPr>
        <w:t xml:space="preserve"> </w:t>
      </w:r>
      <w:r>
        <w:rPr>
          <w:rStyle w:val="cursor-pointer"/>
          <w:rFonts w:ascii="Geist Fallback" w:hAnsi="Geist Fallback"/>
          <w:sz w:val="23"/>
          <w:szCs w:val="23"/>
        </w:rPr>
        <w:t>There are reasons why the privacy concern may not always result in immediate disengagement, as outlined in the privacy calculus theory (Mazhar, et al., 2026).</w:t>
      </w:r>
      <w:r>
        <w:rPr>
          <w:rFonts w:ascii="Geist Fallback" w:hAnsi="Geist Fallback"/>
          <w:sz w:val="23"/>
          <w:szCs w:val="23"/>
        </w:rPr>
        <w:t xml:space="preserve"> </w:t>
      </w:r>
      <w:r>
        <w:rPr>
          <w:rStyle w:val="cursor-pointer"/>
          <w:rFonts w:ascii="Geist Fallback" w:hAnsi="Geist Fallback"/>
          <w:sz w:val="23"/>
          <w:szCs w:val="23"/>
        </w:rPr>
        <w:t xml:space="preserve">Consumers also considers the risk in relation to convenience, financial savings, </w:t>
      </w:r>
      <w:proofErr w:type="spellStart"/>
      <w:r>
        <w:rPr>
          <w:rStyle w:val="cursor-pointer"/>
          <w:rFonts w:ascii="Geist Fallback" w:hAnsi="Geist Fallback"/>
          <w:sz w:val="23"/>
          <w:szCs w:val="23"/>
        </w:rPr>
        <w:t>personalisation</w:t>
      </w:r>
      <w:proofErr w:type="spellEnd"/>
      <w:r>
        <w:rPr>
          <w:rStyle w:val="cursor-pointer"/>
          <w:rFonts w:ascii="Geist Fallback" w:hAnsi="Geist Fallback"/>
          <w:sz w:val="23"/>
          <w:szCs w:val="23"/>
        </w:rPr>
        <w:t xml:space="preserve"> and fraud protection.</w:t>
      </w:r>
      <w:r>
        <w:rPr>
          <w:rFonts w:ascii="Geist Fallback" w:hAnsi="Geist Fallback"/>
          <w:sz w:val="23"/>
          <w:szCs w:val="23"/>
        </w:rPr>
        <w:t xml:space="preserve"> </w:t>
      </w:r>
      <w:r>
        <w:rPr>
          <w:rStyle w:val="cursor-pointer"/>
          <w:rFonts w:ascii="Geist Fallback" w:hAnsi="Geist Fallback"/>
          <w:sz w:val="23"/>
          <w:szCs w:val="23"/>
        </w:rPr>
        <w:t>If they are aware of the benefit and hold the service provider responsible, then they may continue to use the service even if they are aware of some concerns.</w:t>
      </w:r>
      <w:r>
        <w:rPr>
          <w:rFonts w:ascii="Geist Fallback" w:hAnsi="Geist Fallback"/>
          <w:sz w:val="23"/>
          <w:szCs w:val="23"/>
        </w:rPr>
        <w:t xml:space="preserve"> </w:t>
      </w:r>
      <w:r>
        <w:rPr>
          <w:rStyle w:val="cursor-pointer"/>
          <w:rFonts w:ascii="Geist Fallback" w:hAnsi="Geist Fallback"/>
          <w:sz w:val="23"/>
          <w:szCs w:val="23"/>
        </w:rPr>
        <w:t>But if the uncertainty is repeated or there is a sense of "surveillance" that can alter that calculation.</w:t>
      </w:r>
      <w:r>
        <w:rPr>
          <w:rFonts w:ascii="Geist Fallback" w:hAnsi="Geist Fallback"/>
          <w:sz w:val="23"/>
          <w:szCs w:val="23"/>
        </w:rPr>
        <w:t xml:space="preserve"> </w:t>
      </w:r>
      <w:r>
        <w:rPr>
          <w:rStyle w:val="cursor-pointer"/>
          <w:rFonts w:ascii="Geist Fallback" w:hAnsi="Geist Fallback"/>
          <w:sz w:val="23"/>
          <w:szCs w:val="23"/>
        </w:rPr>
        <w:t xml:space="preserve">A recent 2026 study revealed that a 200% rise in user retention might be achievable by implementing FinTech </w:t>
      </w:r>
      <w:proofErr w:type="spellStart"/>
      <w:r>
        <w:rPr>
          <w:rStyle w:val="cursor-pointer"/>
          <w:rFonts w:ascii="Geist Fallback" w:hAnsi="Geist Fallback"/>
          <w:sz w:val="23"/>
          <w:szCs w:val="23"/>
        </w:rPr>
        <w:t>personalisation</w:t>
      </w:r>
      <w:proofErr w:type="spellEnd"/>
      <w:r>
        <w:rPr>
          <w:rStyle w:val="cursor-pointer"/>
          <w:rFonts w:ascii="Geist Fallback" w:hAnsi="Geist Fallback"/>
          <w:sz w:val="23"/>
          <w:szCs w:val="23"/>
        </w:rPr>
        <w:t xml:space="preserve"> and enhancing the digital trust of the users, but at the same time, they may feel more monitored and reduce their intention to stay (Alsaggaf, 2026).</w:t>
      </w:r>
    </w:p>
    <w:p w14:paraId="0C12C653" w14:textId="77777777" w:rsidR="003E3E8D" w:rsidRDefault="003E3E8D" w:rsidP="00E867A3">
      <w:pPr>
        <w:rPr>
          <w:rStyle w:val="cursor-pointer"/>
          <w:rFonts w:ascii="Geist Fallback" w:hAnsi="Geist Fallback" w:hint="eastAsia"/>
          <w:sz w:val="23"/>
          <w:szCs w:val="23"/>
        </w:rPr>
      </w:pPr>
      <w:r>
        <w:rPr>
          <w:rStyle w:val="cursor-pointer"/>
          <w:rFonts w:ascii="Geist Fallback" w:hAnsi="Geist Fallback"/>
          <w:sz w:val="23"/>
          <w:szCs w:val="23"/>
        </w:rPr>
        <w:t>Trust is the link that connects the perception of privacy with loyalty.</w:t>
      </w:r>
      <w:r>
        <w:rPr>
          <w:rFonts w:ascii="Geist Fallback" w:hAnsi="Geist Fallback"/>
          <w:sz w:val="23"/>
          <w:szCs w:val="23"/>
        </w:rPr>
        <w:t xml:space="preserve"> </w:t>
      </w:r>
      <w:r>
        <w:rPr>
          <w:rStyle w:val="cursor-pointer"/>
          <w:rFonts w:ascii="Geist Fallback" w:hAnsi="Geist Fallback"/>
          <w:sz w:val="23"/>
          <w:szCs w:val="23"/>
        </w:rPr>
        <w:t xml:space="preserve">The commitment–trust theory suggests that the exchange relationships can be sustained by the creation of trust which minimizes the </w:t>
      </w:r>
      <w:r>
        <w:rPr>
          <w:rStyle w:val="cursor-pointer"/>
          <w:rFonts w:ascii="Geist Fallback" w:hAnsi="Geist Fallback"/>
          <w:sz w:val="23"/>
          <w:szCs w:val="23"/>
        </w:rPr>
        <w:lastRenderedPageBreak/>
        <w:t>risk perception and promotes cooperation (Aydın, 2026).</w:t>
      </w:r>
      <w:r>
        <w:rPr>
          <w:rFonts w:ascii="Geist Fallback" w:hAnsi="Geist Fallback"/>
          <w:sz w:val="23"/>
          <w:szCs w:val="23"/>
        </w:rPr>
        <w:t xml:space="preserve"> </w:t>
      </w:r>
      <w:r>
        <w:rPr>
          <w:rStyle w:val="cursor-pointer"/>
          <w:rFonts w:ascii="Geist Fallback" w:hAnsi="Geist Fallback"/>
          <w:sz w:val="23"/>
          <w:szCs w:val="23"/>
        </w:rPr>
        <w:t>Online finance customers aren't able to see many of the processes impacting their data, so they must go on institutional signals like reputation, regulation, clear communication and reliable performance.</w:t>
      </w:r>
      <w:r>
        <w:rPr>
          <w:rFonts w:ascii="Geist Fallback" w:hAnsi="Geist Fallback"/>
          <w:sz w:val="23"/>
          <w:szCs w:val="23"/>
        </w:rPr>
        <w:t xml:space="preserve"> </w:t>
      </w:r>
      <w:r>
        <w:rPr>
          <w:rStyle w:val="cursor-pointer"/>
          <w:rFonts w:ascii="Geist Fallback" w:hAnsi="Geist Fallback"/>
          <w:sz w:val="23"/>
          <w:szCs w:val="23"/>
        </w:rPr>
        <w:t>Moreover, it is found governance and risk perceptions are important factors in the trust and continuance intention in FinTech stated by Balaskas (2026).</w:t>
      </w:r>
    </w:p>
    <w:p w14:paraId="474F0856" w14:textId="77777777" w:rsidR="003E3E8D" w:rsidRPr="003E3E8D" w:rsidRDefault="003E3E8D" w:rsidP="00E867A3">
      <w:pPr>
        <w:rPr>
          <w:rStyle w:val="cursor-pointer"/>
          <w:sz w:val="28"/>
          <w:szCs w:val="28"/>
        </w:rPr>
      </w:pPr>
      <w:r>
        <w:rPr>
          <w:rStyle w:val="cursor-pointer"/>
          <w:rFonts w:ascii="Geist Fallback" w:hAnsi="Geist Fallback"/>
          <w:sz w:val="23"/>
          <w:szCs w:val="23"/>
        </w:rPr>
        <w:t>Loyalty is seen as a more than just a repeat action.</w:t>
      </w:r>
      <w:r>
        <w:t xml:space="preserve"> </w:t>
      </w:r>
      <w:r>
        <w:rPr>
          <w:rStyle w:val="cursor-pointer"/>
          <w:rFonts w:ascii="Geist Fallback" w:hAnsi="Geist Fallback"/>
          <w:sz w:val="23"/>
          <w:szCs w:val="23"/>
        </w:rPr>
        <w:t>Lee and Kim (2024) defines loyalty as a continuum of cognitive preference to affective attachment, intention and action.</w:t>
      </w:r>
      <w:r>
        <w:t xml:space="preserve"> </w:t>
      </w:r>
      <w:r>
        <w:rPr>
          <w:rStyle w:val="cursor-pointer"/>
          <w:rFonts w:ascii="Geist Fallback" w:hAnsi="Geist Fallback"/>
          <w:sz w:val="23"/>
          <w:szCs w:val="23"/>
        </w:rPr>
        <w:t>A digital environment also allows for continued usage, which may in part be due to convenience or switching costs, and not necessarily a true reflection of commitment.</w:t>
      </w:r>
      <w:r>
        <w:t xml:space="preserve"> </w:t>
      </w:r>
      <w:r>
        <w:rPr>
          <w:rStyle w:val="cursor-pointer"/>
          <w:rFonts w:ascii="Geist Fallback" w:hAnsi="Geist Fallback"/>
          <w:sz w:val="23"/>
          <w:szCs w:val="23"/>
        </w:rPr>
        <w:t>This research will thus look at various dimensions such as the intention to continue, willingness to recommend, preference over alternatives and resistance to switching.</w:t>
      </w:r>
      <w:r>
        <w:t xml:space="preserve"> </w:t>
      </w:r>
      <w:r>
        <w:rPr>
          <w:rStyle w:val="cursor-pointer"/>
          <w:rFonts w:ascii="Geist Fallback" w:hAnsi="Geist Fallback"/>
          <w:sz w:val="23"/>
          <w:szCs w:val="23"/>
        </w:rPr>
        <w:t>Kini, et al. (2024), have found that loyalty to FinTech does not just stem from the functional aspect of their service, but also from the quality of the relationship, engagement and self-brand connection.</w:t>
      </w:r>
      <w:r>
        <w:t xml:space="preserve"> </w:t>
      </w:r>
      <w:r>
        <w:rPr>
          <w:rStyle w:val="cursor-pointer"/>
          <w:rFonts w:ascii="Geist Fallback" w:hAnsi="Geist Fallback"/>
          <w:sz w:val="23"/>
          <w:szCs w:val="23"/>
        </w:rPr>
        <w:t>Likewise, the determinants of banking loyalty (recurring) are trust, satisfaction, service quality, image and perceived value.</w:t>
      </w:r>
      <w:r>
        <w:t xml:space="preserve"> </w:t>
      </w:r>
      <w:r>
        <w:rPr>
          <w:rStyle w:val="cursor-pointer"/>
          <w:rFonts w:ascii="Geist Fallback" w:hAnsi="Geist Fallback"/>
          <w:sz w:val="23"/>
          <w:szCs w:val="23"/>
        </w:rPr>
        <w:t>Mediation theory is thus theoretically sound.</w:t>
      </w:r>
      <w:r>
        <w:t xml:space="preserve"> </w:t>
      </w:r>
      <w:r>
        <w:rPr>
          <w:rStyle w:val="cursor-pointer"/>
          <w:rFonts w:ascii="Geist Fallback" w:hAnsi="Geist Fallback"/>
          <w:sz w:val="23"/>
          <w:szCs w:val="23"/>
        </w:rPr>
        <w:t>However, privacy issues are likely to diminish trust as these issues make people feel more vulnerable and uncertain (Bansal, and Warkentin, 2021).</w:t>
      </w:r>
      <w:r>
        <w:t xml:space="preserve"> </w:t>
      </w:r>
    </w:p>
    <w:p w14:paraId="3DFFAF32" w14:textId="77777777" w:rsidR="00091A04" w:rsidRDefault="00D74C1E" w:rsidP="00E867A3">
      <w:pPr>
        <w:pStyle w:val="Heading2"/>
      </w:pPr>
      <w:bookmarkStart w:id="11" w:name="_Toc234866844"/>
      <w:r>
        <w:t>Data Privacy Concerns and Customer Trust</w:t>
      </w:r>
      <w:bookmarkEnd w:id="11"/>
    </w:p>
    <w:p w14:paraId="14F0F6D8" w14:textId="77777777" w:rsidR="003E3E8D" w:rsidRDefault="003E3E8D" w:rsidP="00E867A3">
      <w:pPr>
        <w:rPr>
          <w:rStyle w:val="cursor-pointer"/>
          <w:rFonts w:ascii="Geist Fallback" w:hAnsi="Geist Fallback" w:hint="eastAsia"/>
          <w:sz w:val="23"/>
          <w:szCs w:val="23"/>
        </w:rPr>
      </w:pPr>
      <w:r>
        <w:rPr>
          <w:rStyle w:val="cursor-pointer"/>
          <w:rFonts w:ascii="Geist Fallback" w:hAnsi="Geist Fallback"/>
          <w:sz w:val="23"/>
          <w:szCs w:val="23"/>
        </w:rPr>
        <w:t>It is generally accepted that privacy, security, and trust are related on the basis of empirical evidence; however, this connection differs depending on context and measures.</w:t>
      </w:r>
      <w:r>
        <w:rPr>
          <w:rFonts w:ascii="Geist Fallback" w:hAnsi="Geist Fallback"/>
          <w:sz w:val="23"/>
          <w:szCs w:val="23"/>
        </w:rPr>
        <w:t xml:space="preserve"> </w:t>
      </w:r>
      <w:proofErr w:type="spellStart"/>
      <w:r>
        <w:rPr>
          <w:rStyle w:val="cursor-pointer"/>
          <w:rFonts w:ascii="Geist Fallback" w:hAnsi="Geist Fallback"/>
          <w:sz w:val="23"/>
          <w:szCs w:val="23"/>
        </w:rPr>
        <w:t>Aldboush</w:t>
      </w:r>
      <w:proofErr w:type="spellEnd"/>
      <w:r>
        <w:rPr>
          <w:rStyle w:val="cursor-pointer"/>
          <w:rFonts w:ascii="Geist Fallback" w:hAnsi="Geist Fallback"/>
          <w:sz w:val="23"/>
          <w:szCs w:val="23"/>
        </w:rPr>
        <w:t xml:space="preserve"> and Ferdous (2023) find that the issues of responsible data collection, transparency, encryption, customer control and regulatory compliance are significant for digital trust in FinTech.</w:t>
      </w:r>
      <w:r>
        <w:rPr>
          <w:rFonts w:ascii="Geist Fallback" w:hAnsi="Geist Fallback"/>
          <w:sz w:val="23"/>
          <w:szCs w:val="23"/>
        </w:rPr>
        <w:t xml:space="preserve"> </w:t>
      </w:r>
      <w:r>
        <w:rPr>
          <w:rStyle w:val="cursor-pointer"/>
          <w:rFonts w:ascii="Geist Fallback" w:hAnsi="Geist Fallback"/>
          <w:sz w:val="23"/>
          <w:szCs w:val="23"/>
        </w:rPr>
        <w:t xml:space="preserve">As for digital banking chatbots, </w:t>
      </w:r>
      <w:proofErr w:type="spellStart"/>
      <w:r>
        <w:rPr>
          <w:rStyle w:val="cursor-pointer"/>
          <w:rFonts w:ascii="Geist Fallback" w:hAnsi="Geist Fallback"/>
          <w:sz w:val="23"/>
          <w:szCs w:val="23"/>
        </w:rPr>
        <w:t>Lappeman</w:t>
      </w:r>
      <w:proofErr w:type="spellEnd"/>
      <w:r>
        <w:rPr>
          <w:rStyle w:val="cursor-pointer"/>
          <w:rFonts w:ascii="Geist Fallback" w:hAnsi="Geist Fallback"/>
          <w:sz w:val="23"/>
          <w:szCs w:val="23"/>
        </w:rPr>
        <w:t xml:space="preserve"> et al. (2023) noted that privacy issues decreased personal information sharing.</w:t>
      </w:r>
      <w:r>
        <w:rPr>
          <w:rFonts w:ascii="Geist Fallback" w:hAnsi="Geist Fallback"/>
          <w:sz w:val="23"/>
          <w:szCs w:val="23"/>
        </w:rPr>
        <w:t xml:space="preserve"> </w:t>
      </w:r>
      <w:proofErr w:type="spellStart"/>
      <w:r>
        <w:rPr>
          <w:rStyle w:val="cursor-pointer"/>
          <w:rFonts w:ascii="Geist Fallback" w:hAnsi="Geist Fallback"/>
          <w:sz w:val="23"/>
          <w:szCs w:val="23"/>
        </w:rPr>
        <w:t>Hijaya</w:t>
      </w:r>
      <w:proofErr w:type="spellEnd"/>
      <w:r>
        <w:rPr>
          <w:rStyle w:val="cursor-pointer"/>
          <w:rFonts w:ascii="Geist Fallback" w:hAnsi="Geist Fallback"/>
          <w:sz w:val="23"/>
          <w:szCs w:val="23"/>
        </w:rPr>
        <w:t>, et al. (2025). found that perceived privacy had a positive impact in the context of digital entrepreneurship.</w:t>
      </w:r>
      <w:r>
        <w:rPr>
          <w:rFonts w:ascii="Geist Fallback" w:hAnsi="Geist Fallback"/>
          <w:sz w:val="23"/>
          <w:szCs w:val="23"/>
        </w:rPr>
        <w:t xml:space="preserve"> </w:t>
      </w:r>
      <w:r>
        <w:rPr>
          <w:rStyle w:val="cursor-pointer"/>
          <w:rFonts w:ascii="Geist Fallback" w:hAnsi="Geist Fallback"/>
          <w:sz w:val="23"/>
          <w:szCs w:val="23"/>
        </w:rPr>
        <w:t>The results indicated that privacy is not just a defensive issue – it is also a positive indicator of organizational integrity.</w:t>
      </w:r>
    </w:p>
    <w:p w14:paraId="7B3A8299" w14:textId="77777777" w:rsidR="003E3E8D" w:rsidRPr="003E3E8D" w:rsidRDefault="003E3E8D" w:rsidP="00E867A3">
      <w:pPr>
        <w:rPr>
          <w:rStyle w:val="cursor-pointer"/>
          <w:sz w:val="28"/>
          <w:szCs w:val="28"/>
        </w:rPr>
      </w:pPr>
      <w:r>
        <w:rPr>
          <w:rStyle w:val="cursor-pointer"/>
          <w:rFonts w:ascii="Geist Fallback" w:hAnsi="Geist Fallback"/>
          <w:sz w:val="23"/>
          <w:szCs w:val="23"/>
        </w:rPr>
        <w:t>Nev</w:t>
      </w:r>
      <w:r>
        <w:rPr>
          <w:rStyle w:val="cursor-pointer"/>
          <w:rFonts w:ascii="Geist Fallback" w:hAnsi="Geist Fallback" w:hint="eastAsia"/>
          <w:sz w:val="23"/>
          <w:szCs w:val="23"/>
        </w:rPr>
        <w:t>ertheless</w:t>
      </w:r>
      <w:r>
        <w:rPr>
          <w:rStyle w:val="cursor-pointer"/>
          <w:rFonts w:ascii="Geist Fallback" w:hAnsi="Geist Fallback"/>
          <w:sz w:val="23"/>
          <w:szCs w:val="23"/>
        </w:rPr>
        <w:t>, there is also evidence that privacy and security can also be understood in different ways.</w:t>
      </w:r>
      <w:r>
        <w:t xml:space="preserve"> </w:t>
      </w:r>
      <w:r>
        <w:rPr>
          <w:rStyle w:val="cursor-pointer"/>
          <w:rFonts w:ascii="Geist Fallback" w:hAnsi="Geist Fallback"/>
          <w:sz w:val="23"/>
          <w:szCs w:val="23"/>
        </w:rPr>
        <w:t>In their study, Roh, et al. (2024) discovered that trust had a strong impact on FinTech adoption, whereas data security did not necessarily have a direct impact on it in their model.</w:t>
      </w:r>
      <w:r>
        <w:t xml:space="preserve"> </w:t>
      </w:r>
      <w:r>
        <w:rPr>
          <w:rStyle w:val="cursor-pointer"/>
          <w:rFonts w:ascii="Geist Fallback" w:hAnsi="Geist Fallback"/>
          <w:sz w:val="23"/>
          <w:szCs w:val="23"/>
        </w:rPr>
        <w:t>This could be because of high expectations of what customers already expect from security: they may not consider security as a differentiating service.</w:t>
      </w:r>
      <w:r>
        <w:t xml:space="preserve"> </w:t>
      </w:r>
      <w:r>
        <w:rPr>
          <w:rStyle w:val="cursor-pointer"/>
          <w:rFonts w:ascii="Geist Fallback" w:hAnsi="Geist Fallback"/>
          <w:sz w:val="23"/>
          <w:szCs w:val="23"/>
        </w:rPr>
        <w:t>It could also be due to measurement issues, including a lack of specific items for concerns of secondary use or profiling/lack of control.</w:t>
      </w:r>
      <w:r>
        <w:t xml:space="preserve"> </w:t>
      </w:r>
      <w:r>
        <w:rPr>
          <w:rStyle w:val="cursor-pointer"/>
          <w:rFonts w:ascii="Geist Fallback" w:hAnsi="Geist Fallback"/>
          <w:sz w:val="23"/>
          <w:szCs w:val="23"/>
        </w:rPr>
        <w:t xml:space="preserve">This will be done through the proposed </w:t>
      </w:r>
      <w:r>
        <w:rPr>
          <w:rStyle w:val="cursor-pointer"/>
          <w:rFonts w:ascii="Geist Fallback" w:hAnsi="Geist Fallback"/>
          <w:sz w:val="23"/>
          <w:szCs w:val="23"/>
        </w:rPr>
        <w:lastRenderedPageBreak/>
        <w:t>survey, which will be based on existing dimensions of privacy, instead of relying on a general security question.</w:t>
      </w:r>
      <w:r>
        <w:t xml:space="preserve"> </w:t>
      </w:r>
      <w:r>
        <w:rPr>
          <w:rStyle w:val="cursor-pointer"/>
          <w:rFonts w:ascii="Geist Fallback" w:hAnsi="Geist Fallback"/>
          <w:sz w:val="23"/>
          <w:szCs w:val="23"/>
        </w:rPr>
        <w:t>Customer traits and experience can also be a factor in determining trust.</w:t>
      </w:r>
      <w:r>
        <w:t xml:space="preserve"> </w:t>
      </w:r>
      <w:r>
        <w:rPr>
          <w:rStyle w:val="cursor-pointer"/>
          <w:rFonts w:ascii="Geist Fallback" w:hAnsi="Geist Fallback"/>
          <w:sz w:val="23"/>
          <w:szCs w:val="23"/>
        </w:rPr>
        <w:t>Knowing about permissions, regulatory protections, and security features can help to alleviate unnecessary worries, while increased understanding can heighten awareness of data sharing complexities (Croft, 2024).</w:t>
      </w:r>
      <w:r>
        <w:t xml:space="preserve"> </w:t>
      </w:r>
    </w:p>
    <w:p w14:paraId="0EB12863" w14:textId="77777777" w:rsidR="00091A04" w:rsidRDefault="00D74C1E" w:rsidP="00E867A3">
      <w:pPr>
        <w:pStyle w:val="Heading2"/>
      </w:pPr>
      <w:bookmarkStart w:id="12" w:name="_Toc234866845"/>
      <w:r>
        <w:t>Customer Trust and Loyalty</w:t>
      </w:r>
      <w:bookmarkEnd w:id="12"/>
    </w:p>
    <w:p w14:paraId="3D671ABB" w14:textId="77777777" w:rsidR="003E3E8D" w:rsidRDefault="003E3E8D" w:rsidP="00E867A3">
      <w:pPr>
        <w:rPr>
          <w:rStyle w:val="cursor-pointer"/>
          <w:rFonts w:ascii="Geist Fallback" w:hAnsi="Geist Fallback" w:hint="eastAsia"/>
          <w:sz w:val="23"/>
          <w:szCs w:val="23"/>
        </w:rPr>
      </w:pPr>
      <w:r>
        <w:rPr>
          <w:rStyle w:val="cursor-pointer"/>
          <w:rFonts w:ascii="Geist Fallback" w:hAnsi="Geist Fallback"/>
          <w:sz w:val="23"/>
          <w:szCs w:val="23"/>
        </w:rPr>
        <w:t>Trust is consistently identified as a basis for loyalty and continuance, across the various types of research conducted on digital banking.</w:t>
      </w:r>
      <w:r>
        <w:rPr>
          <w:rFonts w:ascii="Geist Fallback" w:hAnsi="Geist Fallback"/>
          <w:sz w:val="23"/>
          <w:szCs w:val="23"/>
        </w:rPr>
        <w:t xml:space="preserve"> </w:t>
      </w:r>
      <w:r>
        <w:rPr>
          <w:rStyle w:val="cursor-pointer"/>
          <w:rFonts w:ascii="Geist Fallback" w:hAnsi="Geist Fallback"/>
          <w:sz w:val="23"/>
          <w:szCs w:val="23"/>
        </w:rPr>
        <w:t>Proposition 4 was supported by Kamara and Bangura (2026), who discovered that both trust and satisfaction were mediating variables between electronic-banking service quality and loyalty.</w:t>
      </w:r>
      <w:r>
        <w:rPr>
          <w:rFonts w:ascii="Geist Fallback" w:hAnsi="Geist Fallback"/>
          <w:sz w:val="23"/>
          <w:szCs w:val="23"/>
        </w:rPr>
        <w:t xml:space="preserve"> </w:t>
      </w:r>
      <w:r>
        <w:rPr>
          <w:rStyle w:val="cursor-pointer"/>
          <w:rFonts w:ascii="Geist Fallback" w:hAnsi="Geist Fallback"/>
          <w:sz w:val="23"/>
          <w:szCs w:val="23"/>
        </w:rPr>
        <w:t>Moreover, the ability to place trust in the chatbot has been highlighted as the best factor predicting customer loyalty in a two-wave study of people who were using digital-banking chatbots.</w:t>
      </w:r>
      <w:r>
        <w:rPr>
          <w:rFonts w:ascii="Geist Fallback" w:hAnsi="Geist Fallback"/>
          <w:sz w:val="23"/>
          <w:szCs w:val="23"/>
        </w:rPr>
        <w:t xml:space="preserve"> </w:t>
      </w:r>
      <w:r>
        <w:rPr>
          <w:rStyle w:val="cursor-pointer"/>
          <w:rFonts w:ascii="Geist Fallback" w:hAnsi="Geist Fallback"/>
          <w:sz w:val="23"/>
          <w:szCs w:val="23"/>
        </w:rPr>
        <w:t>These studies were performed in environments outside of the UK, but they prove that faith in a financial system is as important as their performance, and so is loyalty in the digital finance world.</w:t>
      </w:r>
      <w:r>
        <w:rPr>
          <w:rFonts w:ascii="Geist Fallback" w:hAnsi="Geist Fallback"/>
          <w:sz w:val="23"/>
          <w:szCs w:val="23"/>
        </w:rPr>
        <w:t xml:space="preserve"> </w:t>
      </w:r>
      <w:r>
        <w:rPr>
          <w:rStyle w:val="cursor-pointer"/>
          <w:rFonts w:ascii="Geist Fallback" w:hAnsi="Geist Fallback"/>
          <w:sz w:val="23"/>
          <w:szCs w:val="23"/>
        </w:rPr>
        <w:t>Similar results for FinTech-specific outcomes.</w:t>
      </w:r>
      <w:r>
        <w:rPr>
          <w:rFonts w:ascii="Geist Fallback" w:hAnsi="Geist Fallback"/>
          <w:sz w:val="23"/>
          <w:szCs w:val="23"/>
        </w:rPr>
        <w:t xml:space="preserve"> </w:t>
      </w:r>
      <w:r>
        <w:rPr>
          <w:rStyle w:val="cursor-pointer"/>
          <w:rFonts w:ascii="Geist Fallback" w:hAnsi="Geist Fallback"/>
          <w:sz w:val="23"/>
          <w:szCs w:val="23"/>
        </w:rPr>
        <w:t>Trust and satisfaction were seen to be the most consistently studied behavioural factors by Abbas (2025), whereas Jafri et al. (2024) found that trust and security were the factors that were consistently studied.</w:t>
      </w:r>
      <w:r>
        <w:rPr>
          <w:rFonts w:ascii="Geist Fallback" w:hAnsi="Geist Fallback"/>
          <w:sz w:val="23"/>
          <w:szCs w:val="23"/>
        </w:rPr>
        <w:t xml:space="preserve"> </w:t>
      </w:r>
      <w:r>
        <w:rPr>
          <w:rStyle w:val="cursor-pointer"/>
          <w:rFonts w:ascii="Geist Fallback" w:hAnsi="Geist Fallback"/>
          <w:sz w:val="23"/>
          <w:szCs w:val="23"/>
        </w:rPr>
        <w:t>Ahmed, et al. (2025) identify digital trust as a key enabler of ongoing adoption while analyzing the viewpoints of active digital-wallet users in the UK and Saudi Arabia.</w:t>
      </w:r>
      <w:r>
        <w:rPr>
          <w:rFonts w:ascii="Geist Fallback" w:hAnsi="Geist Fallback"/>
          <w:sz w:val="23"/>
          <w:szCs w:val="23"/>
        </w:rPr>
        <w:t xml:space="preserve"> </w:t>
      </w:r>
      <w:r>
        <w:rPr>
          <w:rStyle w:val="cursor-pointer"/>
          <w:rFonts w:ascii="Geist Fallback" w:hAnsi="Geist Fallback"/>
          <w:sz w:val="23"/>
          <w:szCs w:val="23"/>
        </w:rPr>
        <w:t>These studies provide reasons to consider privacy concern and loyalty as a mediator and not their relationship as a direct one.</w:t>
      </w:r>
    </w:p>
    <w:p w14:paraId="37795DB0" w14:textId="77777777" w:rsidR="003E3E8D" w:rsidRPr="003E3E8D" w:rsidRDefault="003E3E8D" w:rsidP="00E867A3">
      <w:pPr>
        <w:rPr>
          <w:rStyle w:val="cursor-pointer"/>
          <w:sz w:val="28"/>
          <w:szCs w:val="28"/>
        </w:rPr>
      </w:pPr>
      <w:r>
        <w:rPr>
          <w:rStyle w:val="cursor-pointer"/>
          <w:rFonts w:ascii="Geist Fallback" w:hAnsi="Geist Fallback"/>
          <w:sz w:val="23"/>
          <w:szCs w:val="23"/>
        </w:rPr>
        <w:t>However, there are limitations with the literature.</w:t>
      </w:r>
      <w:r>
        <w:t xml:space="preserve"> </w:t>
      </w:r>
      <w:r>
        <w:rPr>
          <w:rStyle w:val="cursor-pointer"/>
          <w:rFonts w:ascii="Geist Fallback" w:hAnsi="Geist Fallback"/>
          <w:sz w:val="23"/>
          <w:szCs w:val="23"/>
        </w:rPr>
        <w:t>A large number of studies have been based on cross-sectional convenience samples, focused on adoption intention and investigated emerging markets.</w:t>
      </w:r>
      <w:r>
        <w:t xml:space="preserve"> </w:t>
      </w:r>
      <w:r>
        <w:rPr>
          <w:rStyle w:val="cursor-pointer"/>
          <w:rFonts w:ascii="Geist Fallback" w:hAnsi="Geist Fallback"/>
          <w:sz w:val="23"/>
          <w:szCs w:val="23"/>
        </w:rPr>
        <w:t>However, privacy is not always defined by actual security or risk but by perceived security or risk (</w:t>
      </w:r>
      <w:proofErr w:type="spellStart"/>
      <w:r>
        <w:rPr>
          <w:rStyle w:val="cursor-pointer"/>
          <w:rFonts w:ascii="Geist Fallback" w:hAnsi="Geist Fallback"/>
          <w:sz w:val="23"/>
          <w:szCs w:val="23"/>
        </w:rPr>
        <w:t>Karwatzki</w:t>
      </w:r>
      <w:proofErr w:type="spellEnd"/>
      <w:r>
        <w:rPr>
          <w:rStyle w:val="cursor-pointer"/>
          <w:rFonts w:ascii="Geist Fallback" w:hAnsi="Geist Fallback"/>
          <w:sz w:val="23"/>
          <w:szCs w:val="23"/>
        </w:rPr>
        <w:t>, et al. 2022).</w:t>
      </w:r>
      <w:r>
        <w:t xml:space="preserve"> </w:t>
      </w:r>
    </w:p>
    <w:p w14:paraId="460BF60A" w14:textId="77777777" w:rsidR="00091A04" w:rsidRDefault="00D74C1E" w:rsidP="00E867A3">
      <w:pPr>
        <w:pStyle w:val="Heading2"/>
      </w:pPr>
      <w:bookmarkStart w:id="13" w:name="_Toc234866846"/>
      <w:r>
        <w:t>UK Regulatory and Policy Environment</w:t>
      </w:r>
      <w:bookmarkEnd w:id="13"/>
    </w:p>
    <w:p w14:paraId="53EAB3F3" w14:textId="77777777" w:rsidR="003E3E8D" w:rsidRDefault="003E3E8D" w:rsidP="00E867A3">
      <w:pPr>
        <w:rPr>
          <w:rStyle w:val="cursor-pointer"/>
          <w:rFonts w:ascii="Geist Fallback" w:hAnsi="Geist Fallback" w:hint="eastAsia"/>
          <w:sz w:val="23"/>
          <w:szCs w:val="23"/>
        </w:rPr>
      </w:pPr>
      <w:r>
        <w:rPr>
          <w:rStyle w:val="cursor-pointer"/>
          <w:rFonts w:ascii="Geist Fallback" w:hAnsi="Geist Fallback"/>
          <w:sz w:val="23"/>
          <w:szCs w:val="23"/>
        </w:rPr>
        <w:t>The legal landscape influences both the practice of company and customer expectations.</w:t>
      </w:r>
      <w:r>
        <w:rPr>
          <w:rFonts w:ascii="Geist Fallback" w:hAnsi="Geist Fallback"/>
          <w:sz w:val="23"/>
          <w:szCs w:val="23"/>
        </w:rPr>
        <w:t xml:space="preserve"> </w:t>
      </w:r>
      <w:r>
        <w:rPr>
          <w:rStyle w:val="cursor-pointer"/>
          <w:rFonts w:ascii="Geist Fallback" w:hAnsi="Geist Fallback"/>
          <w:sz w:val="23"/>
          <w:szCs w:val="23"/>
        </w:rPr>
        <w:t>The UK GDPR and Data Protection Act 2018 also provide for the correct processing of personal data to be done lawfully, fairly and transparently; for the correct collection of data for specified purposes; for the limitation of data to what is necessary; for the accuracy of data; for the retention of data for no longer than is necessary; and for the correct protection of data.</w:t>
      </w:r>
      <w:r>
        <w:rPr>
          <w:rFonts w:ascii="Geist Fallback" w:hAnsi="Geist Fallback"/>
          <w:sz w:val="23"/>
          <w:szCs w:val="23"/>
        </w:rPr>
        <w:t xml:space="preserve"> </w:t>
      </w:r>
      <w:r>
        <w:rPr>
          <w:rStyle w:val="cursor-pointer"/>
          <w:rFonts w:ascii="Geist Fallback" w:hAnsi="Geist Fallback"/>
          <w:sz w:val="23"/>
          <w:szCs w:val="23"/>
        </w:rPr>
        <w:t>Personal rights also relate to access, correction, deletion, restriction and objection, as well as some automated decisions.</w:t>
      </w:r>
      <w:r>
        <w:rPr>
          <w:rFonts w:ascii="Geist Fallback" w:hAnsi="Geist Fallback"/>
          <w:sz w:val="23"/>
          <w:szCs w:val="23"/>
        </w:rPr>
        <w:t xml:space="preserve"> </w:t>
      </w:r>
      <w:r>
        <w:rPr>
          <w:rStyle w:val="cursor-pointer"/>
          <w:rFonts w:ascii="Geist Fallback" w:hAnsi="Geist Fallback"/>
          <w:sz w:val="23"/>
          <w:szCs w:val="23"/>
        </w:rPr>
        <w:t xml:space="preserve">Compliance regulations are not just overwhelming for FinTech companies, but they are also compounded by the need to prevent </w:t>
      </w:r>
      <w:r>
        <w:rPr>
          <w:rStyle w:val="cursor-pointer"/>
          <w:rFonts w:ascii="Geist Fallback" w:hAnsi="Geist Fallback"/>
          <w:sz w:val="23"/>
          <w:szCs w:val="23"/>
        </w:rPr>
        <w:lastRenderedPageBreak/>
        <w:t>fraud, combat anti-money laundering (AML), and manage third-party processors, cloud platforms, and algorithmic decisions (Chukwu, 2025).</w:t>
      </w:r>
      <w:r>
        <w:rPr>
          <w:rFonts w:ascii="Geist Fallback" w:hAnsi="Geist Fallback"/>
          <w:sz w:val="23"/>
          <w:szCs w:val="23"/>
        </w:rPr>
        <w:t xml:space="preserve"> </w:t>
      </w:r>
      <w:r>
        <w:rPr>
          <w:rStyle w:val="cursor-pointer"/>
          <w:rFonts w:ascii="Geist Fallback" w:hAnsi="Geist Fallback"/>
          <w:sz w:val="23"/>
          <w:szCs w:val="23"/>
        </w:rPr>
        <w:t>The Data (Use and Access) Act 2025 makes changes to the UK data protection regime and enables the delivery of smart-data schemes.</w:t>
      </w:r>
      <w:r>
        <w:rPr>
          <w:rFonts w:ascii="Geist Fallback" w:hAnsi="Geist Fallback"/>
          <w:sz w:val="23"/>
          <w:szCs w:val="23"/>
        </w:rPr>
        <w:t xml:space="preserve"> </w:t>
      </w:r>
      <w:r>
        <w:rPr>
          <w:rStyle w:val="cursor-pointer"/>
          <w:rFonts w:ascii="Geist Fallback" w:hAnsi="Geist Fallback"/>
          <w:sz w:val="23"/>
          <w:szCs w:val="23"/>
        </w:rPr>
        <w:t>The bill seeks to facilitate responsible use of the data and to safeguard individuals.</w:t>
      </w:r>
      <w:r>
        <w:rPr>
          <w:rFonts w:ascii="Geist Fallback" w:hAnsi="Geist Fallback"/>
          <w:sz w:val="23"/>
          <w:szCs w:val="23"/>
        </w:rPr>
        <w:t xml:space="preserve"> </w:t>
      </w:r>
      <w:r>
        <w:rPr>
          <w:rStyle w:val="cursor-pointer"/>
          <w:rFonts w:ascii="Geist Fallback" w:hAnsi="Geist Fallback"/>
          <w:sz w:val="23"/>
          <w:szCs w:val="23"/>
        </w:rPr>
        <w:t>The impact on FinTech is significant as it relies on the sharing of permissioned data in a wider scope of financial products.</w:t>
      </w:r>
      <w:r>
        <w:rPr>
          <w:rFonts w:ascii="Geist Fallback" w:hAnsi="Geist Fallback"/>
          <w:sz w:val="23"/>
          <w:szCs w:val="23"/>
        </w:rPr>
        <w:t xml:space="preserve"> </w:t>
      </w:r>
      <w:r>
        <w:rPr>
          <w:rStyle w:val="cursor-pointer"/>
          <w:rFonts w:ascii="Geist Fallback" w:hAnsi="Geist Fallback"/>
          <w:sz w:val="23"/>
          <w:szCs w:val="23"/>
        </w:rPr>
        <w:t>The FCA's vision for April 2026 is to facilitate more personalised financial services and to improve competition and innovation (FCA, 2026).</w:t>
      </w:r>
      <w:r>
        <w:rPr>
          <w:rFonts w:ascii="Geist Fallback" w:hAnsi="Geist Fallback"/>
          <w:sz w:val="23"/>
          <w:szCs w:val="23"/>
        </w:rPr>
        <w:t xml:space="preserve"> </w:t>
      </w:r>
      <w:r>
        <w:rPr>
          <w:rStyle w:val="cursor-pointer"/>
          <w:rFonts w:ascii="Geist Fallback" w:hAnsi="Geist Fallback"/>
          <w:sz w:val="23"/>
          <w:szCs w:val="23"/>
        </w:rPr>
        <w:t>For this extension to be sustainable it will be dependent on customers being aware of what they are agreeing to and on trust between customer and participating organisations.</w:t>
      </w:r>
    </w:p>
    <w:p w14:paraId="6E0654B4" w14:textId="77777777" w:rsidR="003E3E8D" w:rsidRPr="003E3E8D" w:rsidRDefault="003E3E8D" w:rsidP="00E867A3">
      <w:pPr>
        <w:rPr>
          <w:rStyle w:val="cursor-pointer"/>
          <w:sz w:val="28"/>
          <w:szCs w:val="28"/>
        </w:rPr>
      </w:pPr>
      <w:r>
        <w:rPr>
          <w:rStyle w:val="cursor-pointer"/>
          <w:rFonts w:ascii="Geist Fallback" w:hAnsi="Geist Fallback"/>
          <w:sz w:val="23"/>
          <w:szCs w:val="23"/>
        </w:rPr>
        <w:t>Loyalty can be created by nothing more than regulation.</w:t>
      </w:r>
      <w:r>
        <w:t xml:space="preserve"> </w:t>
      </w:r>
      <w:r>
        <w:rPr>
          <w:rStyle w:val="cursor-pointer"/>
          <w:rFonts w:ascii="Geist Fallback" w:hAnsi="Geist Fallback"/>
          <w:sz w:val="23"/>
          <w:szCs w:val="23"/>
        </w:rPr>
        <w:t>Legal privacy notices are often lengthy and confusing, and technically valid consent is not so meaningful.</w:t>
      </w:r>
      <w:r>
        <w:t xml:space="preserve"> </w:t>
      </w:r>
      <w:r>
        <w:rPr>
          <w:rStyle w:val="cursor-pointer"/>
          <w:rFonts w:ascii="Geist Fallback" w:hAnsi="Geist Fallback"/>
          <w:sz w:val="23"/>
          <w:szCs w:val="23"/>
        </w:rPr>
        <w:t>The FCA and ICO have thus stressed the importance of collaboration between the innovation and financial regulation and data protection (</w:t>
      </w:r>
      <w:proofErr w:type="spellStart"/>
      <w:r>
        <w:rPr>
          <w:rStyle w:val="cursor-pointer"/>
          <w:rFonts w:ascii="Geist Fallback" w:hAnsi="Geist Fallback"/>
          <w:sz w:val="23"/>
          <w:szCs w:val="23"/>
        </w:rPr>
        <w:t>Kasatkina</w:t>
      </w:r>
      <w:proofErr w:type="spellEnd"/>
      <w:r>
        <w:rPr>
          <w:rStyle w:val="cursor-pointer"/>
          <w:rFonts w:ascii="Geist Fallback" w:hAnsi="Geist Fallback"/>
          <w:sz w:val="23"/>
          <w:szCs w:val="23"/>
        </w:rPr>
        <w:t>, 2025).</w:t>
      </w:r>
      <w:r>
        <w:t xml:space="preserve"> </w:t>
      </w:r>
      <w:r>
        <w:rPr>
          <w:rStyle w:val="cursor-pointer"/>
          <w:rFonts w:ascii="Geist Fallback" w:hAnsi="Geist Fallback"/>
          <w:sz w:val="23"/>
          <w:szCs w:val="23"/>
        </w:rPr>
        <w:t>This research will examine customer expectations for more than just compliance, such as plain-language explanations, granular controls, visible security assurances, and quick notification of breaches and easy complaint resolution.</w:t>
      </w:r>
    </w:p>
    <w:p w14:paraId="03EC7F05" w14:textId="77777777" w:rsidR="00091A04" w:rsidRDefault="00D74C1E" w:rsidP="00E867A3">
      <w:pPr>
        <w:pStyle w:val="Heading2"/>
      </w:pPr>
      <w:bookmarkStart w:id="14" w:name="_Toc234866847"/>
      <w:r>
        <w:t>Research Gap and Proposed Contribution</w:t>
      </w:r>
      <w:bookmarkEnd w:id="14"/>
    </w:p>
    <w:p w14:paraId="22D19F96" w14:textId="77777777" w:rsidR="00FD1473" w:rsidRDefault="003E3E8D" w:rsidP="00E867A3">
      <w:pPr>
        <w:rPr>
          <w:rStyle w:val="cursor-pointer"/>
          <w:rFonts w:ascii="Geist Fallback" w:hAnsi="Geist Fallback" w:hint="eastAsia"/>
          <w:sz w:val="23"/>
          <w:szCs w:val="23"/>
        </w:rPr>
      </w:pPr>
      <w:r>
        <w:rPr>
          <w:rStyle w:val="cursor-pointer"/>
          <w:rFonts w:ascii="Geist Fallback" w:hAnsi="Geist Fallback"/>
          <w:sz w:val="23"/>
          <w:szCs w:val="23"/>
        </w:rPr>
        <w:t>Through the literature reviewed, it was found that there is a link between privacy and trust and loyalty but there is a definite gap in empirical research specifically in the United Kingdom.</w:t>
      </w:r>
      <w:r>
        <w:t xml:space="preserve"> </w:t>
      </w:r>
      <w:r>
        <w:rPr>
          <w:rStyle w:val="cursor-pointer"/>
          <w:rFonts w:ascii="Geist Fallback" w:hAnsi="Geist Fallback"/>
          <w:sz w:val="23"/>
          <w:szCs w:val="23"/>
        </w:rPr>
        <w:t>Firstly, FinTech research has focused on adoption not loyalty post-consumption.</w:t>
      </w:r>
      <w:r>
        <w:t xml:space="preserve"> </w:t>
      </w:r>
      <w:r>
        <w:rPr>
          <w:rStyle w:val="cursor-pointer"/>
          <w:rFonts w:ascii="Geist Fallback" w:hAnsi="Geist Fallback"/>
          <w:sz w:val="23"/>
          <w:szCs w:val="23"/>
        </w:rPr>
        <w:t>Second, many studies operationalize privacy using security or risk items without being sensitive to collection, control, awareness and secondary use.</w:t>
      </w:r>
      <w:r>
        <w:t xml:space="preserve"> </w:t>
      </w:r>
      <w:r>
        <w:rPr>
          <w:rStyle w:val="cursor-pointer"/>
          <w:rFonts w:ascii="Geist Fallback" w:hAnsi="Geist Fallback"/>
          <w:sz w:val="23"/>
          <w:szCs w:val="23"/>
        </w:rPr>
        <w:t>Third, the UK's established regulatory and open-banking landscape is likely to raise different expectations, with research geographically focused in Asia and Africa and other emerging markets.</w:t>
      </w:r>
      <w:r>
        <w:t xml:space="preserve"> </w:t>
      </w:r>
      <w:r>
        <w:rPr>
          <w:rStyle w:val="cursor-pointer"/>
          <w:rFonts w:ascii="Geist Fallback" w:hAnsi="Geist Fallback"/>
          <w:sz w:val="23"/>
          <w:szCs w:val="23"/>
        </w:rPr>
        <w:t>Fourth, quantitative studies can discover relationships without providing experiences and interpretations (Lim, 2025).</w:t>
      </w:r>
    </w:p>
    <w:p w14:paraId="5EE3FCE1" w14:textId="77777777" w:rsidR="003E3E8D" w:rsidRPr="00FD1473" w:rsidRDefault="00FD1473" w:rsidP="00FD1473">
      <w:pPr>
        <w:spacing w:line="259" w:lineRule="auto"/>
        <w:jc w:val="left"/>
        <w:rPr>
          <w:rStyle w:val="cursor-pointer"/>
          <w:rFonts w:ascii="Geist Fallback" w:hAnsi="Geist Fallback" w:hint="eastAsia"/>
          <w:sz w:val="23"/>
          <w:szCs w:val="23"/>
        </w:rPr>
      </w:pPr>
      <w:r>
        <w:rPr>
          <w:rStyle w:val="cursor-pointer"/>
          <w:rFonts w:ascii="Geist Fallback" w:hAnsi="Geist Fallback" w:hint="eastAsia"/>
          <w:sz w:val="23"/>
          <w:szCs w:val="23"/>
        </w:rPr>
        <w:br w:type="page"/>
      </w:r>
    </w:p>
    <w:p w14:paraId="6B693733" w14:textId="77777777" w:rsidR="00F76CAD" w:rsidRDefault="00E867A3" w:rsidP="00E867A3">
      <w:pPr>
        <w:pStyle w:val="Heading1"/>
      </w:pPr>
      <w:bookmarkStart w:id="15" w:name="_Toc234866848"/>
      <w:r>
        <w:lastRenderedPageBreak/>
        <w:t>Research Methodology</w:t>
      </w:r>
      <w:bookmarkEnd w:id="15"/>
    </w:p>
    <w:p w14:paraId="3E779C35" w14:textId="77777777" w:rsidR="00F76CAD" w:rsidRDefault="00F76CAD" w:rsidP="00E867A3">
      <w:pPr>
        <w:pStyle w:val="Heading2"/>
      </w:pPr>
      <w:bookmarkStart w:id="16" w:name="_Toc234866849"/>
      <w:r>
        <w:t>Research Philosophy and Design</w:t>
      </w:r>
      <w:bookmarkEnd w:id="16"/>
    </w:p>
    <w:p w14:paraId="0DB080B0" w14:textId="77777777" w:rsidR="003E3E8D" w:rsidRDefault="003E3E8D" w:rsidP="00E867A3">
      <w:pPr>
        <w:pStyle w:val="isselectedend"/>
        <w:spacing w:line="360" w:lineRule="auto"/>
        <w:rPr>
          <w:rStyle w:val="cursor-pointer"/>
          <w:rFonts w:ascii="Geist Fallback" w:hAnsi="Geist Fallback"/>
          <w:sz w:val="23"/>
          <w:szCs w:val="23"/>
        </w:rPr>
      </w:pPr>
      <w:r>
        <w:rPr>
          <w:rStyle w:val="cursor-pointer"/>
          <w:rFonts w:ascii="Geist Fallback" w:hAnsi="Geist Fallback"/>
          <w:sz w:val="23"/>
          <w:szCs w:val="23"/>
        </w:rPr>
        <w:t>The research philosophy employed in this study is positivist, since the study is based on measurements of customer perceptions and testing the relationships between variables that are clearly defined.</w:t>
      </w:r>
      <w:r>
        <w:rPr>
          <w:rFonts w:ascii="Geist Fallback" w:hAnsi="Geist Fallback"/>
          <w:sz w:val="23"/>
          <w:szCs w:val="23"/>
        </w:rPr>
        <w:t xml:space="preserve"> </w:t>
      </w:r>
      <w:r>
        <w:rPr>
          <w:rStyle w:val="cursor-pointer"/>
          <w:rFonts w:ascii="Geist Fallback" w:hAnsi="Geist Fallback"/>
          <w:sz w:val="23"/>
          <w:szCs w:val="23"/>
        </w:rPr>
        <w:t>Positivism is suitable for research that is conducted with a structured instrument that aims to obtain numerical data in the form of data or facts, and statistical methods are used to analyze the data and identify patterns, associations and possible predictive relationships (Ali, 2024).</w:t>
      </w:r>
      <w:r>
        <w:rPr>
          <w:rFonts w:ascii="Geist Fallback" w:hAnsi="Geist Fallback"/>
          <w:sz w:val="23"/>
          <w:szCs w:val="23"/>
        </w:rPr>
        <w:t xml:space="preserve"> </w:t>
      </w:r>
      <w:r>
        <w:rPr>
          <w:rStyle w:val="cursor-pointer"/>
          <w:rFonts w:ascii="Geist Fallback" w:hAnsi="Geist Fallback"/>
          <w:sz w:val="23"/>
          <w:szCs w:val="23"/>
        </w:rPr>
        <w:t>The deductive research approach will be used.</w:t>
      </w:r>
      <w:r>
        <w:rPr>
          <w:rFonts w:ascii="Geist Fallback" w:hAnsi="Geist Fallback"/>
          <w:sz w:val="23"/>
          <w:szCs w:val="23"/>
        </w:rPr>
        <w:t xml:space="preserve"> </w:t>
      </w:r>
      <w:r>
        <w:rPr>
          <w:rStyle w:val="cursor-pointer"/>
          <w:rFonts w:ascii="Geist Fallback" w:hAnsi="Geist Fallback"/>
          <w:sz w:val="23"/>
          <w:szCs w:val="23"/>
        </w:rPr>
        <w:t>Existing theories and previous studies concerning data privacy concerns, customer trust and customer loyalty will be used to develop research hypotheses.</w:t>
      </w:r>
      <w:r>
        <w:rPr>
          <w:rFonts w:ascii="Geist Fallback" w:hAnsi="Geist Fallback"/>
          <w:sz w:val="23"/>
          <w:szCs w:val="23"/>
        </w:rPr>
        <w:t xml:space="preserve"> </w:t>
      </w:r>
      <w:r>
        <w:rPr>
          <w:rStyle w:val="cursor-pointer"/>
          <w:rFonts w:ascii="Geist Fallback" w:hAnsi="Geist Fallback"/>
          <w:sz w:val="23"/>
          <w:szCs w:val="23"/>
        </w:rPr>
        <w:t xml:space="preserve">The hypotheses will then be validated with primary quantitative data collected from the users of FinTech services in the United Kingdom (Jha, and </w:t>
      </w:r>
      <w:proofErr w:type="spellStart"/>
      <w:r>
        <w:rPr>
          <w:rStyle w:val="cursor-pointer"/>
          <w:rFonts w:ascii="Geist Fallback" w:hAnsi="Geist Fallback"/>
          <w:sz w:val="23"/>
          <w:szCs w:val="23"/>
        </w:rPr>
        <w:t>Dangwal</w:t>
      </w:r>
      <w:proofErr w:type="spellEnd"/>
      <w:r>
        <w:rPr>
          <w:rStyle w:val="cursor-pointer"/>
          <w:rFonts w:ascii="Geist Fallback" w:hAnsi="Geist Fallback"/>
          <w:sz w:val="23"/>
          <w:szCs w:val="23"/>
        </w:rPr>
        <w:t>, 2025).</w:t>
      </w:r>
    </w:p>
    <w:p w14:paraId="474594D6" w14:textId="77777777" w:rsidR="009F0174" w:rsidRPr="009F0174" w:rsidRDefault="009F0174" w:rsidP="00E867A3">
      <w:pPr>
        <w:rPr>
          <w:rStyle w:val="cursor-pointer"/>
          <w:sz w:val="28"/>
          <w:szCs w:val="28"/>
        </w:rPr>
      </w:pPr>
      <w:r>
        <w:rPr>
          <w:rStyle w:val="cursor-pointer"/>
          <w:rFonts w:ascii="Geist Fallback" w:hAnsi="Geist Fallback"/>
          <w:sz w:val="23"/>
          <w:szCs w:val="23"/>
        </w:rPr>
        <w:t>The study will adopt mono method research which is quantitative research.</w:t>
      </w:r>
      <w:r>
        <w:t xml:space="preserve"> </w:t>
      </w:r>
      <w:r>
        <w:rPr>
          <w:rStyle w:val="cursor-pointer"/>
          <w:rFonts w:ascii="Geist Fallback" w:hAnsi="Geist Fallback"/>
          <w:sz w:val="23"/>
          <w:szCs w:val="23"/>
        </w:rPr>
        <w:t>The cross-sectional study approach will be used to gather data from adult UK FinTech users by using an online questionnaire.</w:t>
      </w:r>
      <w:r>
        <w:t xml:space="preserve"> </w:t>
      </w:r>
      <w:r>
        <w:rPr>
          <w:rStyle w:val="cursor-pointer"/>
          <w:rFonts w:ascii="Geist Fallback" w:hAnsi="Geist Fallback"/>
          <w:sz w:val="23"/>
          <w:szCs w:val="23"/>
        </w:rPr>
        <w:t>A cross sectional design is appropriate since data will be collected from the participants at a specific time.</w:t>
      </w:r>
      <w:r>
        <w:t xml:space="preserve"> </w:t>
      </w:r>
      <w:r>
        <w:rPr>
          <w:rStyle w:val="cursor-pointer"/>
          <w:rFonts w:ascii="Geist Fallback" w:hAnsi="Geist Fallback"/>
          <w:sz w:val="23"/>
          <w:szCs w:val="23"/>
        </w:rPr>
        <w:t>The researcher will be able to study if the data privacy concerns impact the customer trust and loyalty to FinTech companies with this design.</w:t>
      </w:r>
      <w:r>
        <w:t xml:space="preserve"> </w:t>
      </w:r>
      <w:r>
        <w:rPr>
          <w:rStyle w:val="cursor-pointer"/>
          <w:rFonts w:ascii="Geist Fallback" w:hAnsi="Geist Fallback"/>
          <w:sz w:val="23"/>
          <w:szCs w:val="23"/>
        </w:rPr>
        <w:t>The study will attempt to obtain 80-100 completed and valid questionnaire responses.</w:t>
      </w:r>
      <w:r>
        <w:t xml:space="preserve"> </w:t>
      </w:r>
      <w:r>
        <w:rPr>
          <w:rStyle w:val="cursor-pointer"/>
          <w:rFonts w:ascii="Geist Fallback" w:hAnsi="Geist Fallback"/>
          <w:sz w:val="23"/>
          <w:szCs w:val="23"/>
        </w:rPr>
        <w:t>An approximate 100 completed questionnaires will be set as a target to accommodate for incomplete, ineligible or poor quality questionnaires.</w:t>
      </w:r>
      <w:r>
        <w:t xml:space="preserve"> </w:t>
      </w:r>
      <w:r>
        <w:rPr>
          <w:rStyle w:val="cursor-pointer"/>
          <w:rFonts w:ascii="Geist Fallback" w:hAnsi="Geist Fallback"/>
          <w:sz w:val="23"/>
          <w:szCs w:val="23"/>
        </w:rPr>
        <w:t>The study will aim to keep at least 80 usable responses as per screening and data cleaning for statistical analysis.</w:t>
      </w:r>
    </w:p>
    <w:p w14:paraId="536BB8B9" w14:textId="77777777" w:rsidR="00F76CAD" w:rsidRDefault="00F76CAD" w:rsidP="00E867A3">
      <w:pPr>
        <w:pStyle w:val="Heading2"/>
      </w:pPr>
      <w:bookmarkStart w:id="17" w:name="_Toc234866850"/>
      <w:r>
        <w:t>Justification for the Quantitative Method</w:t>
      </w:r>
      <w:bookmarkEnd w:id="17"/>
    </w:p>
    <w:p w14:paraId="669A6905" w14:textId="77777777" w:rsidR="009F0174" w:rsidRDefault="009F0174" w:rsidP="00E867A3">
      <w:pPr>
        <w:pStyle w:val="isselectedend"/>
        <w:spacing w:line="360" w:lineRule="auto"/>
        <w:rPr>
          <w:rStyle w:val="cursor-pointer"/>
          <w:rFonts w:ascii="Geist Fallback" w:hAnsi="Geist Fallback"/>
          <w:sz w:val="23"/>
          <w:szCs w:val="23"/>
        </w:rPr>
      </w:pPr>
      <w:r>
        <w:rPr>
          <w:rStyle w:val="cursor-pointer"/>
          <w:rFonts w:ascii="Geist Fallback" w:hAnsi="Geist Fallback"/>
          <w:sz w:val="23"/>
          <w:szCs w:val="23"/>
        </w:rPr>
        <w:t>A quantitative survey is suitable as the objectives of the research are to investigate the measurable relationship between data privacy concerns, customer trust and customer loyalty.</w:t>
      </w:r>
      <w:r>
        <w:rPr>
          <w:rFonts w:ascii="Geist Fallback" w:hAnsi="Geist Fallback"/>
          <w:sz w:val="23"/>
          <w:szCs w:val="23"/>
        </w:rPr>
        <w:t xml:space="preserve"> </w:t>
      </w:r>
      <w:r>
        <w:rPr>
          <w:rStyle w:val="cursor-pointer"/>
          <w:rFonts w:ascii="Geist Fallback" w:hAnsi="Geist Fallback"/>
          <w:sz w:val="23"/>
          <w:szCs w:val="23"/>
        </w:rPr>
        <w:t>These constructs can be quantified by using structured statements on the Likert scale and then translated into numbers for statistical analysis (Almusaed, et al., 2025).</w:t>
      </w:r>
      <w:r>
        <w:rPr>
          <w:rFonts w:ascii="Geist Fallback" w:hAnsi="Geist Fallback"/>
          <w:sz w:val="23"/>
          <w:szCs w:val="23"/>
        </w:rPr>
        <w:t xml:space="preserve"> </w:t>
      </w:r>
      <w:r>
        <w:rPr>
          <w:rStyle w:val="cursor-pointer"/>
          <w:rFonts w:ascii="Geist Fallback" w:hAnsi="Geist Fallback"/>
          <w:sz w:val="23"/>
          <w:szCs w:val="23"/>
        </w:rPr>
        <w:t xml:space="preserve">The questionnaire will allow the researcher to gather </w:t>
      </w:r>
      <w:proofErr w:type="spellStart"/>
      <w:r>
        <w:rPr>
          <w:rStyle w:val="cursor-pointer"/>
          <w:rFonts w:ascii="Geist Fallback" w:hAnsi="Geist Fallback"/>
          <w:sz w:val="23"/>
          <w:szCs w:val="23"/>
        </w:rPr>
        <w:t>standardised</w:t>
      </w:r>
      <w:proofErr w:type="spellEnd"/>
      <w:r>
        <w:rPr>
          <w:rStyle w:val="cursor-pointer"/>
          <w:rFonts w:ascii="Geist Fallback" w:hAnsi="Geist Fallback"/>
          <w:sz w:val="23"/>
          <w:szCs w:val="23"/>
        </w:rPr>
        <w:t xml:space="preserve"> data from a relatively large group of FinTech users in the UK within the time frame and resources of the study.</w:t>
      </w:r>
      <w:r>
        <w:rPr>
          <w:rFonts w:ascii="Geist Fallback" w:hAnsi="Geist Fallback"/>
          <w:sz w:val="23"/>
          <w:szCs w:val="23"/>
        </w:rPr>
        <w:t xml:space="preserve"> </w:t>
      </w:r>
      <w:r>
        <w:rPr>
          <w:rStyle w:val="cursor-pointer"/>
          <w:rFonts w:ascii="Geist Fallback" w:hAnsi="Geist Fallback"/>
          <w:sz w:val="23"/>
          <w:szCs w:val="23"/>
        </w:rPr>
        <w:t>The same set of questions will be asked to all the participants and it will facilitate meaningful comparisons among different patterns of FinTech use and different demographic groups to improve consistency.</w:t>
      </w:r>
    </w:p>
    <w:p w14:paraId="4CBBE086" w14:textId="77777777" w:rsidR="009F0174" w:rsidRPr="009F0174" w:rsidRDefault="009F0174" w:rsidP="00E867A3">
      <w:pPr>
        <w:rPr>
          <w:rStyle w:val="cursor-pointer"/>
          <w:sz w:val="28"/>
          <w:szCs w:val="28"/>
        </w:rPr>
      </w:pPr>
      <w:r>
        <w:rPr>
          <w:rStyle w:val="cursor-pointer"/>
          <w:rFonts w:ascii="Geist Fallback" w:hAnsi="Geist Fallback"/>
          <w:sz w:val="23"/>
          <w:szCs w:val="23"/>
        </w:rPr>
        <w:lastRenderedPageBreak/>
        <w:t>The researcher will use quantitative analysis to assess the nature of the relationships between the study variables in terms of their direction and intensity.</w:t>
      </w:r>
      <w:r>
        <w:t xml:space="preserve"> </w:t>
      </w:r>
      <w:r>
        <w:rPr>
          <w:rStyle w:val="cursor-pointer"/>
          <w:rFonts w:ascii="Geist Fallback" w:hAnsi="Geist Fallback"/>
          <w:sz w:val="23"/>
          <w:szCs w:val="23"/>
        </w:rPr>
        <w:t>Through correlation analysis, it is possible to see if privacy concern is related to trust and loyalty, and through regression analysis, it is possible to see if privacy concern significantly predicts customer trust and continued-use intentions (</w:t>
      </w:r>
      <w:proofErr w:type="spellStart"/>
      <w:r>
        <w:rPr>
          <w:rStyle w:val="cursor-pointer"/>
          <w:rFonts w:ascii="Geist Fallback" w:hAnsi="Geist Fallback"/>
          <w:sz w:val="23"/>
          <w:szCs w:val="23"/>
        </w:rPr>
        <w:t>Temizhan</w:t>
      </w:r>
      <w:proofErr w:type="spellEnd"/>
      <w:r>
        <w:rPr>
          <w:rStyle w:val="cursor-pointer"/>
          <w:rFonts w:ascii="Geist Fallback" w:hAnsi="Geist Fallback"/>
          <w:sz w:val="23"/>
          <w:szCs w:val="23"/>
        </w:rPr>
        <w:t>, et al., 2022).</w:t>
      </w:r>
    </w:p>
    <w:p w14:paraId="5EA14A3F" w14:textId="77777777" w:rsidR="00F76CAD" w:rsidRDefault="00F76CAD" w:rsidP="00E867A3">
      <w:pPr>
        <w:pStyle w:val="Heading2"/>
      </w:pPr>
      <w:bookmarkStart w:id="18" w:name="_Toc234866851"/>
      <w:r>
        <w:t>Evaluation of the Proposed Method</w:t>
      </w:r>
      <w:bookmarkEnd w:id="18"/>
    </w:p>
    <w:p w14:paraId="6CAA3D5B" w14:textId="77777777" w:rsidR="009F0174" w:rsidRDefault="009F0174" w:rsidP="00E867A3">
      <w:pPr>
        <w:pStyle w:val="isselectedend"/>
        <w:spacing w:line="360" w:lineRule="auto"/>
        <w:rPr>
          <w:rStyle w:val="cursor-pointer"/>
          <w:rFonts w:ascii="Geist Fallback" w:hAnsi="Geist Fallback"/>
          <w:sz w:val="23"/>
          <w:szCs w:val="23"/>
        </w:rPr>
      </w:pPr>
      <w:r>
        <w:rPr>
          <w:rStyle w:val="cursor-pointer"/>
          <w:rFonts w:ascii="Geist Fallback" w:hAnsi="Geist Fallback"/>
          <w:sz w:val="23"/>
          <w:szCs w:val="23"/>
        </w:rPr>
        <w:t>The primary advantage of the quantitative survey design is to gather comparable information in an efficient manner.</w:t>
      </w:r>
      <w:r>
        <w:rPr>
          <w:rFonts w:ascii="Geist Fallback" w:hAnsi="Geist Fallback"/>
          <w:sz w:val="23"/>
          <w:szCs w:val="23"/>
        </w:rPr>
        <w:t xml:space="preserve"> </w:t>
      </w:r>
      <w:r>
        <w:rPr>
          <w:rStyle w:val="cursor-pointer"/>
          <w:rFonts w:ascii="Geist Fallback" w:hAnsi="Geist Fallback"/>
          <w:sz w:val="23"/>
          <w:szCs w:val="23"/>
        </w:rPr>
        <w:t xml:space="preserve">Using </w:t>
      </w:r>
      <w:proofErr w:type="spellStart"/>
      <w:r>
        <w:rPr>
          <w:rStyle w:val="cursor-pointer"/>
          <w:rFonts w:ascii="Geist Fallback" w:hAnsi="Geist Fallback"/>
          <w:sz w:val="23"/>
          <w:szCs w:val="23"/>
        </w:rPr>
        <w:t>standardised</w:t>
      </w:r>
      <w:proofErr w:type="spellEnd"/>
      <w:r>
        <w:rPr>
          <w:rStyle w:val="cursor-pointer"/>
          <w:rFonts w:ascii="Geist Fallback" w:hAnsi="Geist Fallback"/>
          <w:sz w:val="23"/>
          <w:szCs w:val="23"/>
        </w:rPr>
        <w:t xml:space="preserve"> questions will minimize the differences in how questions are asked and will enable the answers obtained to be systematically </w:t>
      </w:r>
      <w:proofErr w:type="spellStart"/>
      <w:r>
        <w:rPr>
          <w:rStyle w:val="cursor-pointer"/>
          <w:rFonts w:ascii="Geist Fallback" w:hAnsi="Geist Fallback"/>
          <w:sz w:val="23"/>
          <w:szCs w:val="23"/>
        </w:rPr>
        <w:t>analysed</w:t>
      </w:r>
      <w:proofErr w:type="spellEnd"/>
      <w:r>
        <w:rPr>
          <w:rStyle w:val="cursor-pointer"/>
          <w:rFonts w:ascii="Geist Fallback" w:hAnsi="Geist Fallback"/>
          <w:sz w:val="23"/>
          <w:szCs w:val="23"/>
        </w:rPr>
        <w:t xml:space="preserve"> in SPSS.</w:t>
      </w:r>
      <w:r>
        <w:rPr>
          <w:rFonts w:ascii="Geist Fallback" w:hAnsi="Geist Fallback"/>
          <w:sz w:val="23"/>
          <w:szCs w:val="23"/>
        </w:rPr>
        <w:t xml:space="preserve"> </w:t>
      </w:r>
      <w:r>
        <w:rPr>
          <w:rStyle w:val="cursor-pointer"/>
          <w:rFonts w:ascii="Geist Fallback" w:hAnsi="Geist Fallback"/>
          <w:sz w:val="23"/>
          <w:szCs w:val="23"/>
        </w:rPr>
        <w:t>The use of known measurement scales will also help to ensure the questionnaire's reliability and validity.</w:t>
      </w:r>
      <w:r>
        <w:rPr>
          <w:rFonts w:ascii="Geist Fallback" w:hAnsi="Geist Fallback"/>
          <w:sz w:val="23"/>
          <w:szCs w:val="23"/>
        </w:rPr>
        <w:t xml:space="preserve"> </w:t>
      </w:r>
      <w:r>
        <w:rPr>
          <w:rStyle w:val="cursor-pointer"/>
          <w:rFonts w:ascii="Geist Fallback" w:hAnsi="Geist Fallback"/>
          <w:sz w:val="23"/>
          <w:szCs w:val="23"/>
        </w:rPr>
        <w:t>Through statistical analysis, the researcher will be able to report descriptive findings, correlation, regression coefficient, significance values, effect sizes and confidence intervals (</w:t>
      </w:r>
      <w:proofErr w:type="spellStart"/>
      <w:r>
        <w:rPr>
          <w:rStyle w:val="cursor-pointer"/>
          <w:rFonts w:ascii="Geist Fallback" w:hAnsi="Geist Fallback"/>
          <w:sz w:val="23"/>
          <w:szCs w:val="23"/>
        </w:rPr>
        <w:t>Jané</w:t>
      </w:r>
      <w:proofErr w:type="spellEnd"/>
      <w:r>
        <w:rPr>
          <w:rStyle w:val="cursor-pointer"/>
          <w:rFonts w:ascii="Geist Fallback" w:hAnsi="Geist Fallback"/>
          <w:sz w:val="23"/>
          <w:szCs w:val="23"/>
        </w:rPr>
        <w:t>, et al., 2024).</w:t>
      </w:r>
    </w:p>
    <w:p w14:paraId="5A00D088" w14:textId="77777777" w:rsidR="009F0174" w:rsidRPr="009F0174" w:rsidRDefault="009F0174" w:rsidP="00E867A3">
      <w:pPr>
        <w:rPr>
          <w:rStyle w:val="cursor-pointer"/>
          <w:sz w:val="28"/>
          <w:szCs w:val="28"/>
        </w:rPr>
      </w:pPr>
      <w:r>
        <w:rPr>
          <w:rStyle w:val="cursor-pointer"/>
          <w:rFonts w:ascii="Geist Fallback" w:hAnsi="Geist Fallback"/>
          <w:sz w:val="23"/>
          <w:szCs w:val="23"/>
        </w:rPr>
        <w:t>The proposed methodology has, however, other drawbacks.</w:t>
      </w:r>
      <w:r>
        <w:t xml:space="preserve"> </w:t>
      </w:r>
      <w:r>
        <w:rPr>
          <w:rStyle w:val="cursor-pointer"/>
          <w:rFonts w:ascii="Geist Fallback" w:hAnsi="Geist Fallback"/>
          <w:sz w:val="23"/>
          <w:szCs w:val="23"/>
        </w:rPr>
        <w:t>Because the variables will be taken at one point in time, it will not be possible to determine causality from cross sectional data.</w:t>
      </w:r>
      <w:r>
        <w:t xml:space="preserve"> </w:t>
      </w:r>
      <w:r>
        <w:rPr>
          <w:rStyle w:val="cursor-pointer"/>
          <w:rFonts w:ascii="Geist Fallback" w:hAnsi="Geist Fallback"/>
          <w:sz w:val="23"/>
          <w:szCs w:val="23"/>
        </w:rPr>
        <w:t>While the study might show there is a correlation between data privacy concerns and customer loyalty, it does not definitively show that data privacy concerns directly lead to customer loyalty or lack thereof.</w:t>
      </w:r>
      <w:r>
        <w:t xml:space="preserve"> </w:t>
      </w:r>
      <w:r>
        <w:rPr>
          <w:rStyle w:val="cursor-pointer"/>
          <w:rFonts w:ascii="Geist Fallback" w:hAnsi="Geist Fallback"/>
          <w:sz w:val="23"/>
          <w:szCs w:val="23"/>
        </w:rPr>
        <w:t>Self-reported data will also be used for the study.</w:t>
      </w:r>
      <w:r>
        <w:t xml:space="preserve"> </w:t>
      </w:r>
      <w:r>
        <w:rPr>
          <w:rStyle w:val="cursor-pointer"/>
          <w:rFonts w:ascii="Geist Fallback" w:hAnsi="Geist Fallback"/>
          <w:sz w:val="23"/>
          <w:szCs w:val="23"/>
        </w:rPr>
        <w:t>Though, the intentions expressed by participants to either use or recommend a FinTech service do not necessarily reflect their actual actions (Hamid, et al., 2025).</w:t>
      </w:r>
      <w:r>
        <w:t xml:space="preserve"> </w:t>
      </w:r>
      <w:r>
        <w:rPr>
          <w:rStyle w:val="cursor-pointer"/>
          <w:rFonts w:ascii="Geist Fallback" w:hAnsi="Geist Fallback"/>
          <w:sz w:val="23"/>
          <w:szCs w:val="23"/>
        </w:rPr>
        <w:t>Memory or personal interpretation/social desirability can also impact response.</w:t>
      </w:r>
    </w:p>
    <w:p w14:paraId="6C4CD0A3" w14:textId="77777777" w:rsidR="00F76CAD" w:rsidRDefault="00F76CAD" w:rsidP="00E867A3">
      <w:pPr>
        <w:pStyle w:val="Heading2"/>
      </w:pPr>
      <w:bookmarkStart w:id="19" w:name="_Toc234866852"/>
      <w:r>
        <w:t>Data Collection Method</w:t>
      </w:r>
      <w:bookmarkEnd w:id="19"/>
    </w:p>
    <w:p w14:paraId="59ECF83F" w14:textId="77777777" w:rsidR="009F0174" w:rsidRDefault="009F0174" w:rsidP="00E867A3">
      <w:pPr>
        <w:pStyle w:val="isselectedend"/>
        <w:spacing w:line="360" w:lineRule="auto"/>
        <w:rPr>
          <w:rStyle w:val="cursor-pointer"/>
          <w:rFonts w:ascii="Geist Fallback" w:hAnsi="Geist Fallback"/>
          <w:sz w:val="23"/>
          <w:szCs w:val="23"/>
        </w:rPr>
      </w:pPr>
      <w:r>
        <w:rPr>
          <w:rStyle w:val="cursor-pointer"/>
          <w:rFonts w:ascii="Geist Fallback" w:hAnsi="Geist Fallback"/>
          <w:sz w:val="23"/>
          <w:szCs w:val="23"/>
        </w:rPr>
        <w:t>The primary data will be gathered by using a structured online questionnaire created by use of Microsoft Forms (Zimba, and Gasparyan, 2023).</w:t>
      </w:r>
      <w:r>
        <w:rPr>
          <w:rFonts w:ascii="Geist Fallback" w:hAnsi="Geist Fallback"/>
          <w:sz w:val="23"/>
          <w:szCs w:val="23"/>
        </w:rPr>
        <w:t xml:space="preserve"> </w:t>
      </w:r>
      <w:r>
        <w:rPr>
          <w:rStyle w:val="cursor-pointer"/>
          <w:rFonts w:ascii="Geist Fallback" w:hAnsi="Geist Fallback"/>
          <w:sz w:val="23"/>
          <w:szCs w:val="23"/>
        </w:rPr>
        <w:t>A participant information statement will be used at the start of the questionnaire to provide information about the purpose of the research, eligibility, voluntary participation, and confidentiality and data-protection requirements.</w:t>
      </w:r>
      <w:r>
        <w:rPr>
          <w:rFonts w:ascii="Geist Fallback" w:hAnsi="Geist Fallback"/>
          <w:sz w:val="23"/>
          <w:szCs w:val="23"/>
        </w:rPr>
        <w:t xml:space="preserve"> </w:t>
      </w:r>
      <w:r>
        <w:rPr>
          <w:rStyle w:val="cursor-pointer"/>
          <w:rFonts w:ascii="Geist Fallback" w:hAnsi="Geist Fallback"/>
          <w:sz w:val="23"/>
          <w:szCs w:val="23"/>
        </w:rPr>
        <w:t>The main questionnaire will only be accessible to the participant after confirmed informed consent.</w:t>
      </w:r>
      <w:r>
        <w:rPr>
          <w:rFonts w:ascii="Geist Fallback" w:hAnsi="Geist Fallback"/>
          <w:sz w:val="23"/>
          <w:szCs w:val="23"/>
        </w:rPr>
        <w:t xml:space="preserve"> </w:t>
      </w:r>
      <w:r>
        <w:rPr>
          <w:rStyle w:val="cursor-pointer"/>
          <w:rFonts w:ascii="Geist Fallback" w:hAnsi="Geist Fallback"/>
          <w:sz w:val="23"/>
          <w:szCs w:val="23"/>
        </w:rPr>
        <w:t>Eligibility questions will ensure that the participants are 18+ and that they normally live in the United Kingdom and have used at least one consumer-facing FinTech service in the last 6 months.</w:t>
      </w:r>
      <w:r>
        <w:rPr>
          <w:rFonts w:ascii="Geist Fallback" w:hAnsi="Geist Fallback"/>
          <w:sz w:val="23"/>
          <w:szCs w:val="23"/>
        </w:rPr>
        <w:t xml:space="preserve"> </w:t>
      </w:r>
      <w:r>
        <w:rPr>
          <w:rStyle w:val="cursor-pointer"/>
          <w:rFonts w:ascii="Geist Fallback" w:hAnsi="Geist Fallback"/>
          <w:sz w:val="23"/>
          <w:szCs w:val="23"/>
        </w:rPr>
        <w:t xml:space="preserve">Adapted statements from the Internet Users' Information Privacy Concerns framework by Zhang, et al. (2022) will be used to measure data privacy </w:t>
      </w:r>
      <w:r>
        <w:rPr>
          <w:rStyle w:val="cursor-pointer"/>
          <w:rFonts w:ascii="Geist Fallback" w:hAnsi="Geist Fallback"/>
          <w:sz w:val="23"/>
          <w:szCs w:val="23"/>
        </w:rPr>
        <w:lastRenderedPageBreak/>
        <w:t>concerns.</w:t>
      </w:r>
      <w:r>
        <w:rPr>
          <w:rFonts w:ascii="Geist Fallback" w:hAnsi="Geist Fallback"/>
          <w:sz w:val="23"/>
          <w:szCs w:val="23"/>
        </w:rPr>
        <w:t xml:space="preserve"> </w:t>
      </w:r>
      <w:r>
        <w:rPr>
          <w:rStyle w:val="cursor-pointer"/>
          <w:rFonts w:ascii="Geist Fallback" w:hAnsi="Geist Fallback"/>
          <w:sz w:val="23"/>
          <w:szCs w:val="23"/>
        </w:rPr>
        <w:t>The questions will look at concerns participants have about collecting personal information, customer control, awareness, consent, data security and third party data sharing.</w:t>
      </w:r>
    </w:p>
    <w:p w14:paraId="72FC6C9D" w14:textId="77777777" w:rsidR="009F0174" w:rsidRPr="009F0174" w:rsidRDefault="009F0174" w:rsidP="00E867A3">
      <w:pPr>
        <w:rPr>
          <w:rStyle w:val="cursor-pointer"/>
          <w:sz w:val="28"/>
          <w:szCs w:val="28"/>
        </w:rPr>
      </w:pPr>
      <w:r>
        <w:rPr>
          <w:rStyle w:val="cursor-pointer"/>
          <w:rFonts w:ascii="Geist Fallback" w:hAnsi="Geist Fallback"/>
          <w:sz w:val="23"/>
          <w:szCs w:val="23"/>
        </w:rPr>
        <w:t>Existing customer trust will be assessed based on statements about competence, integrity, reliability, transparency and confidence in the proper use of customers' personal and financial data.</w:t>
      </w:r>
      <w:r>
        <w:t xml:space="preserve"> </w:t>
      </w:r>
      <w:r>
        <w:rPr>
          <w:rStyle w:val="cursor-pointer"/>
          <w:rFonts w:ascii="Geist Fallback" w:hAnsi="Geist Fallback"/>
          <w:sz w:val="23"/>
          <w:szCs w:val="23"/>
        </w:rPr>
        <w:t>Customer loyalty will be measured by statements related to the intention to continue using the service, willingness to recommend the service, preference for the current provider and resistance to switching to other provider.</w:t>
      </w:r>
      <w:r>
        <w:t xml:space="preserve"> </w:t>
      </w:r>
      <w:r>
        <w:rPr>
          <w:rStyle w:val="cursor-pointer"/>
          <w:rFonts w:ascii="Geist Fallback" w:hAnsi="Geist Fallback"/>
          <w:sz w:val="23"/>
          <w:szCs w:val="23"/>
        </w:rPr>
        <w:t>The questionnaire will also gather data on age band, gender, education, region of the UK, how often they use FinTech, how long they have been using FinTech, the main FinTech category they use and whether they have experienced any fraud or data-security incident.</w:t>
      </w:r>
      <w:r>
        <w:t xml:space="preserve"> </w:t>
      </w:r>
      <w:r>
        <w:rPr>
          <w:rStyle w:val="cursor-pointer"/>
          <w:rFonts w:ascii="Geist Fallback" w:hAnsi="Geist Fallback"/>
          <w:sz w:val="23"/>
          <w:szCs w:val="23"/>
        </w:rPr>
        <w:t>No participant will be asked to provide details on financial transactions, accounts, balances, or other confidential financial information, such as passwords or account numbers (Doran, et al., 2026).</w:t>
      </w:r>
    </w:p>
    <w:p w14:paraId="58DFBA2C" w14:textId="77777777" w:rsidR="00F76CAD" w:rsidRDefault="00F76CAD" w:rsidP="00E867A3">
      <w:pPr>
        <w:pStyle w:val="Heading2"/>
      </w:pPr>
      <w:bookmarkStart w:id="20" w:name="_Toc234866853"/>
      <w:r>
        <w:t>Sampling Method and Target Population</w:t>
      </w:r>
      <w:bookmarkEnd w:id="20"/>
    </w:p>
    <w:p w14:paraId="19F5FCA2" w14:textId="77777777" w:rsidR="009F0174" w:rsidRDefault="009F0174" w:rsidP="00E867A3">
      <w:pPr>
        <w:pStyle w:val="isselectedend"/>
        <w:spacing w:line="360" w:lineRule="auto"/>
        <w:rPr>
          <w:rStyle w:val="cursor-pointer"/>
          <w:rFonts w:ascii="Geist Fallback" w:hAnsi="Geist Fallback"/>
          <w:sz w:val="23"/>
          <w:szCs w:val="23"/>
        </w:rPr>
      </w:pPr>
      <w:r>
        <w:rPr>
          <w:rStyle w:val="cursor-pointer"/>
          <w:rFonts w:ascii="Geist Fallback" w:hAnsi="Geist Fallback"/>
          <w:sz w:val="23"/>
          <w:szCs w:val="23"/>
        </w:rPr>
        <w:t>The target population for this study will be all adult members of the British population who regularly use FinTech services that are direct to the consumer.</w:t>
      </w:r>
      <w:r>
        <w:rPr>
          <w:rFonts w:ascii="Geist Fallback" w:hAnsi="Geist Fallback"/>
          <w:sz w:val="23"/>
          <w:szCs w:val="23"/>
        </w:rPr>
        <w:t xml:space="preserve"> </w:t>
      </w:r>
      <w:r>
        <w:rPr>
          <w:rStyle w:val="cursor-pointer"/>
          <w:rFonts w:ascii="Geist Fallback" w:hAnsi="Geist Fallback"/>
          <w:sz w:val="23"/>
          <w:szCs w:val="23"/>
        </w:rPr>
        <w:t>So that the responses are based on recent and relevant experiences, all participants are required to have interacted with a minimum of one of the FinTech services in the last six months.</w:t>
      </w:r>
      <w:r>
        <w:rPr>
          <w:rFonts w:ascii="Geist Fallback" w:hAnsi="Geist Fallback"/>
          <w:sz w:val="23"/>
          <w:szCs w:val="23"/>
        </w:rPr>
        <w:t xml:space="preserve"> </w:t>
      </w:r>
      <w:r>
        <w:rPr>
          <w:rStyle w:val="cursor-pointer"/>
          <w:rFonts w:ascii="Geist Fallback" w:hAnsi="Geist Fallback"/>
          <w:sz w:val="23"/>
          <w:szCs w:val="23"/>
        </w:rPr>
        <w:t>Non-probability convenience and snowball sampling will be employed in the study.</w:t>
      </w:r>
      <w:r>
        <w:rPr>
          <w:rFonts w:ascii="Geist Fallback" w:hAnsi="Geist Fallback"/>
          <w:sz w:val="23"/>
          <w:szCs w:val="23"/>
        </w:rPr>
        <w:t xml:space="preserve"> </w:t>
      </w:r>
      <w:r>
        <w:rPr>
          <w:rStyle w:val="cursor-pointer"/>
          <w:rFonts w:ascii="Geist Fallback" w:hAnsi="Geist Fallback"/>
          <w:sz w:val="23"/>
          <w:szCs w:val="23"/>
        </w:rPr>
        <w:t>Participants will be targeted via university communication channels, contacts, and via social media and relevant online groups or communities.</w:t>
      </w:r>
      <w:r>
        <w:rPr>
          <w:rFonts w:ascii="Geist Fallback" w:hAnsi="Geist Fallback"/>
          <w:sz w:val="23"/>
          <w:szCs w:val="23"/>
        </w:rPr>
        <w:t xml:space="preserve"> </w:t>
      </w:r>
      <w:r>
        <w:rPr>
          <w:rStyle w:val="cursor-pointer"/>
          <w:rFonts w:ascii="Geist Fallback" w:hAnsi="Geist Fallback"/>
          <w:sz w:val="23"/>
          <w:szCs w:val="23"/>
        </w:rPr>
        <w:t>The respondents can also be asked to share the survey link with other people who are eligible (Darko, et al., 2022).</w:t>
      </w:r>
    </w:p>
    <w:p w14:paraId="0CE993BE" w14:textId="77777777" w:rsidR="009F0174" w:rsidRPr="009F0174" w:rsidRDefault="009F0174" w:rsidP="00E867A3">
      <w:pPr>
        <w:rPr>
          <w:rStyle w:val="cursor-pointer"/>
          <w:sz w:val="28"/>
          <w:szCs w:val="28"/>
        </w:rPr>
      </w:pPr>
      <w:r>
        <w:rPr>
          <w:rStyle w:val="cursor-pointer"/>
          <w:rFonts w:ascii="Geist Fallback" w:hAnsi="Geist Fallback"/>
          <w:sz w:val="23"/>
          <w:szCs w:val="23"/>
        </w:rPr>
        <w:t>The number of respondents that will make up the target sample is 80 to 100 cases.</w:t>
      </w:r>
      <w:r>
        <w:t xml:space="preserve"> </w:t>
      </w:r>
      <w:r>
        <w:rPr>
          <w:rStyle w:val="cursor-pointer"/>
          <w:rFonts w:ascii="Geist Fallback" w:hAnsi="Geist Fallback"/>
          <w:sz w:val="23"/>
          <w:szCs w:val="23"/>
        </w:rPr>
        <w:t>The researcher would seek to obtain about 100 questionnaires to remove any incomplete, duplicate, ineligible or poor quality questionnaires to ensure that not less than 80 would be completed questionnaires used for statistical analysis.</w:t>
      </w:r>
      <w:r>
        <w:t xml:space="preserve"> </w:t>
      </w:r>
      <w:r>
        <w:rPr>
          <w:rStyle w:val="cursor-pointer"/>
          <w:rFonts w:ascii="Geist Fallback" w:hAnsi="Geist Fallback"/>
          <w:sz w:val="23"/>
          <w:szCs w:val="23"/>
        </w:rPr>
        <w:t>Recruitment progress to be monitored during the data-collection period.</w:t>
      </w:r>
      <w:r>
        <w:t xml:space="preserve"> </w:t>
      </w:r>
      <w:r>
        <w:rPr>
          <w:rStyle w:val="cursor-pointer"/>
          <w:rFonts w:ascii="Geist Fallback" w:hAnsi="Geist Fallback"/>
          <w:sz w:val="23"/>
          <w:szCs w:val="23"/>
        </w:rPr>
        <w:t>The researcher will try to limit the extent of over-concentrating within one age group, UK region or FinTech-user category.</w:t>
      </w:r>
      <w:r>
        <w:t xml:space="preserve"> </w:t>
      </w:r>
      <w:r>
        <w:rPr>
          <w:rStyle w:val="cursor-pointer"/>
          <w:rFonts w:ascii="Geist Fallback" w:hAnsi="Geist Fallback"/>
          <w:sz w:val="23"/>
          <w:szCs w:val="23"/>
        </w:rPr>
        <w:t xml:space="preserve">The non-probability sampling in the research, however, will not ensure equal representation of all the demographic groups (Njeri </w:t>
      </w:r>
      <w:proofErr w:type="spellStart"/>
      <w:r>
        <w:rPr>
          <w:rStyle w:val="cursor-pointer"/>
          <w:rFonts w:ascii="Geist Fallback" w:hAnsi="Geist Fallback"/>
          <w:sz w:val="23"/>
          <w:szCs w:val="23"/>
        </w:rPr>
        <w:t>Mugwe</w:t>
      </w:r>
      <w:proofErr w:type="spellEnd"/>
      <w:r>
        <w:rPr>
          <w:rStyle w:val="cursor-pointer"/>
          <w:rFonts w:ascii="Geist Fallback" w:hAnsi="Geist Fallback"/>
          <w:sz w:val="23"/>
          <w:szCs w:val="23"/>
        </w:rPr>
        <w:t>, and Runo, 2026).</w:t>
      </w:r>
    </w:p>
    <w:p w14:paraId="77D59F09" w14:textId="77777777" w:rsidR="00F76CAD" w:rsidRDefault="00F76CAD" w:rsidP="00E867A3">
      <w:pPr>
        <w:pStyle w:val="Heading2"/>
      </w:pPr>
      <w:bookmarkStart w:id="21" w:name="_Toc234866854"/>
      <w:r>
        <w:lastRenderedPageBreak/>
        <w:t>Tools and Techniques for Data Analysis</w:t>
      </w:r>
      <w:bookmarkEnd w:id="21"/>
    </w:p>
    <w:p w14:paraId="59431341" w14:textId="77777777" w:rsidR="009F0174" w:rsidRDefault="009F0174" w:rsidP="00E867A3">
      <w:r>
        <w:rPr>
          <w:rStyle w:val="cursor-pointer"/>
          <w:rFonts w:ascii="Geist Fallback" w:hAnsi="Geist Fallback"/>
          <w:sz w:val="23"/>
          <w:szCs w:val="23"/>
        </w:rPr>
        <w:t xml:space="preserve">Completed questionnaire responses will be downloaded from the Microsoft Forms and </w:t>
      </w:r>
      <w:proofErr w:type="spellStart"/>
      <w:r>
        <w:rPr>
          <w:rStyle w:val="cursor-pointer"/>
          <w:rFonts w:ascii="Geist Fallback" w:hAnsi="Geist Fallback"/>
          <w:sz w:val="23"/>
          <w:szCs w:val="23"/>
        </w:rPr>
        <w:t>analysed</w:t>
      </w:r>
      <w:proofErr w:type="spellEnd"/>
      <w:r>
        <w:rPr>
          <w:rStyle w:val="cursor-pointer"/>
          <w:rFonts w:ascii="Geist Fallback" w:hAnsi="Geist Fallback"/>
          <w:sz w:val="23"/>
          <w:szCs w:val="23"/>
        </w:rPr>
        <w:t xml:space="preserve"> with the help of the Statistical Package for the Social Sciences (Singh, 2022).</w:t>
      </w:r>
      <w:r>
        <w:t xml:space="preserve"> </w:t>
      </w:r>
      <w:r>
        <w:rPr>
          <w:rStyle w:val="cursor-pointer"/>
          <w:rFonts w:ascii="Geist Fallback" w:hAnsi="Geist Fallback"/>
          <w:sz w:val="23"/>
          <w:szCs w:val="23"/>
        </w:rPr>
        <w:t>Data screening and cleaning will be conducted first, to assess the completeness of the data, duplicate responses, ineligible respondents, implausibly quick response time, and missing data and inconsistent response patterns.</w:t>
      </w:r>
      <w:r>
        <w:t xml:space="preserve"> </w:t>
      </w:r>
    </w:p>
    <w:p w14:paraId="7D468F88" w14:textId="77777777" w:rsidR="009F0174" w:rsidRPr="009F0174" w:rsidRDefault="009F0174" w:rsidP="00E867A3">
      <w:pPr>
        <w:rPr>
          <w:rStyle w:val="cursor-pointer"/>
          <w:sz w:val="28"/>
          <w:szCs w:val="28"/>
        </w:rPr>
      </w:pPr>
      <w:r>
        <w:rPr>
          <w:rStyle w:val="cursor-pointer"/>
          <w:rFonts w:ascii="Geist Fallback" w:hAnsi="Geist Fallback"/>
          <w:sz w:val="23"/>
          <w:szCs w:val="23"/>
        </w:rPr>
        <w:t>Descriptive statistics will be used to describe the characteristics of the participants and their answers.</w:t>
      </w:r>
      <w:r>
        <w:t xml:space="preserve"> </w:t>
      </w:r>
      <w:r>
        <w:rPr>
          <w:rStyle w:val="cursor-pointer"/>
          <w:rFonts w:ascii="Geist Fallback" w:hAnsi="Geist Fallback"/>
          <w:sz w:val="23"/>
          <w:szCs w:val="23"/>
        </w:rPr>
        <w:t>For categorical variables like age group, gender, region and type of FinTech service used, frequencies and percentages will be calculated.</w:t>
      </w:r>
      <w:r>
        <w:t xml:space="preserve"> </w:t>
      </w:r>
      <w:r>
        <w:rPr>
          <w:rStyle w:val="cursor-pointer"/>
          <w:rFonts w:ascii="Geist Fallback" w:hAnsi="Geist Fallback"/>
          <w:sz w:val="23"/>
          <w:szCs w:val="23"/>
        </w:rPr>
        <w:t>The main variables of data privacy concerns, customer trust and customer loyalty will be measured by calculating means and standard deviations.</w:t>
      </w:r>
      <w:r>
        <w:t xml:space="preserve"> </w:t>
      </w:r>
      <w:r>
        <w:rPr>
          <w:rStyle w:val="cursor-pointer"/>
          <w:rFonts w:ascii="Geist Fallback" w:hAnsi="Geist Fallback"/>
          <w:sz w:val="23"/>
          <w:szCs w:val="23"/>
        </w:rPr>
        <w:t>Cronbach's alpha and corrected item-total correlation will be used to check for internal consistency of the measurement scales.</w:t>
      </w:r>
      <w:r>
        <w:t xml:space="preserve"> </w:t>
      </w:r>
      <w:r>
        <w:rPr>
          <w:rStyle w:val="cursor-pointer"/>
          <w:rFonts w:ascii="Geist Fallback" w:hAnsi="Geist Fallback"/>
          <w:sz w:val="23"/>
          <w:szCs w:val="23"/>
        </w:rPr>
        <w:t>Generally, a Cronbach's alpha value of around 0.70 or greater will be considered as acceptable reliability.</w:t>
      </w:r>
      <w:r>
        <w:t xml:space="preserve"> </w:t>
      </w:r>
      <w:r>
        <w:rPr>
          <w:rStyle w:val="cursor-pointer"/>
          <w:rFonts w:ascii="Geist Fallback" w:hAnsi="Geist Fallback"/>
          <w:sz w:val="23"/>
          <w:szCs w:val="23"/>
        </w:rPr>
        <w:t>However, the number, wording and theoretical relevance of the questionnaire items will also be considered during the evaluation of reliability results (Malapane, and Ndlovu, 2024).</w:t>
      </w:r>
    </w:p>
    <w:p w14:paraId="16FD5C54" w14:textId="77777777" w:rsidR="00F76CAD" w:rsidRDefault="00F76CAD" w:rsidP="00E867A3">
      <w:pPr>
        <w:pStyle w:val="Heading2"/>
      </w:pPr>
      <w:bookmarkStart w:id="22" w:name="_Toc234866855"/>
      <w:r>
        <w:t>Validity, Reliability and Research Quality</w:t>
      </w:r>
      <w:bookmarkEnd w:id="22"/>
    </w:p>
    <w:p w14:paraId="10CBC92D" w14:textId="77777777" w:rsidR="009F0174" w:rsidRDefault="009F0174" w:rsidP="00E867A3">
      <w:pPr>
        <w:pStyle w:val="isselectedend"/>
        <w:spacing w:line="360" w:lineRule="auto"/>
        <w:rPr>
          <w:rStyle w:val="cursor-pointer"/>
          <w:rFonts w:ascii="Geist Fallback" w:hAnsi="Geist Fallback"/>
          <w:sz w:val="23"/>
          <w:szCs w:val="23"/>
        </w:rPr>
      </w:pPr>
      <w:r>
        <w:rPr>
          <w:rStyle w:val="cursor-pointer"/>
          <w:rFonts w:ascii="Geist Fallback" w:hAnsi="Geist Fallback"/>
          <w:sz w:val="23"/>
          <w:szCs w:val="23"/>
        </w:rPr>
        <w:t>Constructing of the validity will be achieved by utilizing items from the questionnaires that are adopted from existing academic scales (Flake et al., 2022).</w:t>
      </w:r>
      <w:r>
        <w:rPr>
          <w:rFonts w:ascii="Geist Fallback" w:hAnsi="Geist Fallback"/>
          <w:sz w:val="23"/>
          <w:szCs w:val="23"/>
        </w:rPr>
        <w:t xml:space="preserve"> </w:t>
      </w:r>
      <w:r>
        <w:rPr>
          <w:rStyle w:val="cursor-pointer"/>
          <w:rFonts w:ascii="Geist Fallback" w:hAnsi="Geist Fallback"/>
          <w:sz w:val="23"/>
          <w:szCs w:val="23"/>
        </w:rPr>
        <w:t>The questionnaire will also be checked by the academic supervisor to determine whether it is suitable in presenting the research variables and objectives.</w:t>
      </w:r>
      <w:r>
        <w:rPr>
          <w:rFonts w:ascii="Geist Fallback" w:hAnsi="Geist Fallback"/>
          <w:sz w:val="23"/>
          <w:szCs w:val="23"/>
        </w:rPr>
        <w:t xml:space="preserve"> </w:t>
      </w:r>
      <w:r>
        <w:rPr>
          <w:rStyle w:val="cursor-pointer"/>
          <w:rFonts w:ascii="Geist Fallback" w:hAnsi="Geist Fallback"/>
          <w:sz w:val="23"/>
          <w:szCs w:val="23"/>
        </w:rPr>
        <w:t>Content validity will be assessed through the process of pilot testing which will identify unclear, repeated, leading or difficult to answer questions.</w:t>
      </w:r>
      <w:r>
        <w:rPr>
          <w:rFonts w:ascii="Geist Fallback" w:hAnsi="Geist Fallback"/>
          <w:sz w:val="23"/>
          <w:szCs w:val="23"/>
        </w:rPr>
        <w:t xml:space="preserve"> </w:t>
      </w:r>
      <w:r>
        <w:rPr>
          <w:rStyle w:val="cursor-pointer"/>
          <w:rFonts w:ascii="Geist Fallback" w:hAnsi="Geist Fallback"/>
          <w:sz w:val="23"/>
          <w:szCs w:val="23"/>
        </w:rPr>
        <w:t>Relevant pilot feedback will be used to modify the wording and structure of the questionnaire.</w:t>
      </w:r>
      <w:r>
        <w:rPr>
          <w:rFonts w:ascii="Geist Fallback" w:hAnsi="Geist Fallback"/>
          <w:sz w:val="23"/>
          <w:szCs w:val="23"/>
        </w:rPr>
        <w:t xml:space="preserve"> </w:t>
      </w:r>
      <w:r>
        <w:rPr>
          <w:rStyle w:val="cursor-pointer"/>
          <w:rFonts w:ascii="Geist Fallback" w:hAnsi="Geist Fallback"/>
          <w:sz w:val="23"/>
          <w:szCs w:val="23"/>
        </w:rPr>
        <w:t>Cronbach's alpha and corrected item-total correlations will be used to determine reliability.</w:t>
      </w:r>
      <w:r>
        <w:rPr>
          <w:rFonts w:ascii="Geist Fallback" w:hAnsi="Geist Fallback"/>
          <w:sz w:val="23"/>
          <w:szCs w:val="23"/>
        </w:rPr>
        <w:t xml:space="preserve"> </w:t>
      </w:r>
      <w:r>
        <w:rPr>
          <w:rStyle w:val="cursor-pointer"/>
          <w:rFonts w:ascii="Geist Fallback" w:hAnsi="Geist Fallback"/>
          <w:sz w:val="23"/>
          <w:szCs w:val="23"/>
        </w:rPr>
        <w:t>Any item which is likely to significantly affect the reliability of the scale can be deleted, provided it is theoretically justified and clearly stated in the end dissertation (Singh, 2022).</w:t>
      </w:r>
    </w:p>
    <w:p w14:paraId="74F181D6" w14:textId="77777777" w:rsidR="00FD1473" w:rsidRDefault="009F0174" w:rsidP="00E867A3">
      <w:pPr>
        <w:rPr>
          <w:rStyle w:val="cursor-pointer"/>
          <w:rFonts w:ascii="Geist Fallback" w:hAnsi="Geist Fallback" w:hint="eastAsia"/>
          <w:sz w:val="23"/>
          <w:szCs w:val="23"/>
        </w:rPr>
      </w:pPr>
      <w:r>
        <w:rPr>
          <w:rStyle w:val="cursor-pointer"/>
          <w:rFonts w:ascii="Geist Fallback" w:hAnsi="Geist Fallback"/>
          <w:sz w:val="23"/>
          <w:szCs w:val="23"/>
        </w:rPr>
        <w:t>To reduce the effect of leading questions and response bias (Grimmond, et al., 2025), the questions will be neutral and straightforward.</w:t>
      </w:r>
      <w:r>
        <w:t xml:space="preserve"> </w:t>
      </w:r>
      <w:r>
        <w:rPr>
          <w:rStyle w:val="cursor-pointer"/>
          <w:rFonts w:ascii="Geist Fallback" w:hAnsi="Geist Fallback"/>
          <w:sz w:val="23"/>
          <w:szCs w:val="23"/>
        </w:rPr>
        <w:t>When feasible, questions that measure privacy concerns and trust/loyalty will be included in separate blocks.</w:t>
      </w:r>
      <w:r>
        <w:t xml:space="preserve"> </w:t>
      </w:r>
      <w:r>
        <w:rPr>
          <w:rStyle w:val="cursor-pointer"/>
          <w:rFonts w:ascii="Geist Fallback" w:hAnsi="Geist Fallback"/>
          <w:sz w:val="23"/>
          <w:szCs w:val="23"/>
        </w:rPr>
        <w:t>It will also be explained to participants that there are no right or wrong answers, they must give honest answers.</w:t>
      </w:r>
      <w:r>
        <w:t xml:space="preserve"> </w:t>
      </w:r>
      <w:r>
        <w:rPr>
          <w:rStyle w:val="cursor-pointer"/>
          <w:rFonts w:ascii="Geist Fallback" w:hAnsi="Geist Fallback"/>
          <w:sz w:val="23"/>
          <w:szCs w:val="23"/>
        </w:rPr>
        <w:t xml:space="preserve">As both independent and dependent variables will be assessed by the same questionnaire, common-method bias </w:t>
      </w:r>
      <w:proofErr w:type="spellStart"/>
      <w:r>
        <w:rPr>
          <w:rStyle w:val="cursor-pointer"/>
          <w:rFonts w:ascii="Geist Fallback" w:hAnsi="Geist Fallback"/>
          <w:sz w:val="23"/>
          <w:szCs w:val="23"/>
        </w:rPr>
        <w:t>can not</w:t>
      </w:r>
      <w:proofErr w:type="spellEnd"/>
      <w:r>
        <w:rPr>
          <w:rStyle w:val="cursor-pointer"/>
          <w:rFonts w:ascii="Geist Fallback" w:hAnsi="Geist Fallback"/>
          <w:sz w:val="23"/>
          <w:szCs w:val="23"/>
        </w:rPr>
        <w:t xml:space="preserve"> be completely ruled </w:t>
      </w:r>
      <w:r>
        <w:rPr>
          <w:rStyle w:val="cursor-pointer"/>
          <w:rFonts w:ascii="Geist Fallback" w:hAnsi="Geist Fallback"/>
          <w:sz w:val="23"/>
          <w:szCs w:val="23"/>
        </w:rPr>
        <w:lastRenderedPageBreak/>
        <w:t>out.</w:t>
      </w:r>
      <w:r>
        <w:t xml:space="preserve"> </w:t>
      </w:r>
      <w:r>
        <w:rPr>
          <w:rStyle w:val="cursor-pointer"/>
          <w:rFonts w:ascii="Geist Fallback" w:hAnsi="Geist Fallback"/>
          <w:sz w:val="23"/>
          <w:szCs w:val="23"/>
        </w:rPr>
        <w:t>This risk will be minimized however, by using anonymous participation, clear wording, separation of the scale sections and variation of order of questionnaire items.</w:t>
      </w:r>
    </w:p>
    <w:p w14:paraId="700EDB50" w14:textId="77777777" w:rsidR="009F0174" w:rsidRPr="00FD1473" w:rsidRDefault="00FD1473" w:rsidP="00FD1473">
      <w:pPr>
        <w:spacing w:line="259" w:lineRule="auto"/>
        <w:jc w:val="left"/>
        <w:rPr>
          <w:rStyle w:val="cursor-pointer"/>
          <w:rFonts w:ascii="Geist Fallback" w:hAnsi="Geist Fallback" w:hint="eastAsia"/>
          <w:sz w:val="23"/>
          <w:szCs w:val="23"/>
        </w:rPr>
      </w:pPr>
      <w:r>
        <w:rPr>
          <w:rStyle w:val="cursor-pointer"/>
          <w:rFonts w:ascii="Geist Fallback" w:hAnsi="Geist Fallback" w:hint="eastAsia"/>
          <w:sz w:val="23"/>
          <w:szCs w:val="23"/>
        </w:rPr>
        <w:br w:type="page"/>
      </w:r>
    </w:p>
    <w:p w14:paraId="05006D8C" w14:textId="77777777" w:rsidR="00F76CAD" w:rsidRDefault="00E867A3" w:rsidP="00E867A3">
      <w:pPr>
        <w:pStyle w:val="Heading1"/>
      </w:pPr>
      <w:bookmarkStart w:id="23" w:name="_Toc234866856"/>
      <w:r>
        <w:lastRenderedPageBreak/>
        <w:t>Ethical Considerations</w:t>
      </w:r>
      <w:bookmarkEnd w:id="23"/>
    </w:p>
    <w:p w14:paraId="7C775378" w14:textId="77777777" w:rsidR="009F0174" w:rsidRDefault="009F0174" w:rsidP="00E867A3">
      <w:pPr>
        <w:pStyle w:val="isselectedend"/>
        <w:spacing w:line="360" w:lineRule="auto"/>
        <w:rPr>
          <w:rStyle w:val="cursor-pointer"/>
          <w:rFonts w:ascii="Geist Fallback" w:hAnsi="Geist Fallback"/>
          <w:sz w:val="23"/>
          <w:szCs w:val="23"/>
        </w:rPr>
      </w:pPr>
      <w:r>
        <w:rPr>
          <w:rStyle w:val="cursor-pointer"/>
          <w:rFonts w:ascii="Geist Fallback" w:hAnsi="Geist Fallback"/>
          <w:sz w:val="23"/>
          <w:szCs w:val="23"/>
        </w:rPr>
        <w:t>Before recruitment and data collection the approval of the relevant university ethics committee will be obtained.</w:t>
      </w:r>
      <w:r>
        <w:rPr>
          <w:rFonts w:ascii="Geist Fallback" w:hAnsi="Geist Fallback"/>
          <w:sz w:val="23"/>
          <w:szCs w:val="23"/>
        </w:rPr>
        <w:t xml:space="preserve"> </w:t>
      </w:r>
      <w:r>
        <w:rPr>
          <w:rStyle w:val="cursor-pointer"/>
          <w:rFonts w:ascii="Geist Fallback" w:hAnsi="Geist Fallback"/>
          <w:sz w:val="23"/>
          <w:szCs w:val="23"/>
        </w:rPr>
        <w:t>The participation will be on a voluntary basis with informed consent.</w:t>
      </w:r>
      <w:r>
        <w:rPr>
          <w:rFonts w:ascii="Geist Fallback" w:hAnsi="Geist Fallback"/>
          <w:sz w:val="23"/>
          <w:szCs w:val="23"/>
        </w:rPr>
        <w:t xml:space="preserve"> </w:t>
      </w:r>
      <w:r>
        <w:rPr>
          <w:rStyle w:val="cursor-pointer"/>
          <w:rFonts w:ascii="Geist Fallback" w:hAnsi="Geist Fallback"/>
          <w:sz w:val="23"/>
          <w:szCs w:val="23"/>
        </w:rPr>
        <w:t>Participants will be informed about the purpose for conducting the research, who is eligible, what will be done, how long it takes, how confidentiality will be maintained, how data will be used and withdrawal rights.</w:t>
      </w:r>
      <w:r>
        <w:rPr>
          <w:rFonts w:ascii="Geist Fallback" w:hAnsi="Geist Fallback"/>
          <w:sz w:val="23"/>
          <w:szCs w:val="23"/>
        </w:rPr>
        <w:t xml:space="preserve"> </w:t>
      </w:r>
      <w:r>
        <w:rPr>
          <w:rStyle w:val="cursor-pointer"/>
          <w:rFonts w:ascii="Geist Fallback" w:hAnsi="Geist Fallback"/>
          <w:sz w:val="23"/>
          <w:szCs w:val="23"/>
        </w:rPr>
        <w:t>They will be told that they can discontinue and not complete the questioner at any point prior to submission without any repercussions or penalty (Devi, and Saravanan, 2026).</w:t>
      </w:r>
      <w:r>
        <w:rPr>
          <w:rFonts w:ascii="Geist Fallback" w:hAnsi="Geist Fallback"/>
          <w:sz w:val="23"/>
          <w:szCs w:val="23"/>
        </w:rPr>
        <w:t xml:space="preserve"> </w:t>
      </w:r>
      <w:r>
        <w:rPr>
          <w:rStyle w:val="cursor-pointer"/>
          <w:rFonts w:ascii="Geist Fallback" w:hAnsi="Geist Fallback"/>
          <w:sz w:val="23"/>
          <w:szCs w:val="23"/>
        </w:rPr>
        <w:t xml:space="preserve">The study will relate to the privacy of customers, and data </w:t>
      </w:r>
      <w:proofErr w:type="spellStart"/>
      <w:r>
        <w:rPr>
          <w:rStyle w:val="cursor-pointer"/>
          <w:rFonts w:ascii="Geist Fallback" w:hAnsi="Geist Fallback"/>
          <w:sz w:val="23"/>
          <w:szCs w:val="23"/>
        </w:rPr>
        <w:t>minimisation</w:t>
      </w:r>
      <w:proofErr w:type="spellEnd"/>
      <w:r>
        <w:rPr>
          <w:rStyle w:val="cursor-pointer"/>
          <w:rFonts w:ascii="Geist Fallback" w:hAnsi="Geist Fallback"/>
          <w:sz w:val="23"/>
          <w:szCs w:val="23"/>
        </w:rPr>
        <w:t xml:space="preserve"> will be particularly important.</w:t>
      </w:r>
      <w:r>
        <w:rPr>
          <w:rFonts w:ascii="Geist Fallback" w:hAnsi="Geist Fallback"/>
          <w:sz w:val="23"/>
          <w:szCs w:val="23"/>
        </w:rPr>
        <w:t xml:space="preserve"> </w:t>
      </w:r>
      <w:r>
        <w:rPr>
          <w:rStyle w:val="cursor-pointer"/>
          <w:rFonts w:ascii="Geist Fallback" w:hAnsi="Geist Fallback"/>
          <w:sz w:val="23"/>
          <w:szCs w:val="23"/>
        </w:rPr>
        <w:t>The questionnaire will NOT ask for bank account numbers, passwords, exact amounts of money, or detailed information about transactions or other sensitive financial information.</w:t>
      </w:r>
    </w:p>
    <w:p w14:paraId="08CA2AF8" w14:textId="77777777" w:rsidR="007B3BD6" w:rsidRPr="007B3BD6" w:rsidRDefault="007B3BD6" w:rsidP="00E867A3">
      <w:pPr>
        <w:rPr>
          <w:rStyle w:val="cursor-pointer"/>
          <w:sz w:val="32"/>
          <w:szCs w:val="36"/>
        </w:rPr>
      </w:pPr>
      <w:r>
        <w:rPr>
          <w:rStyle w:val="cursor-pointer"/>
          <w:rFonts w:ascii="Geist Fallback" w:hAnsi="Geist Fallback"/>
          <w:sz w:val="23"/>
          <w:szCs w:val="23"/>
        </w:rPr>
        <w:t>Survey responses will be anonymous, to the extent that they can be made anonymous.</w:t>
      </w:r>
      <w:r>
        <w:t xml:space="preserve"> </w:t>
      </w:r>
      <w:r>
        <w:rPr>
          <w:rStyle w:val="cursor-pointer"/>
          <w:rFonts w:ascii="Geist Fallback" w:hAnsi="Geist Fallback"/>
          <w:sz w:val="23"/>
          <w:szCs w:val="23"/>
        </w:rPr>
        <w:t>IP addresses will not be intentionally recorded nor will unnecessary identifying information be collected.</w:t>
      </w:r>
      <w:r>
        <w:t xml:space="preserve"> </w:t>
      </w:r>
      <w:r>
        <w:rPr>
          <w:rStyle w:val="cursor-pointer"/>
          <w:rFonts w:ascii="Geist Fallback" w:hAnsi="Geist Fallback"/>
          <w:sz w:val="23"/>
          <w:szCs w:val="23"/>
        </w:rPr>
        <w:t>Demographic questions will be general and will minimize the risk of identifying individual respondents (Kircher, and Zipp, 2022).</w:t>
      </w:r>
      <w:r>
        <w:t xml:space="preserve"> </w:t>
      </w:r>
      <w:r>
        <w:rPr>
          <w:rStyle w:val="cursor-pointer"/>
          <w:rFonts w:ascii="Geist Fallback" w:hAnsi="Geist Fallback"/>
          <w:sz w:val="23"/>
          <w:szCs w:val="23"/>
        </w:rPr>
        <w:t>Collected data will be saved on a password protected and University approved system.</w:t>
      </w:r>
      <w:r>
        <w:t xml:space="preserve"> </w:t>
      </w:r>
      <w:r>
        <w:rPr>
          <w:rStyle w:val="cursor-pointer"/>
          <w:rFonts w:ascii="Geist Fallback" w:hAnsi="Geist Fallback"/>
          <w:sz w:val="23"/>
          <w:szCs w:val="23"/>
        </w:rPr>
        <w:t>The researcher and academic supervisor will be the only users of the access.</w:t>
      </w:r>
      <w:r>
        <w:t xml:space="preserve"> </w:t>
      </w:r>
      <w:r>
        <w:rPr>
          <w:rStyle w:val="cursor-pointer"/>
          <w:rFonts w:ascii="Geist Fallback" w:hAnsi="Geist Fallback"/>
          <w:sz w:val="23"/>
          <w:szCs w:val="23"/>
        </w:rPr>
        <w:t>Research data will be kept and deleted securely based on the university data-retention policy.</w:t>
      </w:r>
      <w:r>
        <w:t xml:space="preserve"> </w:t>
      </w:r>
      <w:r>
        <w:rPr>
          <w:rStyle w:val="cursor-pointer"/>
          <w:rFonts w:ascii="Geist Fallback" w:hAnsi="Geist Fallback"/>
          <w:sz w:val="23"/>
          <w:szCs w:val="23"/>
        </w:rPr>
        <w:t>The results will be reported as totals.</w:t>
      </w:r>
      <w:r>
        <w:t xml:space="preserve"> </w:t>
      </w:r>
      <w:r>
        <w:rPr>
          <w:rStyle w:val="cursor-pointer"/>
          <w:rFonts w:ascii="Geist Fallback" w:hAnsi="Geist Fallback"/>
          <w:sz w:val="23"/>
          <w:szCs w:val="23"/>
        </w:rPr>
        <w:t>The dissertation, presentation or other research product will not identify any individual participant.</w:t>
      </w:r>
      <w:r>
        <w:t xml:space="preserve"> </w:t>
      </w:r>
      <w:r>
        <w:rPr>
          <w:rStyle w:val="cursor-pointer"/>
          <w:rFonts w:ascii="Geist Fallback" w:hAnsi="Geist Fallback"/>
          <w:sz w:val="23"/>
          <w:szCs w:val="23"/>
        </w:rPr>
        <w:t>The study will adhere to the principles of the UK General Data Protection Regulation (GDPR), the Data Protection Act 2018, and relevant University research policies.</w:t>
      </w:r>
    </w:p>
    <w:p w14:paraId="4EDF0FAF" w14:textId="77777777" w:rsidR="00F76CAD" w:rsidRDefault="00E867A3" w:rsidP="00E867A3">
      <w:pPr>
        <w:pStyle w:val="Heading1"/>
      </w:pPr>
      <w:bookmarkStart w:id="24" w:name="_Toc234866857"/>
      <w:r>
        <w:t>Resource Implications and Needs</w:t>
      </w:r>
      <w:bookmarkEnd w:id="24"/>
    </w:p>
    <w:p w14:paraId="5E699120" w14:textId="77777777" w:rsidR="007B3BD6" w:rsidRDefault="007B3BD6" w:rsidP="00E867A3">
      <w:pPr>
        <w:pStyle w:val="isselectedend"/>
        <w:spacing w:line="360" w:lineRule="auto"/>
        <w:rPr>
          <w:rStyle w:val="cursor-pointer"/>
          <w:rFonts w:ascii="Geist Fallback" w:hAnsi="Geist Fallback"/>
          <w:sz w:val="23"/>
          <w:szCs w:val="23"/>
        </w:rPr>
      </w:pPr>
      <w:r>
        <w:rPr>
          <w:rStyle w:val="cursor-pointer"/>
          <w:rFonts w:ascii="Geist Fallback" w:hAnsi="Geist Fallback"/>
          <w:sz w:val="23"/>
          <w:szCs w:val="23"/>
        </w:rPr>
        <w:t>The financial requirements of the proposed research will be limited.</w:t>
      </w:r>
      <w:r>
        <w:rPr>
          <w:rFonts w:ascii="Geist Fallback" w:hAnsi="Geist Fallback"/>
          <w:sz w:val="23"/>
          <w:szCs w:val="23"/>
        </w:rPr>
        <w:t xml:space="preserve"> </w:t>
      </w:r>
      <w:r>
        <w:rPr>
          <w:rStyle w:val="cursor-pointer"/>
          <w:rFonts w:ascii="Geist Fallback" w:hAnsi="Geist Fallback"/>
          <w:sz w:val="23"/>
          <w:szCs w:val="23"/>
        </w:rPr>
        <w:t>The study could be conducted with software available in the institution like Microsoft Forms for questionnaire dissemination and SPSS software for doing the statistical analysis (Singh, 2022).</w:t>
      </w:r>
      <w:r>
        <w:rPr>
          <w:rFonts w:ascii="Geist Fallback" w:hAnsi="Geist Fallback"/>
          <w:sz w:val="23"/>
          <w:szCs w:val="23"/>
        </w:rPr>
        <w:t xml:space="preserve"> </w:t>
      </w:r>
      <w:r>
        <w:rPr>
          <w:rStyle w:val="cursor-pointer"/>
          <w:rFonts w:ascii="Geist Fallback" w:hAnsi="Geist Fallback"/>
          <w:sz w:val="23"/>
          <w:szCs w:val="23"/>
        </w:rPr>
        <w:t>Key human resource consist of researcher, academic supervisor, pilot participants as well as the approximately 80-100 survey participants.</w:t>
      </w:r>
      <w:r>
        <w:rPr>
          <w:rFonts w:ascii="Geist Fallback" w:hAnsi="Geist Fallback"/>
          <w:sz w:val="23"/>
          <w:szCs w:val="23"/>
        </w:rPr>
        <w:t xml:space="preserve"> </w:t>
      </w:r>
      <w:r>
        <w:rPr>
          <w:rStyle w:val="cursor-pointer"/>
          <w:rFonts w:ascii="Geist Fallback" w:hAnsi="Geist Fallback"/>
          <w:sz w:val="23"/>
          <w:szCs w:val="23"/>
        </w:rPr>
        <w:t>The supervisor will offer instructions for questionnaire design, ethical documentation, sampling, statistical analysis and interpretation.</w:t>
      </w:r>
    </w:p>
    <w:p w14:paraId="12F16FB0" w14:textId="77777777" w:rsidR="007B3BD6" w:rsidRPr="007B3BD6" w:rsidRDefault="007B3BD6" w:rsidP="00E867A3">
      <w:pPr>
        <w:rPr>
          <w:rStyle w:val="cursor-pointer"/>
          <w:sz w:val="32"/>
          <w:szCs w:val="36"/>
        </w:rPr>
      </w:pPr>
      <w:r>
        <w:rPr>
          <w:rStyle w:val="cursor-pointer"/>
          <w:rFonts w:ascii="Geist Fallback" w:hAnsi="Geist Fallback"/>
          <w:sz w:val="23"/>
          <w:szCs w:val="23"/>
        </w:rPr>
        <w:t>No formal permissions will be required for the research from an individual FinTech company as participants will be recruited as consumers in an independent manner.</w:t>
      </w:r>
      <w:r>
        <w:t xml:space="preserve"> </w:t>
      </w:r>
      <w:r>
        <w:rPr>
          <w:rStyle w:val="cursor-pointer"/>
          <w:rFonts w:ascii="Geist Fallback" w:hAnsi="Geist Fallback"/>
          <w:sz w:val="23"/>
          <w:szCs w:val="23"/>
        </w:rPr>
        <w:t xml:space="preserve">This will make it more feasible </w:t>
      </w:r>
      <w:r>
        <w:rPr>
          <w:rStyle w:val="cursor-pointer"/>
          <w:rFonts w:ascii="Geist Fallback" w:hAnsi="Geist Fallback"/>
          <w:sz w:val="23"/>
          <w:szCs w:val="23"/>
        </w:rPr>
        <w:lastRenderedPageBreak/>
        <w:t xml:space="preserve">and </w:t>
      </w:r>
      <w:proofErr w:type="spellStart"/>
      <w:r>
        <w:rPr>
          <w:rStyle w:val="cursor-pointer"/>
          <w:rFonts w:ascii="Geist Fallback" w:hAnsi="Geist Fallback"/>
          <w:sz w:val="23"/>
          <w:szCs w:val="23"/>
        </w:rPr>
        <w:t>minimise</w:t>
      </w:r>
      <w:proofErr w:type="spellEnd"/>
      <w:r>
        <w:rPr>
          <w:rStyle w:val="cursor-pointer"/>
          <w:rFonts w:ascii="Geist Fallback" w:hAnsi="Geist Fallback"/>
          <w:sz w:val="23"/>
          <w:szCs w:val="23"/>
        </w:rPr>
        <w:t xml:space="preserve"> the potential for problems arising from organisational gatekeeping.</w:t>
      </w:r>
      <w:r>
        <w:t xml:space="preserve"> </w:t>
      </w:r>
      <w:r>
        <w:rPr>
          <w:rStyle w:val="cursor-pointer"/>
          <w:rFonts w:ascii="Geist Fallback" w:hAnsi="Geist Fallback"/>
          <w:sz w:val="23"/>
          <w:szCs w:val="23"/>
        </w:rPr>
        <w:t>A large enough sample of the UK population of eligible respondents is the main resource risk.</w:t>
      </w:r>
      <w:r>
        <w:t xml:space="preserve"> </w:t>
      </w:r>
      <w:r>
        <w:rPr>
          <w:rStyle w:val="cursor-pointer"/>
          <w:rFonts w:ascii="Geist Fallback" w:hAnsi="Geist Fallback"/>
          <w:sz w:val="23"/>
          <w:szCs w:val="23"/>
        </w:rPr>
        <w:t>In order to mitigate this risk, the survey will be shared via a variety of recruitment channels, such as contacts in universities, professional networks, communities and social media online platforms (Zindel, 2023).</w:t>
      </w:r>
      <w:r>
        <w:t xml:space="preserve"> </w:t>
      </w:r>
      <w:r>
        <w:rPr>
          <w:rStyle w:val="cursor-pointer"/>
          <w:rFonts w:ascii="Geist Fallback" w:hAnsi="Geist Fallback"/>
          <w:sz w:val="23"/>
          <w:szCs w:val="23"/>
        </w:rPr>
        <w:t>The researcher will strive to gather 100 questionnaires respectively to get at least 80 questionnaires after screening and data cleaning.</w:t>
      </w:r>
    </w:p>
    <w:p w14:paraId="53567E77" w14:textId="77777777" w:rsidR="00F76CAD" w:rsidRDefault="00E867A3" w:rsidP="00E867A3">
      <w:pPr>
        <w:pStyle w:val="Heading1"/>
      </w:pPr>
      <w:bookmarkStart w:id="25" w:name="_Toc234866858"/>
      <w:r>
        <w:t>Time Plan</w:t>
      </w:r>
      <w:bookmarkEnd w:id="25"/>
    </w:p>
    <w:p w14:paraId="383E78AB" w14:textId="77777777" w:rsidR="00091A04" w:rsidRDefault="00091A04" w:rsidP="00E867A3"/>
    <w:tbl>
      <w:tblPr>
        <w:tblStyle w:val="TableGrid"/>
        <w:tblW w:w="9895" w:type="dxa"/>
        <w:jc w:val="center"/>
        <w:tblLook w:val="04A0" w:firstRow="1" w:lastRow="0" w:firstColumn="1" w:lastColumn="0" w:noHBand="0" w:noVBand="1"/>
      </w:tblPr>
      <w:tblGrid>
        <w:gridCol w:w="2302"/>
        <w:gridCol w:w="1060"/>
        <w:gridCol w:w="1060"/>
        <w:gridCol w:w="1061"/>
        <w:gridCol w:w="1061"/>
        <w:gridCol w:w="1061"/>
        <w:gridCol w:w="1061"/>
        <w:gridCol w:w="1229"/>
      </w:tblGrid>
      <w:tr w:rsidR="00F05285" w:rsidRPr="00B6749C" w14:paraId="71B215A9" w14:textId="77777777" w:rsidTr="00B6749C">
        <w:trPr>
          <w:trHeight w:hRule="exact" w:val="652"/>
          <w:jc w:val="center"/>
        </w:trPr>
        <w:tc>
          <w:tcPr>
            <w:tcW w:w="2302" w:type="dxa"/>
            <w:vAlign w:val="center"/>
          </w:tcPr>
          <w:p w14:paraId="4FA7FF01" w14:textId="77777777" w:rsidR="00091A04" w:rsidRPr="00B6749C" w:rsidRDefault="00D74C1E" w:rsidP="00E867A3">
            <w:pPr>
              <w:jc w:val="center"/>
              <w:rPr>
                <w:rFonts w:cs="Arial"/>
                <w:sz w:val="28"/>
                <w:szCs w:val="28"/>
              </w:rPr>
            </w:pPr>
            <w:r w:rsidRPr="00B6749C">
              <w:rPr>
                <w:rFonts w:eastAsia="Times New Roman" w:cs="Arial"/>
                <w:b/>
                <w:sz w:val="28"/>
                <w:szCs w:val="28"/>
              </w:rPr>
              <w:t xml:space="preserve">Task </w:t>
            </w:r>
          </w:p>
        </w:tc>
        <w:tc>
          <w:tcPr>
            <w:tcW w:w="1060" w:type="dxa"/>
            <w:vAlign w:val="center"/>
          </w:tcPr>
          <w:p w14:paraId="7AEE9CC1" w14:textId="77777777" w:rsidR="00091A04" w:rsidRPr="00B6749C" w:rsidRDefault="00F05285" w:rsidP="00E867A3">
            <w:pPr>
              <w:jc w:val="center"/>
              <w:rPr>
                <w:rFonts w:cs="Arial"/>
                <w:sz w:val="24"/>
                <w:szCs w:val="28"/>
              </w:rPr>
            </w:pPr>
            <w:proofErr w:type="spellStart"/>
            <w:r w:rsidRPr="00B6749C">
              <w:rPr>
                <w:rFonts w:eastAsia="Times New Roman" w:cs="Arial"/>
                <w:b/>
                <w:sz w:val="24"/>
                <w:szCs w:val="28"/>
              </w:rPr>
              <w:t>Wk</w:t>
            </w:r>
            <w:proofErr w:type="spellEnd"/>
            <w:r w:rsidRPr="00B6749C">
              <w:rPr>
                <w:rFonts w:eastAsia="Times New Roman" w:cs="Arial"/>
                <w:b/>
                <w:sz w:val="24"/>
                <w:szCs w:val="28"/>
              </w:rPr>
              <w:t xml:space="preserve"> 1-2</w:t>
            </w:r>
          </w:p>
        </w:tc>
        <w:tc>
          <w:tcPr>
            <w:tcW w:w="1060" w:type="dxa"/>
            <w:vAlign w:val="center"/>
          </w:tcPr>
          <w:p w14:paraId="2F009EB0" w14:textId="77777777" w:rsidR="00091A04" w:rsidRPr="00B6749C" w:rsidRDefault="00F05285" w:rsidP="00E867A3">
            <w:pPr>
              <w:jc w:val="center"/>
              <w:rPr>
                <w:rFonts w:cs="Arial"/>
                <w:sz w:val="24"/>
                <w:szCs w:val="28"/>
              </w:rPr>
            </w:pPr>
            <w:proofErr w:type="spellStart"/>
            <w:r w:rsidRPr="00B6749C">
              <w:rPr>
                <w:rFonts w:eastAsia="Times New Roman" w:cs="Arial"/>
                <w:b/>
                <w:sz w:val="24"/>
                <w:szCs w:val="28"/>
              </w:rPr>
              <w:t>Wk</w:t>
            </w:r>
            <w:proofErr w:type="spellEnd"/>
            <w:r w:rsidRPr="00B6749C">
              <w:rPr>
                <w:rFonts w:eastAsia="Times New Roman" w:cs="Arial"/>
                <w:b/>
                <w:sz w:val="24"/>
                <w:szCs w:val="28"/>
              </w:rPr>
              <w:t xml:space="preserve"> 3-4</w:t>
            </w:r>
          </w:p>
        </w:tc>
        <w:tc>
          <w:tcPr>
            <w:tcW w:w="1061" w:type="dxa"/>
            <w:vAlign w:val="center"/>
          </w:tcPr>
          <w:p w14:paraId="45D4821B" w14:textId="77777777" w:rsidR="00091A04" w:rsidRPr="00B6749C" w:rsidRDefault="00F05285" w:rsidP="00E867A3">
            <w:pPr>
              <w:jc w:val="center"/>
              <w:rPr>
                <w:rFonts w:cs="Arial"/>
                <w:sz w:val="24"/>
                <w:szCs w:val="28"/>
              </w:rPr>
            </w:pPr>
            <w:proofErr w:type="spellStart"/>
            <w:r w:rsidRPr="00B6749C">
              <w:rPr>
                <w:rFonts w:eastAsia="Times New Roman" w:cs="Arial"/>
                <w:b/>
                <w:sz w:val="24"/>
                <w:szCs w:val="28"/>
              </w:rPr>
              <w:t>Wk</w:t>
            </w:r>
            <w:proofErr w:type="spellEnd"/>
            <w:r w:rsidRPr="00B6749C">
              <w:rPr>
                <w:rFonts w:eastAsia="Times New Roman" w:cs="Arial"/>
                <w:b/>
                <w:sz w:val="24"/>
                <w:szCs w:val="28"/>
              </w:rPr>
              <w:t xml:space="preserve"> 4-6</w:t>
            </w:r>
          </w:p>
        </w:tc>
        <w:tc>
          <w:tcPr>
            <w:tcW w:w="1061" w:type="dxa"/>
            <w:vAlign w:val="center"/>
          </w:tcPr>
          <w:p w14:paraId="04901A2F" w14:textId="77777777" w:rsidR="00091A04" w:rsidRPr="00B6749C" w:rsidRDefault="00F05285" w:rsidP="00E867A3">
            <w:pPr>
              <w:jc w:val="center"/>
              <w:rPr>
                <w:rFonts w:cs="Arial"/>
                <w:sz w:val="24"/>
                <w:szCs w:val="28"/>
              </w:rPr>
            </w:pPr>
            <w:proofErr w:type="spellStart"/>
            <w:r w:rsidRPr="00B6749C">
              <w:rPr>
                <w:rFonts w:eastAsia="Times New Roman" w:cs="Arial"/>
                <w:b/>
                <w:sz w:val="24"/>
                <w:szCs w:val="28"/>
              </w:rPr>
              <w:t>Wk</w:t>
            </w:r>
            <w:proofErr w:type="spellEnd"/>
            <w:r w:rsidRPr="00B6749C">
              <w:rPr>
                <w:rFonts w:eastAsia="Times New Roman" w:cs="Arial"/>
                <w:b/>
                <w:sz w:val="24"/>
                <w:szCs w:val="28"/>
              </w:rPr>
              <w:t xml:space="preserve"> 6-8</w:t>
            </w:r>
          </w:p>
        </w:tc>
        <w:tc>
          <w:tcPr>
            <w:tcW w:w="1061" w:type="dxa"/>
            <w:vAlign w:val="center"/>
          </w:tcPr>
          <w:p w14:paraId="27491E6B" w14:textId="77777777" w:rsidR="00091A04" w:rsidRPr="00B6749C" w:rsidRDefault="00F05285" w:rsidP="00E867A3">
            <w:pPr>
              <w:jc w:val="center"/>
              <w:rPr>
                <w:rFonts w:cs="Arial"/>
                <w:sz w:val="24"/>
                <w:szCs w:val="28"/>
              </w:rPr>
            </w:pPr>
            <w:proofErr w:type="spellStart"/>
            <w:r w:rsidRPr="00B6749C">
              <w:rPr>
                <w:rFonts w:eastAsia="Times New Roman" w:cs="Arial"/>
                <w:b/>
                <w:sz w:val="24"/>
                <w:szCs w:val="28"/>
              </w:rPr>
              <w:t>Wk</w:t>
            </w:r>
            <w:proofErr w:type="spellEnd"/>
            <w:r w:rsidRPr="00B6749C">
              <w:rPr>
                <w:rFonts w:eastAsia="Times New Roman" w:cs="Arial"/>
                <w:b/>
                <w:sz w:val="24"/>
                <w:szCs w:val="28"/>
              </w:rPr>
              <w:t xml:space="preserve"> 9</w:t>
            </w:r>
          </w:p>
        </w:tc>
        <w:tc>
          <w:tcPr>
            <w:tcW w:w="1061" w:type="dxa"/>
            <w:vAlign w:val="center"/>
          </w:tcPr>
          <w:p w14:paraId="3B20C231" w14:textId="77777777" w:rsidR="00091A04" w:rsidRPr="00B6749C" w:rsidRDefault="00F05285" w:rsidP="00E867A3">
            <w:pPr>
              <w:jc w:val="center"/>
              <w:rPr>
                <w:rFonts w:cs="Arial"/>
                <w:sz w:val="24"/>
                <w:szCs w:val="28"/>
              </w:rPr>
            </w:pPr>
            <w:proofErr w:type="spellStart"/>
            <w:r w:rsidRPr="00B6749C">
              <w:rPr>
                <w:rFonts w:eastAsia="Times New Roman" w:cs="Arial"/>
                <w:b/>
                <w:sz w:val="24"/>
                <w:szCs w:val="28"/>
              </w:rPr>
              <w:t>Wk</w:t>
            </w:r>
            <w:proofErr w:type="spellEnd"/>
            <w:r w:rsidR="00B6749C" w:rsidRPr="00B6749C">
              <w:rPr>
                <w:rFonts w:eastAsia="Times New Roman" w:cs="Arial"/>
                <w:b/>
                <w:sz w:val="24"/>
                <w:szCs w:val="28"/>
              </w:rPr>
              <w:t xml:space="preserve"> 10</w:t>
            </w:r>
            <w:r w:rsidR="00B6749C">
              <w:rPr>
                <w:rFonts w:eastAsia="Times New Roman" w:cs="Arial"/>
                <w:b/>
                <w:sz w:val="24"/>
                <w:szCs w:val="28"/>
              </w:rPr>
              <w:t xml:space="preserve"> </w:t>
            </w:r>
          </w:p>
        </w:tc>
        <w:tc>
          <w:tcPr>
            <w:tcW w:w="1229" w:type="dxa"/>
            <w:vAlign w:val="center"/>
          </w:tcPr>
          <w:p w14:paraId="72C6AB0A" w14:textId="77777777" w:rsidR="00091A04" w:rsidRPr="00B6749C" w:rsidRDefault="00B6749C" w:rsidP="00E867A3">
            <w:pPr>
              <w:jc w:val="center"/>
              <w:rPr>
                <w:rFonts w:eastAsia="Times New Roman" w:cs="Arial"/>
                <w:b/>
                <w:sz w:val="24"/>
                <w:szCs w:val="28"/>
              </w:rPr>
            </w:pPr>
            <w:proofErr w:type="spellStart"/>
            <w:r>
              <w:rPr>
                <w:rFonts w:eastAsia="Times New Roman" w:cs="Arial"/>
                <w:b/>
                <w:sz w:val="24"/>
                <w:szCs w:val="28"/>
              </w:rPr>
              <w:t>Wk</w:t>
            </w:r>
            <w:proofErr w:type="spellEnd"/>
            <w:r>
              <w:rPr>
                <w:rFonts w:eastAsia="Times New Roman" w:cs="Arial"/>
                <w:b/>
                <w:sz w:val="24"/>
                <w:szCs w:val="28"/>
              </w:rPr>
              <w:t xml:space="preserve"> 11-</w:t>
            </w:r>
            <w:r w:rsidR="00F05285" w:rsidRPr="00B6749C">
              <w:rPr>
                <w:rFonts w:eastAsia="Times New Roman" w:cs="Arial"/>
                <w:b/>
                <w:sz w:val="24"/>
                <w:szCs w:val="28"/>
              </w:rPr>
              <w:t>12</w:t>
            </w:r>
          </w:p>
          <w:p w14:paraId="4A9C8549" w14:textId="77777777" w:rsidR="00B6749C" w:rsidRPr="00B6749C" w:rsidRDefault="00B6749C" w:rsidP="00E867A3">
            <w:pPr>
              <w:jc w:val="center"/>
              <w:rPr>
                <w:rFonts w:cs="Arial"/>
                <w:sz w:val="24"/>
                <w:szCs w:val="28"/>
              </w:rPr>
            </w:pPr>
          </w:p>
        </w:tc>
      </w:tr>
      <w:tr w:rsidR="00F05285" w:rsidRPr="00B6749C" w14:paraId="1126F651" w14:textId="77777777" w:rsidTr="00B6749C">
        <w:trPr>
          <w:trHeight w:hRule="exact" w:val="732"/>
          <w:jc w:val="center"/>
        </w:trPr>
        <w:tc>
          <w:tcPr>
            <w:tcW w:w="2302" w:type="dxa"/>
            <w:vAlign w:val="center"/>
          </w:tcPr>
          <w:p w14:paraId="57F5F3EC" w14:textId="77777777" w:rsidR="00091A04" w:rsidRPr="00E867A3" w:rsidRDefault="008A7117" w:rsidP="00E867A3">
            <w:pPr>
              <w:rPr>
                <w:rFonts w:cs="Arial"/>
                <w:sz w:val="24"/>
                <w:szCs w:val="28"/>
              </w:rPr>
            </w:pPr>
            <w:r w:rsidRPr="00E867A3">
              <w:rPr>
                <w:rFonts w:eastAsia="Times New Roman" w:cs="Arial"/>
                <w:sz w:val="24"/>
                <w:szCs w:val="28"/>
              </w:rPr>
              <w:t>Proposal and Approval</w:t>
            </w:r>
          </w:p>
        </w:tc>
        <w:tc>
          <w:tcPr>
            <w:tcW w:w="1060" w:type="dxa"/>
            <w:shd w:val="clear" w:color="auto" w:fill="70AD47"/>
            <w:vAlign w:val="center"/>
          </w:tcPr>
          <w:p w14:paraId="119B8492" w14:textId="77777777" w:rsidR="00091A04" w:rsidRPr="00B6749C" w:rsidRDefault="00091A04" w:rsidP="00E867A3">
            <w:pPr>
              <w:jc w:val="center"/>
              <w:rPr>
                <w:rFonts w:cs="Arial"/>
                <w:sz w:val="28"/>
                <w:szCs w:val="28"/>
              </w:rPr>
            </w:pPr>
          </w:p>
        </w:tc>
        <w:tc>
          <w:tcPr>
            <w:tcW w:w="1060" w:type="dxa"/>
            <w:vAlign w:val="center"/>
          </w:tcPr>
          <w:p w14:paraId="163994BB" w14:textId="77777777" w:rsidR="00091A04" w:rsidRPr="00B6749C" w:rsidRDefault="00091A04" w:rsidP="00E867A3">
            <w:pPr>
              <w:jc w:val="center"/>
              <w:rPr>
                <w:rFonts w:cs="Arial"/>
                <w:sz w:val="28"/>
                <w:szCs w:val="28"/>
              </w:rPr>
            </w:pPr>
          </w:p>
        </w:tc>
        <w:tc>
          <w:tcPr>
            <w:tcW w:w="1061" w:type="dxa"/>
            <w:vAlign w:val="center"/>
          </w:tcPr>
          <w:p w14:paraId="3A0B8C8C" w14:textId="77777777" w:rsidR="00091A04" w:rsidRPr="00B6749C" w:rsidRDefault="00091A04" w:rsidP="00E867A3">
            <w:pPr>
              <w:jc w:val="center"/>
              <w:rPr>
                <w:rFonts w:cs="Arial"/>
                <w:sz w:val="28"/>
                <w:szCs w:val="28"/>
              </w:rPr>
            </w:pPr>
          </w:p>
        </w:tc>
        <w:tc>
          <w:tcPr>
            <w:tcW w:w="1061" w:type="dxa"/>
            <w:vAlign w:val="center"/>
          </w:tcPr>
          <w:p w14:paraId="681B9CB1" w14:textId="77777777" w:rsidR="00091A04" w:rsidRPr="00B6749C" w:rsidRDefault="00091A04" w:rsidP="00E867A3">
            <w:pPr>
              <w:jc w:val="center"/>
              <w:rPr>
                <w:rFonts w:cs="Arial"/>
                <w:sz w:val="28"/>
                <w:szCs w:val="28"/>
              </w:rPr>
            </w:pPr>
          </w:p>
        </w:tc>
        <w:tc>
          <w:tcPr>
            <w:tcW w:w="1061" w:type="dxa"/>
            <w:vAlign w:val="center"/>
          </w:tcPr>
          <w:p w14:paraId="0657173C" w14:textId="77777777" w:rsidR="00091A04" w:rsidRPr="00B6749C" w:rsidRDefault="00091A04" w:rsidP="00E867A3">
            <w:pPr>
              <w:jc w:val="center"/>
              <w:rPr>
                <w:rFonts w:cs="Arial"/>
                <w:sz w:val="28"/>
                <w:szCs w:val="28"/>
              </w:rPr>
            </w:pPr>
          </w:p>
        </w:tc>
        <w:tc>
          <w:tcPr>
            <w:tcW w:w="1061" w:type="dxa"/>
            <w:vAlign w:val="center"/>
          </w:tcPr>
          <w:p w14:paraId="5622FF9C" w14:textId="77777777" w:rsidR="00091A04" w:rsidRPr="00B6749C" w:rsidRDefault="00091A04" w:rsidP="00E867A3">
            <w:pPr>
              <w:jc w:val="center"/>
              <w:rPr>
                <w:rFonts w:cs="Arial"/>
                <w:sz w:val="28"/>
                <w:szCs w:val="28"/>
              </w:rPr>
            </w:pPr>
          </w:p>
        </w:tc>
        <w:tc>
          <w:tcPr>
            <w:tcW w:w="1229" w:type="dxa"/>
            <w:vAlign w:val="center"/>
          </w:tcPr>
          <w:p w14:paraId="17B4E0F6" w14:textId="77777777" w:rsidR="00091A04" w:rsidRPr="00B6749C" w:rsidRDefault="00091A04" w:rsidP="00E867A3">
            <w:pPr>
              <w:jc w:val="center"/>
              <w:rPr>
                <w:rFonts w:cs="Arial"/>
                <w:sz w:val="28"/>
                <w:szCs w:val="28"/>
              </w:rPr>
            </w:pPr>
          </w:p>
        </w:tc>
      </w:tr>
      <w:tr w:rsidR="00F05285" w:rsidRPr="00B6749C" w14:paraId="7D63CD0D" w14:textId="77777777" w:rsidTr="00B6749C">
        <w:trPr>
          <w:trHeight w:hRule="exact" w:val="732"/>
          <w:jc w:val="center"/>
        </w:trPr>
        <w:tc>
          <w:tcPr>
            <w:tcW w:w="2302" w:type="dxa"/>
            <w:vAlign w:val="center"/>
          </w:tcPr>
          <w:p w14:paraId="1EC436B4" w14:textId="77777777" w:rsidR="00091A04" w:rsidRPr="00E867A3" w:rsidRDefault="008A7117" w:rsidP="00E867A3">
            <w:pPr>
              <w:rPr>
                <w:rFonts w:cs="Arial"/>
                <w:sz w:val="24"/>
                <w:szCs w:val="28"/>
              </w:rPr>
            </w:pPr>
            <w:r w:rsidRPr="00E867A3">
              <w:rPr>
                <w:rFonts w:eastAsia="Times New Roman" w:cs="Arial"/>
                <w:sz w:val="24"/>
                <w:szCs w:val="28"/>
              </w:rPr>
              <w:t>Introduction and Literature</w:t>
            </w:r>
          </w:p>
        </w:tc>
        <w:tc>
          <w:tcPr>
            <w:tcW w:w="1060" w:type="dxa"/>
            <w:shd w:val="clear" w:color="auto" w:fill="D6E3BC" w:themeFill="accent3" w:themeFillTint="66"/>
            <w:vAlign w:val="center"/>
          </w:tcPr>
          <w:p w14:paraId="6873507C" w14:textId="77777777" w:rsidR="00091A04" w:rsidRPr="00B6749C" w:rsidRDefault="00091A04" w:rsidP="00E867A3">
            <w:pPr>
              <w:jc w:val="center"/>
              <w:rPr>
                <w:rFonts w:cs="Arial"/>
                <w:sz w:val="28"/>
                <w:szCs w:val="28"/>
              </w:rPr>
            </w:pPr>
          </w:p>
        </w:tc>
        <w:tc>
          <w:tcPr>
            <w:tcW w:w="1060" w:type="dxa"/>
            <w:shd w:val="clear" w:color="auto" w:fill="D6E3BC" w:themeFill="accent3" w:themeFillTint="66"/>
            <w:vAlign w:val="center"/>
          </w:tcPr>
          <w:p w14:paraId="2AE38E9F" w14:textId="77777777" w:rsidR="00091A04" w:rsidRPr="00B6749C" w:rsidRDefault="00091A04" w:rsidP="00E867A3">
            <w:pPr>
              <w:jc w:val="center"/>
              <w:rPr>
                <w:rFonts w:cs="Arial"/>
                <w:sz w:val="28"/>
                <w:szCs w:val="28"/>
              </w:rPr>
            </w:pPr>
          </w:p>
        </w:tc>
        <w:tc>
          <w:tcPr>
            <w:tcW w:w="1061" w:type="dxa"/>
            <w:shd w:val="clear" w:color="auto" w:fill="FFFFFF" w:themeFill="background1"/>
            <w:vAlign w:val="center"/>
          </w:tcPr>
          <w:p w14:paraId="76E340FA" w14:textId="77777777" w:rsidR="00091A04" w:rsidRPr="00B6749C" w:rsidRDefault="00091A04" w:rsidP="00E867A3">
            <w:pPr>
              <w:jc w:val="center"/>
              <w:rPr>
                <w:rFonts w:cs="Arial"/>
                <w:sz w:val="28"/>
                <w:szCs w:val="28"/>
              </w:rPr>
            </w:pPr>
          </w:p>
        </w:tc>
        <w:tc>
          <w:tcPr>
            <w:tcW w:w="1061" w:type="dxa"/>
            <w:vAlign w:val="center"/>
          </w:tcPr>
          <w:p w14:paraId="0740A126" w14:textId="77777777" w:rsidR="00091A04" w:rsidRPr="00B6749C" w:rsidRDefault="00091A04" w:rsidP="00E867A3">
            <w:pPr>
              <w:jc w:val="center"/>
              <w:rPr>
                <w:rFonts w:cs="Arial"/>
                <w:sz w:val="28"/>
                <w:szCs w:val="28"/>
              </w:rPr>
            </w:pPr>
          </w:p>
        </w:tc>
        <w:tc>
          <w:tcPr>
            <w:tcW w:w="1061" w:type="dxa"/>
            <w:vAlign w:val="center"/>
          </w:tcPr>
          <w:p w14:paraId="5572D8B0" w14:textId="77777777" w:rsidR="00091A04" w:rsidRPr="00B6749C" w:rsidRDefault="00091A04" w:rsidP="00E867A3">
            <w:pPr>
              <w:jc w:val="center"/>
              <w:rPr>
                <w:rFonts w:cs="Arial"/>
                <w:sz w:val="28"/>
                <w:szCs w:val="28"/>
              </w:rPr>
            </w:pPr>
          </w:p>
        </w:tc>
        <w:tc>
          <w:tcPr>
            <w:tcW w:w="1061" w:type="dxa"/>
            <w:vAlign w:val="center"/>
          </w:tcPr>
          <w:p w14:paraId="31EFC662" w14:textId="77777777" w:rsidR="00091A04" w:rsidRPr="00B6749C" w:rsidRDefault="00091A04" w:rsidP="00E867A3">
            <w:pPr>
              <w:jc w:val="center"/>
              <w:rPr>
                <w:rFonts w:cs="Arial"/>
                <w:sz w:val="28"/>
                <w:szCs w:val="28"/>
              </w:rPr>
            </w:pPr>
          </w:p>
        </w:tc>
        <w:tc>
          <w:tcPr>
            <w:tcW w:w="1229" w:type="dxa"/>
            <w:vAlign w:val="center"/>
          </w:tcPr>
          <w:p w14:paraId="569A6D66" w14:textId="77777777" w:rsidR="00091A04" w:rsidRPr="00B6749C" w:rsidRDefault="00091A04" w:rsidP="00E867A3">
            <w:pPr>
              <w:jc w:val="center"/>
              <w:rPr>
                <w:rFonts w:cs="Arial"/>
                <w:sz w:val="28"/>
                <w:szCs w:val="28"/>
              </w:rPr>
            </w:pPr>
          </w:p>
        </w:tc>
      </w:tr>
      <w:tr w:rsidR="00F05285" w:rsidRPr="00B6749C" w14:paraId="74BA6196" w14:textId="77777777" w:rsidTr="00B6749C">
        <w:trPr>
          <w:trHeight w:hRule="exact" w:val="732"/>
          <w:jc w:val="center"/>
        </w:trPr>
        <w:tc>
          <w:tcPr>
            <w:tcW w:w="2302" w:type="dxa"/>
            <w:vAlign w:val="center"/>
          </w:tcPr>
          <w:p w14:paraId="78BE543F" w14:textId="77777777" w:rsidR="00091A04" w:rsidRPr="00E867A3" w:rsidRDefault="008A7117" w:rsidP="00E867A3">
            <w:pPr>
              <w:rPr>
                <w:rFonts w:cs="Arial"/>
                <w:sz w:val="24"/>
                <w:szCs w:val="28"/>
              </w:rPr>
            </w:pPr>
            <w:r w:rsidRPr="00E867A3">
              <w:rPr>
                <w:rFonts w:eastAsia="Times New Roman" w:cs="Arial"/>
                <w:sz w:val="24"/>
                <w:szCs w:val="28"/>
              </w:rPr>
              <w:t>Literature and Ethical approval</w:t>
            </w:r>
          </w:p>
        </w:tc>
        <w:tc>
          <w:tcPr>
            <w:tcW w:w="1060" w:type="dxa"/>
            <w:vAlign w:val="center"/>
          </w:tcPr>
          <w:p w14:paraId="38B2DDB6" w14:textId="77777777" w:rsidR="00091A04" w:rsidRPr="00B6749C" w:rsidRDefault="00091A04" w:rsidP="00E867A3">
            <w:pPr>
              <w:jc w:val="center"/>
              <w:rPr>
                <w:rFonts w:cs="Arial"/>
                <w:sz w:val="28"/>
                <w:szCs w:val="28"/>
              </w:rPr>
            </w:pPr>
          </w:p>
        </w:tc>
        <w:tc>
          <w:tcPr>
            <w:tcW w:w="1060" w:type="dxa"/>
            <w:shd w:val="clear" w:color="auto" w:fill="70AD47"/>
            <w:vAlign w:val="center"/>
          </w:tcPr>
          <w:p w14:paraId="40F06D74" w14:textId="77777777" w:rsidR="00091A04" w:rsidRPr="00B6749C" w:rsidRDefault="00091A04" w:rsidP="00E867A3">
            <w:pPr>
              <w:jc w:val="center"/>
              <w:rPr>
                <w:rFonts w:cs="Arial"/>
                <w:sz w:val="28"/>
                <w:szCs w:val="28"/>
              </w:rPr>
            </w:pPr>
          </w:p>
        </w:tc>
        <w:tc>
          <w:tcPr>
            <w:tcW w:w="1061" w:type="dxa"/>
            <w:vAlign w:val="center"/>
          </w:tcPr>
          <w:p w14:paraId="62A3C8EA" w14:textId="77777777" w:rsidR="00091A04" w:rsidRPr="00B6749C" w:rsidRDefault="00091A04" w:rsidP="00E867A3">
            <w:pPr>
              <w:jc w:val="center"/>
              <w:rPr>
                <w:rFonts w:cs="Arial"/>
                <w:sz w:val="28"/>
                <w:szCs w:val="28"/>
              </w:rPr>
            </w:pPr>
          </w:p>
        </w:tc>
        <w:tc>
          <w:tcPr>
            <w:tcW w:w="1061" w:type="dxa"/>
            <w:vAlign w:val="center"/>
          </w:tcPr>
          <w:p w14:paraId="405FA7AD" w14:textId="77777777" w:rsidR="00091A04" w:rsidRPr="00B6749C" w:rsidRDefault="00091A04" w:rsidP="00E867A3">
            <w:pPr>
              <w:jc w:val="center"/>
              <w:rPr>
                <w:rFonts w:cs="Arial"/>
                <w:sz w:val="28"/>
                <w:szCs w:val="28"/>
              </w:rPr>
            </w:pPr>
          </w:p>
        </w:tc>
        <w:tc>
          <w:tcPr>
            <w:tcW w:w="1061" w:type="dxa"/>
            <w:vAlign w:val="center"/>
          </w:tcPr>
          <w:p w14:paraId="30B07C8D" w14:textId="77777777" w:rsidR="00091A04" w:rsidRPr="00B6749C" w:rsidRDefault="00091A04" w:rsidP="00E867A3">
            <w:pPr>
              <w:jc w:val="center"/>
              <w:rPr>
                <w:rFonts w:cs="Arial"/>
                <w:sz w:val="28"/>
                <w:szCs w:val="28"/>
              </w:rPr>
            </w:pPr>
          </w:p>
        </w:tc>
        <w:tc>
          <w:tcPr>
            <w:tcW w:w="1061" w:type="dxa"/>
            <w:vAlign w:val="center"/>
          </w:tcPr>
          <w:p w14:paraId="7DA70BDB" w14:textId="77777777" w:rsidR="00091A04" w:rsidRPr="00B6749C" w:rsidRDefault="00091A04" w:rsidP="00E867A3">
            <w:pPr>
              <w:jc w:val="center"/>
              <w:rPr>
                <w:rFonts w:cs="Arial"/>
                <w:sz w:val="28"/>
                <w:szCs w:val="28"/>
              </w:rPr>
            </w:pPr>
          </w:p>
        </w:tc>
        <w:tc>
          <w:tcPr>
            <w:tcW w:w="1229" w:type="dxa"/>
            <w:vAlign w:val="center"/>
          </w:tcPr>
          <w:p w14:paraId="0C7EBA36" w14:textId="77777777" w:rsidR="00091A04" w:rsidRPr="00B6749C" w:rsidRDefault="00091A04" w:rsidP="00E867A3">
            <w:pPr>
              <w:jc w:val="center"/>
              <w:rPr>
                <w:rFonts w:cs="Arial"/>
                <w:sz w:val="28"/>
                <w:szCs w:val="28"/>
              </w:rPr>
            </w:pPr>
          </w:p>
        </w:tc>
      </w:tr>
      <w:tr w:rsidR="00F05285" w:rsidRPr="00B6749C" w14:paraId="7C0F4FD6" w14:textId="77777777" w:rsidTr="00B6749C">
        <w:trPr>
          <w:trHeight w:hRule="exact" w:val="732"/>
          <w:jc w:val="center"/>
        </w:trPr>
        <w:tc>
          <w:tcPr>
            <w:tcW w:w="2302" w:type="dxa"/>
            <w:vAlign w:val="center"/>
          </w:tcPr>
          <w:p w14:paraId="2D3EABA2" w14:textId="77777777" w:rsidR="00091A04" w:rsidRPr="00E867A3" w:rsidRDefault="008A7117" w:rsidP="00E867A3">
            <w:pPr>
              <w:rPr>
                <w:rFonts w:cs="Arial"/>
                <w:sz w:val="24"/>
                <w:szCs w:val="28"/>
              </w:rPr>
            </w:pPr>
            <w:r w:rsidRPr="00E867A3">
              <w:rPr>
                <w:rFonts w:eastAsia="Times New Roman" w:cs="Arial"/>
                <w:sz w:val="24"/>
                <w:szCs w:val="28"/>
              </w:rPr>
              <w:t>Methodology and Data Collection</w:t>
            </w:r>
          </w:p>
        </w:tc>
        <w:tc>
          <w:tcPr>
            <w:tcW w:w="1060" w:type="dxa"/>
            <w:vAlign w:val="center"/>
          </w:tcPr>
          <w:p w14:paraId="584B2E4E" w14:textId="77777777" w:rsidR="00091A04" w:rsidRPr="00B6749C" w:rsidRDefault="00091A04" w:rsidP="00E867A3">
            <w:pPr>
              <w:jc w:val="center"/>
              <w:rPr>
                <w:rFonts w:cs="Arial"/>
                <w:sz w:val="28"/>
                <w:szCs w:val="28"/>
              </w:rPr>
            </w:pPr>
          </w:p>
        </w:tc>
        <w:tc>
          <w:tcPr>
            <w:tcW w:w="1060" w:type="dxa"/>
            <w:vAlign w:val="center"/>
          </w:tcPr>
          <w:p w14:paraId="573C58FA" w14:textId="77777777" w:rsidR="00091A04" w:rsidRPr="00B6749C" w:rsidRDefault="00091A04" w:rsidP="00E867A3">
            <w:pPr>
              <w:jc w:val="center"/>
              <w:rPr>
                <w:rFonts w:cs="Arial"/>
                <w:sz w:val="28"/>
                <w:szCs w:val="28"/>
              </w:rPr>
            </w:pPr>
          </w:p>
        </w:tc>
        <w:tc>
          <w:tcPr>
            <w:tcW w:w="1061" w:type="dxa"/>
            <w:shd w:val="clear" w:color="auto" w:fill="76923C" w:themeFill="accent3" w:themeFillShade="BF"/>
            <w:vAlign w:val="center"/>
          </w:tcPr>
          <w:p w14:paraId="412E4536" w14:textId="77777777" w:rsidR="00091A04" w:rsidRPr="00B6749C" w:rsidRDefault="00091A04" w:rsidP="00E867A3">
            <w:pPr>
              <w:jc w:val="center"/>
              <w:rPr>
                <w:rFonts w:cs="Arial"/>
                <w:sz w:val="28"/>
                <w:szCs w:val="28"/>
              </w:rPr>
            </w:pPr>
          </w:p>
        </w:tc>
        <w:tc>
          <w:tcPr>
            <w:tcW w:w="1061" w:type="dxa"/>
            <w:shd w:val="clear" w:color="auto" w:fill="76923C" w:themeFill="accent3" w:themeFillShade="BF"/>
            <w:vAlign w:val="center"/>
          </w:tcPr>
          <w:p w14:paraId="27221304" w14:textId="77777777" w:rsidR="00091A04" w:rsidRPr="00B6749C" w:rsidRDefault="00091A04" w:rsidP="00E867A3">
            <w:pPr>
              <w:jc w:val="center"/>
              <w:rPr>
                <w:rFonts w:cs="Arial"/>
                <w:sz w:val="28"/>
                <w:szCs w:val="28"/>
              </w:rPr>
            </w:pPr>
          </w:p>
        </w:tc>
        <w:tc>
          <w:tcPr>
            <w:tcW w:w="1061" w:type="dxa"/>
            <w:vAlign w:val="center"/>
          </w:tcPr>
          <w:p w14:paraId="61405798" w14:textId="77777777" w:rsidR="00091A04" w:rsidRPr="00B6749C" w:rsidRDefault="00091A04" w:rsidP="00E867A3">
            <w:pPr>
              <w:jc w:val="center"/>
              <w:rPr>
                <w:rFonts w:cs="Arial"/>
                <w:sz w:val="28"/>
                <w:szCs w:val="28"/>
              </w:rPr>
            </w:pPr>
          </w:p>
        </w:tc>
        <w:tc>
          <w:tcPr>
            <w:tcW w:w="1061" w:type="dxa"/>
            <w:vAlign w:val="center"/>
          </w:tcPr>
          <w:p w14:paraId="7C6D4592" w14:textId="77777777" w:rsidR="00091A04" w:rsidRPr="00B6749C" w:rsidRDefault="00091A04" w:rsidP="00E867A3">
            <w:pPr>
              <w:jc w:val="center"/>
              <w:rPr>
                <w:rFonts w:cs="Arial"/>
                <w:sz w:val="28"/>
                <w:szCs w:val="28"/>
              </w:rPr>
            </w:pPr>
          </w:p>
        </w:tc>
        <w:tc>
          <w:tcPr>
            <w:tcW w:w="1229" w:type="dxa"/>
            <w:vAlign w:val="center"/>
          </w:tcPr>
          <w:p w14:paraId="0712ECB3" w14:textId="77777777" w:rsidR="00091A04" w:rsidRPr="00B6749C" w:rsidRDefault="00091A04" w:rsidP="00E867A3">
            <w:pPr>
              <w:jc w:val="center"/>
              <w:rPr>
                <w:rFonts w:cs="Arial"/>
                <w:sz w:val="28"/>
                <w:szCs w:val="28"/>
              </w:rPr>
            </w:pPr>
          </w:p>
        </w:tc>
      </w:tr>
      <w:tr w:rsidR="00F05285" w:rsidRPr="00B6749C" w14:paraId="30425271" w14:textId="77777777" w:rsidTr="00B6749C">
        <w:trPr>
          <w:trHeight w:hRule="exact" w:val="732"/>
          <w:jc w:val="center"/>
        </w:trPr>
        <w:tc>
          <w:tcPr>
            <w:tcW w:w="2302" w:type="dxa"/>
            <w:vAlign w:val="center"/>
          </w:tcPr>
          <w:p w14:paraId="7276C983" w14:textId="77777777" w:rsidR="00091A04" w:rsidRPr="00E867A3" w:rsidRDefault="008A7117" w:rsidP="00E867A3">
            <w:pPr>
              <w:rPr>
                <w:rFonts w:cs="Arial"/>
                <w:sz w:val="24"/>
                <w:szCs w:val="28"/>
              </w:rPr>
            </w:pPr>
            <w:r w:rsidRPr="00E867A3">
              <w:rPr>
                <w:rFonts w:eastAsia="Times New Roman" w:cs="Arial"/>
                <w:sz w:val="24"/>
                <w:szCs w:val="28"/>
              </w:rPr>
              <w:t>Data Analysis</w:t>
            </w:r>
          </w:p>
        </w:tc>
        <w:tc>
          <w:tcPr>
            <w:tcW w:w="1060" w:type="dxa"/>
            <w:vAlign w:val="center"/>
          </w:tcPr>
          <w:p w14:paraId="521DA1B2" w14:textId="77777777" w:rsidR="00091A04" w:rsidRPr="00B6749C" w:rsidRDefault="00091A04" w:rsidP="00E867A3">
            <w:pPr>
              <w:jc w:val="center"/>
              <w:rPr>
                <w:rFonts w:cs="Arial"/>
                <w:sz w:val="28"/>
                <w:szCs w:val="28"/>
              </w:rPr>
            </w:pPr>
          </w:p>
        </w:tc>
        <w:tc>
          <w:tcPr>
            <w:tcW w:w="1060" w:type="dxa"/>
            <w:vAlign w:val="center"/>
          </w:tcPr>
          <w:p w14:paraId="55D11449" w14:textId="77777777" w:rsidR="00091A04" w:rsidRPr="00B6749C" w:rsidRDefault="00091A04" w:rsidP="00E867A3">
            <w:pPr>
              <w:jc w:val="center"/>
              <w:rPr>
                <w:rFonts w:cs="Arial"/>
                <w:sz w:val="28"/>
                <w:szCs w:val="28"/>
              </w:rPr>
            </w:pPr>
          </w:p>
        </w:tc>
        <w:tc>
          <w:tcPr>
            <w:tcW w:w="1061" w:type="dxa"/>
            <w:vAlign w:val="center"/>
          </w:tcPr>
          <w:p w14:paraId="51042091" w14:textId="77777777" w:rsidR="00091A04" w:rsidRPr="00B6749C" w:rsidRDefault="00091A04" w:rsidP="00E867A3">
            <w:pPr>
              <w:jc w:val="center"/>
              <w:rPr>
                <w:rFonts w:cs="Arial"/>
                <w:sz w:val="28"/>
                <w:szCs w:val="28"/>
              </w:rPr>
            </w:pPr>
          </w:p>
        </w:tc>
        <w:tc>
          <w:tcPr>
            <w:tcW w:w="1061" w:type="dxa"/>
            <w:shd w:val="clear" w:color="auto" w:fill="70AD47"/>
            <w:vAlign w:val="center"/>
          </w:tcPr>
          <w:p w14:paraId="266231AB" w14:textId="77777777" w:rsidR="00091A04" w:rsidRPr="00B6749C" w:rsidRDefault="00091A04" w:rsidP="00E867A3">
            <w:pPr>
              <w:jc w:val="center"/>
              <w:rPr>
                <w:rFonts w:cs="Arial"/>
                <w:sz w:val="28"/>
                <w:szCs w:val="28"/>
              </w:rPr>
            </w:pPr>
          </w:p>
        </w:tc>
        <w:tc>
          <w:tcPr>
            <w:tcW w:w="1061" w:type="dxa"/>
            <w:vAlign w:val="center"/>
          </w:tcPr>
          <w:p w14:paraId="2018428B" w14:textId="77777777" w:rsidR="00091A04" w:rsidRPr="00B6749C" w:rsidRDefault="00091A04" w:rsidP="00E867A3">
            <w:pPr>
              <w:jc w:val="center"/>
              <w:rPr>
                <w:rFonts w:cs="Arial"/>
                <w:sz w:val="28"/>
                <w:szCs w:val="28"/>
              </w:rPr>
            </w:pPr>
          </w:p>
        </w:tc>
        <w:tc>
          <w:tcPr>
            <w:tcW w:w="1061" w:type="dxa"/>
            <w:vAlign w:val="center"/>
          </w:tcPr>
          <w:p w14:paraId="5DBD84AB" w14:textId="77777777" w:rsidR="00091A04" w:rsidRPr="00B6749C" w:rsidRDefault="00091A04" w:rsidP="00E867A3">
            <w:pPr>
              <w:jc w:val="center"/>
              <w:rPr>
                <w:rFonts w:cs="Arial"/>
                <w:sz w:val="28"/>
                <w:szCs w:val="28"/>
              </w:rPr>
            </w:pPr>
          </w:p>
        </w:tc>
        <w:tc>
          <w:tcPr>
            <w:tcW w:w="1229" w:type="dxa"/>
            <w:vAlign w:val="center"/>
          </w:tcPr>
          <w:p w14:paraId="4A977A79" w14:textId="77777777" w:rsidR="00091A04" w:rsidRPr="00B6749C" w:rsidRDefault="00091A04" w:rsidP="00E867A3">
            <w:pPr>
              <w:jc w:val="center"/>
              <w:rPr>
                <w:rFonts w:cs="Arial"/>
                <w:sz w:val="28"/>
                <w:szCs w:val="28"/>
              </w:rPr>
            </w:pPr>
          </w:p>
        </w:tc>
      </w:tr>
      <w:tr w:rsidR="00F05285" w:rsidRPr="00B6749C" w14:paraId="63C3B6EA" w14:textId="77777777" w:rsidTr="00B6749C">
        <w:trPr>
          <w:trHeight w:hRule="exact" w:val="732"/>
          <w:jc w:val="center"/>
        </w:trPr>
        <w:tc>
          <w:tcPr>
            <w:tcW w:w="2302" w:type="dxa"/>
            <w:vAlign w:val="center"/>
          </w:tcPr>
          <w:p w14:paraId="7B6194C2" w14:textId="77777777" w:rsidR="00091A04" w:rsidRPr="00E867A3" w:rsidRDefault="00F05285" w:rsidP="00E867A3">
            <w:pPr>
              <w:rPr>
                <w:rFonts w:cs="Arial"/>
                <w:sz w:val="24"/>
                <w:szCs w:val="28"/>
              </w:rPr>
            </w:pPr>
            <w:r w:rsidRPr="00E867A3">
              <w:rPr>
                <w:rFonts w:eastAsia="Times New Roman" w:cs="Arial"/>
                <w:sz w:val="24"/>
                <w:szCs w:val="28"/>
              </w:rPr>
              <w:t>Results and Discussion</w:t>
            </w:r>
          </w:p>
        </w:tc>
        <w:tc>
          <w:tcPr>
            <w:tcW w:w="1060" w:type="dxa"/>
            <w:vAlign w:val="center"/>
          </w:tcPr>
          <w:p w14:paraId="6994E344" w14:textId="77777777" w:rsidR="00091A04" w:rsidRPr="00B6749C" w:rsidRDefault="00091A04" w:rsidP="00E867A3">
            <w:pPr>
              <w:jc w:val="center"/>
              <w:rPr>
                <w:rFonts w:cs="Arial"/>
                <w:sz w:val="28"/>
                <w:szCs w:val="28"/>
              </w:rPr>
            </w:pPr>
          </w:p>
        </w:tc>
        <w:tc>
          <w:tcPr>
            <w:tcW w:w="1060" w:type="dxa"/>
            <w:vAlign w:val="center"/>
          </w:tcPr>
          <w:p w14:paraId="0FDF8D3C" w14:textId="77777777" w:rsidR="00091A04" w:rsidRPr="00B6749C" w:rsidRDefault="00091A04" w:rsidP="00E867A3">
            <w:pPr>
              <w:jc w:val="center"/>
              <w:rPr>
                <w:rFonts w:cs="Arial"/>
                <w:sz w:val="28"/>
                <w:szCs w:val="28"/>
              </w:rPr>
            </w:pPr>
          </w:p>
        </w:tc>
        <w:tc>
          <w:tcPr>
            <w:tcW w:w="1061" w:type="dxa"/>
            <w:vAlign w:val="center"/>
          </w:tcPr>
          <w:p w14:paraId="0E39EEFF" w14:textId="77777777" w:rsidR="00091A04" w:rsidRPr="00B6749C" w:rsidRDefault="00091A04" w:rsidP="00E867A3">
            <w:pPr>
              <w:jc w:val="center"/>
              <w:rPr>
                <w:rFonts w:cs="Arial"/>
                <w:sz w:val="28"/>
                <w:szCs w:val="28"/>
              </w:rPr>
            </w:pPr>
          </w:p>
        </w:tc>
        <w:tc>
          <w:tcPr>
            <w:tcW w:w="1061" w:type="dxa"/>
            <w:vAlign w:val="center"/>
          </w:tcPr>
          <w:p w14:paraId="5F9268F4" w14:textId="77777777" w:rsidR="00091A04" w:rsidRPr="00B6749C" w:rsidRDefault="00091A04" w:rsidP="00E867A3">
            <w:pPr>
              <w:jc w:val="center"/>
              <w:rPr>
                <w:rFonts w:cs="Arial"/>
                <w:sz w:val="28"/>
                <w:szCs w:val="28"/>
              </w:rPr>
            </w:pPr>
          </w:p>
        </w:tc>
        <w:tc>
          <w:tcPr>
            <w:tcW w:w="1061" w:type="dxa"/>
            <w:shd w:val="clear" w:color="auto" w:fill="D6E3BC" w:themeFill="accent3" w:themeFillTint="66"/>
            <w:vAlign w:val="center"/>
          </w:tcPr>
          <w:p w14:paraId="0ED13AF3" w14:textId="77777777" w:rsidR="00091A04" w:rsidRPr="00B6749C" w:rsidRDefault="00091A04" w:rsidP="00E867A3">
            <w:pPr>
              <w:jc w:val="center"/>
              <w:rPr>
                <w:rFonts w:cs="Arial"/>
                <w:sz w:val="28"/>
                <w:szCs w:val="28"/>
              </w:rPr>
            </w:pPr>
          </w:p>
        </w:tc>
        <w:tc>
          <w:tcPr>
            <w:tcW w:w="1061" w:type="dxa"/>
            <w:vAlign w:val="center"/>
          </w:tcPr>
          <w:p w14:paraId="0BCF3BBF" w14:textId="77777777" w:rsidR="00091A04" w:rsidRPr="00B6749C" w:rsidRDefault="00091A04" w:rsidP="00E867A3">
            <w:pPr>
              <w:jc w:val="center"/>
              <w:rPr>
                <w:rFonts w:cs="Arial"/>
                <w:sz w:val="28"/>
                <w:szCs w:val="28"/>
              </w:rPr>
            </w:pPr>
          </w:p>
        </w:tc>
        <w:tc>
          <w:tcPr>
            <w:tcW w:w="1229" w:type="dxa"/>
            <w:vAlign w:val="center"/>
          </w:tcPr>
          <w:p w14:paraId="2833BC18" w14:textId="77777777" w:rsidR="00091A04" w:rsidRPr="00B6749C" w:rsidRDefault="00091A04" w:rsidP="00E867A3">
            <w:pPr>
              <w:jc w:val="center"/>
              <w:rPr>
                <w:rFonts w:cs="Arial"/>
                <w:sz w:val="28"/>
                <w:szCs w:val="28"/>
              </w:rPr>
            </w:pPr>
          </w:p>
        </w:tc>
      </w:tr>
      <w:tr w:rsidR="00F05285" w:rsidRPr="00B6749C" w14:paraId="34EF39E6" w14:textId="77777777" w:rsidTr="00B6749C">
        <w:trPr>
          <w:trHeight w:hRule="exact" w:val="732"/>
          <w:jc w:val="center"/>
        </w:trPr>
        <w:tc>
          <w:tcPr>
            <w:tcW w:w="2302" w:type="dxa"/>
            <w:vAlign w:val="center"/>
          </w:tcPr>
          <w:p w14:paraId="664D12CF" w14:textId="77777777" w:rsidR="00091A04" w:rsidRPr="00E867A3" w:rsidRDefault="00F05285" w:rsidP="00E867A3">
            <w:pPr>
              <w:rPr>
                <w:rFonts w:cs="Arial"/>
                <w:sz w:val="24"/>
                <w:szCs w:val="28"/>
              </w:rPr>
            </w:pPr>
            <w:r w:rsidRPr="00E867A3">
              <w:rPr>
                <w:rFonts w:eastAsia="Times New Roman" w:cs="Arial"/>
                <w:sz w:val="24"/>
                <w:szCs w:val="28"/>
              </w:rPr>
              <w:t xml:space="preserve">Conclusion </w:t>
            </w:r>
          </w:p>
        </w:tc>
        <w:tc>
          <w:tcPr>
            <w:tcW w:w="1060" w:type="dxa"/>
            <w:vAlign w:val="center"/>
          </w:tcPr>
          <w:p w14:paraId="35D78D4E" w14:textId="77777777" w:rsidR="00091A04" w:rsidRPr="00B6749C" w:rsidRDefault="00091A04" w:rsidP="00E867A3">
            <w:pPr>
              <w:jc w:val="center"/>
              <w:rPr>
                <w:rFonts w:cs="Arial"/>
                <w:sz w:val="28"/>
                <w:szCs w:val="28"/>
              </w:rPr>
            </w:pPr>
          </w:p>
        </w:tc>
        <w:tc>
          <w:tcPr>
            <w:tcW w:w="1060" w:type="dxa"/>
            <w:vAlign w:val="center"/>
          </w:tcPr>
          <w:p w14:paraId="2954B7B6" w14:textId="77777777" w:rsidR="00091A04" w:rsidRPr="00B6749C" w:rsidRDefault="00091A04" w:rsidP="00E867A3">
            <w:pPr>
              <w:jc w:val="center"/>
              <w:rPr>
                <w:rFonts w:cs="Arial"/>
                <w:sz w:val="28"/>
                <w:szCs w:val="28"/>
              </w:rPr>
            </w:pPr>
          </w:p>
        </w:tc>
        <w:tc>
          <w:tcPr>
            <w:tcW w:w="1061" w:type="dxa"/>
            <w:vAlign w:val="center"/>
          </w:tcPr>
          <w:p w14:paraId="32189ACF" w14:textId="77777777" w:rsidR="00091A04" w:rsidRPr="00B6749C" w:rsidRDefault="00091A04" w:rsidP="00E867A3">
            <w:pPr>
              <w:jc w:val="center"/>
              <w:rPr>
                <w:rFonts w:cs="Arial"/>
                <w:sz w:val="28"/>
                <w:szCs w:val="28"/>
              </w:rPr>
            </w:pPr>
          </w:p>
        </w:tc>
        <w:tc>
          <w:tcPr>
            <w:tcW w:w="1061" w:type="dxa"/>
            <w:vAlign w:val="center"/>
          </w:tcPr>
          <w:p w14:paraId="74F7BAEE" w14:textId="77777777" w:rsidR="00091A04" w:rsidRPr="00B6749C" w:rsidRDefault="00091A04" w:rsidP="00E867A3">
            <w:pPr>
              <w:jc w:val="center"/>
              <w:rPr>
                <w:rFonts w:cs="Arial"/>
                <w:sz w:val="28"/>
                <w:szCs w:val="28"/>
              </w:rPr>
            </w:pPr>
          </w:p>
        </w:tc>
        <w:tc>
          <w:tcPr>
            <w:tcW w:w="1061" w:type="dxa"/>
            <w:shd w:val="clear" w:color="auto" w:fill="70AD47"/>
            <w:vAlign w:val="center"/>
          </w:tcPr>
          <w:p w14:paraId="5ECB4474" w14:textId="77777777" w:rsidR="00091A04" w:rsidRPr="00B6749C" w:rsidRDefault="00091A04" w:rsidP="00E867A3">
            <w:pPr>
              <w:jc w:val="center"/>
              <w:rPr>
                <w:rFonts w:cs="Arial"/>
                <w:sz w:val="28"/>
                <w:szCs w:val="28"/>
              </w:rPr>
            </w:pPr>
          </w:p>
        </w:tc>
        <w:tc>
          <w:tcPr>
            <w:tcW w:w="1061" w:type="dxa"/>
            <w:shd w:val="clear" w:color="auto" w:fill="70AD47"/>
            <w:vAlign w:val="center"/>
          </w:tcPr>
          <w:p w14:paraId="370E0A0E" w14:textId="77777777" w:rsidR="00091A04" w:rsidRPr="00B6749C" w:rsidRDefault="00091A04" w:rsidP="00E867A3">
            <w:pPr>
              <w:jc w:val="center"/>
              <w:rPr>
                <w:rFonts w:cs="Arial"/>
                <w:sz w:val="28"/>
                <w:szCs w:val="28"/>
              </w:rPr>
            </w:pPr>
          </w:p>
        </w:tc>
        <w:tc>
          <w:tcPr>
            <w:tcW w:w="1229" w:type="dxa"/>
            <w:vAlign w:val="center"/>
          </w:tcPr>
          <w:p w14:paraId="30A494DA" w14:textId="77777777" w:rsidR="00091A04" w:rsidRPr="00B6749C" w:rsidRDefault="00091A04" w:rsidP="00E867A3">
            <w:pPr>
              <w:jc w:val="center"/>
              <w:rPr>
                <w:rFonts w:cs="Arial"/>
                <w:sz w:val="28"/>
                <w:szCs w:val="28"/>
              </w:rPr>
            </w:pPr>
          </w:p>
        </w:tc>
      </w:tr>
      <w:tr w:rsidR="00F05285" w:rsidRPr="00B6749C" w14:paraId="3A05FE0A" w14:textId="77777777" w:rsidTr="00B6749C">
        <w:trPr>
          <w:trHeight w:hRule="exact" w:val="732"/>
          <w:jc w:val="center"/>
        </w:trPr>
        <w:tc>
          <w:tcPr>
            <w:tcW w:w="2302" w:type="dxa"/>
            <w:vAlign w:val="center"/>
          </w:tcPr>
          <w:p w14:paraId="588D0A10" w14:textId="77777777" w:rsidR="00091A04" w:rsidRPr="00E867A3" w:rsidRDefault="00F05285" w:rsidP="00E867A3">
            <w:pPr>
              <w:rPr>
                <w:rFonts w:cs="Arial"/>
                <w:sz w:val="24"/>
                <w:szCs w:val="28"/>
              </w:rPr>
            </w:pPr>
            <w:r w:rsidRPr="00E867A3">
              <w:rPr>
                <w:rFonts w:eastAsia="Times New Roman" w:cs="Arial"/>
                <w:sz w:val="24"/>
                <w:szCs w:val="28"/>
              </w:rPr>
              <w:t>Editing and Finalizing</w:t>
            </w:r>
          </w:p>
        </w:tc>
        <w:tc>
          <w:tcPr>
            <w:tcW w:w="1060" w:type="dxa"/>
            <w:vAlign w:val="center"/>
          </w:tcPr>
          <w:p w14:paraId="35C7FC07" w14:textId="77777777" w:rsidR="00091A04" w:rsidRPr="00B6749C" w:rsidRDefault="00091A04" w:rsidP="00E867A3">
            <w:pPr>
              <w:jc w:val="center"/>
              <w:rPr>
                <w:rFonts w:cs="Arial"/>
                <w:sz w:val="28"/>
                <w:szCs w:val="28"/>
              </w:rPr>
            </w:pPr>
          </w:p>
        </w:tc>
        <w:tc>
          <w:tcPr>
            <w:tcW w:w="1060" w:type="dxa"/>
            <w:vAlign w:val="center"/>
          </w:tcPr>
          <w:p w14:paraId="541C67D1" w14:textId="77777777" w:rsidR="00091A04" w:rsidRPr="00B6749C" w:rsidRDefault="00091A04" w:rsidP="00E867A3">
            <w:pPr>
              <w:jc w:val="center"/>
              <w:rPr>
                <w:rFonts w:cs="Arial"/>
                <w:sz w:val="28"/>
                <w:szCs w:val="28"/>
              </w:rPr>
            </w:pPr>
          </w:p>
        </w:tc>
        <w:tc>
          <w:tcPr>
            <w:tcW w:w="1061" w:type="dxa"/>
            <w:vAlign w:val="center"/>
          </w:tcPr>
          <w:p w14:paraId="60C79D82" w14:textId="77777777" w:rsidR="00091A04" w:rsidRPr="00B6749C" w:rsidRDefault="00091A04" w:rsidP="00E867A3">
            <w:pPr>
              <w:jc w:val="center"/>
              <w:rPr>
                <w:rFonts w:cs="Arial"/>
                <w:sz w:val="28"/>
                <w:szCs w:val="28"/>
              </w:rPr>
            </w:pPr>
          </w:p>
        </w:tc>
        <w:tc>
          <w:tcPr>
            <w:tcW w:w="1061" w:type="dxa"/>
            <w:vAlign w:val="center"/>
          </w:tcPr>
          <w:p w14:paraId="64F2633C" w14:textId="77777777" w:rsidR="00091A04" w:rsidRPr="00B6749C" w:rsidRDefault="00091A04" w:rsidP="00E867A3">
            <w:pPr>
              <w:jc w:val="center"/>
              <w:rPr>
                <w:rFonts w:cs="Arial"/>
                <w:sz w:val="28"/>
                <w:szCs w:val="28"/>
              </w:rPr>
            </w:pPr>
          </w:p>
        </w:tc>
        <w:tc>
          <w:tcPr>
            <w:tcW w:w="1061" w:type="dxa"/>
            <w:vAlign w:val="center"/>
          </w:tcPr>
          <w:p w14:paraId="41D5DAED" w14:textId="77777777" w:rsidR="00091A04" w:rsidRPr="00B6749C" w:rsidRDefault="00091A04" w:rsidP="00E867A3">
            <w:pPr>
              <w:jc w:val="center"/>
              <w:rPr>
                <w:rFonts w:cs="Arial"/>
                <w:sz w:val="28"/>
                <w:szCs w:val="28"/>
              </w:rPr>
            </w:pPr>
          </w:p>
        </w:tc>
        <w:tc>
          <w:tcPr>
            <w:tcW w:w="1061" w:type="dxa"/>
            <w:shd w:val="clear" w:color="auto" w:fill="B6DDE8" w:themeFill="accent5" w:themeFillTint="66"/>
            <w:vAlign w:val="center"/>
          </w:tcPr>
          <w:p w14:paraId="443C7FAD" w14:textId="77777777" w:rsidR="00091A04" w:rsidRPr="00B6749C" w:rsidRDefault="00091A04" w:rsidP="00E867A3">
            <w:pPr>
              <w:jc w:val="center"/>
              <w:rPr>
                <w:rFonts w:cs="Arial"/>
                <w:sz w:val="28"/>
                <w:szCs w:val="28"/>
              </w:rPr>
            </w:pPr>
          </w:p>
        </w:tc>
        <w:tc>
          <w:tcPr>
            <w:tcW w:w="1229" w:type="dxa"/>
            <w:shd w:val="clear" w:color="auto" w:fill="B6DDE8" w:themeFill="accent5" w:themeFillTint="66"/>
            <w:vAlign w:val="center"/>
          </w:tcPr>
          <w:p w14:paraId="5FFAF7EC" w14:textId="77777777" w:rsidR="00091A04" w:rsidRPr="00B6749C" w:rsidRDefault="00091A04" w:rsidP="00E867A3">
            <w:pPr>
              <w:jc w:val="center"/>
              <w:rPr>
                <w:rFonts w:cs="Arial"/>
                <w:sz w:val="28"/>
                <w:szCs w:val="28"/>
              </w:rPr>
            </w:pPr>
          </w:p>
        </w:tc>
      </w:tr>
    </w:tbl>
    <w:p w14:paraId="12EF8F4A" w14:textId="77777777" w:rsidR="00091A04" w:rsidRDefault="00D74C1E" w:rsidP="00E867A3">
      <w:pPr>
        <w:jc w:val="center"/>
      </w:pPr>
      <w:r>
        <w:rPr>
          <w:i/>
          <w:sz w:val="20"/>
        </w:rPr>
        <w:t>Figure 1: Proposed Gantt Chart</w:t>
      </w:r>
    </w:p>
    <w:p w14:paraId="0B58D291" w14:textId="77777777" w:rsidR="00091A04" w:rsidRDefault="00D74C1E" w:rsidP="00E867A3">
      <w:pPr>
        <w:jc w:val="center"/>
      </w:pPr>
      <w:r>
        <w:rPr>
          <w:sz w:val="20"/>
        </w:rPr>
        <w:t>(Source: Author, 2026)</w:t>
      </w:r>
    </w:p>
    <w:p w14:paraId="6992BF7E" w14:textId="77777777" w:rsidR="00091A04" w:rsidRDefault="00D74C1E" w:rsidP="00E867A3">
      <w:r>
        <w:br w:type="page"/>
      </w:r>
    </w:p>
    <w:p w14:paraId="3DC9352B" w14:textId="77777777" w:rsidR="00091A04" w:rsidRDefault="00D74C1E" w:rsidP="00E867A3">
      <w:pPr>
        <w:pStyle w:val="Heading1"/>
      </w:pPr>
      <w:bookmarkStart w:id="26" w:name="_Toc234866859"/>
      <w:r>
        <w:lastRenderedPageBreak/>
        <w:t>References</w:t>
      </w:r>
      <w:bookmarkEnd w:id="26"/>
    </w:p>
    <w:p w14:paraId="6B0977C7" w14:textId="77777777" w:rsidR="00E273C1" w:rsidRPr="008A7117" w:rsidRDefault="00FD1473" w:rsidP="00F605BA">
      <w:pPr>
        <w:ind w:left="720" w:hanging="720"/>
        <w:rPr>
          <w:rFonts w:cs="Arial"/>
          <w:color w:val="222222"/>
          <w:shd w:val="clear" w:color="auto" w:fill="FFFFFF"/>
        </w:rPr>
      </w:pPr>
      <w:r>
        <w:rPr>
          <w:rFonts w:cs="Arial"/>
          <w:color w:val="222222"/>
          <w:shd w:val="clear" w:color="auto" w:fill="FFFFFF"/>
        </w:rPr>
        <w:t>Abbas, M.A. (</w:t>
      </w:r>
      <w:r w:rsidR="00E273C1" w:rsidRPr="008A7117">
        <w:rPr>
          <w:rFonts w:cs="Arial"/>
          <w:color w:val="222222"/>
          <w:shd w:val="clear" w:color="auto" w:fill="FFFFFF"/>
        </w:rPr>
        <w:t>2025</w:t>
      </w:r>
      <w:r>
        <w:rPr>
          <w:rFonts w:cs="Arial"/>
          <w:color w:val="222222"/>
          <w:shd w:val="clear" w:color="auto" w:fill="FFFFFF"/>
        </w:rPr>
        <w:t>)</w:t>
      </w:r>
      <w:r w:rsidR="00E273C1" w:rsidRPr="008A7117">
        <w:rPr>
          <w:rFonts w:cs="Arial"/>
          <w:color w:val="222222"/>
          <w:shd w:val="clear" w:color="auto" w:fill="FFFFFF"/>
        </w:rPr>
        <w:t>. Customer Satisfaction as a Mediator between FinTech Service Quality and Loyalty: An SEM Based Analysis. </w:t>
      </w:r>
      <w:r w:rsidR="00E273C1" w:rsidRPr="008A7117">
        <w:rPr>
          <w:rFonts w:cs="Arial"/>
          <w:i/>
          <w:iCs/>
          <w:color w:val="222222"/>
          <w:shd w:val="clear" w:color="auto" w:fill="FFFFFF"/>
        </w:rPr>
        <w:t>Lead Sci Journal of Management, Innovation and Social Sciences</w:t>
      </w:r>
      <w:r w:rsidR="00E273C1" w:rsidRPr="008A7117">
        <w:rPr>
          <w:rFonts w:cs="Arial"/>
          <w:color w:val="222222"/>
          <w:shd w:val="clear" w:color="auto" w:fill="FFFFFF"/>
        </w:rPr>
        <w:t>, </w:t>
      </w:r>
      <w:r w:rsidR="00E273C1" w:rsidRPr="008A7117">
        <w:rPr>
          <w:rFonts w:cs="Arial"/>
          <w:i/>
          <w:iCs/>
          <w:color w:val="222222"/>
          <w:shd w:val="clear" w:color="auto" w:fill="FFFFFF"/>
        </w:rPr>
        <w:t>1</w:t>
      </w:r>
      <w:r w:rsidR="00E273C1" w:rsidRPr="008A7117">
        <w:rPr>
          <w:rFonts w:cs="Arial"/>
          <w:color w:val="222222"/>
          <w:shd w:val="clear" w:color="auto" w:fill="FFFFFF"/>
        </w:rPr>
        <w:t>(3), pp.42-53.</w:t>
      </w:r>
    </w:p>
    <w:p w14:paraId="6545003B" w14:textId="77777777" w:rsidR="00E273C1" w:rsidRPr="008A7117" w:rsidRDefault="00E273C1" w:rsidP="00F605BA">
      <w:pPr>
        <w:ind w:left="720" w:hanging="720"/>
        <w:rPr>
          <w:rFonts w:cs="Arial"/>
          <w:color w:val="222222"/>
          <w:shd w:val="clear" w:color="auto" w:fill="FFFFFF"/>
        </w:rPr>
      </w:pPr>
      <w:r w:rsidRPr="008A7117">
        <w:rPr>
          <w:rFonts w:cs="Arial"/>
          <w:color w:val="222222"/>
          <w:shd w:val="clear" w:color="auto" w:fill="FFFFFF"/>
        </w:rPr>
        <w:t>Ahmed, W</w:t>
      </w:r>
      <w:r w:rsidR="00FD1473">
        <w:rPr>
          <w:rFonts w:cs="Arial"/>
          <w:color w:val="222222"/>
          <w:shd w:val="clear" w:color="auto" w:fill="FFFFFF"/>
        </w:rPr>
        <w:t>., Farooq, O. and Shahzaib, R. (</w:t>
      </w:r>
      <w:r w:rsidRPr="008A7117">
        <w:rPr>
          <w:rFonts w:cs="Arial"/>
          <w:color w:val="222222"/>
          <w:shd w:val="clear" w:color="auto" w:fill="FFFFFF"/>
        </w:rPr>
        <w:t>2025</w:t>
      </w:r>
      <w:r w:rsidR="00FD1473">
        <w:rPr>
          <w:rFonts w:cs="Arial"/>
          <w:color w:val="222222"/>
          <w:shd w:val="clear" w:color="auto" w:fill="FFFFFF"/>
        </w:rPr>
        <w:t>)</w:t>
      </w:r>
      <w:r w:rsidRPr="008A7117">
        <w:rPr>
          <w:rFonts w:cs="Arial"/>
          <w:color w:val="222222"/>
          <w:shd w:val="clear" w:color="auto" w:fill="FFFFFF"/>
        </w:rPr>
        <w:t>. The rise of digital wallets: Customer trust, security concerns, and adoption in retail transactions. </w:t>
      </w:r>
      <w:proofErr w:type="spellStart"/>
      <w:r w:rsidRPr="008A7117">
        <w:rPr>
          <w:rFonts w:cs="Arial"/>
          <w:i/>
          <w:iCs/>
          <w:color w:val="222222"/>
          <w:shd w:val="clear" w:color="auto" w:fill="FFFFFF"/>
        </w:rPr>
        <w:t>Inverge</w:t>
      </w:r>
      <w:proofErr w:type="spellEnd"/>
      <w:r w:rsidRPr="008A7117">
        <w:rPr>
          <w:rFonts w:cs="Arial"/>
          <w:i/>
          <w:iCs/>
          <w:color w:val="222222"/>
          <w:shd w:val="clear" w:color="auto" w:fill="FFFFFF"/>
        </w:rPr>
        <w:t xml:space="preserve"> Journal of Social Sciences</w:t>
      </w:r>
      <w:r w:rsidRPr="008A7117">
        <w:rPr>
          <w:rFonts w:cs="Arial"/>
          <w:color w:val="222222"/>
          <w:shd w:val="clear" w:color="auto" w:fill="FFFFFF"/>
        </w:rPr>
        <w:t>, </w:t>
      </w:r>
      <w:r w:rsidRPr="008A7117">
        <w:rPr>
          <w:rFonts w:cs="Arial"/>
          <w:i/>
          <w:iCs/>
          <w:color w:val="222222"/>
          <w:shd w:val="clear" w:color="auto" w:fill="FFFFFF"/>
        </w:rPr>
        <w:t>4</w:t>
      </w:r>
      <w:r w:rsidRPr="008A7117">
        <w:rPr>
          <w:rFonts w:cs="Arial"/>
          <w:color w:val="222222"/>
          <w:shd w:val="clear" w:color="auto" w:fill="FFFFFF"/>
        </w:rPr>
        <w:t>(3), pp.337-350.</w:t>
      </w:r>
    </w:p>
    <w:p w14:paraId="2326C9DA" w14:textId="77777777" w:rsidR="00D16345" w:rsidRPr="008A7117" w:rsidRDefault="00FD1473" w:rsidP="00F605BA">
      <w:pPr>
        <w:ind w:left="720" w:hanging="720"/>
        <w:rPr>
          <w:rFonts w:cs="Arial"/>
          <w:color w:val="222222"/>
          <w:shd w:val="clear" w:color="auto" w:fill="FFFFFF"/>
        </w:rPr>
      </w:pPr>
      <w:proofErr w:type="spellStart"/>
      <w:r>
        <w:rPr>
          <w:rFonts w:cs="Arial"/>
          <w:color w:val="222222"/>
          <w:shd w:val="clear" w:color="auto" w:fill="FFFFFF"/>
        </w:rPr>
        <w:t>Aldboush</w:t>
      </w:r>
      <w:proofErr w:type="spellEnd"/>
      <w:r>
        <w:rPr>
          <w:rFonts w:cs="Arial"/>
          <w:color w:val="222222"/>
          <w:shd w:val="clear" w:color="auto" w:fill="FFFFFF"/>
        </w:rPr>
        <w:t>, H.H. and Ferdous, M. (</w:t>
      </w:r>
      <w:r w:rsidR="00D16345" w:rsidRPr="008A7117">
        <w:rPr>
          <w:rFonts w:cs="Arial"/>
          <w:color w:val="222222"/>
          <w:shd w:val="clear" w:color="auto" w:fill="FFFFFF"/>
        </w:rPr>
        <w:t>2023</w:t>
      </w:r>
      <w:r>
        <w:rPr>
          <w:rFonts w:cs="Arial"/>
          <w:color w:val="222222"/>
          <w:shd w:val="clear" w:color="auto" w:fill="FFFFFF"/>
        </w:rPr>
        <w:t>)</w:t>
      </w:r>
      <w:r w:rsidR="00D16345" w:rsidRPr="008A7117">
        <w:rPr>
          <w:rFonts w:cs="Arial"/>
          <w:color w:val="222222"/>
          <w:shd w:val="clear" w:color="auto" w:fill="FFFFFF"/>
        </w:rPr>
        <w:t>. Building trust in fintech: an analysis of ethical and privacy considerations in the intersection of big data, AI, and customer trust. </w:t>
      </w:r>
      <w:r w:rsidR="00D16345" w:rsidRPr="008A7117">
        <w:rPr>
          <w:rFonts w:cs="Arial"/>
          <w:i/>
          <w:iCs/>
          <w:color w:val="222222"/>
          <w:shd w:val="clear" w:color="auto" w:fill="FFFFFF"/>
        </w:rPr>
        <w:t>International Journal of Financial Studies</w:t>
      </w:r>
      <w:r w:rsidR="00D16345" w:rsidRPr="008A7117">
        <w:rPr>
          <w:rFonts w:cs="Arial"/>
          <w:color w:val="222222"/>
          <w:shd w:val="clear" w:color="auto" w:fill="FFFFFF"/>
        </w:rPr>
        <w:t>, </w:t>
      </w:r>
      <w:r w:rsidR="00D16345" w:rsidRPr="008A7117">
        <w:rPr>
          <w:rFonts w:cs="Arial"/>
          <w:i/>
          <w:iCs/>
          <w:color w:val="222222"/>
          <w:shd w:val="clear" w:color="auto" w:fill="FFFFFF"/>
        </w:rPr>
        <w:t>11</w:t>
      </w:r>
      <w:r w:rsidR="00D16345" w:rsidRPr="008A7117">
        <w:rPr>
          <w:rFonts w:cs="Arial"/>
          <w:color w:val="222222"/>
          <w:shd w:val="clear" w:color="auto" w:fill="FFFFFF"/>
        </w:rPr>
        <w:t>(3), p.90.</w:t>
      </w:r>
    </w:p>
    <w:p w14:paraId="221A71AF" w14:textId="77777777" w:rsidR="00641ED1" w:rsidRPr="008A7117" w:rsidRDefault="00641ED1" w:rsidP="00F605BA">
      <w:pPr>
        <w:ind w:left="720" w:hanging="720"/>
        <w:rPr>
          <w:rFonts w:cs="Arial"/>
          <w:color w:val="222222"/>
          <w:shd w:val="clear" w:color="auto" w:fill="FFFFFF"/>
        </w:rPr>
      </w:pPr>
      <w:proofErr w:type="spellStart"/>
      <w:r w:rsidRPr="008A7117">
        <w:rPr>
          <w:rFonts w:cs="Arial"/>
          <w:color w:val="222222"/>
          <w:shd w:val="clear" w:color="auto" w:fill="FFFFFF"/>
        </w:rPr>
        <w:t>Almusaed</w:t>
      </w:r>
      <w:proofErr w:type="spellEnd"/>
      <w:r w:rsidRPr="008A7117">
        <w:rPr>
          <w:rFonts w:cs="Arial"/>
          <w:color w:val="222222"/>
          <w:shd w:val="clear" w:color="auto" w:fill="FFFFFF"/>
        </w:rPr>
        <w:t xml:space="preserve">, </w:t>
      </w:r>
      <w:r w:rsidR="00FD1473">
        <w:rPr>
          <w:rFonts w:cs="Arial"/>
          <w:color w:val="222222"/>
          <w:shd w:val="clear" w:color="auto" w:fill="FFFFFF"/>
        </w:rPr>
        <w:t xml:space="preserve">A., </w:t>
      </w:r>
      <w:proofErr w:type="spellStart"/>
      <w:r w:rsidR="00FD1473">
        <w:rPr>
          <w:rFonts w:cs="Arial"/>
          <w:color w:val="222222"/>
          <w:shd w:val="clear" w:color="auto" w:fill="FFFFFF"/>
        </w:rPr>
        <w:t>Almssad</w:t>
      </w:r>
      <w:proofErr w:type="spellEnd"/>
      <w:r w:rsidR="00FD1473">
        <w:rPr>
          <w:rFonts w:cs="Arial"/>
          <w:color w:val="222222"/>
          <w:shd w:val="clear" w:color="auto" w:fill="FFFFFF"/>
        </w:rPr>
        <w:t xml:space="preserve">, A. and </w:t>
      </w:r>
      <w:proofErr w:type="spellStart"/>
      <w:r w:rsidR="00FD1473">
        <w:rPr>
          <w:rFonts w:cs="Arial"/>
          <w:color w:val="222222"/>
          <w:shd w:val="clear" w:color="auto" w:fill="FFFFFF"/>
        </w:rPr>
        <w:t>Yitmen</w:t>
      </w:r>
      <w:proofErr w:type="spellEnd"/>
      <w:r w:rsidR="00FD1473">
        <w:rPr>
          <w:rFonts w:cs="Arial"/>
          <w:color w:val="222222"/>
          <w:shd w:val="clear" w:color="auto" w:fill="FFFFFF"/>
        </w:rPr>
        <w:t>, I. (</w:t>
      </w:r>
      <w:r w:rsidRPr="008A7117">
        <w:rPr>
          <w:rFonts w:cs="Arial"/>
          <w:color w:val="222222"/>
          <w:shd w:val="clear" w:color="auto" w:fill="FFFFFF"/>
        </w:rPr>
        <w:t>2025</w:t>
      </w:r>
      <w:r w:rsidR="00FD1473">
        <w:rPr>
          <w:rFonts w:cs="Arial"/>
          <w:color w:val="222222"/>
          <w:shd w:val="clear" w:color="auto" w:fill="FFFFFF"/>
        </w:rPr>
        <w:t>)</w:t>
      </w:r>
      <w:r w:rsidRPr="008A7117">
        <w:rPr>
          <w:rFonts w:cs="Arial"/>
          <w:color w:val="222222"/>
          <w:shd w:val="clear" w:color="auto" w:fill="FFFFFF"/>
        </w:rPr>
        <w:t>. Introduction to Quantitative Research. In </w:t>
      </w:r>
      <w:r w:rsidRPr="008A7117">
        <w:rPr>
          <w:rFonts w:cs="Arial"/>
          <w:i/>
          <w:iCs/>
          <w:color w:val="222222"/>
          <w:shd w:val="clear" w:color="auto" w:fill="FFFFFF"/>
        </w:rPr>
        <w:t>Practice of Research Methodology in Civil Engineering and Architecture: A Comprehensive Guide</w:t>
      </w:r>
      <w:r w:rsidRPr="008A7117">
        <w:rPr>
          <w:rFonts w:cs="Arial"/>
          <w:color w:val="222222"/>
          <w:shd w:val="clear" w:color="auto" w:fill="FFFFFF"/>
        </w:rPr>
        <w:t> (pp. 489-528). Cham: Springer Nature Switzerland.</w:t>
      </w:r>
    </w:p>
    <w:p w14:paraId="6B8816F8" w14:textId="77777777" w:rsidR="00641ED1" w:rsidRPr="008A7117" w:rsidRDefault="00FD1473" w:rsidP="00F605BA">
      <w:pPr>
        <w:ind w:left="720" w:hanging="720"/>
        <w:rPr>
          <w:rFonts w:cs="Arial"/>
          <w:color w:val="222222"/>
          <w:shd w:val="clear" w:color="auto" w:fill="FFFFFF"/>
        </w:rPr>
      </w:pPr>
      <w:r>
        <w:rPr>
          <w:rFonts w:cs="Arial"/>
          <w:color w:val="222222"/>
          <w:shd w:val="clear" w:color="auto" w:fill="FFFFFF"/>
        </w:rPr>
        <w:t>Ali, I.M. (</w:t>
      </w:r>
      <w:r w:rsidR="00641ED1" w:rsidRPr="008A7117">
        <w:rPr>
          <w:rFonts w:cs="Arial"/>
          <w:color w:val="222222"/>
          <w:shd w:val="clear" w:color="auto" w:fill="FFFFFF"/>
        </w:rPr>
        <w:t>2024</w:t>
      </w:r>
      <w:r>
        <w:rPr>
          <w:rFonts w:cs="Arial"/>
          <w:color w:val="222222"/>
          <w:shd w:val="clear" w:color="auto" w:fill="FFFFFF"/>
        </w:rPr>
        <w:t>)</w:t>
      </w:r>
      <w:r w:rsidR="00641ED1" w:rsidRPr="008A7117">
        <w:rPr>
          <w:rFonts w:cs="Arial"/>
          <w:color w:val="222222"/>
          <w:shd w:val="clear" w:color="auto" w:fill="FFFFFF"/>
        </w:rPr>
        <w:t>. A guide for positivist research paradigm: From philosophy to methodology. </w:t>
      </w:r>
      <w:proofErr w:type="spellStart"/>
      <w:r w:rsidR="00641ED1" w:rsidRPr="008A7117">
        <w:rPr>
          <w:rFonts w:cs="Arial"/>
          <w:i/>
          <w:iCs/>
          <w:color w:val="222222"/>
          <w:shd w:val="clear" w:color="auto" w:fill="FFFFFF"/>
        </w:rPr>
        <w:t>Idealogy</w:t>
      </w:r>
      <w:proofErr w:type="spellEnd"/>
      <w:r w:rsidR="00641ED1" w:rsidRPr="008A7117">
        <w:rPr>
          <w:rFonts w:cs="Arial"/>
          <w:i/>
          <w:iCs/>
          <w:color w:val="222222"/>
          <w:shd w:val="clear" w:color="auto" w:fill="FFFFFF"/>
        </w:rPr>
        <w:t xml:space="preserve"> Journal</w:t>
      </w:r>
      <w:r w:rsidR="00641ED1" w:rsidRPr="008A7117">
        <w:rPr>
          <w:rFonts w:cs="Arial"/>
          <w:color w:val="222222"/>
          <w:shd w:val="clear" w:color="auto" w:fill="FFFFFF"/>
        </w:rPr>
        <w:t>, </w:t>
      </w:r>
      <w:r w:rsidR="00641ED1" w:rsidRPr="008A7117">
        <w:rPr>
          <w:rFonts w:cs="Arial"/>
          <w:i/>
          <w:iCs/>
          <w:color w:val="222222"/>
          <w:shd w:val="clear" w:color="auto" w:fill="FFFFFF"/>
        </w:rPr>
        <w:t>9</w:t>
      </w:r>
      <w:r w:rsidR="00641ED1" w:rsidRPr="008A7117">
        <w:rPr>
          <w:rFonts w:cs="Arial"/>
          <w:color w:val="222222"/>
          <w:shd w:val="clear" w:color="auto" w:fill="FFFFFF"/>
        </w:rPr>
        <w:t>(2).</w:t>
      </w:r>
    </w:p>
    <w:p w14:paraId="5EE62479" w14:textId="77777777" w:rsidR="003C7E95" w:rsidRPr="008A7117" w:rsidRDefault="003C7E95" w:rsidP="00F605BA">
      <w:pPr>
        <w:ind w:left="720" w:hanging="720"/>
        <w:rPr>
          <w:rFonts w:cs="Arial"/>
          <w:color w:val="222222"/>
          <w:shd w:val="clear" w:color="auto" w:fill="FFFFFF"/>
        </w:rPr>
      </w:pPr>
      <w:proofErr w:type="spellStart"/>
      <w:r w:rsidRPr="008A7117">
        <w:rPr>
          <w:rFonts w:cs="Arial"/>
          <w:color w:val="222222"/>
          <w:shd w:val="clear" w:color="auto" w:fill="FFFFFF"/>
        </w:rPr>
        <w:t>Apriadi</w:t>
      </w:r>
      <w:proofErr w:type="spellEnd"/>
      <w:r w:rsidRPr="008A7117">
        <w:rPr>
          <w:rFonts w:cs="Arial"/>
          <w:color w:val="222222"/>
          <w:shd w:val="clear" w:color="auto" w:fill="FFFFFF"/>
        </w:rPr>
        <w:t xml:space="preserve">, D., Adelin, D., </w:t>
      </w:r>
      <w:proofErr w:type="spellStart"/>
      <w:r w:rsidRPr="008A7117">
        <w:rPr>
          <w:rFonts w:cs="Arial"/>
          <w:color w:val="222222"/>
          <w:shd w:val="clear" w:color="auto" w:fill="FFFFFF"/>
        </w:rPr>
        <w:t>Mutum</w:t>
      </w:r>
      <w:r w:rsidR="00FD1473">
        <w:rPr>
          <w:rFonts w:cs="Arial"/>
          <w:color w:val="222222"/>
          <w:shd w:val="clear" w:color="auto" w:fill="FFFFFF"/>
        </w:rPr>
        <w:t>anikam</w:t>
      </w:r>
      <w:proofErr w:type="spellEnd"/>
      <w:r w:rsidR="00FD1473">
        <w:rPr>
          <w:rFonts w:cs="Arial"/>
          <w:color w:val="222222"/>
          <w:shd w:val="clear" w:color="auto" w:fill="FFFFFF"/>
        </w:rPr>
        <w:t xml:space="preserve">, P.R. and </w:t>
      </w:r>
      <w:proofErr w:type="spellStart"/>
      <w:r w:rsidR="00FD1473">
        <w:rPr>
          <w:rFonts w:cs="Arial"/>
          <w:color w:val="222222"/>
          <w:shd w:val="clear" w:color="auto" w:fill="FFFFFF"/>
        </w:rPr>
        <w:t>Lanjarsih</w:t>
      </w:r>
      <w:proofErr w:type="spellEnd"/>
      <w:r w:rsidR="00FD1473">
        <w:rPr>
          <w:rFonts w:cs="Arial"/>
          <w:color w:val="222222"/>
          <w:shd w:val="clear" w:color="auto" w:fill="FFFFFF"/>
        </w:rPr>
        <w:t>, L. (</w:t>
      </w:r>
      <w:r w:rsidRPr="008A7117">
        <w:rPr>
          <w:rFonts w:cs="Arial"/>
          <w:color w:val="222222"/>
          <w:shd w:val="clear" w:color="auto" w:fill="FFFFFF"/>
        </w:rPr>
        <w:t>2025</w:t>
      </w:r>
      <w:r w:rsidR="00FD1473">
        <w:rPr>
          <w:rFonts w:cs="Arial"/>
          <w:color w:val="222222"/>
          <w:shd w:val="clear" w:color="auto" w:fill="FFFFFF"/>
        </w:rPr>
        <w:t>)</w:t>
      </w:r>
      <w:r w:rsidRPr="008A7117">
        <w:rPr>
          <w:rFonts w:cs="Arial"/>
          <w:color w:val="222222"/>
          <w:shd w:val="clear" w:color="auto" w:fill="FFFFFF"/>
        </w:rPr>
        <w:t>. Personal Finance Transformation in the Digital Era: The Impact of Financial Technology on People's Economic Behavior. </w:t>
      </w:r>
      <w:proofErr w:type="spellStart"/>
      <w:r w:rsidRPr="008A7117">
        <w:rPr>
          <w:rFonts w:cs="Arial"/>
          <w:i/>
          <w:iCs/>
          <w:color w:val="222222"/>
          <w:shd w:val="clear" w:color="auto" w:fill="FFFFFF"/>
        </w:rPr>
        <w:t>Oikonomia</w:t>
      </w:r>
      <w:proofErr w:type="spellEnd"/>
      <w:r w:rsidRPr="008A7117">
        <w:rPr>
          <w:rFonts w:cs="Arial"/>
          <w:i/>
          <w:iCs/>
          <w:color w:val="222222"/>
          <w:shd w:val="clear" w:color="auto" w:fill="FFFFFF"/>
        </w:rPr>
        <w:t>: Journal of Management Economics and Accounting</w:t>
      </w:r>
      <w:r w:rsidRPr="008A7117">
        <w:rPr>
          <w:rFonts w:cs="Arial"/>
          <w:color w:val="222222"/>
          <w:shd w:val="clear" w:color="auto" w:fill="FFFFFF"/>
        </w:rPr>
        <w:t>, </w:t>
      </w:r>
      <w:r w:rsidRPr="008A7117">
        <w:rPr>
          <w:rFonts w:cs="Arial"/>
          <w:i/>
          <w:iCs/>
          <w:color w:val="222222"/>
          <w:shd w:val="clear" w:color="auto" w:fill="FFFFFF"/>
        </w:rPr>
        <w:t>2</w:t>
      </w:r>
      <w:r w:rsidRPr="008A7117">
        <w:rPr>
          <w:rFonts w:cs="Arial"/>
          <w:color w:val="222222"/>
          <w:shd w:val="clear" w:color="auto" w:fill="FFFFFF"/>
        </w:rPr>
        <w:t>(3), pp.89-100.</w:t>
      </w:r>
    </w:p>
    <w:p w14:paraId="3E1223E1" w14:textId="77777777" w:rsidR="000B726E" w:rsidRPr="008A7117" w:rsidRDefault="00491D12" w:rsidP="00F605BA">
      <w:pPr>
        <w:ind w:left="720" w:hanging="720"/>
        <w:rPr>
          <w:rFonts w:cs="Arial"/>
          <w:color w:val="222222"/>
          <w:shd w:val="clear" w:color="auto" w:fill="FFFFFF"/>
        </w:rPr>
      </w:pPr>
      <w:r>
        <w:rPr>
          <w:rFonts w:cs="Arial"/>
          <w:color w:val="222222"/>
          <w:shd w:val="clear" w:color="auto" w:fill="FFFFFF"/>
        </w:rPr>
        <w:t>Aydın, C. (</w:t>
      </w:r>
      <w:r w:rsidR="000B726E" w:rsidRPr="008A7117">
        <w:rPr>
          <w:rFonts w:cs="Arial"/>
          <w:color w:val="222222"/>
          <w:shd w:val="clear" w:color="auto" w:fill="FFFFFF"/>
        </w:rPr>
        <w:t>2026</w:t>
      </w:r>
      <w:r>
        <w:rPr>
          <w:rFonts w:cs="Arial"/>
          <w:color w:val="222222"/>
          <w:shd w:val="clear" w:color="auto" w:fill="FFFFFF"/>
        </w:rPr>
        <w:t>)</w:t>
      </w:r>
      <w:r w:rsidR="000B726E" w:rsidRPr="008A7117">
        <w:rPr>
          <w:rFonts w:cs="Arial"/>
          <w:color w:val="222222"/>
          <w:shd w:val="clear" w:color="auto" w:fill="FFFFFF"/>
        </w:rPr>
        <w:t>. Commitment-Trust Theory. In </w:t>
      </w:r>
      <w:r w:rsidR="000B726E" w:rsidRPr="008A7117">
        <w:rPr>
          <w:rFonts w:cs="Arial"/>
          <w:i/>
          <w:iCs/>
          <w:color w:val="222222"/>
          <w:shd w:val="clear" w:color="auto" w:fill="FFFFFF"/>
        </w:rPr>
        <w:t>Theories and Models in Tourism and Hospitality Research</w:t>
      </w:r>
      <w:r w:rsidR="000B726E" w:rsidRPr="008A7117">
        <w:rPr>
          <w:rFonts w:cs="Arial"/>
          <w:color w:val="222222"/>
          <w:shd w:val="clear" w:color="auto" w:fill="FFFFFF"/>
        </w:rPr>
        <w:t> (pp. 36-42). GB: CABI.</w:t>
      </w:r>
    </w:p>
    <w:p w14:paraId="58F7341F" w14:textId="77777777" w:rsidR="00280C47" w:rsidRPr="008A7117" w:rsidRDefault="00491D12" w:rsidP="00F605BA">
      <w:pPr>
        <w:ind w:left="720" w:hanging="720"/>
        <w:rPr>
          <w:rFonts w:cs="Arial"/>
          <w:color w:val="222222"/>
          <w:shd w:val="clear" w:color="auto" w:fill="FFFFFF"/>
        </w:rPr>
      </w:pPr>
      <w:r>
        <w:rPr>
          <w:rFonts w:cs="Arial"/>
          <w:color w:val="222222"/>
          <w:shd w:val="clear" w:color="auto" w:fill="FFFFFF"/>
        </w:rPr>
        <w:t>Balaskas, S. (</w:t>
      </w:r>
      <w:r w:rsidR="00280C47" w:rsidRPr="008A7117">
        <w:rPr>
          <w:rFonts w:cs="Arial"/>
          <w:color w:val="222222"/>
          <w:shd w:val="clear" w:color="auto" w:fill="FFFFFF"/>
        </w:rPr>
        <w:t>2026</w:t>
      </w:r>
      <w:r>
        <w:rPr>
          <w:rFonts w:cs="Arial"/>
          <w:color w:val="222222"/>
          <w:shd w:val="clear" w:color="auto" w:fill="FFFFFF"/>
        </w:rPr>
        <w:t>)</w:t>
      </w:r>
      <w:r w:rsidR="00280C47" w:rsidRPr="008A7117">
        <w:rPr>
          <w:rFonts w:cs="Arial"/>
          <w:color w:val="222222"/>
          <w:shd w:val="clear" w:color="auto" w:fill="FFFFFF"/>
        </w:rPr>
        <w:t>. Trust as predictor and mechanism in green FinTech adoption: A systematic review and meta-analysis. </w:t>
      </w:r>
      <w:r w:rsidR="00280C47" w:rsidRPr="008A7117">
        <w:rPr>
          <w:rFonts w:cs="Arial"/>
          <w:i/>
          <w:iCs/>
          <w:color w:val="222222"/>
          <w:shd w:val="clear" w:color="auto" w:fill="FFFFFF"/>
        </w:rPr>
        <w:t>FinTech</w:t>
      </w:r>
      <w:r w:rsidR="00280C47" w:rsidRPr="008A7117">
        <w:rPr>
          <w:rFonts w:cs="Arial"/>
          <w:color w:val="222222"/>
          <w:shd w:val="clear" w:color="auto" w:fill="FFFFFF"/>
        </w:rPr>
        <w:t>, </w:t>
      </w:r>
      <w:r w:rsidR="00280C47" w:rsidRPr="008A7117">
        <w:rPr>
          <w:rFonts w:cs="Arial"/>
          <w:i/>
          <w:iCs/>
          <w:color w:val="222222"/>
          <w:shd w:val="clear" w:color="auto" w:fill="FFFFFF"/>
        </w:rPr>
        <w:t>5</w:t>
      </w:r>
      <w:r w:rsidR="00280C47" w:rsidRPr="008A7117">
        <w:rPr>
          <w:rFonts w:cs="Arial"/>
          <w:color w:val="222222"/>
          <w:shd w:val="clear" w:color="auto" w:fill="FFFFFF"/>
        </w:rPr>
        <w:t>(1), p.22.</w:t>
      </w:r>
    </w:p>
    <w:p w14:paraId="1E976ABF" w14:textId="77777777" w:rsidR="00D16345" w:rsidRPr="008A7117" w:rsidRDefault="00491D12" w:rsidP="00F605BA">
      <w:pPr>
        <w:ind w:left="720" w:hanging="720"/>
        <w:rPr>
          <w:rFonts w:cs="Arial"/>
          <w:color w:val="222222"/>
          <w:shd w:val="clear" w:color="auto" w:fill="FFFFFF"/>
        </w:rPr>
      </w:pPr>
      <w:r>
        <w:rPr>
          <w:rFonts w:cs="Arial"/>
          <w:color w:val="222222"/>
          <w:shd w:val="clear" w:color="auto" w:fill="FFFFFF"/>
        </w:rPr>
        <w:t>Bansal, G. and Warkentin, M. (</w:t>
      </w:r>
      <w:r w:rsidR="00D16345" w:rsidRPr="008A7117">
        <w:rPr>
          <w:rFonts w:cs="Arial"/>
          <w:color w:val="222222"/>
          <w:shd w:val="clear" w:color="auto" w:fill="FFFFFF"/>
        </w:rPr>
        <w:t>2021</w:t>
      </w:r>
      <w:r>
        <w:rPr>
          <w:rFonts w:cs="Arial"/>
          <w:color w:val="222222"/>
          <w:shd w:val="clear" w:color="auto" w:fill="FFFFFF"/>
        </w:rPr>
        <w:t>)</w:t>
      </w:r>
      <w:r w:rsidR="00D16345" w:rsidRPr="008A7117">
        <w:rPr>
          <w:rFonts w:cs="Arial"/>
          <w:color w:val="222222"/>
          <w:shd w:val="clear" w:color="auto" w:fill="FFFFFF"/>
        </w:rPr>
        <w:t>. Do you still trust? The role of age, gender, and privacy concern on trust after insider data breaches. </w:t>
      </w:r>
      <w:r w:rsidR="00D16345" w:rsidRPr="008A7117">
        <w:rPr>
          <w:rFonts w:cs="Arial"/>
          <w:i/>
          <w:iCs/>
          <w:color w:val="222222"/>
          <w:shd w:val="clear" w:color="auto" w:fill="FFFFFF"/>
        </w:rPr>
        <w:t>ACM SIGMIS Database: the DATABASE for Advances in Information Systems</w:t>
      </w:r>
      <w:r w:rsidR="00D16345" w:rsidRPr="008A7117">
        <w:rPr>
          <w:rFonts w:cs="Arial"/>
          <w:color w:val="222222"/>
          <w:shd w:val="clear" w:color="auto" w:fill="FFFFFF"/>
        </w:rPr>
        <w:t>, </w:t>
      </w:r>
      <w:r w:rsidR="00D16345" w:rsidRPr="008A7117">
        <w:rPr>
          <w:rFonts w:cs="Arial"/>
          <w:i/>
          <w:iCs/>
          <w:color w:val="222222"/>
          <w:shd w:val="clear" w:color="auto" w:fill="FFFFFF"/>
        </w:rPr>
        <w:t>52</w:t>
      </w:r>
      <w:r w:rsidR="00D16345" w:rsidRPr="008A7117">
        <w:rPr>
          <w:rFonts w:cs="Arial"/>
          <w:color w:val="222222"/>
          <w:shd w:val="clear" w:color="auto" w:fill="FFFFFF"/>
        </w:rPr>
        <w:t>(4), pp.9-44.</w:t>
      </w:r>
    </w:p>
    <w:p w14:paraId="31E6E0ED" w14:textId="77777777" w:rsidR="00E273C1" w:rsidRPr="008A7117" w:rsidRDefault="00491D12" w:rsidP="00F605BA">
      <w:pPr>
        <w:ind w:left="720" w:hanging="720"/>
        <w:rPr>
          <w:rFonts w:cs="Arial"/>
          <w:color w:val="222222"/>
          <w:shd w:val="clear" w:color="auto" w:fill="FFFFFF"/>
        </w:rPr>
      </w:pPr>
      <w:r>
        <w:rPr>
          <w:rFonts w:cs="Arial"/>
          <w:color w:val="222222"/>
          <w:shd w:val="clear" w:color="auto" w:fill="FFFFFF"/>
        </w:rPr>
        <w:t>Chukwu, B.N. (</w:t>
      </w:r>
      <w:r w:rsidR="00E273C1" w:rsidRPr="008A7117">
        <w:rPr>
          <w:rFonts w:cs="Arial"/>
          <w:color w:val="222222"/>
          <w:shd w:val="clear" w:color="auto" w:fill="FFFFFF"/>
        </w:rPr>
        <w:t>2025</w:t>
      </w:r>
      <w:r>
        <w:rPr>
          <w:rFonts w:cs="Arial"/>
          <w:color w:val="222222"/>
          <w:shd w:val="clear" w:color="auto" w:fill="FFFFFF"/>
        </w:rPr>
        <w:t>)</w:t>
      </w:r>
      <w:r w:rsidR="00E273C1" w:rsidRPr="008A7117">
        <w:rPr>
          <w:rFonts w:cs="Arial"/>
          <w:color w:val="222222"/>
          <w:shd w:val="clear" w:color="auto" w:fill="FFFFFF"/>
        </w:rPr>
        <w:t>. FinTech Innovation and Digital Security: AI Applications for Fraud Mitigation and Regulatory Compliance in US Financial Markets.</w:t>
      </w:r>
    </w:p>
    <w:p w14:paraId="014FBF24" w14:textId="77777777" w:rsidR="00CA73A2" w:rsidRPr="008A7117" w:rsidRDefault="00491D12" w:rsidP="00F605BA">
      <w:pPr>
        <w:ind w:left="720" w:hanging="720"/>
        <w:rPr>
          <w:rFonts w:cs="Arial"/>
          <w:color w:val="222222"/>
          <w:shd w:val="clear" w:color="auto" w:fill="FFFFFF"/>
        </w:rPr>
      </w:pPr>
      <w:r>
        <w:rPr>
          <w:rFonts w:cs="Arial"/>
          <w:color w:val="222222"/>
          <w:shd w:val="clear" w:color="auto" w:fill="FFFFFF"/>
        </w:rPr>
        <w:lastRenderedPageBreak/>
        <w:t>Clarke, C. and Macartney, H. (</w:t>
      </w:r>
      <w:r w:rsidR="00CA73A2" w:rsidRPr="008A7117">
        <w:rPr>
          <w:rFonts w:cs="Arial"/>
          <w:color w:val="222222"/>
          <w:shd w:val="clear" w:color="auto" w:fill="FFFFFF"/>
        </w:rPr>
        <w:t>2026</w:t>
      </w:r>
      <w:r>
        <w:rPr>
          <w:rFonts w:cs="Arial"/>
          <w:color w:val="222222"/>
          <w:shd w:val="clear" w:color="auto" w:fill="FFFFFF"/>
        </w:rPr>
        <w:t>)</w:t>
      </w:r>
      <w:r w:rsidR="00CA73A2" w:rsidRPr="008A7117">
        <w:rPr>
          <w:rFonts w:cs="Arial"/>
          <w:color w:val="222222"/>
          <w:shd w:val="clear" w:color="auto" w:fill="FFFFFF"/>
        </w:rPr>
        <w:t>. The second financial services revolution? The quiet politics of open banking reform in the UK. </w:t>
      </w:r>
      <w:r w:rsidR="00CA73A2" w:rsidRPr="008A7117">
        <w:rPr>
          <w:rFonts w:cs="Arial"/>
          <w:i/>
          <w:iCs/>
          <w:color w:val="222222"/>
          <w:shd w:val="clear" w:color="auto" w:fill="FFFFFF"/>
        </w:rPr>
        <w:t>Competition &amp; Change</w:t>
      </w:r>
      <w:r w:rsidR="00CA73A2" w:rsidRPr="008A7117">
        <w:rPr>
          <w:rFonts w:cs="Arial"/>
          <w:color w:val="222222"/>
          <w:shd w:val="clear" w:color="auto" w:fill="FFFFFF"/>
        </w:rPr>
        <w:t>, </w:t>
      </w:r>
      <w:r w:rsidR="00CA73A2" w:rsidRPr="008A7117">
        <w:rPr>
          <w:rFonts w:cs="Arial"/>
          <w:i/>
          <w:iCs/>
          <w:color w:val="222222"/>
          <w:shd w:val="clear" w:color="auto" w:fill="FFFFFF"/>
        </w:rPr>
        <w:t>30</w:t>
      </w:r>
      <w:r w:rsidR="00CA73A2" w:rsidRPr="008A7117">
        <w:rPr>
          <w:rFonts w:cs="Arial"/>
          <w:color w:val="222222"/>
          <w:shd w:val="clear" w:color="auto" w:fill="FFFFFF"/>
        </w:rPr>
        <w:t>(2), pp.420-439.</w:t>
      </w:r>
    </w:p>
    <w:p w14:paraId="6B646FCA" w14:textId="77777777" w:rsidR="00D16345" w:rsidRPr="008A7117" w:rsidRDefault="00491D12" w:rsidP="00F605BA">
      <w:pPr>
        <w:ind w:left="720" w:hanging="720"/>
        <w:rPr>
          <w:rFonts w:cs="Arial"/>
          <w:color w:val="222222"/>
          <w:shd w:val="clear" w:color="auto" w:fill="FFFFFF"/>
        </w:rPr>
      </w:pPr>
      <w:r>
        <w:rPr>
          <w:rFonts w:cs="Arial"/>
          <w:color w:val="222222"/>
          <w:shd w:val="clear" w:color="auto" w:fill="FFFFFF"/>
        </w:rPr>
        <w:t>Croft, N. (</w:t>
      </w:r>
      <w:r w:rsidR="00D16345" w:rsidRPr="008A7117">
        <w:rPr>
          <w:rFonts w:cs="Arial"/>
          <w:color w:val="222222"/>
          <w:shd w:val="clear" w:color="auto" w:fill="FFFFFF"/>
        </w:rPr>
        <w:t>2024</w:t>
      </w:r>
      <w:r>
        <w:rPr>
          <w:rFonts w:cs="Arial"/>
          <w:color w:val="222222"/>
          <w:shd w:val="clear" w:color="auto" w:fill="FFFFFF"/>
        </w:rPr>
        <w:t>)</w:t>
      </w:r>
      <w:r w:rsidR="00D16345" w:rsidRPr="008A7117">
        <w:rPr>
          <w:rFonts w:cs="Arial"/>
          <w:color w:val="222222"/>
          <w:shd w:val="clear" w:color="auto" w:fill="FFFFFF"/>
        </w:rPr>
        <w:t>. </w:t>
      </w:r>
      <w:r w:rsidR="00D16345" w:rsidRPr="008A7117">
        <w:rPr>
          <w:rFonts w:cs="Arial"/>
          <w:i/>
          <w:iCs/>
          <w:color w:val="222222"/>
          <w:shd w:val="clear" w:color="auto" w:fill="FFFFFF"/>
        </w:rPr>
        <w:t>Exploring the Connection Between Digital Literacy and Data Privacy and Security Practices Among Early Childhood Professionals in British Columbia</w:t>
      </w:r>
      <w:r w:rsidR="00D16345" w:rsidRPr="008A7117">
        <w:rPr>
          <w:rFonts w:cs="Arial"/>
          <w:color w:val="222222"/>
          <w:shd w:val="clear" w:color="auto" w:fill="FFFFFF"/>
        </w:rPr>
        <w:t> (Master's thesis, Royal Roads University (Canada)).</w:t>
      </w:r>
    </w:p>
    <w:p w14:paraId="07217C91" w14:textId="77777777" w:rsidR="00BA68B3" w:rsidRPr="008A7117" w:rsidRDefault="00BA68B3" w:rsidP="00F605BA">
      <w:pPr>
        <w:ind w:left="720" w:hanging="720"/>
        <w:rPr>
          <w:rFonts w:cs="Arial"/>
          <w:color w:val="222222"/>
          <w:shd w:val="clear" w:color="auto" w:fill="FFFFFF"/>
        </w:rPr>
      </w:pPr>
      <w:r w:rsidRPr="008A7117">
        <w:rPr>
          <w:rFonts w:cs="Arial"/>
          <w:color w:val="222222"/>
          <w:shd w:val="clear" w:color="auto" w:fill="FFFFFF"/>
        </w:rPr>
        <w:t>Darko,</w:t>
      </w:r>
      <w:r w:rsidR="00491D12">
        <w:rPr>
          <w:rFonts w:cs="Arial"/>
          <w:color w:val="222222"/>
          <w:shd w:val="clear" w:color="auto" w:fill="FFFFFF"/>
        </w:rPr>
        <w:t xml:space="preserve"> E.M., </w:t>
      </w:r>
      <w:proofErr w:type="spellStart"/>
      <w:r w:rsidR="00491D12">
        <w:rPr>
          <w:rFonts w:cs="Arial"/>
          <w:color w:val="222222"/>
          <w:shd w:val="clear" w:color="auto" w:fill="FFFFFF"/>
        </w:rPr>
        <w:t>Kleib</w:t>
      </w:r>
      <w:proofErr w:type="spellEnd"/>
      <w:r w:rsidR="00491D12">
        <w:rPr>
          <w:rFonts w:cs="Arial"/>
          <w:color w:val="222222"/>
          <w:shd w:val="clear" w:color="auto" w:fill="FFFFFF"/>
        </w:rPr>
        <w:t>, M. and Olson, J. (</w:t>
      </w:r>
      <w:r w:rsidRPr="008A7117">
        <w:rPr>
          <w:rFonts w:cs="Arial"/>
          <w:color w:val="222222"/>
          <w:shd w:val="clear" w:color="auto" w:fill="FFFFFF"/>
        </w:rPr>
        <w:t>2022</w:t>
      </w:r>
      <w:r w:rsidR="00491D12">
        <w:rPr>
          <w:rFonts w:cs="Arial"/>
          <w:color w:val="222222"/>
          <w:shd w:val="clear" w:color="auto" w:fill="FFFFFF"/>
        </w:rPr>
        <w:t>)</w:t>
      </w:r>
      <w:r w:rsidRPr="008A7117">
        <w:rPr>
          <w:rFonts w:cs="Arial"/>
          <w:color w:val="222222"/>
          <w:shd w:val="clear" w:color="auto" w:fill="FFFFFF"/>
        </w:rPr>
        <w:t>. Social media use for research participant recruitment: integrative literature review. </w:t>
      </w:r>
      <w:r w:rsidRPr="008A7117">
        <w:rPr>
          <w:rFonts w:cs="Arial"/>
          <w:i/>
          <w:iCs/>
          <w:color w:val="222222"/>
          <w:shd w:val="clear" w:color="auto" w:fill="FFFFFF"/>
        </w:rPr>
        <w:t>Journal of Medical Internet Research</w:t>
      </w:r>
      <w:r w:rsidRPr="008A7117">
        <w:rPr>
          <w:rFonts w:cs="Arial"/>
          <w:color w:val="222222"/>
          <w:shd w:val="clear" w:color="auto" w:fill="FFFFFF"/>
        </w:rPr>
        <w:t>, </w:t>
      </w:r>
      <w:r w:rsidRPr="008A7117">
        <w:rPr>
          <w:rFonts w:cs="Arial"/>
          <w:i/>
          <w:iCs/>
          <w:color w:val="222222"/>
          <w:shd w:val="clear" w:color="auto" w:fill="FFFFFF"/>
        </w:rPr>
        <w:t>24</w:t>
      </w:r>
      <w:r w:rsidRPr="008A7117">
        <w:rPr>
          <w:rFonts w:cs="Arial"/>
          <w:color w:val="222222"/>
          <w:shd w:val="clear" w:color="auto" w:fill="FFFFFF"/>
        </w:rPr>
        <w:t>(8), p.e38015.</w:t>
      </w:r>
    </w:p>
    <w:p w14:paraId="2AB48026" w14:textId="77777777" w:rsidR="00CA73A2" w:rsidRPr="008A7117" w:rsidRDefault="00CA73A2" w:rsidP="00F605BA">
      <w:pPr>
        <w:ind w:left="720" w:hanging="720"/>
        <w:rPr>
          <w:rFonts w:cs="Arial"/>
        </w:rPr>
      </w:pPr>
      <w:r w:rsidRPr="008A7117">
        <w:rPr>
          <w:rFonts w:cs="Arial"/>
        </w:rPr>
        <w:t xml:space="preserve">Department for Science, Innovation and Technology (2026) </w:t>
      </w:r>
      <w:r w:rsidRPr="008A7117">
        <w:rPr>
          <w:rFonts w:cs="Arial"/>
          <w:i/>
          <w:iCs/>
        </w:rPr>
        <w:t>Cyber security breaches survey 2025/2026</w:t>
      </w:r>
      <w:r w:rsidRPr="008A7117">
        <w:rPr>
          <w:rFonts w:cs="Arial"/>
        </w:rPr>
        <w:t xml:space="preserve">. Available at: </w:t>
      </w:r>
      <w:hyperlink r:id="rId11" w:tgtFrame="_new" w:history="1">
        <w:r w:rsidRPr="008A7117">
          <w:rPr>
            <w:rFonts w:cs="Arial"/>
            <w:color w:val="0000FF"/>
            <w:u w:val="single"/>
          </w:rPr>
          <w:t>https://www.gov.uk/government/statistics/cyber-security-breaches-survey-20252026/cyber-security-breaches-survey-20252026</w:t>
        </w:r>
      </w:hyperlink>
      <w:r w:rsidR="00491D12">
        <w:rPr>
          <w:rFonts w:cs="Arial"/>
        </w:rPr>
        <w:t xml:space="preserve"> (Accessed: 11</w:t>
      </w:r>
      <w:r w:rsidRPr="008A7117">
        <w:rPr>
          <w:rFonts w:cs="Arial"/>
        </w:rPr>
        <w:t xml:space="preserve"> July 2026).</w:t>
      </w:r>
    </w:p>
    <w:p w14:paraId="69A4F17E" w14:textId="77777777" w:rsidR="008A7117" w:rsidRPr="008A7117" w:rsidRDefault="00491D12" w:rsidP="00F605BA">
      <w:pPr>
        <w:ind w:left="720" w:hanging="720"/>
        <w:rPr>
          <w:rFonts w:cs="Arial"/>
        </w:rPr>
      </w:pPr>
      <w:r>
        <w:rPr>
          <w:rFonts w:cs="Arial"/>
          <w:color w:val="222222"/>
          <w:shd w:val="clear" w:color="auto" w:fill="FFFFFF"/>
        </w:rPr>
        <w:t>Devi, B.A. and Saravanan, V. (</w:t>
      </w:r>
      <w:r w:rsidR="008A7117" w:rsidRPr="008A7117">
        <w:rPr>
          <w:rFonts w:cs="Arial"/>
          <w:color w:val="222222"/>
          <w:shd w:val="clear" w:color="auto" w:fill="FFFFFF"/>
        </w:rPr>
        <w:t>2026</w:t>
      </w:r>
      <w:r>
        <w:rPr>
          <w:rFonts w:cs="Arial"/>
          <w:color w:val="222222"/>
          <w:shd w:val="clear" w:color="auto" w:fill="FFFFFF"/>
        </w:rPr>
        <w:t>)</w:t>
      </w:r>
      <w:r w:rsidR="008A7117" w:rsidRPr="008A7117">
        <w:rPr>
          <w:rFonts w:cs="Arial"/>
          <w:color w:val="222222"/>
          <w:shd w:val="clear" w:color="auto" w:fill="FFFFFF"/>
        </w:rPr>
        <w:t>. Ethical Considerations and Data Privacy. </w:t>
      </w:r>
      <w:r w:rsidR="008A7117" w:rsidRPr="008A7117">
        <w:rPr>
          <w:rFonts w:cs="Arial"/>
          <w:i/>
          <w:iCs/>
          <w:color w:val="222222"/>
          <w:shd w:val="clear" w:color="auto" w:fill="FFFFFF"/>
        </w:rPr>
        <w:t>Transforming Outcome-Based Education with Machine Learning</w:t>
      </w:r>
      <w:r w:rsidR="008A7117" w:rsidRPr="008A7117">
        <w:rPr>
          <w:rFonts w:cs="Arial"/>
          <w:color w:val="222222"/>
          <w:shd w:val="clear" w:color="auto" w:fill="FFFFFF"/>
        </w:rPr>
        <w:t>, p.275.</w:t>
      </w:r>
    </w:p>
    <w:p w14:paraId="77D157BF" w14:textId="77777777" w:rsidR="00BA68B3" w:rsidRPr="008A7117" w:rsidRDefault="00BA68B3" w:rsidP="00F605BA">
      <w:pPr>
        <w:ind w:left="720" w:hanging="720"/>
        <w:rPr>
          <w:rFonts w:cs="Arial"/>
        </w:rPr>
      </w:pPr>
      <w:r w:rsidRPr="008A7117">
        <w:rPr>
          <w:rFonts w:cs="Arial"/>
          <w:color w:val="222222"/>
          <w:shd w:val="clear" w:color="auto" w:fill="FFFFFF"/>
        </w:rPr>
        <w:t xml:space="preserve">Doran, </w:t>
      </w:r>
      <w:r w:rsidR="00491D12">
        <w:rPr>
          <w:rFonts w:cs="Arial"/>
          <w:color w:val="222222"/>
          <w:shd w:val="clear" w:color="auto" w:fill="FFFFFF"/>
        </w:rPr>
        <w:t>J., Kirby, A. and Bourke, J. (</w:t>
      </w:r>
      <w:r w:rsidRPr="008A7117">
        <w:rPr>
          <w:rFonts w:cs="Arial"/>
          <w:color w:val="222222"/>
          <w:shd w:val="clear" w:color="auto" w:fill="FFFFFF"/>
        </w:rPr>
        <w:t>2026</w:t>
      </w:r>
      <w:r w:rsidR="00491D12">
        <w:rPr>
          <w:rFonts w:cs="Arial"/>
          <w:color w:val="222222"/>
          <w:shd w:val="clear" w:color="auto" w:fill="FFFFFF"/>
        </w:rPr>
        <w:t>)</w:t>
      </w:r>
      <w:r w:rsidRPr="008A7117">
        <w:rPr>
          <w:rFonts w:cs="Arial"/>
          <w:color w:val="222222"/>
          <w:shd w:val="clear" w:color="auto" w:fill="FFFFFF"/>
        </w:rPr>
        <w:t>. </w:t>
      </w:r>
      <w:r w:rsidRPr="008A7117">
        <w:rPr>
          <w:rFonts w:cs="Arial"/>
          <w:i/>
          <w:iCs/>
          <w:color w:val="222222"/>
          <w:shd w:val="clear" w:color="auto" w:fill="FFFFFF"/>
        </w:rPr>
        <w:t>Survey &amp; questionnaire design: Collecting primary data to answer research questions</w:t>
      </w:r>
      <w:r w:rsidRPr="008A7117">
        <w:rPr>
          <w:rFonts w:cs="Arial"/>
          <w:color w:val="222222"/>
          <w:shd w:val="clear" w:color="auto" w:fill="FFFFFF"/>
        </w:rPr>
        <w:t>. Axel NEEFS.</w:t>
      </w:r>
    </w:p>
    <w:p w14:paraId="35202696" w14:textId="77777777" w:rsidR="003C7E95" w:rsidRPr="008A7117" w:rsidRDefault="003C7E95" w:rsidP="00F605BA">
      <w:pPr>
        <w:ind w:left="720" w:hanging="720"/>
        <w:rPr>
          <w:rFonts w:cs="Arial"/>
        </w:rPr>
      </w:pPr>
      <w:r w:rsidRPr="008A7117">
        <w:rPr>
          <w:rFonts w:cs="Arial"/>
        </w:rPr>
        <w:t>Financial Conduct Authority (2025</w:t>
      </w:r>
      <w:r w:rsidR="000B726E" w:rsidRPr="008A7117">
        <w:rPr>
          <w:rFonts w:cs="Arial"/>
        </w:rPr>
        <w:t>a</w:t>
      </w:r>
      <w:r w:rsidRPr="008A7117">
        <w:rPr>
          <w:rFonts w:cs="Arial"/>
        </w:rPr>
        <w:t xml:space="preserve">) </w:t>
      </w:r>
      <w:r w:rsidRPr="008A7117">
        <w:rPr>
          <w:rFonts w:cs="Arial"/>
          <w:i/>
          <w:iCs/>
        </w:rPr>
        <w:t>Financial Lives Survey 2024: Key findings</w:t>
      </w:r>
      <w:r w:rsidRPr="008A7117">
        <w:rPr>
          <w:rFonts w:cs="Arial"/>
        </w:rPr>
        <w:t xml:space="preserve">. Available at: </w:t>
      </w:r>
      <w:hyperlink r:id="rId12" w:tgtFrame="_new" w:history="1">
        <w:r w:rsidRPr="008A7117">
          <w:rPr>
            <w:rFonts w:cs="Arial"/>
            <w:color w:val="0000FF"/>
            <w:u w:val="single"/>
          </w:rPr>
          <w:t>https://www.fca.org.uk/publication/financial-lives/financial-lives-survey-2024-key-findings.pdf</w:t>
        </w:r>
      </w:hyperlink>
      <w:r w:rsidR="00491D12">
        <w:rPr>
          <w:rFonts w:cs="Arial"/>
        </w:rPr>
        <w:t xml:space="preserve"> (Accessed: 11</w:t>
      </w:r>
      <w:r w:rsidRPr="008A7117">
        <w:rPr>
          <w:rFonts w:cs="Arial"/>
        </w:rPr>
        <w:t xml:space="preserve"> July 2026).</w:t>
      </w:r>
    </w:p>
    <w:p w14:paraId="2D75070F" w14:textId="77777777" w:rsidR="000B726E" w:rsidRPr="008A7117" w:rsidRDefault="000B726E" w:rsidP="00F605BA">
      <w:pPr>
        <w:ind w:left="720" w:hanging="720"/>
        <w:rPr>
          <w:rFonts w:cs="Arial"/>
        </w:rPr>
      </w:pPr>
      <w:r w:rsidRPr="008A7117">
        <w:rPr>
          <w:rFonts w:cs="Arial"/>
        </w:rPr>
        <w:t xml:space="preserve">Financial Conduct Authority (2025b) ‘Tech, trust and teamwork: how the FCA and ICO are helping innovation take off’, 2 June. Available at: </w:t>
      </w:r>
      <w:hyperlink r:id="rId13" w:tgtFrame="_new" w:history="1">
        <w:r w:rsidRPr="008A7117">
          <w:rPr>
            <w:rStyle w:val="Hyperlink"/>
            <w:rFonts w:cs="Arial"/>
          </w:rPr>
          <w:t>https://www.fca.org.uk/news/blogs/tech-trust-and-teamwork</w:t>
        </w:r>
      </w:hyperlink>
      <w:r w:rsidR="00491D12">
        <w:rPr>
          <w:rFonts w:cs="Arial"/>
        </w:rPr>
        <w:t xml:space="preserve"> (Accessed: 12</w:t>
      </w:r>
      <w:r w:rsidRPr="008A7117">
        <w:rPr>
          <w:rFonts w:cs="Arial"/>
        </w:rPr>
        <w:t xml:space="preserve"> July 2026).</w:t>
      </w:r>
    </w:p>
    <w:p w14:paraId="7D9C979F" w14:textId="77777777" w:rsidR="00E273C1" w:rsidRPr="008A7117" w:rsidRDefault="00E273C1" w:rsidP="00F605BA">
      <w:pPr>
        <w:ind w:left="720" w:hanging="720"/>
        <w:rPr>
          <w:rFonts w:cs="Arial"/>
        </w:rPr>
      </w:pPr>
      <w:r w:rsidRPr="008A7117">
        <w:rPr>
          <w:rFonts w:cs="Arial"/>
        </w:rPr>
        <w:t xml:space="preserve">Financial Conduct Authority (FCA) (2026) </w:t>
      </w:r>
      <w:r w:rsidRPr="008A7117">
        <w:rPr>
          <w:rStyle w:val="Emphasis"/>
          <w:rFonts w:cs="Arial"/>
        </w:rPr>
        <w:t>Open finance: Our vision for a smart data future</w:t>
      </w:r>
      <w:r w:rsidRPr="008A7117">
        <w:rPr>
          <w:rFonts w:cs="Arial"/>
        </w:rPr>
        <w:t>. London: Financial Conduct Authority, pp. 3–4.</w:t>
      </w:r>
    </w:p>
    <w:p w14:paraId="7B71B268" w14:textId="77777777" w:rsidR="008A7117" w:rsidRPr="008A7117" w:rsidRDefault="008A7117" w:rsidP="00F605BA">
      <w:pPr>
        <w:ind w:left="720" w:hanging="720"/>
        <w:rPr>
          <w:rFonts w:cs="Arial"/>
        </w:rPr>
      </w:pPr>
      <w:r w:rsidRPr="008A7117">
        <w:rPr>
          <w:rFonts w:cs="Arial"/>
          <w:color w:val="222222"/>
          <w:shd w:val="clear" w:color="auto" w:fill="FFFFFF"/>
        </w:rPr>
        <w:t>Flake, J.K., Davids</w:t>
      </w:r>
      <w:r w:rsidR="00491D12">
        <w:rPr>
          <w:rFonts w:cs="Arial"/>
          <w:color w:val="222222"/>
          <w:shd w:val="clear" w:color="auto" w:fill="FFFFFF"/>
        </w:rPr>
        <w:t>on, I.J., Wong, O. and Pek, J. (</w:t>
      </w:r>
      <w:r w:rsidRPr="008A7117">
        <w:rPr>
          <w:rFonts w:cs="Arial"/>
          <w:color w:val="222222"/>
          <w:shd w:val="clear" w:color="auto" w:fill="FFFFFF"/>
        </w:rPr>
        <w:t>2022</w:t>
      </w:r>
      <w:r w:rsidR="00491D12">
        <w:rPr>
          <w:rFonts w:cs="Arial"/>
          <w:color w:val="222222"/>
          <w:shd w:val="clear" w:color="auto" w:fill="FFFFFF"/>
        </w:rPr>
        <w:t>)</w:t>
      </w:r>
      <w:r w:rsidRPr="008A7117">
        <w:rPr>
          <w:rFonts w:cs="Arial"/>
          <w:color w:val="222222"/>
          <w:shd w:val="clear" w:color="auto" w:fill="FFFFFF"/>
        </w:rPr>
        <w:t>. Construct validity and the validity of replication studies: A systematic review. </w:t>
      </w:r>
      <w:r w:rsidRPr="008A7117">
        <w:rPr>
          <w:rFonts w:cs="Arial"/>
          <w:i/>
          <w:iCs/>
          <w:color w:val="222222"/>
          <w:shd w:val="clear" w:color="auto" w:fill="FFFFFF"/>
        </w:rPr>
        <w:t>American Psychologist</w:t>
      </w:r>
      <w:r w:rsidRPr="008A7117">
        <w:rPr>
          <w:rFonts w:cs="Arial"/>
          <w:color w:val="222222"/>
          <w:shd w:val="clear" w:color="auto" w:fill="FFFFFF"/>
        </w:rPr>
        <w:t>, </w:t>
      </w:r>
      <w:r w:rsidRPr="008A7117">
        <w:rPr>
          <w:rFonts w:cs="Arial"/>
          <w:i/>
          <w:iCs/>
          <w:color w:val="222222"/>
          <w:shd w:val="clear" w:color="auto" w:fill="FFFFFF"/>
        </w:rPr>
        <w:t>77</w:t>
      </w:r>
      <w:r w:rsidRPr="008A7117">
        <w:rPr>
          <w:rFonts w:cs="Arial"/>
          <w:color w:val="222222"/>
          <w:shd w:val="clear" w:color="auto" w:fill="FFFFFF"/>
        </w:rPr>
        <w:t>(4), p.576.</w:t>
      </w:r>
    </w:p>
    <w:p w14:paraId="53D64587" w14:textId="77777777" w:rsidR="008A7117" w:rsidRPr="008A7117" w:rsidRDefault="00491D12" w:rsidP="00F605BA">
      <w:pPr>
        <w:ind w:left="720" w:hanging="720"/>
        <w:rPr>
          <w:rFonts w:cs="Arial"/>
          <w:color w:val="222222"/>
          <w:shd w:val="clear" w:color="auto" w:fill="FFFFFF"/>
        </w:rPr>
      </w:pPr>
      <w:r>
        <w:rPr>
          <w:rFonts w:cs="Arial"/>
          <w:color w:val="222222"/>
          <w:shd w:val="clear" w:color="auto" w:fill="FFFFFF"/>
        </w:rPr>
        <w:t>Fu, J., Zhang, J. and Li, X. (</w:t>
      </w:r>
      <w:r w:rsidR="00396E9F" w:rsidRPr="008A7117">
        <w:rPr>
          <w:rFonts w:cs="Arial"/>
          <w:color w:val="222222"/>
          <w:shd w:val="clear" w:color="auto" w:fill="FFFFFF"/>
        </w:rPr>
        <w:t>2023</w:t>
      </w:r>
      <w:r>
        <w:rPr>
          <w:rFonts w:cs="Arial"/>
          <w:color w:val="222222"/>
          <w:shd w:val="clear" w:color="auto" w:fill="FFFFFF"/>
        </w:rPr>
        <w:t>)</w:t>
      </w:r>
      <w:r w:rsidR="00396E9F" w:rsidRPr="008A7117">
        <w:rPr>
          <w:rFonts w:cs="Arial"/>
          <w:color w:val="222222"/>
          <w:shd w:val="clear" w:color="auto" w:fill="FFFFFF"/>
        </w:rPr>
        <w:t xml:space="preserve">. How do risks and benefits affect </w:t>
      </w:r>
      <w:proofErr w:type="spellStart"/>
      <w:r w:rsidR="00396E9F" w:rsidRPr="008A7117">
        <w:rPr>
          <w:rFonts w:cs="Arial"/>
          <w:color w:val="222222"/>
          <w:shd w:val="clear" w:color="auto" w:fill="FFFFFF"/>
        </w:rPr>
        <w:t>user’privacy</w:t>
      </w:r>
      <w:proofErr w:type="spellEnd"/>
      <w:r w:rsidR="00396E9F" w:rsidRPr="008A7117">
        <w:rPr>
          <w:rFonts w:cs="Arial"/>
          <w:color w:val="222222"/>
          <w:shd w:val="clear" w:color="auto" w:fill="FFFFFF"/>
        </w:rPr>
        <w:t xml:space="preserve"> decisions? An event-related potential study on privacy calculus process. </w:t>
      </w:r>
      <w:r w:rsidR="00396E9F" w:rsidRPr="008A7117">
        <w:rPr>
          <w:rFonts w:cs="Arial"/>
          <w:i/>
          <w:iCs/>
          <w:color w:val="222222"/>
          <w:shd w:val="clear" w:color="auto" w:fill="FFFFFF"/>
        </w:rPr>
        <w:t>Frontiers in Psychology</w:t>
      </w:r>
      <w:r w:rsidR="00396E9F" w:rsidRPr="008A7117">
        <w:rPr>
          <w:rFonts w:cs="Arial"/>
          <w:color w:val="222222"/>
          <w:shd w:val="clear" w:color="auto" w:fill="FFFFFF"/>
        </w:rPr>
        <w:t>, </w:t>
      </w:r>
      <w:r w:rsidR="00396E9F" w:rsidRPr="008A7117">
        <w:rPr>
          <w:rFonts w:cs="Arial"/>
          <w:i/>
          <w:iCs/>
          <w:color w:val="222222"/>
          <w:shd w:val="clear" w:color="auto" w:fill="FFFFFF"/>
        </w:rPr>
        <w:t>14</w:t>
      </w:r>
      <w:r w:rsidR="00396E9F" w:rsidRPr="008A7117">
        <w:rPr>
          <w:rFonts w:cs="Arial"/>
          <w:color w:val="222222"/>
          <w:shd w:val="clear" w:color="auto" w:fill="FFFFFF"/>
        </w:rPr>
        <w:t>, p.1052782.</w:t>
      </w:r>
    </w:p>
    <w:p w14:paraId="5E362EB9" w14:textId="77777777" w:rsidR="00CA73A2" w:rsidRPr="008A7117" w:rsidRDefault="00491D12" w:rsidP="00F605BA">
      <w:pPr>
        <w:ind w:left="720" w:hanging="720"/>
        <w:rPr>
          <w:rFonts w:cs="Arial"/>
          <w:color w:val="222222"/>
          <w:shd w:val="clear" w:color="auto" w:fill="FFFFFF"/>
        </w:rPr>
      </w:pPr>
      <w:r>
        <w:rPr>
          <w:rFonts w:cs="Arial"/>
          <w:color w:val="222222"/>
          <w:shd w:val="clear" w:color="auto" w:fill="FFFFFF"/>
        </w:rPr>
        <w:lastRenderedPageBreak/>
        <w:t>Gindre, F. and Ibarra, G.A. (</w:t>
      </w:r>
      <w:r w:rsidR="00CA73A2" w:rsidRPr="008A7117">
        <w:rPr>
          <w:rFonts w:cs="Arial"/>
          <w:color w:val="222222"/>
          <w:shd w:val="clear" w:color="auto" w:fill="FFFFFF"/>
        </w:rPr>
        <w:t>2026</w:t>
      </w:r>
      <w:r>
        <w:rPr>
          <w:rFonts w:cs="Arial"/>
          <w:color w:val="222222"/>
          <w:shd w:val="clear" w:color="auto" w:fill="FFFFFF"/>
        </w:rPr>
        <w:t>)</w:t>
      </w:r>
      <w:r w:rsidR="00CA73A2" w:rsidRPr="008A7117">
        <w:rPr>
          <w:rFonts w:cs="Arial"/>
          <w:color w:val="222222"/>
          <w:shd w:val="clear" w:color="auto" w:fill="FFFFFF"/>
        </w:rPr>
        <w:t>. Security Enhancement of FinTech Platforms with Artificial Intelligence and Blockchain: A Systematic Literature Review. </w:t>
      </w:r>
      <w:r w:rsidR="00CA73A2" w:rsidRPr="008A7117">
        <w:rPr>
          <w:rFonts w:cs="Arial"/>
          <w:i/>
          <w:iCs/>
          <w:color w:val="222222"/>
          <w:shd w:val="clear" w:color="auto" w:fill="FFFFFF"/>
        </w:rPr>
        <w:t>Journal of Computer Science and Technology</w:t>
      </w:r>
      <w:r w:rsidR="00CA73A2" w:rsidRPr="008A7117">
        <w:rPr>
          <w:rFonts w:cs="Arial"/>
          <w:color w:val="222222"/>
          <w:shd w:val="clear" w:color="auto" w:fill="FFFFFF"/>
        </w:rPr>
        <w:t>, </w:t>
      </w:r>
      <w:r w:rsidR="00CA73A2" w:rsidRPr="008A7117">
        <w:rPr>
          <w:rFonts w:cs="Arial"/>
          <w:i/>
          <w:iCs/>
          <w:color w:val="222222"/>
          <w:shd w:val="clear" w:color="auto" w:fill="FFFFFF"/>
        </w:rPr>
        <w:t>26</w:t>
      </w:r>
      <w:r w:rsidR="00CA73A2" w:rsidRPr="008A7117">
        <w:rPr>
          <w:rFonts w:cs="Arial"/>
          <w:color w:val="222222"/>
          <w:shd w:val="clear" w:color="auto" w:fill="FFFFFF"/>
        </w:rPr>
        <w:t>(1), pp.e04-e04.</w:t>
      </w:r>
    </w:p>
    <w:p w14:paraId="5FAB5183" w14:textId="77777777" w:rsidR="008A7117" w:rsidRPr="008A7117" w:rsidRDefault="008A7117" w:rsidP="00F605BA">
      <w:pPr>
        <w:ind w:left="720" w:hanging="720"/>
        <w:rPr>
          <w:rFonts w:cs="Arial"/>
          <w:color w:val="222222"/>
          <w:shd w:val="clear" w:color="auto" w:fill="FFFFFF"/>
        </w:rPr>
      </w:pPr>
      <w:r w:rsidRPr="008A7117">
        <w:rPr>
          <w:rFonts w:cs="Arial"/>
          <w:color w:val="222222"/>
          <w:shd w:val="clear" w:color="auto" w:fill="FFFFFF"/>
        </w:rPr>
        <w:t>Grimmond, J.,</w:t>
      </w:r>
      <w:r w:rsidR="00491D12">
        <w:rPr>
          <w:rFonts w:cs="Arial"/>
          <w:color w:val="222222"/>
          <w:shd w:val="clear" w:color="auto" w:fill="FFFFFF"/>
        </w:rPr>
        <w:t xml:space="preserve"> Brown, S.D. and Hawkins, G.E. (</w:t>
      </w:r>
      <w:r w:rsidRPr="008A7117">
        <w:rPr>
          <w:rFonts w:cs="Arial"/>
          <w:color w:val="222222"/>
          <w:shd w:val="clear" w:color="auto" w:fill="FFFFFF"/>
        </w:rPr>
        <w:t>2025</w:t>
      </w:r>
      <w:r w:rsidR="00491D12">
        <w:rPr>
          <w:rFonts w:cs="Arial"/>
          <w:color w:val="222222"/>
          <w:shd w:val="clear" w:color="auto" w:fill="FFFFFF"/>
        </w:rPr>
        <w:t>)</w:t>
      </w:r>
      <w:r w:rsidRPr="008A7117">
        <w:rPr>
          <w:rFonts w:cs="Arial"/>
          <w:color w:val="222222"/>
          <w:shd w:val="clear" w:color="auto" w:fill="FFFFFF"/>
        </w:rPr>
        <w:t>. A solution to the pervasive problem of response bias in self-reports. </w:t>
      </w:r>
      <w:r w:rsidRPr="008A7117">
        <w:rPr>
          <w:rFonts w:cs="Arial"/>
          <w:i/>
          <w:iCs/>
          <w:color w:val="222222"/>
          <w:shd w:val="clear" w:color="auto" w:fill="FFFFFF"/>
        </w:rPr>
        <w:t>Proceedings of the National Academy of Sciences</w:t>
      </w:r>
      <w:r w:rsidRPr="008A7117">
        <w:rPr>
          <w:rFonts w:cs="Arial"/>
          <w:color w:val="222222"/>
          <w:shd w:val="clear" w:color="auto" w:fill="FFFFFF"/>
        </w:rPr>
        <w:t>, </w:t>
      </w:r>
      <w:r w:rsidRPr="008A7117">
        <w:rPr>
          <w:rFonts w:cs="Arial"/>
          <w:i/>
          <w:iCs/>
          <w:color w:val="222222"/>
          <w:shd w:val="clear" w:color="auto" w:fill="FFFFFF"/>
        </w:rPr>
        <w:t>122</w:t>
      </w:r>
      <w:r w:rsidRPr="008A7117">
        <w:rPr>
          <w:rFonts w:cs="Arial"/>
          <w:color w:val="222222"/>
          <w:shd w:val="clear" w:color="auto" w:fill="FFFFFF"/>
        </w:rPr>
        <w:t>(3), p.e2412807122.</w:t>
      </w:r>
    </w:p>
    <w:p w14:paraId="4A62F46B" w14:textId="77777777" w:rsidR="00003187" w:rsidRPr="008A7117" w:rsidRDefault="00003187" w:rsidP="00F605BA">
      <w:pPr>
        <w:ind w:left="720" w:hanging="720"/>
        <w:rPr>
          <w:rFonts w:cs="Arial"/>
          <w:color w:val="222222"/>
          <w:shd w:val="clear" w:color="auto" w:fill="FFFFFF"/>
        </w:rPr>
      </w:pPr>
      <w:r w:rsidRPr="008A7117">
        <w:rPr>
          <w:rFonts w:cs="Arial"/>
          <w:color w:val="222222"/>
          <w:shd w:val="clear" w:color="auto" w:fill="FFFFFF"/>
        </w:rPr>
        <w:t>Hamid, H., K</w:t>
      </w:r>
      <w:r w:rsidR="00491D12">
        <w:rPr>
          <w:rFonts w:cs="Arial"/>
          <w:color w:val="222222"/>
          <w:shd w:val="clear" w:color="auto" w:fill="FFFFFF"/>
        </w:rPr>
        <w:t xml:space="preserve">han, K.I. and </w:t>
      </w:r>
      <w:proofErr w:type="spellStart"/>
      <w:r w:rsidR="00491D12">
        <w:rPr>
          <w:rFonts w:cs="Arial"/>
          <w:color w:val="222222"/>
          <w:shd w:val="clear" w:color="auto" w:fill="FFFFFF"/>
        </w:rPr>
        <w:t>Sherazia</w:t>
      </w:r>
      <w:proofErr w:type="spellEnd"/>
      <w:r w:rsidR="00491D12">
        <w:rPr>
          <w:rFonts w:cs="Arial"/>
          <w:color w:val="222222"/>
          <w:shd w:val="clear" w:color="auto" w:fill="FFFFFF"/>
        </w:rPr>
        <w:t>, S.K.A. (</w:t>
      </w:r>
      <w:r w:rsidRPr="008A7117">
        <w:rPr>
          <w:rFonts w:cs="Arial"/>
          <w:color w:val="222222"/>
          <w:shd w:val="clear" w:color="auto" w:fill="FFFFFF"/>
        </w:rPr>
        <w:t>2025</w:t>
      </w:r>
      <w:r w:rsidR="00491D12">
        <w:rPr>
          <w:rFonts w:cs="Arial"/>
          <w:color w:val="222222"/>
          <w:shd w:val="clear" w:color="auto" w:fill="FFFFFF"/>
        </w:rPr>
        <w:t>)</w:t>
      </w:r>
      <w:r w:rsidRPr="008A7117">
        <w:rPr>
          <w:rFonts w:cs="Arial"/>
          <w:color w:val="222222"/>
          <w:shd w:val="clear" w:color="auto" w:fill="FFFFFF"/>
        </w:rPr>
        <w:t>. Will I use it again? Impact of customer behavioural intentions on FinTech continuance under expectation confirmation theory. </w:t>
      </w:r>
      <w:r w:rsidRPr="008A7117">
        <w:rPr>
          <w:rFonts w:cs="Arial"/>
          <w:i/>
          <w:iCs/>
          <w:color w:val="222222"/>
          <w:shd w:val="clear" w:color="auto" w:fill="FFFFFF"/>
        </w:rPr>
        <w:t>International Journal of Business Information Systems</w:t>
      </w:r>
      <w:r w:rsidRPr="008A7117">
        <w:rPr>
          <w:rFonts w:cs="Arial"/>
          <w:color w:val="222222"/>
          <w:shd w:val="clear" w:color="auto" w:fill="FFFFFF"/>
        </w:rPr>
        <w:t>, </w:t>
      </w:r>
      <w:r w:rsidRPr="008A7117">
        <w:rPr>
          <w:rFonts w:cs="Arial"/>
          <w:i/>
          <w:iCs/>
          <w:color w:val="222222"/>
          <w:shd w:val="clear" w:color="auto" w:fill="FFFFFF"/>
        </w:rPr>
        <w:t>50</w:t>
      </w:r>
      <w:r w:rsidRPr="008A7117">
        <w:rPr>
          <w:rFonts w:cs="Arial"/>
          <w:color w:val="222222"/>
          <w:shd w:val="clear" w:color="auto" w:fill="FFFFFF"/>
        </w:rPr>
        <w:t>(1), pp.22-47.</w:t>
      </w:r>
    </w:p>
    <w:p w14:paraId="514780F1" w14:textId="77777777" w:rsidR="00D16345" w:rsidRPr="008A7117" w:rsidRDefault="00D16345" w:rsidP="00F605BA">
      <w:pPr>
        <w:ind w:left="720" w:hanging="720"/>
        <w:rPr>
          <w:rFonts w:cs="Arial"/>
        </w:rPr>
      </w:pPr>
      <w:proofErr w:type="spellStart"/>
      <w:r w:rsidRPr="008A7117">
        <w:rPr>
          <w:rFonts w:cs="Arial"/>
          <w:color w:val="222222"/>
          <w:shd w:val="clear" w:color="auto" w:fill="FFFFFF"/>
        </w:rPr>
        <w:t>Hijaya</w:t>
      </w:r>
      <w:proofErr w:type="spellEnd"/>
      <w:r w:rsidRPr="008A7117">
        <w:rPr>
          <w:rFonts w:cs="Arial"/>
          <w:color w:val="222222"/>
          <w:shd w:val="clear" w:color="auto" w:fill="FFFFFF"/>
        </w:rPr>
        <w:t xml:space="preserve">, R.T., Susanti, L., Morika, D., Utomo, S.M. and </w:t>
      </w:r>
      <w:proofErr w:type="spellStart"/>
      <w:r w:rsidRPr="008A7117">
        <w:rPr>
          <w:rFonts w:cs="Arial"/>
          <w:color w:val="222222"/>
          <w:shd w:val="clear" w:color="auto" w:fill="FFFFFF"/>
        </w:rPr>
        <w:t>Alamsy</w:t>
      </w:r>
      <w:r w:rsidR="00491D12">
        <w:rPr>
          <w:rFonts w:cs="Arial"/>
          <w:color w:val="222222"/>
          <w:shd w:val="clear" w:color="auto" w:fill="FFFFFF"/>
        </w:rPr>
        <w:t>ah</w:t>
      </w:r>
      <w:proofErr w:type="spellEnd"/>
      <w:r w:rsidR="00491D12">
        <w:rPr>
          <w:rFonts w:cs="Arial"/>
          <w:color w:val="222222"/>
          <w:shd w:val="clear" w:color="auto" w:fill="FFFFFF"/>
        </w:rPr>
        <w:t>, D.P. (</w:t>
      </w:r>
      <w:r w:rsidRPr="008A7117">
        <w:rPr>
          <w:rFonts w:cs="Arial"/>
          <w:color w:val="222222"/>
          <w:shd w:val="clear" w:color="auto" w:fill="FFFFFF"/>
        </w:rPr>
        <w:t>2025, July</w:t>
      </w:r>
      <w:r w:rsidR="00491D12">
        <w:rPr>
          <w:rFonts w:cs="Arial"/>
          <w:color w:val="222222"/>
          <w:shd w:val="clear" w:color="auto" w:fill="FFFFFF"/>
        </w:rPr>
        <w:t>)</w:t>
      </w:r>
      <w:r w:rsidRPr="008A7117">
        <w:rPr>
          <w:rFonts w:cs="Arial"/>
          <w:color w:val="222222"/>
          <w:shd w:val="clear" w:color="auto" w:fill="FFFFFF"/>
        </w:rPr>
        <w:t>. Enhancing Mobile Banking Adoption: The Role of Privacy, Social Influence, and Trust in Supporting Digital Entrepreneurship and Business Innovation. In </w:t>
      </w:r>
      <w:r w:rsidRPr="008A7117">
        <w:rPr>
          <w:rFonts w:cs="Arial"/>
          <w:i/>
          <w:iCs/>
          <w:color w:val="222222"/>
          <w:shd w:val="clear" w:color="auto" w:fill="FFFFFF"/>
        </w:rPr>
        <w:t>APSKI International Conference on Association of Indonesian Entrepreneurship Study Programs</w:t>
      </w:r>
      <w:r w:rsidRPr="008A7117">
        <w:rPr>
          <w:rFonts w:cs="Arial"/>
          <w:color w:val="222222"/>
          <w:shd w:val="clear" w:color="auto" w:fill="FFFFFF"/>
        </w:rPr>
        <w:t> (pp. 1-12).</w:t>
      </w:r>
    </w:p>
    <w:p w14:paraId="3F2A6FBF" w14:textId="77777777" w:rsidR="00A07236" w:rsidRPr="008A7117" w:rsidRDefault="00A07236" w:rsidP="00F605BA">
      <w:pPr>
        <w:ind w:left="720" w:hanging="720"/>
        <w:rPr>
          <w:rFonts w:cs="Arial"/>
          <w:color w:val="222222"/>
          <w:shd w:val="clear" w:color="auto" w:fill="FFFFFF"/>
        </w:rPr>
      </w:pPr>
      <w:r w:rsidRPr="008A7117">
        <w:rPr>
          <w:rFonts w:cs="Arial"/>
          <w:color w:val="222222"/>
          <w:shd w:val="clear" w:color="auto" w:fill="FFFFFF"/>
        </w:rPr>
        <w:t>Jafri, J.A., Amin, S.I.</w:t>
      </w:r>
      <w:r w:rsidR="00491D12">
        <w:rPr>
          <w:rFonts w:cs="Arial"/>
          <w:color w:val="222222"/>
          <w:shd w:val="clear" w:color="auto" w:fill="FFFFFF"/>
        </w:rPr>
        <w:t>M., Rahman, A.A. and Nor, S.M. (</w:t>
      </w:r>
      <w:r w:rsidRPr="008A7117">
        <w:rPr>
          <w:rFonts w:cs="Arial"/>
          <w:color w:val="222222"/>
          <w:shd w:val="clear" w:color="auto" w:fill="FFFFFF"/>
        </w:rPr>
        <w:t>2024</w:t>
      </w:r>
      <w:r w:rsidR="00491D12">
        <w:rPr>
          <w:rFonts w:cs="Arial"/>
          <w:color w:val="222222"/>
          <w:shd w:val="clear" w:color="auto" w:fill="FFFFFF"/>
        </w:rPr>
        <w:t>)</w:t>
      </w:r>
      <w:r w:rsidRPr="008A7117">
        <w:rPr>
          <w:rFonts w:cs="Arial"/>
          <w:color w:val="222222"/>
          <w:shd w:val="clear" w:color="auto" w:fill="FFFFFF"/>
        </w:rPr>
        <w:t>. A systematic literature review of the role of trust and security on Fintech adoption in banking. </w:t>
      </w:r>
      <w:proofErr w:type="spellStart"/>
      <w:r w:rsidRPr="008A7117">
        <w:rPr>
          <w:rFonts w:cs="Arial"/>
          <w:i/>
          <w:iCs/>
          <w:color w:val="222222"/>
          <w:shd w:val="clear" w:color="auto" w:fill="FFFFFF"/>
        </w:rPr>
        <w:t>Heliyon</w:t>
      </w:r>
      <w:proofErr w:type="spellEnd"/>
      <w:r w:rsidRPr="008A7117">
        <w:rPr>
          <w:rFonts w:cs="Arial"/>
          <w:color w:val="222222"/>
          <w:shd w:val="clear" w:color="auto" w:fill="FFFFFF"/>
        </w:rPr>
        <w:t>, </w:t>
      </w:r>
      <w:r w:rsidRPr="008A7117">
        <w:rPr>
          <w:rFonts w:cs="Arial"/>
          <w:i/>
          <w:iCs/>
          <w:color w:val="222222"/>
          <w:shd w:val="clear" w:color="auto" w:fill="FFFFFF"/>
        </w:rPr>
        <w:t>10</w:t>
      </w:r>
      <w:r w:rsidRPr="008A7117">
        <w:rPr>
          <w:rFonts w:cs="Arial"/>
          <w:color w:val="222222"/>
          <w:shd w:val="clear" w:color="auto" w:fill="FFFFFF"/>
        </w:rPr>
        <w:t>(1).</w:t>
      </w:r>
    </w:p>
    <w:p w14:paraId="5A0DD631" w14:textId="77777777" w:rsidR="00003187" w:rsidRPr="008A7117" w:rsidRDefault="00003187" w:rsidP="00F605BA">
      <w:pPr>
        <w:ind w:left="720" w:hanging="720"/>
        <w:rPr>
          <w:rFonts w:cs="Arial"/>
          <w:color w:val="222222"/>
          <w:shd w:val="clear" w:color="auto" w:fill="FFFFFF"/>
        </w:rPr>
      </w:pPr>
      <w:proofErr w:type="spellStart"/>
      <w:r w:rsidRPr="008A7117">
        <w:rPr>
          <w:rFonts w:cs="Arial"/>
          <w:color w:val="222222"/>
          <w:shd w:val="clear" w:color="auto" w:fill="FFFFFF"/>
        </w:rPr>
        <w:t>Jané</w:t>
      </w:r>
      <w:proofErr w:type="spellEnd"/>
      <w:r w:rsidRPr="008A7117">
        <w:rPr>
          <w:rFonts w:cs="Arial"/>
          <w:color w:val="222222"/>
          <w:shd w:val="clear" w:color="auto" w:fill="FFFFFF"/>
        </w:rPr>
        <w:t>, M., Xiao, Q., Yeung, S., Ben-Shachar, M.S., Caldwell, A., Cousineau, D., Dunleavy, D.J., Elsherif, M., Johnson, B.</w:t>
      </w:r>
      <w:r w:rsidR="00491D12">
        <w:rPr>
          <w:rFonts w:cs="Arial"/>
          <w:color w:val="222222"/>
          <w:shd w:val="clear" w:color="auto" w:fill="FFFFFF"/>
        </w:rPr>
        <w:t>, Moreau, D. and Riesthuis, P. (</w:t>
      </w:r>
      <w:r w:rsidRPr="008A7117">
        <w:rPr>
          <w:rFonts w:cs="Arial"/>
          <w:color w:val="222222"/>
          <w:shd w:val="clear" w:color="auto" w:fill="FFFFFF"/>
        </w:rPr>
        <w:t>2024</w:t>
      </w:r>
      <w:r w:rsidR="00491D12">
        <w:rPr>
          <w:rFonts w:cs="Arial"/>
          <w:color w:val="222222"/>
          <w:shd w:val="clear" w:color="auto" w:fill="FFFFFF"/>
        </w:rPr>
        <w:t>)</w:t>
      </w:r>
      <w:r w:rsidRPr="008A7117">
        <w:rPr>
          <w:rFonts w:cs="Arial"/>
          <w:color w:val="222222"/>
          <w:shd w:val="clear" w:color="auto" w:fill="FFFFFF"/>
        </w:rPr>
        <w:t>. Guide to effect sizes and confidence intervals. </w:t>
      </w:r>
      <w:r w:rsidRPr="008A7117">
        <w:rPr>
          <w:rFonts w:cs="Arial"/>
          <w:i/>
          <w:iCs/>
          <w:color w:val="222222"/>
          <w:shd w:val="clear" w:color="auto" w:fill="FFFFFF"/>
        </w:rPr>
        <w:t>DOI: https://doi. org/10.17605/OSF. IO/D8C4G</w:t>
      </w:r>
      <w:r w:rsidRPr="008A7117">
        <w:rPr>
          <w:rFonts w:cs="Arial"/>
          <w:color w:val="222222"/>
          <w:shd w:val="clear" w:color="auto" w:fill="FFFFFF"/>
        </w:rPr>
        <w:t>.</w:t>
      </w:r>
    </w:p>
    <w:p w14:paraId="5FDEED8A" w14:textId="77777777" w:rsidR="00641ED1" w:rsidRPr="008A7117" w:rsidRDefault="00491D12" w:rsidP="00F605BA">
      <w:pPr>
        <w:ind w:left="720" w:hanging="720"/>
        <w:rPr>
          <w:rFonts w:cs="Arial"/>
          <w:color w:val="222222"/>
          <w:shd w:val="clear" w:color="auto" w:fill="FFFFFF"/>
        </w:rPr>
      </w:pPr>
      <w:r>
        <w:rPr>
          <w:rFonts w:cs="Arial"/>
          <w:color w:val="222222"/>
          <w:shd w:val="clear" w:color="auto" w:fill="FFFFFF"/>
        </w:rPr>
        <w:t xml:space="preserve">Jha, S. and </w:t>
      </w:r>
      <w:proofErr w:type="spellStart"/>
      <w:r>
        <w:rPr>
          <w:rFonts w:cs="Arial"/>
          <w:color w:val="222222"/>
          <w:shd w:val="clear" w:color="auto" w:fill="FFFFFF"/>
        </w:rPr>
        <w:t>Dangwal</w:t>
      </w:r>
      <w:proofErr w:type="spellEnd"/>
      <w:r>
        <w:rPr>
          <w:rFonts w:cs="Arial"/>
          <w:color w:val="222222"/>
          <w:shd w:val="clear" w:color="auto" w:fill="FFFFFF"/>
        </w:rPr>
        <w:t>, R.C. (</w:t>
      </w:r>
      <w:r w:rsidR="00641ED1" w:rsidRPr="008A7117">
        <w:rPr>
          <w:rFonts w:cs="Arial"/>
          <w:color w:val="222222"/>
          <w:shd w:val="clear" w:color="auto" w:fill="FFFFFF"/>
        </w:rPr>
        <w:t>2025</w:t>
      </w:r>
      <w:r>
        <w:rPr>
          <w:rFonts w:cs="Arial"/>
          <w:color w:val="222222"/>
          <w:shd w:val="clear" w:color="auto" w:fill="FFFFFF"/>
        </w:rPr>
        <w:t>)</w:t>
      </w:r>
      <w:r w:rsidR="00641ED1" w:rsidRPr="008A7117">
        <w:rPr>
          <w:rFonts w:cs="Arial"/>
          <w:color w:val="222222"/>
          <w:shd w:val="clear" w:color="auto" w:fill="FFFFFF"/>
        </w:rPr>
        <w:t>. Fintech services and financial inclusion: a systematic literature review of developing nations. </w:t>
      </w:r>
      <w:r w:rsidR="00641ED1" w:rsidRPr="008A7117">
        <w:rPr>
          <w:rFonts w:cs="Arial"/>
          <w:i/>
          <w:iCs/>
          <w:color w:val="222222"/>
          <w:shd w:val="clear" w:color="auto" w:fill="FFFFFF"/>
        </w:rPr>
        <w:t>Journal of Science and Technology Policy Management</w:t>
      </w:r>
      <w:r w:rsidR="00641ED1" w:rsidRPr="008A7117">
        <w:rPr>
          <w:rFonts w:cs="Arial"/>
          <w:color w:val="222222"/>
          <w:shd w:val="clear" w:color="auto" w:fill="FFFFFF"/>
        </w:rPr>
        <w:t>, </w:t>
      </w:r>
      <w:r w:rsidR="00641ED1" w:rsidRPr="008A7117">
        <w:rPr>
          <w:rFonts w:cs="Arial"/>
          <w:i/>
          <w:iCs/>
          <w:color w:val="222222"/>
          <w:shd w:val="clear" w:color="auto" w:fill="FFFFFF"/>
        </w:rPr>
        <w:t>16</w:t>
      </w:r>
      <w:r w:rsidR="00641ED1" w:rsidRPr="008A7117">
        <w:rPr>
          <w:rFonts w:cs="Arial"/>
          <w:color w:val="222222"/>
          <w:shd w:val="clear" w:color="auto" w:fill="FFFFFF"/>
        </w:rPr>
        <w:t>(7), pp.1167-1198.</w:t>
      </w:r>
    </w:p>
    <w:p w14:paraId="064BBBE0" w14:textId="77777777" w:rsidR="00D16345" w:rsidRPr="008A7117" w:rsidRDefault="00491D12" w:rsidP="00F605BA">
      <w:pPr>
        <w:ind w:left="720" w:hanging="720"/>
        <w:rPr>
          <w:rFonts w:cs="Arial"/>
          <w:color w:val="222222"/>
          <w:shd w:val="clear" w:color="auto" w:fill="FFFFFF"/>
        </w:rPr>
      </w:pPr>
      <w:r>
        <w:rPr>
          <w:rFonts w:cs="Arial"/>
          <w:color w:val="222222"/>
          <w:shd w:val="clear" w:color="auto" w:fill="FFFFFF"/>
        </w:rPr>
        <w:t>Kamara, A.K. and Bangura, F.S. (</w:t>
      </w:r>
      <w:r w:rsidR="00D16345" w:rsidRPr="008A7117">
        <w:rPr>
          <w:rFonts w:cs="Arial"/>
          <w:color w:val="222222"/>
          <w:shd w:val="clear" w:color="auto" w:fill="FFFFFF"/>
        </w:rPr>
        <w:t>2026</w:t>
      </w:r>
      <w:r>
        <w:rPr>
          <w:rFonts w:cs="Arial"/>
          <w:color w:val="222222"/>
          <w:shd w:val="clear" w:color="auto" w:fill="FFFFFF"/>
        </w:rPr>
        <w:t>)</w:t>
      </w:r>
      <w:r w:rsidR="00D16345" w:rsidRPr="008A7117">
        <w:rPr>
          <w:rFonts w:cs="Arial"/>
          <w:color w:val="222222"/>
          <w:shd w:val="clear" w:color="auto" w:fill="FFFFFF"/>
        </w:rPr>
        <w:t>. Electronic banking services quality and customer loyalty: double mediation. </w:t>
      </w:r>
      <w:r w:rsidR="00D16345" w:rsidRPr="008A7117">
        <w:rPr>
          <w:rFonts w:cs="Arial"/>
          <w:i/>
          <w:iCs/>
          <w:color w:val="222222"/>
          <w:shd w:val="clear" w:color="auto" w:fill="FFFFFF"/>
        </w:rPr>
        <w:t>Future Business Journal</w:t>
      </w:r>
      <w:r w:rsidR="00D16345" w:rsidRPr="008A7117">
        <w:rPr>
          <w:rFonts w:cs="Arial"/>
          <w:color w:val="222222"/>
          <w:shd w:val="clear" w:color="auto" w:fill="FFFFFF"/>
        </w:rPr>
        <w:t>, </w:t>
      </w:r>
      <w:r w:rsidR="00D16345" w:rsidRPr="008A7117">
        <w:rPr>
          <w:rFonts w:cs="Arial"/>
          <w:i/>
          <w:iCs/>
          <w:color w:val="222222"/>
          <w:shd w:val="clear" w:color="auto" w:fill="FFFFFF"/>
        </w:rPr>
        <w:t>12</w:t>
      </w:r>
      <w:r w:rsidR="00D16345" w:rsidRPr="008A7117">
        <w:rPr>
          <w:rFonts w:cs="Arial"/>
          <w:color w:val="222222"/>
          <w:shd w:val="clear" w:color="auto" w:fill="FFFFFF"/>
        </w:rPr>
        <w:t>(1), p.29.</w:t>
      </w:r>
    </w:p>
    <w:p w14:paraId="227333B4" w14:textId="77777777" w:rsidR="00E273C1" w:rsidRPr="008A7117" w:rsidRDefault="00FF2495" w:rsidP="00F605BA">
      <w:pPr>
        <w:ind w:left="720" w:hanging="720"/>
        <w:rPr>
          <w:rFonts w:cs="Arial"/>
          <w:color w:val="222222"/>
          <w:shd w:val="clear" w:color="auto" w:fill="FFFFFF"/>
        </w:rPr>
      </w:pPr>
      <w:proofErr w:type="spellStart"/>
      <w:r w:rsidRPr="008A7117">
        <w:rPr>
          <w:rFonts w:cs="Arial"/>
          <w:color w:val="222222"/>
          <w:shd w:val="clear" w:color="auto" w:fill="FFFFFF"/>
        </w:rPr>
        <w:t>Karwatz</w:t>
      </w:r>
      <w:r w:rsidR="00491D12">
        <w:rPr>
          <w:rFonts w:cs="Arial"/>
          <w:color w:val="222222"/>
          <w:shd w:val="clear" w:color="auto" w:fill="FFFFFF"/>
        </w:rPr>
        <w:t>ki</w:t>
      </w:r>
      <w:proofErr w:type="spellEnd"/>
      <w:r w:rsidR="00491D12">
        <w:rPr>
          <w:rFonts w:cs="Arial"/>
          <w:color w:val="222222"/>
          <w:shd w:val="clear" w:color="auto" w:fill="FFFFFF"/>
        </w:rPr>
        <w:t>, S., Trenz, M. and Veit, D. (</w:t>
      </w:r>
      <w:r w:rsidRPr="008A7117">
        <w:rPr>
          <w:rFonts w:cs="Arial"/>
          <w:color w:val="222222"/>
          <w:shd w:val="clear" w:color="auto" w:fill="FFFFFF"/>
        </w:rPr>
        <w:t>2022</w:t>
      </w:r>
      <w:r w:rsidR="00491D12">
        <w:rPr>
          <w:rFonts w:cs="Arial"/>
          <w:color w:val="222222"/>
          <w:shd w:val="clear" w:color="auto" w:fill="FFFFFF"/>
        </w:rPr>
        <w:t>)</w:t>
      </w:r>
      <w:r w:rsidRPr="008A7117">
        <w:rPr>
          <w:rFonts w:cs="Arial"/>
          <w:color w:val="222222"/>
          <w:shd w:val="clear" w:color="auto" w:fill="FFFFFF"/>
        </w:rPr>
        <w:t xml:space="preserve">. The multidimensional nature of privacy risks: </w:t>
      </w:r>
      <w:proofErr w:type="spellStart"/>
      <w:r w:rsidRPr="008A7117">
        <w:rPr>
          <w:rFonts w:cs="Arial"/>
          <w:color w:val="222222"/>
          <w:shd w:val="clear" w:color="auto" w:fill="FFFFFF"/>
        </w:rPr>
        <w:t>Conceptualisation</w:t>
      </w:r>
      <w:proofErr w:type="spellEnd"/>
      <w:r w:rsidRPr="008A7117">
        <w:rPr>
          <w:rFonts w:cs="Arial"/>
          <w:color w:val="222222"/>
          <w:shd w:val="clear" w:color="auto" w:fill="FFFFFF"/>
        </w:rPr>
        <w:t>, measurement and implications for digital services. </w:t>
      </w:r>
      <w:r w:rsidRPr="008A7117">
        <w:rPr>
          <w:rFonts w:cs="Arial"/>
          <w:i/>
          <w:iCs/>
          <w:color w:val="222222"/>
          <w:shd w:val="clear" w:color="auto" w:fill="FFFFFF"/>
        </w:rPr>
        <w:t>Information Systems Journal</w:t>
      </w:r>
      <w:r w:rsidRPr="008A7117">
        <w:rPr>
          <w:rFonts w:cs="Arial"/>
          <w:color w:val="222222"/>
          <w:shd w:val="clear" w:color="auto" w:fill="FFFFFF"/>
        </w:rPr>
        <w:t>, </w:t>
      </w:r>
      <w:r w:rsidRPr="008A7117">
        <w:rPr>
          <w:rFonts w:cs="Arial"/>
          <w:i/>
          <w:iCs/>
          <w:color w:val="222222"/>
          <w:shd w:val="clear" w:color="auto" w:fill="FFFFFF"/>
        </w:rPr>
        <w:t>32</w:t>
      </w:r>
      <w:r w:rsidRPr="008A7117">
        <w:rPr>
          <w:rFonts w:cs="Arial"/>
          <w:color w:val="222222"/>
          <w:shd w:val="clear" w:color="auto" w:fill="FFFFFF"/>
        </w:rPr>
        <w:t>(6), pp.1126-1157.</w:t>
      </w:r>
    </w:p>
    <w:p w14:paraId="38934420" w14:textId="77777777" w:rsidR="00E273C1" w:rsidRPr="008A7117" w:rsidRDefault="00E273C1" w:rsidP="00F605BA">
      <w:pPr>
        <w:ind w:left="720" w:hanging="720"/>
        <w:rPr>
          <w:rFonts w:cs="Arial"/>
          <w:color w:val="222222"/>
          <w:shd w:val="clear" w:color="auto" w:fill="FFFFFF"/>
        </w:rPr>
      </w:pPr>
      <w:proofErr w:type="spellStart"/>
      <w:r w:rsidRPr="008A7117">
        <w:rPr>
          <w:rFonts w:cs="Arial"/>
          <w:color w:val="222222"/>
          <w:shd w:val="clear" w:color="auto" w:fill="FFFFFF"/>
        </w:rPr>
        <w:t>Kasatkina</w:t>
      </w:r>
      <w:proofErr w:type="spellEnd"/>
      <w:r w:rsidRPr="008A7117">
        <w:rPr>
          <w:rFonts w:cs="Arial"/>
          <w:color w:val="222222"/>
          <w:shd w:val="clear" w:color="auto" w:fill="FFFFFF"/>
        </w:rPr>
        <w:t xml:space="preserve">, </w:t>
      </w:r>
      <w:r w:rsidR="00491D12">
        <w:rPr>
          <w:rFonts w:cs="Arial"/>
          <w:color w:val="222222"/>
          <w:shd w:val="clear" w:color="auto" w:fill="FFFFFF"/>
        </w:rPr>
        <w:t>M. (</w:t>
      </w:r>
      <w:r w:rsidRPr="008A7117">
        <w:rPr>
          <w:rFonts w:cs="Arial"/>
          <w:color w:val="222222"/>
          <w:shd w:val="clear" w:color="auto" w:fill="FFFFFF"/>
        </w:rPr>
        <w:t>2025</w:t>
      </w:r>
      <w:r w:rsidR="00491D12">
        <w:rPr>
          <w:rFonts w:cs="Arial"/>
          <w:color w:val="222222"/>
          <w:shd w:val="clear" w:color="auto" w:fill="FFFFFF"/>
        </w:rPr>
        <w:t>)</w:t>
      </w:r>
      <w:r w:rsidRPr="008A7117">
        <w:rPr>
          <w:rFonts w:cs="Arial"/>
          <w:color w:val="222222"/>
          <w:shd w:val="clear" w:color="auto" w:fill="FFFFFF"/>
        </w:rPr>
        <w:t>. A Legal Perspective On Current Ico Regulatory Trends Worldwide. </w:t>
      </w:r>
      <w:r w:rsidRPr="008A7117">
        <w:rPr>
          <w:rFonts w:cs="Arial"/>
          <w:i/>
          <w:iCs/>
          <w:color w:val="222222"/>
          <w:shd w:val="clear" w:color="auto" w:fill="FFFFFF"/>
        </w:rPr>
        <w:t>International Comparative Jurisprudence</w:t>
      </w:r>
      <w:r w:rsidRPr="008A7117">
        <w:rPr>
          <w:rFonts w:cs="Arial"/>
          <w:color w:val="222222"/>
          <w:shd w:val="clear" w:color="auto" w:fill="FFFFFF"/>
        </w:rPr>
        <w:t>, </w:t>
      </w:r>
      <w:r w:rsidRPr="008A7117">
        <w:rPr>
          <w:rFonts w:cs="Arial"/>
          <w:i/>
          <w:iCs/>
          <w:color w:val="222222"/>
          <w:shd w:val="clear" w:color="auto" w:fill="FFFFFF"/>
        </w:rPr>
        <w:t>11</w:t>
      </w:r>
      <w:r w:rsidRPr="008A7117">
        <w:rPr>
          <w:rFonts w:cs="Arial"/>
          <w:color w:val="222222"/>
          <w:shd w:val="clear" w:color="auto" w:fill="FFFFFF"/>
        </w:rPr>
        <w:t>(1), pp.136-150.</w:t>
      </w:r>
    </w:p>
    <w:p w14:paraId="04A96143" w14:textId="77777777" w:rsidR="00A07236" w:rsidRPr="008A7117" w:rsidRDefault="00A07236" w:rsidP="00F605BA">
      <w:pPr>
        <w:ind w:left="720" w:hanging="720"/>
        <w:rPr>
          <w:rFonts w:cs="Arial"/>
          <w:color w:val="222222"/>
          <w:shd w:val="clear" w:color="auto" w:fill="FFFFFF"/>
        </w:rPr>
      </w:pPr>
      <w:r w:rsidRPr="008A7117">
        <w:rPr>
          <w:rFonts w:cs="Arial"/>
          <w:color w:val="222222"/>
          <w:shd w:val="clear" w:color="auto" w:fill="FFFFFF"/>
        </w:rPr>
        <w:t xml:space="preserve">Khan, A., </w:t>
      </w:r>
      <w:proofErr w:type="spellStart"/>
      <w:r w:rsidRPr="008A7117">
        <w:rPr>
          <w:rFonts w:cs="Arial"/>
          <w:color w:val="222222"/>
          <w:shd w:val="clear" w:color="auto" w:fill="FFFFFF"/>
        </w:rPr>
        <w:t>Murinde</w:t>
      </w:r>
      <w:proofErr w:type="spellEnd"/>
      <w:r w:rsidRPr="008A7117">
        <w:rPr>
          <w:rFonts w:cs="Arial"/>
          <w:color w:val="222222"/>
          <w:shd w:val="clear" w:color="auto" w:fill="FFFFFF"/>
        </w:rPr>
        <w:t>, V., Mcgarrell, R., Arun, T., Goel, V., Kostov, P</w:t>
      </w:r>
      <w:r w:rsidR="00491D12">
        <w:rPr>
          <w:rFonts w:cs="Arial"/>
          <w:color w:val="222222"/>
          <w:shd w:val="clear" w:color="auto" w:fill="FFFFFF"/>
        </w:rPr>
        <w:t>., Sethi, R. and Markose, S.M. (</w:t>
      </w:r>
      <w:r w:rsidRPr="008A7117">
        <w:rPr>
          <w:rFonts w:cs="Arial"/>
          <w:color w:val="222222"/>
          <w:shd w:val="clear" w:color="auto" w:fill="FFFFFF"/>
        </w:rPr>
        <w:t>2024</w:t>
      </w:r>
      <w:r w:rsidR="00491D12">
        <w:rPr>
          <w:rFonts w:cs="Arial"/>
          <w:color w:val="222222"/>
          <w:shd w:val="clear" w:color="auto" w:fill="FFFFFF"/>
        </w:rPr>
        <w:t>)</w:t>
      </w:r>
      <w:r w:rsidRPr="008A7117">
        <w:rPr>
          <w:rFonts w:cs="Arial"/>
          <w:color w:val="222222"/>
          <w:shd w:val="clear" w:color="auto" w:fill="FFFFFF"/>
        </w:rPr>
        <w:t>. State of open banking in India and UK.</w:t>
      </w:r>
    </w:p>
    <w:p w14:paraId="7104EE73" w14:textId="77777777" w:rsidR="00D16345" w:rsidRPr="008A7117" w:rsidRDefault="00D16345" w:rsidP="00F605BA">
      <w:pPr>
        <w:ind w:left="720" w:hanging="720"/>
        <w:rPr>
          <w:rFonts w:cs="Arial"/>
          <w:color w:val="222222"/>
          <w:shd w:val="clear" w:color="auto" w:fill="FFFFFF"/>
        </w:rPr>
      </w:pPr>
      <w:r w:rsidRPr="008A7117">
        <w:rPr>
          <w:rFonts w:cs="Arial"/>
          <w:color w:val="222222"/>
          <w:shd w:val="clear" w:color="auto" w:fill="FFFFFF"/>
        </w:rPr>
        <w:lastRenderedPageBreak/>
        <w:t xml:space="preserve">Kini, A.N., </w:t>
      </w:r>
      <w:r w:rsidR="00491D12">
        <w:rPr>
          <w:rFonts w:cs="Arial"/>
          <w:color w:val="222222"/>
          <w:shd w:val="clear" w:color="auto" w:fill="FFFFFF"/>
        </w:rPr>
        <w:t xml:space="preserve">Savitha, B. and </w:t>
      </w:r>
      <w:proofErr w:type="spellStart"/>
      <w:r w:rsidR="00491D12">
        <w:rPr>
          <w:rFonts w:cs="Arial"/>
          <w:color w:val="222222"/>
          <w:shd w:val="clear" w:color="auto" w:fill="FFFFFF"/>
        </w:rPr>
        <w:t>Hawaldar</w:t>
      </w:r>
      <w:proofErr w:type="spellEnd"/>
      <w:r w:rsidR="00491D12">
        <w:rPr>
          <w:rFonts w:cs="Arial"/>
          <w:color w:val="222222"/>
          <w:shd w:val="clear" w:color="auto" w:fill="FFFFFF"/>
        </w:rPr>
        <w:t>, I.T. (</w:t>
      </w:r>
      <w:r w:rsidRPr="008A7117">
        <w:rPr>
          <w:rFonts w:cs="Arial"/>
          <w:color w:val="222222"/>
          <w:shd w:val="clear" w:color="auto" w:fill="FFFFFF"/>
        </w:rPr>
        <w:t>2024</w:t>
      </w:r>
      <w:r w:rsidR="00491D12">
        <w:rPr>
          <w:rFonts w:cs="Arial"/>
          <w:color w:val="222222"/>
          <w:shd w:val="clear" w:color="auto" w:fill="FFFFFF"/>
        </w:rPr>
        <w:t>)</w:t>
      </w:r>
      <w:r w:rsidRPr="008A7117">
        <w:rPr>
          <w:rFonts w:cs="Arial"/>
          <w:color w:val="222222"/>
          <w:shd w:val="clear" w:color="auto" w:fill="FFFFFF"/>
        </w:rPr>
        <w:t>. Brand loyalty in FinTech services: The role of self-concept, customer engagement behavior and self-brand connection. </w:t>
      </w:r>
      <w:r w:rsidRPr="008A7117">
        <w:rPr>
          <w:rFonts w:cs="Arial"/>
          <w:i/>
          <w:iCs/>
          <w:color w:val="222222"/>
          <w:shd w:val="clear" w:color="auto" w:fill="FFFFFF"/>
        </w:rPr>
        <w:t>Journal of Open Innovation: Technology, Market, and Complexity</w:t>
      </w:r>
      <w:r w:rsidRPr="008A7117">
        <w:rPr>
          <w:rFonts w:cs="Arial"/>
          <w:color w:val="222222"/>
          <w:shd w:val="clear" w:color="auto" w:fill="FFFFFF"/>
        </w:rPr>
        <w:t>, </w:t>
      </w:r>
      <w:r w:rsidRPr="008A7117">
        <w:rPr>
          <w:rFonts w:cs="Arial"/>
          <w:i/>
          <w:iCs/>
          <w:color w:val="222222"/>
          <w:shd w:val="clear" w:color="auto" w:fill="FFFFFF"/>
        </w:rPr>
        <w:t>10</w:t>
      </w:r>
      <w:r w:rsidRPr="008A7117">
        <w:rPr>
          <w:rFonts w:cs="Arial"/>
          <w:color w:val="222222"/>
          <w:shd w:val="clear" w:color="auto" w:fill="FFFFFF"/>
        </w:rPr>
        <w:t>(1), p.100240.</w:t>
      </w:r>
    </w:p>
    <w:p w14:paraId="653CAAEF" w14:textId="77777777" w:rsidR="008A7117" w:rsidRPr="008A7117" w:rsidRDefault="00491D12" w:rsidP="00F605BA">
      <w:pPr>
        <w:ind w:left="720" w:hanging="720"/>
        <w:rPr>
          <w:rFonts w:cs="Arial"/>
          <w:color w:val="222222"/>
          <w:shd w:val="clear" w:color="auto" w:fill="FFFFFF"/>
        </w:rPr>
      </w:pPr>
      <w:r>
        <w:rPr>
          <w:rFonts w:cs="Arial"/>
          <w:color w:val="222222"/>
          <w:shd w:val="clear" w:color="auto" w:fill="FFFFFF"/>
        </w:rPr>
        <w:t>Kircher, R. and Zipp, L. (</w:t>
      </w:r>
      <w:r w:rsidR="008A7117" w:rsidRPr="008A7117">
        <w:rPr>
          <w:rFonts w:cs="Arial"/>
          <w:color w:val="222222"/>
          <w:shd w:val="clear" w:color="auto" w:fill="FFFFFF"/>
        </w:rPr>
        <w:t>2022</w:t>
      </w:r>
      <w:r>
        <w:rPr>
          <w:rFonts w:cs="Arial"/>
          <w:color w:val="222222"/>
          <w:shd w:val="clear" w:color="auto" w:fill="FFFFFF"/>
        </w:rPr>
        <w:t>)</w:t>
      </w:r>
      <w:r w:rsidR="008A7117" w:rsidRPr="008A7117">
        <w:rPr>
          <w:rFonts w:cs="Arial"/>
          <w:color w:val="222222"/>
          <w:shd w:val="clear" w:color="auto" w:fill="FFFFFF"/>
        </w:rPr>
        <w:t>. Questionnaires to elicit quantitative data. </w:t>
      </w:r>
      <w:r w:rsidR="008A7117" w:rsidRPr="008A7117">
        <w:rPr>
          <w:rFonts w:cs="Arial"/>
          <w:i/>
          <w:iCs/>
          <w:color w:val="222222"/>
          <w:shd w:val="clear" w:color="auto" w:fill="FFFFFF"/>
        </w:rPr>
        <w:t>Research methods in language attitudes</w:t>
      </w:r>
      <w:r w:rsidR="008A7117" w:rsidRPr="008A7117">
        <w:rPr>
          <w:rFonts w:cs="Arial"/>
          <w:color w:val="222222"/>
          <w:shd w:val="clear" w:color="auto" w:fill="FFFFFF"/>
        </w:rPr>
        <w:t>, pp.129-144.</w:t>
      </w:r>
    </w:p>
    <w:p w14:paraId="63768816" w14:textId="77777777" w:rsidR="00D16345" w:rsidRPr="008A7117" w:rsidRDefault="00D16345" w:rsidP="00F605BA">
      <w:pPr>
        <w:ind w:left="720" w:hanging="720"/>
        <w:rPr>
          <w:rFonts w:cs="Arial"/>
          <w:color w:val="222222"/>
          <w:shd w:val="clear" w:color="auto" w:fill="FFFFFF"/>
        </w:rPr>
      </w:pPr>
      <w:r w:rsidRPr="008A7117">
        <w:rPr>
          <w:rFonts w:cs="Arial"/>
          <w:color w:val="222222"/>
          <w:shd w:val="clear" w:color="auto" w:fill="FFFFFF"/>
        </w:rPr>
        <w:t xml:space="preserve">Lappeman, J., Marlie, S., </w:t>
      </w:r>
      <w:r w:rsidR="00491D12">
        <w:rPr>
          <w:rFonts w:cs="Arial"/>
          <w:color w:val="222222"/>
          <w:shd w:val="clear" w:color="auto" w:fill="FFFFFF"/>
        </w:rPr>
        <w:t xml:space="preserve">Johnson, T. and </w:t>
      </w:r>
      <w:proofErr w:type="spellStart"/>
      <w:r w:rsidR="00491D12">
        <w:rPr>
          <w:rFonts w:cs="Arial"/>
          <w:color w:val="222222"/>
          <w:shd w:val="clear" w:color="auto" w:fill="FFFFFF"/>
        </w:rPr>
        <w:t>Poggenpoel</w:t>
      </w:r>
      <w:proofErr w:type="spellEnd"/>
      <w:r w:rsidR="00491D12">
        <w:rPr>
          <w:rFonts w:cs="Arial"/>
          <w:color w:val="222222"/>
          <w:shd w:val="clear" w:color="auto" w:fill="FFFFFF"/>
        </w:rPr>
        <w:t>, S. (</w:t>
      </w:r>
      <w:r w:rsidRPr="008A7117">
        <w:rPr>
          <w:rFonts w:cs="Arial"/>
          <w:color w:val="222222"/>
          <w:shd w:val="clear" w:color="auto" w:fill="FFFFFF"/>
        </w:rPr>
        <w:t>2023</w:t>
      </w:r>
      <w:r w:rsidR="00491D12">
        <w:rPr>
          <w:rFonts w:cs="Arial"/>
          <w:color w:val="222222"/>
          <w:shd w:val="clear" w:color="auto" w:fill="FFFFFF"/>
        </w:rPr>
        <w:t>)</w:t>
      </w:r>
      <w:r w:rsidRPr="008A7117">
        <w:rPr>
          <w:rFonts w:cs="Arial"/>
          <w:color w:val="222222"/>
          <w:shd w:val="clear" w:color="auto" w:fill="FFFFFF"/>
        </w:rPr>
        <w:t>. Trust and digital privacy: willingness to disclose personal information to banking chatbot services. </w:t>
      </w:r>
      <w:r w:rsidRPr="008A7117">
        <w:rPr>
          <w:rFonts w:cs="Arial"/>
          <w:i/>
          <w:iCs/>
          <w:color w:val="222222"/>
          <w:shd w:val="clear" w:color="auto" w:fill="FFFFFF"/>
        </w:rPr>
        <w:t>Journal of Financial Services Marketing</w:t>
      </w:r>
      <w:r w:rsidRPr="008A7117">
        <w:rPr>
          <w:rFonts w:cs="Arial"/>
          <w:color w:val="222222"/>
          <w:shd w:val="clear" w:color="auto" w:fill="FFFFFF"/>
        </w:rPr>
        <w:t>, </w:t>
      </w:r>
      <w:r w:rsidRPr="008A7117">
        <w:rPr>
          <w:rFonts w:cs="Arial"/>
          <w:i/>
          <w:iCs/>
          <w:color w:val="222222"/>
          <w:shd w:val="clear" w:color="auto" w:fill="FFFFFF"/>
        </w:rPr>
        <w:t>28</w:t>
      </w:r>
      <w:r w:rsidRPr="008A7117">
        <w:rPr>
          <w:rFonts w:cs="Arial"/>
          <w:color w:val="222222"/>
          <w:shd w:val="clear" w:color="auto" w:fill="FFFFFF"/>
        </w:rPr>
        <w:t>(2), pp.337-357.</w:t>
      </w:r>
    </w:p>
    <w:p w14:paraId="554F9818" w14:textId="77777777" w:rsidR="00D16345" w:rsidRPr="008A7117" w:rsidRDefault="00491D12" w:rsidP="00F605BA">
      <w:pPr>
        <w:ind w:left="720" w:hanging="720"/>
        <w:rPr>
          <w:rFonts w:cs="Arial"/>
          <w:color w:val="222222"/>
          <w:shd w:val="clear" w:color="auto" w:fill="FFFFFF"/>
        </w:rPr>
      </w:pPr>
      <w:r>
        <w:rPr>
          <w:rFonts w:cs="Arial"/>
          <w:color w:val="222222"/>
          <w:shd w:val="clear" w:color="auto" w:fill="FFFFFF"/>
        </w:rPr>
        <w:t>Lee, S. and Kim, Y.H. (</w:t>
      </w:r>
      <w:r w:rsidR="00D16345" w:rsidRPr="008A7117">
        <w:rPr>
          <w:rFonts w:cs="Arial"/>
          <w:color w:val="222222"/>
          <w:shd w:val="clear" w:color="auto" w:fill="FFFFFF"/>
        </w:rPr>
        <w:t>2024</w:t>
      </w:r>
      <w:r>
        <w:rPr>
          <w:rFonts w:cs="Arial"/>
          <w:color w:val="222222"/>
          <w:shd w:val="clear" w:color="auto" w:fill="FFFFFF"/>
        </w:rPr>
        <w:t>)</w:t>
      </w:r>
      <w:r w:rsidR="00D16345" w:rsidRPr="008A7117">
        <w:rPr>
          <w:rFonts w:cs="Arial"/>
          <w:color w:val="222222"/>
          <w:shd w:val="clear" w:color="auto" w:fill="FFFFFF"/>
        </w:rPr>
        <w:t>. Unveiling consumer loyalty dynamics: insights for golf club loyalty programs. </w:t>
      </w:r>
      <w:r w:rsidR="00D16345" w:rsidRPr="008A7117">
        <w:rPr>
          <w:rFonts w:cs="Arial"/>
          <w:i/>
          <w:iCs/>
          <w:color w:val="222222"/>
          <w:shd w:val="clear" w:color="auto" w:fill="FFFFFF"/>
        </w:rPr>
        <w:t>International Journal of Sports Marketing and Sponsorship</w:t>
      </w:r>
      <w:r w:rsidR="00D16345" w:rsidRPr="008A7117">
        <w:rPr>
          <w:rFonts w:cs="Arial"/>
          <w:color w:val="222222"/>
          <w:shd w:val="clear" w:color="auto" w:fill="FFFFFF"/>
        </w:rPr>
        <w:t>, </w:t>
      </w:r>
      <w:r w:rsidR="00D16345" w:rsidRPr="008A7117">
        <w:rPr>
          <w:rFonts w:cs="Arial"/>
          <w:i/>
          <w:iCs/>
          <w:color w:val="222222"/>
          <w:shd w:val="clear" w:color="auto" w:fill="FFFFFF"/>
        </w:rPr>
        <w:t>25</w:t>
      </w:r>
      <w:r w:rsidR="00D16345" w:rsidRPr="008A7117">
        <w:rPr>
          <w:rFonts w:cs="Arial"/>
          <w:color w:val="222222"/>
          <w:shd w:val="clear" w:color="auto" w:fill="FFFFFF"/>
        </w:rPr>
        <w:t>(5), pp.1018-1043.</w:t>
      </w:r>
    </w:p>
    <w:p w14:paraId="698AC455" w14:textId="77777777" w:rsidR="00E273C1" w:rsidRPr="008A7117" w:rsidRDefault="00491D12" w:rsidP="00F605BA">
      <w:pPr>
        <w:ind w:left="720" w:hanging="720"/>
        <w:rPr>
          <w:rFonts w:cs="Arial"/>
          <w:color w:val="222222"/>
          <w:shd w:val="clear" w:color="auto" w:fill="FFFFFF"/>
        </w:rPr>
      </w:pPr>
      <w:r>
        <w:rPr>
          <w:rFonts w:cs="Arial"/>
          <w:color w:val="222222"/>
          <w:shd w:val="clear" w:color="auto" w:fill="FFFFFF"/>
        </w:rPr>
        <w:t>Lim, W.M. (</w:t>
      </w:r>
      <w:r w:rsidR="00E273C1" w:rsidRPr="008A7117">
        <w:rPr>
          <w:rFonts w:cs="Arial"/>
          <w:color w:val="222222"/>
          <w:shd w:val="clear" w:color="auto" w:fill="FFFFFF"/>
        </w:rPr>
        <w:t>2025</w:t>
      </w:r>
      <w:r>
        <w:rPr>
          <w:rFonts w:cs="Arial"/>
          <w:color w:val="222222"/>
          <w:shd w:val="clear" w:color="auto" w:fill="FFFFFF"/>
        </w:rPr>
        <w:t>)</w:t>
      </w:r>
      <w:r w:rsidR="00E273C1" w:rsidRPr="008A7117">
        <w:rPr>
          <w:rFonts w:cs="Arial"/>
          <w:color w:val="222222"/>
          <w:shd w:val="clear" w:color="auto" w:fill="FFFFFF"/>
        </w:rPr>
        <w:t>. What is quantitative research? An overview and guidelines. </w:t>
      </w:r>
      <w:r w:rsidR="00E273C1" w:rsidRPr="008A7117">
        <w:rPr>
          <w:rFonts w:cs="Arial"/>
          <w:i/>
          <w:iCs/>
          <w:color w:val="222222"/>
          <w:shd w:val="clear" w:color="auto" w:fill="FFFFFF"/>
        </w:rPr>
        <w:t>Australasian Marketing Journal</w:t>
      </w:r>
      <w:r w:rsidR="00E273C1" w:rsidRPr="008A7117">
        <w:rPr>
          <w:rFonts w:cs="Arial"/>
          <w:color w:val="222222"/>
          <w:shd w:val="clear" w:color="auto" w:fill="FFFFFF"/>
        </w:rPr>
        <w:t>, </w:t>
      </w:r>
      <w:r w:rsidR="00E273C1" w:rsidRPr="008A7117">
        <w:rPr>
          <w:rFonts w:cs="Arial"/>
          <w:i/>
          <w:iCs/>
          <w:color w:val="222222"/>
          <w:shd w:val="clear" w:color="auto" w:fill="FFFFFF"/>
        </w:rPr>
        <w:t>33</w:t>
      </w:r>
      <w:r w:rsidR="00E273C1" w:rsidRPr="008A7117">
        <w:rPr>
          <w:rFonts w:cs="Arial"/>
          <w:color w:val="222222"/>
          <w:shd w:val="clear" w:color="auto" w:fill="FFFFFF"/>
        </w:rPr>
        <w:t>(3), pp.325-348.</w:t>
      </w:r>
    </w:p>
    <w:p w14:paraId="0B9AD523" w14:textId="77777777" w:rsidR="00A07236" w:rsidRPr="008A7117" w:rsidRDefault="00A07236" w:rsidP="00F605BA">
      <w:pPr>
        <w:ind w:left="720" w:hanging="720"/>
        <w:rPr>
          <w:rFonts w:cs="Arial"/>
        </w:rPr>
      </w:pPr>
      <w:r w:rsidRPr="008A7117">
        <w:rPr>
          <w:rFonts w:cs="Arial"/>
          <w:color w:val="222222"/>
          <w:shd w:val="clear" w:color="auto" w:fill="FFFFFF"/>
        </w:rPr>
        <w:t>Liu, Y., Du</w:t>
      </w:r>
      <w:r w:rsidR="00491D12">
        <w:rPr>
          <w:rFonts w:cs="Arial"/>
          <w:color w:val="222222"/>
          <w:shd w:val="clear" w:color="auto" w:fill="FFFFFF"/>
        </w:rPr>
        <w:t>ffek, B. and Eisingerich, A.B. (</w:t>
      </w:r>
      <w:r w:rsidRPr="008A7117">
        <w:rPr>
          <w:rFonts w:cs="Arial"/>
          <w:color w:val="222222"/>
          <w:shd w:val="clear" w:color="auto" w:fill="FFFFFF"/>
        </w:rPr>
        <w:t>2026</w:t>
      </w:r>
      <w:r w:rsidR="00491D12">
        <w:rPr>
          <w:rFonts w:cs="Arial"/>
          <w:color w:val="222222"/>
          <w:shd w:val="clear" w:color="auto" w:fill="FFFFFF"/>
        </w:rPr>
        <w:t>)</w:t>
      </w:r>
      <w:r w:rsidRPr="008A7117">
        <w:rPr>
          <w:rFonts w:cs="Arial"/>
          <w:color w:val="222222"/>
          <w:shd w:val="clear" w:color="auto" w:fill="FFFFFF"/>
        </w:rPr>
        <w:t>. How can businesses enhance customer resistance to brand switching?. </w:t>
      </w:r>
      <w:r w:rsidRPr="008A7117">
        <w:rPr>
          <w:rFonts w:cs="Arial"/>
          <w:i/>
          <w:iCs/>
          <w:color w:val="222222"/>
          <w:shd w:val="clear" w:color="auto" w:fill="FFFFFF"/>
        </w:rPr>
        <w:t>Journal of the Academy of Marketing Science</w:t>
      </w:r>
      <w:r w:rsidRPr="008A7117">
        <w:rPr>
          <w:rFonts w:cs="Arial"/>
          <w:color w:val="222222"/>
          <w:shd w:val="clear" w:color="auto" w:fill="FFFFFF"/>
        </w:rPr>
        <w:t>, </w:t>
      </w:r>
      <w:r w:rsidRPr="008A7117">
        <w:rPr>
          <w:rFonts w:cs="Arial"/>
          <w:i/>
          <w:iCs/>
          <w:color w:val="222222"/>
          <w:shd w:val="clear" w:color="auto" w:fill="FFFFFF"/>
        </w:rPr>
        <w:t>54</w:t>
      </w:r>
      <w:r w:rsidRPr="008A7117">
        <w:rPr>
          <w:rFonts w:cs="Arial"/>
          <w:color w:val="222222"/>
          <w:shd w:val="clear" w:color="auto" w:fill="FFFFFF"/>
        </w:rPr>
        <w:t>(1), pp.207-227.</w:t>
      </w:r>
    </w:p>
    <w:p w14:paraId="4DEF548A" w14:textId="77777777" w:rsidR="00A07236" w:rsidRPr="008A7117" w:rsidRDefault="00491D12" w:rsidP="00F605BA">
      <w:pPr>
        <w:ind w:left="720" w:hanging="720"/>
        <w:rPr>
          <w:rFonts w:cs="Arial"/>
          <w:color w:val="222222"/>
          <w:shd w:val="clear" w:color="auto" w:fill="FFFFFF"/>
        </w:rPr>
      </w:pPr>
      <w:r>
        <w:rPr>
          <w:rFonts w:cs="Arial"/>
          <w:color w:val="222222"/>
          <w:shd w:val="clear" w:color="auto" w:fill="FFFFFF"/>
        </w:rPr>
        <w:t>Machireddy, J.R. (</w:t>
      </w:r>
      <w:r w:rsidR="00A07236" w:rsidRPr="008A7117">
        <w:rPr>
          <w:rFonts w:cs="Arial"/>
          <w:color w:val="222222"/>
          <w:shd w:val="clear" w:color="auto" w:fill="FFFFFF"/>
        </w:rPr>
        <w:t>2023</w:t>
      </w:r>
      <w:r>
        <w:rPr>
          <w:rFonts w:cs="Arial"/>
          <w:color w:val="222222"/>
          <w:shd w:val="clear" w:color="auto" w:fill="FFFFFF"/>
        </w:rPr>
        <w:t>)</w:t>
      </w:r>
      <w:r w:rsidR="00A07236" w:rsidRPr="008A7117">
        <w:rPr>
          <w:rFonts w:cs="Arial"/>
          <w:color w:val="222222"/>
          <w:shd w:val="clear" w:color="auto" w:fill="FFFFFF"/>
        </w:rPr>
        <w:t>. Data science and business analytics approaches to financial wellbeing: Modeling consumer habits and identifying at-risk individuals in financial services. </w:t>
      </w:r>
      <w:r w:rsidR="00A07236" w:rsidRPr="008A7117">
        <w:rPr>
          <w:rFonts w:cs="Arial"/>
          <w:i/>
          <w:iCs/>
          <w:color w:val="222222"/>
          <w:shd w:val="clear" w:color="auto" w:fill="FFFFFF"/>
        </w:rPr>
        <w:t>Journal of Applied Big Data Analytics, Decision-Making, and Predictive Modelling Systems</w:t>
      </w:r>
      <w:r w:rsidR="00A07236" w:rsidRPr="008A7117">
        <w:rPr>
          <w:rFonts w:cs="Arial"/>
          <w:color w:val="222222"/>
          <w:shd w:val="clear" w:color="auto" w:fill="FFFFFF"/>
        </w:rPr>
        <w:t>, </w:t>
      </w:r>
      <w:r w:rsidR="00A07236" w:rsidRPr="008A7117">
        <w:rPr>
          <w:rFonts w:cs="Arial"/>
          <w:i/>
          <w:iCs/>
          <w:color w:val="222222"/>
          <w:shd w:val="clear" w:color="auto" w:fill="FFFFFF"/>
        </w:rPr>
        <w:t>7</w:t>
      </w:r>
      <w:r w:rsidR="00A07236" w:rsidRPr="008A7117">
        <w:rPr>
          <w:rFonts w:cs="Arial"/>
          <w:color w:val="222222"/>
          <w:shd w:val="clear" w:color="auto" w:fill="FFFFFF"/>
        </w:rPr>
        <w:t>(12), pp.1-18.</w:t>
      </w:r>
    </w:p>
    <w:p w14:paraId="718B0E24" w14:textId="77777777" w:rsidR="00BA68B3" w:rsidRPr="008A7117" w:rsidRDefault="00BA68B3" w:rsidP="00F605BA">
      <w:pPr>
        <w:ind w:left="720" w:hanging="720"/>
        <w:rPr>
          <w:rFonts w:cs="Arial"/>
          <w:color w:val="222222"/>
          <w:shd w:val="clear" w:color="auto" w:fill="FFFFFF"/>
        </w:rPr>
      </w:pPr>
      <w:r w:rsidRPr="008A7117">
        <w:rPr>
          <w:rFonts w:cs="Arial"/>
          <w:color w:val="222222"/>
          <w:shd w:val="clear" w:color="auto" w:fill="FFFFFF"/>
        </w:rPr>
        <w:t>M</w:t>
      </w:r>
      <w:r w:rsidR="00491D12">
        <w:rPr>
          <w:rFonts w:cs="Arial"/>
          <w:color w:val="222222"/>
          <w:shd w:val="clear" w:color="auto" w:fill="FFFFFF"/>
        </w:rPr>
        <w:t>alapane, T.A. and Ndlovu, N.K. (</w:t>
      </w:r>
      <w:r w:rsidRPr="008A7117">
        <w:rPr>
          <w:rFonts w:cs="Arial"/>
          <w:color w:val="222222"/>
          <w:shd w:val="clear" w:color="auto" w:fill="FFFFFF"/>
        </w:rPr>
        <w:t>2024, May</w:t>
      </w:r>
      <w:r w:rsidR="00491D12">
        <w:rPr>
          <w:rFonts w:cs="Arial"/>
          <w:color w:val="222222"/>
          <w:shd w:val="clear" w:color="auto" w:fill="FFFFFF"/>
        </w:rPr>
        <w:t>)</w:t>
      </w:r>
      <w:r w:rsidRPr="008A7117">
        <w:rPr>
          <w:rFonts w:cs="Arial"/>
          <w:color w:val="222222"/>
          <w:shd w:val="clear" w:color="auto" w:fill="FFFFFF"/>
        </w:rPr>
        <w:t>. Assessing the reliability of Likert scale statements in an e-commerce quantitative study: A Cronbach alpha analysis using SPSS Statistics. In </w:t>
      </w:r>
      <w:r w:rsidRPr="008A7117">
        <w:rPr>
          <w:rFonts w:cs="Arial"/>
          <w:i/>
          <w:iCs/>
          <w:color w:val="222222"/>
          <w:shd w:val="clear" w:color="auto" w:fill="FFFFFF"/>
        </w:rPr>
        <w:t>2024 systems and information engineering design symposium (</w:t>
      </w:r>
      <w:proofErr w:type="spellStart"/>
      <w:r w:rsidRPr="008A7117">
        <w:rPr>
          <w:rFonts w:cs="Arial"/>
          <w:i/>
          <w:iCs/>
          <w:color w:val="222222"/>
          <w:shd w:val="clear" w:color="auto" w:fill="FFFFFF"/>
        </w:rPr>
        <w:t>sieds</w:t>
      </w:r>
      <w:proofErr w:type="spellEnd"/>
      <w:r w:rsidRPr="008A7117">
        <w:rPr>
          <w:rFonts w:cs="Arial"/>
          <w:i/>
          <w:iCs/>
          <w:color w:val="222222"/>
          <w:shd w:val="clear" w:color="auto" w:fill="FFFFFF"/>
        </w:rPr>
        <w:t>)</w:t>
      </w:r>
      <w:r w:rsidRPr="008A7117">
        <w:rPr>
          <w:rFonts w:cs="Arial"/>
          <w:color w:val="222222"/>
          <w:shd w:val="clear" w:color="auto" w:fill="FFFFFF"/>
        </w:rPr>
        <w:t> (pp. 90-95). IEEE.</w:t>
      </w:r>
    </w:p>
    <w:p w14:paraId="7EAA7D60" w14:textId="77777777" w:rsidR="000B726E" w:rsidRPr="008A7117" w:rsidRDefault="000B726E" w:rsidP="00F605BA">
      <w:pPr>
        <w:ind w:left="720" w:hanging="720"/>
        <w:rPr>
          <w:rFonts w:cs="Arial"/>
          <w:color w:val="222222"/>
          <w:shd w:val="clear" w:color="auto" w:fill="FFFFFF"/>
        </w:rPr>
      </w:pPr>
      <w:r w:rsidRPr="008A7117">
        <w:rPr>
          <w:rFonts w:cs="Arial"/>
          <w:color w:val="222222"/>
          <w:shd w:val="clear" w:color="auto" w:fill="FFFFFF"/>
        </w:rPr>
        <w:t>Mazhar, B., Niu, J., Ul Haq, I.</w:t>
      </w:r>
      <w:r w:rsidR="00491D12">
        <w:rPr>
          <w:rFonts w:cs="Arial"/>
          <w:color w:val="222222"/>
          <w:shd w:val="clear" w:color="auto" w:fill="FFFFFF"/>
        </w:rPr>
        <w:t>, Maqsood, F. and Tareen, H.K. (</w:t>
      </w:r>
      <w:r w:rsidRPr="008A7117">
        <w:rPr>
          <w:rFonts w:cs="Arial"/>
          <w:color w:val="222222"/>
          <w:shd w:val="clear" w:color="auto" w:fill="FFFFFF"/>
        </w:rPr>
        <w:t>2026</w:t>
      </w:r>
      <w:r w:rsidR="00491D12">
        <w:rPr>
          <w:rFonts w:cs="Arial"/>
          <w:color w:val="222222"/>
          <w:shd w:val="clear" w:color="auto" w:fill="FFFFFF"/>
        </w:rPr>
        <w:t>)</w:t>
      </w:r>
      <w:r w:rsidRPr="008A7117">
        <w:rPr>
          <w:rFonts w:cs="Arial"/>
          <w:color w:val="222222"/>
          <w:shd w:val="clear" w:color="auto" w:fill="FFFFFF"/>
        </w:rPr>
        <w:t>. The Price of Privacy: How Privacy Concerns Shape Users’ Responses to Data Heists and Cyberbullying in Social Media Disengagement Through Privacy Calculus Theory. </w:t>
      </w:r>
      <w:r w:rsidRPr="008A7117">
        <w:rPr>
          <w:rFonts w:cs="Arial"/>
          <w:i/>
          <w:iCs/>
          <w:color w:val="222222"/>
          <w:shd w:val="clear" w:color="auto" w:fill="FFFFFF"/>
        </w:rPr>
        <w:t>International Journal of Human–Computer Interaction</w:t>
      </w:r>
      <w:r w:rsidRPr="008A7117">
        <w:rPr>
          <w:rFonts w:cs="Arial"/>
          <w:color w:val="222222"/>
          <w:shd w:val="clear" w:color="auto" w:fill="FFFFFF"/>
        </w:rPr>
        <w:t>, pp.1-20.</w:t>
      </w:r>
    </w:p>
    <w:p w14:paraId="6D98C748" w14:textId="77777777" w:rsidR="000B726E" w:rsidRPr="008A7117" w:rsidRDefault="000B726E" w:rsidP="00F605BA">
      <w:pPr>
        <w:ind w:left="720" w:hanging="720"/>
        <w:rPr>
          <w:rFonts w:cs="Arial"/>
          <w:color w:val="222222"/>
          <w:shd w:val="clear" w:color="auto" w:fill="FFFFFF"/>
        </w:rPr>
      </w:pPr>
      <w:r w:rsidRPr="008A7117">
        <w:rPr>
          <w:rFonts w:cs="Arial"/>
        </w:rPr>
        <w:t xml:space="preserve">Mills, S. (2026) </w:t>
      </w:r>
      <w:r w:rsidRPr="008A7117">
        <w:rPr>
          <w:rStyle w:val="Emphasis"/>
          <w:rFonts w:cs="Arial"/>
        </w:rPr>
        <w:t>AI and the future of retail financial services: The Mills Review</w:t>
      </w:r>
      <w:r w:rsidRPr="008A7117">
        <w:rPr>
          <w:rFonts w:cs="Arial"/>
        </w:rPr>
        <w:t>. London: Financial Conduct Authority, 6 July.</w:t>
      </w:r>
    </w:p>
    <w:p w14:paraId="1921F54B" w14:textId="77777777" w:rsidR="00CA73A2" w:rsidRPr="008A7117" w:rsidRDefault="00491D12" w:rsidP="00F605BA">
      <w:pPr>
        <w:ind w:left="720" w:hanging="720"/>
        <w:rPr>
          <w:rFonts w:cs="Arial"/>
          <w:color w:val="222222"/>
          <w:shd w:val="clear" w:color="auto" w:fill="FFFFFF"/>
        </w:rPr>
      </w:pPr>
      <w:r>
        <w:rPr>
          <w:rFonts w:cs="Arial"/>
          <w:color w:val="222222"/>
          <w:shd w:val="clear" w:color="auto" w:fill="FFFFFF"/>
        </w:rPr>
        <w:lastRenderedPageBreak/>
        <w:t>Menard, P. and Bott, G.J. (</w:t>
      </w:r>
      <w:r w:rsidR="00CA73A2" w:rsidRPr="008A7117">
        <w:rPr>
          <w:rFonts w:cs="Arial"/>
          <w:color w:val="222222"/>
          <w:shd w:val="clear" w:color="auto" w:fill="FFFFFF"/>
        </w:rPr>
        <w:t>2025</w:t>
      </w:r>
      <w:r>
        <w:rPr>
          <w:rFonts w:cs="Arial"/>
          <w:color w:val="222222"/>
          <w:shd w:val="clear" w:color="auto" w:fill="FFFFFF"/>
        </w:rPr>
        <w:t>)</w:t>
      </w:r>
      <w:r w:rsidR="00CA73A2" w:rsidRPr="008A7117">
        <w:rPr>
          <w:rFonts w:cs="Arial"/>
          <w:color w:val="222222"/>
          <w:shd w:val="clear" w:color="auto" w:fill="FFFFFF"/>
        </w:rPr>
        <w:t>. Artificial intelligence misuse and concern for information privacy: New construct validation and future directions. </w:t>
      </w:r>
      <w:r w:rsidR="00CA73A2" w:rsidRPr="008A7117">
        <w:rPr>
          <w:rFonts w:cs="Arial"/>
          <w:i/>
          <w:iCs/>
          <w:color w:val="222222"/>
          <w:shd w:val="clear" w:color="auto" w:fill="FFFFFF"/>
        </w:rPr>
        <w:t>Information Systems Journal</w:t>
      </w:r>
      <w:r w:rsidR="00CA73A2" w:rsidRPr="008A7117">
        <w:rPr>
          <w:rFonts w:cs="Arial"/>
          <w:color w:val="222222"/>
          <w:shd w:val="clear" w:color="auto" w:fill="FFFFFF"/>
        </w:rPr>
        <w:t>, </w:t>
      </w:r>
      <w:r w:rsidR="00CA73A2" w:rsidRPr="008A7117">
        <w:rPr>
          <w:rFonts w:cs="Arial"/>
          <w:i/>
          <w:iCs/>
          <w:color w:val="222222"/>
          <w:shd w:val="clear" w:color="auto" w:fill="FFFFFF"/>
        </w:rPr>
        <w:t>35</w:t>
      </w:r>
      <w:r w:rsidR="00CA73A2" w:rsidRPr="008A7117">
        <w:rPr>
          <w:rFonts w:cs="Arial"/>
          <w:color w:val="222222"/>
          <w:shd w:val="clear" w:color="auto" w:fill="FFFFFF"/>
        </w:rPr>
        <w:t>(1), pp.322-367.</w:t>
      </w:r>
    </w:p>
    <w:p w14:paraId="46CBF385" w14:textId="77777777" w:rsidR="00CA73A2" w:rsidRPr="008A7117" w:rsidRDefault="00CA73A2" w:rsidP="00F605BA">
      <w:pPr>
        <w:ind w:left="720" w:hanging="720"/>
        <w:rPr>
          <w:rFonts w:cs="Arial"/>
          <w:color w:val="222222"/>
          <w:shd w:val="clear" w:color="auto" w:fill="FFFFFF"/>
        </w:rPr>
      </w:pPr>
      <w:r w:rsidRPr="008A7117">
        <w:rPr>
          <w:rFonts w:cs="Arial"/>
          <w:color w:val="222222"/>
          <w:shd w:val="clear" w:color="auto" w:fill="FFFFFF"/>
        </w:rPr>
        <w:t xml:space="preserve">Nayak, R., </w:t>
      </w:r>
      <w:proofErr w:type="spellStart"/>
      <w:r w:rsidRPr="008A7117">
        <w:rPr>
          <w:rFonts w:cs="Arial"/>
          <w:color w:val="222222"/>
          <w:shd w:val="clear" w:color="auto" w:fill="FFFFFF"/>
        </w:rPr>
        <w:t>Ghugar</w:t>
      </w:r>
      <w:proofErr w:type="spellEnd"/>
      <w:r w:rsidRPr="008A7117">
        <w:rPr>
          <w:rFonts w:cs="Arial"/>
          <w:color w:val="222222"/>
          <w:shd w:val="clear" w:color="auto" w:fill="FFFFFF"/>
        </w:rPr>
        <w:t>, U., Gup</w:t>
      </w:r>
      <w:r w:rsidR="00491D12">
        <w:rPr>
          <w:rFonts w:cs="Arial"/>
          <w:color w:val="222222"/>
          <w:shd w:val="clear" w:color="auto" w:fill="FFFFFF"/>
        </w:rPr>
        <w:t>ta, P., Dash, S. and Gupta, N. (</w:t>
      </w:r>
      <w:r w:rsidRPr="008A7117">
        <w:rPr>
          <w:rFonts w:cs="Arial"/>
          <w:color w:val="222222"/>
          <w:shd w:val="clear" w:color="auto" w:fill="FFFFFF"/>
        </w:rPr>
        <w:t>2025</w:t>
      </w:r>
      <w:r w:rsidR="00491D12">
        <w:rPr>
          <w:rFonts w:cs="Arial"/>
          <w:color w:val="222222"/>
          <w:shd w:val="clear" w:color="auto" w:fill="FFFFFF"/>
        </w:rPr>
        <w:t>)</w:t>
      </w:r>
      <w:r w:rsidRPr="008A7117">
        <w:rPr>
          <w:rFonts w:cs="Arial"/>
          <w:color w:val="222222"/>
          <w:shd w:val="clear" w:color="auto" w:fill="FFFFFF"/>
        </w:rPr>
        <w:t>. Data privacy and compliance in information security. </w:t>
      </w:r>
      <w:r w:rsidRPr="008A7117">
        <w:rPr>
          <w:rFonts w:cs="Arial"/>
          <w:i/>
          <w:iCs/>
          <w:color w:val="222222"/>
          <w:shd w:val="clear" w:color="auto" w:fill="FFFFFF"/>
        </w:rPr>
        <w:t>Securing the Digital Frontier: Threats and Advanced Techniques in Security and Forensics</w:t>
      </w:r>
      <w:r w:rsidRPr="008A7117">
        <w:rPr>
          <w:rFonts w:cs="Arial"/>
          <w:color w:val="222222"/>
          <w:shd w:val="clear" w:color="auto" w:fill="FFFFFF"/>
        </w:rPr>
        <w:t>, pp.17-33.</w:t>
      </w:r>
    </w:p>
    <w:p w14:paraId="194A14C7" w14:textId="77777777" w:rsidR="00BA68B3" w:rsidRPr="008A7117" w:rsidRDefault="00491D12" w:rsidP="00F605BA">
      <w:pPr>
        <w:ind w:left="720" w:hanging="720"/>
        <w:rPr>
          <w:rFonts w:cs="Arial"/>
        </w:rPr>
      </w:pPr>
      <w:r>
        <w:rPr>
          <w:rFonts w:cs="Arial"/>
          <w:color w:val="222222"/>
          <w:shd w:val="clear" w:color="auto" w:fill="FFFFFF"/>
        </w:rPr>
        <w:t>Njeri Mugwe, J. and Runo, S. (</w:t>
      </w:r>
      <w:r w:rsidR="00BA68B3" w:rsidRPr="008A7117">
        <w:rPr>
          <w:rFonts w:cs="Arial"/>
          <w:color w:val="222222"/>
          <w:shd w:val="clear" w:color="auto" w:fill="FFFFFF"/>
        </w:rPr>
        <w:t>2026</w:t>
      </w:r>
      <w:r>
        <w:rPr>
          <w:rFonts w:cs="Arial"/>
          <w:color w:val="222222"/>
          <w:shd w:val="clear" w:color="auto" w:fill="FFFFFF"/>
        </w:rPr>
        <w:t>)</w:t>
      </w:r>
      <w:r w:rsidR="00BA68B3" w:rsidRPr="008A7117">
        <w:rPr>
          <w:rFonts w:cs="Arial"/>
          <w:color w:val="222222"/>
          <w:shd w:val="clear" w:color="auto" w:fill="FFFFFF"/>
        </w:rPr>
        <w:t>. Quantitative Data Analysis I: Key Steps and Descriptive Data Analysis. In </w:t>
      </w:r>
      <w:r w:rsidR="00BA68B3" w:rsidRPr="008A7117">
        <w:rPr>
          <w:rFonts w:cs="Arial"/>
          <w:i/>
          <w:iCs/>
          <w:color w:val="222222"/>
          <w:shd w:val="clear" w:color="auto" w:fill="FFFFFF"/>
        </w:rPr>
        <w:t>Research Methodology in Agricultural Sciences</w:t>
      </w:r>
      <w:r w:rsidR="00BA68B3" w:rsidRPr="008A7117">
        <w:rPr>
          <w:rFonts w:cs="Arial"/>
          <w:color w:val="222222"/>
          <w:shd w:val="clear" w:color="auto" w:fill="FFFFFF"/>
        </w:rPr>
        <w:t> (pp. 473-498). Singapore: Springer Nature Singapore.</w:t>
      </w:r>
    </w:p>
    <w:p w14:paraId="4A0BD981" w14:textId="77777777" w:rsidR="003C7E95" w:rsidRPr="008A7117" w:rsidRDefault="003C7E95" w:rsidP="00F605BA">
      <w:pPr>
        <w:ind w:left="720" w:hanging="720"/>
        <w:rPr>
          <w:rFonts w:cs="Arial"/>
        </w:rPr>
      </w:pPr>
      <w:r w:rsidRPr="008A7117">
        <w:rPr>
          <w:rFonts w:cs="Arial"/>
        </w:rPr>
        <w:t xml:space="preserve">Open Banking Limited (2026) </w:t>
      </w:r>
      <w:r w:rsidRPr="008A7117">
        <w:rPr>
          <w:rFonts w:cs="Arial"/>
          <w:i/>
          <w:iCs/>
        </w:rPr>
        <w:t>Open Banking in 2025: Now part of the UK’s everyday financial life</w:t>
      </w:r>
      <w:r w:rsidRPr="008A7117">
        <w:rPr>
          <w:rFonts w:cs="Arial"/>
        </w:rPr>
        <w:t xml:space="preserve">. Available at: </w:t>
      </w:r>
      <w:hyperlink r:id="rId14" w:tgtFrame="_new" w:history="1">
        <w:r w:rsidRPr="008A7117">
          <w:rPr>
            <w:rFonts w:cs="Arial"/>
            <w:color w:val="0000FF"/>
            <w:u w:val="single"/>
          </w:rPr>
          <w:t>https://www.openbanking.org.uk/insights/open-banking-in-2025-now-part-of-the-uks-everyday-financial-life/</w:t>
        </w:r>
      </w:hyperlink>
      <w:r w:rsidRPr="008A7117">
        <w:rPr>
          <w:rFonts w:cs="Arial"/>
        </w:rPr>
        <w:t xml:space="preserve"> (Accessed: 12 July 2026).</w:t>
      </w:r>
    </w:p>
    <w:p w14:paraId="43A40114" w14:textId="77777777" w:rsidR="00D16345" w:rsidRPr="008A7117" w:rsidRDefault="00D16345" w:rsidP="00F605BA">
      <w:pPr>
        <w:ind w:left="720" w:hanging="720"/>
        <w:rPr>
          <w:rFonts w:cs="Arial"/>
          <w:color w:val="222222"/>
          <w:shd w:val="clear" w:color="auto" w:fill="FFFFFF"/>
        </w:rPr>
      </w:pPr>
      <w:r w:rsidRPr="008A7117">
        <w:rPr>
          <w:rFonts w:cs="Arial"/>
          <w:color w:val="222222"/>
          <w:shd w:val="clear" w:color="auto" w:fill="FFFFFF"/>
        </w:rPr>
        <w:t>Roh, T., Yang,</w:t>
      </w:r>
      <w:r w:rsidR="00491D12">
        <w:rPr>
          <w:rFonts w:cs="Arial"/>
          <w:color w:val="222222"/>
          <w:shd w:val="clear" w:color="auto" w:fill="FFFFFF"/>
        </w:rPr>
        <w:t xml:space="preserve"> Y.S., Xiao, S. and Park, B.I. (</w:t>
      </w:r>
      <w:r w:rsidRPr="008A7117">
        <w:rPr>
          <w:rFonts w:cs="Arial"/>
          <w:color w:val="222222"/>
          <w:shd w:val="clear" w:color="auto" w:fill="FFFFFF"/>
        </w:rPr>
        <w:t>2024</w:t>
      </w:r>
      <w:r w:rsidR="00491D12">
        <w:rPr>
          <w:rFonts w:cs="Arial"/>
          <w:color w:val="222222"/>
          <w:shd w:val="clear" w:color="auto" w:fill="FFFFFF"/>
        </w:rPr>
        <w:t>)</w:t>
      </w:r>
      <w:r w:rsidRPr="008A7117">
        <w:rPr>
          <w:rFonts w:cs="Arial"/>
          <w:color w:val="222222"/>
          <w:shd w:val="clear" w:color="auto" w:fill="FFFFFF"/>
        </w:rPr>
        <w:t>. What makes consumers trust and adopt fintech? An empirical investigation in China. </w:t>
      </w:r>
      <w:r w:rsidRPr="008A7117">
        <w:rPr>
          <w:rFonts w:cs="Arial"/>
          <w:i/>
          <w:iCs/>
          <w:color w:val="222222"/>
          <w:shd w:val="clear" w:color="auto" w:fill="FFFFFF"/>
        </w:rPr>
        <w:t>Electronic Commerce Research</w:t>
      </w:r>
      <w:r w:rsidRPr="008A7117">
        <w:rPr>
          <w:rFonts w:cs="Arial"/>
          <w:color w:val="222222"/>
          <w:shd w:val="clear" w:color="auto" w:fill="FFFFFF"/>
        </w:rPr>
        <w:t>, </w:t>
      </w:r>
      <w:r w:rsidRPr="008A7117">
        <w:rPr>
          <w:rFonts w:cs="Arial"/>
          <w:i/>
          <w:iCs/>
          <w:color w:val="222222"/>
          <w:shd w:val="clear" w:color="auto" w:fill="FFFFFF"/>
        </w:rPr>
        <w:t>24</w:t>
      </w:r>
      <w:r w:rsidRPr="008A7117">
        <w:rPr>
          <w:rFonts w:cs="Arial"/>
          <w:color w:val="222222"/>
          <w:shd w:val="clear" w:color="auto" w:fill="FFFFFF"/>
        </w:rPr>
        <w:t>(1), pp.3-35.</w:t>
      </w:r>
    </w:p>
    <w:p w14:paraId="05CA4698" w14:textId="77777777" w:rsidR="00BA68B3" w:rsidRPr="008A7117" w:rsidRDefault="00491D12" w:rsidP="00F605BA">
      <w:pPr>
        <w:ind w:left="720" w:hanging="720"/>
        <w:rPr>
          <w:rFonts w:cs="Arial"/>
          <w:color w:val="222222"/>
          <w:shd w:val="clear" w:color="auto" w:fill="FFFFFF"/>
        </w:rPr>
      </w:pPr>
      <w:r>
        <w:rPr>
          <w:rFonts w:cs="Arial"/>
          <w:color w:val="222222"/>
          <w:shd w:val="clear" w:color="auto" w:fill="FFFFFF"/>
        </w:rPr>
        <w:t>Singh, A. (</w:t>
      </w:r>
      <w:r w:rsidR="00BA68B3" w:rsidRPr="008A7117">
        <w:rPr>
          <w:rFonts w:cs="Arial"/>
          <w:color w:val="222222"/>
          <w:shd w:val="clear" w:color="auto" w:fill="FFFFFF"/>
        </w:rPr>
        <w:t>2022</w:t>
      </w:r>
      <w:r>
        <w:rPr>
          <w:rFonts w:cs="Arial"/>
          <w:color w:val="222222"/>
          <w:shd w:val="clear" w:color="auto" w:fill="FFFFFF"/>
        </w:rPr>
        <w:t>)</w:t>
      </w:r>
      <w:r w:rsidR="00BA68B3" w:rsidRPr="008A7117">
        <w:rPr>
          <w:rFonts w:cs="Arial"/>
          <w:color w:val="222222"/>
          <w:shd w:val="clear" w:color="auto" w:fill="FFFFFF"/>
        </w:rPr>
        <w:t>. Use of Statistical Analysis Supporting Tools in Libraries: an overview of statistical package for social science. </w:t>
      </w:r>
      <w:r w:rsidR="00BA68B3" w:rsidRPr="008A7117">
        <w:rPr>
          <w:rFonts w:cs="Arial"/>
          <w:i/>
          <w:iCs/>
          <w:color w:val="222222"/>
          <w:shd w:val="clear" w:color="auto" w:fill="FFFFFF"/>
        </w:rPr>
        <w:t>World Digital Libraries</w:t>
      </w:r>
      <w:r w:rsidR="00BA68B3" w:rsidRPr="008A7117">
        <w:rPr>
          <w:rFonts w:cs="Arial"/>
          <w:color w:val="222222"/>
          <w:shd w:val="clear" w:color="auto" w:fill="FFFFFF"/>
        </w:rPr>
        <w:t>, </w:t>
      </w:r>
      <w:r w:rsidR="00BA68B3" w:rsidRPr="008A7117">
        <w:rPr>
          <w:rFonts w:cs="Arial"/>
          <w:i/>
          <w:iCs/>
          <w:color w:val="222222"/>
          <w:shd w:val="clear" w:color="auto" w:fill="FFFFFF"/>
        </w:rPr>
        <w:t>15</w:t>
      </w:r>
      <w:r w:rsidR="00BA68B3" w:rsidRPr="008A7117">
        <w:rPr>
          <w:rFonts w:cs="Arial"/>
          <w:color w:val="222222"/>
          <w:shd w:val="clear" w:color="auto" w:fill="FFFFFF"/>
        </w:rPr>
        <w:t>(2).</w:t>
      </w:r>
    </w:p>
    <w:p w14:paraId="3C02DF08" w14:textId="77777777" w:rsidR="00641ED1" w:rsidRPr="008A7117" w:rsidRDefault="00641ED1" w:rsidP="00F605BA">
      <w:pPr>
        <w:ind w:left="720" w:hanging="720"/>
        <w:rPr>
          <w:rFonts w:cs="Arial"/>
          <w:color w:val="222222"/>
          <w:shd w:val="clear" w:color="auto" w:fill="FFFFFF"/>
        </w:rPr>
      </w:pPr>
      <w:proofErr w:type="spellStart"/>
      <w:r w:rsidRPr="008A7117">
        <w:rPr>
          <w:rFonts w:cs="Arial"/>
          <w:color w:val="222222"/>
          <w:shd w:val="clear" w:color="auto" w:fill="FFFFFF"/>
        </w:rPr>
        <w:t>Temizhan</w:t>
      </w:r>
      <w:proofErr w:type="spellEnd"/>
      <w:r w:rsidRPr="008A7117">
        <w:rPr>
          <w:rFonts w:cs="Arial"/>
          <w:color w:val="222222"/>
          <w:shd w:val="clear" w:color="auto" w:fill="FFFFFF"/>
        </w:rPr>
        <w:t xml:space="preserve">, E., </w:t>
      </w:r>
      <w:proofErr w:type="spellStart"/>
      <w:r w:rsidR="00491D12">
        <w:rPr>
          <w:rFonts w:cs="Arial"/>
          <w:color w:val="222222"/>
          <w:shd w:val="clear" w:color="auto" w:fill="FFFFFF"/>
        </w:rPr>
        <w:t>Mirtagioglu</w:t>
      </w:r>
      <w:proofErr w:type="spellEnd"/>
      <w:r w:rsidR="00491D12">
        <w:rPr>
          <w:rFonts w:cs="Arial"/>
          <w:color w:val="222222"/>
          <w:shd w:val="clear" w:color="auto" w:fill="FFFFFF"/>
        </w:rPr>
        <w:t>, H. and Mendes, M. (</w:t>
      </w:r>
      <w:r w:rsidRPr="008A7117">
        <w:rPr>
          <w:rFonts w:cs="Arial"/>
          <w:color w:val="222222"/>
          <w:shd w:val="clear" w:color="auto" w:fill="FFFFFF"/>
        </w:rPr>
        <w:t>2022</w:t>
      </w:r>
      <w:r w:rsidR="00491D12">
        <w:rPr>
          <w:rFonts w:cs="Arial"/>
          <w:color w:val="222222"/>
          <w:shd w:val="clear" w:color="auto" w:fill="FFFFFF"/>
        </w:rPr>
        <w:t>)</w:t>
      </w:r>
      <w:r w:rsidRPr="008A7117">
        <w:rPr>
          <w:rFonts w:cs="Arial"/>
          <w:color w:val="222222"/>
          <w:shd w:val="clear" w:color="auto" w:fill="FFFFFF"/>
        </w:rPr>
        <w:t>. Which correlation coefficient should be used for investigating relations between quantitative variables. </w:t>
      </w:r>
      <w:r w:rsidRPr="008A7117">
        <w:rPr>
          <w:rFonts w:cs="Arial"/>
          <w:i/>
          <w:iCs/>
          <w:color w:val="222222"/>
          <w:shd w:val="clear" w:color="auto" w:fill="FFFFFF"/>
        </w:rPr>
        <w:t>Acad. Sci. Res. J. Eng. Technol. Sci</w:t>
      </w:r>
      <w:r w:rsidRPr="008A7117">
        <w:rPr>
          <w:rFonts w:cs="Arial"/>
          <w:color w:val="222222"/>
          <w:shd w:val="clear" w:color="auto" w:fill="FFFFFF"/>
        </w:rPr>
        <w:t>, </w:t>
      </w:r>
      <w:r w:rsidRPr="008A7117">
        <w:rPr>
          <w:rFonts w:cs="Arial"/>
          <w:i/>
          <w:iCs/>
          <w:color w:val="222222"/>
          <w:shd w:val="clear" w:color="auto" w:fill="FFFFFF"/>
        </w:rPr>
        <w:t>85</w:t>
      </w:r>
      <w:r w:rsidRPr="008A7117">
        <w:rPr>
          <w:rFonts w:cs="Arial"/>
          <w:color w:val="222222"/>
          <w:shd w:val="clear" w:color="auto" w:fill="FFFFFF"/>
        </w:rPr>
        <w:t>(1), pp.265-277.</w:t>
      </w:r>
    </w:p>
    <w:p w14:paraId="5532F705" w14:textId="77777777" w:rsidR="00641ED1" w:rsidRPr="008A7117" w:rsidRDefault="00641ED1" w:rsidP="00F605BA">
      <w:pPr>
        <w:ind w:left="720" w:hanging="720"/>
        <w:rPr>
          <w:rFonts w:cs="Arial"/>
          <w:color w:val="222222"/>
          <w:shd w:val="clear" w:color="auto" w:fill="FFFFFF"/>
        </w:rPr>
      </w:pPr>
      <w:r w:rsidRPr="008A7117">
        <w:rPr>
          <w:rFonts w:cs="Arial"/>
          <w:color w:val="222222"/>
          <w:shd w:val="clear" w:color="auto" w:fill="FFFFFF"/>
        </w:rPr>
        <w:t>Wu, M.</w:t>
      </w:r>
      <w:r w:rsidR="00491D12">
        <w:rPr>
          <w:rFonts w:cs="Arial"/>
          <w:color w:val="222222"/>
          <w:shd w:val="clear" w:color="auto" w:fill="FFFFFF"/>
        </w:rPr>
        <w:t>J., Zhao, K. and Fils-Aime, F. (</w:t>
      </w:r>
      <w:r w:rsidRPr="008A7117">
        <w:rPr>
          <w:rFonts w:cs="Arial"/>
          <w:color w:val="222222"/>
          <w:shd w:val="clear" w:color="auto" w:fill="FFFFFF"/>
        </w:rPr>
        <w:t>2022</w:t>
      </w:r>
      <w:r w:rsidR="00491D12">
        <w:rPr>
          <w:rFonts w:cs="Arial"/>
          <w:color w:val="222222"/>
          <w:shd w:val="clear" w:color="auto" w:fill="FFFFFF"/>
        </w:rPr>
        <w:t>)</w:t>
      </w:r>
      <w:r w:rsidRPr="008A7117">
        <w:rPr>
          <w:rFonts w:cs="Arial"/>
          <w:color w:val="222222"/>
          <w:shd w:val="clear" w:color="auto" w:fill="FFFFFF"/>
        </w:rPr>
        <w:t>. Response rates of online surveys in published research: A meta-analysis. </w:t>
      </w:r>
      <w:r w:rsidRPr="008A7117">
        <w:rPr>
          <w:rFonts w:cs="Arial"/>
          <w:i/>
          <w:iCs/>
          <w:color w:val="222222"/>
          <w:shd w:val="clear" w:color="auto" w:fill="FFFFFF"/>
        </w:rPr>
        <w:t>Computers in human behavior reports</w:t>
      </w:r>
      <w:r w:rsidRPr="008A7117">
        <w:rPr>
          <w:rFonts w:cs="Arial"/>
          <w:color w:val="222222"/>
          <w:shd w:val="clear" w:color="auto" w:fill="FFFFFF"/>
        </w:rPr>
        <w:t>, </w:t>
      </w:r>
      <w:r w:rsidRPr="008A7117">
        <w:rPr>
          <w:rFonts w:cs="Arial"/>
          <w:i/>
          <w:iCs/>
          <w:color w:val="222222"/>
          <w:shd w:val="clear" w:color="auto" w:fill="FFFFFF"/>
        </w:rPr>
        <w:t>7</w:t>
      </w:r>
      <w:r w:rsidRPr="008A7117">
        <w:rPr>
          <w:rFonts w:cs="Arial"/>
          <w:color w:val="222222"/>
          <w:shd w:val="clear" w:color="auto" w:fill="FFFFFF"/>
        </w:rPr>
        <w:t>, p.100206.</w:t>
      </w:r>
    </w:p>
    <w:p w14:paraId="1F3B4EBD" w14:textId="77777777" w:rsidR="00A81935" w:rsidRPr="008A7117" w:rsidRDefault="00A81935" w:rsidP="00F605BA">
      <w:pPr>
        <w:ind w:left="720" w:hanging="720"/>
        <w:rPr>
          <w:rFonts w:cs="Arial"/>
          <w:color w:val="222222"/>
          <w:shd w:val="clear" w:color="auto" w:fill="FFFFFF"/>
        </w:rPr>
      </w:pPr>
      <w:r w:rsidRPr="008A7117">
        <w:rPr>
          <w:rFonts w:cs="Arial"/>
          <w:color w:val="222222"/>
          <w:shd w:val="clear" w:color="auto" w:fill="FFFFFF"/>
        </w:rPr>
        <w:t>Zhang, N., Wang</w:t>
      </w:r>
      <w:r w:rsidR="00491D12">
        <w:rPr>
          <w:rFonts w:cs="Arial"/>
          <w:color w:val="222222"/>
          <w:shd w:val="clear" w:color="auto" w:fill="FFFFFF"/>
        </w:rPr>
        <w:t>, C., Karahanna, E. and Xu, Y. (</w:t>
      </w:r>
      <w:r w:rsidRPr="008A7117">
        <w:rPr>
          <w:rFonts w:cs="Arial"/>
          <w:color w:val="222222"/>
          <w:shd w:val="clear" w:color="auto" w:fill="FFFFFF"/>
        </w:rPr>
        <w:t>2022</w:t>
      </w:r>
      <w:r w:rsidR="00491D12">
        <w:rPr>
          <w:rFonts w:cs="Arial"/>
          <w:color w:val="222222"/>
          <w:shd w:val="clear" w:color="auto" w:fill="FFFFFF"/>
        </w:rPr>
        <w:t>)</w:t>
      </w:r>
      <w:r w:rsidRPr="008A7117">
        <w:rPr>
          <w:rFonts w:cs="Arial"/>
          <w:color w:val="222222"/>
          <w:shd w:val="clear" w:color="auto" w:fill="FFFFFF"/>
        </w:rPr>
        <w:t>. Peer privacy concern: Conceptualization and measurement. </w:t>
      </w:r>
      <w:r w:rsidRPr="008A7117">
        <w:rPr>
          <w:rFonts w:cs="Arial"/>
          <w:i/>
          <w:iCs/>
          <w:color w:val="222222"/>
          <w:shd w:val="clear" w:color="auto" w:fill="FFFFFF"/>
        </w:rPr>
        <w:t>MIS Quarterly</w:t>
      </w:r>
      <w:r w:rsidRPr="008A7117">
        <w:rPr>
          <w:rFonts w:cs="Arial"/>
          <w:color w:val="222222"/>
          <w:shd w:val="clear" w:color="auto" w:fill="FFFFFF"/>
        </w:rPr>
        <w:t>, </w:t>
      </w:r>
      <w:r w:rsidRPr="008A7117">
        <w:rPr>
          <w:rFonts w:cs="Arial"/>
          <w:i/>
          <w:iCs/>
          <w:color w:val="222222"/>
          <w:shd w:val="clear" w:color="auto" w:fill="FFFFFF"/>
        </w:rPr>
        <w:t>46</w:t>
      </w:r>
      <w:r w:rsidRPr="008A7117">
        <w:rPr>
          <w:rFonts w:cs="Arial"/>
          <w:color w:val="222222"/>
          <w:shd w:val="clear" w:color="auto" w:fill="FFFFFF"/>
        </w:rPr>
        <w:t>(1), pp.491-530.</w:t>
      </w:r>
    </w:p>
    <w:p w14:paraId="41486CEC" w14:textId="77777777" w:rsidR="00003187" w:rsidRPr="008A7117" w:rsidRDefault="00491D12" w:rsidP="00F605BA">
      <w:pPr>
        <w:ind w:left="720" w:hanging="720"/>
        <w:rPr>
          <w:rFonts w:cs="Arial"/>
          <w:color w:val="222222"/>
          <w:shd w:val="clear" w:color="auto" w:fill="FFFFFF"/>
        </w:rPr>
      </w:pPr>
      <w:r>
        <w:rPr>
          <w:rFonts w:cs="Arial"/>
          <w:color w:val="222222"/>
          <w:shd w:val="clear" w:color="auto" w:fill="FFFFFF"/>
        </w:rPr>
        <w:t>Zimba, O. and Gasparyan, A.Y. (</w:t>
      </w:r>
      <w:r w:rsidR="00003187" w:rsidRPr="008A7117">
        <w:rPr>
          <w:rFonts w:cs="Arial"/>
          <w:color w:val="222222"/>
          <w:shd w:val="clear" w:color="auto" w:fill="FFFFFF"/>
        </w:rPr>
        <w:t>2023</w:t>
      </w:r>
      <w:r>
        <w:rPr>
          <w:rFonts w:cs="Arial"/>
          <w:color w:val="222222"/>
          <w:shd w:val="clear" w:color="auto" w:fill="FFFFFF"/>
        </w:rPr>
        <w:t>)</w:t>
      </w:r>
      <w:r w:rsidR="00003187" w:rsidRPr="008A7117">
        <w:rPr>
          <w:rFonts w:cs="Arial"/>
          <w:color w:val="222222"/>
          <w:shd w:val="clear" w:color="auto" w:fill="FFFFFF"/>
        </w:rPr>
        <w:t>. Designing, conducting, and reporting survey studies: a primer for researchers. </w:t>
      </w:r>
      <w:r w:rsidR="00003187" w:rsidRPr="008A7117">
        <w:rPr>
          <w:rFonts w:cs="Arial"/>
          <w:i/>
          <w:iCs/>
          <w:color w:val="222222"/>
          <w:shd w:val="clear" w:color="auto" w:fill="FFFFFF"/>
        </w:rPr>
        <w:t>Journal of Korean medical science</w:t>
      </w:r>
      <w:r w:rsidR="00003187" w:rsidRPr="008A7117">
        <w:rPr>
          <w:rFonts w:cs="Arial"/>
          <w:color w:val="222222"/>
          <w:shd w:val="clear" w:color="auto" w:fill="FFFFFF"/>
        </w:rPr>
        <w:t>, </w:t>
      </w:r>
      <w:r w:rsidR="00003187" w:rsidRPr="008A7117">
        <w:rPr>
          <w:rFonts w:cs="Arial"/>
          <w:i/>
          <w:iCs/>
          <w:color w:val="222222"/>
          <w:shd w:val="clear" w:color="auto" w:fill="FFFFFF"/>
        </w:rPr>
        <w:t>38</w:t>
      </w:r>
      <w:r w:rsidR="00003187" w:rsidRPr="008A7117">
        <w:rPr>
          <w:rFonts w:cs="Arial"/>
          <w:color w:val="222222"/>
          <w:shd w:val="clear" w:color="auto" w:fill="FFFFFF"/>
        </w:rPr>
        <w:t>(48).</w:t>
      </w:r>
    </w:p>
    <w:p w14:paraId="12875F6C" w14:textId="77777777" w:rsidR="008A7117" w:rsidRPr="008A7117" w:rsidRDefault="00491D12" w:rsidP="00F605BA">
      <w:pPr>
        <w:ind w:left="720" w:hanging="720"/>
        <w:rPr>
          <w:rFonts w:cs="Arial"/>
          <w:color w:val="222222"/>
          <w:shd w:val="clear" w:color="auto" w:fill="FFFFFF"/>
        </w:rPr>
      </w:pPr>
      <w:r>
        <w:rPr>
          <w:rFonts w:cs="Arial"/>
          <w:color w:val="222222"/>
          <w:shd w:val="clear" w:color="auto" w:fill="FFFFFF"/>
        </w:rPr>
        <w:t>Zindel, Z. (</w:t>
      </w:r>
      <w:r w:rsidR="008A7117" w:rsidRPr="008A7117">
        <w:rPr>
          <w:rFonts w:cs="Arial"/>
          <w:color w:val="222222"/>
          <w:shd w:val="clear" w:color="auto" w:fill="FFFFFF"/>
        </w:rPr>
        <w:t>2023</w:t>
      </w:r>
      <w:r>
        <w:rPr>
          <w:rFonts w:cs="Arial"/>
          <w:color w:val="222222"/>
          <w:shd w:val="clear" w:color="auto" w:fill="FFFFFF"/>
        </w:rPr>
        <w:t>)</w:t>
      </w:r>
      <w:r w:rsidR="008A7117" w:rsidRPr="008A7117">
        <w:rPr>
          <w:rFonts w:cs="Arial"/>
          <w:color w:val="222222"/>
          <w:shd w:val="clear" w:color="auto" w:fill="FFFFFF"/>
        </w:rPr>
        <w:t>. Social media recruitment in online survey research: A systematic literature review. </w:t>
      </w:r>
      <w:r w:rsidR="008A7117" w:rsidRPr="008A7117">
        <w:rPr>
          <w:rFonts w:cs="Arial"/>
          <w:i/>
          <w:iCs/>
          <w:color w:val="222222"/>
          <w:shd w:val="clear" w:color="auto" w:fill="FFFFFF"/>
        </w:rPr>
        <w:t>methods, data, analyses</w:t>
      </w:r>
      <w:r w:rsidR="008A7117" w:rsidRPr="008A7117">
        <w:rPr>
          <w:rFonts w:cs="Arial"/>
          <w:color w:val="222222"/>
          <w:shd w:val="clear" w:color="auto" w:fill="FFFFFF"/>
        </w:rPr>
        <w:t>, </w:t>
      </w:r>
      <w:r w:rsidR="008A7117" w:rsidRPr="008A7117">
        <w:rPr>
          <w:rFonts w:cs="Arial"/>
          <w:i/>
          <w:iCs/>
          <w:color w:val="222222"/>
          <w:shd w:val="clear" w:color="auto" w:fill="FFFFFF"/>
        </w:rPr>
        <w:t>17</w:t>
      </w:r>
      <w:r w:rsidR="008A7117" w:rsidRPr="008A7117">
        <w:rPr>
          <w:rFonts w:cs="Arial"/>
          <w:color w:val="222222"/>
          <w:shd w:val="clear" w:color="auto" w:fill="FFFFFF"/>
        </w:rPr>
        <w:t>(2), pp.207-248.</w:t>
      </w:r>
    </w:p>
    <w:p w14:paraId="6E6462DC" w14:textId="77777777" w:rsidR="00003187" w:rsidRDefault="00003187" w:rsidP="00E867A3"/>
    <w:p w14:paraId="1C318DB5" w14:textId="77777777" w:rsidR="00CA73A2" w:rsidRDefault="00CA73A2" w:rsidP="00E867A3"/>
    <w:p w14:paraId="34160EEE" w14:textId="77777777" w:rsidR="00CA73A2" w:rsidRDefault="00CA73A2" w:rsidP="00E867A3"/>
    <w:p w14:paraId="4D478073" w14:textId="77777777" w:rsidR="00CA73A2" w:rsidRPr="003C7E95" w:rsidRDefault="00CA73A2" w:rsidP="00E867A3"/>
    <w:p w14:paraId="4B179A43" w14:textId="77777777" w:rsidR="00091A04" w:rsidRDefault="00091A04" w:rsidP="00E867A3">
      <w:pPr>
        <w:spacing w:after="80"/>
        <w:ind w:left="397" w:hanging="397"/>
      </w:pPr>
    </w:p>
    <w:sectPr w:rsidR="00091A04" w:rsidSect="008F71F5">
      <w:footerReference w:type="default" r:id="rId15"/>
      <w:pgSz w:w="12240" w:h="15840"/>
      <w:pgMar w:top="1417" w:right="1417" w:bottom="1417" w:left="141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A75511" w14:textId="77777777" w:rsidR="00B24EBD" w:rsidRDefault="00B24EBD">
      <w:pPr>
        <w:spacing w:after="0" w:line="240" w:lineRule="auto"/>
      </w:pPr>
      <w:r>
        <w:separator/>
      </w:r>
    </w:p>
  </w:endnote>
  <w:endnote w:type="continuationSeparator" w:id="0">
    <w:p w14:paraId="149A8954" w14:textId="77777777" w:rsidR="00B24EBD" w:rsidRDefault="00B24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Geist Fallback">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F482EE" w14:textId="77777777" w:rsidR="00515AC6" w:rsidRDefault="00515AC6">
    <w:pPr>
      <w:pStyle w:val="Footer"/>
      <w:jc w:val="center"/>
    </w:pPr>
    <w:r>
      <w:rPr>
        <w:sz w:val="20"/>
      </w:rPr>
      <w:fldChar w:fldCharType="begin"/>
    </w:r>
    <w:r>
      <w:rPr>
        <w:rFonts w:ascii="Times New Roman" w:hAnsi="Times New Roman"/>
        <w:sz w:val="20"/>
      </w:rPr>
      <w:instrText>PAGE</w:instrText>
    </w:r>
    <w:r>
      <w:rPr>
        <w:sz w:val="20"/>
      </w:rPr>
      <w:fldChar w:fldCharType="separate"/>
    </w:r>
    <w:r w:rsidR="00F605BA">
      <w:rPr>
        <w:rFonts w:ascii="Times New Roman" w:hAnsi="Times New Roman"/>
        <w:noProof/>
        <w:sz w:val="20"/>
      </w:rPr>
      <w:t>23</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312BF" w14:textId="77777777" w:rsidR="00B24EBD" w:rsidRDefault="00B24EBD">
      <w:pPr>
        <w:spacing w:after="0" w:line="240" w:lineRule="auto"/>
      </w:pPr>
      <w:r>
        <w:separator/>
      </w:r>
    </w:p>
  </w:footnote>
  <w:footnote w:type="continuationSeparator" w:id="0">
    <w:p w14:paraId="3AD03B8E" w14:textId="77777777" w:rsidR="00B24EBD" w:rsidRDefault="00B24E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482775B"/>
    <w:multiLevelType w:val="multilevel"/>
    <w:tmpl w:val="5AE8E75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5EAD6E89"/>
    <w:multiLevelType w:val="hybridMultilevel"/>
    <w:tmpl w:val="9994573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0D93E94"/>
    <w:multiLevelType w:val="hybridMultilevel"/>
    <w:tmpl w:val="D226B4D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76665995">
    <w:abstractNumId w:val="8"/>
  </w:num>
  <w:num w:numId="2" w16cid:durableId="1420709193">
    <w:abstractNumId w:val="6"/>
  </w:num>
  <w:num w:numId="3" w16cid:durableId="1028482309">
    <w:abstractNumId w:val="5"/>
  </w:num>
  <w:num w:numId="4" w16cid:durableId="1826361996">
    <w:abstractNumId w:val="4"/>
  </w:num>
  <w:num w:numId="5" w16cid:durableId="181283248">
    <w:abstractNumId w:val="7"/>
  </w:num>
  <w:num w:numId="6" w16cid:durableId="2025934031">
    <w:abstractNumId w:val="3"/>
  </w:num>
  <w:num w:numId="7" w16cid:durableId="53283660">
    <w:abstractNumId w:val="2"/>
  </w:num>
  <w:num w:numId="8" w16cid:durableId="62220364">
    <w:abstractNumId w:val="1"/>
  </w:num>
  <w:num w:numId="9" w16cid:durableId="524707474">
    <w:abstractNumId w:val="0"/>
  </w:num>
  <w:num w:numId="10" w16cid:durableId="667101510">
    <w:abstractNumId w:val="9"/>
  </w:num>
  <w:num w:numId="11" w16cid:durableId="322396047">
    <w:abstractNumId w:val="9"/>
  </w:num>
  <w:num w:numId="12" w16cid:durableId="501091148">
    <w:abstractNumId w:val="9"/>
  </w:num>
  <w:num w:numId="13" w16cid:durableId="1586911591">
    <w:abstractNumId w:val="9"/>
  </w:num>
  <w:num w:numId="14" w16cid:durableId="664475026">
    <w:abstractNumId w:val="9"/>
  </w:num>
  <w:num w:numId="15" w16cid:durableId="367872711">
    <w:abstractNumId w:val="9"/>
  </w:num>
  <w:num w:numId="16" w16cid:durableId="504593441">
    <w:abstractNumId w:val="9"/>
  </w:num>
  <w:num w:numId="17" w16cid:durableId="1156142595">
    <w:abstractNumId w:val="9"/>
  </w:num>
  <w:num w:numId="18" w16cid:durableId="770128783">
    <w:abstractNumId w:val="9"/>
  </w:num>
  <w:num w:numId="19" w16cid:durableId="1159926360">
    <w:abstractNumId w:val="9"/>
  </w:num>
  <w:num w:numId="20" w16cid:durableId="1914074096">
    <w:abstractNumId w:val="11"/>
  </w:num>
  <w:num w:numId="21" w16cid:durableId="176688316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03187"/>
    <w:rsid w:val="00034616"/>
    <w:rsid w:val="0006063C"/>
    <w:rsid w:val="00091A04"/>
    <w:rsid w:val="000B726E"/>
    <w:rsid w:val="000E630C"/>
    <w:rsid w:val="000E7F7D"/>
    <w:rsid w:val="001172F4"/>
    <w:rsid w:val="00142F6C"/>
    <w:rsid w:val="0015074B"/>
    <w:rsid w:val="00223996"/>
    <w:rsid w:val="00226B3E"/>
    <w:rsid w:val="00280C47"/>
    <w:rsid w:val="0029639D"/>
    <w:rsid w:val="002C2590"/>
    <w:rsid w:val="0031308F"/>
    <w:rsid w:val="00326F90"/>
    <w:rsid w:val="00396E9F"/>
    <w:rsid w:val="003C7E95"/>
    <w:rsid w:val="003E3E8D"/>
    <w:rsid w:val="0041181A"/>
    <w:rsid w:val="00426375"/>
    <w:rsid w:val="00441A07"/>
    <w:rsid w:val="00491D12"/>
    <w:rsid w:val="00515AC6"/>
    <w:rsid w:val="005B324A"/>
    <w:rsid w:val="00636F8E"/>
    <w:rsid w:val="00641ED1"/>
    <w:rsid w:val="00650F12"/>
    <w:rsid w:val="006E54AC"/>
    <w:rsid w:val="00727E07"/>
    <w:rsid w:val="007524E8"/>
    <w:rsid w:val="00767F5E"/>
    <w:rsid w:val="00774E96"/>
    <w:rsid w:val="007765E4"/>
    <w:rsid w:val="007B3BD6"/>
    <w:rsid w:val="008523BE"/>
    <w:rsid w:val="008A7117"/>
    <w:rsid w:val="008D4FCD"/>
    <w:rsid w:val="008F71F5"/>
    <w:rsid w:val="0094519A"/>
    <w:rsid w:val="009F0174"/>
    <w:rsid w:val="00A07236"/>
    <w:rsid w:val="00A62FE9"/>
    <w:rsid w:val="00A81935"/>
    <w:rsid w:val="00AA1D8D"/>
    <w:rsid w:val="00AA7418"/>
    <w:rsid w:val="00B24EBD"/>
    <w:rsid w:val="00B47730"/>
    <w:rsid w:val="00B6749C"/>
    <w:rsid w:val="00B825C7"/>
    <w:rsid w:val="00B97D49"/>
    <w:rsid w:val="00BA68B3"/>
    <w:rsid w:val="00BE0C08"/>
    <w:rsid w:val="00C8644B"/>
    <w:rsid w:val="00CA73A2"/>
    <w:rsid w:val="00CB0664"/>
    <w:rsid w:val="00CD72DE"/>
    <w:rsid w:val="00D0170A"/>
    <w:rsid w:val="00D16345"/>
    <w:rsid w:val="00D74C1E"/>
    <w:rsid w:val="00DE7138"/>
    <w:rsid w:val="00E273C1"/>
    <w:rsid w:val="00E867A3"/>
    <w:rsid w:val="00EE47B3"/>
    <w:rsid w:val="00F05285"/>
    <w:rsid w:val="00F56E2D"/>
    <w:rsid w:val="00F605BA"/>
    <w:rsid w:val="00F76CAD"/>
    <w:rsid w:val="00F812D9"/>
    <w:rsid w:val="00FC1A5C"/>
    <w:rsid w:val="00FC693F"/>
    <w:rsid w:val="00FD1473"/>
    <w:rsid w:val="00FF249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44CA930"/>
  <w14:defaultImageDpi w14:val="300"/>
  <w15:docId w15:val="{DC082AA8-5F7F-4A56-A627-5841C47C0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3E8D"/>
    <w:pPr>
      <w:spacing w:line="360" w:lineRule="auto"/>
      <w:jc w:val="both"/>
    </w:pPr>
    <w:rPr>
      <w:rFonts w:ascii="Arial" w:hAnsi="Arial"/>
    </w:rPr>
  </w:style>
  <w:style w:type="paragraph" w:styleId="Heading1">
    <w:name w:val="heading 1"/>
    <w:basedOn w:val="Normal"/>
    <w:next w:val="Normal"/>
    <w:link w:val="Heading1Char"/>
    <w:uiPriority w:val="9"/>
    <w:qFormat/>
    <w:rsid w:val="00226B3E"/>
    <w:pPr>
      <w:keepNext/>
      <w:keepLines/>
      <w:numPr>
        <w:numId w:val="19"/>
      </w:numPr>
      <w:pBdr>
        <w:bottom w:val="single" w:sz="4" w:space="1" w:color="595959" w:themeColor="text1" w:themeTint="A6"/>
      </w:pBdr>
      <w:spacing w:before="360"/>
      <w:outlineLvl w:val="0"/>
    </w:pPr>
    <w:rPr>
      <w:rFonts w:eastAsiaTheme="majorEastAsia" w:cstheme="majorBidi"/>
      <w:b/>
      <w:bCs/>
      <w:smallCaps/>
      <w:color w:val="000000" w:themeColor="text1"/>
      <w:sz w:val="32"/>
      <w:szCs w:val="36"/>
    </w:rPr>
  </w:style>
  <w:style w:type="paragraph" w:styleId="Heading2">
    <w:name w:val="heading 2"/>
    <w:basedOn w:val="Normal"/>
    <w:next w:val="Normal"/>
    <w:link w:val="Heading2Char"/>
    <w:uiPriority w:val="9"/>
    <w:unhideWhenUsed/>
    <w:qFormat/>
    <w:rsid w:val="003E3E8D"/>
    <w:pPr>
      <w:keepNext/>
      <w:keepLines/>
      <w:numPr>
        <w:ilvl w:val="1"/>
        <w:numId w:val="19"/>
      </w:numPr>
      <w:spacing w:before="360" w:after="0"/>
      <w:outlineLvl w:val="1"/>
    </w:pPr>
    <w:rPr>
      <w:rFonts w:eastAsiaTheme="majorEastAsia"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E867A3"/>
    <w:pPr>
      <w:keepNext/>
      <w:keepLines/>
      <w:numPr>
        <w:ilvl w:val="2"/>
        <w:numId w:val="19"/>
      </w:numPr>
      <w:spacing w:before="200" w:after="0"/>
      <w:outlineLvl w:val="2"/>
    </w:pPr>
    <w:rPr>
      <w:rFonts w:eastAsiaTheme="majorEastAsia" w:cstheme="majorBidi"/>
      <w:b/>
      <w:bCs/>
      <w:color w:val="000000" w:themeColor="text1"/>
      <w:sz w:val="24"/>
    </w:rPr>
  </w:style>
  <w:style w:type="paragraph" w:styleId="Heading4">
    <w:name w:val="heading 4"/>
    <w:basedOn w:val="Normal"/>
    <w:next w:val="Normal"/>
    <w:link w:val="Heading4Char"/>
    <w:uiPriority w:val="9"/>
    <w:semiHidden/>
    <w:unhideWhenUsed/>
    <w:qFormat/>
    <w:rsid w:val="00226B3E"/>
    <w:pPr>
      <w:keepNext/>
      <w:keepLines/>
      <w:numPr>
        <w:ilvl w:val="3"/>
        <w:numId w:val="19"/>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26B3E"/>
    <w:pPr>
      <w:keepNext/>
      <w:keepLines/>
      <w:numPr>
        <w:ilvl w:val="4"/>
        <w:numId w:val="19"/>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226B3E"/>
    <w:pPr>
      <w:keepNext/>
      <w:keepLines/>
      <w:numPr>
        <w:ilvl w:val="5"/>
        <w:numId w:val="19"/>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226B3E"/>
    <w:pPr>
      <w:keepNext/>
      <w:keepLines/>
      <w:numPr>
        <w:ilvl w:val="6"/>
        <w:numId w:val="19"/>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26B3E"/>
    <w:pPr>
      <w:keepNext/>
      <w:keepLines/>
      <w:numPr>
        <w:ilvl w:val="7"/>
        <w:numId w:val="19"/>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26B3E"/>
    <w:pPr>
      <w:keepNext/>
      <w:keepLines/>
      <w:numPr>
        <w:ilvl w:val="8"/>
        <w:numId w:val="19"/>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226B3E"/>
    <w:pPr>
      <w:spacing w:after="0" w:line="240" w:lineRule="auto"/>
    </w:pPr>
  </w:style>
  <w:style w:type="character" w:customStyle="1" w:styleId="Heading1Char">
    <w:name w:val="Heading 1 Char"/>
    <w:basedOn w:val="DefaultParagraphFont"/>
    <w:link w:val="Heading1"/>
    <w:uiPriority w:val="9"/>
    <w:rsid w:val="00226B3E"/>
    <w:rPr>
      <w:rFonts w:ascii="Arial" w:eastAsiaTheme="majorEastAsia" w:hAnsi="Arial" w:cstheme="majorBidi"/>
      <w:b/>
      <w:bCs/>
      <w:smallCaps/>
      <w:color w:val="000000" w:themeColor="text1"/>
      <w:sz w:val="32"/>
      <w:szCs w:val="36"/>
    </w:rPr>
  </w:style>
  <w:style w:type="character" w:customStyle="1" w:styleId="Heading2Char">
    <w:name w:val="Heading 2 Char"/>
    <w:basedOn w:val="DefaultParagraphFont"/>
    <w:link w:val="Heading2"/>
    <w:uiPriority w:val="9"/>
    <w:rsid w:val="003E3E8D"/>
    <w:rPr>
      <w:rFonts w:ascii="Arial" w:eastAsiaTheme="majorEastAsia" w:hAnsi="Arial" w:cstheme="majorBidi"/>
      <w:b/>
      <w:bCs/>
      <w:smallCaps/>
      <w:color w:val="000000" w:themeColor="text1"/>
      <w:sz w:val="28"/>
      <w:szCs w:val="28"/>
    </w:rPr>
  </w:style>
  <w:style w:type="character" w:customStyle="1" w:styleId="Heading3Char">
    <w:name w:val="Heading 3 Char"/>
    <w:basedOn w:val="DefaultParagraphFont"/>
    <w:link w:val="Heading3"/>
    <w:uiPriority w:val="9"/>
    <w:rsid w:val="00E867A3"/>
    <w:rPr>
      <w:rFonts w:ascii="Arial" w:eastAsiaTheme="majorEastAsia" w:hAnsi="Arial" w:cstheme="majorBidi"/>
      <w:b/>
      <w:bCs/>
      <w:color w:val="000000" w:themeColor="text1"/>
      <w:sz w:val="24"/>
    </w:rPr>
  </w:style>
  <w:style w:type="paragraph" w:styleId="Title">
    <w:name w:val="Title"/>
    <w:basedOn w:val="Normal"/>
    <w:next w:val="Normal"/>
    <w:link w:val="TitleChar"/>
    <w:uiPriority w:val="10"/>
    <w:qFormat/>
    <w:rsid w:val="00226B3E"/>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226B3E"/>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226B3E"/>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226B3E"/>
    <w:rPr>
      <w:color w:val="5A5A5A" w:themeColor="text1" w:themeTint="A5"/>
      <w:spacing w:val="10"/>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226B3E"/>
    <w:pPr>
      <w:spacing w:before="160"/>
      <w:ind w:left="720" w:right="720"/>
    </w:pPr>
    <w:rPr>
      <w:i/>
      <w:iCs/>
      <w:color w:val="000000" w:themeColor="text1"/>
    </w:rPr>
  </w:style>
  <w:style w:type="character" w:customStyle="1" w:styleId="QuoteChar">
    <w:name w:val="Quote Char"/>
    <w:basedOn w:val="DefaultParagraphFont"/>
    <w:link w:val="Quote"/>
    <w:uiPriority w:val="29"/>
    <w:rsid w:val="00226B3E"/>
    <w:rPr>
      <w:i/>
      <w:iCs/>
      <w:color w:val="000000" w:themeColor="text1"/>
    </w:rPr>
  </w:style>
  <w:style w:type="character" w:customStyle="1" w:styleId="Heading4Char">
    <w:name w:val="Heading 4 Char"/>
    <w:basedOn w:val="DefaultParagraphFont"/>
    <w:link w:val="Heading4"/>
    <w:uiPriority w:val="9"/>
    <w:semiHidden/>
    <w:rsid w:val="00226B3E"/>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226B3E"/>
    <w:rPr>
      <w:rFonts w:asciiTheme="majorHAnsi" w:eastAsiaTheme="majorEastAsia" w:hAnsiTheme="majorHAnsi" w:cstheme="majorBidi"/>
      <w:color w:val="17365D" w:themeColor="text2" w:themeShade="BF"/>
    </w:rPr>
  </w:style>
  <w:style w:type="character" w:customStyle="1" w:styleId="Heading6Char">
    <w:name w:val="Heading 6 Char"/>
    <w:basedOn w:val="DefaultParagraphFont"/>
    <w:link w:val="Heading6"/>
    <w:uiPriority w:val="9"/>
    <w:semiHidden/>
    <w:rsid w:val="00226B3E"/>
    <w:rPr>
      <w:rFonts w:asciiTheme="majorHAnsi" w:eastAsiaTheme="majorEastAsia" w:hAnsiTheme="majorHAnsi" w:cstheme="majorBidi"/>
      <w:i/>
      <w:iCs/>
      <w:color w:val="17365D" w:themeColor="text2" w:themeShade="BF"/>
    </w:rPr>
  </w:style>
  <w:style w:type="character" w:customStyle="1" w:styleId="Heading7Char">
    <w:name w:val="Heading 7 Char"/>
    <w:basedOn w:val="DefaultParagraphFont"/>
    <w:link w:val="Heading7"/>
    <w:uiPriority w:val="9"/>
    <w:semiHidden/>
    <w:rsid w:val="00226B3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26B3E"/>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26B3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226B3E"/>
    <w:pPr>
      <w:spacing w:after="200" w:line="240" w:lineRule="auto"/>
    </w:pPr>
    <w:rPr>
      <w:i/>
      <w:iCs/>
      <w:color w:val="1F497D" w:themeColor="text2"/>
      <w:sz w:val="18"/>
      <w:szCs w:val="18"/>
    </w:rPr>
  </w:style>
  <w:style w:type="character" w:styleId="Strong">
    <w:name w:val="Strong"/>
    <w:basedOn w:val="DefaultParagraphFont"/>
    <w:uiPriority w:val="22"/>
    <w:qFormat/>
    <w:rsid w:val="00226B3E"/>
    <w:rPr>
      <w:b/>
      <w:bCs/>
      <w:color w:val="000000" w:themeColor="text1"/>
    </w:rPr>
  </w:style>
  <w:style w:type="character" w:styleId="Emphasis">
    <w:name w:val="Emphasis"/>
    <w:basedOn w:val="DefaultParagraphFont"/>
    <w:uiPriority w:val="20"/>
    <w:qFormat/>
    <w:rsid w:val="00226B3E"/>
    <w:rPr>
      <w:i/>
      <w:iCs/>
      <w:color w:val="auto"/>
    </w:rPr>
  </w:style>
  <w:style w:type="paragraph" w:styleId="IntenseQuote">
    <w:name w:val="Intense Quote"/>
    <w:basedOn w:val="Normal"/>
    <w:next w:val="Normal"/>
    <w:link w:val="IntenseQuoteChar"/>
    <w:uiPriority w:val="30"/>
    <w:qFormat/>
    <w:rsid w:val="00226B3E"/>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26B3E"/>
    <w:rPr>
      <w:color w:val="000000" w:themeColor="text1"/>
      <w:shd w:val="clear" w:color="auto" w:fill="F2F2F2" w:themeFill="background1" w:themeFillShade="F2"/>
    </w:rPr>
  </w:style>
  <w:style w:type="character" w:styleId="SubtleEmphasis">
    <w:name w:val="Subtle Emphasis"/>
    <w:basedOn w:val="DefaultParagraphFont"/>
    <w:uiPriority w:val="19"/>
    <w:qFormat/>
    <w:rsid w:val="00226B3E"/>
    <w:rPr>
      <w:i/>
      <w:iCs/>
      <w:color w:val="404040" w:themeColor="text1" w:themeTint="BF"/>
    </w:rPr>
  </w:style>
  <w:style w:type="character" w:styleId="IntenseEmphasis">
    <w:name w:val="Intense Emphasis"/>
    <w:basedOn w:val="DefaultParagraphFont"/>
    <w:uiPriority w:val="21"/>
    <w:qFormat/>
    <w:rsid w:val="00226B3E"/>
    <w:rPr>
      <w:b/>
      <w:bCs/>
      <w:i/>
      <w:iCs/>
      <w:caps/>
    </w:rPr>
  </w:style>
  <w:style w:type="character" w:styleId="SubtleReference">
    <w:name w:val="Subtle Reference"/>
    <w:basedOn w:val="DefaultParagraphFont"/>
    <w:uiPriority w:val="31"/>
    <w:qFormat/>
    <w:rsid w:val="00226B3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26B3E"/>
    <w:rPr>
      <w:b/>
      <w:bCs/>
      <w:smallCaps/>
      <w:u w:val="single"/>
    </w:rPr>
  </w:style>
  <w:style w:type="character" w:styleId="BookTitle">
    <w:name w:val="Book Title"/>
    <w:basedOn w:val="DefaultParagraphFont"/>
    <w:uiPriority w:val="33"/>
    <w:qFormat/>
    <w:rsid w:val="00226B3E"/>
    <w:rPr>
      <w:b w:val="0"/>
      <w:bCs w:val="0"/>
      <w:smallCaps/>
      <w:spacing w:val="5"/>
    </w:rPr>
  </w:style>
  <w:style w:type="paragraph" w:styleId="TOCHeading">
    <w:name w:val="TOC Heading"/>
    <w:basedOn w:val="Heading1"/>
    <w:next w:val="Normal"/>
    <w:uiPriority w:val="39"/>
    <w:unhideWhenUsed/>
    <w:qFormat/>
    <w:rsid w:val="00226B3E"/>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226B3E"/>
    <w:rPr>
      <w:color w:val="0000FF"/>
      <w:u w:val="single"/>
    </w:rPr>
  </w:style>
  <w:style w:type="paragraph" w:customStyle="1" w:styleId="isselectedend">
    <w:name w:val="isselectedend"/>
    <w:basedOn w:val="Normal"/>
    <w:rsid w:val="00F76CAD"/>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F76CA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ursor-pointer">
    <w:name w:val="cursor-pointer"/>
    <w:basedOn w:val="DefaultParagraphFont"/>
    <w:rsid w:val="00B97D49"/>
  </w:style>
  <w:style w:type="paragraph" w:styleId="TOC1">
    <w:name w:val="toc 1"/>
    <w:basedOn w:val="Normal"/>
    <w:next w:val="Normal"/>
    <w:autoRedefine/>
    <w:uiPriority w:val="39"/>
    <w:unhideWhenUsed/>
    <w:rsid w:val="00E867A3"/>
    <w:pPr>
      <w:spacing w:after="100"/>
    </w:pPr>
  </w:style>
  <w:style w:type="paragraph" w:styleId="TOC2">
    <w:name w:val="toc 2"/>
    <w:basedOn w:val="Normal"/>
    <w:next w:val="Normal"/>
    <w:autoRedefine/>
    <w:uiPriority w:val="39"/>
    <w:unhideWhenUsed/>
    <w:rsid w:val="00E867A3"/>
    <w:pPr>
      <w:spacing w:after="100"/>
      <w:ind w:left="220"/>
    </w:pPr>
  </w:style>
  <w:style w:type="character" w:customStyle="1" w:styleId="NoSpacingChar">
    <w:name w:val="No Spacing Char"/>
    <w:basedOn w:val="DefaultParagraphFont"/>
    <w:link w:val="NoSpacing"/>
    <w:uiPriority w:val="1"/>
    <w:locked/>
    <w:rsid w:val="00DE7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4246058">
      <w:bodyDiv w:val="1"/>
      <w:marLeft w:val="0"/>
      <w:marRight w:val="0"/>
      <w:marTop w:val="0"/>
      <w:marBottom w:val="0"/>
      <w:divBdr>
        <w:top w:val="none" w:sz="0" w:space="0" w:color="auto"/>
        <w:left w:val="none" w:sz="0" w:space="0" w:color="auto"/>
        <w:bottom w:val="none" w:sz="0" w:space="0" w:color="auto"/>
        <w:right w:val="none" w:sz="0" w:space="0" w:color="auto"/>
      </w:divBdr>
    </w:div>
    <w:div w:id="1991208643">
      <w:bodyDiv w:val="1"/>
      <w:marLeft w:val="0"/>
      <w:marRight w:val="0"/>
      <w:marTop w:val="0"/>
      <w:marBottom w:val="0"/>
      <w:divBdr>
        <w:top w:val="none" w:sz="0" w:space="0" w:color="auto"/>
        <w:left w:val="none" w:sz="0" w:space="0" w:color="auto"/>
        <w:bottom w:val="none" w:sz="0" w:space="0" w:color="auto"/>
        <w:right w:val="none" w:sz="0" w:space="0" w:color="auto"/>
      </w:divBdr>
    </w:div>
    <w:div w:id="210908217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ca.org.uk/news/blogs/tech-trust-and-teamwork?utm_source=chatgpt.com"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fca.org.uk/publication/financial-lives/financial-lives-survey-2024-key-findings.pdf?utm_source=chatgpt.com"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statistics/cyber-security-breaches-survey-20252026/cyber-security-breaches-survey-20252026?utm_source=chatgpt.com"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openbanking.org.uk/insights/open-banking-in-2025-now-part-of-the-uks-everyday-financial-life/?utm_source=chatgpt.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0922FB457354397B50F0F1D4DFD7A84"/>
        <w:category>
          <w:name w:val="General"/>
          <w:gallery w:val="placeholder"/>
        </w:category>
        <w:types>
          <w:type w:val="bbPlcHdr"/>
        </w:types>
        <w:behaviors>
          <w:behavior w:val="content"/>
        </w:behaviors>
        <w:guid w:val="{27B75A4F-C107-43A9-AAF3-A588E55723E2}"/>
      </w:docPartPr>
      <w:docPartBody>
        <w:p w:rsidR="00000000" w:rsidRDefault="00DC5749" w:rsidP="00DC5749">
          <w:pPr>
            <w:pStyle w:val="40922FB457354397B50F0F1D4DFD7A84"/>
          </w:pPr>
          <w:r>
            <w:rPr>
              <w:rFonts w:asciiTheme="majorHAnsi" w:eastAsiaTheme="majorEastAsia" w:hAnsiTheme="majorHAnsi" w:cstheme="majorBidi"/>
              <w:caps/>
              <w:color w:val="156082" w:themeColor="accent1"/>
              <w:sz w:val="80"/>
              <w:szCs w:val="80"/>
            </w:rPr>
            <w:t>[Document title]</w:t>
          </w:r>
        </w:p>
      </w:docPartBody>
    </w:docPart>
    <w:docPart>
      <w:docPartPr>
        <w:name w:val="CE722F762F6B46C18301DE3FD56B3191"/>
        <w:category>
          <w:name w:val="General"/>
          <w:gallery w:val="placeholder"/>
        </w:category>
        <w:types>
          <w:type w:val="bbPlcHdr"/>
        </w:types>
        <w:behaviors>
          <w:behavior w:val="content"/>
        </w:behaviors>
        <w:guid w:val="{5C717B84-3A88-46BC-B6AF-362FAD9F3EE6}"/>
      </w:docPartPr>
      <w:docPartBody>
        <w:p w:rsidR="00000000" w:rsidRDefault="00DC5749" w:rsidP="00DC5749">
          <w:pPr>
            <w:pStyle w:val="CE722F762F6B46C18301DE3FD56B319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Geist Fallback">
    <w:altName w:val="Times New Roman"/>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749"/>
    <w:rsid w:val="00666DBA"/>
    <w:rsid w:val="00774E96"/>
    <w:rsid w:val="00DC5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922FB457354397B50F0F1D4DFD7A84">
    <w:name w:val="40922FB457354397B50F0F1D4DFD7A84"/>
    <w:rsid w:val="00DC5749"/>
  </w:style>
  <w:style w:type="paragraph" w:customStyle="1" w:styleId="CE722F762F6B46C18301DE3FD56B3191">
    <w:name w:val="CE722F762F6B46C18301DE3FD56B3191"/>
    <w:rsid w:val="00DC57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B84344-9EF1-4F5E-8A69-02BA6398C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7254</Words>
  <Characters>41348</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The Influence of Data Privacy Concerns on Customer Loyalty towards FinTech Companies in the United Kingdom</vt:lpstr>
    </vt:vector>
  </TitlesOfParts>
  <Manager/>
  <Company>UNIVERSITY OF WALES TRINITY SAINT DAVID</Company>
  <LinksUpToDate>false</LinksUpToDate>
  <CharactersWithSpaces>48505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Influence of Data Privacy Concerns on Customer Loyalty towards FinTech Companies in the United Kingdom</dc:title>
  <dc:subject>Business Research  BMMB7028                                                                                              Mohd Ravish - 2523743</dc:subject>
  <dc:creator>Student</dc:creator>
  <cp:keywords>FinTech, data privacy, customer loyalty, trust, United Kingdom</cp:keywords>
  <dc:description>generated by python-docx</dc:description>
  <cp:lastModifiedBy>Mohd Ravish</cp:lastModifiedBy>
  <cp:revision>2</cp:revision>
  <dcterms:created xsi:type="dcterms:W3CDTF">2026-07-13T17:20:00Z</dcterms:created>
  <dcterms:modified xsi:type="dcterms:W3CDTF">2026-07-13T17:20:00Z</dcterms:modified>
  <cp:category/>
</cp:coreProperties>
</file>