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95C30" w14:textId="77777777" w:rsidR="00C11F0E" w:rsidRDefault="00C11F0E" w:rsidP="001A6776">
      <w:pPr>
        <w:spacing w:after="0"/>
        <w:jc w:val="both"/>
        <w:rPr>
          <w:rFonts w:ascii="Arial" w:hAnsi="Arial" w:cs="Arial"/>
          <w:b/>
          <w:bCs/>
          <w:sz w:val="22"/>
          <w:szCs w:val="22"/>
        </w:rPr>
      </w:pPr>
    </w:p>
    <w:p w14:paraId="66529073" w14:textId="77777777" w:rsidR="00C11F0E" w:rsidRDefault="00C11F0E" w:rsidP="001A6776">
      <w:pPr>
        <w:spacing w:after="0"/>
        <w:jc w:val="both"/>
        <w:rPr>
          <w:rFonts w:ascii="Arial" w:hAnsi="Arial" w:cs="Arial"/>
          <w:b/>
          <w:bCs/>
          <w:sz w:val="22"/>
          <w:szCs w:val="22"/>
        </w:rPr>
      </w:pPr>
      <w:r w:rsidRPr="00EC19AE">
        <w:rPr>
          <w:rFonts w:ascii="Arial" w:hAnsi="Arial" w:cs="Arial"/>
          <w:noProof/>
          <w:color w:val="000000" w:themeColor="text1"/>
        </w:rPr>
        <w:drawing>
          <wp:inline distT="0" distB="0" distL="85723" distR="85723" wp14:anchorId="4927351F" wp14:editId="344396CF">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087C8504" w14:textId="77777777" w:rsidR="00C11F0E" w:rsidRDefault="00C11F0E" w:rsidP="001A6776">
      <w:pPr>
        <w:spacing w:after="0"/>
        <w:jc w:val="both"/>
        <w:rPr>
          <w:rFonts w:ascii="Arial" w:hAnsi="Arial" w:cs="Arial"/>
          <w:b/>
          <w:bCs/>
          <w:sz w:val="22"/>
          <w:szCs w:val="22"/>
        </w:rPr>
      </w:pPr>
    </w:p>
    <w:p w14:paraId="2C0799E2" w14:textId="77777777" w:rsidR="00C11F0E" w:rsidRDefault="00C11F0E" w:rsidP="001A6776">
      <w:pPr>
        <w:spacing w:after="0"/>
        <w:jc w:val="both"/>
        <w:rPr>
          <w:rFonts w:ascii="Arial" w:hAnsi="Arial" w:cs="Arial"/>
          <w:b/>
          <w:bCs/>
          <w:sz w:val="22"/>
          <w:szCs w:val="22"/>
        </w:rPr>
      </w:pPr>
    </w:p>
    <w:p w14:paraId="1DE0E2B3" w14:textId="77777777" w:rsidR="004465D5" w:rsidRDefault="004465D5" w:rsidP="001A6776">
      <w:pPr>
        <w:spacing w:after="0"/>
        <w:rPr>
          <w:rFonts w:ascii="Arial" w:hAnsi="Arial" w:cs="Arial"/>
          <w:b/>
          <w:bCs/>
          <w:sz w:val="22"/>
          <w:szCs w:val="22"/>
        </w:rPr>
      </w:pPr>
    </w:p>
    <w:p w14:paraId="223B6E06" w14:textId="77777777" w:rsidR="00C11F0E" w:rsidRDefault="00C11F0E" w:rsidP="001A6776">
      <w:pPr>
        <w:spacing w:after="0"/>
        <w:jc w:val="both"/>
        <w:rPr>
          <w:rFonts w:ascii="Arial" w:hAnsi="Arial" w:cs="Arial"/>
          <w:b/>
          <w:bCs/>
          <w:sz w:val="22"/>
          <w:szCs w:val="22"/>
        </w:rPr>
      </w:pPr>
    </w:p>
    <w:p w14:paraId="5CF8A037" w14:textId="77777777" w:rsidR="00C11F0E" w:rsidRDefault="00C11F0E" w:rsidP="001A6776">
      <w:pPr>
        <w:spacing w:after="0"/>
        <w:jc w:val="both"/>
        <w:rPr>
          <w:rFonts w:ascii="Arial" w:hAnsi="Arial" w:cs="Arial"/>
          <w:b/>
          <w:bCs/>
          <w:sz w:val="22"/>
          <w:szCs w:val="22"/>
        </w:rPr>
      </w:pPr>
    </w:p>
    <w:p w14:paraId="0787B82F" w14:textId="77777777" w:rsidR="001A6776" w:rsidRDefault="001A6776" w:rsidP="001A6776">
      <w:pPr>
        <w:spacing w:after="0"/>
        <w:jc w:val="both"/>
        <w:rPr>
          <w:rFonts w:ascii="Arial" w:hAnsi="Arial" w:cs="Arial"/>
          <w:b/>
          <w:bCs/>
          <w:sz w:val="22"/>
          <w:szCs w:val="22"/>
        </w:rPr>
      </w:pPr>
    </w:p>
    <w:p w14:paraId="41A4CB05" w14:textId="77777777" w:rsidR="001A6776" w:rsidRDefault="001A6776" w:rsidP="001A6776">
      <w:pPr>
        <w:spacing w:after="0"/>
        <w:jc w:val="both"/>
        <w:rPr>
          <w:rFonts w:ascii="Arial" w:hAnsi="Arial" w:cs="Arial"/>
          <w:b/>
          <w:bCs/>
          <w:sz w:val="22"/>
          <w:szCs w:val="22"/>
        </w:rPr>
      </w:pPr>
    </w:p>
    <w:p w14:paraId="260BEE80" w14:textId="40E49756" w:rsidR="00B80BE1" w:rsidRDefault="000467C5" w:rsidP="001A6776">
      <w:pPr>
        <w:spacing w:after="0" w:line="360" w:lineRule="auto"/>
        <w:jc w:val="center"/>
        <w:rPr>
          <w:rFonts w:ascii="Arial" w:hAnsi="Arial" w:cs="Arial"/>
          <w:b/>
          <w:bCs/>
          <w:sz w:val="28"/>
          <w:szCs w:val="28"/>
        </w:rPr>
      </w:pPr>
      <w:r w:rsidRPr="00B80BE1">
        <w:rPr>
          <w:rFonts w:ascii="Arial" w:hAnsi="Arial" w:cs="Arial"/>
          <w:b/>
          <w:bCs/>
          <w:sz w:val="28"/>
          <w:szCs w:val="28"/>
        </w:rPr>
        <w:t>Barriers to Accessing Alzheimer's Care for Older Adult Patients of South Asian Background in the UK: A Systematic Review</w:t>
      </w:r>
    </w:p>
    <w:p w14:paraId="7368CAA9" w14:textId="6CB6F6B2" w:rsidR="00B80BE1" w:rsidRDefault="00B80BE1" w:rsidP="001A6776">
      <w:pPr>
        <w:spacing w:after="0" w:line="360" w:lineRule="auto"/>
        <w:jc w:val="center"/>
        <w:rPr>
          <w:rFonts w:ascii="Arial" w:hAnsi="Arial" w:cs="Arial"/>
          <w:b/>
          <w:bCs/>
          <w:sz w:val="28"/>
          <w:szCs w:val="28"/>
        </w:rPr>
      </w:pPr>
      <w:r w:rsidRPr="00B80BE1">
        <w:rPr>
          <w:rFonts w:ascii="Arial" w:hAnsi="Arial" w:cs="Arial"/>
          <w:b/>
          <w:bCs/>
          <w:sz w:val="28"/>
          <w:szCs w:val="28"/>
        </w:rPr>
        <w:t>By</w:t>
      </w:r>
    </w:p>
    <w:p w14:paraId="6FAF0B34" w14:textId="3DDC0382" w:rsidR="00B80BE1" w:rsidRPr="00B80BE1" w:rsidRDefault="00B80BE1" w:rsidP="001A6776">
      <w:pPr>
        <w:spacing w:after="0" w:line="360" w:lineRule="auto"/>
        <w:jc w:val="center"/>
        <w:rPr>
          <w:rFonts w:ascii="Arial" w:hAnsi="Arial" w:cs="Arial"/>
          <w:b/>
          <w:bCs/>
          <w:sz w:val="28"/>
          <w:szCs w:val="28"/>
        </w:rPr>
      </w:pPr>
      <w:r w:rsidRPr="00B80BE1">
        <w:rPr>
          <w:rFonts w:ascii="Arial" w:hAnsi="Arial" w:cs="Arial"/>
          <w:b/>
          <w:bCs/>
          <w:sz w:val="28"/>
          <w:szCs w:val="28"/>
        </w:rPr>
        <w:t>Amee</w:t>
      </w:r>
      <w:r w:rsidR="00FE3F66">
        <w:rPr>
          <w:rFonts w:ascii="Arial" w:hAnsi="Arial" w:cs="Arial"/>
          <w:b/>
          <w:bCs/>
          <w:sz w:val="28"/>
          <w:szCs w:val="28"/>
        </w:rPr>
        <w:t xml:space="preserve"> Vadaliya</w:t>
      </w:r>
    </w:p>
    <w:p w14:paraId="55ECDA0C" w14:textId="77777777" w:rsidR="00C11F0E" w:rsidRDefault="00C11F0E" w:rsidP="001A6776">
      <w:pPr>
        <w:spacing w:after="0" w:line="360" w:lineRule="auto"/>
        <w:jc w:val="center"/>
        <w:rPr>
          <w:rFonts w:ascii="Arial" w:hAnsi="Arial" w:cs="Arial"/>
          <w:b/>
          <w:bCs/>
          <w:sz w:val="28"/>
          <w:szCs w:val="28"/>
        </w:rPr>
      </w:pPr>
    </w:p>
    <w:p w14:paraId="1B430B66" w14:textId="77777777" w:rsidR="001A6776" w:rsidRDefault="001A6776" w:rsidP="001A6776">
      <w:pPr>
        <w:spacing w:after="0" w:line="360" w:lineRule="auto"/>
        <w:jc w:val="center"/>
        <w:rPr>
          <w:rFonts w:ascii="Arial" w:hAnsi="Arial" w:cs="Arial"/>
          <w:b/>
          <w:bCs/>
          <w:sz w:val="28"/>
          <w:szCs w:val="28"/>
        </w:rPr>
      </w:pPr>
    </w:p>
    <w:p w14:paraId="38791671" w14:textId="77777777" w:rsidR="001A6776" w:rsidRPr="00B80BE1" w:rsidRDefault="001A6776" w:rsidP="001A6776">
      <w:pPr>
        <w:spacing w:after="0" w:line="360" w:lineRule="auto"/>
        <w:jc w:val="center"/>
        <w:rPr>
          <w:rFonts w:ascii="Arial" w:hAnsi="Arial" w:cs="Arial"/>
          <w:b/>
          <w:bCs/>
          <w:sz w:val="28"/>
          <w:szCs w:val="28"/>
        </w:rPr>
      </w:pPr>
    </w:p>
    <w:p w14:paraId="67333872" w14:textId="07AE1BCB" w:rsidR="00B80BE1" w:rsidRPr="00B80BE1" w:rsidRDefault="00B80BE1" w:rsidP="001A6776">
      <w:pPr>
        <w:spacing w:after="0" w:line="360" w:lineRule="auto"/>
        <w:jc w:val="center"/>
        <w:rPr>
          <w:rFonts w:ascii="Arial" w:hAnsi="Arial" w:cs="Arial"/>
        </w:rPr>
      </w:pPr>
      <w:r w:rsidRPr="00B80BE1">
        <w:rPr>
          <w:rFonts w:ascii="Arial" w:hAnsi="Arial" w:cs="Arial"/>
        </w:rPr>
        <w:t xml:space="preserve">A Dissertation submitted in partial fulfilment of the requirements for the degree of </w:t>
      </w:r>
      <w:r w:rsidR="00235910" w:rsidRPr="00B80BE1">
        <w:rPr>
          <w:rFonts w:ascii="Arial" w:hAnsi="Arial" w:cs="Arial"/>
        </w:rPr>
        <w:t>Master of Science</w:t>
      </w:r>
      <w:r w:rsidRPr="00B80BE1">
        <w:rPr>
          <w:rFonts w:ascii="Arial" w:hAnsi="Arial" w:cs="Arial"/>
        </w:rPr>
        <w:t xml:space="preserve"> in Public Health and Social Care in Practice</w:t>
      </w:r>
    </w:p>
    <w:p w14:paraId="0BCA978E" w14:textId="77777777" w:rsidR="00B80BE1" w:rsidRDefault="00B80BE1" w:rsidP="001A6776">
      <w:pPr>
        <w:spacing w:after="0" w:line="360" w:lineRule="auto"/>
        <w:rPr>
          <w:rFonts w:ascii="Arial" w:hAnsi="Arial" w:cs="Arial"/>
          <w:b/>
          <w:bCs/>
        </w:rPr>
      </w:pPr>
    </w:p>
    <w:p w14:paraId="03189782" w14:textId="77777777" w:rsidR="001A6776" w:rsidRDefault="001A6776" w:rsidP="001A6776">
      <w:pPr>
        <w:spacing w:after="0" w:line="360" w:lineRule="auto"/>
        <w:rPr>
          <w:rFonts w:ascii="Arial" w:hAnsi="Arial" w:cs="Arial"/>
          <w:b/>
          <w:bCs/>
        </w:rPr>
      </w:pPr>
    </w:p>
    <w:p w14:paraId="7D98377D" w14:textId="77777777" w:rsidR="001A6776" w:rsidRDefault="001A6776" w:rsidP="001A6776">
      <w:pPr>
        <w:spacing w:after="0" w:line="360" w:lineRule="auto"/>
        <w:rPr>
          <w:rFonts w:ascii="Arial" w:hAnsi="Arial" w:cs="Arial"/>
          <w:b/>
          <w:bCs/>
        </w:rPr>
      </w:pPr>
    </w:p>
    <w:p w14:paraId="32910B17" w14:textId="77777777" w:rsidR="001A6776" w:rsidRPr="00B80BE1" w:rsidRDefault="001A6776" w:rsidP="001A6776">
      <w:pPr>
        <w:spacing w:after="0" w:line="360" w:lineRule="auto"/>
        <w:rPr>
          <w:rFonts w:ascii="Arial" w:hAnsi="Arial" w:cs="Arial"/>
          <w:b/>
          <w:bCs/>
        </w:rPr>
      </w:pPr>
    </w:p>
    <w:p w14:paraId="7624EB7D" w14:textId="77777777" w:rsidR="00B80BE1" w:rsidRPr="00B80BE1" w:rsidRDefault="00B80BE1" w:rsidP="001A6776">
      <w:pPr>
        <w:spacing w:after="0" w:line="360" w:lineRule="auto"/>
        <w:jc w:val="center"/>
        <w:rPr>
          <w:rFonts w:ascii="Arial" w:hAnsi="Arial" w:cs="Arial"/>
          <w:b/>
          <w:bCs/>
        </w:rPr>
      </w:pPr>
    </w:p>
    <w:p w14:paraId="016B1080" w14:textId="77777777" w:rsidR="00B80BE1" w:rsidRPr="00B80BE1" w:rsidRDefault="00B80BE1" w:rsidP="001A6776">
      <w:pPr>
        <w:spacing w:after="0" w:line="360" w:lineRule="auto"/>
        <w:jc w:val="center"/>
        <w:rPr>
          <w:rFonts w:ascii="Arial" w:hAnsi="Arial" w:cs="Arial"/>
          <w:b/>
          <w:bCs/>
        </w:rPr>
      </w:pPr>
      <w:r w:rsidRPr="00B80BE1">
        <w:rPr>
          <w:rFonts w:ascii="Arial" w:hAnsi="Arial" w:cs="Arial"/>
          <w:b/>
          <w:bCs/>
        </w:rPr>
        <w:t>The Institute of Inner-City Learning</w:t>
      </w:r>
    </w:p>
    <w:p w14:paraId="0364BC2C" w14:textId="77777777" w:rsidR="00B80BE1" w:rsidRPr="00B80BE1" w:rsidRDefault="00B80BE1" w:rsidP="001A6776">
      <w:pPr>
        <w:spacing w:after="0" w:line="360" w:lineRule="auto"/>
        <w:jc w:val="center"/>
        <w:rPr>
          <w:rFonts w:ascii="Arial" w:hAnsi="Arial" w:cs="Arial"/>
          <w:b/>
          <w:bCs/>
        </w:rPr>
      </w:pPr>
      <w:r w:rsidRPr="00B80BE1">
        <w:rPr>
          <w:rFonts w:ascii="Arial" w:hAnsi="Arial" w:cs="Arial"/>
          <w:b/>
          <w:bCs/>
        </w:rPr>
        <w:t>University of Wales Trinity Saint David – London Campus</w:t>
      </w:r>
    </w:p>
    <w:p w14:paraId="4A9383E8" w14:textId="77777777" w:rsidR="00B80BE1" w:rsidRPr="00B80BE1" w:rsidRDefault="00B80BE1" w:rsidP="001A6776">
      <w:pPr>
        <w:spacing w:after="0" w:line="360" w:lineRule="auto"/>
        <w:jc w:val="center"/>
        <w:rPr>
          <w:rFonts w:ascii="Arial" w:hAnsi="Arial" w:cs="Arial"/>
          <w:b/>
          <w:bCs/>
        </w:rPr>
      </w:pPr>
    </w:p>
    <w:p w14:paraId="183828CB" w14:textId="77777777" w:rsidR="00B80BE1" w:rsidRPr="00B80BE1" w:rsidRDefault="00B80BE1" w:rsidP="001A6776">
      <w:pPr>
        <w:spacing w:after="0" w:line="360" w:lineRule="auto"/>
        <w:jc w:val="center"/>
        <w:rPr>
          <w:rFonts w:ascii="Arial" w:hAnsi="Arial" w:cs="Arial"/>
          <w:b/>
          <w:bCs/>
        </w:rPr>
      </w:pPr>
    </w:p>
    <w:p w14:paraId="3D81AF3D" w14:textId="15F35E48" w:rsidR="00B80BE1" w:rsidRPr="00B80BE1" w:rsidRDefault="00235910" w:rsidP="001A6776">
      <w:pPr>
        <w:spacing w:after="0" w:line="360" w:lineRule="auto"/>
        <w:jc w:val="center"/>
        <w:rPr>
          <w:rFonts w:ascii="Arial" w:hAnsi="Arial" w:cs="Arial"/>
          <w:b/>
          <w:bCs/>
        </w:rPr>
      </w:pPr>
      <w:r>
        <w:rPr>
          <w:rFonts w:ascii="Arial" w:hAnsi="Arial" w:cs="Arial"/>
          <w:b/>
          <w:bCs/>
        </w:rPr>
        <w:t>February</w:t>
      </w:r>
      <w:r w:rsidR="00B80BE1">
        <w:rPr>
          <w:rFonts w:ascii="Arial" w:hAnsi="Arial" w:cs="Arial"/>
          <w:b/>
          <w:bCs/>
        </w:rPr>
        <w:t xml:space="preserve"> 2026</w:t>
      </w:r>
    </w:p>
    <w:p w14:paraId="4D47F39A" w14:textId="77777777" w:rsidR="00A81134" w:rsidRDefault="00A81134" w:rsidP="001A6776">
      <w:pPr>
        <w:spacing w:after="0" w:line="360" w:lineRule="auto"/>
        <w:jc w:val="center"/>
        <w:rPr>
          <w:rFonts w:ascii="Arial" w:hAnsi="Arial" w:cs="Arial"/>
          <w:b/>
          <w:bCs/>
        </w:rPr>
      </w:pPr>
    </w:p>
    <w:p w14:paraId="45CE3C43" w14:textId="77777777" w:rsidR="001A6776" w:rsidRDefault="001A6776" w:rsidP="001A6776">
      <w:pPr>
        <w:spacing w:after="0" w:line="360" w:lineRule="auto"/>
        <w:jc w:val="center"/>
        <w:rPr>
          <w:rFonts w:ascii="Arial" w:hAnsi="Arial" w:cs="Arial"/>
          <w:b/>
          <w:bCs/>
        </w:rPr>
      </w:pPr>
    </w:p>
    <w:p w14:paraId="30586526" w14:textId="77777777" w:rsidR="001A6776" w:rsidRDefault="001A6776" w:rsidP="001A6776">
      <w:pPr>
        <w:spacing w:after="0" w:line="360" w:lineRule="auto"/>
        <w:jc w:val="center"/>
        <w:rPr>
          <w:rFonts w:ascii="Arial" w:hAnsi="Arial" w:cs="Arial"/>
          <w:b/>
          <w:bCs/>
        </w:rPr>
      </w:pPr>
    </w:p>
    <w:p w14:paraId="40ED209C" w14:textId="77777777" w:rsidR="001A6776" w:rsidRDefault="001A6776" w:rsidP="001A6776">
      <w:pPr>
        <w:spacing w:after="0" w:line="360" w:lineRule="auto"/>
        <w:jc w:val="center"/>
        <w:rPr>
          <w:rFonts w:ascii="Arial" w:hAnsi="Arial" w:cs="Arial"/>
          <w:b/>
          <w:bCs/>
        </w:rPr>
      </w:pPr>
    </w:p>
    <w:p w14:paraId="259C00A8" w14:textId="77777777" w:rsidR="00A81134" w:rsidRPr="00A81134" w:rsidRDefault="00A81134" w:rsidP="001A6776">
      <w:pPr>
        <w:spacing w:after="0" w:line="360" w:lineRule="auto"/>
        <w:jc w:val="both"/>
        <w:rPr>
          <w:rFonts w:ascii="Arial" w:hAnsi="Arial" w:cs="Arial"/>
          <w:b/>
          <w:bCs/>
          <w:lang w:val="hr-HR"/>
        </w:rPr>
      </w:pPr>
      <w:r w:rsidRPr="00A81134">
        <w:rPr>
          <w:rFonts w:ascii="Arial" w:hAnsi="Arial" w:cs="Arial"/>
          <w:b/>
          <w:bCs/>
          <w:lang w:val="hr-HR"/>
        </w:rPr>
        <w:lastRenderedPageBreak/>
        <w:t>DECLARATION</w:t>
      </w:r>
    </w:p>
    <w:p w14:paraId="6CD1F7BB" w14:textId="77777777" w:rsidR="00A81134" w:rsidRPr="00A81134" w:rsidRDefault="00A81134" w:rsidP="001A6776">
      <w:pPr>
        <w:spacing w:after="0" w:line="360" w:lineRule="auto"/>
        <w:jc w:val="both"/>
        <w:rPr>
          <w:rFonts w:ascii="Arial" w:hAnsi="Arial" w:cs="Arial"/>
          <w:b/>
          <w:bCs/>
          <w:lang w:val="hr-HR"/>
        </w:rPr>
      </w:pPr>
    </w:p>
    <w:p w14:paraId="4E19C4CF" w14:textId="5765C14F" w:rsidR="00A81134" w:rsidRPr="00A81134" w:rsidRDefault="00A81134" w:rsidP="001A6776">
      <w:pPr>
        <w:spacing w:after="0" w:line="360" w:lineRule="auto"/>
        <w:jc w:val="both"/>
        <w:rPr>
          <w:rFonts w:ascii="Arial" w:hAnsi="Arial" w:cs="Arial"/>
          <w:lang w:val="hr-HR"/>
        </w:rPr>
      </w:pPr>
      <w:r w:rsidRPr="00A81134">
        <w:rPr>
          <w:rFonts w:ascii="Arial" w:hAnsi="Arial" w:cs="Arial"/>
          <w:noProof/>
        </w:rPr>
        <mc:AlternateContent>
          <mc:Choice Requires="wpi">
            <w:drawing>
              <wp:anchor distT="0" distB="0" distL="114300" distR="114300" simplePos="0" relativeHeight="251677696" behindDoc="0" locked="0" layoutInCell="1" allowOverlap="1" wp14:anchorId="085DF8B4" wp14:editId="54486C13">
                <wp:simplePos x="0" y="0"/>
                <wp:positionH relativeFrom="column">
                  <wp:posOffset>-2084070</wp:posOffset>
                </wp:positionH>
                <wp:positionV relativeFrom="paragraph">
                  <wp:posOffset>-224790</wp:posOffset>
                </wp:positionV>
                <wp:extent cx="920750" cy="920750"/>
                <wp:effectExtent l="1905" t="3810" r="1270" b="0"/>
                <wp:wrapNone/>
                <wp:docPr id="767924974"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158A503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">
                <v:imagedata r:id="rId9" o:title=""/>
                <o:lock v:ext="edit" rotation="t" verticies="t" shapetype="t"/>
              </v:shape>
            </w:pict>
          </mc:Fallback>
        </mc:AlternateContent>
      </w:r>
      <w:r w:rsidRPr="00A81134">
        <w:rPr>
          <w:rFonts w:ascii="Arial" w:hAnsi="Arial" w:cs="Arial"/>
          <w:noProof/>
        </w:rPr>
        <mc:AlternateContent>
          <mc:Choice Requires="wpi">
            <w:drawing>
              <wp:anchor distT="0" distB="0" distL="114300" distR="114300" simplePos="0" relativeHeight="251678720" behindDoc="0" locked="0" layoutInCell="1" allowOverlap="1" wp14:anchorId="181AB7D5" wp14:editId="01AE836C">
                <wp:simplePos x="0" y="0"/>
                <wp:positionH relativeFrom="column">
                  <wp:posOffset>-2084070</wp:posOffset>
                </wp:positionH>
                <wp:positionV relativeFrom="paragraph">
                  <wp:posOffset>233045</wp:posOffset>
                </wp:positionV>
                <wp:extent cx="920750" cy="40640"/>
                <wp:effectExtent l="1905" t="4445" r="1270" b="2540"/>
                <wp:wrapNone/>
                <wp:docPr id="1417863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093ADB78" id="Ink 15" o:spid="_x0000_s1026" type="#_x0000_t75" style="position:absolute;margin-left:-164.1pt;margin-top:18.35pt;width:72.5pt;height: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">
                <v:imagedata r:id="rId11" o:title=""/>
                <o:lock v:ext="edit" rotation="t" verticies="t" shapetype="t"/>
              </v:shape>
            </w:pict>
          </mc:Fallback>
        </mc:AlternateContent>
      </w:r>
      <w:r w:rsidRPr="00A81134">
        <w:rPr>
          <w:rFonts w:ascii="Arial" w:hAnsi="Arial" w:cs="Arial"/>
          <w:noProof/>
        </w:rPr>
        <mc:AlternateContent>
          <mc:Choice Requires="wpi">
            <w:drawing>
              <wp:anchor distT="0" distB="0" distL="114300" distR="114300" simplePos="0" relativeHeight="251679744" behindDoc="0" locked="0" layoutInCell="1" allowOverlap="1" wp14:anchorId="540B20D2" wp14:editId="65ABC0CC">
                <wp:simplePos x="0" y="0"/>
                <wp:positionH relativeFrom="column">
                  <wp:posOffset>-2084070</wp:posOffset>
                </wp:positionH>
                <wp:positionV relativeFrom="paragraph">
                  <wp:posOffset>-214630</wp:posOffset>
                </wp:positionV>
                <wp:extent cx="920750" cy="920750"/>
                <wp:effectExtent l="1905" t="4445" r="1270" b="0"/>
                <wp:wrapNone/>
                <wp:docPr id="187958161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7A56C7B8" id="Ink 14" o:spid="_x0000_s1026" type="#_x0000_t75" style="position:absolute;margin-left:-164.1pt;margin-top:-16.9pt;width:72.5pt;height: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H/Lx3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A81134">
        <w:rPr>
          <w:rFonts w:ascii="Arial" w:hAnsi="Arial" w:cs="Arial"/>
          <w:noProof/>
        </w:rPr>
        <mc:AlternateContent>
          <mc:Choice Requires="wpi">
            <w:drawing>
              <wp:anchor distT="0" distB="0" distL="114300" distR="114300" simplePos="0" relativeHeight="251680768" behindDoc="0" locked="0" layoutInCell="1" allowOverlap="1" wp14:anchorId="49F70C34" wp14:editId="2229577A">
                <wp:simplePos x="0" y="0"/>
                <wp:positionH relativeFrom="column">
                  <wp:posOffset>-2395855</wp:posOffset>
                </wp:positionH>
                <wp:positionV relativeFrom="paragraph">
                  <wp:posOffset>-216535</wp:posOffset>
                </wp:positionV>
                <wp:extent cx="920750" cy="920750"/>
                <wp:effectExtent l="4445" t="2540" r="0" b="635"/>
                <wp:wrapNone/>
                <wp:docPr id="671168709" name="Ink 1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6C5487E5" id="Ink 13" o:spid="_x0000_s1026" type="#_x0000_t75" style="position:absolute;margin-left:-188.65pt;margin-top:-17.05pt;width:72.5pt;height: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YPX+N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A81134">
        <w:rPr>
          <w:rFonts w:ascii="Arial" w:hAnsi="Arial" w:cs="Arial"/>
          <w:lang w:val="hr-HR"/>
        </w:rPr>
        <w:t xml:space="preserve">I, </w:t>
      </w:r>
      <w:r>
        <w:rPr>
          <w:rFonts w:ascii="Arial" w:hAnsi="Arial" w:cs="Arial"/>
          <w:lang w:val="hr-HR"/>
        </w:rPr>
        <w:t xml:space="preserve">Amee Vadaliya, </w:t>
      </w:r>
      <w:r w:rsidRPr="00A81134">
        <w:rPr>
          <w:rFonts w:ascii="Arial" w:hAnsi="Arial" w:cs="Arial"/>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DA0070D" w14:textId="77777777" w:rsidR="00A81134" w:rsidRPr="00A81134" w:rsidRDefault="00A81134" w:rsidP="001A6776">
      <w:pPr>
        <w:spacing w:after="0" w:line="360" w:lineRule="auto"/>
        <w:jc w:val="both"/>
        <w:rPr>
          <w:rFonts w:ascii="Arial" w:hAnsi="Arial" w:cs="Arial"/>
          <w:lang w:val="hr-HR"/>
        </w:rPr>
      </w:pPr>
    </w:p>
    <w:p w14:paraId="0F3B4D00" w14:textId="77777777" w:rsidR="00A81134" w:rsidRPr="00A81134" w:rsidRDefault="00A81134" w:rsidP="001A6776">
      <w:pPr>
        <w:spacing w:after="0" w:line="360" w:lineRule="auto"/>
        <w:jc w:val="both"/>
        <w:rPr>
          <w:rFonts w:ascii="Arial" w:hAnsi="Arial" w:cs="Arial"/>
          <w:lang w:val="hr-HR"/>
        </w:rPr>
      </w:pPr>
    </w:p>
    <w:p w14:paraId="7105B337" w14:textId="048B9CED" w:rsidR="00A81134" w:rsidRPr="00A81134" w:rsidRDefault="00A81134" w:rsidP="001A6776">
      <w:pPr>
        <w:spacing w:after="0" w:line="360" w:lineRule="auto"/>
        <w:jc w:val="both"/>
        <w:rPr>
          <w:rFonts w:ascii="Arial" w:hAnsi="Arial" w:cs="Arial"/>
          <w:lang w:val="hr-HR"/>
        </w:rPr>
      </w:pPr>
      <w:r w:rsidRPr="00A81134">
        <w:rPr>
          <w:rFonts w:ascii="Arial" w:hAnsi="Arial" w:cs="Arial"/>
          <w:lang w:val="hr-HR"/>
        </w:rPr>
        <w:t>Signed:</w:t>
      </w:r>
      <w:r w:rsidR="005516FF">
        <w:rPr>
          <w:rFonts w:ascii="Arial" w:hAnsi="Arial" w:cs="Arial"/>
          <w:lang w:val="hr-HR"/>
        </w:rPr>
        <w:t xml:space="preserve"> Amee Atulbhai Vadaliya</w:t>
      </w:r>
    </w:p>
    <w:p w14:paraId="02B94A5B" w14:textId="77777777" w:rsidR="00A81134" w:rsidRPr="00A81134" w:rsidRDefault="00A81134" w:rsidP="001A6776">
      <w:pPr>
        <w:spacing w:after="0" w:line="360" w:lineRule="auto"/>
        <w:jc w:val="both"/>
        <w:rPr>
          <w:rFonts w:ascii="Arial" w:hAnsi="Arial" w:cs="Arial"/>
          <w:lang w:val="hr-HR"/>
        </w:rPr>
      </w:pPr>
    </w:p>
    <w:p w14:paraId="196644D3" w14:textId="6E8C248E" w:rsidR="00A81134" w:rsidRPr="00A81134" w:rsidRDefault="00A81134" w:rsidP="001A6776">
      <w:pPr>
        <w:spacing w:after="0" w:line="360" w:lineRule="auto"/>
        <w:jc w:val="both"/>
        <w:rPr>
          <w:rFonts w:ascii="Arial" w:hAnsi="Arial" w:cs="Arial"/>
          <w:lang w:val="hr-HR"/>
        </w:rPr>
      </w:pPr>
      <w:r w:rsidRPr="00A81134">
        <w:rPr>
          <w:rFonts w:ascii="Arial" w:hAnsi="Arial" w:cs="Arial"/>
          <w:lang w:val="hr-HR"/>
        </w:rPr>
        <w:t>Date</w:t>
      </w:r>
      <w:r w:rsidR="005516FF">
        <w:rPr>
          <w:rFonts w:ascii="Arial" w:hAnsi="Arial" w:cs="Arial"/>
          <w:lang w:val="hr-HR"/>
        </w:rPr>
        <w:t xml:space="preserve"> </w:t>
      </w:r>
      <w:r w:rsidRPr="00A81134">
        <w:rPr>
          <w:rFonts w:ascii="Arial" w:hAnsi="Arial" w:cs="Arial"/>
          <w:lang w:val="hr-HR"/>
        </w:rPr>
        <w:t>:</w:t>
      </w:r>
      <w:r w:rsidR="005D15F8">
        <w:rPr>
          <w:rFonts w:ascii="Arial" w:hAnsi="Arial" w:cs="Arial"/>
          <w:lang w:val="hr-HR"/>
        </w:rPr>
        <w:t xml:space="preserve"> </w:t>
      </w:r>
      <w:r w:rsidR="005871E2">
        <w:rPr>
          <w:rFonts w:ascii="Arial" w:hAnsi="Arial" w:cs="Arial"/>
          <w:lang w:val="hr-HR"/>
        </w:rPr>
        <w:t>3</w:t>
      </w:r>
      <w:r w:rsidR="005D15F8">
        <w:rPr>
          <w:rFonts w:ascii="Arial" w:hAnsi="Arial" w:cs="Arial"/>
          <w:lang w:val="hr-HR"/>
        </w:rPr>
        <w:t xml:space="preserve"> February 2026</w:t>
      </w:r>
    </w:p>
    <w:p w14:paraId="036B1C3D" w14:textId="77777777" w:rsidR="00A81134" w:rsidRPr="00A81134" w:rsidRDefault="00A81134" w:rsidP="001A6776">
      <w:pPr>
        <w:spacing w:after="0" w:line="360" w:lineRule="auto"/>
        <w:jc w:val="both"/>
        <w:rPr>
          <w:rFonts w:ascii="Arial" w:hAnsi="Arial" w:cs="Arial"/>
          <w:b/>
          <w:bCs/>
        </w:rPr>
      </w:pPr>
    </w:p>
    <w:p w14:paraId="4C3B7BC1" w14:textId="1A5BC31A" w:rsidR="00417F03" w:rsidRDefault="00B80BE1" w:rsidP="001A6776">
      <w:pPr>
        <w:spacing w:after="0" w:line="360" w:lineRule="auto"/>
        <w:rPr>
          <w:rFonts w:ascii="Arial" w:hAnsi="Arial" w:cs="Arial"/>
          <w:b/>
          <w:bCs/>
        </w:rPr>
      </w:pPr>
      <w:r w:rsidRPr="00B80BE1">
        <w:rPr>
          <w:rFonts w:ascii="Arial" w:hAnsi="Arial" w:cs="Arial"/>
          <w:b/>
          <w:bCs/>
        </w:rPr>
        <w:br w:type="page"/>
      </w:r>
    </w:p>
    <w:p w14:paraId="2F5493C5" w14:textId="77777777" w:rsidR="00417F03" w:rsidRPr="00417F03" w:rsidRDefault="00417F03" w:rsidP="00C645FC">
      <w:pPr>
        <w:spacing w:after="0" w:line="360" w:lineRule="auto"/>
        <w:jc w:val="center"/>
        <w:rPr>
          <w:rFonts w:ascii="Arial" w:hAnsi="Arial" w:cs="Arial"/>
        </w:rPr>
      </w:pPr>
      <w:r w:rsidRPr="00417F03">
        <w:rPr>
          <w:rFonts w:ascii="Arial" w:hAnsi="Arial" w:cs="Arial"/>
          <w:b/>
          <w:bCs/>
        </w:rPr>
        <w:lastRenderedPageBreak/>
        <w:t>Abstract</w:t>
      </w:r>
    </w:p>
    <w:p w14:paraId="140E75E2" w14:textId="46187586" w:rsidR="004A1AE0" w:rsidRPr="004A1AE0" w:rsidRDefault="004A1AE0" w:rsidP="004A1AE0">
      <w:pPr>
        <w:spacing w:before="240" w:after="0" w:line="360" w:lineRule="auto"/>
        <w:jc w:val="both"/>
        <w:rPr>
          <w:rFonts w:ascii="Arial" w:hAnsi="Arial" w:cs="Arial"/>
        </w:rPr>
      </w:pPr>
      <w:r w:rsidRPr="004A1AE0">
        <w:rPr>
          <w:rFonts w:ascii="Arial" w:hAnsi="Arial" w:cs="Arial"/>
        </w:rPr>
        <w:t xml:space="preserve">Access to Alzheimer’s care remains unequal for many ethnic minority groups in the UK, particularly among South Asian older persons aged 60 and above. This dissertation investigated the informational and cultural obstacles that prevent this population from accessing suitable Alzheimer's care services. The study sought to determine the impact of language hurdles, stigma, and mistrust in healthcare systems; measure awareness and comprehension of Alzheimer's disease and available services; and investigate how cultural beliefs and attitudes affect seeking help. By tackling these goals, the study aimed to </w:t>
      </w:r>
      <w:r>
        <w:rPr>
          <w:rFonts w:ascii="Arial" w:hAnsi="Arial" w:cs="Arial"/>
        </w:rPr>
        <w:t>identify methods to reduce barriers and promote more equitable</w:t>
      </w:r>
      <w:r w:rsidRPr="004A1AE0">
        <w:rPr>
          <w:rFonts w:ascii="Arial" w:hAnsi="Arial" w:cs="Arial"/>
        </w:rPr>
        <w:t xml:space="preserve"> access to dementia care.</w:t>
      </w:r>
    </w:p>
    <w:p w14:paraId="0A0ADB26" w14:textId="72E2551B" w:rsidR="00417F03" w:rsidRPr="00417F03" w:rsidRDefault="00417F03" w:rsidP="001E579A">
      <w:pPr>
        <w:spacing w:before="240" w:after="0" w:line="360" w:lineRule="auto"/>
        <w:jc w:val="both"/>
        <w:rPr>
          <w:rFonts w:ascii="Arial" w:hAnsi="Arial" w:cs="Arial"/>
        </w:rPr>
      </w:pPr>
      <w:r w:rsidRPr="00417F03">
        <w:rPr>
          <w:rFonts w:ascii="Arial" w:hAnsi="Arial" w:cs="Arial"/>
        </w:rPr>
        <w:t xml:space="preserve">A systematic review methodology was adopted and conducted in accordance with PRISMA guidelines. Relevant studies were identified through structured searches of academic databases, applying predefined inclusion and exclusion criteria. The search process initially yielded </w:t>
      </w:r>
      <w:r w:rsidR="00D67A0D">
        <w:rPr>
          <w:rFonts w:ascii="Arial" w:hAnsi="Arial" w:cs="Arial"/>
        </w:rPr>
        <w:t xml:space="preserve">60 </w:t>
      </w:r>
      <w:r w:rsidRPr="00417F03">
        <w:rPr>
          <w:rFonts w:ascii="Arial" w:hAnsi="Arial" w:cs="Arial"/>
        </w:rPr>
        <w:t>studies, from which 1</w:t>
      </w:r>
      <w:r w:rsidR="00F40171">
        <w:rPr>
          <w:rFonts w:ascii="Arial" w:hAnsi="Arial" w:cs="Arial"/>
        </w:rPr>
        <w:t>0</w:t>
      </w:r>
      <w:r w:rsidRPr="00417F03">
        <w:rPr>
          <w:rFonts w:ascii="Arial" w:hAnsi="Arial" w:cs="Arial"/>
        </w:rPr>
        <w:t xml:space="preserve"> articles were finally selected for inclusion after screening and full-text review. Data were extracted and analysed using thematic analysis, allowing for the synthesis of qualitative and quantitative evidence across studies.</w:t>
      </w:r>
    </w:p>
    <w:p w14:paraId="5D85E957" w14:textId="77777777" w:rsidR="00417F03" w:rsidRPr="00417F03" w:rsidRDefault="00417F03" w:rsidP="001E579A">
      <w:pPr>
        <w:spacing w:before="240" w:after="0" w:line="360" w:lineRule="auto"/>
        <w:jc w:val="both"/>
        <w:rPr>
          <w:rFonts w:ascii="Arial" w:hAnsi="Arial" w:cs="Arial"/>
        </w:rPr>
      </w:pPr>
      <w:r w:rsidRPr="00417F03">
        <w:rPr>
          <w:rFonts w:ascii="Arial" w:hAnsi="Arial" w:cs="Arial"/>
        </w:rPr>
        <w:t>The findings showed that access to Alzheimer’s care was shaped by an interplay of cultural beliefs, stigma, limited awareness, language barriers, and systemic shortcomings within healthcare services. These factors often delayed diagnosis and reinforced reliance on informal family care. The review concludes that culturally sensitive, community-based, and linguistically inclusive interventions are essential to improving trust, early engagement, and equity in Alzheimer’s care, while acknowledging limitations related to the diversity and scope of the available literature.</w:t>
      </w:r>
    </w:p>
    <w:p w14:paraId="755592B5" w14:textId="77777777" w:rsidR="00417F03" w:rsidRPr="00417F03" w:rsidRDefault="00417F03" w:rsidP="001E579A">
      <w:pPr>
        <w:spacing w:before="240" w:after="0" w:line="360" w:lineRule="auto"/>
        <w:jc w:val="both"/>
        <w:rPr>
          <w:rFonts w:ascii="Arial" w:hAnsi="Arial" w:cs="Arial"/>
          <w:vanish/>
        </w:rPr>
      </w:pPr>
      <w:r w:rsidRPr="00417F03">
        <w:rPr>
          <w:rFonts w:ascii="Arial" w:hAnsi="Arial" w:cs="Arial"/>
          <w:vanish/>
        </w:rPr>
        <w:t>Top of Form</w:t>
      </w:r>
    </w:p>
    <w:p w14:paraId="6EEA1D5E" w14:textId="77777777" w:rsidR="00417F03" w:rsidRPr="00417F03" w:rsidRDefault="00417F03" w:rsidP="001E579A">
      <w:pPr>
        <w:spacing w:before="240" w:after="0" w:line="360" w:lineRule="auto"/>
        <w:jc w:val="both"/>
        <w:rPr>
          <w:rFonts w:ascii="Arial" w:hAnsi="Arial" w:cs="Arial"/>
        </w:rPr>
      </w:pPr>
    </w:p>
    <w:p w14:paraId="2675837B" w14:textId="77777777" w:rsidR="00417F03" w:rsidRPr="00417F03" w:rsidRDefault="00417F03" w:rsidP="001E579A">
      <w:pPr>
        <w:spacing w:before="240" w:after="0" w:line="360" w:lineRule="auto"/>
        <w:jc w:val="both"/>
        <w:rPr>
          <w:rFonts w:ascii="Arial" w:hAnsi="Arial" w:cs="Arial"/>
          <w:vanish/>
        </w:rPr>
      </w:pPr>
      <w:r w:rsidRPr="00417F03">
        <w:rPr>
          <w:rFonts w:ascii="Arial" w:hAnsi="Arial" w:cs="Arial"/>
          <w:vanish/>
        </w:rPr>
        <w:t>Bottom of Form</w:t>
      </w:r>
    </w:p>
    <w:p w14:paraId="736A4343" w14:textId="77777777" w:rsidR="00417F03" w:rsidRPr="00417F03" w:rsidRDefault="00417F03" w:rsidP="001E579A">
      <w:pPr>
        <w:spacing w:before="240" w:after="0" w:line="360" w:lineRule="auto"/>
        <w:jc w:val="both"/>
        <w:rPr>
          <w:rFonts w:ascii="Arial" w:hAnsi="Arial" w:cs="Arial"/>
        </w:rPr>
      </w:pPr>
    </w:p>
    <w:p w14:paraId="343E7BE9" w14:textId="77777777" w:rsidR="00417F03" w:rsidRDefault="00417F03" w:rsidP="001E579A">
      <w:pPr>
        <w:spacing w:before="240" w:after="0" w:line="360" w:lineRule="auto"/>
        <w:rPr>
          <w:rFonts w:ascii="Arial" w:hAnsi="Arial" w:cs="Arial"/>
          <w:b/>
          <w:bCs/>
        </w:rPr>
      </w:pPr>
    </w:p>
    <w:p w14:paraId="7D04D280" w14:textId="77777777" w:rsidR="00417F03" w:rsidRDefault="00417F03" w:rsidP="001E579A">
      <w:pPr>
        <w:spacing w:before="240" w:after="0" w:line="360" w:lineRule="auto"/>
        <w:rPr>
          <w:rFonts w:ascii="Arial" w:hAnsi="Arial" w:cs="Arial"/>
          <w:b/>
          <w:bCs/>
        </w:rPr>
      </w:pPr>
    </w:p>
    <w:p w14:paraId="4B552596" w14:textId="77777777" w:rsidR="00554B8A" w:rsidRDefault="00554B8A" w:rsidP="001A6776">
      <w:pPr>
        <w:spacing w:after="0" w:line="360" w:lineRule="auto"/>
        <w:rPr>
          <w:rFonts w:ascii="Arial" w:hAnsi="Arial" w:cs="Arial"/>
          <w:b/>
          <w:bCs/>
        </w:rPr>
      </w:pPr>
    </w:p>
    <w:sdt>
      <w:sdtPr>
        <w:rPr>
          <w:rFonts w:ascii="Arial" w:eastAsiaTheme="minorHAnsi" w:hAnsi="Arial" w:cs="Arial"/>
          <w:color w:val="auto"/>
          <w:kern w:val="2"/>
          <w:sz w:val="24"/>
          <w:szCs w:val="24"/>
          <w:lang w:eastAsia="en-US"/>
          <w14:ligatures w14:val="standardContextual"/>
        </w:rPr>
        <w:id w:val="249787420"/>
        <w:docPartObj>
          <w:docPartGallery w:val="Table of Contents"/>
          <w:docPartUnique/>
        </w:docPartObj>
      </w:sdtPr>
      <w:sdtEndPr>
        <w:rPr>
          <w:b/>
          <w:bCs/>
        </w:rPr>
      </w:sdtEndPr>
      <w:sdtContent>
        <w:p w14:paraId="56FD626C" w14:textId="665BBAC3" w:rsidR="00554B8A" w:rsidRPr="004A1AE0" w:rsidRDefault="0045255A" w:rsidP="004A1AE0">
          <w:pPr>
            <w:pStyle w:val="TOCHeading"/>
            <w:spacing w:line="360" w:lineRule="auto"/>
            <w:jc w:val="both"/>
            <w:rPr>
              <w:rFonts w:ascii="Arial" w:hAnsi="Arial" w:cs="Arial"/>
              <w:sz w:val="24"/>
              <w:szCs w:val="24"/>
            </w:rPr>
          </w:pPr>
          <w:r w:rsidRPr="004A1AE0">
            <w:rPr>
              <w:rFonts w:ascii="Arial" w:hAnsi="Arial" w:cs="Arial"/>
              <w:sz w:val="24"/>
              <w:szCs w:val="24"/>
            </w:rPr>
            <w:t xml:space="preserve">Table of </w:t>
          </w:r>
          <w:r w:rsidR="00554B8A" w:rsidRPr="004A1AE0">
            <w:rPr>
              <w:rFonts w:ascii="Arial" w:hAnsi="Arial" w:cs="Arial"/>
              <w:sz w:val="24"/>
              <w:szCs w:val="24"/>
            </w:rPr>
            <w:t>Contents</w:t>
          </w:r>
        </w:p>
        <w:p w14:paraId="2AAD1346" w14:textId="74B25B8F" w:rsidR="004A1AE0" w:rsidRPr="004A1AE0" w:rsidRDefault="00554B8A" w:rsidP="004A1AE0">
          <w:pPr>
            <w:pStyle w:val="TOC1"/>
            <w:tabs>
              <w:tab w:val="right" w:leader="dot" w:pos="9016"/>
            </w:tabs>
            <w:spacing w:line="360" w:lineRule="auto"/>
            <w:rPr>
              <w:rFonts w:ascii="Arial" w:eastAsiaTheme="minorEastAsia" w:hAnsi="Arial" w:cs="Arial"/>
              <w:noProof/>
              <w:lang w:eastAsia="en-GB"/>
            </w:rPr>
          </w:pPr>
          <w:r w:rsidRPr="004A1AE0">
            <w:rPr>
              <w:rFonts w:ascii="Arial" w:hAnsi="Arial" w:cs="Arial"/>
            </w:rPr>
            <w:fldChar w:fldCharType="begin"/>
          </w:r>
          <w:r w:rsidRPr="004A1AE0">
            <w:rPr>
              <w:rFonts w:ascii="Arial" w:hAnsi="Arial" w:cs="Arial"/>
            </w:rPr>
            <w:instrText xml:space="preserve"> TOC \o "1-3" \h \z \u </w:instrText>
          </w:r>
          <w:r w:rsidRPr="004A1AE0">
            <w:rPr>
              <w:rFonts w:ascii="Arial" w:hAnsi="Arial" w:cs="Arial"/>
            </w:rPr>
            <w:fldChar w:fldCharType="separate"/>
          </w:r>
          <w:hyperlink w:anchor="_Toc220760128" w:history="1">
            <w:r w:rsidR="004A1AE0" w:rsidRPr="004A1AE0">
              <w:rPr>
                <w:rStyle w:val="Hyperlink"/>
                <w:rFonts w:ascii="Arial" w:hAnsi="Arial" w:cs="Arial"/>
                <w:noProof/>
              </w:rPr>
              <w:t>Chapter 1: Introduction</w:t>
            </w:r>
            <w:r w:rsidR="004A1AE0" w:rsidRPr="004A1AE0">
              <w:rPr>
                <w:rFonts w:ascii="Arial" w:hAnsi="Arial" w:cs="Arial"/>
                <w:noProof/>
                <w:webHidden/>
              </w:rPr>
              <w:tab/>
            </w:r>
            <w:r w:rsidR="004A1AE0" w:rsidRPr="004A1AE0">
              <w:rPr>
                <w:rFonts w:ascii="Arial" w:hAnsi="Arial" w:cs="Arial"/>
                <w:noProof/>
                <w:webHidden/>
              </w:rPr>
              <w:fldChar w:fldCharType="begin"/>
            </w:r>
            <w:r w:rsidR="004A1AE0" w:rsidRPr="004A1AE0">
              <w:rPr>
                <w:rFonts w:ascii="Arial" w:hAnsi="Arial" w:cs="Arial"/>
                <w:noProof/>
                <w:webHidden/>
              </w:rPr>
              <w:instrText xml:space="preserve"> PAGEREF _Toc220760128 \h </w:instrText>
            </w:r>
            <w:r w:rsidR="004A1AE0" w:rsidRPr="004A1AE0">
              <w:rPr>
                <w:rFonts w:ascii="Arial" w:hAnsi="Arial" w:cs="Arial"/>
                <w:noProof/>
                <w:webHidden/>
              </w:rPr>
            </w:r>
            <w:r w:rsidR="004A1AE0" w:rsidRPr="004A1AE0">
              <w:rPr>
                <w:rFonts w:ascii="Arial" w:hAnsi="Arial" w:cs="Arial"/>
                <w:noProof/>
                <w:webHidden/>
              </w:rPr>
              <w:fldChar w:fldCharType="separate"/>
            </w:r>
            <w:r w:rsidR="00C02E0D">
              <w:rPr>
                <w:rFonts w:ascii="Arial" w:hAnsi="Arial" w:cs="Arial"/>
                <w:noProof/>
                <w:webHidden/>
              </w:rPr>
              <w:t>7</w:t>
            </w:r>
            <w:r w:rsidR="004A1AE0" w:rsidRPr="004A1AE0">
              <w:rPr>
                <w:rFonts w:ascii="Arial" w:hAnsi="Arial" w:cs="Arial"/>
                <w:noProof/>
                <w:webHidden/>
              </w:rPr>
              <w:fldChar w:fldCharType="end"/>
            </w:r>
          </w:hyperlink>
        </w:p>
        <w:p w14:paraId="4CC92039" w14:textId="4529B29A"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29" w:history="1">
            <w:r w:rsidRPr="004A1AE0">
              <w:rPr>
                <w:rStyle w:val="Hyperlink"/>
                <w:rFonts w:ascii="Arial" w:hAnsi="Arial" w:cs="Arial"/>
                <w:noProof/>
              </w:rPr>
              <w:t>1.1 Background and Context</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_Toc220760129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7</w:t>
            </w:r>
            <w:r w:rsidRPr="004A1AE0">
              <w:rPr>
                <w:rFonts w:ascii="Arial" w:hAnsi="Arial" w:cs="Arial"/>
                <w:noProof/>
                <w:webHidden/>
              </w:rPr>
              <w:fldChar w:fldCharType="end"/>
            </w:r>
          </w:hyperlink>
        </w:p>
        <w:p w14:paraId="5AE60299" w14:textId="30BAC9A0"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30" w:history="1">
            <w:r w:rsidRPr="004A1AE0">
              <w:rPr>
                <w:rStyle w:val="Hyperlink"/>
                <w:rFonts w:ascii="Arial" w:hAnsi="Arial" w:cs="Arial"/>
                <w:noProof/>
              </w:rPr>
              <w:t>1.2 Problem Statement</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_Toc220760130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8</w:t>
            </w:r>
            <w:r w:rsidRPr="004A1AE0">
              <w:rPr>
                <w:rFonts w:ascii="Arial" w:hAnsi="Arial" w:cs="Arial"/>
                <w:noProof/>
                <w:webHidden/>
              </w:rPr>
              <w:fldChar w:fldCharType="end"/>
            </w:r>
          </w:hyperlink>
        </w:p>
        <w:p w14:paraId="44FE83E5" w14:textId="0AC3FD84"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31" w:history="1">
            <w:r w:rsidRPr="004A1AE0">
              <w:rPr>
                <w:rStyle w:val="Hyperlink"/>
                <w:rFonts w:ascii="Arial" w:hAnsi="Arial" w:cs="Arial"/>
                <w:noProof/>
              </w:rPr>
              <w:t>1.3 Existing Research and Knowledge Gaps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_Toc220760131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8</w:t>
            </w:r>
            <w:r w:rsidRPr="004A1AE0">
              <w:rPr>
                <w:rFonts w:ascii="Arial" w:hAnsi="Arial" w:cs="Arial"/>
                <w:noProof/>
                <w:webHidden/>
              </w:rPr>
              <w:fldChar w:fldCharType="end"/>
            </w:r>
          </w:hyperlink>
        </w:p>
        <w:p w14:paraId="7316B9A3" w14:textId="308BE4FF"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32" w:history="1">
            <w:r w:rsidRPr="004A1AE0">
              <w:rPr>
                <w:rStyle w:val="Hyperlink"/>
                <w:rFonts w:ascii="Arial" w:hAnsi="Arial" w:cs="Arial"/>
                <w:noProof/>
              </w:rPr>
              <w:t>1.4 Rationale</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_Toc220760132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9</w:t>
            </w:r>
            <w:r w:rsidRPr="004A1AE0">
              <w:rPr>
                <w:rFonts w:ascii="Arial" w:hAnsi="Arial" w:cs="Arial"/>
                <w:noProof/>
                <w:webHidden/>
              </w:rPr>
              <w:fldChar w:fldCharType="end"/>
            </w:r>
          </w:hyperlink>
        </w:p>
        <w:p w14:paraId="49DC8D10" w14:textId="10F3FC7B"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33" w:history="1">
            <w:r w:rsidRPr="004A1AE0">
              <w:rPr>
                <w:rStyle w:val="Hyperlink"/>
                <w:rFonts w:ascii="Arial" w:hAnsi="Arial" w:cs="Arial"/>
                <w:noProof/>
              </w:rPr>
              <w:t>1.6 Research Question, Aim and Objectives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_Toc220760133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10</w:t>
            </w:r>
            <w:r w:rsidRPr="004A1AE0">
              <w:rPr>
                <w:rFonts w:ascii="Arial" w:hAnsi="Arial" w:cs="Arial"/>
                <w:noProof/>
                <w:webHidden/>
              </w:rPr>
              <w:fldChar w:fldCharType="end"/>
            </w:r>
          </w:hyperlink>
        </w:p>
        <w:p w14:paraId="2D1C798D" w14:textId="09280248"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34" w:history="1">
            <w:r w:rsidRPr="004A1AE0">
              <w:rPr>
                <w:rStyle w:val="Hyperlink"/>
                <w:rFonts w:ascii="Arial" w:eastAsia="Arial" w:hAnsi="Arial" w:cs="Arial"/>
                <w:noProof/>
              </w:rPr>
              <w:t>1.6.1 Research Question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_Toc220760134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10</w:t>
            </w:r>
            <w:r w:rsidRPr="004A1AE0">
              <w:rPr>
                <w:rFonts w:ascii="Arial" w:hAnsi="Arial" w:cs="Arial"/>
                <w:noProof/>
                <w:webHidden/>
              </w:rPr>
              <w:fldChar w:fldCharType="end"/>
            </w:r>
          </w:hyperlink>
        </w:p>
        <w:p w14:paraId="386FEECA" w14:textId="2547A8BC"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35" w:history="1">
            <w:r w:rsidRPr="004A1AE0">
              <w:rPr>
                <w:rStyle w:val="Hyperlink"/>
                <w:rFonts w:ascii="Arial" w:eastAsia="Arial" w:hAnsi="Arial" w:cs="Arial"/>
                <w:noProof/>
              </w:rPr>
              <w:t>1.6.2 Aims of Research</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_Toc220760135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10</w:t>
            </w:r>
            <w:r w:rsidRPr="004A1AE0">
              <w:rPr>
                <w:rFonts w:ascii="Arial" w:hAnsi="Arial" w:cs="Arial"/>
                <w:noProof/>
                <w:webHidden/>
              </w:rPr>
              <w:fldChar w:fldCharType="end"/>
            </w:r>
          </w:hyperlink>
        </w:p>
        <w:p w14:paraId="392889AF" w14:textId="11E38083"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36" w:history="1">
            <w:r w:rsidRPr="004A1AE0">
              <w:rPr>
                <w:rStyle w:val="Hyperlink"/>
                <w:rFonts w:ascii="Arial" w:eastAsia="Arial" w:hAnsi="Arial" w:cs="Arial"/>
                <w:noProof/>
              </w:rPr>
              <w:t>1.6.3 Objectives of Research</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_Toc220760136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10</w:t>
            </w:r>
            <w:r w:rsidRPr="004A1AE0">
              <w:rPr>
                <w:rFonts w:ascii="Arial" w:hAnsi="Arial" w:cs="Arial"/>
                <w:noProof/>
                <w:webHidden/>
              </w:rPr>
              <w:fldChar w:fldCharType="end"/>
            </w:r>
          </w:hyperlink>
        </w:p>
        <w:p w14:paraId="6336D14B" w14:textId="477F9153"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37" w:history="1">
            <w:r w:rsidRPr="004A1AE0">
              <w:rPr>
                <w:rStyle w:val="Hyperlink"/>
                <w:rFonts w:ascii="Arial" w:hAnsi="Arial" w:cs="Arial"/>
                <w:noProof/>
              </w:rPr>
              <w:t>1.7 Scope of the Study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_Toc220760137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10</w:t>
            </w:r>
            <w:r w:rsidRPr="004A1AE0">
              <w:rPr>
                <w:rFonts w:ascii="Arial" w:hAnsi="Arial" w:cs="Arial"/>
                <w:noProof/>
                <w:webHidden/>
              </w:rPr>
              <w:fldChar w:fldCharType="end"/>
            </w:r>
          </w:hyperlink>
        </w:p>
        <w:p w14:paraId="49081877" w14:textId="3570F44F"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38" w:history="1">
            <w:r w:rsidRPr="004A1AE0">
              <w:rPr>
                <w:rStyle w:val="Hyperlink"/>
                <w:rFonts w:ascii="Arial" w:hAnsi="Arial" w:cs="Arial"/>
                <w:noProof/>
              </w:rPr>
              <w:t>1.8 Significance of the Study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_Toc220760138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11</w:t>
            </w:r>
            <w:r w:rsidRPr="004A1AE0">
              <w:rPr>
                <w:rFonts w:ascii="Arial" w:hAnsi="Arial" w:cs="Arial"/>
                <w:noProof/>
                <w:webHidden/>
              </w:rPr>
              <w:fldChar w:fldCharType="end"/>
            </w:r>
          </w:hyperlink>
        </w:p>
        <w:p w14:paraId="569F6E7D" w14:textId="7F24B0CE"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39" w:history="1">
            <w:r w:rsidRPr="004A1AE0">
              <w:rPr>
                <w:rStyle w:val="Hyperlink"/>
                <w:rFonts w:ascii="Arial" w:hAnsi="Arial" w:cs="Arial"/>
                <w:noProof/>
              </w:rPr>
              <w:t>1.9 Structure of the Dissertation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_Toc220760139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11</w:t>
            </w:r>
            <w:r w:rsidRPr="004A1AE0">
              <w:rPr>
                <w:rFonts w:ascii="Arial" w:hAnsi="Arial" w:cs="Arial"/>
                <w:noProof/>
                <w:webHidden/>
              </w:rPr>
              <w:fldChar w:fldCharType="end"/>
            </w:r>
          </w:hyperlink>
        </w:p>
        <w:p w14:paraId="3D5E8268" w14:textId="38F8ABCF"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40" w:history="1">
            <w:r w:rsidRPr="004A1AE0">
              <w:rPr>
                <w:rStyle w:val="Hyperlink"/>
                <w:rFonts w:ascii="Arial" w:hAnsi="Arial" w:cs="Arial"/>
                <w:noProof/>
              </w:rPr>
              <w:t>1.10 Summary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_Toc220760140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12</w:t>
            </w:r>
            <w:r w:rsidRPr="004A1AE0">
              <w:rPr>
                <w:rFonts w:ascii="Arial" w:hAnsi="Arial" w:cs="Arial"/>
                <w:noProof/>
                <w:webHidden/>
              </w:rPr>
              <w:fldChar w:fldCharType="end"/>
            </w:r>
          </w:hyperlink>
        </w:p>
        <w:p w14:paraId="6DBDB72E" w14:textId="62340736"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41" w:history="1">
            <w:r w:rsidRPr="004A1AE0">
              <w:rPr>
                <w:rStyle w:val="Hyperlink"/>
                <w:rFonts w:ascii="Arial" w:hAnsi="Arial" w:cs="Arial"/>
                <w:noProof/>
              </w:rPr>
              <w:t>Chapter 2: Literature Review</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_Toc220760141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13</w:t>
            </w:r>
            <w:r w:rsidRPr="004A1AE0">
              <w:rPr>
                <w:rFonts w:ascii="Arial" w:hAnsi="Arial" w:cs="Arial"/>
                <w:noProof/>
                <w:webHidden/>
              </w:rPr>
              <w:fldChar w:fldCharType="end"/>
            </w:r>
          </w:hyperlink>
        </w:p>
        <w:p w14:paraId="22295307" w14:textId="4BAC78DB"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42" w:history="1">
            <w:r w:rsidRPr="004A1AE0">
              <w:rPr>
                <w:rStyle w:val="Hyperlink"/>
                <w:rFonts w:ascii="Arial" w:hAnsi="Arial" w:cs="Arial"/>
                <w:noProof/>
              </w:rPr>
              <w:t>2.1 Introduction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_Toc220760142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13</w:t>
            </w:r>
            <w:r w:rsidRPr="004A1AE0">
              <w:rPr>
                <w:rFonts w:ascii="Arial" w:hAnsi="Arial" w:cs="Arial"/>
                <w:noProof/>
                <w:webHidden/>
              </w:rPr>
              <w:fldChar w:fldCharType="end"/>
            </w:r>
          </w:hyperlink>
        </w:p>
        <w:p w14:paraId="2662FC00" w14:textId="08A7623D"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43" w:history="1">
            <w:r w:rsidRPr="004A1AE0">
              <w:rPr>
                <w:rStyle w:val="Hyperlink"/>
                <w:rFonts w:ascii="Arial" w:hAnsi="Arial" w:cs="Arial"/>
                <w:noProof/>
              </w:rPr>
              <w:t>2.2 Understanding Alzheimer’s Disease</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_Toc220760143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13</w:t>
            </w:r>
            <w:r w:rsidRPr="004A1AE0">
              <w:rPr>
                <w:rFonts w:ascii="Arial" w:hAnsi="Arial" w:cs="Arial"/>
                <w:noProof/>
                <w:webHidden/>
              </w:rPr>
              <w:fldChar w:fldCharType="end"/>
            </w:r>
          </w:hyperlink>
        </w:p>
        <w:p w14:paraId="3E6A5847" w14:textId="2C964DF5"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44" w:history="1">
            <w:r w:rsidRPr="004A1AE0">
              <w:rPr>
                <w:rStyle w:val="Hyperlink"/>
                <w:rFonts w:ascii="Arial" w:hAnsi="Arial" w:cs="Arial"/>
                <w:noProof/>
              </w:rPr>
              <w:t>2.2.1 Causes of Alzheimer’s Disease</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_Toc220760144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14</w:t>
            </w:r>
            <w:r w:rsidRPr="004A1AE0">
              <w:rPr>
                <w:rFonts w:ascii="Arial" w:hAnsi="Arial" w:cs="Arial"/>
                <w:noProof/>
                <w:webHidden/>
              </w:rPr>
              <w:fldChar w:fldCharType="end"/>
            </w:r>
          </w:hyperlink>
        </w:p>
        <w:p w14:paraId="10C97230" w14:textId="41BAC88A"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45" w:history="1">
            <w:r w:rsidRPr="004A1AE0">
              <w:rPr>
                <w:rStyle w:val="Hyperlink"/>
                <w:rFonts w:ascii="Arial" w:hAnsi="Arial" w:cs="Arial"/>
                <w:noProof/>
              </w:rPr>
              <w:t>2.2.2 Symptoms and Progression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_Toc220760145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15</w:t>
            </w:r>
            <w:r w:rsidRPr="004A1AE0">
              <w:rPr>
                <w:rFonts w:ascii="Arial" w:hAnsi="Arial" w:cs="Arial"/>
                <w:noProof/>
                <w:webHidden/>
              </w:rPr>
              <w:fldChar w:fldCharType="end"/>
            </w:r>
          </w:hyperlink>
        </w:p>
        <w:p w14:paraId="1B2E5F7A" w14:textId="2A4EAE68"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46" w:history="1">
            <w:r w:rsidRPr="004A1AE0">
              <w:rPr>
                <w:rStyle w:val="Hyperlink"/>
                <w:rFonts w:ascii="Arial" w:hAnsi="Arial" w:cs="Arial"/>
                <w:noProof/>
              </w:rPr>
              <w:t>2.3 Impact on Older Adults and Families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_Toc220760146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16</w:t>
            </w:r>
            <w:r w:rsidRPr="004A1AE0">
              <w:rPr>
                <w:rFonts w:ascii="Arial" w:hAnsi="Arial" w:cs="Arial"/>
                <w:noProof/>
                <w:webHidden/>
              </w:rPr>
              <w:fldChar w:fldCharType="end"/>
            </w:r>
          </w:hyperlink>
        </w:p>
        <w:p w14:paraId="5D117C19" w14:textId="49BFFE02"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47" w:history="1">
            <w:r w:rsidRPr="004A1AE0">
              <w:rPr>
                <w:rStyle w:val="Hyperlink"/>
                <w:rFonts w:ascii="Arial" w:hAnsi="Arial" w:cs="Arial"/>
                <w:noProof/>
              </w:rPr>
              <w:t>2.4 Access to Healthcare Services in Minority and Migrant Populations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_Toc220760147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17</w:t>
            </w:r>
            <w:r w:rsidRPr="004A1AE0">
              <w:rPr>
                <w:rFonts w:ascii="Arial" w:hAnsi="Arial" w:cs="Arial"/>
                <w:noProof/>
                <w:webHidden/>
              </w:rPr>
              <w:fldChar w:fldCharType="end"/>
            </w:r>
          </w:hyperlink>
        </w:p>
        <w:p w14:paraId="02D2AE71" w14:textId="0A02D1AA"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48" w:history="1">
            <w:r w:rsidRPr="004A1AE0">
              <w:rPr>
                <w:rStyle w:val="Hyperlink"/>
                <w:rFonts w:ascii="Arial" w:hAnsi="Arial" w:cs="Arial"/>
                <w:noProof/>
              </w:rPr>
              <w:t>2.5 Cultural Barriers to Accessing Alzheimer’s Care</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_Toc220760148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18</w:t>
            </w:r>
            <w:r w:rsidRPr="004A1AE0">
              <w:rPr>
                <w:rFonts w:ascii="Arial" w:hAnsi="Arial" w:cs="Arial"/>
                <w:noProof/>
                <w:webHidden/>
              </w:rPr>
              <w:fldChar w:fldCharType="end"/>
            </w:r>
          </w:hyperlink>
        </w:p>
        <w:p w14:paraId="677AD2FB" w14:textId="008D13D6"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49" w:history="1">
            <w:r w:rsidRPr="004A1AE0">
              <w:rPr>
                <w:rStyle w:val="Hyperlink"/>
                <w:rFonts w:ascii="Arial" w:hAnsi="Arial" w:cs="Arial"/>
                <w:noProof/>
              </w:rPr>
              <w:t>2.6 Awareness and Knowledge-Related Barriers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_Toc220760149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19</w:t>
            </w:r>
            <w:r w:rsidRPr="004A1AE0">
              <w:rPr>
                <w:rFonts w:ascii="Arial" w:hAnsi="Arial" w:cs="Arial"/>
                <w:noProof/>
                <w:webHidden/>
              </w:rPr>
              <w:fldChar w:fldCharType="end"/>
            </w:r>
          </w:hyperlink>
        </w:p>
        <w:p w14:paraId="6DFCCE49" w14:textId="63C621FA"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50" w:history="1">
            <w:r w:rsidRPr="004A1AE0">
              <w:rPr>
                <w:rStyle w:val="Hyperlink"/>
                <w:rFonts w:ascii="Arial" w:hAnsi="Arial" w:cs="Arial"/>
                <w:noProof/>
              </w:rPr>
              <w:t>2.7 Language and Communication Barriers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_Toc220760150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20</w:t>
            </w:r>
            <w:r w:rsidRPr="004A1AE0">
              <w:rPr>
                <w:rFonts w:ascii="Arial" w:hAnsi="Arial" w:cs="Arial"/>
                <w:noProof/>
                <w:webHidden/>
              </w:rPr>
              <w:fldChar w:fldCharType="end"/>
            </w:r>
          </w:hyperlink>
        </w:p>
        <w:p w14:paraId="1682B4F7" w14:textId="35C8FE0D"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51" w:history="1">
            <w:r w:rsidRPr="004A1AE0">
              <w:rPr>
                <w:rStyle w:val="Hyperlink"/>
                <w:rFonts w:ascii="Arial" w:hAnsi="Arial" w:cs="Arial"/>
                <w:noProof/>
              </w:rPr>
              <w:t>2.8 Systemic and Structural Barriers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_Toc220760151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20</w:t>
            </w:r>
            <w:r w:rsidRPr="004A1AE0">
              <w:rPr>
                <w:rFonts w:ascii="Arial" w:hAnsi="Arial" w:cs="Arial"/>
                <w:noProof/>
                <w:webHidden/>
              </w:rPr>
              <w:fldChar w:fldCharType="end"/>
            </w:r>
          </w:hyperlink>
        </w:p>
        <w:p w14:paraId="2F6537AE" w14:textId="410EDC45"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52" w:history="1">
            <w:r w:rsidRPr="004A1AE0">
              <w:rPr>
                <w:rStyle w:val="Hyperlink"/>
                <w:rFonts w:ascii="Arial" w:hAnsi="Arial" w:cs="Arial"/>
                <w:noProof/>
              </w:rPr>
              <w:t>2.9 Strategies and Interventions to Improve Alzheimer’s Care Access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_Toc220760152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21</w:t>
            </w:r>
            <w:r w:rsidRPr="004A1AE0">
              <w:rPr>
                <w:rFonts w:ascii="Arial" w:hAnsi="Arial" w:cs="Arial"/>
                <w:noProof/>
                <w:webHidden/>
              </w:rPr>
              <w:fldChar w:fldCharType="end"/>
            </w:r>
          </w:hyperlink>
        </w:p>
        <w:p w14:paraId="5915E0C8" w14:textId="15F23506"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53" w:history="1">
            <w:r w:rsidRPr="004A1AE0">
              <w:rPr>
                <w:rStyle w:val="Hyperlink"/>
                <w:rFonts w:ascii="Arial" w:hAnsi="Arial" w:cs="Arial"/>
                <w:noProof/>
              </w:rPr>
              <w:t>2.10 Theoretical Frameworks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_Toc220760153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22</w:t>
            </w:r>
            <w:r w:rsidRPr="004A1AE0">
              <w:rPr>
                <w:rFonts w:ascii="Arial" w:hAnsi="Arial" w:cs="Arial"/>
                <w:noProof/>
                <w:webHidden/>
              </w:rPr>
              <w:fldChar w:fldCharType="end"/>
            </w:r>
          </w:hyperlink>
        </w:p>
        <w:p w14:paraId="375D38F1" w14:textId="0C892027"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54" w:history="1">
            <w:r w:rsidRPr="004A1AE0">
              <w:rPr>
                <w:rStyle w:val="Hyperlink"/>
                <w:rFonts w:ascii="Arial" w:hAnsi="Arial" w:cs="Arial"/>
                <w:noProof/>
              </w:rPr>
              <w:t>2.10.1 Health Belief Model</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_Toc220760154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22</w:t>
            </w:r>
            <w:r w:rsidRPr="004A1AE0">
              <w:rPr>
                <w:rFonts w:ascii="Arial" w:hAnsi="Arial" w:cs="Arial"/>
                <w:noProof/>
                <w:webHidden/>
              </w:rPr>
              <w:fldChar w:fldCharType="end"/>
            </w:r>
          </w:hyperlink>
        </w:p>
        <w:p w14:paraId="0E5E38B1" w14:textId="272CDAD6"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55" w:history="1">
            <w:r w:rsidRPr="004A1AE0">
              <w:rPr>
                <w:rStyle w:val="Hyperlink"/>
                <w:rFonts w:ascii="Arial" w:hAnsi="Arial" w:cs="Arial"/>
                <w:noProof/>
              </w:rPr>
              <w:t>2.10.2 Theory of Planned Behaviour</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_Toc220760155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23</w:t>
            </w:r>
            <w:r w:rsidRPr="004A1AE0">
              <w:rPr>
                <w:rFonts w:ascii="Arial" w:hAnsi="Arial" w:cs="Arial"/>
                <w:noProof/>
                <w:webHidden/>
              </w:rPr>
              <w:fldChar w:fldCharType="end"/>
            </w:r>
          </w:hyperlink>
        </w:p>
        <w:p w14:paraId="4FB1882F" w14:textId="29D33690"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56" w:history="1">
            <w:r w:rsidRPr="004A1AE0">
              <w:rPr>
                <w:rStyle w:val="Hyperlink"/>
                <w:rFonts w:ascii="Arial" w:hAnsi="Arial" w:cs="Arial"/>
                <w:noProof/>
              </w:rPr>
              <w:t>2.11 Research Gaps and Limitations in Existing Literature</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_Toc220760156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24</w:t>
            </w:r>
            <w:r w:rsidRPr="004A1AE0">
              <w:rPr>
                <w:rFonts w:ascii="Arial" w:hAnsi="Arial" w:cs="Arial"/>
                <w:noProof/>
                <w:webHidden/>
              </w:rPr>
              <w:fldChar w:fldCharType="end"/>
            </w:r>
          </w:hyperlink>
        </w:p>
        <w:p w14:paraId="68C26184" w14:textId="1F602B17"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57" w:history="1">
            <w:r w:rsidRPr="004A1AE0">
              <w:rPr>
                <w:rStyle w:val="Hyperlink"/>
                <w:rFonts w:ascii="Arial" w:hAnsi="Arial" w:cs="Arial"/>
                <w:noProof/>
              </w:rPr>
              <w:t>2.12 Summary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_Toc220760157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25</w:t>
            </w:r>
            <w:r w:rsidRPr="004A1AE0">
              <w:rPr>
                <w:rFonts w:ascii="Arial" w:hAnsi="Arial" w:cs="Arial"/>
                <w:noProof/>
                <w:webHidden/>
              </w:rPr>
              <w:fldChar w:fldCharType="end"/>
            </w:r>
          </w:hyperlink>
        </w:p>
        <w:p w14:paraId="0423FB1E" w14:textId="0C5BB5F8"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58" w:history="1">
            <w:r w:rsidRPr="004A1AE0">
              <w:rPr>
                <w:rStyle w:val="Hyperlink"/>
                <w:rFonts w:ascii="Arial" w:hAnsi="Arial" w:cs="Arial"/>
                <w:noProof/>
              </w:rPr>
              <w:t>Chapter 3: Methodology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_Toc220760158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26</w:t>
            </w:r>
            <w:r w:rsidRPr="004A1AE0">
              <w:rPr>
                <w:rFonts w:ascii="Arial" w:hAnsi="Arial" w:cs="Arial"/>
                <w:noProof/>
                <w:webHidden/>
              </w:rPr>
              <w:fldChar w:fldCharType="end"/>
            </w:r>
          </w:hyperlink>
        </w:p>
        <w:p w14:paraId="73657288" w14:textId="5717940E"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59" w:history="1">
            <w:r w:rsidRPr="004A1AE0">
              <w:rPr>
                <w:rStyle w:val="Hyperlink"/>
                <w:rFonts w:ascii="Arial" w:hAnsi="Arial" w:cs="Arial"/>
                <w:noProof/>
              </w:rPr>
              <w:t>3.1 Introduction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_Toc220760159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26</w:t>
            </w:r>
            <w:r w:rsidRPr="004A1AE0">
              <w:rPr>
                <w:rFonts w:ascii="Arial" w:hAnsi="Arial" w:cs="Arial"/>
                <w:noProof/>
                <w:webHidden/>
              </w:rPr>
              <w:fldChar w:fldCharType="end"/>
            </w:r>
          </w:hyperlink>
        </w:p>
        <w:p w14:paraId="15E7B3EF" w14:textId="5E03ABC0"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60" w:history="1">
            <w:r w:rsidRPr="004A1AE0">
              <w:rPr>
                <w:rStyle w:val="Hyperlink"/>
                <w:rFonts w:ascii="Arial" w:hAnsi="Arial" w:cs="Arial"/>
                <w:noProof/>
              </w:rPr>
              <w:t>3.2 Research Philosophy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_Toc220760160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26</w:t>
            </w:r>
            <w:r w:rsidRPr="004A1AE0">
              <w:rPr>
                <w:rFonts w:ascii="Arial" w:hAnsi="Arial" w:cs="Arial"/>
                <w:noProof/>
                <w:webHidden/>
              </w:rPr>
              <w:fldChar w:fldCharType="end"/>
            </w:r>
          </w:hyperlink>
        </w:p>
        <w:p w14:paraId="74EE9A48" w14:textId="43DF62CD"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61" w:history="1">
            <w:r w:rsidRPr="004A1AE0">
              <w:rPr>
                <w:rStyle w:val="Hyperlink"/>
                <w:rFonts w:ascii="Arial" w:hAnsi="Arial" w:cs="Arial"/>
                <w:noProof/>
              </w:rPr>
              <w:t>3.3 Research Approach</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_Toc220760161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27</w:t>
            </w:r>
            <w:r w:rsidRPr="004A1AE0">
              <w:rPr>
                <w:rFonts w:ascii="Arial" w:hAnsi="Arial" w:cs="Arial"/>
                <w:noProof/>
                <w:webHidden/>
              </w:rPr>
              <w:fldChar w:fldCharType="end"/>
            </w:r>
          </w:hyperlink>
        </w:p>
        <w:p w14:paraId="00A1C0C9" w14:textId="45008E9D"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62" w:history="1">
            <w:r w:rsidRPr="004A1AE0">
              <w:rPr>
                <w:rStyle w:val="Hyperlink"/>
                <w:rFonts w:ascii="Arial" w:hAnsi="Arial" w:cs="Arial"/>
                <w:noProof/>
              </w:rPr>
              <w:t>3.4 Study Design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_Toc220760162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27</w:t>
            </w:r>
            <w:r w:rsidRPr="004A1AE0">
              <w:rPr>
                <w:rFonts w:ascii="Arial" w:hAnsi="Arial" w:cs="Arial"/>
                <w:noProof/>
                <w:webHidden/>
              </w:rPr>
              <w:fldChar w:fldCharType="end"/>
            </w:r>
          </w:hyperlink>
        </w:p>
        <w:p w14:paraId="586D7F9D" w14:textId="67213314"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63" w:history="1">
            <w:r w:rsidRPr="004A1AE0">
              <w:rPr>
                <w:rStyle w:val="Hyperlink"/>
                <w:rFonts w:ascii="Arial" w:hAnsi="Arial" w:cs="Arial"/>
                <w:noProof/>
              </w:rPr>
              <w:t>3.5 Research Strategy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_Toc220760163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28</w:t>
            </w:r>
            <w:r w:rsidRPr="004A1AE0">
              <w:rPr>
                <w:rFonts w:ascii="Arial" w:hAnsi="Arial" w:cs="Arial"/>
                <w:noProof/>
                <w:webHidden/>
              </w:rPr>
              <w:fldChar w:fldCharType="end"/>
            </w:r>
          </w:hyperlink>
        </w:p>
        <w:p w14:paraId="7BC58466" w14:textId="54F9E3DF"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64" w:history="1">
            <w:r w:rsidRPr="004A1AE0">
              <w:rPr>
                <w:rStyle w:val="Hyperlink"/>
                <w:rFonts w:ascii="Arial" w:hAnsi="Arial" w:cs="Arial"/>
                <w:noProof/>
              </w:rPr>
              <w:t>3.6 Method of Data Collection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_Toc220760164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29</w:t>
            </w:r>
            <w:r w:rsidRPr="004A1AE0">
              <w:rPr>
                <w:rFonts w:ascii="Arial" w:hAnsi="Arial" w:cs="Arial"/>
                <w:noProof/>
                <w:webHidden/>
              </w:rPr>
              <w:fldChar w:fldCharType="end"/>
            </w:r>
          </w:hyperlink>
        </w:p>
        <w:p w14:paraId="6375249B" w14:textId="6F003C46"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65" w:history="1">
            <w:r w:rsidRPr="004A1AE0">
              <w:rPr>
                <w:rStyle w:val="Hyperlink"/>
                <w:rFonts w:ascii="Arial" w:hAnsi="Arial" w:cs="Arial"/>
                <w:noProof/>
              </w:rPr>
              <w:t>3.7 PICOS Framework</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_Toc220760165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29</w:t>
            </w:r>
            <w:r w:rsidRPr="004A1AE0">
              <w:rPr>
                <w:rFonts w:ascii="Arial" w:hAnsi="Arial" w:cs="Arial"/>
                <w:noProof/>
                <w:webHidden/>
              </w:rPr>
              <w:fldChar w:fldCharType="end"/>
            </w:r>
          </w:hyperlink>
        </w:p>
        <w:p w14:paraId="200A2959" w14:textId="0397818E"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66" w:history="1">
            <w:r w:rsidRPr="004A1AE0">
              <w:rPr>
                <w:rStyle w:val="Hyperlink"/>
                <w:rFonts w:ascii="Arial" w:hAnsi="Arial" w:cs="Arial"/>
                <w:noProof/>
              </w:rPr>
              <w:t>3.8 Inclusion and Exclusion Criteria</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_Toc220760166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30</w:t>
            </w:r>
            <w:r w:rsidRPr="004A1AE0">
              <w:rPr>
                <w:rFonts w:ascii="Arial" w:hAnsi="Arial" w:cs="Arial"/>
                <w:noProof/>
                <w:webHidden/>
              </w:rPr>
              <w:fldChar w:fldCharType="end"/>
            </w:r>
          </w:hyperlink>
        </w:p>
        <w:p w14:paraId="40E10968" w14:textId="6D0E6D27"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67" w:history="1">
            <w:r w:rsidRPr="004A1AE0">
              <w:rPr>
                <w:rStyle w:val="Hyperlink"/>
                <w:rFonts w:ascii="Arial" w:eastAsiaTheme="majorEastAsia" w:hAnsi="Arial" w:cs="Arial"/>
                <w:noProof/>
              </w:rPr>
              <w:t>3.8.1 Inclusion Criteria</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_Toc220760167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30</w:t>
            </w:r>
            <w:r w:rsidRPr="004A1AE0">
              <w:rPr>
                <w:rFonts w:ascii="Arial" w:hAnsi="Arial" w:cs="Arial"/>
                <w:noProof/>
                <w:webHidden/>
              </w:rPr>
              <w:fldChar w:fldCharType="end"/>
            </w:r>
          </w:hyperlink>
        </w:p>
        <w:p w14:paraId="1432BEF7" w14:textId="572097A3"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68" w:history="1">
            <w:r w:rsidRPr="004A1AE0">
              <w:rPr>
                <w:rStyle w:val="Hyperlink"/>
                <w:rFonts w:ascii="Arial" w:eastAsiaTheme="majorEastAsia" w:hAnsi="Arial" w:cs="Arial"/>
                <w:noProof/>
              </w:rPr>
              <w:t>3.8.2 Exclusion Criteria</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_Toc220760168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31</w:t>
            </w:r>
            <w:r w:rsidRPr="004A1AE0">
              <w:rPr>
                <w:rFonts w:ascii="Arial" w:hAnsi="Arial" w:cs="Arial"/>
                <w:noProof/>
                <w:webHidden/>
              </w:rPr>
              <w:fldChar w:fldCharType="end"/>
            </w:r>
          </w:hyperlink>
        </w:p>
        <w:p w14:paraId="79D4B795" w14:textId="2223DA07"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69" w:history="1">
            <w:r w:rsidRPr="004A1AE0">
              <w:rPr>
                <w:rStyle w:val="Hyperlink"/>
                <w:rFonts w:ascii="Arial" w:hAnsi="Arial" w:cs="Arial"/>
                <w:noProof/>
              </w:rPr>
              <w:t>3.9 Database Search Procedure</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_Toc220760169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31</w:t>
            </w:r>
            <w:r w:rsidRPr="004A1AE0">
              <w:rPr>
                <w:rFonts w:ascii="Arial" w:hAnsi="Arial" w:cs="Arial"/>
                <w:noProof/>
                <w:webHidden/>
              </w:rPr>
              <w:fldChar w:fldCharType="end"/>
            </w:r>
          </w:hyperlink>
        </w:p>
        <w:p w14:paraId="7093D59F" w14:textId="660ED6B4"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70" w:history="1">
            <w:r w:rsidRPr="004A1AE0">
              <w:rPr>
                <w:rStyle w:val="Hyperlink"/>
                <w:rFonts w:ascii="Arial" w:hAnsi="Arial" w:cs="Arial"/>
                <w:noProof/>
              </w:rPr>
              <w:t>3.10 Ethical Considerations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_Toc220760170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31</w:t>
            </w:r>
            <w:r w:rsidRPr="004A1AE0">
              <w:rPr>
                <w:rFonts w:ascii="Arial" w:hAnsi="Arial" w:cs="Arial"/>
                <w:noProof/>
                <w:webHidden/>
              </w:rPr>
              <w:fldChar w:fldCharType="end"/>
            </w:r>
          </w:hyperlink>
        </w:p>
        <w:p w14:paraId="727736C2" w14:textId="21977534"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71" w:history="1">
            <w:r w:rsidRPr="004A1AE0">
              <w:rPr>
                <w:rStyle w:val="Hyperlink"/>
                <w:rFonts w:ascii="Arial" w:hAnsi="Arial" w:cs="Arial"/>
                <w:noProof/>
              </w:rPr>
              <w:t>3.11 Data Analysis and Critical Appraisal</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_Toc220760171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32</w:t>
            </w:r>
            <w:r w:rsidRPr="004A1AE0">
              <w:rPr>
                <w:rFonts w:ascii="Arial" w:hAnsi="Arial" w:cs="Arial"/>
                <w:noProof/>
                <w:webHidden/>
              </w:rPr>
              <w:fldChar w:fldCharType="end"/>
            </w:r>
          </w:hyperlink>
        </w:p>
        <w:p w14:paraId="627CB65F" w14:textId="79E85B2B"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72" w:history="1">
            <w:r w:rsidRPr="004A1AE0">
              <w:rPr>
                <w:rStyle w:val="Hyperlink"/>
                <w:rFonts w:ascii="Arial" w:hAnsi="Arial" w:cs="Arial"/>
                <w:noProof/>
              </w:rPr>
              <w:t>3.12 Summary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_Toc220760172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33</w:t>
            </w:r>
            <w:r w:rsidRPr="004A1AE0">
              <w:rPr>
                <w:rFonts w:ascii="Arial" w:hAnsi="Arial" w:cs="Arial"/>
                <w:noProof/>
                <w:webHidden/>
              </w:rPr>
              <w:fldChar w:fldCharType="end"/>
            </w:r>
          </w:hyperlink>
        </w:p>
        <w:p w14:paraId="656D4B21" w14:textId="7B92911E"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73" w:history="1">
            <w:r w:rsidRPr="004A1AE0">
              <w:rPr>
                <w:rStyle w:val="Hyperlink"/>
                <w:rFonts w:ascii="Arial" w:hAnsi="Arial" w:cs="Arial"/>
                <w:noProof/>
              </w:rPr>
              <w:t>Chapter 4: Results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_Toc220760173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34</w:t>
            </w:r>
            <w:r w:rsidRPr="004A1AE0">
              <w:rPr>
                <w:rFonts w:ascii="Arial" w:hAnsi="Arial" w:cs="Arial"/>
                <w:noProof/>
                <w:webHidden/>
              </w:rPr>
              <w:fldChar w:fldCharType="end"/>
            </w:r>
          </w:hyperlink>
        </w:p>
        <w:p w14:paraId="2CE80B0E" w14:textId="72C2DAA3"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74" w:history="1">
            <w:r w:rsidRPr="004A1AE0">
              <w:rPr>
                <w:rStyle w:val="Hyperlink"/>
                <w:rFonts w:ascii="Arial" w:hAnsi="Arial" w:cs="Arial"/>
                <w:noProof/>
              </w:rPr>
              <w:t>4.1 Introduction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_Toc220760174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34</w:t>
            </w:r>
            <w:r w:rsidRPr="004A1AE0">
              <w:rPr>
                <w:rFonts w:ascii="Arial" w:hAnsi="Arial" w:cs="Arial"/>
                <w:noProof/>
                <w:webHidden/>
              </w:rPr>
              <w:fldChar w:fldCharType="end"/>
            </w:r>
          </w:hyperlink>
        </w:p>
        <w:p w14:paraId="5CFCD84C" w14:textId="1ECD607C"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75" w:history="1">
            <w:r w:rsidRPr="004A1AE0">
              <w:rPr>
                <w:rStyle w:val="Hyperlink"/>
                <w:rFonts w:ascii="Arial" w:hAnsi="Arial" w:cs="Arial"/>
                <w:noProof/>
              </w:rPr>
              <w:t>4.2 PRISMA Flow Diagram</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_Toc220760175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34</w:t>
            </w:r>
            <w:r w:rsidRPr="004A1AE0">
              <w:rPr>
                <w:rFonts w:ascii="Arial" w:hAnsi="Arial" w:cs="Arial"/>
                <w:noProof/>
                <w:webHidden/>
              </w:rPr>
              <w:fldChar w:fldCharType="end"/>
            </w:r>
          </w:hyperlink>
        </w:p>
        <w:p w14:paraId="6B02CEFF" w14:textId="0ABB7DEE"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76" w:history="1">
            <w:r w:rsidRPr="004A1AE0">
              <w:rPr>
                <w:rStyle w:val="Hyperlink"/>
                <w:rFonts w:ascii="Arial" w:hAnsi="Arial" w:cs="Arial"/>
                <w:noProof/>
              </w:rPr>
              <w:t>4.3 Data Extraction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_Toc220760176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35</w:t>
            </w:r>
            <w:r w:rsidRPr="004A1AE0">
              <w:rPr>
                <w:rFonts w:ascii="Arial" w:hAnsi="Arial" w:cs="Arial"/>
                <w:noProof/>
                <w:webHidden/>
              </w:rPr>
              <w:fldChar w:fldCharType="end"/>
            </w:r>
          </w:hyperlink>
        </w:p>
        <w:p w14:paraId="65CC0259" w14:textId="470B7FF8"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77" w:history="1">
            <w:r w:rsidRPr="004A1AE0">
              <w:rPr>
                <w:rStyle w:val="Hyperlink"/>
                <w:rFonts w:ascii="Arial" w:hAnsi="Arial" w:cs="Arial"/>
                <w:noProof/>
              </w:rPr>
              <w:t>Table 4.1: Data extraction table</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_Toc220760177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36</w:t>
            </w:r>
            <w:r w:rsidRPr="004A1AE0">
              <w:rPr>
                <w:rFonts w:ascii="Arial" w:hAnsi="Arial" w:cs="Arial"/>
                <w:noProof/>
                <w:webHidden/>
              </w:rPr>
              <w:fldChar w:fldCharType="end"/>
            </w:r>
          </w:hyperlink>
        </w:p>
        <w:p w14:paraId="5E82F7F5" w14:textId="6E72122D"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78" w:history="1">
            <w:r w:rsidRPr="004A1AE0">
              <w:rPr>
                <w:rStyle w:val="Hyperlink"/>
                <w:rFonts w:ascii="Arial" w:hAnsi="Arial" w:cs="Arial"/>
                <w:noProof/>
              </w:rPr>
              <w:t>4.4 Thematic Analysis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_Toc220760178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39</w:t>
            </w:r>
            <w:r w:rsidRPr="004A1AE0">
              <w:rPr>
                <w:rFonts w:ascii="Arial" w:hAnsi="Arial" w:cs="Arial"/>
                <w:noProof/>
                <w:webHidden/>
              </w:rPr>
              <w:fldChar w:fldCharType="end"/>
            </w:r>
          </w:hyperlink>
        </w:p>
        <w:p w14:paraId="616F53DC" w14:textId="38D2A3A2"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79" w:history="1">
            <w:r w:rsidRPr="004A1AE0">
              <w:rPr>
                <w:rStyle w:val="Hyperlink"/>
                <w:rFonts w:ascii="Arial" w:hAnsi="Arial" w:cs="Arial"/>
                <w:noProof/>
              </w:rPr>
              <w:t>4.4.1 Theme 1: Cultural Beliefs, Attitudes, and Social Norms Influencing Help-Seeking for Alzheimer’s Care</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_Toc220760179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39</w:t>
            </w:r>
            <w:r w:rsidRPr="004A1AE0">
              <w:rPr>
                <w:rFonts w:ascii="Arial" w:hAnsi="Arial" w:cs="Arial"/>
                <w:noProof/>
                <w:webHidden/>
              </w:rPr>
              <w:fldChar w:fldCharType="end"/>
            </w:r>
          </w:hyperlink>
        </w:p>
        <w:p w14:paraId="06F1014E" w14:textId="361D1E7C"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80" w:history="1">
            <w:r w:rsidRPr="004A1AE0">
              <w:rPr>
                <w:rStyle w:val="Hyperlink"/>
                <w:rFonts w:ascii="Arial" w:hAnsi="Arial" w:cs="Arial"/>
                <w:noProof/>
              </w:rPr>
              <w:t>4.4.2 Theme 2: Awareness, Knowledge, and Understanding of Alzheimer’s Disease and Available Services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_Toc220760180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40</w:t>
            </w:r>
            <w:r w:rsidRPr="004A1AE0">
              <w:rPr>
                <w:rFonts w:ascii="Arial" w:hAnsi="Arial" w:cs="Arial"/>
                <w:noProof/>
                <w:webHidden/>
              </w:rPr>
              <w:fldChar w:fldCharType="end"/>
            </w:r>
          </w:hyperlink>
        </w:p>
        <w:p w14:paraId="66CBD3C4" w14:textId="7B585802" w:rsidR="004A1AE0" w:rsidRPr="004A1AE0" w:rsidRDefault="004A1AE0" w:rsidP="004A1AE0">
          <w:pPr>
            <w:pStyle w:val="TOC2"/>
            <w:tabs>
              <w:tab w:val="right" w:leader="dot" w:pos="9016"/>
            </w:tabs>
            <w:spacing w:line="360" w:lineRule="auto"/>
            <w:rPr>
              <w:rFonts w:ascii="Arial" w:eastAsiaTheme="minorEastAsia" w:hAnsi="Arial" w:cs="Arial"/>
              <w:noProof/>
              <w:lang w:eastAsia="en-GB"/>
            </w:rPr>
          </w:pPr>
          <w:hyperlink w:anchor="_Toc220760181" w:history="1">
            <w:r w:rsidRPr="004A1AE0">
              <w:rPr>
                <w:rStyle w:val="Hyperlink"/>
                <w:rFonts w:ascii="Arial" w:hAnsi="Arial" w:cs="Arial"/>
                <w:noProof/>
              </w:rPr>
              <w:t>4.4.3 Theme 3: Language Barriers, Stigma, and Mistrust in Healthcare Systems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_Toc220760181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41</w:t>
            </w:r>
            <w:r w:rsidRPr="004A1AE0">
              <w:rPr>
                <w:rFonts w:ascii="Arial" w:hAnsi="Arial" w:cs="Arial"/>
                <w:noProof/>
                <w:webHidden/>
              </w:rPr>
              <w:fldChar w:fldCharType="end"/>
            </w:r>
          </w:hyperlink>
        </w:p>
        <w:p w14:paraId="3487FC84" w14:textId="207FDD59"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82" w:history="1">
            <w:r w:rsidRPr="004A1AE0">
              <w:rPr>
                <w:rStyle w:val="Hyperlink"/>
                <w:rFonts w:ascii="Arial" w:hAnsi="Arial" w:cs="Arial"/>
                <w:noProof/>
              </w:rPr>
              <w:t>4.4 Chapter Summary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_Toc220760182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42</w:t>
            </w:r>
            <w:r w:rsidRPr="004A1AE0">
              <w:rPr>
                <w:rFonts w:ascii="Arial" w:hAnsi="Arial" w:cs="Arial"/>
                <w:noProof/>
                <w:webHidden/>
              </w:rPr>
              <w:fldChar w:fldCharType="end"/>
            </w:r>
          </w:hyperlink>
        </w:p>
        <w:p w14:paraId="5FEF2686" w14:textId="1FACB38E"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83" w:history="1">
            <w:r w:rsidRPr="004A1AE0">
              <w:rPr>
                <w:rStyle w:val="Hyperlink"/>
                <w:rFonts w:ascii="Arial" w:hAnsi="Arial" w:cs="Arial"/>
                <w:noProof/>
              </w:rPr>
              <w:t>Chapter 5: Discussion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_Toc220760183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43</w:t>
            </w:r>
            <w:r w:rsidRPr="004A1AE0">
              <w:rPr>
                <w:rFonts w:ascii="Arial" w:hAnsi="Arial" w:cs="Arial"/>
                <w:noProof/>
                <w:webHidden/>
              </w:rPr>
              <w:fldChar w:fldCharType="end"/>
            </w:r>
          </w:hyperlink>
        </w:p>
        <w:p w14:paraId="74A5C2F6" w14:textId="6CF8D687"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84" w:history="1">
            <w:r w:rsidRPr="004A1AE0">
              <w:rPr>
                <w:rStyle w:val="Hyperlink"/>
                <w:rFonts w:ascii="Arial" w:hAnsi="Arial" w:cs="Arial"/>
                <w:noProof/>
              </w:rPr>
              <w:t>5.1 Introduction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_Toc220760184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43</w:t>
            </w:r>
            <w:r w:rsidRPr="004A1AE0">
              <w:rPr>
                <w:rFonts w:ascii="Arial" w:hAnsi="Arial" w:cs="Arial"/>
                <w:noProof/>
                <w:webHidden/>
              </w:rPr>
              <w:fldChar w:fldCharType="end"/>
            </w:r>
          </w:hyperlink>
        </w:p>
        <w:p w14:paraId="163540DE" w14:textId="4F8E8E27"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85" w:history="1">
            <w:r w:rsidRPr="004A1AE0">
              <w:rPr>
                <w:rStyle w:val="Hyperlink"/>
                <w:rFonts w:ascii="Arial" w:hAnsi="Arial" w:cs="Arial"/>
                <w:noProof/>
              </w:rPr>
              <w:t>5.2 Discussion of themes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_Toc220760185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43</w:t>
            </w:r>
            <w:r w:rsidRPr="004A1AE0">
              <w:rPr>
                <w:rFonts w:ascii="Arial" w:hAnsi="Arial" w:cs="Arial"/>
                <w:noProof/>
                <w:webHidden/>
              </w:rPr>
              <w:fldChar w:fldCharType="end"/>
            </w:r>
          </w:hyperlink>
        </w:p>
        <w:p w14:paraId="140654E6" w14:textId="6257403F"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86" w:history="1">
            <w:r w:rsidRPr="004A1AE0">
              <w:rPr>
                <w:rStyle w:val="Hyperlink"/>
                <w:rFonts w:ascii="Arial" w:hAnsi="Arial" w:cs="Arial"/>
                <w:noProof/>
              </w:rPr>
              <w:t>5.3 Gap and Limitations of the Study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_Toc220760186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45</w:t>
            </w:r>
            <w:r w:rsidRPr="004A1AE0">
              <w:rPr>
                <w:rFonts w:ascii="Arial" w:hAnsi="Arial" w:cs="Arial"/>
                <w:noProof/>
                <w:webHidden/>
              </w:rPr>
              <w:fldChar w:fldCharType="end"/>
            </w:r>
          </w:hyperlink>
        </w:p>
        <w:p w14:paraId="51F3C3A3" w14:textId="23B69F75"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87" w:history="1">
            <w:r w:rsidRPr="004A1AE0">
              <w:rPr>
                <w:rStyle w:val="Hyperlink"/>
                <w:rFonts w:ascii="Arial" w:hAnsi="Arial" w:cs="Arial"/>
                <w:noProof/>
              </w:rPr>
              <w:t>5.4 Chapter Summary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_Toc220760187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46</w:t>
            </w:r>
            <w:r w:rsidRPr="004A1AE0">
              <w:rPr>
                <w:rFonts w:ascii="Arial" w:hAnsi="Arial" w:cs="Arial"/>
                <w:noProof/>
                <w:webHidden/>
              </w:rPr>
              <w:fldChar w:fldCharType="end"/>
            </w:r>
          </w:hyperlink>
        </w:p>
        <w:p w14:paraId="0FA51404" w14:textId="73E33041"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88" w:history="1">
            <w:r w:rsidRPr="004A1AE0">
              <w:rPr>
                <w:rStyle w:val="Hyperlink"/>
                <w:rFonts w:ascii="Arial" w:hAnsi="Arial" w:cs="Arial"/>
                <w:noProof/>
              </w:rPr>
              <w:t>Chapter 6: Conclusion and Recommendations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_Toc220760188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47</w:t>
            </w:r>
            <w:r w:rsidRPr="004A1AE0">
              <w:rPr>
                <w:rFonts w:ascii="Arial" w:hAnsi="Arial" w:cs="Arial"/>
                <w:noProof/>
                <w:webHidden/>
              </w:rPr>
              <w:fldChar w:fldCharType="end"/>
            </w:r>
          </w:hyperlink>
        </w:p>
        <w:p w14:paraId="4AFDA216" w14:textId="57EEF7E2"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89" w:history="1">
            <w:r w:rsidRPr="004A1AE0">
              <w:rPr>
                <w:rStyle w:val="Hyperlink"/>
                <w:rFonts w:ascii="Arial" w:hAnsi="Arial" w:cs="Arial"/>
                <w:noProof/>
              </w:rPr>
              <w:t>6.1 Recommendations for Practice and Policy</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_Toc220760189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47</w:t>
            </w:r>
            <w:r w:rsidRPr="004A1AE0">
              <w:rPr>
                <w:rFonts w:ascii="Arial" w:hAnsi="Arial" w:cs="Arial"/>
                <w:noProof/>
                <w:webHidden/>
              </w:rPr>
              <w:fldChar w:fldCharType="end"/>
            </w:r>
          </w:hyperlink>
        </w:p>
        <w:p w14:paraId="7F400E83" w14:textId="2E142DC5"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90" w:history="1">
            <w:r w:rsidRPr="004A1AE0">
              <w:rPr>
                <w:rStyle w:val="Hyperlink"/>
                <w:rFonts w:ascii="Arial" w:hAnsi="Arial" w:cs="Arial"/>
                <w:noProof/>
              </w:rPr>
              <w:t>6.2 Recommendations for Future Research</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_Toc220760190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48</w:t>
            </w:r>
            <w:r w:rsidRPr="004A1AE0">
              <w:rPr>
                <w:rFonts w:ascii="Arial" w:hAnsi="Arial" w:cs="Arial"/>
                <w:noProof/>
                <w:webHidden/>
              </w:rPr>
              <w:fldChar w:fldCharType="end"/>
            </w:r>
          </w:hyperlink>
        </w:p>
        <w:p w14:paraId="5779C6B4" w14:textId="6910066F"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91" w:history="1">
            <w:r w:rsidRPr="004A1AE0">
              <w:rPr>
                <w:rStyle w:val="Hyperlink"/>
                <w:rFonts w:ascii="Arial" w:hAnsi="Arial" w:cs="Arial"/>
                <w:noProof/>
              </w:rPr>
              <w:t>6.3 Overall Conclusion and Answer to the Research Question</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_Toc220760191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49</w:t>
            </w:r>
            <w:r w:rsidRPr="004A1AE0">
              <w:rPr>
                <w:rFonts w:ascii="Arial" w:hAnsi="Arial" w:cs="Arial"/>
                <w:noProof/>
                <w:webHidden/>
              </w:rPr>
              <w:fldChar w:fldCharType="end"/>
            </w:r>
          </w:hyperlink>
        </w:p>
        <w:p w14:paraId="75C8BED4" w14:textId="25BD2AAF"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92" w:history="1">
            <w:r w:rsidRPr="004A1AE0">
              <w:rPr>
                <w:rStyle w:val="Hyperlink"/>
                <w:rFonts w:ascii="Arial" w:hAnsi="Arial" w:cs="Arial"/>
                <w:noProof/>
              </w:rPr>
              <w:t>6.4 Reflection on the Research Approach</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_Toc220760192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49</w:t>
            </w:r>
            <w:r w:rsidRPr="004A1AE0">
              <w:rPr>
                <w:rFonts w:ascii="Arial" w:hAnsi="Arial" w:cs="Arial"/>
                <w:noProof/>
                <w:webHidden/>
              </w:rPr>
              <w:fldChar w:fldCharType="end"/>
            </w:r>
          </w:hyperlink>
        </w:p>
        <w:p w14:paraId="314DCA3F" w14:textId="624CF056"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93" w:history="1">
            <w:r w:rsidRPr="004A1AE0">
              <w:rPr>
                <w:rStyle w:val="Hyperlink"/>
                <w:rFonts w:ascii="Arial" w:hAnsi="Arial" w:cs="Arial"/>
                <w:noProof/>
              </w:rPr>
              <w:t>6.5 Contribution of the Study and Final Remarks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_Toc220760193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51</w:t>
            </w:r>
            <w:r w:rsidRPr="004A1AE0">
              <w:rPr>
                <w:rFonts w:ascii="Arial" w:hAnsi="Arial" w:cs="Arial"/>
                <w:noProof/>
                <w:webHidden/>
              </w:rPr>
              <w:fldChar w:fldCharType="end"/>
            </w:r>
          </w:hyperlink>
        </w:p>
        <w:p w14:paraId="105496DA" w14:textId="5434EC17" w:rsidR="004A1AE0" w:rsidRPr="004A1AE0" w:rsidRDefault="004A1AE0" w:rsidP="004A1AE0">
          <w:pPr>
            <w:pStyle w:val="TOC1"/>
            <w:tabs>
              <w:tab w:val="right" w:leader="dot" w:pos="9016"/>
            </w:tabs>
            <w:spacing w:line="360" w:lineRule="auto"/>
            <w:rPr>
              <w:rFonts w:ascii="Arial" w:eastAsiaTheme="minorEastAsia" w:hAnsi="Arial" w:cs="Arial"/>
              <w:noProof/>
              <w:lang w:eastAsia="en-GB"/>
            </w:rPr>
          </w:pPr>
          <w:hyperlink w:anchor="_Toc220760194" w:history="1">
            <w:r w:rsidRPr="004A1AE0">
              <w:rPr>
                <w:rStyle w:val="Hyperlink"/>
                <w:rFonts w:ascii="Arial" w:hAnsi="Arial" w:cs="Arial"/>
                <w:noProof/>
              </w:rPr>
              <w:t>References</w:t>
            </w:r>
            <w:r w:rsidRPr="004A1AE0">
              <w:rPr>
                <w:rFonts w:ascii="Arial" w:hAnsi="Arial" w:cs="Arial"/>
                <w:noProof/>
                <w:webHidden/>
              </w:rPr>
              <w:tab/>
            </w:r>
            <w:r w:rsidRPr="004A1AE0">
              <w:rPr>
                <w:rFonts w:ascii="Arial" w:hAnsi="Arial" w:cs="Arial"/>
                <w:noProof/>
                <w:webHidden/>
              </w:rPr>
              <w:fldChar w:fldCharType="begin"/>
            </w:r>
            <w:r w:rsidRPr="004A1AE0">
              <w:rPr>
                <w:rFonts w:ascii="Arial" w:hAnsi="Arial" w:cs="Arial"/>
                <w:noProof/>
                <w:webHidden/>
              </w:rPr>
              <w:instrText xml:space="preserve"> PAGEREF _Toc220760194 \h </w:instrText>
            </w:r>
            <w:r w:rsidRPr="004A1AE0">
              <w:rPr>
                <w:rFonts w:ascii="Arial" w:hAnsi="Arial" w:cs="Arial"/>
                <w:noProof/>
                <w:webHidden/>
              </w:rPr>
            </w:r>
            <w:r w:rsidRPr="004A1AE0">
              <w:rPr>
                <w:rFonts w:ascii="Arial" w:hAnsi="Arial" w:cs="Arial"/>
                <w:noProof/>
                <w:webHidden/>
              </w:rPr>
              <w:fldChar w:fldCharType="separate"/>
            </w:r>
            <w:r w:rsidR="00C02E0D">
              <w:rPr>
                <w:rFonts w:ascii="Arial" w:hAnsi="Arial" w:cs="Arial"/>
                <w:noProof/>
                <w:webHidden/>
              </w:rPr>
              <w:t>52</w:t>
            </w:r>
            <w:r w:rsidRPr="004A1AE0">
              <w:rPr>
                <w:rFonts w:ascii="Arial" w:hAnsi="Arial" w:cs="Arial"/>
                <w:noProof/>
                <w:webHidden/>
              </w:rPr>
              <w:fldChar w:fldCharType="end"/>
            </w:r>
          </w:hyperlink>
        </w:p>
        <w:p w14:paraId="51B5BAC0" w14:textId="182BD302" w:rsidR="00554B8A" w:rsidRPr="004A1AE0" w:rsidRDefault="00554B8A" w:rsidP="004A1AE0">
          <w:pPr>
            <w:spacing w:after="0" w:line="360" w:lineRule="auto"/>
            <w:jc w:val="both"/>
            <w:rPr>
              <w:rFonts w:ascii="Arial" w:hAnsi="Arial" w:cs="Arial"/>
            </w:rPr>
          </w:pPr>
          <w:r w:rsidRPr="004A1AE0">
            <w:rPr>
              <w:rFonts w:ascii="Arial" w:hAnsi="Arial" w:cs="Arial"/>
              <w:b/>
              <w:bCs/>
            </w:rPr>
            <w:fldChar w:fldCharType="end"/>
          </w:r>
        </w:p>
      </w:sdtContent>
    </w:sdt>
    <w:p w14:paraId="532798D3" w14:textId="77777777" w:rsidR="00554B8A" w:rsidRPr="004A1AE0" w:rsidRDefault="00554B8A" w:rsidP="004A1AE0">
      <w:pPr>
        <w:spacing w:after="0" w:line="360" w:lineRule="auto"/>
        <w:jc w:val="both"/>
        <w:rPr>
          <w:rFonts w:ascii="Arial" w:hAnsi="Arial" w:cs="Arial"/>
          <w:b/>
          <w:bCs/>
        </w:rPr>
      </w:pPr>
    </w:p>
    <w:p w14:paraId="45F86895" w14:textId="77777777" w:rsidR="00554B8A" w:rsidRPr="004A1AE0" w:rsidRDefault="00554B8A" w:rsidP="004A1AE0">
      <w:pPr>
        <w:spacing w:after="0" w:line="360" w:lineRule="auto"/>
        <w:jc w:val="both"/>
        <w:rPr>
          <w:rFonts w:ascii="Arial" w:hAnsi="Arial" w:cs="Arial"/>
          <w:b/>
          <w:bCs/>
        </w:rPr>
      </w:pPr>
    </w:p>
    <w:p w14:paraId="1EFFBFAB" w14:textId="77777777" w:rsidR="00554B8A" w:rsidRPr="004A1AE0" w:rsidRDefault="00554B8A" w:rsidP="004A1AE0">
      <w:pPr>
        <w:spacing w:after="0" w:line="360" w:lineRule="auto"/>
        <w:jc w:val="both"/>
        <w:rPr>
          <w:rFonts w:ascii="Arial" w:hAnsi="Arial" w:cs="Arial"/>
          <w:b/>
          <w:bCs/>
        </w:rPr>
      </w:pPr>
    </w:p>
    <w:p w14:paraId="3F0B459C" w14:textId="77777777" w:rsidR="00554B8A" w:rsidRPr="004A1AE0" w:rsidRDefault="00554B8A" w:rsidP="004A1AE0">
      <w:pPr>
        <w:spacing w:after="0" w:line="360" w:lineRule="auto"/>
        <w:jc w:val="both"/>
        <w:rPr>
          <w:rFonts w:ascii="Arial" w:hAnsi="Arial" w:cs="Arial"/>
          <w:b/>
          <w:bCs/>
        </w:rPr>
      </w:pPr>
    </w:p>
    <w:p w14:paraId="7152624C" w14:textId="77777777" w:rsidR="00554B8A" w:rsidRPr="004A1AE0" w:rsidRDefault="00554B8A" w:rsidP="004A1AE0">
      <w:pPr>
        <w:spacing w:after="0" w:line="360" w:lineRule="auto"/>
        <w:jc w:val="both"/>
        <w:rPr>
          <w:rFonts w:ascii="Arial" w:hAnsi="Arial" w:cs="Arial"/>
          <w:b/>
          <w:bCs/>
        </w:rPr>
      </w:pPr>
    </w:p>
    <w:p w14:paraId="0D08B710" w14:textId="77777777" w:rsidR="00554B8A" w:rsidRPr="004A1AE0" w:rsidRDefault="00554B8A" w:rsidP="004A1AE0">
      <w:pPr>
        <w:spacing w:after="0" w:line="360" w:lineRule="auto"/>
        <w:jc w:val="both"/>
        <w:rPr>
          <w:rFonts w:ascii="Arial" w:hAnsi="Arial" w:cs="Arial"/>
          <w:b/>
          <w:bCs/>
        </w:rPr>
      </w:pPr>
    </w:p>
    <w:p w14:paraId="4002AA7E" w14:textId="77777777" w:rsidR="00554B8A" w:rsidRPr="004A1AE0" w:rsidRDefault="00554B8A" w:rsidP="004A1AE0">
      <w:pPr>
        <w:spacing w:after="0" w:line="360" w:lineRule="auto"/>
        <w:jc w:val="both"/>
        <w:rPr>
          <w:rFonts w:ascii="Arial" w:hAnsi="Arial" w:cs="Arial"/>
          <w:b/>
          <w:bCs/>
        </w:rPr>
      </w:pPr>
    </w:p>
    <w:p w14:paraId="1230733E" w14:textId="77777777" w:rsidR="00554B8A" w:rsidRPr="004A1AE0" w:rsidRDefault="00554B8A" w:rsidP="004A1AE0">
      <w:pPr>
        <w:spacing w:after="0" w:line="360" w:lineRule="auto"/>
        <w:jc w:val="both"/>
        <w:rPr>
          <w:rFonts w:ascii="Arial" w:hAnsi="Arial" w:cs="Arial"/>
          <w:b/>
          <w:bCs/>
        </w:rPr>
      </w:pPr>
    </w:p>
    <w:p w14:paraId="09233F9E" w14:textId="77777777" w:rsidR="001A6776" w:rsidRPr="004A1AE0" w:rsidRDefault="001A6776" w:rsidP="004A1AE0">
      <w:pPr>
        <w:spacing w:after="0" w:line="360" w:lineRule="auto"/>
        <w:jc w:val="both"/>
        <w:rPr>
          <w:rFonts w:ascii="Arial" w:hAnsi="Arial" w:cs="Arial"/>
          <w:b/>
          <w:bCs/>
        </w:rPr>
      </w:pPr>
    </w:p>
    <w:p w14:paraId="10DA79CB" w14:textId="77777777" w:rsidR="001A6776" w:rsidRPr="004A1AE0" w:rsidRDefault="001A6776" w:rsidP="004A1AE0">
      <w:pPr>
        <w:spacing w:after="0" w:line="360" w:lineRule="auto"/>
        <w:jc w:val="both"/>
        <w:rPr>
          <w:rFonts w:ascii="Arial" w:hAnsi="Arial" w:cs="Arial"/>
          <w:b/>
          <w:bCs/>
        </w:rPr>
      </w:pPr>
    </w:p>
    <w:p w14:paraId="785FD91C" w14:textId="77777777" w:rsidR="001A6776" w:rsidRPr="004A1AE0" w:rsidRDefault="001A6776" w:rsidP="004A1AE0">
      <w:pPr>
        <w:spacing w:after="0" w:line="360" w:lineRule="auto"/>
        <w:jc w:val="both"/>
        <w:rPr>
          <w:rFonts w:ascii="Arial" w:hAnsi="Arial" w:cs="Arial"/>
          <w:b/>
          <w:bCs/>
        </w:rPr>
      </w:pPr>
    </w:p>
    <w:p w14:paraId="2B1A412D" w14:textId="77777777" w:rsidR="001A6776" w:rsidRPr="004A1AE0" w:rsidRDefault="001A6776" w:rsidP="004A1AE0">
      <w:pPr>
        <w:spacing w:after="0" w:line="360" w:lineRule="auto"/>
        <w:jc w:val="both"/>
        <w:rPr>
          <w:rFonts w:ascii="Arial" w:hAnsi="Arial" w:cs="Arial"/>
          <w:b/>
          <w:bCs/>
        </w:rPr>
      </w:pPr>
    </w:p>
    <w:p w14:paraId="5F678A6A" w14:textId="77777777" w:rsidR="00554B8A" w:rsidRPr="001B19CD" w:rsidRDefault="00554B8A" w:rsidP="001A6776">
      <w:pPr>
        <w:spacing w:after="0" w:line="360" w:lineRule="auto"/>
        <w:rPr>
          <w:rFonts w:ascii="Arial" w:hAnsi="Arial" w:cs="Arial"/>
          <w:b/>
          <w:bCs/>
        </w:rPr>
      </w:pPr>
    </w:p>
    <w:p w14:paraId="46C09C9D" w14:textId="77777777" w:rsidR="00AF341A" w:rsidRPr="00AF341A" w:rsidRDefault="00AF341A" w:rsidP="001A6776">
      <w:pPr>
        <w:pStyle w:val="Heading1"/>
        <w:spacing w:before="0" w:line="240" w:lineRule="auto"/>
      </w:pPr>
      <w:bookmarkStart w:id="0" w:name="_Toc220760128"/>
      <w:r w:rsidRPr="00AF341A">
        <w:lastRenderedPageBreak/>
        <w:t>Chapter 1: Introduction</w:t>
      </w:r>
      <w:bookmarkEnd w:id="0"/>
    </w:p>
    <w:p w14:paraId="6645095A" w14:textId="77777777" w:rsidR="00AF341A" w:rsidRPr="00AF341A" w:rsidRDefault="00AF341A" w:rsidP="001A6776">
      <w:pPr>
        <w:pStyle w:val="Heading1"/>
        <w:spacing w:before="0" w:line="240" w:lineRule="auto"/>
      </w:pPr>
      <w:bookmarkStart w:id="1" w:name="_Toc220760129"/>
      <w:r w:rsidRPr="00AF341A">
        <w:t>1.1 Background and Context</w:t>
      </w:r>
      <w:bookmarkEnd w:id="1"/>
    </w:p>
    <w:p w14:paraId="4441DFC3" w14:textId="77777777" w:rsidR="004A1AE0" w:rsidRPr="004A1AE0" w:rsidRDefault="004A1AE0" w:rsidP="004A1AE0">
      <w:pPr>
        <w:spacing w:before="240" w:after="0" w:line="360" w:lineRule="auto"/>
        <w:jc w:val="both"/>
        <w:rPr>
          <w:rFonts w:ascii="Arial" w:hAnsi="Arial" w:cs="Arial"/>
        </w:rPr>
      </w:pPr>
      <w:r w:rsidRPr="004A1AE0">
        <w:rPr>
          <w:rFonts w:ascii="Arial" w:hAnsi="Arial" w:cs="Arial"/>
        </w:rPr>
        <w:t>One of the most urgent worldwide health issues related to ageing is Alzheimer's disease, a progressive neurological condition. It causes memory loss, cognitive decline, and severe impairment in day-to-day functioning, which eventually affects independence and quality of life (Barbe et al., 2018). According to NHS England (2024), there are presently an estimated 944,000 people in the UK who suffer from Alzheimer's disease and related dementias. By 2030, that number is expected to rise to over one million, and by 2040, it will reach 1.6 million. As the UK population ages, dementia care provision has become a critical public health priority. Disparities still exist between ethnic groups, nevertheless, with people from minority backgrounds frequently having more difficulty getting timely diagnosis and the right kind of care (Giebel et al., 2015; Co et al., 2023).</w:t>
      </w:r>
    </w:p>
    <w:p w14:paraId="58BF97E3" w14:textId="3121C363" w:rsidR="00AF341A" w:rsidRPr="00AF341A" w:rsidRDefault="00AF341A" w:rsidP="001E579A">
      <w:pPr>
        <w:spacing w:before="240" w:after="0" w:line="360" w:lineRule="auto"/>
        <w:jc w:val="both"/>
        <w:rPr>
          <w:rFonts w:ascii="Arial" w:hAnsi="Arial" w:cs="Arial"/>
        </w:rPr>
      </w:pPr>
      <w:r w:rsidRPr="00AF341A">
        <w:rPr>
          <w:rFonts w:ascii="Arial" w:hAnsi="Arial" w:cs="Arial"/>
        </w:rPr>
        <w:t>South Asian communities</w:t>
      </w:r>
      <w:r w:rsidR="001B19CD">
        <w:rPr>
          <w:rFonts w:ascii="Arial" w:hAnsi="Arial" w:cs="Arial"/>
        </w:rPr>
        <w:t xml:space="preserve">, </w:t>
      </w:r>
      <w:r w:rsidRPr="00AF341A">
        <w:rPr>
          <w:rFonts w:ascii="Arial" w:hAnsi="Arial" w:cs="Arial"/>
        </w:rPr>
        <w:t>including those of Indian, Pakistani, Bangladeshi, and Sri Lankan heritage</w:t>
      </w:r>
      <w:r w:rsidR="001B19CD">
        <w:rPr>
          <w:rFonts w:ascii="Arial" w:hAnsi="Arial" w:cs="Arial"/>
        </w:rPr>
        <w:t xml:space="preserve">, </w:t>
      </w:r>
      <w:r w:rsidRPr="00AF341A">
        <w:rPr>
          <w:rFonts w:ascii="Arial" w:hAnsi="Arial" w:cs="Arial"/>
        </w:rPr>
        <w:t>constitute one of the largest and fastest-growing minority groups in the UK. Despite their growing demographic presence, evidence indicates that South Asian older adults (aged 60 and above) remain underrepresented in dementia diagnosis statistics and service use</w:t>
      </w:r>
      <w:r w:rsidR="001B461C">
        <w:rPr>
          <w:rFonts w:ascii="Arial" w:hAnsi="Arial" w:cs="Arial"/>
        </w:rPr>
        <w:t xml:space="preserve"> (</w:t>
      </w:r>
      <w:r w:rsidR="001B461C" w:rsidRPr="00AF341A">
        <w:rPr>
          <w:rFonts w:ascii="Arial" w:hAnsi="Arial" w:cs="Arial"/>
        </w:rPr>
        <w:t>Hussain, 2022</w:t>
      </w:r>
      <w:r w:rsidR="001B461C">
        <w:rPr>
          <w:rFonts w:ascii="Arial" w:hAnsi="Arial" w:cs="Arial"/>
        </w:rPr>
        <w:t>)</w:t>
      </w:r>
      <w:r w:rsidRPr="00AF341A">
        <w:rPr>
          <w:rFonts w:ascii="Arial" w:hAnsi="Arial" w:cs="Arial"/>
        </w:rPr>
        <w:t>. The NHS Race and Health Observatory reports that less than 3% of dementia diagnoses occur within Black and South Asian groups, although these communities collectively account for around 7–8% of the UK’s elderly population (Co et al., 2023). This disparity not only signals inequity in access to healthcare but also points to deeper systemic, cultural, and informational barriers preventing early recognition and management of Alzheimer’s disease within these communities</w:t>
      </w:r>
      <w:r w:rsidR="00DC1B0F">
        <w:rPr>
          <w:rFonts w:ascii="Arial" w:hAnsi="Arial" w:cs="Arial"/>
        </w:rPr>
        <w:t xml:space="preserve"> (</w:t>
      </w:r>
      <w:r w:rsidR="00645F57" w:rsidRPr="00645F57">
        <w:rPr>
          <w:rFonts w:ascii="Arial" w:hAnsi="Arial" w:cs="Arial"/>
        </w:rPr>
        <w:t>Jenkins</w:t>
      </w:r>
      <w:r w:rsidR="00645F57">
        <w:rPr>
          <w:rFonts w:ascii="Arial" w:hAnsi="Arial" w:cs="Arial"/>
        </w:rPr>
        <w:t xml:space="preserve"> and </w:t>
      </w:r>
      <w:r w:rsidR="00645F57" w:rsidRPr="00645F57">
        <w:rPr>
          <w:rFonts w:ascii="Arial" w:hAnsi="Arial" w:cs="Arial"/>
        </w:rPr>
        <w:t>Kamal</w:t>
      </w:r>
      <w:r w:rsidR="00DC1B0F" w:rsidRPr="00AF341A">
        <w:rPr>
          <w:rFonts w:ascii="Arial" w:hAnsi="Arial" w:cs="Arial"/>
        </w:rPr>
        <w:t>, 202</w:t>
      </w:r>
      <w:r w:rsidR="00645F57">
        <w:rPr>
          <w:rFonts w:ascii="Arial" w:hAnsi="Arial" w:cs="Arial"/>
        </w:rPr>
        <w:t>4</w:t>
      </w:r>
      <w:r w:rsidR="00DC1B0F">
        <w:rPr>
          <w:rFonts w:ascii="Arial" w:hAnsi="Arial" w:cs="Arial"/>
        </w:rPr>
        <w:t>)</w:t>
      </w:r>
      <w:r w:rsidRPr="00AF341A">
        <w:rPr>
          <w:rFonts w:ascii="Arial" w:hAnsi="Arial" w:cs="Arial"/>
        </w:rPr>
        <w:t>.</w:t>
      </w:r>
    </w:p>
    <w:p w14:paraId="3B5A72B2" w14:textId="37E23573" w:rsidR="00AF341A" w:rsidRPr="00AF341A" w:rsidRDefault="00AF341A" w:rsidP="001E579A">
      <w:pPr>
        <w:spacing w:before="240" w:after="0" w:line="360" w:lineRule="auto"/>
        <w:jc w:val="both"/>
        <w:rPr>
          <w:rFonts w:ascii="Arial" w:hAnsi="Arial" w:cs="Arial"/>
        </w:rPr>
      </w:pPr>
      <w:r w:rsidRPr="00AF341A">
        <w:rPr>
          <w:rFonts w:ascii="Arial" w:hAnsi="Arial" w:cs="Arial"/>
        </w:rPr>
        <w:t>The significance of addressing these inequalities cannot be overstated. Research consistently demonstrates that early diagnosis and intervention are key to improving symptom management, delaying institutionalisation, and enhancing both patient and caregiver outcomes (Hossain and Khan, 2020). Yet, among South Asian families, dementia is often misunderstood, culturally stigmatised, or normalised as a natural aspect of ageing (Giebel et al., 2015; Hussain, 2022). Consequently, formal care pathways are frequently underutilised, and many cases go undiagnosed until symptoms become severe</w:t>
      </w:r>
      <w:r w:rsidR="004816F2">
        <w:rPr>
          <w:rFonts w:ascii="Arial" w:hAnsi="Arial" w:cs="Arial"/>
        </w:rPr>
        <w:t xml:space="preserve"> (</w:t>
      </w:r>
      <w:r w:rsidR="00E46EDF" w:rsidRPr="00E46EDF">
        <w:rPr>
          <w:rFonts w:ascii="Arial" w:hAnsi="Arial" w:cs="Arial"/>
        </w:rPr>
        <w:t>Abdullah</w:t>
      </w:r>
      <w:r w:rsidR="00E46EDF">
        <w:rPr>
          <w:rFonts w:ascii="Arial" w:hAnsi="Arial" w:cs="Arial"/>
        </w:rPr>
        <w:t xml:space="preserve"> et al</w:t>
      </w:r>
      <w:r w:rsidR="004816F2" w:rsidRPr="00AF341A">
        <w:rPr>
          <w:rFonts w:ascii="Arial" w:hAnsi="Arial" w:cs="Arial"/>
        </w:rPr>
        <w:t>, 202</w:t>
      </w:r>
      <w:r w:rsidR="00E46EDF">
        <w:rPr>
          <w:rFonts w:ascii="Arial" w:hAnsi="Arial" w:cs="Arial"/>
        </w:rPr>
        <w:t>3</w:t>
      </w:r>
      <w:r w:rsidR="004816F2">
        <w:rPr>
          <w:rFonts w:ascii="Arial" w:hAnsi="Arial" w:cs="Arial"/>
        </w:rPr>
        <w:t>)</w:t>
      </w:r>
      <w:r w:rsidRPr="00AF341A">
        <w:rPr>
          <w:rFonts w:ascii="Arial" w:hAnsi="Arial" w:cs="Arial"/>
        </w:rPr>
        <w:t xml:space="preserve">. This study situates itself within this </w:t>
      </w:r>
      <w:r w:rsidRPr="00AF341A">
        <w:rPr>
          <w:rFonts w:ascii="Arial" w:hAnsi="Arial" w:cs="Arial"/>
        </w:rPr>
        <w:lastRenderedPageBreak/>
        <w:t>context of inequality and cultural complexity, seeking to identify and synthesise the key barriers to Alzheimer’s care access for South Asian elders in the UK and to evaluate evidence-based strategies that could mitigate these barriers.</w:t>
      </w:r>
    </w:p>
    <w:p w14:paraId="17EEE3FE" w14:textId="77777777" w:rsidR="00AF341A" w:rsidRPr="00AF341A" w:rsidRDefault="00AF341A" w:rsidP="001A6776">
      <w:pPr>
        <w:pStyle w:val="Heading1"/>
      </w:pPr>
      <w:bookmarkStart w:id="2" w:name="_Toc220760130"/>
      <w:r w:rsidRPr="00AF341A">
        <w:t>1.2 Problem Statement</w:t>
      </w:r>
      <w:bookmarkEnd w:id="2"/>
    </w:p>
    <w:p w14:paraId="42AD4C22" w14:textId="632877A7" w:rsidR="00AF341A" w:rsidRPr="00AF341A" w:rsidRDefault="00AF341A" w:rsidP="001E579A">
      <w:pPr>
        <w:spacing w:before="240" w:after="0" w:line="360" w:lineRule="auto"/>
        <w:jc w:val="both"/>
        <w:rPr>
          <w:rFonts w:ascii="Arial" w:hAnsi="Arial" w:cs="Arial"/>
        </w:rPr>
      </w:pPr>
      <w:r w:rsidRPr="00AF341A">
        <w:rPr>
          <w:rFonts w:ascii="Arial" w:hAnsi="Arial" w:cs="Arial"/>
        </w:rPr>
        <w:t xml:space="preserve">Despite policy efforts to promote health equity, South Asian elders in the UK continue to experience disproportionate challenges in accessing </w:t>
      </w:r>
      <w:r w:rsidR="001B19CD">
        <w:rPr>
          <w:rFonts w:ascii="Arial" w:hAnsi="Arial" w:cs="Arial"/>
        </w:rPr>
        <w:t>Alzheimer’s-related</w:t>
      </w:r>
      <w:r w:rsidRPr="00AF341A">
        <w:rPr>
          <w:rFonts w:ascii="Arial" w:hAnsi="Arial" w:cs="Arial"/>
        </w:rPr>
        <w:t xml:space="preserve"> services</w:t>
      </w:r>
      <w:r w:rsidR="00B8569E">
        <w:rPr>
          <w:rFonts w:ascii="Arial" w:hAnsi="Arial" w:cs="Arial"/>
        </w:rPr>
        <w:t xml:space="preserve"> (</w:t>
      </w:r>
      <w:r w:rsidR="00B8569E" w:rsidRPr="00B8569E">
        <w:rPr>
          <w:rFonts w:ascii="Arial" w:hAnsi="Arial" w:cs="Arial"/>
        </w:rPr>
        <w:t>Alladi</w:t>
      </w:r>
      <w:r w:rsidR="00B8569E">
        <w:rPr>
          <w:rFonts w:ascii="Arial" w:hAnsi="Arial" w:cs="Arial"/>
        </w:rPr>
        <w:t xml:space="preserve"> et al, 2022)</w:t>
      </w:r>
      <w:r w:rsidRPr="00AF341A">
        <w:rPr>
          <w:rFonts w:ascii="Arial" w:hAnsi="Arial" w:cs="Arial"/>
        </w:rPr>
        <w:t>. These challenges manifest through multiple, interconnected layers: cultural beliefs that frame dementia as a personal or spiritual issue, stigma that prevents open discussion, language barriers that hinder communication, and limited awareness of available resources (Hussain, 2022; Raphael, 2022). The healthcare system, meanwhile, often lacks the cultural competence required to engage effectively with South Asian families, leading to mistrust and reduced uptake of diagnostic assessments (James et al., 2024).</w:t>
      </w:r>
    </w:p>
    <w:p w14:paraId="19476443" w14:textId="640F0D54" w:rsidR="00AF341A" w:rsidRPr="00AF341A" w:rsidRDefault="00AF341A" w:rsidP="001E579A">
      <w:pPr>
        <w:spacing w:before="240" w:after="0" w:line="360" w:lineRule="auto"/>
        <w:jc w:val="both"/>
        <w:rPr>
          <w:rFonts w:ascii="Arial" w:hAnsi="Arial" w:cs="Arial"/>
        </w:rPr>
      </w:pPr>
      <w:r w:rsidRPr="00AF341A">
        <w:rPr>
          <w:rFonts w:ascii="Arial" w:hAnsi="Arial" w:cs="Arial"/>
        </w:rPr>
        <w:t>This underdiagnosis is particularly concerning given the demographic trajectory of the UK’s ageing South Asian population, which is expected to double by 2031 (Alzheimer’s Society, 2023). Without targeted and culturally sensitive interventions, disparities in dementia care are likely to widen, deepening health inequities and increasing caregiver burden</w:t>
      </w:r>
      <w:r w:rsidR="008161F2">
        <w:rPr>
          <w:rFonts w:ascii="Arial" w:hAnsi="Arial" w:cs="Arial"/>
        </w:rPr>
        <w:t xml:space="preserve"> (</w:t>
      </w:r>
      <w:r w:rsidR="008161F2" w:rsidRPr="00B8569E">
        <w:rPr>
          <w:rFonts w:ascii="Arial" w:hAnsi="Arial" w:cs="Arial"/>
        </w:rPr>
        <w:t>Alladi</w:t>
      </w:r>
      <w:r w:rsidR="008161F2">
        <w:rPr>
          <w:rFonts w:ascii="Arial" w:hAnsi="Arial" w:cs="Arial"/>
        </w:rPr>
        <w:t xml:space="preserve"> et al, 2022)</w:t>
      </w:r>
      <w:r w:rsidRPr="00AF341A">
        <w:rPr>
          <w:rFonts w:ascii="Arial" w:hAnsi="Arial" w:cs="Arial"/>
        </w:rPr>
        <w:t>. The absence of comprehensive, population-specific evidence further complicates efforts to design effective interventions. Most existing research treats minority ethnic experiences as a monolithic category, thereby obscuring the distinct socio-cultural dynamics within South Asian communities (Hossain et al., 2020). This dissertation addresses that gap by systematically reviewing literature focused on South Asian elders’ access to Alzheimer’s care in the UK.</w:t>
      </w:r>
    </w:p>
    <w:p w14:paraId="62DE1064" w14:textId="77777777" w:rsidR="00AF341A" w:rsidRPr="00AF341A" w:rsidRDefault="00AF341A" w:rsidP="001A6776">
      <w:pPr>
        <w:pStyle w:val="Heading1"/>
      </w:pPr>
      <w:bookmarkStart w:id="3" w:name="_Toc220760131"/>
      <w:r w:rsidRPr="00AF341A">
        <w:t>1.3 Existing Research and Knowledge Gaps</w:t>
      </w:r>
      <w:bookmarkEnd w:id="3"/>
    </w:p>
    <w:p w14:paraId="7C27B30D" w14:textId="77777777" w:rsidR="00AF341A" w:rsidRPr="00AF341A" w:rsidRDefault="00AF341A" w:rsidP="001E579A">
      <w:pPr>
        <w:spacing w:before="240" w:after="0" w:line="360" w:lineRule="auto"/>
        <w:jc w:val="both"/>
        <w:rPr>
          <w:rFonts w:ascii="Arial" w:hAnsi="Arial" w:cs="Arial"/>
        </w:rPr>
      </w:pPr>
      <w:r w:rsidRPr="00AF341A">
        <w:rPr>
          <w:rFonts w:ascii="Arial" w:hAnsi="Arial" w:cs="Arial"/>
        </w:rPr>
        <w:t>The existing body of literature provides valuable insights into general dementia care challenges across ethnic minority populations. Studies consistently report barriers such as low awareness of dementia symptoms, stigma, language difficulties, and lack of culturally appropriate services (Cipriani et al., 2020; Giebel et al., 2015). However, few studies focus specifically on South Asian communities in the UK, and those that do often lack depth or generalise experiences across diverse subgroups.</w:t>
      </w:r>
    </w:p>
    <w:p w14:paraId="1A0CFB0D" w14:textId="0BF2EC94" w:rsidR="00AF341A" w:rsidRPr="00AF341A" w:rsidRDefault="00AF341A" w:rsidP="001E579A">
      <w:pPr>
        <w:spacing w:before="240" w:after="0" w:line="360" w:lineRule="auto"/>
        <w:jc w:val="both"/>
        <w:rPr>
          <w:rFonts w:ascii="Arial" w:hAnsi="Arial" w:cs="Arial"/>
        </w:rPr>
      </w:pPr>
      <w:r w:rsidRPr="00AF341A">
        <w:rPr>
          <w:rFonts w:ascii="Arial" w:hAnsi="Arial" w:cs="Arial"/>
        </w:rPr>
        <w:lastRenderedPageBreak/>
        <w:t>Research has shown that within South Asian families, cognitive decline in older relatives is often viewed as a natural or spiritual process rather than a medical condition requiring professional care (Hossain and Khan, 2020). Stigma surrounding mental and cognitive disorders can result in concealment of symptoms, delaying medical consultation (Hussain, 2022). Moreover, family-centred caregiving norms</w:t>
      </w:r>
      <w:r w:rsidR="00294D0C">
        <w:rPr>
          <w:rFonts w:ascii="Arial" w:hAnsi="Arial" w:cs="Arial"/>
        </w:rPr>
        <w:t xml:space="preserve">, </w:t>
      </w:r>
      <w:r w:rsidRPr="00AF341A">
        <w:rPr>
          <w:rFonts w:ascii="Arial" w:hAnsi="Arial" w:cs="Arial"/>
        </w:rPr>
        <w:t>where elder care is considered a filial duty</w:t>
      </w:r>
      <w:r w:rsidR="00294D0C">
        <w:rPr>
          <w:rFonts w:ascii="Arial" w:hAnsi="Arial" w:cs="Arial"/>
        </w:rPr>
        <w:t>,</w:t>
      </w:r>
      <w:r w:rsidR="001B19CD">
        <w:rPr>
          <w:rFonts w:ascii="Arial" w:hAnsi="Arial" w:cs="Arial"/>
        </w:rPr>
        <w:t xml:space="preserve"> </w:t>
      </w:r>
      <w:r w:rsidRPr="00AF341A">
        <w:rPr>
          <w:rFonts w:ascii="Arial" w:hAnsi="Arial" w:cs="Arial"/>
        </w:rPr>
        <w:t>further limit the perceived necessity of professional services (Hossain et al., 2020).</w:t>
      </w:r>
    </w:p>
    <w:p w14:paraId="7F07E8FA" w14:textId="62FE41C7" w:rsidR="00AF341A" w:rsidRPr="00AF341A" w:rsidRDefault="00AF341A" w:rsidP="001E579A">
      <w:pPr>
        <w:spacing w:before="240" w:after="0" w:line="360" w:lineRule="auto"/>
        <w:jc w:val="both"/>
        <w:rPr>
          <w:rFonts w:ascii="Arial" w:hAnsi="Arial" w:cs="Arial"/>
        </w:rPr>
      </w:pPr>
      <w:r w:rsidRPr="00AF341A">
        <w:rPr>
          <w:rFonts w:ascii="Arial" w:hAnsi="Arial" w:cs="Arial"/>
        </w:rPr>
        <w:t xml:space="preserve">Informational barriers also play a critical role. Many South Asian elders and their families have limited access to dementia-related information in languages they understand, such as </w:t>
      </w:r>
      <w:r w:rsidR="008727AE">
        <w:rPr>
          <w:rFonts w:ascii="Arial" w:hAnsi="Arial" w:cs="Arial"/>
        </w:rPr>
        <w:t>Urdu</w:t>
      </w:r>
      <w:r w:rsidRPr="00AF341A">
        <w:rPr>
          <w:rFonts w:ascii="Arial" w:hAnsi="Arial" w:cs="Arial"/>
        </w:rPr>
        <w:t>, Punjabi, Bengali, or Tamil (Cipriani et al., 2020). As a result, awareness of early symptoms, diagnosis pathways, and available support remains low. Mistrust in healthcare systems, sometimes rooted in past experiences of discrimination or communication failures, exacerbates this disengagement (James et al., 2024).</w:t>
      </w:r>
    </w:p>
    <w:p w14:paraId="6D81B50E" w14:textId="1043291D" w:rsidR="00AF341A" w:rsidRPr="00AF341A" w:rsidRDefault="00AF341A" w:rsidP="001E579A">
      <w:pPr>
        <w:spacing w:before="240" w:after="0" w:line="360" w:lineRule="auto"/>
        <w:jc w:val="both"/>
        <w:rPr>
          <w:rFonts w:ascii="Arial" w:hAnsi="Arial" w:cs="Arial"/>
        </w:rPr>
      </w:pPr>
      <w:r w:rsidRPr="00AF341A">
        <w:rPr>
          <w:rFonts w:ascii="Arial" w:hAnsi="Arial" w:cs="Arial"/>
        </w:rPr>
        <w:t>Emerging evidence suggests that culturally adapted interventions</w:t>
      </w:r>
      <w:r w:rsidR="001B19CD">
        <w:rPr>
          <w:rFonts w:ascii="Arial" w:hAnsi="Arial" w:cs="Arial"/>
        </w:rPr>
        <w:t xml:space="preserve">, </w:t>
      </w:r>
      <w:r w:rsidRPr="00AF341A">
        <w:rPr>
          <w:rFonts w:ascii="Arial" w:hAnsi="Arial" w:cs="Arial"/>
        </w:rPr>
        <w:t>such as bilingual outreach programmes, faith-based education sessions, and community ambassador models</w:t>
      </w:r>
      <w:r w:rsidR="001B19CD">
        <w:rPr>
          <w:rFonts w:ascii="Arial" w:hAnsi="Arial" w:cs="Arial"/>
        </w:rPr>
        <w:t xml:space="preserve">, </w:t>
      </w:r>
      <w:r w:rsidRPr="00AF341A">
        <w:rPr>
          <w:rFonts w:ascii="Arial" w:hAnsi="Arial" w:cs="Arial"/>
        </w:rPr>
        <w:t>can improve dementia awareness and help-seeking behaviour (Alzheimer’s Society, 2023; Garcia et al., 2024). However, these initiatives are often small-scale or lack rigorous evaluation. Therefore, there is a need for a systematic synthesis of available research to identify which cultural and informational barriers most significantly hinder access, and what interventions demonstrate promise in overcoming them.</w:t>
      </w:r>
    </w:p>
    <w:p w14:paraId="75C0C03A" w14:textId="1998EE35" w:rsidR="00AF341A" w:rsidRPr="00AF341A" w:rsidRDefault="001B19CD" w:rsidP="001A6776">
      <w:pPr>
        <w:pStyle w:val="Heading1"/>
      </w:pPr>
      <w:bookmarkStart w:id="4" w:name="_Toc220760132"/>
      <w:r>
        <w:t xml:space="preserve">1.4 </w:t>
      </w:r>
      <w:r w:rsidR="00AF341A" w:rsidRPr="00AF341A">
        <w:t>Rationale</w:t>
      </w:r>
      <w:bookmarkEnd w:id="4"/>
    </w:p>
    <w:p w14:paraId="65089FE6" w14:textId="1AF73661" w:rsidR="00AF341A" w:rsidRPr="001B19CD" w:rsidRDefault="00AF341A" w:rsidP="001A6776">
      <w:pPr>
        <w:spacing w:after="0" w:line="360" w:lineRule="auto"/>
        <w:jc w:val="both"/>
        <w:rPr>
          <w:rFonts w:ascii="Arial" w:hAnsi="Arial" w:cs="Arial"/>
        </w:rPr>
      </w:pPr>
      <w:r w:rsidRPr="00AF341A">
        <w:rPr>
          <w:rFonts w:ascii="Arial" w:hAnsi="Arial" w:cs="Arial"/>
        </w:rPr>
        <w:t xml:space="preserve">The rationale for this study is twofold. Firstly, the underdiagnosis of Alzheimer’s among South Asian elders represents a critical gap in health equity, with far-reaching clinical and social implications. Early diagnosis facilitates timely treatment, planning, and support for both patients and caregivers (Hossain and Khan, 2020). Secondly, while NHS and public health frameworks increasingly prioritise culturally competent care, their effective implementation requires community-specific evidence (James et al., 2024). By systematically reviewing relevant literature, this study contributes to the evidence base needed to design culturally sensitive outreach, multilingual education, </w:t>
      </w:r>
      <w:r w:rsidRPr="00AF341A">
        <w:rPr>
          <w:rFonts w:ascii="Arial" w:hAnsi="Arial" w:cs="Arial"/>
        </w:rPr>
        <w:lastRenderedPageBreak/>
        <w:t>and community-based care strategies that can address the unique barriers faced by South Asian elders</w:t>
      </w:r>
    </w:p>
    <w:p w14:paraId="241D68BF" w14:textId="5A88CD99" w:rsidR="000467C5" w:rsidRPr="000467C5" w:rsidRDefault="001B19CD" w:rsidP="001A6776">
      <w:pPr>
        <w:pStyle w:val="Heading1"/>
      </w:pPr>
      <w:bookmarkStart w:id="5" w:name="_Toc220760133"/>
      <w:r>
        <w:t xml:space="preserve">1.6 </w:t>
      </w:r>
      <w:r w:rsidR="000467C5" w:rsidRPr="000467C5">
        <w:t>Research Question</w:t>
      </w:r>
      <w:r>
        <w:t>, Aim and Objectives</w:t>
      </w:r>
      <w:bookmarkEnd w:id="5"/>
    </w:p>
    <w:p w14:paraId="705F98D8" w14:textId="16A21827" w:rsidR="001B19CD" w:rsidRDefault="00CF1DFA" w:rsidP="001A6776">
      <w:pPr>
        <w:pStyle w:val="Heading2"/>
        <w:spacing w:after="0"/>
        <w:rPr>
          <w:rFonts w:cs="Arial"/>
        </w:rPr>
      </w:pPr>
      <w:bookmarkStart w:id="6" w:name="_Toc220760134"/>
      <w:r>
        <w:rPr>
          <w:rFonts w:eastAsia="Arial"/>
        </w:rPr>
        <w:t xml:space="preserve">1.6.1 </w:t>
      </w:r>
      <w:r w:rsidR="001B19CD" w:rsidRPr="000467C5">
        <w:rPr>
          <w:rFonts w:eastAsia="Arial"/>
        </w:rPr>
        <w:t>Research Question</w:t>
      </w:r>
      <w:bookmarkEnd w:id="6"/>
    </w:p>
    <w:p w14:paraId="4449C14F" w14:textId="48549832" w:rsidR="000467C5" w:rsidRPr="000467C5" w:rsidRDefault="000467C5" w:rsidP="001A6776">
      <w:pPr>
        <w:spacing w:after="0" w:line="360" w:lineRule="auto"/>
        <w:jc w:val="both"/>
        <w:rPr>
          <w:rFonts w:ascii="Arial" w:hAnsi="Arial" w:cs="Arial"/>
        </w:rPr>
      </w:pPr>
      <w:r w:rsidRPr="000467C5">
        <w:rPr>
          <w:rFonts w:ascii="Arial" w:hAnsi="Arial" w:cs="Arial"/>
        </w:rPr>
        <w:t>What are the cultural and informational barriers that hinder South Asian older adult patients in the UK from accessing appropriate Alzheimer's care services, and which strategies are effective to mitigate these barriers?</w:t>
      </w:r>
    </w:p>
    <w:p w14:paraId="7C00DB1C" w14:textId="50EB4F1D" w:rsidR="000467C5" w:rsidRPr="000467C5" w:rsidRDefault="00CF1DFA" w:rsidP="001A6776">
      <w:pPr>
        <w:pStyle w:val="Heading2"/>
        <w:spacing w:after="0"/>
      </w:pPr>
      <w:bookmarkStart w:id="7" w:name="_Toc220760135"/>
      <w:r>
        <w:rPr>
          <w:rFonts w:eastAsia="Arial"/>
        </w:rPr>
        <w:t xml:space="preserve">1.6.2 </w:t>
      </w:r>
      <w:r w:rsidR="000467C5" w:rsidRPr="000467C5">
        <w:rPr>
          <w:rFonts w:eastAsia="Arial"/>
        </w:rPr>
        <w:t>Aims of Research</w:t>
      </w:r>
      <w:bookmarkEnd w:id="7"/>
      <w:r w:rsidR="000467C5" w:rsidRPr="000467C5">
        <w:rPr>
          <w:rFonts w:eastAsia="Arial"/>
        </w:rPr>
        <w:t xml:space="preserve"> </w:t>
      </w:r>
    </w:p>
    <w:p w14:paraId="612CD11A" w14:textId="77777777" w:rsidR="000467C5" w:rsidRPr="000467C5" w:rsidRDefault="000467C5" w:rsidP="001A6776">
      <w:pPr>
        <w:spacing w:after="0" w:line="360" w:lineRule="auto"/>
        <w:jc w:val="both"/>
        <w:rPr>
          <w:rFonts w:ascii="Arial" w:hAnsi="Arial" w:cs="Arial"/>
        </w:rPr>
      </w:pPr>
      <w:r w:rsidRPr="000467C5">
        <w:rPr>
          <w:rFonts w:ascii="Arial" w:hAnsi="Arial" w:cs="Arial"/>
        </w:rPr>
        <w:t>To explore the key barriers that affect access to Alzheimer's care among South Asian older adults (aged 60 and above) living in the UK.</w:t>
      </w:r>
    </w:p>
    <w:p w14:paraId="08F18B7F" w14:textId="7D0226EC" w:rsidR="00AF341A" w:rsidRPr="001B19CD" w:rsidRDefault="00CF1DFA" w:rsidP="001A6776">
      <w:pPr>
        <w:pStyle w:val="Heading2"/>
        <w:spacing w:after="0"/>
      </w:pPr>
      <w:bookmarkStart w:id="8" w:name="_Toc220760136"/>
      <w:r>
        <w:rPr>
          <w:rFonts w:eastAsia="Arial"/>
        </w:rPr>
        <w:t xml:space="preserve">1.6.3 </w:t>
      </w:r>
      <w:r w:rsidR="000467C5" w:rsidRPr="000467C5">
        <w:rPr>
          <w:rFonts w:eastAsia="Arial"/>
        </w:rPr>
        <w:t>Objectives of Research</w:t>
      </w:r>
      <w:bookmarkEnd w:id="8"/>
      <w:r w:rsidR="000467C5" w:rsidRPr="000467C5">
        <w:rPr>
          <w:rFonts w:eastAsia="Arial"/>
        </w:rPr>
        <w:t xml:space="preserve"> </w:t>
      </w:r>
    </w:p>
    <w:p w14:paraId="447D95B3" w14:textId="52A46CDF" w:rsidR="000467C5" w:rsidRPr="001B19CD" w:rsidRDefault="000467C5" w:rsidP="001A6776">
      <w:pPr>
        <w:pStyle w:val="ListParagraph"/>
        <w:numPr>
          <w:ilvl w:val="0"/>
          <w:numId w:val="4"/>
        </w:numPr>
        <w:spacing w:after="0" w:line="360" w:lineRule="auto"/>
        <w:jc w:val="both"/>
        <w:rPr>
          <w:rFonts w:ascii="Arial" w:hAnsi="Arial" w:cs="Arial"/>
        </w:rPr>
      </w:pPr>
      <w:r w:rsidRPr="001B19CD">
        <w:rPr>
          <w:rFonts w:ascii="Arial" w:hAnsi="Arial" w:cs="Arial"/>
        </w:rPr>
        <w:t>To explore how cultural beliefs and attitudes influence help-seeking for Alzheimer's care in South Asian communities and identify culturally sensitive approaches to improve engagement.</w:t>
      </w:r>
    </w:p>
    <w:p w14:paraId="20E4DF40" w14:textId="75F6908A" w:rsidR="000467C5" w:rsidRPr="001B19CD" w:rsidRDefault="000467C5" w:rsidP="001A6776">
      <w:pPr>
        <w:pStyle w:val="ListParagraph"/>
        <w:numPr>
          <w:ilvl w:val="0"/>
          <w:numId w:val="4"/>
        </w:numPr>
        <w:spacing w:after="0" w:line="360" w:lineRule="auto"/>
        <w:jc w:val="both"/>
        <w:rPr>
          <w:rFonts w:ascii="Arial" w:hAnsi="Arial" w:cs="Arial"/>
        </w:rPr>
      </w:pPr>
      <w:r w:rsidRPr="001B19CD">
        <w:rPr>
          <w:rFonts w:ascii="Arial" w:hAnsi="Arial" w:cs="Arial"/>
        </w:rPr>
        <w:t>To assess awareness and understanding of Alzheimer’s and available services among South Asian older adults and families and recommend targeted educational interventions to bridge knowledge gaps.</w:t>
      </w:r>
    </w:p>
    <w:p w14:paraId="07557152" w14:textId="77777777" w:rsidR="000467C5" w:rsidRPr="001B19CD" w:rsidRDefault="000467C5" w:rsidP="001A6776">
      <w:pPr>
        <w:pStyle w:val="ListParagraph"/>
        <w:numPr>
          <w:ilvl w:val="0"/>
          <w:numId w:val="4"/>
        </w:numPr>
        <w:spacing w:after="0" w:line="360" w:lineRule="auto"/>
        <w:jc w:val="both"/>
        <w:rPr>
          <w:rFonts w:ascii="Arial" w:hAnsi="Arial" w:cs="Arial"/>
        </w:rPr>
      </w:pPr>
      <w:r w:rsidRPr="001B19CD">
        <w:rPr>
          <w:rFonts w:ascii="Arial" w:hAnsi="Arial" w:cs="Arial"/>
        </w:rPr>
        <w:t>To examine how language barriers, stigma, and mistrust in healthcare systems affect access to care, and evaluate community-based and translation-supported strategies to overcome these challenges.</w:t>
      </w:r>
    </w:p>
    <w:p w14:paraId="62E70D26" w14:textId="5205D743" w:rsidR="00AF341A" w:rsidRPr="00AF341A" w:rsidRDefault="00AF341A" w:rsidP="001A6776">
      <w:pPr>
        <w:pStyle w:val="Heading1"/>
      </w:pPr>
      <w:bookmarkStart w:id="9" w:name="_Toc220760137"/>
      <w:r w:rsidRPr="00AF341A">
        <w:t>1.</w:t>
      </w:r>
      <w:r w:rsidR="001B19CD">
        <w:t>7</w:t>
      </w:r>
      <w:r w:rsidRPr="00AF341A">
        <w:t xml:space="preserve"> Scope of the Study</w:t>
      </w:r>
      <w:bookmarkEnd w:id="9"/>
    </w:p>
    <w:p w14:paraId="54F04CBC" w14:textId="3B8DB021" w:rsidR="00AF341A" w:rsidRPr="00AF341A" w:rsidRDefault="00AF341A" w:rsidP="001A6776">
      <w:pPr>
        <w:spacing w:after="0" w:line="360" w:lineRule="auto"/>
        <w:jc w:val="both"/>
        <w:rPr>
          <w:rFonts w:ascii="Arial" w:hAnsi="Arial" w:cs="Arial"/>
        </w:rPr>
      </w:pPr>
      <w:r w:rsidRPr="00AF341A">
        <w:rPr>
          <w:rFonts w:ascii="Arial" w:hAnsi="Arial" w:cs="Arial"/>
        </w:rPr>
        <w:t>This systematic review focuses specifically on older adults aged 60 and above from South Asian backgrounds residing in the UK. It considers individuals of Indian, Pakistani, Bangladeshi, and Sri Lankan descent, reflecting the major South Asian communities in the country. The review is confined to research addressing cultural and informational barriers to accessing Alzheimer’s care, including diagnostic, treatment, and support services. While other factors</w:t>
      </w:r>
      <w:r w:rsidR="00CF1DFA">
        <w:rPr>
          <w:rFonts w:ascii="Arial" w:hAnsi="Arial" w:cs="Arial"/>
        </w:rPr>
        <w:t xml:space="preserve">, </w:t>
      </w:r>
      <w:r w:rsidRPr="00AF341A">
        <w:rPr>
          <w:rFonts w:ascii="Arial" w:hAnsi="Arial" w:cs="Arial"/>
        </w:rPr>
        <w:t>such as socioeconomic status or healthcare infrastructure</w:t>
      </w:r>
      <w:r w:rsidR="00CF1DFA">
        <w:rPr>
          <w:rFonts w:ascii="Arial" w:hAnsi="Arial" w:cs="Arial"/>
        </w:rPr>
        <w:t xml:space="preserve">, </w:t>
      </w:r>
      <w:r w:rsidRPr="00AF341A">
        <w:rPr>
          <w:rFonts w:ascii="Arial" w:hAnsi="Arial" w:cs="Arial"/>
        </w:rPr>
        <w:t xml:space="preserve">may influence access, these are considered only insofar as they intersect with cultural and informational dimensions. The time frame of the literature reviewed prioritises studies published within the last </w:t>
      </w:r>
      <w:r w:rsidR="00294D0C">
        <w:rPr>
          <w:rFonts w:ascii="Arial" w:hAnsi="Arial" w:cs="Arial"/>
        </w:rPr>
        <w:t>ten</w:t>
      </w:r>
      <w:r w:rsidRPr="00AF341A">
        <w:rPr>
          <w:rFonts w:ascii="Arial" w:hAnsi="Arial" w:cs="Arial"/>
        </w:rPr>
        <w:t xml:space="preserve"> years, reflecting contemporary demographic and policy contexts.</w:t>
      </w:r>
    </w:p>
    <w:p w14:paraId="72A8363B" w14:textId="21450320" w:rsidR="00AF341A" w:rsidRPr="00AF341A" w:rsidRDefault="00AF341A" w:rsidP="001A6776">
      <w:pPr>
        <w:pStyle w:val="Heading1"/>
      </w:pPr>
      <w:bookmarkStart w:id="10" w:name="_Toc220760138"/>
      <w:r w:rsidRPr="00AF341A">
        <w:lastRenderedPageBreak/>
        <w:t>1.</w:t>
      </w:r>
      <w:r w:rsidR="001B19CD">
        <w:t>8</w:t>
      </w:r>
      <w:r w:rsidRPr="00AF341A">
        <w:t xml:space="preserve"> Significance of the Study</w:t>
      </w:r>
      <w:bookmarkEnd w:id="10"/>
    </w:p>
    <w:p w14:paraId="3A356C92" w14:textId="676F0290" w:rsidR="00AF341A" w:rsidRPr="00AF341A" w:rsidRDefault="00AF341A" w:rsidP="001A6776">
      <w:pPr>
        <w:spacing w:after="0" w:line="360" w:lineRule="auto"/>
        <w:jc w:val="both"/>
        <w:rPr>
          <w:rFonts w:ascii="Arial" w:hAnsi="Arial" w:cs="Arial"/>
        </w:rPr>
      </w:pPr>
      <w:r w:rsidRPr="00AF341A">
        <w:rPr>
          <w:rFonts w:ascii="Arial" w:hAnsi="Arial" w:cs="Arial"/>
        </w:rPr>
        <w:t>This study holds academic, practical, and policy relevance. Academically, it contributes to the under-researched area of ethnic and cultural disparities in dementia care by offering a focused analysis of South Asian experiences. Practically, the findings may inform healthcare providers, community organisations, and policymakers seeking to enhance culturally competent dementia care. By identifying effective strategies</w:t>
      </w:r>
      <w:r w:rsidR="00CF1DFA">
        <w:rPr>
          <w:rFonts w:ascii="Arial" w:hAnsi="Arial" w:cs="Arial"/>
        </w:rPr>
        <w:t xml:space="preserve">, </w:t>
      </w:r>
      <w:r w:rsidRPr="00AF341A">
        <w:rPr>
          <w:rFonts w:ascii="Arial" w:hAnsi="Arial" w:cs="Arial"/>
        </w:rPr>
        <w:t>such as multilingual education campaigns, community liaison roles, or faith-based awareness programmes</w:t>
      </w:r>
      <w:r w:rsidR="00CF1DFA">
        <w:rPr>
          <w:rFonts w:ascii="Arial" w:hAnsi="Arial" w:cs="Arial"/>
        </w:rPr>
        <w:t xml:space="preserve">, </w:t>
      </w:r>
      <w:r w:rsidRPr="00AF341A">
        <w:rPr>
          <w:rFonts w:ascii="Arial" w:hAnsi="Arial" w:cs="Arial"/>
        </w:rPr>
        <w:t>this research supports the development of interventions that resonate with community values and improve health outcomes. Ultimately, the study aims to advance the NHS’s broader commitment to reducing health inequalities and fostering inclusive, person-centred care for all ageing populations (Nedelec et al., 2023).</w:t>
      </w:r>
    </w:p>
    <w:p w14:paraId="7507697A" w14:textId="027497AB" w:rsidR="00AF341A" w:rsidRPr="00AF341A" w:rsidRDefault="00AF341A" w:rsidP="001A6776">
      <w:pPr>
        <w:pStyle w:val="Heading1"/>
      </w:pPr>
      <w:bookmarkStart w:id="11" w:name="_Toc220760139"/>
      <w:r w:rsidRPr="00AF341A">
        <w:t>1.</w:t>
      </w:r>
      <w:r w:rsidR="001B19CD">
        <w:t>9</w:t>
      </w:r>
      <w:r w:rsidRPr="00AF341A">
        <w:t xml:space="preserve"> Structure of the Dissertation</w:t>
      </w:r>
      <w:bookmarkEnd w:id="11"/>
    </w:p>
    <w:p w14:paraId="38666355" w14:textId="0877C678" w:rsidR="00AF341A" w:rsidRPr="00AF341A" w:rsidRDefault="00AF341A" w:rsidP="001A6776">
      <w:pPr>
        <w:spacing w:after="0" w:line="360" w:lineRule="auto"/>
        <w:jc w:val="both"/>
        <w:rPr>
          <w:rFonts w:ascii="Arial" w:hAnsi="Arial" w:cs="Arial"/>
        </w:rPr>
      </w:pPr>
      <w:r w:rsidRPr="00AF341A">
        <w:rPr>
          <w:rFonts w:ascii="Arial" w:hAnsi="Arial" w:cs="Arial"/>
        </w:rPr>
        <w:t xml:space="preserve">This dissertation is structured into six chapters, each building upon the </w:t>
      </w:r>
      <w:r w:rsidR="001B19CD" w:rsidRPr="00AF341A">
        <w:rPr>
          <w:rFonts w:ascii="Arial" w:hAnsi="Arial" w:cs="Arial"/>
        </w:rPr>
        <w:t>before</w:t>
      </w:r>
      <w:r w:rsidRPr="00AF341A">
        <w:rPr>
          <w:rFonts w:ascii="Arial" w:hAnsi="Arial" w:cs="Arial"/>
        </w:rPr>
        <w:t xml:space="preserve"> present a coherent and evidence-based examination of the research question.</w:t>
      </w:r>
    </w:p>
    <w:p w14:paraId="4AFD9104" w14:textId="655AA2AA" w:rsidR="00AF341A" w:rsidRPr="00AF341A" w:rsidRDefault="00AF341A" w:rsidP="001A6776">
      <w:pPr>
        <w:spacing w:after="0" w:line="360" w:lineRule="auto"/>
        <w:jc w:val="both"/>
        <w:rPr>
          <w:rFonts w:ascii="Arial" w:hAnsi="Arial" w:cs="Arial"/>
        </w:rPr>
      </w:pPr>
      <w:r w:rsidRPr="00AF341A">
        <w:rPr>
          <w:rFonts w:ascii="Arial" w:hAnsi="Arial" w:cs="Arial"/>
          <w:b/>
          <w:bCs/>
        </w:rPr>
        <w:t>Chapter 1: Introduction</w:t>
      </w:r>
      <w:r w:rsidR="001B19CD">
        <w:rPr>
          <w:rFonts w:ascii="Arial" w:hAnsi="Arial" w:cs="Arial"/>
        </w:rPr>
        <w:t xml:space="preserve">: </w:t>
      </w:r>
      <w:r w:rsidRPr="00AF341A">
        <w:rPr>
          <w:rFonts w:ascii="Arial" w:hAnsi="Arial" w:cs="Arial"/>
        </w:rPr>
        <w:t>This introductory chapter establishes the background, significance, and scope of the study. It outlines the research problem, rationale, objectives, and research question while situating the topic within broader academic and policy debates.</w:t>
      </w:r>
    </w:p>
    <w:p w14:paraId="7CB117D2" w14:textId="45A4FCBF" w:rsidR="00AF341A" w:rsidRPr="00AF341A" w:rsidRDefault="00AF341A" w:rsidP="001A6776">
      <w:pPr>
        <w:spacing w:after="0" w:line="360" w:lineRule="auto"/>
        <w:jc w:val="both"/>
        <w:rPr>
          <w:rFonts w:ascii="Arial" w:hAnsi="Arial" w:cs="Arial"/>
        </w:rPr>
      </w:pPr>
      <w:r w:rsidRPr="00AF341A">
        <w:rPr>
          <w:rFonts w:ascii="Arial" w:hAnsi="Arial" w:cs="Arial"/>
          <w:b/>
          <w:bCs/>
        </w:rPr>
        <w:t>Chapter 2: Literature Review</w:t>
      </w:r>
      <w:r w:rsidR="001B19CD">
        <w:rPr>
          <w:rFonts w:ascii="Arial" w:hAnsi="Arial" w:cs="Arial"/>
        </w:rPr>
        <w:t xml:space="preserve">: </w:t>
      </w:r>
      <w:r w:rsidRPr="00AF341A">
        <w:rPr>
          <w:rFonts w:ascii="Arial" w:hAnsi="Arial" w:cs="Arial"/>
        </w:rPr>
        <w:t>Chapter 2 presents a critical synthesis of existing research on Alzheimer’s disease and dementia care access among ethnic minority groups, with an emphasis on South Asian communities in the UK. It explores themes such as cultural perceptions of dementia, stigma, language and informational barriers, and existing community-based interventions.</w:t>
      </w:r>
    </w:p>
    <w:p w14:paraId="30EBDD88" w14:textId="23F0818E" w:rsidR="00AF341A" w:rsidRPr="00AF341A" w:rsidRDefault="00AF341A" w:rsidP="001A6776">
      <w:pPr>
        <w:spacing w:after="0" w:line="360" w:lineRule="auto"/>
        <w:jc w:val="both"/>
        <w:rPr>
          <w:rFonts w:ascii="Arial" w:hAnsi="Arial" w:cs="Arial"/>
        </w:rPr>
      </w:pPr>
      <w:r w:rsidRPr="00AF341A">
        <w:rPr>
          <w:rFonts w:ascii="Arial" w:hAnsi="Arial" w:cs="Arial"/>
          <w:b/>
          <w:bCs/>
        </w:rPr>
        <w:t>Chapter 3: Methodology</w:t>
      </w:r>
      <w:r w:rsidR="001B19CD">
        <w:rPr>
          <w:rFonts w:ascii="Arial" w:hAnsi="Arial" w:cs="Arial"/>
        </w:rPr>
        <w:t xml:space="preserve">: </w:t>
      </w:r>
      <w:r w:rsidRPr="00AF341A">
        <w:rPr>
          <w:rFonts w:ascii="Arial" w:hAnsi="Arial" w:cs="Arial"/>
        </w:rPr>
        <w:t>This chapter outlines the systematic review approach used in this research. It details the inclusion and exclusion criteria, search strategy, data extraction methods, and quality appraisal processes, ensuring transparency and replicability.</w:t>
      </w:r>
    </w:p>
    <w:p w14:paraId="639E8930" w14:textId="2BDAD51C" w:rsidR="00AF341A" w:rsidRPr="00AF341A" w:rsidRDefault="00AF341A" w:rsidP="001A6776">
      <w:pPr>
        <w:spacing w:after="0" w:line="360" w:lineRule="auto"/>
        <w:jc w:val="both"/>
        <w:rPr>
          <w:rFonts w:ascii="Arial" w:hAnsi="Arial" w:cs="Arial"/>
        </w:rPr>
      </w:pPr>
      <w:r w:rsidRPr="00AF341A">
        <w:rPr>
          <w:rFonts w:ascii="Arial" w:hAnsi="Arial" w:cs="Arial"/>
          <w:b/>
          <w:bCs/>
        </w:rPr>
        <w:t>Chapter 4: Findings</w:t>
      </w:r>
      <w:r w:rsidR="001B19CD">
        <w:rPr>
          <w:rFonts w:ascii="Arial" w:hAnsi="Arial" w:cs="Arial"/>
        </w:rPr>
        <w:t xml:space="preserve">: </w:t>
      </w:r>
      <w:r w:rsidRPr="00AF341A">
        <w:rPr>
          <w:rFonts w:ascii="Arial" w:hAnsi="Arial" w:cs="Arial"/>
        </w:rPr>
        <w:t>Chapter 4 presents the key themes emerging from the reviewed literature. It identifies recurring cultural and informational barriers, such as misconceptions about dementia, stigma, linguistic challenges, and limited awareness of services, as well as strategies reported to mitigate these barriers.</w:t>
      </w:r>
    </w:p>
    <w:p w14:paraId="5401EE06" w14:textId="15ED4078" w:rsidR="00AF341A" w:rsidRPr="00AF341A" w:rsidRDefault="00AF341A" w:rsidP="001A6776">
      <w:pPr>
        <w:spacing w:after="0" w:line="360" w:lineRule="auto"/>
        <w:jc w:val="both"/>
        <w:rPr>
          <w:rFonts w:ascii="Arial" w:hAnsi="Arial" w:cs="Arial"/>
        </w:rPr>
      </w:pPr>
      <w:r w:rsidRPr="00AF341A">
        <w:rPr>
          <w:rFonts w:ascii="Arial" w:hAnsi="Arial" w:cs="Arial"/>
          <w:b/>
          <w:bCs/>
        </w:rPr>
        <w:lastRenderedPageBreak/>
        <w:t>Chapter 5: Discussion</w:t>
      </w:r>
      <w:r w:rsidR="001B19CD">
        <w:rPr>
          <w:rFonts w:ascii="Arial" w:hAnsi="Arial" w:cs="Arial"/>
        </w:rPr>
        <w:t xml:space="preserve">: </w:t>
      </w:r>
      <w:r w:rsidRPr="00AF341A">
        <w:rPr>
          <w:rFonts w:ascii="Arial" w:hAnsi="Arial" w:cs="Arial"/>
        </w:rPr>
        <w:t>This chapter interprets the findings in relation to existing theoretical and policy frameworks. It evaluates how cultural and informational factors interact to influence access and discusses the implications for culturally competent care delivery in the UK context.</w:t>
      </w:r>
    </w:p>
    <w:p w14:paraId="6915321F" w14:textId="173AE921" w:rsidR="00AF341A" w:rsidRPr="00AF341A" w:rsidRDefault="00AF341A" w:rsidP="001A6776">
      <w:pPr>
        <w:spacing w:after="0" w:line="360" w:lineRule="auto"/>
        <w:jc w:val="both"/>
        <w:rPr>
          <w:rFonts w:ascii="Arial" w:hAnsi="Arial" w:cs="Arial"/>
        </w:rPr>
      </w:pPr>
      <w:r w:rsidRPr="00AF341A">
        <w:rPr>
          <w:rFonts w:ascii="Arial" w:hAnsi="Arial" w:cs="Arial"/>
          <w:b/>
          <w:bCs/>
        </w:rPr>
        <w:t>Chapter 6: Conclusion and Recommendations</w:t>
      </w:r>
      <w:r w:rsidR="001B19CD">
        <w:rPr>
          <w:rFonts w:ascii="Arial" w:hAnsi="Arial" w:cs="Arial"/>
        </w:rPr>
        <w:t xml:space="preserve">: </w:t>
      </w:r>
      <w:r w:rsidRPr="00AF341A">
        <w:rPr>
          <w:rFonts w:ascii="Arial" w:hAnsi="Arial" w:cs="Arial"/>
        </w:rPr>
        <w:t>The final chapter summarises the main findings of the study, reflects on its limitations, and proposes practical recommendations for healthcare practitioners, policymakers, and community organisations. It also identifies areas for future research to further enhance equitable access to Alzheimer’s care among South Asian elders.</w:t>
      </w:r>
    </w:p>
    <w:p w14:paraId="226029CF" w14:textId="49CD23E5" w:rsidR="00AF341A" w:rsidRPr="00AF341A" w:rsidRDefault="00AF341A" w:rsidP="001A6776">
      <w:pPr>
        <w:pStyle w:val="Heading1"/>
      </w:pPr>
      <w:bookmarkStart w:id="12" w:name="_Toc220760140"/>
      <w:r w:rsidRPr="00AF341A">
        <w:t>1.</w:t>
      </w:r>
      <w:r w:rsidR="001B19CD">
        <w:t>10</w:t>
      </w:r>
      <w:r w:rsidRPr="00AF341A">
        <w:t xml:space="preserve"> Summary</w:t>
      </w:r>
      <w:bookmarkEnd w:id="12"/>
    </w:p>
    <w:p w14:paraId="5E30A71D" w14:textId="4364F92F" w:rsidR="00AF341A" w:rsidRPr="00AF341A" w:rsidRDefault="00AF341A" w:rsidP="001A6776">
      <w:pPr>
        <w:spacing w:after="0" w:line="360" w:lineRule="auto"/>
        <w:jc w:val="both"/>
        <w:rPr>
          <w:rFonts w:ascii="Arial" w:hAnsi="Arial" w:cs="Arial"/>
        </w:rPr>
      </w:pPr>
      <w:r w:rsidRPr="00AF341A">
        <w:rPr>
          <w:rFonts w:ascii="Arial" w:hAnsi="Arial" w:cs="Arial"/>
        </w:rPr>
        <w:t>In summary, this chapter has introduced the focus of the dissertation</w:t>
      </w:r>
      <w:r w:rsidR="001B19CD">
        <w:rPr>
          <w:rFonts w:ascii="Arial" w:hAnsi="Arial" w:cs="Arial"/>
        </w:rPr>
        <w:t xml:space="preserve">, </w:t>
      </w:r>
      <w:r w:rsidRPr="00AF341A">
        <w:rPr>
          <w:rFonts w:ascii="Arial" w:hAnsi="Arial" w:cs="Arial"/>
        </w:rPr>
        <w:t>examining cultural and informational barriers that hinder South Asian older adults in the UK from accessing appropriate Alzheimer’s care. It has contextualised the issue within broader demographic and healthcare inequalities, highlighted the existing research gaps, and articulated the study’s aims, objectives, and significance. By addressing these gaps through a systematic synthesis of evidence, this research seeks to inform culturally sensitive strategies that enhance early diagnosis, improve service accessibility, and promote equitable dementia care for South Asian elders across the UK.</w:t>
      </w:r>
    </w:p>
    <w:p w14:paraId="723480B3" w14:textId="77777777" w:rsidR="000467C5" w:rsidRDefault="000467C5" w:rsidP="001A6776">
      <w:pPr>
        <w:spacing w:after="0" w:line="360" w:lineRule="auto"/>
        <w:jc w:val="both"/>
        <w:rPr>
          <w:rFonts w:ascii="Arial" w:hAnsi="Arial" w:cs="Arial"/>
        </w:rPr>
      </w:pPr>
    </w:p>
    <w:p w14:paraId="61A43692" w14:textId="77777777" w:rsidR="00CF1DFA" w:rsidRDefault="00CF1DFA" w:rsidP="001A6776">
      <w:pPr>
        <w:spacing w:after="0" w:line="360" w:lineRule="auto"/>
        <w:jc w:val="both"/>
        <w:rPr>
          <w:rFonts w:ascii="Arial" w:hAnsi="Arial" w:cs="Arial"/>
        </w:rPr>
      </w:pPr>
    </w:p>
    <w:p w14:paraId="503FA9DF" w14:textId="77777777" w:rsidR="00CF1DFA" w:rsidRDefault="00CF1DFA" w:rsidP="001A6776">
      <w:pPr>
        <w:spacing w:after="0" w:line="360" w:lineRule="auto"/>
        <w:jc w:val="both"/>
        <w:rPr>
          <w:rFonts w:ascii="Arial" w:hAnsi="Arial" w:cs="Arial"/>
        </w:rPr>
      </w:pPr>
    </w:p>
    <w:p w14:paraId="711A3F65" w14:textId="77777777" w:rsidR="00A240E8" w:rsidRDefault="00A240E8" w:rsidP="001A6776">
      <w:pPr>
        <w:spacing w:after="0" w:line="360" w:lineRule="auto"/>
        <w:jc w:val="both"/>
        <w:rPr>
          <w:rFonts w:ascii="Arial" w:hAnsi="Arial" w:cs="Arial"/>
        </w:rPr>
      </w:pPr>
    </w:p>
    <w:p w14:paraId="4D56192F" w14:textId="77777777" w:rsidR="00A240E8" w:rsidRDefault="00A240E8" w:rsidP="001A6776">
      <w:pPr>
        <w:spacing w:after="0" w:line="360" w:lineRule="auto"/>
        <w:jc w:val="both"/>
        <w:rPr>
          <w:rFonts w:ascii="Arial" w:hAnsi="Arial" w:cs="Arial"/>
        </w:rPr>
      </w:pPr>
    </w:p>
    <w:p w14:paraId="55EE7091" w14:textId="77777777" w:rsidR="00A240E8" w:rsidRDefault="00A240E8" w:rsidP="001A6776">
      <w:pPr>
        <w:spacing w:after="0" w:line="360" w:lineRule="auto"/>
        <w:jc w:val="both"/>
        <w:rPr>
          <w:rFonts w:ascii="Arial" w:hAnsi="Arial" w:cs="Arial"/>
        </w:rPr>
      </w:pPr>
    </w:p>
    <w:p w14:paraId="2A070832" w14:textId="77777777" w:rsidR="00A240E8" w:rsidRDefault="00A240E8" w:rsidP="001A6776">
      <w:pPr>
        <w:spacing w:after="0" w:line="360" w:lineRule="auto"/>
        <w:jc w:val="both"/>
        <w:rPr>
          <w:rFonts w:ascii="Arial" w:hAnsi="Arial" w:cs="Arial"/>
        </w:rPr>
      </w:pPr>
    </w:p>
    <w:p w14:paraId="1BEBDAB2" w14:textId="77777777" w:rsidR="00A240E8" w:rsidRDefault="00A240E8" w:rsidP="001A6776">
      <w:pPr>
        <w:spacing w:after="0" w:line="360" w:lineRule="auto"/>
        <w:jc w:val="both"/>
        <w:rPr>
          <w:rFonts w:ascii="Arial" w:hAnsi="Arial" w:cs="Arial"/>
        </w:rPr>
      </w:pPr>
    </w:p>
    <w:p w14:paraId="073E0D06" w14:textId="77777777" w:rsidR="00A240E8" w:rsidRDefault="00A240E8" w:rsidP="001A6776">
      <w:pPr>
        <w:spacing w:after="0" w:line="360" w:lineRule="auto"/>
        <w:jc w:val="both"/>
        <w:rPr>
          <w:rFonts w:ascii="Arial" w:hAnsi="Arial" w:cs="Arial"/>
        </w:rPr>
      </w:pPr>
    </w:p>
    <w:p w14:paraId="2D5BF608" w14:textId="77777777" w:rsidR="001A6776" w:rsidRDefault="001A6776" w:rsidP="001A6776">
      <w:pPr>
        <w:spacing w:after="0" w:line="360" w:lineRule="auto"/>
        <w:jc w:val="both"/>
        <w:rPr>
          <w:rFonts w:ascii="Arial" w:hAnsi="Arial" w:cs="Arial"/>
        </w:rPr>
      </w:pPr>
    </w:p>
    <w:p w14:paraId="0E51706B" w14:textId="77777777" w:rsidR="001A6776" w:rsidRDefault="001A6776" w:rsidP="001A6776">
      <w:pPr>
        <w:spacing w:after="0" w:line="360" w:lineRule="auto"/>
        <w:jc w:val="both"/>
        <w:rPr>
          <w:rFonts w:ascii="Arial" w:hAnsi="Arial" w:cs="Arial"/>
        </w:rPr>
      </w:pPr>
    </w:p>
    <w:p w14:paraId="28386B4E" w14:textId="77777777" w:rsidR="001A6776" w:rsidRDefault="001A6776" w:rsidP="001A6776">
      <w:pPr>
        <w:spacing w:after="0" w:line="360" w:lineRule="auto"/>
        <w:jc w:val="both"/>
        <w:rPr>
          <w:rFonts w:ascii="Arial" w:hAnsi="Arial" w:cs="Arial"/>
        </w:rPr>
      </w:pPr>
    </w:p>
    <w:p w14:paraId="6D676340" w14:textId="77777777" w:rsidR="001A6776" w:rsidRDefault="001A6776" w:rsidP="001A6776">
      <w:pPr>
        <w:spacing w:after="0" w:line="360" w:lineRule="auto"/>
        <w:jc w:val="both"/>
        <w:rPr>
          <w:rFonts w:ascii="Arial" w:hAnsi="Arial" w:cs="Arial"/>
        </w:rPr>
      </w:pPr>
    </w:p>
    <w:p w14:paraId="24B9B812" w14:textId="77777777" w:rsidR="001A6776" w:rsidRDefault="001A6776" w:rsidP="001A6776">
      <w:pPr>
        <w:spacing w:after="0" w:line="360" w:lineRule="auto"/>
        <w:jc w:val="both"/>
        <w:rPr>
          <w:rFonts w:ascii="Arial" w:hAnsi="Arial" w:cs="Arial"/>
        </w:rPr>
      </w:pPr>
    </w:p>
    <w:p w14:paraId="263A8769" w14:textId="77777777" w:rsidR="00A240E8" w:rsidRDefault="00A240E8" w:rsidP="001A6776">
      <w:pPr>
        <w:spacing w:after="0" w:line="360" w:lineRule="auto"/>
        <w:jc w:val="both"/>
        <w:rPr>
          <w:rFonts w:ascii="Arial" w:hAnsi="Arial" w:cs="Arial"/>
        </w:rPr>
      </w:pPr>
    </w:p>
    <w:p w14:paraId="5687CB8B" w14:textId="77777777" w:rsidR="00A240E8" w:rsidRPr="00806CAB" w:rsidRDefault="00A240E8" w:rsidP="001A6776">
      <w:pPr>
        <w:pStyle w:val="Heading1"/>
        <w:spacing w:before="0"/>
      </w:pPr>
      <w:bookmarkStart w:id="13" w:name="_Toc220760141"/>
      <w:r w:rsidRPr="00806CAB">
        <w:lastRenderedPageBreak/>
        <w:t>Chapter 2: Literature Review</w:t>
      </w:r>
      <w:bookmarkEnd w:id="13"/>
    </w:p>
    <w:p w14:paraId="3298779A" w14:textId="77777777" w:rsidR="00A240E8" w:rsidRPr="00806CAB" w:rsidRDefault="00A240E8" w:rsidP="001A6776">
      <w:pPr>
        <w:pStyle w:val="Heading1"/>
        <w:spacing w:before="0"/>
      </w:pPr>
      <w:bookmarkStart w:id="14" w:name="_Toc220760142"/>
      <w:r w:rsidRPr="00806CAB">
        <w:t>2.1 Introduction</w:t>
      </w:r>
      <w:bookmarkEnd w:id="14"/>
    </w:p>
    <w:p w14:paraId="1E311C33"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This chapter examines existing research relevant to understanding the barriers faced by South Asian older adults in the UK when accessing Alzheimer’s care. It begins by outlining what Alzheimer’s disease is, including its causes, symptoms, prevalence, and impact on individuals and families. The chapter then explores access to healthcare among minority and migrant populations in general, before narrowing the focus to South Asian communities. Key barriers relating to culture, awareness, language, communication, and systemic issues are analysed to understand their influence on help-seeking behaviour and service engagement. Strategies and interventions aimed at improving accessibility are reviewed, followed by theoretical frameworks that help explain decision-making processes within this group. Finally, gaps within the existing literature are identified to demonstrate why further research is needed. Together, these sections provide a structured foundation for understanding the context, rationale, and relevance of the present study.</w:t>
      </w:r>
    </w:p>
    <w:p w14:paraId="5D138E6B" w14:textId="77777777" w:rsidR="00A240E8" w:rsidRPr="00806CAB" w:rsidRDefault="00A240E8" w:rsidP="001A6776">
      <w:pPr>
        <w:pStyle w:val="Heading1"/>
      </w:pPr>
      <w:bookmarkStart w:id="15" w:name="_Toc220760143"/>
      <w:r w:rsidRPr="00806CAB">
        <w:t>2.2 Understanding Alzheimer’s Disease</w:t>
      </w:r>
      <w:bookmarkEnd w:id="15"/>
    </w:p>
    <w:p w14:paraId="524B7A0F" w14:textId="6137B58E" w:rsidR="00A240E8" w:rsidRPr="00806CAB" w:rsidRDefault="00A240E8" w:rsidP="001A6776">
      <w:pPr>
        <w:spacing w:before="240" w:after="0" w:line="360" w:lineRule="auto"/>
        <w:jc w:val="both"/>
        <w:rPr>
          <w:rFonts w:ascii="Arial" w:hAnsi="Arial" w:cs="Arial"/>
        </w:rPr>
      </w:pPr>
      <w:r w:rsidRPr="00806CAB">
        <w:rPr>
          <w:rFonts w:ascii="Arial" w:hAnsi="Arial" w:cs="Arial"/>
        </w:rPr>
        <w:t>Alzheimer’s disease is a progressive neurodegenerative condition that affects memory, thinking ability, behaviour, and functional independence</w:t>
      </w:r>
      <w:r>
        <w:rPr>
          <w:rFonts w:ascii="Arial" w:hAnsi="Arial" w:cs="Arial"/>
        </w:rPr>
        <w:t xml:space="preserve"> (</w:t>
      </w:r>
      <w:r w:rsidRPr="00F811A3">
        <w:rPr>
          <w:rFonts w:ascii="Arial" w:hAnsi="Arial" w:cs="Arial"/>
        </w:rPr>
        <w:t>Zvěřová</w:t>
      </w:r>
      <w:r>
        <w:rPr>
          <w:rFonts w:ascii="Arial" w:hAnsi="Arial" w:cs="Arial"/>
        </w:rPr>
        <w:t>, 2019)</w:t>
      </w:r>
      <w:r w:rsidRPr="00806CAB">
        <w:rPr>
          <w:rFonts w:ascii="Arial" w:hAnsi="Arial" w:cs="Arial"/>
        </w:rPr>
        <w:t xml:space="preserve">. It is the most common </w:t>
      </w:r>
      <w:r w:rsidR="00D67A0D">
        <w:rPr>
          <w:rFonts w:ascii="Arial" w:hAnsi="Arial" w:cs="Arial"/>
        </w:rPr>
        <w:t xml:space="preserve">cause </w:t>
      </w:r>
      <w:r w:rsidRPr="00806CAB">
        <w:rPr>
          <w:rFonts w:ascii="Arial" w:hAnsi="Arial" w:cs="Arial"/>
        </w:rPr>
        <w:t>of dementia and primarily affects older adults, although symptoms may begin years before diagnosis. Alzheimer’s develops gradually and worsens over time, leading to severe cognitive impairment and an increasing need for daily support</w:t>
      </w:r>
      <w:r>
        <w:rPr>
          <w:rFonts w:ascii="Arial" w:hAnsi="Arial" w:cs="Arial"/>
        </w:rPr>
        <w:t xml:space="preserve"> (</w:t>
      </w:r>
      <w:r w:rsidRPr="00D14415">
        <w:rPr>
          <w:rFonts w:ascii="Arial" w:hAnsi="Arial" w:cs="Arial"/>
        </w:rPr>
        <w:t>Sohrabi</w:t>
      </w:r>
      <w:r>
        <w:rPr>
          <w:rFonts w:ascii="Arial" w:hAnsi="Arial" w:cs="Arial"/>
        </w:rPr>
        <w:t xml:space="preserve"> </w:t>
      </w:r>
      <w:r w:rsidRPr="00D14415">
        <w:rPr>
          <w:rFonts w:ascii="Arial" w:hAnsi="Arial" w:cs="Arial"/>
        </w:rPr>
        <w:t>and Weinborn</w:t>
      </w:r>
      <w:r>
        <w:rPr>
          <w:rFonts w:ascii="Arial" w:hAnsi="Arial" w:cs="Arial"/>
        </w:rPr>
        <w:t>, 2019)</w:t>
      </w:r>
      <w:r w:rsidRPr="00806CAB">
        <w:rPr>
          <w:rFonts w:ascii="Arial" w:hAnsi="Arial" w:cs="Arial"/>
        </w:rPr>
        <w:t>. The disease is characterised by the gradual destruction of brain cells, particularly in areas related to memory and reasoning</w:t>
      </w:r>
      <w:r>
        <w:rPr>
          <w:rFonts w:ascii="Arial" w:hAnsi="Arial" w:cs="Arial"/>
        </w:rPr>
        <w:t xml:space="preserve"> (</w:t>
      </w:r>
      <w:r w:rsidR="00FA1C87" w:rsidRPr="00FA1C87">
        <w:rPr>
          <w:rFonts w:ascii="Arial" w:hAnsi="Arial" w:cs="Arial"/>
        </w:rPr>
        <w:t>Aisen</w:t>
      </w:r>
      <w:r w:rsidR="00FA1C87">
        <w:rPr>
          <w:rFonts w:ascii="Arial" w:hAnsi="Arial" w:cs="Arial"/>
        </w:rPr>
        <w:t xml:space="preserve"> </w:t>
      </w:r>
      <w:r>
        <w:rPr>
          <w:rFonts w:ascii="Arial" w:hAnsi="Arial" w:cs="Arial"/>
        </w:rPr>
        <w:t>et al, 20</w:t>
      </w:r>
      <w:r w:rsidR="00FA1C87">
        <w:rPr>
          <w:rFonts w:ascii="Arial" w:hAnsi="Arial" w:cs="Arial"/>
        </w:rPr>
        <w:t>17</w:t>
      </w:r>
      <w:r>
        <w:rPr>
          <w:rFonts w:ascii="Arial" w:hAnsi="Arial" w:cs="Arial"/>
        </w:rPr>
        <w:t>)</w:t>
      </w:r>
      <w:r w:rsidRPr="00806CAB">
        <w:rPr>
          <w:rFonts w:ascii="Arial" w:hAnsi="Arial" w:cs="Arial"/>
        </w:rPr>
        <w:t>. As a result, individuals may struggle with tasks such as remembering names, navigating familiar environments, or making decisions. Over time, symptoms progress to significant confusion, communication difficulties, personality changes, and loss of physical autonomy</w:t>
      </w:r>
      <w:r>
        <w:rPr>
          <w:rFonts w:ascii="Arial" w:hAnsi="Arial" w:cs="Arial"/>
        </w:rPr>
        <w:t xml:space="preserve"> (</w:t>
      </w:r>
      <w:r w:rsidR="00D21125" w:rsidRPr="00A82356">
        <w:rPr>
          <w:rFonts w:ascii="Arial" w:hAnsi="Arial" w:cs="Arial"/>
        </w:rPr>
        <w:t>Armstrong</w:t>
      </w:r>
      <w:r w:rsidR="00D21125">
        <w:rPr>
          <w:rFonts w:ascii="Arial" w:hAnsi="Arial" w:cs="Arial"/>
        </w:rPr>
        <w:t xml:space="preserve"> et al</w:t>
      </w:r>
      <w:r>
        <w:rPr>
          <w:rFonts w:ascii="Arial" w:hAnsi="Arial" w:cs="Arial"/>
        </w:rPr>
        <w:t>, 20</w:t>
      </w:r>
      <w:r w:rsidR="00D21125">
        <w:rPr>
          <w:rFonts w:ascii="Arial" w:hAnsi="Arial" w:cs="Arial"/>
        </w:rPr>
        <w:t>22</w:t>
      </w:r>
      <w:r>
        <w:rPr>
          <w:rFonts w:ascii="Arial" w:hAnsi="Arial" w:cs="Arial"/>
        </w:rPr>
        <w:t>)</w:t>
      </w:r>
      <w:r w:rsidRPr="00806CAB">
        <w:rPr>
          <w:rFonts w:ascii="Arial" w:hAnsi="Arial" w:cs="Arial"/>
        </w:rPr>
        <w:t>. Because of its slow and subtle onset, many individuals and families fail to recognise the early warning signs, which contributes to delayed diagnosis and reduced access to appropriate care</w:t>
      </w:r>
      <w:r>
        <w:rPr>
          <w:rFonts w:ascii="Arial" w:hAnsi="Arial" w:cs="Arial"/>
        </w:rPr>
        <w:t xml:space="preserve"> (</w:t>
      </w:r>
      <w:r w:rsidR="00CC19F1" w:rsidRPr="00CC19F1">
        <w:rPr>
          <w:rFonts w:ascii="Arial" w:hAnsi="Arial" w:cs="Arial"/>
        </w:rPr>
        <w:t>Weller</w:t>
      </w:r>
      <w:r w:rsidR="00CC19F1">
        <w:rPr>
          <w:rFonts w:ascii="Arial" w:hAnsi="Arial" w:cs="Arial"/>
        </w:rPr>
        <w:t xml:space="preserve"> </w:t>
      </w:r>
      <w:r w:rsidRPr="00D14415">
        <w:rPr>
          <w:rFonts w:ascii="Arial" w:hAnsi="Arial" w:cs="Arial"/>
        </w:rPr>
        <w:t xml:space="preserve">and </w:t>
      </w:r>
      <w:r w:rsidR="00CC19F1" w:rsidRPr="00CC19F1">
        <w:rPr>
          <w:rFonts w:ascii="Arial" w:hAnsi="Arial" w:cs="Arial"/>
        </w:rPr>
        <w:t>Budson</w:t>
      </w:r>
      <w:r>
        <w:rPr>
          <w:rFonts w:ascii="Arial" w:hAnsi="Arial" w:cs="Arial"/>
        </w:rPr>
        <w:t>, 201</w:t>
      </w:r>
      <w:r w:rsidR="00CC19F1">
        <w:rPr>
          <w:rFonts w:ascii="Arial" w:hAnsi="Arial" w:cs="Arial"/>
        </w:rPr>
        <w:t>8</w:t>
      </w:r>
      <w:r>
        <w:rPr>
          <w:rFonts w:ascii="Arial" w:hAnsi="Arial" w:cs="Arial"/>
        </w:rPr>
        <w:t>)</w:t>
      </w:r>
      <w:r w:rsidRPr="00806CAB">
        <w:rPr>
          <w:rFonts w:ascii="Arial" w:hAnsi="Arial" w:cs="Arial"/>
        </w:rPr>
        <w:t>.</w:t>
      </w:r>
    </w:p>
    <w:p w14:paraId="7BD86B6D" w14:textId="77777777" w:rsidR="003116EA" w:rsidRDefault="00580C46" w:rsidP="001A6776">
      <w:pPr>
        <w:spacing w:before="240" w:after="0" w:line="360" w:lineRule="auto"/>
        <w:jc w:val="both"/>
        <w:rPr>
          <w:rFonts w:ascii="Arial" w:hAnsi="Arial" w:cs="Arial"/>
        </w:rPr>
      </w:pPr>
      <w:r w:rsidRPr="00580C46">
        <w:rPr>
          <w:rFonts w:ascii="Arial" w:hAnsi="Arial" w:cs="Arial"/>
        </w:rPr>
        <w:t xml:space="preserve">Alzheimer’s disease is irreversible and currently has no cure; therefore, management focuses on slowing symptom progression, improving quality of life, and supporting </w:t>
      </w:r>
      <w:r w:rsidRPr="00580C46">
        <w:rPr>
          <w:rFonts w:ascii="Arial" w:hAnsi="Arial" w:cs="Arial"/>
        </w:rPr>
        <w:lastRenderedPageBreak/>
        <w:t>both patients and caregivers (Zvěřová, 2019). Treatment typically involves a combination of pharmacological, psychological, and social interventions. Medications such as acetylcholinesterase inhibitors (e.g. donepezil) and memantine may help stabilise or modestly slow cognitive decline and improve daily functioning in some individuals</w:t>
      </w:r>
      <w:r w:rsidR="003116EA">
        <w:rPr>
          <w:rFonts w:ascii="Arial" w:hAnsi="Arial" w:cs="Arial"/>
        </w:rPr>
        <w:t xml:space="preserve"> (</w:t>
      </w:r>
      <w:r w:rsidR="003116EA" w:rsidRPr="00AF341A">
        <w:rPr>
          <w:rFonts w:ascii="Arial" w:hAnsi="Arial" w:cs="Arial"/>
        </w:rPr>
        <w:t>Giebel et al</w:t>
      </w:r>
      <w:r w:rsidR="003116EA">
        <w:rPr>
          <w:rFonts w:ascii="Arial" w:hAnsi="Arial" w:cs="Arial"/>
        </w:rPr>
        <w:t>, 2016)</w:t>
      </w:r>
      <w:r w:rsidRPr="00580C46">
        <w:rPr>
          <w:rFonts w:ascii="Arial" w:hAnsi="Arial" w:cs="Arial"/>
        </w:rPr>
        <w:t>. Non-pharmacological approaches are equally important; for example, cognitive behavioural therapy (CBT), adapted for people with dementia, can help reduce anxiety, depression, and distress by supporting coping strategies and emotional regulation, particularly in the early stages of the disease (Livingston et al., 2017). Cognitive stimulation therapy (CST) and structured group activities can support memory, communication, and social engagement, while behavioural interventions help manage symptoms such as agitation or sleep disturbance</w:t>
      </w:r>
      <w:r w:rsidR="003116EA">
        <w:rPr>
          <w:rFonts w:ascii="Arial" w:hAnsi="Arial" w:cs="Arial"/>
        </w:rPr>
        <w:t xml:space="preserve"> (</w:t>
      </w:r>
      <w:r w:rsidR="003116EA" w:rsidRPr="00AF341A">
        <w:rPr>
          <w:rFonts w:ascii="Arial" w:hAnsi="Arial" w:cs="Arial"/>
        </w:rPr>
        <w:t>Giebel et al</w:t>
      </w:r>
      <w:r w:rsidR="003116EA">
        <w:rPr>
          <w:rFonts w:ascii="Arial" w:hAnsi="Arial" w:cs="Arial"/>
        </w:rPr>
        <w:t>, 2016)</w:t>
      </w:r>
      <w:r w:rsidRPr="00580C46">
        <w:rPr>
          <w:rFonts w:ascii="Arial" w:hAnsi="Arial" w:cs="Arial"/>
        </w:rPr>
        <w:t xml:space="preserve">. </w:t>
      </w:r>
    </w:p>
    <w:p w14:paraId="34966D76" w14:textId="259C64EC" w:rsidR="00A240E8" w:rsidRPr="00806CAB" w:rsidRDefault="00580C46" w:rsidP="001A6776">
      <w:pPr>
        <w:spacing w:before="240" w:after="0" w:line="360" w:lineRule="auto"/>
        <w:jc w:val="both"/>
        <w:rPr>
          <w:rFonts w:ascii="Arial" w:hAnsi="Arial" w:cs="Arial"/>
        </w:rPr>
      </w:pPr>
      <w:r w:rsidRPr="00580C46">
        <w:rPr>
          <w:rFonts w:ascii="Arial" w:hAnsi="Arial" w:cs="Arial"/>
        </w:rPr>
        <w:t xml:space="preserve">Structured support services, including carer education, respite care, and community support groups, play a key role in reducing caregiver burden and maintaining patient independence (NICE, 2018). Early diagnosis is widely regarded as beneficial, as it allows individuals and families to </w:t>
      </w:r>
      <w:r w:rsidR="003116EA" w:rsidRPr="00580C46">
        <w:rPr>
          <w:rFonts w:ascii="Arial" w:hAnsi="Arial" w:cs="Arial"/>
        </w:rPr>
        <w:t>plan</w:t>
      </w:r>
      <w:r w:rsidRPr="00580C46">
        <w:rPr>
          <w:rFonts w:ascii="Arial" w:hAnsi="Arial" w:cs="Arial"/>
        </w:rPr>
        <w:t>, access treatments and support services, and make informed decisions before symptoms become severe (Sohrabi and Weinborn, 2019). However, delays in diagnosis remain common in many communities, including South Asian families in the UK, due to limited awareness, stigma, cultural beliefs about ageing and dementia, and difficulties navigating healthcare systems (Ribas et al., 2023). Understanding the causes, symptoms, and progression of Alzheimer’s disease is therefore essential when analysing barriers to timely care and effective treatment in specific populations (Veitch et al., 2019)</w:t>
      </w:r>
      <w:r w:rsidR="00A240E8" w:rsidRPr="00806CAB">
        <w:rPr>
          <w:rFonts w:ascii="Arial" w:hAnsi="Arial" w:cs="Arial"/>
        </w:rPr>
        <w:t>.</w:t>
      </w:r>
    </w:p>
    <w:p w14:paraId="09F223CF" w14:textId="77777777" w:rsidR="00A240E8" w:rsidRPr="00806CAB" w:rsidRDefault="00A240E8" w:rsidP="001A6776">
      <w:pPr>
        <w:pStyle w:val="Heading2"/>
        <w:spacing w:after="0"/>
      </w:pPr>
      <w:bookmarkStart w:id="16" w:name="_Toc220760144"/>
      <w:r w:rsidRPr="00806CAB">
        <w:t>2.2.1 Causes of Alzheimer’s Disease</w:t>
      </w:r>
      <w:bookmarkEnd w:id="16"/>
    </w:p>
    <w:p w14:paraId="29546ACE"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The causes of Alzheimer’s disease are recognised as multifactorial, involving a combination of biological, genetic, and environmental influences that develop gradually over time</w:t>
      </w:r>
      <w:r>
        <w:rPr>
          <w:rFonts w:ascii="Arial" w:hAnsi="Arial" w:cs="Arial"/>
        </w:rPr>
        <w:t xml:space="preserve"> (</w:t>
      </w:r>
      <w:r w:rsidRPr="00286ED8">
        <w:rPr>
          <w:rFonts w:ascii="Arial" w:hAnsi="Arial" w:cs="Arial"/>
        </w:rPr>
        <w:t>Adams</w:t>
      </w:r>
      <w:r>
        <w:rPr>
          <w:rFonts w:ascii="Arial" w:hAnsi="Arial" w:cs="Arial"/>
        </w:rPr>
        <w:t>, 2021)</w:t>
      </w:r>
      <w:r w:rsidRPr="00806CAB">
        <w:rPr>
          <w:rFonts w:ascii="Arial" w:hAnsi="Arial" w:cs="Arial"/>
        </w:rPr>
        <w:t>. Biologically, the most distinctive feature of Alzheimer’s is the abnormal buildup of toxic proteins within the brain. Two key proteins are believed to contribute to this damage: amyloid beta and tau. Amyloid beta accumulates between nerve cells, forming sticky plaques that interfere with communication between neurons</w:t>
      </w:r>
      <w:r>
        <w:rPr>
          <w:rFonts w:ascii="Arial" w:hAnsi="Arial" w:cs="Arial"/>
        </w:rPr>
        <w:t xml:space="preserve"> (</w:t>
      </w:r>
      <w:r w:rsidRPr="00484034">
        <w:rPr>
          <w:rFonts w:ascii="Arial" w:hAnsi="Arial" w:cs="Arial"/>
        </w:rPr>
        <w:t>Scheltens</w:t>
      </w:r>
      <w:r>
        <w:rPr>
          <w:rFonts w:ascii="Arial" w:hAnsi="Arial" w:cs="Arial"/>
        </w:rPr>
        <w:t xml:space="preserve"> et al, 2016)</w:t>
      </w:r>
      <w:r w:rsidRPr="00806CAB">
        <w:rPr>
          <w:rFonts w:ascii="Arial" w:hAnsi="Arial" w:cs="Arial"/>
        </w:rPr>
        <w:t xml:space="preserve">. At the same time, tau proteins inside the cells become twisted into tangles, disrupting the transport of nutrients and chemicals essential for cell survival. These combined processes </w:t>
      </w:r>
      <w:r w:rsidRPr="00806CAB">
        <w:rPr>
          <w:rFonts w:ascii="Arial" w:hAnsi="Arial" w:cs="Arial"/>
        </w:rPr>
        <w:lastRenderedPageBreak/>
        <w:t>contribute to inflammation and the gradual death of brain cells, particularly in areas responsible for memory, reasoning, and cognitive regulation</w:t>
      </w:r>
      <w:r>
        <w:rPr>
          <w:rFonts w:ascii="Arial" w:hAnsi="Arial" w:cs="Arial"/>
        </w:rPr>
        <w:t xml:space="preserve"> (</w:t>
      </w:r>
      <w:r w:rsidRPr="00353BFB">
        <w:rPr>
          <w:rFonts w:ascii="Arial" w:hAnsi="Arial" w:cs="Arial"/>
        </w:rPr>
        <w:t>Sheppard and Coleman</w:t>
      </w:r>
      <w:r>
        <w:rPr>
          <w:rFonts w:ascii="Arial" w:hAnsi="Arial" w:cs="Arial"/>
        </w:rPr>
        <w:t>, 2020)</w:t>
      </w:r>
      <w:r w:rsidRPr="00806CAB">
        <w:rPr>
          <w:rFonts w:ascii="Arial" w:hAnsi="Arial" w:cs="Arial"/>
        </w:rPr>
        <w:t>.</w:t>
      </w:r>
    </w:p>
    <w:p w14:paraId="269239ED" w14:textId="6EFBB5FF" w:rsidR="00A240E8" w:rsidRPr="00806CAB" w:rsidRDefault="00A240E8" w:rsidP="001A6776">
      <w:pPr>
        <w:spacing w:before="240" w:after="0" w:line="360" w:lineRule="auto"/>
        <w:jc w:val="both"/>
        <w:rPr>
          <w:rFonts w:ascii="Arial" w:hAnsi="Arial" w:cs="Arial"/>
        </w:rPr>
      </w:pPr>
      <w:r w:rsidRPr="00806CAB">
        <w:rPr>
          <w:rFonts w:ascii="Arial" w:hAnsi="Arial" w:cs="Arial"/>
        </w:rPr>
        <w:t>Genetics also play a meaningful role in increasing susceptibility to Alzheimer’s disease. While most cases are not directly inherited, individuals with a close family history</w:t>
      </w:r>
      <w:r>
        <w:rPr>
          <w:rFonts w:ascii="Arial" w:hAnsi="Arial" w:cs="Arial"/>
        </w:rPr>
        <w:t xml:space="preserve">, </w:t>
      </w:r>
      <w:r w:rsidRPr="00806CAB">
        <w:rPr>
          <w:rFonts w:ascii="Arial" w:hAnsi="Arial" w:cs="Arial"/>
        </w:rPr>
        <w:t>such as a parent or sibling</w:t>
      </w:r>
      <w:r>
        <w:rPr>
          <w:rFonts w:ascii="Arial" w:hAnsi="Arial" w:cs="Arial"/>
        </w:rPr>
        <w:t xml:space="preserve">, </w:t>
      </w:r>
      <w:r w:rsidRPr="00806CAB">
        <w:rPr>
          <w:rFonts w:ascii="Arial" w:hAnsi="Arial" w:cs="Arial"/>
        </w:rPr>
        <w:t>have a higher risk of developing the condition</w:t>
      </w:r>
      <w:r>
        <w:rPr>
          <w:rFonts w:ascii="Arial" w:hAnsi="Arial" w:cs="Arial"/>
        </w:rPr>
        <w:t xml:space="preserve"> (</w:t>
      </w:r>
      <w:r w:rsidR="007D78EA" w:rsidRPr="007D78EA">
        <w:rPr>
          <w:rFonts w:ascii="Arial" w:hAnsi="Arial" w:cs="Arial"/>
        </w:rPr>
        <w:t>Lane</w:t>
      </w:r>
      <w:r w:rsidR="007D78EA">
        <w:rPr>
          <w:rFonts w:ascii="Arial" w:hAnsi="Arial" w:cs="Arial"/>
        </w:rPr>
        <w:t xml:space="preserve"> et al</w:t>
      </w:r>
      <w:r>
        <w:rPr>
          <w:rFonts w:ascii="Arial" w:hAnsi="Arial" w:cs="Arial"/>
        </w:rPr>
        <w:t>, 20</w:t>
      </w:r>
      <w:r w:rsidR="007D78EA">
        <w:rPr>
          <w:rFonts w:ascii="Arial" w:hAnsi="Arial" w:cs="Arial"/>
        </w:rPr>
        <w:t>18</w:t>
      </w:r>
      <w:r>
        <w:rPr>
          <w:rFonts w:ascii="Arial" w:hAnsi="Arial" w:cs="Arial"/>
        </w:rPr>
        <w:t>)</w:t>
      </w:r>
      <w:r w:rsidRPr="00806CAB">
        <w:rPr>
          <w:rFonts w:ascii="Arial" w:hAnsi="Arial" w:cs="Arial"/>
        </w:rPr>
        <w:t>. In a small number of cases, specific inherited genetic mutations can cause Alzheimer’s at an earlier age, typically before 65</w:t>
      </w:r>
      <w:r w:rsidR="005F2D25">
        <w:rPr>
          <w:rFonts w:ascii="Arial" w:hAnsi="Arial" w:cs="Arial"/>
        </w:rPr>
        <w:t xml:space="preserve"> (</w:t>
      </w:r>
      <w:r w:rsidR="005F2D25" w:rsidRPr="007D78EA">
        <w:rPr>
          <w:rFonts w:ascii="Arial" w:hAnsi="Arial" w:cs="Arial"/>
        </w:rPr>
        <w:t>Lane</w:t>
      </w:r>
      <w:r w:rsidR="005F2D25">
        <w:rPr>
          <w:rFonts w:ascii="Arial" w:hAnsi="Arial" w:cs="Arial"/>
        </w:rPr>
        <w:t xml:space="preserve"> et al, 2018)</w:t>
      </w:r>
      <w:r w:rsidRPr="00806CAB">
        <w:rPr>
          <w:rFonts w:ascii="Arial" w:hAnsi="Arial" w:cs="Arial"/>
        </w:rPr>
        <w:t>. However, for most older adults, genes influence risk rather than determine certainty</w:t>
      </w:r>
      <w:r>
        <w:rPr>
          <w:rFonts w:ascii="Arial" w:hAnsi="Arial" w:cs="Arial"/>
        </w:rPr>
        <w:t xml:space="preserve"> (</w:t>
      </w:r>
      <w:r w:rsidR="00737E3C" w:rsidRPr="00AF341A">
        <w:rPr>
          <w:rFonts w:ascii="Arial" w:hAnsi="Arial" w:cs="Arial"/>
        </w:rPr>
        <w:t>Giebel et al</w:t>
      </w:r>
      <w:r>
        <w:rPr>
          <w:rFonts w:ascii="Arial" w:hAnsi="Arial" w:cs="Arial"/>
        </w:rPr>
        <w:t>, 2016)</w:t>
      </w:r>
      <w:r w:rsidRPr="00806CAB">
        <w:rPr>
          <w:rFonts w:ascii="Arial" w:hAnsi="Arial" w:cs="Arial"/>
        </w:rPr>
        <w:t>. Age remains the strongest contributing factor, with the likelihood of developing the disease rising significantly after the age of 65. This increase may be linked to natural ageing processes such as oxidative stress, reduced cell repair, and changes in the immune system</w:t>
      </w:r>
      <w:r>
        <w:rPr>
          <w:rFonts w:ascii="Arial" w:hAnsi="Arial" w:cs="Arial"/>
        </w:rPr>
        <w:t xml:space="preserve"> (</w:t>
      </w:r>
      <w:r w:rsidRPr="00353BFB">
        <w:rPr>
          <w:rFonts w:ascii="Arial" w:hAnsi="Arial" w:cs="Arial"/>
        </w:rPr>
        <w:t>Sheppard and Coleman</w:t>
      </w:r>
      <w:r>
        <w:rPr>
          <w:rFonts w:ascii="Arial" w:hAnsi="Arial" w:cs="Arial"/>
        </w:rPr>
        <w:t>, 2020)</w:t>
      </w:r>
      <w:r w:rsidRPr="00806CAB">
        <w:rPr>
          <w:rFonts w:ascii="Arial" w:hAnsi="Arial" w:cs="Arial"/>
        </w:rPr>
        <w:t>.</w:t>
      </w:r>
    </w:p>
    <w:p w14:paraId="52C511D0" w14:textId="4AC1D4FE" w:rsidR="00A240E8" w:rsidRPr="00806CAB" w:rsidRDefault="00A240E8" w:rsidP="001A6776">
      <w:pPr>
        <w:spacing w:before="240" w:after="0" w:line="360" w:lineRule="auto"/>
        <w:jc w:val="both"/>
        <w:rPr>
          <w:rFonts w:ascii="Arial" w:hAnsi="Arial" w:cs="Arial"/>
        </w:rPr>
      </w:pPr>
      <w:r w:rsidRPr="00806CAB">
        <w:rPr>
          <w:rFonts w:ascii="Arial" w:hAnsi="Arial" w:cs="Arial"/>
        </w:rPr>
        <w:t>Environmental and lifestyle elements also contribute to the development of Alzheimer’s disease. Factors such as cardiovascular health, diet, physical inactivity, smoking, and chronic conditions like diabetes or hypertension are believed to play a role by affecting blood flow and the health of brain cells</w:t>
      </w:r>
      <w:r>
        <w:rPr>
          <w:rFonts w:ascii="Arial" w:hAnsi="Arial" w:cs="Arial"/>
        </w:rPr>
        <w:t xml:space="preserve"> (</w:t>
      </w:r>
      <w:r w:rsidRPr="00484034">
        <w:rPr>
          <w:rFonts w:ascii="Arial" w:hAnsi="Arial" w:cs="Arial"/>
        </w:rPr>
        <w:t>Scheltens</w:t>
      </w:r>
      <w:r>
        <w:rPr>
          <w:rFonts w:ascii="Arial" w:hAnsi="Arial" w:cs="Arial"/>
        </w:rPr>
        <w:t xml:space="preserve"> et al, 2016)</w:t>
      </w:r>
      <w:r w:rsidRPr="00806CAB">
        <w:rPr>
          <w:rFonts w:ascii="Arial" w:hAnsi="Arial" w:cs="Arial"/>
        </w:rPr>
        <w:t>. Social isolation, low levels of mental stimulation, and limited education in early life have also been identified as potential long-term risk factors. Taken together, research suggests that Alzheimer’s disease emerges from the complex interplay of biological vulnerability, lifestyle exposures, and ageing, rather than a single identifiable cause</w:t>
      </w:r>
      <w:r>
        <w:rPr>
          <w:rFonts w:ascii="Arial" w:hAnsi="Arial" w:cs="Arial"/>
        </w:rPr>
        <w:t xml:space="preserve"> (</w:t>
      </w:r>
      <w:r w:rsidR="00F97AF0" w:rsidRPr="00F97AF0">
        <w:rPr>
          <w:rFonts w:ascii="Arial" w:hAnsi="Arial" w:cs="Arial"/>
        </w:rPr>
        <w:t>Bondi</w:t>
      </w:r>
      <w:r w:rsidR="00F97AF0">
        <w:rPr>
          <w:rFonts w:ascii="Arial" w:hAnsi="Arial" w:cs="Arial"/>
        </w:rPr>
        <w:t xml:space="preserve"> et al</w:t>
      </w:r>
      <w:r>
        <w:rPr>
          <w:rFonts w:ascii="Arial" w:hAnsi="Arial" w:cs="Arial"/>
        </w:rPr>
        <w:t>, 20</w:t>
      </w:r>
      <w:r w:rsidR="00F97AF0">
        <w:rPr>
          <w:rFonts w:ascii="Arial" w:hAnsi="Arial" w:cs="Arial"/>
        </w:rPr>
        <w:t>17</w:t>
      </w:r>
      <w:r>
        <w:rPr>
          <w:rFonts w:ascii="Arial" w:hAnsi="Arial" w:cs="Arial"/>
        </w:rPr>
        <w:t>)</w:t>
      </w:r>
      <w:r w:rsidRPr="00806CAB">
        <w:rPr>
          <w:rFonts w:ascii="Arial" w:hAnsi="Arial" w:cs="Arial"/>
        </w:rPr>
        <w:t>.</w:t>
      </w:r>
    </w:p>
    <w:p w14:paraId="6D4934CC" w14:textId="77777777" w:rsidR="00A240E8" w:rsidRPr="00806CAB" w:rsidRDefault="00A240E8" w:rsidP="001A6776">
      <w:pPr>
        <w:pStyle w:val="Heading2"/>
        <w:spacing w:after="0"/>
      </w:pPr>
      <w:bookmarkStart w:id="17" w:name="_Toc220760145"/>
      <w:r w:rsidRPr="00806CAB">
        <w:t>2.2.2 Symptoms and Progression</w:t>
      </w:r>
      <w:bookmarkEnd w:id="17"/>
    </w:p>
    <w:p w14:paraId="2C7B66F4"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The symptoms of Alzheimer’s disease vary widely between individuals and generally worsen over time as the condition progresses. In the early stages, symptoms may appear subtle and are often mistaken for normal ageing</w:t>
      </w:r>
      <w:r>
        <w:rPr>
          <w:rFonts w:ascii="Arial" w:hAnsi="Arial" w:cs="Arial"/>
        </w:rPr>
        <w:t xml:space="preserve"> (</w:t>
      </w:r>
      <w:r w:rsidRPr="00092434">
        <w:rPr>
          <w:rFonts w:ascii="Arial" w:hAnsi="Arial" w:cs="Arial"/>
        </w:rPr>
        <w:t>Dietlin</w:t>
      </w:r>
      <w:r>
        <w:rPr>
          <w:rFonts w:ascii="Arial" w:hAnsi="Arial" w:cs="Arial"/>
        </w:rPr>
        <w:t xml:space="preserve"> et al, 2019)</w:t>
      </w:r>
      <w:r w:rsidRPr="00806CAB">
        <w:rPr>
          <w:rFonts w:ascii="Arial" w:hAnsi="Arial" w:cs="Arial"/>
        </w:rPr>
        <w:t>. Common early signs include forgetfulness, difficulty recalling recent conversations or events, and challenges in organising tasks or managing daily routines. Individuals may misplace items, become confused in unfamiliar environments, or struggle to find the right words during conversation</w:t>
      </w:r>
      <w:r>
        <w:rPr>
          <w:rFonts w:ascii="Arial" w:hAnsi="Arial" w:cs="Arial"/>
        </w:rPr>
        <w:t xml:space="preserve"> (</w:t>
      </w:r>
      <w:r w:rsidRPr="00016B1E">
        <w:rPr>
          <w:rFonts w:ascii="Arial" w:hAnsi="Arial" w:cs="Arial"/>
        </w:rPr>
        <w:t>Bature</w:t>
      </w:r>
      <w:r>
        <w:rPr>
          <w:rFonts w:ascii="Arial" w:hAnsi="Arial" w:cs="Arial"/>
        </w:rPr>
        <w:t xml:space="preserve"> et al, 2017)</w:t>
      </w:r>
      <w:r w:rsidRPr="00806CAB">
        <w:rPr>
          <w:rFonts w:ascii="Arial" w:hAnsi="Arial" w:cs="Arial"/>
        </w:rPr>
        <w:t>. These early changes can affect confidence and independence yet may go unnoticed by family members until they become more frequent or disruptive</w:t>
      </w:r>
      <w:r>
        <w:rPr>
          <w:rFonts w:ascii="Arial" w:hAnsi="Arial" w:cs="Arial"/>
        </w:rPr>
        <w:t xml:space="preserve"> (</w:t>
      </w:r>
      <w:r w:rsidRPr="002D1DB6">
        <w:rPr>
          <w:rFonts w:ascii="Arial" w:hAnsi="Arial" w:cs="Arial"/>
        </w:rPr>
        <w:t>Parnetti</w:t>
      </w:r>
      <w:r>
        <w:rPr>
          <w:rFonts w:ascii="Arial" w:hAnsi="Arial" w:cs="Arial"/>
        </w:rPr>
        <w:t xml:space="preserve"> et al, 2019)</w:t>
      </w:r>
      <w:r w:rsidRPr="00806CAB">
        <w:rPr>
          <w:rFonts w:ascii="Arial" w:hAnsi="Arial" w:cs="Arial"/>
        </w:rPr>
        <w:t>.</w:t>
      </w:r>
    </w:p>
    <w:p w14:paraId="15296766"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lastRenderedPageBreak/>
        <w:t>As Alzheimer’s progresses to the middle stage, symptoms become more noticeable and increasingly interfere with daily activities. Individuals may have difficulty recognising familiar faces, including close friends or relatives</w:t>
      </w:r>
      <w:r>
        <w:rPr>
          <w:rFonts w:ascii="Arial" w:hAnsi="Arial" w:cs="Arial"/>
        </w:rPr>
        <w:t xml:space="preserve"> (</w:t>
      </w:r>
      <w:r w:rsidRPr="00092434">
        <w:rPr>
          <w:rFonts w:ascii="Arial" w:hAnsi="Arial" w:cs="Arial"/>
        </w:rPr>
        <w:t>Dietlin</w:t>
      </w:r>
      <w:r>
        <w:rPr>
          <w:rFonts w:ascii="Arial" w:hAnsi="Arial" w:cs="Arial"/>
        </w:rPr>
        <w:t xml:space="preserve"> et al, 2019)</w:t>
      </w:r>
      <w:r w:rsidRPr="00806CAB">
        <w:rPr>
          <w:rFonts w:ascii="Arial" w:hAnsi="Arial" w:cs="Arial"/>
        </w:rPr>
        <w:t>. Challenges in communication become more pronounced, with reduced vocabulary and difficulty expressing needs or understanding instructions</w:t>
      </w:r>
      <w:r>
        <w:rPr>
          <w:rFonts w:ascii="Arial" w:hAnsi="Arial" w:cs="Arial"/>
        </w:rPr>
        <w:t xml:space="preserve"> (</w:t>
      </w:r>
      <w:r w:rsidRPr="00016B1E">
        <w:rPr>
          <w:rFonts w:ascii="Arial" w:hAnsi="Arial" w:cs="Arial"/>
        </w:rPr>
        <w:t>Bature</w:t>
      </w:r>
      <w:r>
        <w:rPr>
          <w:rFonts w:ascii="Arial" w:hAnsi="Arial" w:cs="Arial"/>
        </w:rPr>
        <w:t xml:space="preserve"> et al, 2017)</w:t>
      </w:r>
      <w:r w:rsidRPr="00806CAB">
        <w:rPr>
          <w:rFonts w:ascii="Arial" w:hAnsi="Arial" w:cs="Arial"/>
        </w:rPr>
        <w:t>. Behavioural and emotional changes often emerge, including irritability, anxiety, confusion, agitation, or withdrawal from social interactions. Decision-making and judgement decline, which may lead to safety concerns such as wandering or vulnerability to accidents</w:t>
      </w:r>
      <w:r>
        <w:rPr>
          <w:rFonts w:ascii="Arial" w:hAnsi="Arial" w:cs="Arial"/>
        </w:rPr>
        <w:t xml:space="preserve"> (</w:t>
      </w:r>
      <w:r w:rsidRPr="00092434">
        <w:rPr>
          <w:rFonts w:ascii="Arial" w:hAnsi="Arial" w:cs="Arial"/>
        </w:rPr>
        <w:t>Dietlin</w:t>
      </w:r>
      <w:r>
        <w:rPr>
          <w:rFonts w:ascii="Arial" w:hAnsi="Arial" w:cs="Arial"/>
        </w:rPr>
        <w:t xml:space="preserve"> et al, 2019)</w:t>
      </w:r>
      <w:r w:rsidRPr="00806CAB">
        <w:rPr>
          <w:rFonts w:ascii="Arial" w:hAnsi="Arial" w:cs="Arial"/>
        </w:rPr>
        <w:t>.</w:t>
      </w:r>
    </w:p>
    <w:p w14:paraId="707075D7"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In the advanced stage, symptoms become severe, and individuals experience profound cognitive and physical decline</w:t>
      </w:r>
      <w:r>
        <w:rPr>
          <w:rFonts w:ascii="Arial" w:hAnsi="Arial" w:cs="Arial"/>
        </w:rPr>
        <w:t xml:space="preserve"> (</w:t>
      </w:r>
      <w:r w:rsidRPr="00016B1E">
        <w:rPr>
          <w:rFonts w:ascii="Arial" w:hAnsi="Arial" w:cs="Arial"/>
        </w:rPr>
        <w:t>Bature</w:t>
      </w:r>
      <w:r>
        <w:rPr>
          <w:rFonts w:ascii="Arial" w:hAnsi="Arial" w:cs="Arial"/>
        </w:rPr>
        <w:t xml:space="preserve"> et al, 2017)</w:t>
      </w:r>
      <w:r w:rsidRPr="00806CAB">
        <w:rPr>
          <w:rFonts w:ascii="Arial" w:hAnsi="Arial" w:cs="Arial"/>
        </w:rPr>
        <w:t>. Memory loss becomes extensive, and the person may no longer recognise immediate family members or understand their surroundings. Basic functions such as swallowing, walking, dressing, or using the bathroom require significant assistance or may become impossible without full-time care</w:t>
      </w:r>
      <w:r>
        <w:rPr>
          <w:rFonts w:ascii="Arial" w:hAnsi="Arial" w:cs="Arial"/>
        </w:rPr>
        <w:t xml:space="preserve"> (</w:t>
      </w:r>
      <w:r w:rsidRPr="002D1DB6">
        <w:rPr>
          <w:rFonts w:ascii="Arial" w:hAnsi="Arial" w:cs="Arial"/>
        </w:rPr>
        <w:t>Parnetti</w:t>
      </w:r>
      <w:r>
        <w:rPr>
          <w:rFonts w:ascii="Arial" w:hAnsi="Arial" w:cs="Arial"/>
        </w:rPr>
        <w:t xml:space="preserve"> et al, 2019)</w:t>
      </w:r>
      <w:r w:rsidRPr="00806CAB">
        <w:rPr>
          <w:rFonts w:ascii="Arial" w:hAnsi="Arial" w:cs="Arial"/>
        </w:rPr>
        <w:t>. Speech is greatly reduced, and communication may be limited to sounds or facial expressions. The long-term nature of Alzheimer’s</w:t>
      </w:r>
      <w:r>
        <w:rPr>
          <w:rFonts w:ascii="Arial" w:hAnsi="Arial" w:cs="Arial"/>
        </w:rPr>
        <w:t xml:space="preserve">, </w:t>
      </w:r>
      <w:r w:rsidRPr="00806CAB">
        <w:rPr>
          <w:rFonts w:ascii="Arial" w:hAnsi="Arial" w:cs="Arial"/>
        </w:rPr>
        <w:t>combined with increasing dependency</w:t>
      </w:r>
      <w:r>
        <w:rPr>
          <w:rFonts w:ascii="Arial" w:hAnsi="Arial" w:cs="Arial"/>
        </w:rPr>
        <w:t xml:space="preserve">, </w:t>
      </w:r>
      <w:r w:rsidRPr="00806CAB">
        <w:rPr>
          <w:rFonts w:ascii="Arial" w:hAnsi="Arial" w:cs="Arial"/>
        </w:rPr>
        <w:t>places significant emotional, financial, and physical strain on families and caregivers</w:t>
      </w:r>
      <w:r>
        <w:rPr>
          <w:rFonts w:ascii="Arial" w:hAnsi="Arial" w:cs="Arial"/>
        </w:rPr>
        <w:t xml:space="preserve"> (</w:t>
      </w:r>
      <w:r w:rsidRPr="00092434">
        <w:rPr>
          <w:rFonts w:ascii="Arial" w:hAnsi="Arial" w:cs="Arial"/>
        </w:rPr>
        <w:t>Dietlin</w:t>
      </w:r>
      <w:r>
        <w:rPr>
          <w:rFonts w:ascii="Arial" w:hAnsi="Arial" w:cs="Arial"/>
        </w:rPr>
        <w:t xml:space="preserve"> et al, 2019)</w:t>
      </w:r>
      <w:r w:rsidRPr="00806CAB">
        <w:rPr>
          <w:rFonts w:ascii="Arial" w:hAnsi="Arial" w:cs="Arial"/>
        </w:rPr>
        <w:t>.</w:t>
      </w:r>
    </w:p>
    <w:p w14:paraId="2565A561" w14:textId="77777777" w:rsidR="00A240E8" w:rsidRPr="00806CAB" w:rsidRDefault="00A240E8" w:rsidP="001A6776">
      <w:pPr>
        <w:pStyle w:val="Heading1"/>
      </w:pPr>
      <w:bookmarkStart w:id="18" w:name="_Toc220760146"/>
      <w:r>
        <w:t xml:space="preserve">2.3 </w:t>
      </w:r>
      <w:r w:rsidRPr="00806CAB">
        <w:t>Impact on Older Adults and Families</w:t>
      </w:r>
      <w:bookmarkEnd w:id="18"/>
    </w:p>
    <w:p w14:paraId="47863FD9" w14:textId="3EF19187" w:rsidR="00A240E8" w:rsidRPr="00806CAB" w:rsidRDefault="00A240E8" w:rsidP="001A6776">
      <w:pPr>
        <w:spacing w:before="240" w:after="0" w:line="360" w:lineRule="auto"/>
        <w:jc w:val="both"/>
        <w:rPr>
          <w:rFonts w:ascii="Arial" w:hAnsi="Arial" w:cs="Arial"/>
        </w:rPr>
      </w:pPr>
      <w:r w:rsidRPr="00806CAB">
        <w:rPr>
          <w:rFonts w:ascii="Arial" w:hAnsi="Arial" w:cs="Arial"/>
        </w:rPr>
        <w:t>The impact of Alzheimer’s disease on older adults can be profound. Individuals often experience distress due to confusion, memory loss, and the loss of independence. Emotional responses may include fear, frustration, anxiety, or a sense of loss as they struggle with tasks that once seemed routine</w:t>
      </w:r>
      <w:r>
        <w:rPr>
          <w:rFonts w:ascii="Arial" w:hAnsi="Arial" w:cs="Arial"/>
        </w:rPr>
        <w:t xml:space="preserve"> (</w:t>
      </w:r>
      <w:r w:rsidRPr="009F2D4E">
        <w:rPr>
          <w:rFonts w:ascii="Arial" w:hAnsi="Arial" w:cs="Arial"/>
        </w:rPr>
        <w:t>Maresova</w:t>
      </w:r>
      <w:r>
        <w:rPr>
          <w:rFonts w:ascii="Arial" w:hAnsi="Arial" w:cs="Arial"/>
        </w:rPr>
        <w:t xml:space="preserve"> et al, 2016)</w:t>
      </w:r>
      <w:r w:rsidRPr="00806CAB">
        <w:rPr>
          <w:rFonts w:ascii="Arial" w:hAnsi="Arial" w:cs="Arial"/>
        </w:rPr>
        <w:t>. Reduced ability to communicate or maintain relationships can lead to loneliness and withdrawal</w:t>
      </w:r>
      <w:r w:rsidR="00993822">
        <w:rPr>
          <w:rFonts w:ascii="Arial" w:hAnsi="Arial" w:cs="Arial"/>
        </w:rPr>
        <w:t xml:space="preserve"> (</w:t>
      </w:r>
      <w:r w:rsidR="00993822" w:rsidRPr="009F2D4E">
        <w:rPr>
          <w:rFonts w:ascii="Arial" w:hAnsi="Arial" w:cs="Arial"/>
        </w:rPr>
        <w:t>Maresova</w:t>
      </w:r>
      <w:r w:rsidR="00993822">
        <w:rPr>
          <w:rFonts w:ascii="Arial" w:hAnsi="Arial" w:cs="Arial"/>
        </w:rPr>
        <w:t xml:space="preserve"> et al, 2016)</w:t>
      </w:r>
      <w:r w:rsidRPr="00806CAB">
        <w:rPr>
          <w:rFonts w:ascii="Arial" w:hAnsi="Arial" w:cs="Arial"/>
        </w:rPr>
        <w:t>. Many individuals also develop behavioural or psychological symptoms such as aggression, paranoia, or depression</w:t>
      </w:r>
      <w:r w:rsidR="00993822">
        <w:rPr>
          <w:rFonts w:ascii="Arial" w:hAnsi="Arial" w:cs="Arial"/>
        </w:rPr>
        <w:t xml:space="preserve"> (</w:t>
      </w:r>
      <w:r w:rsidR="00993822" w:rsidRPr="00F61F98">
        <w:rPr>
          <w:rFonts w:ascii="Arial" w:hAnsi="Arial" w:cs="Arial"/>
        </w:rPr>
        <w:t>Scerri</w:t>
      </w:r>
      <w:r w:rsidR="00993822">
        <w:rPr>
          <w:rFonts w:ascii="Arial" w:hAnsi="Arial" w:cs="Arial"/>
        </w:rPr>
        <w:t>, 2017)</w:t>
      </w:r>
      <w:r w:rsidRPr="00806CAB">
        <w:rPr>
          <w:rFonts w:ascii="Arial" w:hAnsi="Arial" w:cs="Arial"/>
        </w:rPr>
        <w:t>. These changes can affect a person’s dignity and sense of identity, making compassionate and person-centred care essential</w:t>
      </w:r>
      <w:r>
        <w:rPr>
          <w:rFonts w:ascii="Arial" w:hAnsi="Arial" w:cs="Arial"/>
        </w:rPr>
        <w:t xml:space="preserve"> (</w:t>
      </w:r>
      <w:r w:rsidRPr="00F61F98">
        <w:rPr>
          <w:rFonts w:ascii="Arial" w:hAnsi="Arial" w:cs="Arial"/>
        </w:rPr>
        <w:t>Scerri</w:t>
      </w:r>
      <w:r>
        <w:rPr>
          <w:rFonts w:ascii="Arial" w:hAnsi="Arial" w:cs="Arial"/>
        </w:rPr>
        <w:t>, 2017)</w:t>
      </w:r>
      <w:r w:rsidRPr="00806CAB">
        <w:rPr>
          <w:rFonts w:ascii="Arial" w:hAnsi="Arial" w:cs="Arial"/>
        </w:rPr>
        <w:t>.</w:t>
      </w:r>
    </w:p>
    <w:p w14:paraId="044C37DC"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 xml:space="preserve">For families and caregivers, the burden is often substantial. Providing care may involve emotional labour, time investment, and significant lifestyle adjustments. Family members may be required to support daily living activities such as bathing, dressing, </w:t>
      </w:r>
      <w:r w:rsidRPr="00806CAB">
        <w:rPr>
          <w:rFonts w:ascii="Arial" w:hAnsi="Arial" w:cs="Arial"/>
        </w:rPr>
        <w:lastRenderedPageBreak/>
        <w:t>or feeding</w:t>
      </w:r>
      <w:r>
        <w:rPr>
          <w:rFonts w:ascii="Arial" w:hAnsi="Arial" w:cs="Arial"/>
        </w:rPr>
        <w:t xml:space="preserve"> (</w:t>
      </w:r>
      <w:r w:rsidRPr="009F2D4E">
        <w:rPr>
          <w:rFonts w:ascii="Arial" w:hAnsi="Arial" w:cs="Arial"/>
        </w:rPr>
        <w:t>Maresova</w:t>
      </w:r>
      <w:r>
        <w:rPr>
          <w:rFonts w:ascii="Arial" w:hAnsi="Arial" w:cs="Arial"/>
        </w:rPr>
        <w:t xml:space="preserve"> et al, 2016)</w:t>
      </w:r>
      <w:r w:rsidRPr="00806CAB">
        <w:rPr>
          <w:rFonts w:ascii="Arial" w:hAnsi="Arial" w:cs="Arial"/>
        </w:rPr>
        <w:t xml:space="preserve">. Over time, caregiving responsibilities can disrupt employment, social relationships, and personal </w:t>
      </w:r>
      <w:r w:rsidRPr="006C25FD">
        <w:rPr>
          <w:rFonts w:ascii="Arial" w:hAnsi="Arial" w:cs="Arial"/>
        </w:rPr>
        <w:t>well-being</w:t>
      </w:r>
      <w:r w:rsidRPr="00806CAB">
        <w:rPr>
          <w:rFonts w:ascii="Arial" w:hAnsi="Arial" w:cs="Arial"/>
        </w:rPr>
        <w:t>. Stress, burnout, and emotional strain are common among caregivers, particularly when support services are limited or difficult to access</w:t>
      </w:r>
      <w:r>
        <w:rPr>
          <w:rFonts w:ascii="Arial" w:hAnsi="Arial" w:cs="Arial"/>
        </w:rPr>
        <w:t xml:space="preserve"> (</w:t>
      </w:r>
      <w:r w:rsidRPr="00F61F98">
        <w:rPr>
          <w:rFonts w:ascii="Arial" w:hAnsi="Arial" w:cs="Arial"/>
        </w:rPr>
        <w:t>Scerri</w:t>
      </w:r>
      <w:r>
        <w:rPr>
          <w:rFonts w:ascii="Arial" w:hAnsi="Arial" w:cs="Arial"/>
        </w:rPr>
        <w:t>, 2017)</w:t>
      </w:r>
      <w:r w:rsidRPr="00806CAB">
        <w:rPr>
          <w:rFonts w:ascii="Arial" w:hAnsi="Arial" w:cs="Arial"/>
        </w:rPr>
        <w:t>. In many South Asian families, caregiving is traditionally seen as a family responsibility rather than a role to be shared with formal care providers</w:t>
      </w:r>
      <w:r>
        <w:rPr>
          <w:rFonts w:ascii="Arial" w:hAnsi="Arial" w:cs="Arial"/>
        </w:rPr>
        <w:t xml:space="preserve"> (</w:t>
      </w:r>
      <w:r w:rsidRPr="009F2D4E">
        <w:rPr>
          <w:rFonts w:ascii="Arial" w:hAnsi="Arial" w:cs="Arial"/>
        </w:rPr>
        <w:t>Maresova</w:t>
      </w:r>
      <w:r>
        <w:rPr>
          <w:rFonts w:ascii="Arial" w:hAnsi="Arial" w:cs="Arial"/>
        </w:rPr>
        <w:t xml:space="preserve"> et al, 2016)</w:t>
      </w:r>
      <w:r w:rsidRPr="00806CAB">
        <w:rPr>
          <w:rFonts w:ascii="Arial" w:hAnsi="Arial" w:cs="Arial"/>
        </w:rPr>
        <w:t>. While this may offer emotional closeness, it can also restrict access to appropriate support and increase caregiver strain. The emotional and practical demands highlight the importance of accessible, culturally appropriate support services</w:t>
      </w:r>
      <w:r>
        <w:rPr>
          <w:rFonts w:ascii="Arial" w:hAnsi="Arial" w:cs="Arial"/>
        </w:rPr>
        <w:t xml:space="preserve"> (</w:t>
      </w:r>
      <w:r w:rsidRPr="00F61F98">
        <w:rPr>
          <w:rFonts w:ascii="Arial" w:hAnsi="Arial" w:cs="Arial"/>
        </w:rPr>
        <w:t>Scerri</w:t>
      </w:r>
      <w:r>
        <w:rPr>
          <w:rFonts w:ascii="Arial" w:hAnsi="Arial" w:cs="Arial"/>
        </w:rPr>
        <w:t>, 2017)</w:t>
      </w:r>
      <w:r w:rsidRPr="00806CAB">
        <w:rPr>
          <w:rFonts w:ascii="Arial" w:hAnsi="Arial" w:cs="Arial"/>
        </w:rPr>
        <w:t>.</w:t>
      </w:r>
    </w:p>
    <w:p w14:paraId="7B07A618" w14:textId="77777777" w:rsidR="00A240E8" w:rsidRPr="00806CAB" w:rsidRDefault="00A240E8" w:rsidP="001A6776">
      <w:pPr>
        <w:pStyle w:val="Heading1"/>
      </w:pPr>
      <w:bookmarkStart w:id="19" w:name="_Toc220760147"/>
      <w:r w:rsidRPr="00806CAB">
        <w:t>2.4 Access to Healthcare Services in Minority and Migrant Populations</w:t>
      </w:r>
      <w:bookmarkEnd w:id="19"/>
    </w:p>
    <w:p w14:paraId="6F7BE93E"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Accessing healthcare is influenced by multiple social, cultural, and systemic factors, and these challenges can be more pronounced for minority and migrant groups. Barriers such as unfamiliarity with healthcare pathways, language differences, and confusion about the role of medical services may delay help-seeking</w:t>
      </w:r>
      <w:r>
        <w:rPr>
          <w:rFonts w:ascii="Arial" w:hAnsi="Arial" w:cs="Arial"/>
        </w:rPr>
        <w:t xml:space="preserve"> (</w:t>
      </w:r>
      <w:r w:rsidRPr="00BD0B1C">
        <w:rPr>
          <w:rFonts w:ascii="Arial" w:hAnsi="Arial" w:cs="Arial"/>
        </w:rPr>
        <w:t>Duran-Kiraç</w:t>
      </w:r>
      <w:r>
        <w:rPr>
          <w:rFonts w:ascii="Arial" w:hAnsi="Arial" w:cs="Arial"/>
        </w:rPr>
        <w:t xml:space="preserve"> et al, 2022)</w:t>
      </w:r>
      <w:r w:rsidRPr="00806CAB">
        <w:rPr>
          <w:rFonts w:ascii="Arial" w:hAnsi="Arial" w:cs="Arial"/>
        </w:rPr>
        <w:t>. Additionally, some individuals may have expectations shaped by healthcare systems in their countries of origin, where services may only be accessed in emergencies rather than for prevention or early diagnosis</w:t>
      </w:r>
      <w:r>
        <w:rPr>
          <w:rFonts w:ascii="Arial" w:hAnsi="Arial" w:cs="Arial"/>
        </w:rPr>
        <w:t xml:space="preserve"> (</w:t>
      </w:r>
      <w:r w:rsidRPr="008302BD">
        <w:rPr>
          <w:rFonts w:ascii="Arial" w:hAnsi="Arial" w:cs="Arial"/>
        </w:rPr>
        <w:t>Sun</w:t>
      </w:r>
      <w:r>
        <w:rPr>
          <w:rFonts w:ascii="Arial" w:hAnsi="Arial" w:cs="Arial"/>
        </w:rPr>
        <w:t xml:space="preserve"> et al, 2019)</w:t>
      </w:r>
      <w:r w:rsidRPr="00806CAB">
        <w:rPr>
          <w:rFonts w:ascii="Arial" w:hAnsi="Arial" w:cs="Arial"/>
        </w:rPr>
        <w:t>. Mistrust, perceived discrimination, and reliance on family or community networks for health guidance can also contribute to lower engagement. When healthcare systems lack cultural sensitivity or do not actively address these factors, formal services may appear inaccessible, unwelcoming, or irrelevant to minority groups</w:t>
      </w:r>
      <w:r>
        <w:rPr>
          <w:rFonts w:ascii="Arial" w:hAnsi="Arial" w:cs="Arial"/>
        </w:rPr>
        <w:t xml:space="preserve"> (</w:t>
      </w:r>
      <w:r w:rsidRPr="00414B60">
        <w:rPr>
          <w:rFonts w:ascii="Arial" w:hAnsi="Arial" w:cs="Arial"/>
        </w:rPr>
        <w:t>Sagbakken</w:t>
      </w:r>
      <w:r>
        <w:rPr>
          <w:rFonts w:ascii="Arial" w:hAnsi="Arial" w:cs="Arial"/>
        </w:rPr>
        <w:t xml:space="preserve"> and </w:t>
      </w:r>
      <w:r w:rsidRPr="00414B60">
        <w:rPr>
          <w:rFonts w:ascii="Arial" w:hAnsi="Arial" w:cs="Arial"/>
        </w:rPr>
        <w:t>Kumar</w:t>
      </w:r>
      <w:r>
        <w:rPr>
          <w:rFonts w:ascii="Arial" w:hAnsi="Arial" w:cs="Arial"/>
        </w:rPr>
        <w:t>, 2017)</w:t>
      </w:r>
      <w:r w:rsidRPr="00806CAB">
        <w:rPr>
          <w:rFonts w:ascii="Arial" w:hAnsi="Arial" w:cs="Arial"/>
        </w:rPr>
        <w:t>.</w:t>
      </w:r>
    </w:p>
    <w:p w14:paraId="7FAFD98B"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In the UK, healthcare aims to be universally accessible, yet inequalities remain, particularly in relation to long-term conditions such as dementia and Alzheimer’s disease</w:t>
      </w:r>
      <w:r>
        <w:rPr>
          <w:rFonts w:ascii="Arial" w:hAnsi="Arial" w:cs="Arial"/>
        </w:rPr>
        <w:t xml:space="preserve"> (</w:t>
      </w:r>
      <w:r w:rsidRPr="00BD0B1C">
        <w:rPr>
          <w:rFonts w:ascii="Arial" w:hAnsi="Arial" w:cs="Arial"/>
        </w:rPr>
        <w:t>Duran-Kiraç</w:t>
      </w:r>
      <w:r>
        <w:rPr>
          <w:rFonts w:ascii="Arial" w:hAnsi="Arial" w:cs="Arial"/>
        </w:rPr>
        <w:t xml:space="preserve"> et al, 2022).</w:t>
      </w:r>
      <w:r w:rsidRPr="00806CAB">
        <w:rPr>
          <w:rFonts w:ascii="Arial" w:hAnsi="Arial" w:cs="Arial"/>
        </w:rPr>
        <w:t xml:space="preserve"> Migrant and minority populations are often diagnosed later and are less likely to access specialist memory services, support groups, or early intervention programmes</w:t>
      </w:r>
      <w:r>
        <w:rPr>
          <w:rFonts w:ascii="Arial" w:hAnsi="Arial" w:cs="Arial"/>
        </w:rPr>
        <w:t xml:space="preserve"> (</w:t>
      </w:r>
      <w:r w:rsidRPr="008302BD">
        <w:rPr>
          <w:rFonts w:ascii="Arial" w:hAnsi="Arial" w:cs="Arial"/>
        </w:rPr>
        <w:t>Sun</w:t>
      </w:r>
      <w:r>
        <w:rPr>
          <w:rFonts w:ascii="Arial" w:hAnsi="Arial" w:cs="Arial"/>
        </w:rPr>
        <w:t xml:space="preserve"> et al, 2019)</w:t>
      </w:r>
      <w:r w:rsidRPr="00806CAB">
        <w:rPr>
          <w:rFonts w:ascii="Arial" w:hAnsi="Arial" w:cs="Arial"/>
        </w:rPr>
        <w:t>. Limited culturally tailored services, insufficient bilingual support, and a lack of targeted health education campaigns contribute to these disparities. For conditions requiring early recognition and ongoing engagement</w:t>
      </w:r>
      <w:r w:rsidRPr="006C25FD">
        <w:rPr>
          <w:rFonts w:ascii="Arial" w:hAnsi="Arial" w:cs="Arial"/>
        </w:rPr>
        <w:t xml:space="preserve">, </w:t>
      </w:r>
      <w:r w:rsidRPr="00806CAB">
        <w:rPr>
          <w:rFonts w:ascii="Arial" w:hAnsi="Arial" w:cs="Arial"/>
        </w:rPr>
        <w:t>such as Alzheimer’s disease</w:t>
      </w:r>
      <w:r w:rsidRPr="006C25FD">
        <w:rPr>
          <w:rFonts w:ascii="Arial" w:hAnsi="Arial" w:cs="Arial"/>
        </w:rPr>
        <w:t xml:space="preserve">, </w:t>
      </w:r>
      <w:r w:rsidRPr="00806CAB">
        <w:rPr>
          <w:rFonts w:ascii="Arial" w:hAnsi="Arial" w:cs="Arial"/>
        </w:rPr>
        <w:t>these barriers significantly affect health outcomes and delay essential care</w:t>
      </w:r>
      <w:r>
        <w:rPr>
          <w:rFonts w:ascii="Arial" w:hAnsi="Arial" w:cs="Arial"/>
        </w:rPr>
        <w:t xml:space="preserve"> (</w:t>
      </w:r>
      <w:r w:rsidRPr="00414B60">
        <w:rPr>
          <w:rFonts w:ascii="Arial" w:hAnsi="Arial" w:cs="Arial"/>
        </w:rPr>
        <w:t>Sagbakken</w:t>
      </w:r>
      <w:r>
        <w:rPr>
          <w:rFonts w:ascii="Arial" w:hAnsi="Arial" w:cs="Arial"/>
        </w:rPr>
        <w:t xml:space="preserve"> and </w:t>
      </w:r>
      <w:r w:rsidRPr="00414B60">
        <w:rPr>
          <w:rFonts w:ascii="Arial" w:hAnsi="Arial" w:cs="Arial"/>
        </w:rPr>
        <w:t>Kumar</w:t>
      </w:r>
      <w:r>
        <w:rPr>
          <w:rFonts w:ascii="Arial" w:hAnsi="Arial" w:cs="Arial"/>
        </w:rPr>
        <w:t>, 2017).</w:t>
      </w:r>
      <w:r w:rsidRPr="00806CAB">
        <w:rPr>
          <w:rFonts w:ascii="Arial" w:hAnsi="Arial" w:cs="Arial"/>
        </w:rPr>
        <w:t xml:space="preserve"> </w:t>
      </w:r>
      <w:r w:rsidRPr="00806CAB">
        <w:rPr>
          <w:rFonts w:ascii="Arial" w:hAnsi="Arial" w:cs="Arial"/>
        </w:rPr>
        <w:lastRenderedPageBreak/>
        <w:t>Understanding these systemic challenges is crucial when examining the experience of South Asian older adults within the UK's dementia care landscape</w:t>
      </w:r>
      <w:r>
        <w:rPr>
          <w:rFonts w:ascii="Arial" w:hAnsi="Arial" w:cs="Arial"/>
        </w:rPr>
        <w:t xml:space="preserve"> (</w:t>
      </w:r>
      <w:r w:rsidRPr="008302BD">
        <w:rPr>
          <w:rFonts w:ascii="Arial" w:hAnsi="Arial" w:cs="Arial"/>
        </w:rPr>
        <w:t>Sun</w:t>
      </w:r>
      <w:r>
        <w:rPr>
          <w:rFonts w:ascii="Arial" w:hAnsi="Arial" w:cs="Arial"/>
        </w:rPr>
        <w:t xml:space="preserve"> et al, 2019)</w:t>
      </w:r>
      <w:r w:rsidRPr="00806CAB">
        <w:rPr>
          <w:rFonts w:ascii="Arial" w:hAnsi="Arial" w:cs="Arial"/>
        </w:rPr>
        <w:t>.</w:t>
      </w:r>
    </w:p>
    <w:p w14:paraId="1839AA9A" w14:textId="77777777" w:rsidR="00A240E8" w:rsidRPr="00806CAB" w:rsidRDefault="00A240E8" w:rsidP="001A6776">
      <w:pPr>
        <w:pStyle w:val="Heading1"/>
      </w:pPr>
      <w:bookmarkStart w:id="20" w:name="_Toc220760148"/>
      <w:r w:rsidRPr="00806CAB">
        <w:t>2.5 Cultural Barriers to Accessing Alzheimer’s Care</w:t>
      </w:r>
      <w:bookmarkEnd w:id="20"/>
    </w:p>
    <w:p w14:paraId="77528838"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 xml:space="preserve">Cultural beliefs </w:t>
      </w:r>
      <w:r>
        <w:rPr>
          <w:rFonts w:ascii="Arial" w:hAnsi="Arial" w:cs="Arial"/>
        </w:rPr>
        <w:t>significantly shape how health conditions are understood and managed, with a profound</w:t>
      </w:r>
      <w:r w:rsidRPr="00806CAB">
        <w:rPr>
          <w:rFonts w:ascii="Arial" w:hAnsi="Arial" w:cs="Arial"/>
        </w:rPr>
        <w:t xml:space="preserve"> impact on help-seeking behaviour among South Asian communities</w:t>
      </w:r>
      <w:r>
        <w:rPr>
          <w:rFonts w:ascii="Arial" w:hAnsi="Arial" w:cs="Arial"/>
        </w:rPr>
        <w:t xml:space="preserve"> (</w:t>
      </w:r>
      <w:r w:rsidRPr="00732B70">
        <w:rPr>
          <w:rFonts w:ascii="Arial" w:hAnsi="Arial" w:cs="Arial"/>
        </w:rPr>
        <w:t>Solis</w:t>
      </w:r>
      <w:r>
        <w:rPr>
          <w:rFonts w:ascii="Arial" w:hAnsi="Arial" w:cs="Arial"/>
        </w:rPr>
        <w:t>, 2024)</w:t>
      </w:r>
      <w:r w:rsidRPr="00806CAB">
        <w:rPr>
          <w:rFonts w:ascii="Arial" w:hAnsi="Arial" w:cs="Arial"/>
        </w:rPr>
        <w:t>. In many cases, memory loss or confusion in older age is perceived as a normal and inevitable part of the ageing process rather than a symptom of a medical condition such as Alzheimer’s disease</w:t>
      </w:r>
      <w:r>
        <w:rPr>
          <w:rFonts w:ascii="Arial" w:hAnsi="Arial" w:cs="Arial"/>
        </w:rPr>
        <w:t xml:space="preserve"> (</w:t>
      </w:r>
      <w:r w:rsidRPr="00691E45">
        <w:rPr>
          <w:rFonts w:ascii="Arial" w:hAnsi="Arial" w:cs="Arial"/>
        </w:rPr>
        <w:t>Sorrentino</w:t>
      </w:r>
      <w:r>
        <w:rPr>
          <w:rFonts w:ascii="Arial" w:hAnsi="Arial" w:cs="Arial"/>
        </w:rPr>
        <w:t xml:space="preserve"> et al, 2025)</w:t>
      </w:r>
      <w:r w:rsidRPr="00806CAB">
        <w:rPr>
          <w:rFonts w:ascii="Arial" w:hAnsi="Arial" w:cs="Arial"/>
        </w:rPr>
        <w:t>. When cognitive decline is interpreted as a routine stage of life, families are less likely to consider medical assessment or intervention. In some South Asian households, illness may also be understood through spiritual or moral frameworks, where symptoms are seen as a test of faith, destiny, or the result of life experiences rather than a biological disorder</w:t>
      </w:r>
      <w:r>
        <w:rPr>
          <w:rFonts w:ascii="Arial" w:hAnsi="Arial" w:cs="Arial"/>
        </w:rPr>
        <w:t xml:space="preserve"> (</w:t>
      </w:r>
      <w:r w:rsidRPr="00700225">
        <w:rPr>
          <w:rFonts w:ascii="Arial" w:hAnsi="Arial" w:cs="Arial"/>
        </w:rPr>
        <w:t>Parveen</w:t>
      </w:r>
      <w:r>
        <w:rPr>
          <w:rFonts w:ascii="Arial" w:hAnsi="Arial" w:cs="Arial"/>
        </w:rPr>
        <w:t xml:space="preserve"> et al, 2017)</w:t>
      </w:r>
      <w:r w:rsidRPr="00806CAB">
        <w:rPr>
          <w:rFonts w:ascii="Arial" w:hAnsi="Arial" w:cs="Arial"/>
        </w:rPr>
        <w:t>. These interpretations can lead to acceptance rather than action, resulting in delayed recognition and treatment. In addition, discussions about cognitive health may be avoided due to discomfort or concern about causing distress, meaning that early warning signs are often ignored or minimised</w:t>
      </w:r>
      <w:r>
        <w:rPr>
          <w:rFonts w:ascii="Arial" w:hAnsi="Arial" w:cs="Arial"/>
        </w:rPr>
        <w:t xml:space="preserve"> (</w:t>
      </w:r>
      <w:r w:rsidRPr="00691E45">
        <w:rPr>
          <w:rFonts w:ascii="Arial" w:hAnsi="Arial" w:cs="Arial"/>
        </w:rPr>
        <w:t>Sorrentino</w:t>
      </w:r>
      <w:r>
        <w:rPr>
          <w:rFonts w:ascii="Arial" w:hAnsi="Arial" w:cs="Arial"/>
        </w:rPr>
        <w:t xml:space="preserve"> et al, 2025)</w:t>
      </w:r>
      <w:r w:rsidRPr="00806CAB">
        <w:rPr>
          <w:rFonts w:ascii="Arial" w:hAnsi="Arial" w:cs="Arial"/>
        </w:rPr>
        <w:t>.</w:t>
      </w:r>
    </w:p>
    <w:p w14:paraId="3440C7FA"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Stigma presents another influential cultural barrier. Mental health-related conditions are sometimes associated with shame or social consequences, due to misconceptions linking dementia with madness or loss of control</w:t>
      </w:r>
      <w:r>
        <w:rPr>
          <w:rFonts w:ascii="Arial" w:hAnsi="Arial" w:cs="Arial"/>
        </w:rPr>
        <w:t xml:space="preserve"> (</w:t>
      </w:r>
      <w:r w:rsidRPr="00700225">
        <w:rPr>
          <w:rFonts w:ascii="Arial" w:hAnsi="Arial" w:cs="Arial"/>
        </w:rPr>
        <w:t>Parveen</w:t>
      </w:r>
      <w:r>
        <w:rPr>
          <w:rFonts w:ascii="Arial" w:hAnsi="Arial" w:cs="Arial"/>
        </w:rPr>
        <w:t xml:space="preserve"> et al, 2017)</w:t>
      </w:r>
      <w:r w:rsidRPr="00806CAB">
        <w:rPr>
          <w:rFonts w:ascii="Arial" w:hAnsi="Arial" w:cs="Arial"/>
        </w:rPr>
        <w:t xml:space="preserve">. As a result, individuals and families may conceal symptoms to avoid </w:t>
      </w:r>
      <w:r>
        <w:rPr>
          <w:rFonts w:ascii="Arial" w:hAnsi="Arial" w:cs="Arial"/>
        </w:rPr>
        <w:t>judgment</w:t>
      </w:r>
      <w:r w:rsidRPr="00806CAB">
        <w:rPr>
          <w:rFonts w:ascii="Arial" w:hAnsi="Arial" w:cs="Arial"/>
        </w:rPr>
        <w:t xml:space="preserve"> from the wider community. The strong cultural value placed on family duty also affects </w:t>
      </w:r>
      <w:r>
        <w:rPr>
          <w:rFonts w:ascii="Arial" w:hAnsi="Arial" w:cs="Arial"/>
        </w:rPr>
        <w:t>care decisions (</w:t>
      </w:r>
      <w:r w:rsidRPr="00732B70">
        <w:rPr>
          <w:rFonts w:ascii="Arial" w:hAnsi="Arial" w:cs="Arial"/>
        </w:rPr>
        <w:t>Solis</w:t>
      </w:r>
      <w:r>
        <w:rPr>
          <w:rFonts w:ascii="Arial" w:hAnsi="Arial" w:cs="Arial"/>
        </w:rPr>
        <w:t>, 2024)</w:t>
      </w:r>
      <w:r w:rsidRPr="00806CAB">
        <w:rPr>
          <w:rFonts w:ascii="Arial" w:hAnsi="Arial" w:cs="Arial"/>
        </w:rPr>
        <w:t xml:space="preserve">. In many South Asian families, caring for older relatives is </w:t>
      </w:r>
      <w:r>
        <w:rPr>
          <w:rFonts w:ascii="Arial" w:hAnsi="Arial" w:cs="Arial"/>
        </w:rPr>
        <w:t>viewed as a moral responsibility rooted in respect, cultural identity, and traditional generational values</w:t>
      </w:r>
      <w:r w:rsidRPr="00806CAB">
        <w:rPr>
          <w:rFonts w:ascii="Arial" w:hAnsi="Arial" w:cs="Arial"/>
        </w:rPr>
        <w:t>. Seeking formal support may be interpreted as failing to fulfil family obligations or exposing private matters to strangers</w:t>
      </w:r>
      <w:r>
        <w:rPr>
          <w:rFonts w:ascii="Arial" w:hAnsi="Arial" w:cs="Arial"/>
        </w:rPr>
        <w:t xml:space="preserve"> (</w:t>
      </w:r>
      <w:r w:rsidRPr="00700225">
        <w:rPr>
          <w:rFonts w:ascii="Arial" w:hAnsi="Arial" w:cs="Arial"/>
        </w:rPr>
        <w:t>Parveen</w:t>
      </w:r>
      <w:r>
        <w:rPr>
          <w:rFonts w:ascii="Arial" w:hAnsi="Arial" w:cs="Arial"/>
        </w:rPr>
        <w:t xml:space="preserve"> et al, 2017)</w:t>
      </w:r>
      <w:r w:rsidRPr="00806CAB">
        <w:rPr>
          <w:rFonts w:ascii="Arial" w:hAnsi="Arial" w:cs="Arial"/>
        </w:rPr>
        <w:t>. These beliefs can make families hesitant to use external services, even when symptoms become difficult to manage</w:t>
      </w:r>
      <w:r>
        <w:rPr>
          <w:rFonts w:ascii="Arial" w:hAnsi="Arial" w:cs="Arial"/>
        </w:rPr>
        <w:t xml:space="preserve"> (</w:t>
      </w:r>
      <w:r w:rsidRPr="00691E45">
        <w:rPr>
          <w:rFonts w:ascii="Arial" w:hAnsi="Arial" w:cs="Arial"/>
        </w:rPr>
        <w:t>Sorrentino</w:t>
      </w:r>
      <w:r>
        <w:rPr>
          <w:rFonts w:ascii="Arial" w:hAnsi="Arial" w:cs="Arial"/>
        </w:rPr>
        <w:t xml:space="preserve"> et al, 2025)</w:t>
      </w:r>
      <w:r w:rsidRPr="00806CAB">
        <w:rPr>
          <w:rFonts w:ascii="Arial" w:hAnsi="Arial" w:cs="Arial"/>
        </w:rPr>
        <w:t>.</w:t>
      </w:r>
    </w:p>
    <w:p w14:paraId="34449092"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To effectively address these cultural barriers, healthcare services must adopt approaches that respect cultural norms while increasing awareness of the medical nature of Alzheimer’s disease</w:t>
      </w:r>
      <w:r>
        <w:rPr>
          <w:rFonts w:ascii="Arial" w:hAnsi="Arial" w:cs="Arial"/>
        </w:rPr>
        <w:t xml:space="preserve"> (</w:t>
      </w:r>
      <w:r w:rsidRPr="00732B70">
        <w:rPr>
          <w:rFonts w:ascii="Arial" w:hAnsi="Arial" w:cs="Arial"/>
        </w:rPr>
        <w:t>Solis</w:t>
      </w:r>
      <w:r>
        <w:rPr>
          <w:rFonts w:ascii="Arial" w:hAnsi="Arial" w:cs="Arial"/>
        </w:rPr>
        <w:t>, 2024)</w:t>
      </w:r>
      <w:r w:rsidRPr="00806CAB">
        <w:rPr>
          <w:rFonts w:ascii="Arial" w:hAnsi="Arial" w:cs="Arial"/>
        </w:rPr>
        <w:t xml:space="preserve">. Providing culturally sensitive education, </w:t>
      </w:r>
      <w:r w:rsidRPr="00806CAB">
        <w:rPr>
          <w:rFonts w:ascii="Arial" w:hAnsi="Arial" w:cs="Arial"/>
        </w:rPr>
        <w:lastRenderedPageBreak/>
        <w:t>engaging trusted community figures, and normalising conversations about dementia can help promote earlier recognition and improve access to appropriate care</w:t>
      </w:r>
      <w:r>
        <w:rPr>
          <w:rFonts w:ascii="Arial" w:hAnsi="Arial" w:cs="Arial"/>
        </w:rPr>
        <w:t xml:space="preserve"> (</w:t>
      </w:r>
      <w:r w:rsidRPr="00691E45">
        <w:rPr>
          <w:rFonts w:ascii="Arial" w:hAnsi="Arial" w:cs="Arial"/>
        </w:rPr>
        <w:t>Sorrentino</w:t>
      </w:r>
      <w:r>
        <w:rPr>
          <w:rFonts w:ascii="Arial" w:hAnsi="Arial" w:cs="Arial"/>
        </w:rPr>
        <w:t xml:space="preserve"> et al, 2025)</w:t>
      </w:r>
      <w:r w:rsidRPr="00806CAB">
        <w:rPr>
          <w:rFonts w:ascii="Arial" w:hAnsi="Arial" w:cs="Arial"/>
        </w:rPr>
        <w:t>.</w:t>
      </w:r>
    </w:p>
    <w:p w14:paraId="456B0735" w14:textId="77777777" w:rsidR="00A240E8" w:rsidRPr="00806CAB" w:rsidRDefault="00A240E8" w:rsidP="001A6776">
      <w:pPr>
        <w:pStyle w:val="Heading1"/>
      </w:pPr>
      <w:bookmarkStart w:id="21" w:name="_Toc220760149"/>
      <w:r w:rsidRPr="00806CAB">
        <w:t>2.6 Awareness and Knowledge-Related Barriers</w:t>
      </w:r>
      <w:bookmarkEnd w:id="21"/>
    </w:p>
    <w:p w14:paraId="360051BF"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A lack of awareness and understanding of Alzheimer’s disease presents a significant barrier to accessing care among South Asian communities. Many individuals are unfamiliar with the medical nature of the condition, its symptoms, or the importance of early intervention</w:t>
      </w:r>
      <w:r>
        <w:rPr>
          <w:rFonts w:ascii="Arial" w:hAnsi="Arial" w:cs="Arial"/>
        </w:rPr>
        <w:t xml:space="preserve"> (</w:t>
      </w:r>
      <w:r w:rsidRPr="00B52A9A">
        <w:rPr>
          <w:rFonts w:ascii="Arial" w:hAnsi="Arial" w:cs="Arial"/>
        </w:rPr>
        <w:t>Erel</w:t>
      </w:r>
      <w:r>
        <w:rPr>
          <w:rFonts w:ascii="Arial" w:hAnsi="Arial" w:cs="Arial"/>
        </w:rPr>
        <w:t xml:space="preserve"> et al, 2017)</w:t>
      </w:r>
      <w:r w:rsidRPr="00806CAB">
        <w:rPr>
          <w:rFonts w:ascii="Arial" w:hAnsi="Arial" w:cs="Arial"/>
        </w:rPr>
        <w:t>. When early signs such as confusion, repetition, or difficulties with daily tasks are mistaken for stress, ageing, or temporary forgetfulness, families may not recognise the need for medical assessment. This misunderstanding reduces the likelihood of seeking help during the early stages when interventions may be most effective</w:t>
      </w:r>
      <w:r>
        <w:rPr>
          <w:rFonts w:ascii="Arial" w:hAnsi="Arial" w:cs="Arial"/>
        </w:rPr>
        <w:t xml:space="preserve"> (</w:t>
      </w:r>
      <w:r w:rsidRPr="00E01541">
        <w:rPr>
          <w:rFonts w:ascii="Arial" w:hAnsi="Arial" w:cs="Arial"/>
        </w:rPr>
        <w:t>Lazarova</w:t>
      </w:r>
      <w:r>
        <w:rPr>
          <w:rFonts w:ascii="Arial" w:hAnsi="Arial" w:cs="Arial"/>
        </w:rPr>
        <w:t xml:space="preserve"> and </w:t>
      </w:r>
      <w:r w:rsidRPr="00E01541">
        <w:rPr>
          <w:rFonts w:ascii="Arial" w:hAnsi="Arial" w:cs="Arial"/>
        </w:rPr>
        <w:t>Petrova-Antonova</w:t>
      </w:r>
      <w:r>
        <w:rPr>
          <w:rFonts w:ascii="Arial" w:hAnsi="Arial" w:cs="Arial"/>
        </w:rPr>
        <w:t>, 2024)</w:t>
      </w:r>
      <w:r w:rsidRPr="00806CAB">
        <w:rPr>
          <w:rFonts w:ascii="Arial" w:hAnsi="Arial" w:cs="Arial"/>
        </w:rPr>
        <w:t>. In some cases, families may believe that Alzheimer’s has no treatment or outcome benefits, further reinforcing the perception that medical support is unnecessary. This lack of knowledge can delay diagnosis and limit engagement with available care pathways</w:t>
      </w:r>
      <w:r>
        <w:rPr>
          <w:rFonts w:ascii="Arial" w:hAnsi="Arial" w:cs="Arial"/>
        </w:rPr>
        <w:t xml:space="preserve"> (</w:t>
      </w:r>
      <w:r w:rsidRPr="00085F54">
        <w:rPr>
          <w:rFonts w:ascii="Arial" w:hAnsi="Arial" w:cs="Arial"/>
        </w:rPr>
        <w:t>Lim</w:t>
      </w:r>
      <w:r>
        <w:rPr>
          <w:rFonts w:ascii="Arial" w:hAnsi="Arial" w:cs="Arial"/>
        </w:rPr>
        <w:t xml:space="preserve"> </w:t>
      </w:r>
      <w:r w:rsidRPr="00085F54">
        <w:rPr>
          <w:rFonts w:ascii="Arial" w:hAnsi="Arial" w:cs="Arial"/>
        </w:rPr>
        <w:t>and Sharmeen</w:t>
      </w:r>
      <w:r>
        <w:rPr>
          <w:rFonts w:ascii="Arial" w:hAnsi="Arial" w:cs="Arial"/>
        </w:rPr>
        <w:t>, 2018)</w:t>
      </w:r>
      <w:r w:rsidRPr="00806CAB">
        <w:rPr>
          <w:rFonts w:ascii="Arial" w:hAnsi="Arial" w:cs="Arial"/>
        </w:rPr>
        <w:t>.</w:t>
      </w:r>
    </w:p>
    <w:p w14:paraId="454CEFE4" w14:textId="77777777" w:rsidR="00A240E8" w:rsidRPr="00806CAB" w:rsidRDefault="00A240E8" w:rsidP="001A6776">
      <w:pPr>
        <w:spacing w:before="240" w:after="0" w:line="360" w:lineRule="auto"/>
        <w:jc w:val="both"/>
        <w:rPr>
          <w:rFonts w:ascii="Arial" w:hAnsi="Arial" w:cs="Arial"/>
        </w:rPr>
      </w:pPr>
      <w:r w:rsidRPr="00806CAB">
        <w:rPr>
          <w:rFonts w:ascii="Arial" w:hAnsi="Arial" w:cs="Arial"/>
        </w:rPr>
        <w:t>Knowledge barriers also affect awareness of the range of services available to support individuals living with Alzheimer’s and their families. Many South Asian families are unfamiliar with memory clinics, specialist assessments, or community support groups that can provide guidance and practical help</w:t>
      </w:r>
      <w:r>
        <w:rPr>
          <w:rFonts w:ascii="Arial" w:hAnsi="Arial" w:cs="Arial"/>
        </w:rPr>
        <w:t xml:space="preserve"> (</w:t>
      </w:r>
      <w:r w:rsidRPr="00B52A9A">
        <w:rPr>
          <w:rFonts w:ascii="Arial" w:hAnsi="Arial" w:cs="Arial"/>
        </w:rPr>
        <w:t>Erel</w:t>
      </w:r>
      <w:r>
        <w:rPr>
          <w:rFonts w:ascii="Arial" w:hAnsi="Arial" w:cs="Arial"/>
        </w:rPr>
        <w:t xml:space="preserve"> et al, 2017)</w:t>
      </w:r>
      <w:r w:rsidRPr="00806CAB">
        <w:rPr>
          <w:rFonts w:ascii="Arial" w:hAnsi="Arial" w:cs="Arial"/>
        </w:rPr>
        <w:t>. When information is available primarily in English or presented through unfamiliar platforms, older adults may find it inaccessible</w:t>
      </w:r>
      <w:r>
        <w:rPr>
          <w:rFonts w:ascii="Arial" w:hAnsi="Arial" w:cs="Arial"/>
        </w:rPr>
        <w:t xml:space="preserve"> (</w:t>
      </w:r>
      <w:r w:rsidRPr="00E01541">
        <w:rPr>
          <w:rFonts w:ascii="Arial" w:hAnsi="Arial" w:cs="Arial"/>
        </w:rPr>
        <w:t>Lazarova</w:t>
      </w:r>
      <w:r>
        <w:rPr>
          <w:rFonts w:ascii="Arial" w:hAnsi="Arial" w:cs="Arial"/>
        </w:rPr>
        <w:t xml:space="preserve"> and </w:t>
      </w:r>
      <w:r w:rsidRPr="00E01541">
        <w:rPr>
          <w:rFonts w:ascii="Arial" w:hAnsi="Arial" w:cs="Arial"/>
        </w:rPr>
        <w:t>Petrova-Antonova</w:t>
      </w:r>
      <w:r>
        <w:rPr>
          <w:rFonts w:ascii="Arial" w:hAnsi="Arial" w:cs="Arial"/>
        </w:rPr>
        <w:t>, 2024)</w:t>
      </w:r>
      <w:r w:rsidRPr="00806CAB">
        <w:rPr>
          <w:rFonts w:ascii="Arial" w:hAnsi="Arial" w:cs="Arial"/>
        </w:rPr>
        <w:t>. Additionally, formal services are not always promoted through culturally comfortable or trusted channels such as religious settings, ethnic media, or community associations</w:t>
      </w:r>
      <w:r>
        <w:rPr>
          <w:rFonts w:ascii="Arial" w:hAnsi="Arial" w:cs="Arial"/>
        </w:rPr>
        <w:t xml:space="preserve"> (</w:t>
      </w:r>
      <w:r w:rsidRPr="00085F54">
        <w:rPr>
          <w:rFonts w:ascii="Arial" w:hAnsi="Arial" w:cs="Arial"/>
        </w:rPr>
        <w:t>Lim</w:t>
      </w:r>
      <w:r>
        <w:rPr>
          <w:rFonts w:ascii="Arial" w:hAnsi="Arial" w:cs="Arial"/>
        </w:rPr>
        <w:t xml:space="preserve"> </w:t>
      </w:r>
      <w:r w:rsidRPr="00085F54">
        <w:rPr>
          <w:rFonts w:ascii="Arial" w:hAnsi="Arial" w:cs="Arial"/>
        </w:rPr>
        <w:t>and Sharmeen</w:t>
      </w:r>
      <w:r>
        <w:rPr>
          <w:rFonts w:ascii="Arial" w:hAnsi="Arial" w:cs="Arial"/>
        </w:rPr>
        <w:t>, 2018)</w:t>
      </w:r>
      <w:r w:rsidRPr="00806CAB">
        <w:rPr>
          <w:rFonts w:ascii="Arial" w:hAnsi="Arial" w:cs="Arial"/>
        </w:rPr>
        <w:t>. As a result, families may rely on informal networks or attempt to manage symptoms without professional guidance. Increasing awareness through culturally tailored outreach and education, delivered in relevant languages and community settings, is essential to encourage earlier help-seeking and facilitate better access to appropriate Alzheimer’s care</w:t>
      </w:r>
      <w:r>
        <w:rPr>
          <w:rFonts w:ascii="Arial" w:hAnsi="Arial" w:cs="Arial"/>
        </w:rPr>
        <w:t xml:space="preserve"> (</w:t>
      </w:r>
      <w:r w:rsidRPr="00B52A9A">
        <w:rPr>
          <w:rFonts w:ascii="Arial" w:hAnsi="Arial" w:cs="Arial"/>
        </w:rPr>
        <w:t>Erel</w:t>
      </w:r>
      <w:r>
        <w:rPr>
          <w:rFonts w:ascii="Arial" w:hAnsi="Arial" w:cs="Arial"/>
        </w:rPr>
        <w:t xml:space="preserve"> et al, 2017)</w:t>
      </w:r>
      <w:r w:rsidRPr="00806CAB">
        <w:rPr>
          <w:rFonts w:ascii="Arial" w:hAnsi="Arial" w:cs="Arial"/>
        </w:rPr>
        <w:t>.</w:t>
      </w:r>
    </w:p>
    <w:p w14:paraId="339BE00F" w14:textId="77777777" w:rsidR="00A240E8" w:rsidRPr="00806CAB" w:rsidRDefault="00A240E8" w:rsidP="001A6776">
      <w:pPr>
        <w:pStyle w:val="Heading1"/>
      </w:pPr>
      <w:bookmarkStart w:id="22" w:name="_Toc220760150"/>
      <w:r w:rsidRPr="00806CAB">
        <w:lastRenderedPageBreak/>
        <w:t>2.7 Language and Communication Barriers</w:t>
      </w:r>
      <w:bookmarkEnd w:id="22"/>
    </w:p>
    <w:p w14:paraId="7DEF7E4E"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Language plays a central role in navigating healthcare, and limited English proficiency can significantly hinder access to support for older South Asian adults. When individuals cannot confidently describe symptoms, understand medical terminology, or follow advice, their ability to engage with services is reduced</w:t>
      </w:r>
      <w:r>
        <w:rPr>
          <w:rFonts w:ascii="Arial" w:hAnsi="Arial" w:cs="Arial"/>
        </w:rPr>
        <w:t xml:space="preserve"> (</w:t>
      </w:r>
      <w:r w:rsidRPr="00F14EEA">
        <w:rPr>
          <w:rFonts w:ascii="Arial" w:hAnsi="Arial" w:cs="Arial"/>
        </w:rPr>
        <w:t>Giebel</w:t>
      </w:r>
      <w:r>
        <w:rPr>
          <w:rFonts w:ascii="Arial" w:hAnsi="Arial" w:cs="Arial"/>
        </w:rPr>
        <w:t xml:space="preserve"> et al, 2021)</w:t>
      </w:r>
      <w:r w:rsidRPr="005A3A9D">
        <w:rPr>
          <w:rFonts w:ascii="Arial" w:hAnsi="Arial" w:cs="Arial"/>
        </w:rPr>
        <w:t>. Dementia-related symptoms are often complex and subtle, and without clear communication, there is a risk of misunderstanding or misdiagnosis. Although interpreter services exist, some individuals may feel uncomfortable sharing personal or sensitive information through a third party</w:t>
      </w:r>
      <w:r>
        <w:rPr>
          <w:rFonts w:ascii="Arial" w:hAnsi="Arial" w:cs="Arial"/>
        </w:rPr>
        <w:t xml:space="preserve"> (</w:t>
      </w:r>
      <w:r w:rsidRPr="000A6C7F">
        <w:rPr>
          <w:rFonts w:ascii="Arial" w:hAnsi="Arial" w:cs="Arial"/>
        </w:rPr>
        <w:t>Hockley</w:t>
      </w:r>
      <w:r>
        <w:rPr>
          <w:rFonts w:ascii="Arial" w:hAnsi="Arial" w:cs="Arial"/>
        </w:rPr>
        <w:t xml:space="preserve"> et al, 2025)</w:t>
      </w:r>
      <w:r w:rsidRPr="005A3A9D">
        <w:rPr>
          <w:rFonts w:ascii="Arial" w:hAnsi="Arial" w:cs="Arial"/>
        </w:rPr>
        <w:t>. In addition, interpreters may not always be trained in medical terminology or dementia-specific language, which can affect the accuracy and quality of discussions. Differences in dialect, literacy levels, or the absence of written translations in relevant languages can further exacerbate communication difficulties</w:t>
      </w:r>
      <w:r>
        <w:rPr>
          <w:rFonts w:ascii="Arial" w:hAnsi="Arial" w:cs="Arial"/>
        </w:rPr>
        <w:t xml:space="preserve"> (</w:t>
      </w:r>
      <w:r w:rsidRPr="00B772FF">
        <w:rPr>
          <w:rFonts w:ascii="Arial" w:hAnsi="Arial" w:cs="Arial"/>
        </w:rPr>
        <w:t>Volkmer</w:t>
      </w:r>
      <w:r>
        <w:rPr>
          <w:rFonts w:ascii="Arial" w:hAnsi="Arial" w:cs="Arial"/>
        </w:rPr>
        <w:t xml:space="preserve"> et al, 2024)</w:t>
      </w:r>
      <w:r w:rsidRPr="005A3A9D">
        <w:rPr>
          <w:rFonts w:ascii="Arial" w:hAnsi="Arial" w:cs="Arial"/>
        </w:rPr>
        <w:t>.</w:t>
      </w:r>
    </w:p>
    <w:p w14:paraId="67CD74E3"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Communication barriers are not limited to language alone but also relate to differences in interaction style and health literacy. Some South Asian individuals may communicate indirectly or avoid asking clarifying questions to avoid appearing disrespectful or uninformed</w:t>
      </w:r>
      <w:r>
        <w:rPr>
          <w:rFonts w:ascii="Arial" w:hAnsi="Arial" w:cs="Arial"/>
        </w:rPr>
        <w:t xml:space="preserve"> (</w:t>
      </w:r>
      <w:r w:rsidRPr="00F14EEA">
        <w:rPr>
          <w:rFonts w:ascii="Arial" w:hAnsi="Arial" w:cs="Arial"/>
        </w:rPr>
        <w:t>Giebel</w:t>
      </w:r>
      <w:r>
        <w:rPr>
          <w:rFonts w:ascii="Arial" w:hAnsi="Arial" w:cs="Arial"/>
        </w:rPr>
        <w:t xml:space="preserve"> et al, 2021)</w:t>
      </w:r>
      <w:r w:rsidRPr="005A3A9D">
        <w:rPr>
          <w:rFonts w:ascii="Arial" w:hAnsi="Arial" w:cs="Arial"/>
        </w:rPr>
        <w:t>. This may result in passive agreement rather than genuine understanding. Confusion, frustration, or mistrust may develop if individuals feel unheard or unable to express themselves</w:t>
      </w:r>
      <w:r>
        <w:rPr>
          <w:rFonts w:ascii="Arial" w:hAnsi="Arial" w:cs="Arial"/>
        </w:rPr>
        <w:t xml:space="preserve"> (</w:t>
      </w:r>
      <w:r w:rsidRPr="000A6C7F">
        <w:rPr>
          <w:rFonts w:ascii="Arial" w:hAnsi="Arial" w:cs="Arial"/>
        </w:rPr>
        <w:t>Hockley</w:t>
      </w:r>
      <w:r>
        <w:rPr>
          <w:rFonts w:ascii="Arial" w:hAnsi="Arial" w:cs="Arial"/>
        </w:rPr>
        <w:t xml:space="preserve"> et al, 2025)</w:t>
      </w:r>
      <w:r w:rsidRPr="005A3A9D">
        <w:rPr>
          <w:rFonts w:ascii="Arial" w:hAnsi="Arial" w:cs="Arial"/>
        </w:rPr>
        <w:t>. These challenges emphasise the need for culturally informed communication approaches, accessible translated materials, and multilingual support to ensure equal access to Alzheimer’s care</w:t>
      </w:r>
      <w:r>
        <w:rPr>
          <w:rFonts w:ascii="Arial" w:hAnsi="Arial" w:cs="Arial"/>
        </w:rPr>
        <w:t xml:space="preserve"> (</w:t>
      </w:r>
      <w:r w:rsidRPr="00B772FF">
        <w:rPr>
          <w:rFonts w:ascii="Arial" w:hAnsi="Arial" w:cs="Arial"/>
        </w:rPr>
        <w:t>Volkmer</w:t>
      </w:r>
      <w:r>
        <w:rPr>
          <w:rFonts w:ascii="Arial" w:hAnsi="Arial" w:cs="Arial"/>
        </w:rPr>
        <w:t xml:space="preserve"> et al, 2024)</w:t>
      </w:r>
      <w:r w:rsidRPr="005A3A9D">
        <w:rPr>
          <w:rFonts w:ascii="Arial" w:hAnsi="Arial" w:cs="Arial"/>
        </w:rPr>
        <w:t>.</w:t>
      </w:r>
    </w:p>
    <w:p w14:paraId="500A20B9" w14:textId="77777777" w:rsidR="00A240E8" w:rsidRPr="00806CAB" w:rsidRDefault="00A240E8" w:rsidP="001A6776">
      <w:pPr>
        <w:pStyle w:val="Heading1"/>
      </w:pPr>
      <w:bookmarkStart w:id="23" w:name="_Toc220760151"/>
      <w:r w:rsidRPr="00806CAB">
        <w:t>2.8 Systemic and Structural Barriers</w:t>
      </w:r>
      <w:bookmarkEnd w:id="23"/>
    </w:p>
    <w:p w14:paraId="2F964781"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Systemic and structural barriers play a significant role in limiting access to Alzheimer’s care for South Asian older adults. One major barrier relates to how dementia services are organised and delivered</w:t>
      </w:r>
      <w:r>
        <w:rPr>
          <w:rFonts w:ascii="Arial" w:hAnsi="Arial" w:cs="Arial"/>
        </w:rPr>
        <w:t xml:space="preserve"> (</w:t>
      </w:r>
      <w:r w:rsidRPr="005B186E">
        <w:rPr>
          <w:rFonts w:ascii="Arial" w:hAnsi="Arial" w:cs="Arial"/>
        </w:rPr>
        <w:t>Adkins</w:t>
      </w:r>
      <w:r w:rsidRPr="005B186E">
        <w:rPr>
          <w:rFonts w:ascii="Cambria Math" w:hAnsi="Cambria Math" w:cs="Cambria Math"/>
        </w:rPr>
        <w:t>‐</w:t>
      </w:r>
      <w:r w:rsidRPr="005B186E">
        <w:rPr>
          <w:rFonts w:ascii="Arial" w:hAnsi="Arial" w:cs="Arial"/>
        </w:rPr>
        <w:t>Jackson</w:t>
      </w:r>
      <w:r>
        <w:rPr>
          <w:rFonts w:ascii="Arial" w:hAnsi="Arial" w:cs="Arial"/>
        </w:rPr>
        <w:t xml:space="preserve"> et al, 2023)</w:t>
      </w:r>
      <w:r w:rsidRPr="005A3A9D">
        <w:rPr>
          <w:rFonts w:ascii="Arial" w:hAnsi="Arial" w:cs="Arial"/>
        </w:rPr>
        <w:t>. Navigating healthcare systems often requires familiarity with referral pathways, appointment procedures, and follow-up processes, which can be overwhelming for those unfamiliar with the structure of the UK healthcare system</w:t>
      </w:r>
      <w:r>
        <w:rPr>
          <w:rFonts w:ascii="Arial" w:hAnsi="Arial" w:cs="Arial"/>
        </w:rPr>
        <w:t xml:space="preserve"> (</w:t>
      </w:r>
      <w:r w:rsidRPr="00703EDA">
        <w:rPr>
          <w:rFonts w:ascii="Arial" w:hAnsi="Arial" w:cs="Arial"/>
        </w:rPr>
        <w:t>Watson</w:t>
      </w:r>
      <w:r>
        <w:rPr>
          <w:rFonts w:ascii="Arial" w:hAnsi="Arial" w:cs="Arial"/>
        </w:rPr>
        <w:t xml:space="preserve"> et al, 2021)</w:t>
      </w:r>
      <w:r w:rsidRPr="005A3A9D">
        <w:rPr>
          <w:rFonts w:ascii="Arial" w:hAnsi="Arial" w:cs="Arial"/>
        </w:rPr>
        <w:t xml:space="preserve">. This is particularly challenging for first-generation migrants who may have had limited interaction with formal healthcare systems earlier in life. Long waiting times, limited availability of culturally appropriate dementia services, and a lack of continuity in care can further discourage families from </w:t>
      </w:r>
      <w:r w:rsidRPr="005A3A9D">
        <w:rPr>
          <w:rFonts w:ascii="Arial" w:hAnsi="Arial" w:cs="Arial"/>
        </w:rPr>
        <w:lastRenderedPageBreak/>
        <w:t>seeking support</w:t>
      </w:r>
      <w:r>
        <w:rPr>
          <w:rFonts w:ascii="Arial" w:hAnsi="Arial" w:cs="Arial"/>
        </w:rPr>
        <w:t xml:space="preserve"> (</w:t>
      </w:r>
      <w:r w:rsidRPr="00332136">
        <w:rPr>
          <w:rFonts w:ascii="Arial" w:hAnsi="Arial" w:cs="Arial"/>
        </w:rPr>
        <w:t>Aranda</w:t>
      </w:r>
      <w:r>
        <w:rPr>
          <w:rFonts w:ascii="Arial" w:hAnsi="Arial" w:cs="Arial"/>
        </w:rPr>
        <w:t xml:space="preserve"> et al, 2023)</w:t>
      </w:r>
      <w:r w:rsidRPr="005A3A9D">
        <w:rPr>
          <w:rFonts w:ascii="Arial" w:hAnsi="Arial" w:cs="Arial"/>
        </w:rPr>
        <w:t>. Availability of professionals trained in culturally sensitive dementia assessment is also inconsistent, which may affect diagnosis accuracy and patient comfort. These systemic limitations can lead to delayed diagnosis and inconsistent care, particularly for individuals whose symptoms are not immediately recognised or prioritised</w:t>
      </w:r>
      <w:r>
        <w:rPr>
          <w:rFonts w:ascii="Arial" w:hAnsi="Arial" w:cs="Arial"/>
        </w:rPr>
        <w:t xml:space="preserve"> (</w:t>
      </w:r>
      <w:r w:rsidRPr="005B186E">
        <w:rPr>
          <w:rFonts w:ascii="Arial" w:hAnsi="Arial" w:cs="Arial"/>
        </w:rPr>
        <w:t>Adkins</w:t>
      </w:r>
      <w:r w:rsidRPr="005B186E">
        <w:rPr>
          <w:rFonts w:ascii="Cambria Math" w:hAnsi="Cambria Math" w:cs="Cambria Math"/>
        </w:rPr>
        <w:t>‐</w:t>
      </w:r>
      <w:r w:rsidRPr="005B186E">
        <w:rPr>
          <w:rFonts w:ascii="Arial" w:hAnsi="Arial" w:cs="Arial"/>
        </w:rPr>
        <w:t>Jackson</w:t>
      </w:r>
      <w:r>
        <w:rPr>
          <w:rFonts w:ascii="Arial" w:hAnsi="Arial" w:cs="Arial"/>
        </w:rPr>
        <w:t xml:space="preserve"> et al, 2023)</w:t>
      </w:r>
      <w:r w:rsidRPr="005A3A9D">
        <w:rPr>
          <w:rFonts w:ascii="Arial" w:hAnsi="Arial" w:cs="Arial"/>
        </w:rPr>
        <w:t>.</w:t>
      </w:r>
    </w:p>
    <w:p w14:paraId="3341E1BA"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In addition to structural complexity, healthcare environments may unintentionally feel unwelcoming or inaccessible. Limited representation of culturally diverse staff, inadequate translation support, and the absence of culturally familiar care practices can contribute to feelings of discomfort or exclusion</w:t>
      </w:r>
      <w:r>
        <w:rPr>
          <w:rFonts w:ascii="Arial" w:hAnsi="Arial" w:cs="Arial"/>
        </w:rPr>
        <w:t xml:space="preserve"> (</w:t>
      </w:r>
      <w:r w:rsidRPr="005B186E">
        <w:rPr>
          <w:rFonts w:ascii="Arial" w:hAnsi="Arial" w:cs="Arial"/>
        </w:rPr>
        <w:t>Adkins</w:t>
      </w:r>
      <w:r w:rsidRPr="005B186E">
        <w:rPr>
          <w:rFonts w:ascii="Cambria Math" w:hAnsi="Cambria Math" w:cs="Cambria Math"/>
        </w:rPr>
        <w:t>‐</w:t>
      </w:r>
      <w:r w:rsidRPr="005B186E">
        <w:rPr>
          <w:rFonts w:ascii="Arial" w:hAnsi="Arial" w:cs="Arial"/>
        </w:rPr>
        <w:t>Jackson</w:t>
      </w:r>
      <w:r>
        <w:rPr>
          <w:rFonts w:ascii="Arial" w:hAnsi="Arial" w:cs="Arial"/>
        </w:rPr>
        <w:t xml:space="preserve"> et al, 2023)</w:t>
      </w:r>
      <w:r w:rsidRPr="005A3A9D">
        <w:rPr>
          <w:rFonts w:ascii="Arial" w:hAnsi="Arial" w:cs="Arial"/>
        </w:rPr>
        <w:t>. Some South Asian families may struggle to find dementia support services that consider dietary preferences, religious needs, gender-sensitive caregiving, or family-centred decision-making models</w:t>
      </w:r>
      <w:r>
        <w:rPr>
          <w:rFonts w:ascii="Arial" w:hAnsi="Arial" w:cs="Arial"/>
        </w:rPr>
        <w:t xml:space="preserve"> (</w:t>
      </w:r>
      <w:r w:rsidRPr="00703EDA">
        <w:rPr>
          <w:rFonts w:ascii="Arial" w:hAnsi="Arial" w:cs="Arial"/>
        </w:rPr>
        <w:t>Watson</w:t>
      </w:r>
      <w:r>
        <w:rPr>
          <w:rFonts w:ascii="Arial" w:hAnsi="Arial" w:cs="Arial"/>
        </w:rPr>
        <w:t xml:space="preserve"> et al, 2021)</w:t>
      </w:r>
      <w:r w:rsidRPr="005A3A9D">
        <w:rPr>
          <w:rFonts w:ascii="Arial" w:hAnsi="Arial" w:cs="Arial"/>
        </w:rPr>
        <w:t>. Practical challenges such as transport difficulties, digital exclusion, or unfamiliarity with booking systems</w:t>
      </w:r>
      <w:r>
        <w:rPr>
          <w:rFonts w:ascii="Arial" w:hAnsi="Arial" w:cs="Arial"/>
        </w:rPr>
        <w:t xml:space="preserve">, </w:t>
      </w:r>
      <w:r w:rsidRPr="005A3A9D">
        <w:rPr>
          <w:rFonts w:ascii="Arial" w:hAnsi="Arial" w:cs="Arial"/>
        </w:rPr>
        <w:t>especially as many services move online</w:t>
      </w:r>
      <w:r>
        <w:rPr>
          <w:rFonts w:ascii="Arial" w:hAnsi="Arial" w:cs="Arial"/>
        </w:rPr>
        <w:t xml:space="preserve">, </w:t>
      </w:r>
      <w:r w:rsidRPr="005A3A9D">
        <w:rPr>
          <w:rFonts w:ascii="Arial" w:hAnsi="Arial" w:cs="Arial"/>
        </w:rPr>
        <w:t>can further restrict access</w:t>
      </w:r>
      <w:r>
        <w:rPr>
          <w:rFonts w:ascii="Arial" w:hAnsi="Arial" w:cs="Arial"/>
        </w:rPr>
        <w:t xml:space="preserve"> (</w:t>
      </w:r>
      <w:r w:rsidRPr="00332136">
        <w:rPr>
          <w:rFonts w:ascii="Arial" w:hAnsi="Arial" w:cs="Arial"/>
        </w:rPr>
        <w:t>Aranda</w:t>
      </w:r>
      <w:r>
        <w:rPr>
          <w:rFonts w:ascii="Arial" w:hAnsi="Arial" w:cs="Arial"/>
        </w:rPr>
        <w:t xml:space="preserve"> et al, 2023)</w:t>
      </w:r>
      <w:r w:rsidRPr="005A3A9D">
        <w:rPr>
          <w:rFonts w:ascii="Arial" w:hAnsi="Arial" w:cs="Arial"/>
        </w:rPr>
        <w:t>. These barriers are compounded by inequalities in socioeconomic status, meaning some families may lack the financial or logistical resources needed to attend appointments or arrange specialist care</w:t>
      </w:r>
      <w:r>
        <w:rPr>
          <w:rFonts w:ascii="Arial" w:hAnsi="Arial" w:cs="Arial"/>
        </w:rPr>
        <w:t xml:space="preserve"> (</w:t>
      </w:r>
      <w:r w:rsidRPr="005B186E">
        <w:rPr>
          <w:rFonts w:ascii="Arial" w:hAnsi="Arial" w:cs="Arial"/>
        </w:rPr>
        <w:t>Adkins</w:t>
      </w:r>
      <w:r w:rsidRPr="005B186E">
        <w:rPr>
          <w:rFonts w:ascii="Cambria Math" w:hAnsi="Cambria Math" w:cs="Cambria Math"/>
        </w:rPr>
        <w:t>‐</w:t>
      </w:r>
      <w:r w:rsidRPr="005B186E">
        <w:rPr>
          <w:rFonts w:ascii="Arial" w:hAnsi="Arial" w:cs="Arial"/>
        </w:rPr>
        <w:t>Jackson</w:t>
      </w:r>
      <w:r>
        <w:rPr>
          <w:rFonts w:ascii="Arial" w:hAnsi="Arial" w:cs="Arial"/>
        </w:rPr>
        <w:t xml:space="preserve"> et al, 2023)</w:t>
      </w:r>
      <w:r w:rsidRPr="005A3A9D">
        <w:rPr>
          <w:rFonts w:ascii="Arial" w:hAnsi="Arial" w:cs="Arial"/>
        </w:rPr>
        <w:t>. Overall, systemic and structural challenges create additional layers of difficulty for South Asian older adults and their families, reinforcing disparities in service utilisation and diagnosis outcomes</w:t>
      </w:r>
      <w:r>
        <w:rPr>
          <w:rFonts w:ascii="Arial" w:hAnsi="Arial" w:cs="Arial"/>
        </w:rPr>
        <w:t xml:space="preserve"> (</w:t>
      </w:r>
      <w:r w:rsidRPr="00703EDA">
        <w:rPr>
          <w:rFonts w:ascii="Arial" w:hAnsi="Arial" w:cs="Arial"/>
        </w:rPr>
        <w:t>Watson</w:t>
      </w:r>
      <w:r>
        <w:rPr>
          <w:rFonts w:ascii="Arial" w:hAnsi="Arial" w:cs="Arial"/>
        </w:rPr>
        <w:t xml:space="preserve"> et al, 2021)</w:t>
      </w:r>
      <w:r w:rsidRPr="005A3A9D">
        <w:rPr>
          <w:rFonts w:ascii="Arial" w:hAnsi="Arial" w:cs="Arial"/>
        </w:rPr>
        <w:t>. Addressing these barriers requires intentional adaptation of health services to reflect cultural diversity, improve accessibility, and promote equitable dementia care</w:t>
      </w:r>
      <w:r>
        <w:rPr>
          <w:rFonts w:ascii="Arial" w:hAnsi="Arial" w:cs="Arial"/>
        </w:rPr>
        <w:t xml:space="preserve"> (</w:t>
      </w:r>
      <w:r w:rsidRPr="00332136">
        <w:rPr>
          <w:rFonts w:ascii="Arial" w:hAnsi="Arial" w:cs="Arial"/>
        </w:rPr>
        <w:t>Aranda</w:t>
      </w:r>
      <w:r>
        <w:rPr>
          <w:rFonts w:ascii="Arial" w:hAnsi="Arial" w:cs="Arial"/>
        </w:rPr>
        <w:t xml:space="preserve"> et al, 2023)</w:t>
      </w:r>
      <w:r w:rsidRPr="005A3A9D">
        <w:rPr>
          <w:rFonts w:ascii="Arial" w:hAnsi="Arial" w:cs="Arial"/>
        </w:rPr>
        <w:t>.</w:t>
      </w:r>
    </w:p>
    <w:p w14:paraId="017D6973" w14:textId="77777777" w:rsidR="00A240E8" w:rsidRPr="00806CAB" w:rsidRDefault="00A240E8" w:rsidP="001A6776">
      <w:pPr>
        <w:pStyle w:val="Heading1"/>
      </w:pPr>
      <w:bookmarkStart w:id="24" w:name="_Toc220760152"/>
      <w:r w:rsidRPr="00806CAB">
        <w:t>2.9 Strategies and Interventions to Improve Alzheimer’s Care Access</w:t>
      </w:r>
      <w:bookmarkEnd w:id="24"/>
    </w:p>
    <w:p w14:paraId="43432231"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Improving access to Alzheimer’s care for South Asian older adults requires strategies that recognise cultural values, communication needs, and community health behaviours</w:t>
      </w:r>
      <w:r>
        <w:rPr>
          <w:rFonts w:ascii="Arial" w:hAnsi="Arial" w:cs="Arial"/>
        </w:rPr>
        <w:t xml:space="preserve"> (</w:t>
      </w:r>
      <w:r w:rsidRPr="00163801">
        <w:rPr>
          <w:rFonts w:ascii="Arial" w:hAnsi="Arial" w:cs="Arial"/>
        </w:rPr>
        <w:t>Amador</w:t>
      </w:r>
      <w:r>
        <w:rPr>
          <w:rFonts w:ascii="Arial" w:hAnsi="Arial" w:cs="Arial"/>
        </w:rPr>
        <w:t xml:space="preserve"> et al, 2021)</w:t>
      </w:r>
      <w:r w:rsidRPr="005A3A9D">
        <w:rPr>
          <w:rFonts w:ascii="Arial" w:hAnsi="Arial" w:cs="Arial"/>
        </w:rPr>
        <w:t>. Culturally tailored awareness campaigns are one effective approach, particularly when delivered through trusted community spaces such as places of worship, cultural associations, or ethnic media</w:t>
      </w:r>
      <w:r>
        <w:rPr>
          <w:rFonts w:ascii="Arial" w:hAnsi="Arial" w:cs="Arial"/>
        </w:rPr>
        <w:t xml:space="preserve"> (</w:t>
      </w:r>
      <w:r w:rsidRPr="00834CB8">
        <w:rPr>
          <w:rFonts w:ascii="Arial" w:hAnsi="Arial" w:cs="Arial"/>
        </w:rPr>
        <w:t>Mattke</w:t>
      </w:r>
      <w:r>
        <w:rPr>
          <w:rFonts w:ascii="Arial" w:hAnsi="Arial" w:cs="Arial"/>
        </w:rPr>
        <w:t xml:space="preserve"> et al, 2024)</w:t>
      </w:r>
      <w:r w:rsidRPr="005A3A9D">
        <w:rPr>
          <w:rFonts w:ascii="Arial" w:hAnsi="Arial" w:cs="Arial"/>
        </w:rPr>
        <w:t>. Providing information in relevant South Asian languages, using simple terminology, and presenting content in ways that reflect cultural understanding of ageing can help reduce confusion and stigma</w:t>
      </w:r>
      <w:r>
        <w:rPr>
          <w:rFonts w:ascii="Arial" w:hAnsi="Arial" w:cs="Arial"/>
        </w:rPr>
        <w:t xml:space="preserve"> (</w:t>
      </w:r>
      <w:r w:rsidRPr="002B47EB">
        <w:rPr>
          <w:rFonts w:ascii="Arial" w:hAnsi="Arial" w:cs="Arial"/>
        </w:rPr>
        <w:t>Collins</w:t>
      </w:r>
      <w:r>
        <w:rPr>
          <w:rFonts w:ascii="Arial" w:hAnsi="Arial" w:cs="Arial"/>
        </w:rPr>
        <w:t xml:space="preserve"> et al, 2019)</w:t>
      </w:r>
      <w:r w:rsidRPr="005A3A9D">
        <w:rPr>
          <w:rFonts w:ascii="Arial" w:hAnsi="Arial" w:cs="Arial"/>
        </w:rPr>
        <w:t xml:space="preserve">. Involving community leaders, faith </w:t>
      </w:r>
      <w:r w:rsidRPr="005A3A9D">
        <w:rPr>
          <w:rFonts w:ascii="Arial" w:hAnsi="Arial" w:cs="Arial"/>
        </w:rPr>
        <w:lastRenderedPageBreak/>
        <w:t>figures, and bilingual health ambassadors can also help build trust and reinforce the message that Alzheimer’s is a medical condition requiring support rather than a private family matter or part of normal ageing</w:t>
      </w:r>
      <w:r>
        <w:rPr>
          <w:rFonts w:ascii="Arial" w:hAnsi="Arial" w:cs="Arial"/>
        </w:rPr>
        <w:t xml:space="preserve"> (</w:t>
      </w:r>
      <w:r w:rsidRPr="00163801">
        <w:rPr>
          <w:rFonts w:ascii="Arial" w:hAnsi="Arial" w:cs="Arial"/>
        </w:rPr>
        <w:t>Amador</w:t>
      </w:r>
      <w:r>
        <w:rPr>
          <w:rFonts w:ascii="Arial" w:hAnsi="Arial" w:cs="Arial"/>
        </w:rPr>
        <w:t xml:space="preserve"> et al, 2021)</w:t>
      </w:r>
      <w:r w:rsidRPr="005A3A9D">
        <w:rPr>
          <w:rFonts w:ascii="Arial" w:hAnsi="Arial" w:cs="Arial"/>
        </w:rPr>
        <w:t>.</w:t>
      </w:r>
    </w:p>
    <w:p w14:paraId="01837B3C"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Another key strategy involves adapting healthcare services to be more inclusive and accessible. This may include expanding professional interpreter services, offering bilingual staff, and developing dementia assessments and care pathways that reflect cultural communication styles and family involvement</w:t>
      </w:r>
      <w:r>
        <w:rPr>
          <w:rFonts w:ascii="Arial" w:hAnsi="Arial" w:cs="Arial"/>
        </w:rPr>
        <w:t xml:space="preserve"> (</w:t>
      </w:r>
      <w:r w:rsidRPr="00163801">
        <w:rPr>
          <w:rFonts w:ascii="Arial" w:hAnsi="Arial" w:cs="Arial"/>
        </w:rPr>
        <w:t>Amador</w:t>
      </w:r>
      <w:r>
        <w:rPr>
          <w:rFonts w:ascii="Arial" w:hAnsi="Arial" w:cs="Arial"/>
        </w:rPr>
        <w:t xml:space="preserve"> et al, 2021)</w:t>
      </w:r>
      <w:r w:rsidRPr="005A3A9D">
        <w:rPr>
          <w:rFonts w:ascii="Arial" w:hAnsi="Arial" w:cs="Arial"/>
        </w:rPr>
        <w:t>. Training healthcare providers in cultural competence can help improve relationships between patients and professionals, reducing misunderstandings and increasing confidence in services</w:t>
      </w:r>
      <w:r>
        <w:rPr>
          <w:rFonts w:ascii="Arial" w:hAnsi="Arial" w:cs="Arial"/>
        </w:rPr>
        <w:t xml:space="preserve"> (</w:t>
      </w:r>
      <w:r w:rsidRPr="002B47EB">
        <w:rPr>
          <w:rFonts w:ascii="Arial" w:hAnsi="Arial" w:cs="Arial"/>
        </w:rPr>
        <w:t>Collins</w:t>
      </w:r>
      <w:r>
        <w:rPr>
          <w:rFonts w:ascii="Arial" w:hAnsi="Arial" w:cs="Arial"/>
        </w:rPr>
        <w:t xml:space="preserve"> et al, 2019)</w:t>
      </w:r>
      <w:r w:rsidRPr="005A3A9D">
        <w:rPr>
          <w:rFonts w:ascii="Arial" w:hAnsi="Arial" w:cs="Arial"/>
        </w:rPr>
        <w:t>. Community-based memory clinics, outreach events, and family education programmes can also support early identification and help families understand available resources</w:t>
      </w:r>
      <w:r>
        <w:rPr>
          <w:rFonts w:ascii="Arial" w:hAnsi="Arial" w:cs="Arial"/>
        </w:rPr>
        <w:t xml:space="preserve"> (</w:t>
      </w:r>
      <w:r w:rsidRPr="002B47EB">
        <w:rPr>
          <w:rFonts w:ascii="Arial" w:hAnsi="Arial" w:cs="Arial"/>
        </w:rPr>
        <w:t>Collins</w:t>
      </w:r>
      <w:r>
        <w:rPr>
          <w:rFonts w:ascii="Arial" w:hAnsi="Arial" w:cs="Arial"/>
        </w:rPr>
        <w:t xml:space="preserve"> et al, 2019)</w:t>
      </w:r>
      <w:r w:rsidRPr="005A3A9D">
        <w:rPr>
          <w:rFonts w:ascii="Arial" w:hAnsi="Arial" w:cs="Arial"/>
        </w:rPr>
        <w:t>. By combining culturally sensitive communication with structural support, interventions can encourage earlier help-seeking and more equitable access to Alzheimer’s care</w:t>
      </w:r>
      <w:r>
        <w:rPr>
          <w:rFonts w:ascii="Arial" w:hAnsi="Arial" w:cs="Arial"/>
        </w:rPr>
        <w:t xml:space="preserve"> (</w:t>
      </w:r>
      <w:r w:rsidRPr="00834CB8">
        <w:rPr>
          <w:rFonts w:ascii="Arial" w:hAnsi="Arial" w:cs="Arial"/>
        </w:rPr>
        <w:t>Mattke</w:t>
      </w:r>
      <w:r>
        <w:rPr>
          <w:rFonts w:ascii="Arial" w:hAnsi="Arial" w:cs="Arial"/>
        </w:rPr>
        <w:t xml:space="preserve"> et al, 2024)</w:t>
      </w:r>
      <w:r w:rsidRPr="005A3A9D">
        <w:rPr>
          <w:rFonts w:ascii="Arial" w:hAnsi="Arial" w:cs="Arial"/>
        </w:rPr>
        <w:t>.</w:t>
      </w:r>
    </w:p>
    <w:p w14:paraId="2C1B6C0A" w14:textId="77777777" w:rsidR="00A240E8" w:rsidRPr="005A3A9D" w:rsidRDefault="00A240E8" w:rsidP="001A6776">
      <w:pPr>
        <w:pStyle w:val="Heading1"/>
      </w:pPr>
      <w:bookmarkStart w:id="25" w:name="_Toc220760153"/>
      <w:r w:rsidRPr="005A3A9D">
        <w:t>2.10 Theoretical Frameworks</w:t>
      </w:r>
      <w:bookmarkEnd w:id="25"/>
      <w:r w:rsidRPr="005A3A9D">
        <w:t xml:space="preserve"> </w:t>
      </w:r>
    </w:p>
    <w:p w14:paraId="330C7ACD" w14:textId="77777777" w:rsidR="00A240E8" w:rsidRPr="005A3A9D" w:rsidRDefault="00A240E8" w:rsidP="001A6776">
      <w:pPr>
        <w:spacing w:before="240" w:after="0" w:line="360" w:lineRule="auto"/>
        <w:jc w:val="both"/>
        <w:rPr>
          <w:rFonts w:ascii="Arial" w:hAnsi="Arial" w:cs="Arial"/>
        </w:rPr>
      </w:pPr>
      <w:r w:rsidRPr="000D26F9">
        <w:rPr>
          <w:rFonts w:ascii="Arial" w:hAnsi="Arial" w:cs="Arial"/>
        </w:rPr>
        <w:t>Theoretical frameworks provide a lens through which barriers to accessing Alzheimer’s care can be understood and analysed. They help explain how cultural beliefs, perceptions of illness, and experiences with healthcare systems shape health behaviours and decision-making. In the context of South Asian older adults, theoretical models are useful for exploring why symptoms may be normalised, how stigma or lack of knowledge affects help-seeking, and why some families rely on informal care instead of formal services. Using frameworks such as the Health Belief Model and the Theory of Planned Behaviour enables a structured examination of attitudes, beliefs, system-level challenges, and external influences that contribute to delays in diagnosis or limited service engagement. Applying these models supports a deeper understanding of behavioural patterns and provides direction for developing interventions that better align with cultural values and healthcare needs</w:t>
      </w:r>
      <w:r w:rsidRPr="005A3A9D">
        <w:rPr>
          <w:rFonts w:ascii="Arial" w:hAnsi="Arial" w:cs="Arial"/>
        </w:rPr>
        <w:t>.</w:t>
      </w:r>
    </w:p>
    <w:p w14:paraId="00CFCE2D" w14:textId="77777777" w:rsidR="00A240E8" w:rsidRPr="005A3A9D" w:rsidRDefault="00A240E8" w:rsidP="001A6776">
      <w:pPr>
        <w:pStyle w:val="Heading2"/>
        <w:spacing w:after="0"/>
      </w:pPr>
      <w:bookmarkStart w:id="26" w:name="_Toc220760154"/>
      <w:r>
        <w:t xml:space="preserve">2.10.1 </w:t>
      </w:r>
      <w:r w:rsidRPr="005A3A9D">
        <w:t>Health Belief Model</w:t>
      </w:r>
      <w:bookmarkEnd w:id="26"/>
      <w:r w:rsidRPr="005A3A9D">
        <w:t xml:space="preserve"> </w:t>
      </w:r>
    </w:p>
    <w:p w14:paraId="3F2538F3"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The Health Belief Model (HBM) offers a valuable framework for understanding how individuals interpret health information and make decisions about seeking care. The model suggests that health behaviours are influenced by perceptions of severity, susceptibility, benefits, and barriers</w:t>
      </w:r>
      <w:r>
        <w:rPr>
          <w:rFonts w:ascii="Arial" w:hAnsi="Arial" w:cs="Arial"/>
        </w:rPr>
        <w:t xml:space="preserve"> (</w:t>
      </w:r>
      <w:r w:rsidRPr="00A10DC6">
        <w:rPr>
          <w:rFonts w:ascii="Arial" w:hAnsi="Arial" w:cs="Arial"/>
        </w:rPr>
        <w:t>Zakrzewski</w:t>
      </w:r>
      <w:r>
        <w:rPr>
          <w:rFonts w:ascii="Arial" w:hAnsi="Arial" w:cs="Arial"/>
        </w:rPr>
        <w:t xml:space="preserve"> et al, 2024)</w:t>
      </w:r>
      <w:r w:rsidRPr="005A3A9D">
        <w:rPr>
          <w:rFonts w:ascii="Arial" w:hAnsi="Arial" w:cs="Arial"/>
        </w:rPr>
        <w:t xml:space="preserve">. In the case of Alzheimer’s </w:t>
      </w:r>
      <w:r w:rsidRPr="005A3A9D">
        <w:rPr>
          <w:rFonts w:ascii="Arial" w:hAnsi="Arial" w:cs="Arial"/>
        </w:rPr>
        <w:lastRenderedPageBreak/>
        <w:t xml:space="preserve">disease, perceived susceptibility refers to whether individuals believe they or a family member </w:t>
      </w:r>
      <w:r>
        <w:rPr>
          <w:rFonts w:ascii="Arial" w:hAnsi="Arial" w:cs="Arial"/>
        </w:rPr>
        <w:t>is</w:t>
      </w:r>
      <w:r w:rsidRPr="005A3A9D">
        <w:rPr>
          <w:rFonts w:ascii="Arial" w:hAnsi="Arial" w:cs="Arial"/>
        </w:rPr>
        <w:t xml:space="preserve"> at risk of developing the condition</w:t>
      </w:r>
      <w:r>
        <w:rPr>
          <w:rFonts w:ascii="Arial" w:hAnsi="Arial" w:cs="Arial"/>
        </w:rPr>
        <w:t xml:space="preserve"> (</w:t>
      </w:r>
      <w:r w:rsidRPr="00C04B4F">
        <w:rPr>
          <w:rFonts w:ascii="Arial" w:hAnsi="Arial" w:cs="Arial"/>
        </w:rPr>
        <w:t>Jalili</w:t>
      </w:r>
      <w:r>
        <w:rPr>
          <w:rFonts w:ascii="Arial" w:hAnsi="Arial" w:cs="Arial"/>
        </w:rPr>
        <w:t xml:space="preserve"> et al, 2019)</w:t>
      </w:r>
      <w:r w:rsidRPr="005A3A9D">
        <w:rPr>
          <w:rFonts w:ascii="Arial" w:hAnsi="Arial" w:cs="Arial"/>
        </w:rPr>
        <w:t>. Within some South Asian communities, memory loss is often seen as a normal part of ageing rather than a sign of illness, leading to a low sense of vulnerability and reducing the urgency to seek assessment</w:t>
      </w:r>
      <w:r>
        <w:rPr>
          <w:rFonts w:ascii="Arial" w:hAnsi="Arial" w:cs="Arial"/>
        </w:rPr>
        <w:t xml:space="preserve"> (</w:t>
      </w:r>
      <w:r w:rsidRPr="00C72E42">
        <w:rPr>
          <w:rFonts w:ascii="Arial" w:hAnsi="Arial" w:cs="Arial"/>
        </w:rPr>
        <w:t>Kaushal</w:t>
      </w:r>
      <w:r>
        <w:rPr>
          <w:rFonts w:ascii="Arial" w:hAnsi="Arial" w:cs="Arial"/>
        </w:rPr>
        <w:t xml:space="preserve"> et al, 2024)</w:t>
      </w:r>
      <w:r w:rsidRPr="005A3A9D">
        <w:rPr>
          <w:rFonts w:ascii="Arial" w:hAnsi="Arial" w:cs="Arial"/>
        </w:rPr>
        <w:t>. If symptoms are seen as expected rather than concerning, the motivation to engage with medical services remains limited</w:t>
      </w:r>
      <w:r>
        <w:rPr>
          <w:rFonts w:ascii="Arial" w:hAnsi="Arial" w:cs="Arial"/>
        </w:rPr>
        <w:t xml:space="preserve"> (</w:t>
      </w:r>
      <w:r w:rsidRPr="00A10DC6">
        <w:rPr>
          <w:rFonts w:ascii="Arial" w:hAnsi="Arial" w:cs="Arial"/>
        </w:rPr>
        <w:t>Zakrzewski</w:t>
      </w:r>
      <w:r>
        <w:rPr>
          <w:rFonts w:ascii="Arial" w:hAnsi="Arial" w:cs="Arial"/>
        </w:rPr>
        <w:t xml:space="preserve"> et al, 2024)</w:t>
      </w:r>
      <w:r w:rsidRPr="005A3A9D">
        <w:rPr>
          <w:rFonts w:ascii="Arial" w:hAnsi="Arial" w:cs="Arial"/>
        </w:rPr>
        <w:t>.</w:t>
      </w:r>
    </w:p>
    <w:p w14:paraId="1206A500"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 xml:space="preserve">Perceived severity plays an important role in </w:t>
      </w:r>
      <w:r>
        <w:rPr>
          <w:rFonts w:ascii="Arial" w:hAnsi="Arial" w:cs="Arial"/>
        </w:rPr>
        <w:t>decision-making</w:t>
      </w:r>
      <w:r w:rsidRPr="005A3A9D">
        <w:rPr>
          <w:rFonts w:ascii="Arial" w:hAnsi="Arial" w:cs="Arial"/>
        </w:rPr>
        <w:t>. If Alzheimer’s disease is not recognised as a serious medical condition</w:t>
      </w:r>
      <w:r>
        <w:rPr>
          <w:rFonts w:ascii="Arial" w:hAnsi="Arial" w:cs="Arial"/>
        </w:rPr>
        <w:t xml:space="preserve">, </w:t>
      </w:r>
      <w:r w:rsidRPr="005A3A9D">
        <w:rPr>
          <w:rFonts w:ascii="Arial" w:hAnsi="Arial" w:cs="Arial"/>
        </w:rPr>
        <w:t>or if misconceptions exist about its nature</w:t>
      </w:r>
      <w:r>
        <w:rPr>
          <w:rFonts w:ascii="Arial" w:hAnsi="Arial" w:cs="Arial"/>
        </w:rPr>
        <w:t xml:space="preserve">, </w:t>
      </w:r>
      <w:r w:rsidRPr="005A3A9D">
        <w:rPr>
          <w:rFonts w:ascii="Arial" w:hAnsi="Arial" w:cs="Arial"/>
        </w:rPr>
        <w:t>families may delay or avoid seeking help</w:t>
      </w:r>
      <w:r>
        <w:rPr>
          <w:rFonts w:ascii="Arial" w:hAnsi="Arial" w:cs="Arial"/>
        </w:rPr>
        <w:t xml:space="preserve"> (</w:t>
      </w:r>
      <w:r w:rsidRPr="00C04B4F">
        <w:rPr>
          <w:rFonts w:ascii="Arial" w:hAnsi="Arial" w:cs="Arial"/>
        </w:rPr>
        <w:t>Jalili</w:t>
      </w:r>
      <w:r>
        <w:rPr>
          <w:rFonts w:ascii="Arial" w:hAnsi="Arial" w:cs="Arial"/>
        </w:rPr>
        <w:t xml:space="preserve"> et al, 2019)</w:t>
      </w:r>
      <w:r w:rsidRPr="005A3A9D">
        <w:rPr>
          <w:rFonts w:ascii="Arial" w:hAnsi="Arial" w:cs="Arial"/>
        </w:rPr>
        <w:t>. Some may assume that cognitive decline cannot be treated or improved, leading to feelings of helplessness or resignation</w:t>
      </w:r>
      <w:r>
        <w:rPr>
          <w:rFonts w:ascii="Arial" w:hAnsi="Arial" w:cs="Arial"/>
        </w:rPr>
        <w:t xml:space="preserve"> (</w:t>
      </w:r>
      <w:r w:rsidRPr="00C72E42">
        <w:rPr>
          <w:rFonts w:ascii="Arial" w:hAnsi="Arial" w:cs="Arial"/>
        </w:rPr>
        <w:t>Kaushal</w:t>
      </w:r>
      <w:r>
        <w:rPr>
          <w:rFonts w:ascii="Arial" w:hAnsi="Arial" w:cs="Arial"/>
        </w:rPr>
        <w:t xml:space="preserve"> et al, 2024)</w:t>
      </w:r>
      <w:r w:rsidRPr="005A3A9D">
        <w:rPr>
          <w:rFonts w:ascii="Arial" w:hAnsi="Arial" w:cs="Arial"/>
        </w:rPr>
        <w:t>. Perceived benefits also shape behaviour. When people are unaware of available treatments, support services, or the value of early diagnosis, they may see little benefit in pursuing care</w:t>
      </w:r>
      <w:r>
        <w:rPr>
          <w:rFonts w:ascii="Arial" w:hAnsi="Arial" w:cs="Arial"/>
        </w:rPr>
        <w:t xml:space="preserve"> (</w:t>
      </w:r>
      <w:r w:rsidRPr="00A10DC6">
        <w:rPr>
          <w:rFonts w:ascii="Arial" w:hAnsi="Arial" w:cs="Arial"/>
        </w:rPr>
        <w:t>Zakrzewski</w:t>
      </w:r>
      <w:r>
        <w:rPr>
          <w:rFonts w:ascii="Arial" w:hAnsi="Arial" w:cs="Arial"/>
        </w:rPr>
        <w:t xml:space="preserve"> et al, 2024)</w:t>
      </w:r>
      <w:r w:rsidRPr="005A3A9D">
        <w:rPr>
          <w:rFonts w:ascii="Arial" w:hAnsi="Arial" w:cs="Arial"/>
        </w:rPr>
        <w:t>.</w:t>
      </w:r>
    </w:p>
    <w:p w14:paraId="23F4A8C0"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Perceived barriers are often the strongest influence on behaviour within minority populations. Language difficulties, stigma, mistrust, and cultural beliefs about family responsibility can all act as deterrents to seeking formal care</w:t>
      </w:r>
      <w:r>
        <w:rPr>
          <w:rFonts w:ascii="Arial" w:hAnsi="Arial" w:cs="Arial"/>
        </w:rPr>
        <w:t xml:space="preserve"> (</w:t>
      </w:r>
      <w:r w:rsidRPr="00C04B4F">
        <w:rPr>
          <w:rFonts w:ascii="Arial" w:hAnsi="Arial" w:cs="Arial"/>
        </w:rPr>
        <w:t>Jalili</w:t>
      </w:r>
      <w:r>
        <w:rPr>
          <w:rFonts w:ascii="Arial" w:hAnsi="Arial" w:cs="Arial"/>
        </w:rPr>
        <w:t xml:space="preserve"> et al, 2019)</w:t>
      </w:r>
      <w:r w:rsidRPr="005A3A9D">
        <w:rPr>
          <w:rFonts w:ascii="Arial" w:hAnsi="Arial" w:cs="Arial"/>
        </w:rPr>
        <w:t>. Cues to action, such as awareness campaigns, community outreach, or healthcare professional guidance, may help overcome these barriers by providing information that supports recognition and reduces hesitation</w:t>
      </w:r>
      <w:r>
        <w:rPr>
          <w:rFonts w:ascii="Arial" w:hAnsi="Arial" w:cs="Arial"/>
        </w:rPr>
        <w:t xml:space="preserve"> (</w:t>
      </w:r>
      <w:r w:rsidRPr="00A10DC6">
        <w:rPr>
          <w:rFonts w:ascii="Arial" w:hAnsi="Arial" w:cs="Arial"/>
        </w:rPr>
        <w:t>Zakrzewski</w:t>
      </w:r>
      <w:r>
        <w:rPr>
          <w:rFonts w:ascii="Arial" w:hAnsi="Arial" w:cs="Arial"/>
        </w:rPr>
        <w:t xml:space="preserve"> et al, 2024)</w:t>
      </w:r>
      <w:r w:rsidRPr="005A3A9D">
        <w:rPr>
          <w:rFonts w:ascii="Arial" w:hAnsi="Arial" w:cs="Arial"/>
        </w:rPr>
        <w:t>. Self-efficacy, or confidence in navigating the healthcare system, also affects outcomes; individuals who feel unsupported or uncertain may disengage</w:t>
      </w:r>
      <w:r>
        <w:rPr>
          <w:rFonts w:ascii="Arial" w:hAnsi="Arial" w:cs="Arial"/>
        </w:rPr>
        <w:t xml:space="preserve"> (</w:t>
      </w:r>
      <w:r w:rsidRPr="00C72E42">
        <w:rPr>
          <w:rFonts w:ascii="Arial" w:hAnsi="Arial" w:cs="Arial"/>
        </w:rPr>
        <w:t>Kaushal</w:t>
      </w:r>
      <w:r>
        <w:rPr>
          <w:rFonts w:ascii="Arial" w:hAnsi="Arial" w:cs="Arial"/>
        </w:rPr>
        <w:t xml:space="preserve"> et al, 2024)</w:t>
      </w:r>
      <w:r w:rsidRPr="005A3A9D">
        <w:rPr>
          <w:rFonts w:ascii="Arial" w:hAnsi="Arial" w:cs="Arial"/>
        </w:rPr>
        <w:t>. By applying the Health Belief Model, it becomes easier to identify intervention areas that can enhance motivation, reduce barriers, and encourage early help-seeking among South Asian families affected by Alzheimer’s disease</w:t>
      </w:r>
      <w:r>
        <w:rPr>
          <w:rFonts w:ascii="Arial" w:hAnsi="Arial" w:cs="Arial"/>
        </w:rPr>
        <w:t xml:space="preserve"> (</w:t>
      </w:r>
      <w:r w:rsidRPr="00C72E42">
        <w:rPr>
          <w:rFonts w:ascii="Arial" w:hAnsi="Arial" w:cs="Arial"/>
        </w:rPr>
        <w:t>Kaushal</w:t>
      </w:r>
      <w:r>
        <w:rPr>
          <w:rFonts w:ascii="Arial" w:hAnsi="Arial" w:cs="Arial"/>
        </w:rPr>
        <w:t xml:space="preserve"> et al, 2024)</w:t>
      </w:r>
      <w:r w:rsidRPr="005A3A9D">
        <w:rPr>
          <w:rFonts w:ascii="Arial" w:hAnsi="Arial" w:cs="Arial"/>
        </w:rPr>
        <w:t>.</w:t>
      </w:r>
    </w:p>
    <w:p w14:paraId="7BFA869E" w14:textId="77777777" w:rsidR="00A240E8" w:rsidRPr="005A3A9D" w:rsidRDefault="00A240E8" w:rsidP="001A6776">
      <w:pPr>
        <w:pStyle w:val="Heading2"/>
        <w:spacing w:after="0"/>
      </w:pPr>
      <w:bookmarkStart w:id="27" w:name="_Toc220760155"/>
      <w:r>
        <w:t>2.10.2 T</w:t>
      </w:r>
      <w:r w:rsidRPr="00CC291C">
        <w:t>heory of Planned Behaviour</w:t>
      </w:r>
      <w:bookmarkEnd w:id="27"/>
    </w:p>
    <w:p w14:paraId="550B566E" w14:textId="77777777" w:rsidR="00A240E8" w:rsidRPr="00CA528E" w:rsidRDefault="00A240E8" w:rsidP="001A6776">
      <w:pPr>
        <w:spacing w:before="240" w:after="0" w:line="360" w:lineRule="auto"/>
        <w:jc w:val="both"/>
        <w:rPr>
          <w:rFonts w:ascii="Arial" w:hAnsi="Arial" w:cs="Arial"/>
        </w:rPr>
      </w:pPr>
      <w:r w:rsidRPr="00CA528E">
        <w:rPr>
          <w:rFonts w:ascii="Arial" w:hAnsi="Arial" w:cs="Arial"/>
        </w:rPr>
        <w:t>The Theory of Planned Behaviour (TPB) provides another perspective on how beliefs shape decisions and actions related to health-seeking. This framework argues that behavioural intentions are influenced by three key components: attitudes toward the behaviour, subjective norms, and perceived behavioural control</w:t>
      </w:r>
      <w:r>
        <w:rPr>
          <w:rFonts w:ascii="Arial" w:hAnsi="Arial" w:cs="Arial"/>
        </w:rPr>
        <w:t xml:space="preserve"> (</w:t>
      </w:r>
      <w:r w:rsidRPr="00A06094">
        <w:rPr>
          <w:rFonts w:ascii="Arial" w:hAnsi="Arial" w:cs="Arial"/>
        </w:rPr>
        <w:t>Schiffman</w:t>
      </w:r>
      <w:r>
        <w:rPr>
          <w:rFonts w:ascii="Arial" w:hAnsi="Arial" w:cs="Arial"/>
        </w:rPr>
        <w:t xml:space="preserve"> and </w:t>
      </w:r>
      <w:r w:rsidRPr="00A06094">
        <w:rPr>
          <w:rFonts w:ascii="Arial" w:hAnsi="Arial" w:cs="Arial"/>
        </w:rPr>
        <w:t>Werner</w:t>
      </w:r>
      <w:r>
        <w:rPr>
          <w:rFonts w:ascii="Arial" w:hAnsi="Arial" w:cs="Arial"/>
        </w:rPr>
        <w:t>, 2021)</w:t>
      </w:r>
      <w:r w:rsidRPr="00CA528E">
        <w:rPr>
          <w:rFonts w:ascii="Arial" w:hAnsi="Arial" w:cs="Arial"/>
        </w:rPr>
        <w:t xml:space="preserve">. In the context of Alzheimer’s disease, attitudes may include beliefs </w:t>
      </w:r>
      <w:r w:rsidRPr="00CA528E">
        <w:rPr>
          <w:rFonts w:ascii="Arial" w:hAnsi="Arial" w:cs="Arial"/>
        </w:rPr>
        <w:lastRenderedPageBreak/>
        <w:t>about the usefulness of diagnosis, concerns about stigma, or assumptions about whether symptoms represent illness or normal ageing</w:t>
      </w:r>
      <w:r>
        <w:rPr>
          <w:rFonts w:ascii="Arial" w:hAnsi="Arial" w:cs="Arial"/>
        </w:rPr>
        <w:t xml:space="preserve"> (</w:t>
      </w:r>
      <w:r w:rsidRPr="008D0828">
        <w:rPr>
          <w:rFonts w:ascii="Arial" w:hAnsi="Arial" w:cs="Arial"/>
        </w:rPr>
        <w:t>Tang</w:t>
      </w:r>
      <w:r>
        <w:rPr>
          <w:rFonts w:ascii="Arial" w:hAnsi="Arial" w:cs="Arial"/>
        </w:rPr>
        <w:t xml:space="preserve"> et al, 2025)</w:t>
      </w:r>
      <w:r w:rsidRPr="00CA528E">
        <w:rPr>
          <w:rFonts w:ascii="Arial" w:hAnsi="Arial" w:cs="Arial"/>
        </w:rPr>
        <w:t>. If families perceive formal diagnosis as unnecessary, ineffective, or frightening, their intention to pursue medical evaluation diminishes</w:t>
      </w:r>
      <w:r>
        <w:rPr>
          <w:rFonts w:ascii="Arial" w:hAnsi="Arial" w:cs="Arial"/>
        </w:rPr>
        <w:t xml:space="preserve"> (</w:t>
      </w:r>
      <w:r w:rsidRPr="00F0339C">
        <w:rPr>
          <w:rFonts w:ascii="Arial" w:hAnsi="Arial" w:cs="Arial"/>
        </w:rPr>
        <w:t>Gamage</w:t>
      </w:r>
      <w:r>
        <w:rPr>
          <w:rFonts w:ascii="Arial" w:hAnsi="Arial" w:cs="Arial"/>
        </w:rPr>
        <w:t xml:space="preserve"> et al, 2024)</w:t>
      </w:r>
      <w:r w:rsidRPr="00CA528E">
        <w:rPr>
          <w:rFonts w:ascii="Arial" w:hAnsi="Arial" w:cs="Arial"/>
        </w:rPr>
        <w:t>.</w:t>
      </w:r>
    </w:p>
    <w:p w14:paraId="2EFF9DB1" w14:textId="77777777" w:rsidR="00A240E8" w:rsidRPr="00CA528E" w:rsidRDefault="00A240E8" w:rsidP="001A6776">
      <w:pPr>
        <w:spacing w:before="240" w:after="0" w:line="360" w:lineRule="auto"/>
        <w:jc w:val="both"/>
        <w:rPr>
          <w:rFonts w:ascii="Arial" w:hAnsi="Arial" w:cs="Arial"/>
        </w:rPr>
      </w:pPr>
      <w:r w:rsidRPr="00CA528E">
        <w:rPr>
          <w:rFonts w:ascii="Arial" w:hAnsi="Arial" w:cs="Arial"/>
        </w:rPr>
        <w:t>Subjective norms relate to perceived expectations or pressures from family, community members, and cultural traditions. In many South Asian communities, caregiving is seen as a family responsibility, and seeking external support may be perceived as failing in that role</w:t>
      </w:r>
      <w:r>
        <w:rPr>
          <w:rFonts w:ascii="Arial" w:hAnsi="Arial" w:cs="Arial"/>
        </w:rPr>
        <w:t xml:space="preserve"> (</w:t>
      </w:r>
      <w:r w:rsidRPr="00A06094">
        <w:rPr>
          <w:rFonts w:ascii="Arial" w:hAnsi="Arial" w:cs="Arial"/>
        </w:rPr>
        <w:t>Schiffman</w:t>
      </w:r>
      <w:r>
        <w:rPr>
          <w:rFonts w:ascii="Arial" w:hAnsi="Arial" w:cs="Arial"/>
        </w:rPr>
        <w:t xml:space="preserve"> and </w:t>
      </w:r>
      <w:r w:rsidRPr="00A06094">
        <w:rPr>
          <w:rFonts w:ascii="Arial" w:hAnsi="Arial" w:cs="Arial"/>
        </w:rPr>
        <w:t>Werner</w:t>
      </w:r>
      <w:r>
        <w:rPr>
          <w:rFonts w:ascii="Arial" w:hAnsi="Arial" w:cs="Arial"/>
        </w:rPr>
        <w:t>, 2021)</w:t>
      </w:r>
      <w:r w:rsidRPr="00CA528E">
        <w:rPr>
          <w:rFonts w:ascii="Arial" w:hAnsi="Arial" w:cs="Arial"/>
        </w:rPr>
        <w:t xml:space="preserve">. Fear of </w:t>
      </w:r>
      <w:r>
        <w:rPr>
          <w:rFonts w:ascii="Arial" w:hAnsi="Arial" w:cs="Arial"/>
        </w:rPr>
        <w:t>judgment</w:t>
      </w:r>
      <w:r w:rsidRPr="00CA528E">
        <w:rPr>
          <w:rFonts w:ascii="Arial" w:hAnsi="Arial" w:cs="Arial"/>
        </w:rPr>
        <w:t xml:space="preserve"> or social gossip may also influence decisions. If families believe that others in their cultural group do not seek formal care, they may be less inclined to do so themselves</w:t>
      </w:r>
      <w:r>
        <w:rPr>
          <w:rFonts w:ascii="Arial" w:hAnsi="Arial" w:cs="Arial"/>
        </w:rPr>
        <w:t xml:space="preserve"> (</w:t>
      </w:r>
      <w:r w:rsidRPr="008D0828">
        <w:rPr>
          <w:rFonts w:ascii="Arial" w:hAnsi="Arial" w:cs="Arial"/>
        </w:rPr>
        <w:t>Tang</w:t>
      </w:r>
      <w:r>
        <w:rPr>
          <w:rFonts w:ascii="Arial" w:hAnsi="Arial" w:cs="Arial"/>
        </w:rPr>
        <w:t xml:space="preserve"> et al, 2025)</w:t>
      </w:r>
      <w:r w:rsidRPr="00CA528E">
        <w:rPr>
          <w:rFonts w:ascii="Arial" w:hAnsi="Arial" w:cs="Arial"/>
        </w:rPr>
        <w:t>.</w:t>
      </w:r>
    </w:p>
    <w:p w14:paraId="1F516013" w14:textId="77777777" w:rsidR="00A240E8" w:rsidRPr="005A3A9D" w:rsidRDefault="00A240E8" w:rsidP="001A6776">
      <w:pPr>
        <w:spacing w:before="240" w:after="0" w:line="360" w:lineRule="auto"/>
        <w:jc w:val="both"/>
        <w:rPr>
          <w:rFonts w:ascii="Arial" w:hAnsi="Arial" w:cs="Arial"/>
        </w:rPr>
      </w:pPr>
      <w:r w:rsidRPr="00CA528E">
        <w:rPr>
          <w:rFonts w:ascii="Arial" w:hAnsi="Arial" w:cs="Arial"/>
        </w:rPr>
        <w:t>Perceived behavioural control reflects confidence in one’s ability to engage with healthcare systems. Factors such as language barriers, unfamiliarity with services, limited culturally appropriate resources, or past negative experiences can reduce perceived control</w:t>
      </w:r>
      <w:r>
        <w:rPr>
          <w:rFonts w:ascii="Arial" w:hAnsi="Arial" w:cs="Arial"/>
        </w:rPr>
        <w:t xml:space="preserve"> (</w:t>
      </w:r>
      <w:r w:rsidRPr="00A06094">
        <w:rPr>
          <w:rFonts w:ascii="Arial" w:hAnsi="Arial" w:cs="Arial"/>
        </w:rPr>
        <w:t>Schiffman</w:t>
      </w:r>
      <w:r>
        <w:rPr>
          <w:rFonts w:ascii="Arial" w:hAnsi="Arial" w:cs="Arial"/>
        </w:rPr>
        <w:t xml:space="preserve"> and </w:t>
      </w:r>
      <w:r w:rsidRPr="00A06094">
        <w:rPr>
          <w:rFonts w:ascii="Arial" w:hAnsi="Arial" w:cs="Arial"/>
        </w:rPr>
        <w:t>Werner</w:t>
      </w:r>
      <w:r>
        <w:rPr>
          <w:rFonts w:ascii="Arial" w:hAnsi="Arial" w:cs="Arial"/>
        </w:rPr>
        <w:t>, 2021)</w:t>
      </w:r>
      <w:r w:rsidRPr="00CA528E">
        <w:rPr>
          <w:rFonts w:ascii="Arial" w:hAnsi="Arial" w:cs="Arial"/>
        </w:rPr>
        <w:t>. When individuals feel unable to navigate healthcare pathways, they are less likely to seek help even if they recognise a need</w:t>
      </w:r>
      <w:r>
        <w:rPr>
          <w:rFonts w:ascii="Arial" w:hAnsi="Arial" w:cs="Arial"/>
        </w:rPr>
        <w:t xml:space="preserve"> (</w:t>
      </w:r>
      <w:r w:rsidRPr="008D0828">
        <w:rPr>
          <w:rFonts w:ascii="Arial" w:hAnsi="Arial" w:cs="Arial"/>
        </w:rPr>
        <w:t>Tang</w:t>
      </w:r>
      <w:r>
        <w:rPr>
          <w:rFonts w:ascii="Arial" w:hAnsi="Arial" w:cs="Arial"/>
        </w:rPr>
        <w:t xml:space="preserve"> et al, 2025)</w:t>
      </w:r>
      <w:r w:rsidRPr="00CA528E">
        <w:rPr>
          <w:rFonts w:ascii="Arial" w:hAnsi="Arial" w:cs="Arial"/>
        </w:rPr>
        <w:t>.</w:t>
      </w:r>
      <w:r>
        <w:rPr>
          <w:rFonts w:ascii="Arial" w:hAnsi="Arial" w:cs="Arial"/>
        </w:rPr>
        <w:t xml:space="preserve"> </w:t>
      </w:r>
      <w:r w:rsidRPr="00CA528E">
        <w:rPr>
          <w:rFonts w:ascii="Arial" w:hAnsi="Arial" w:cs="Arial"/>
        </w:rPr>
        <w:t>By applying the Theory of Planned Behaviour, researchers and practitioners can better understand how social expectations, cultural interpretations, and confidence in navigating services influence help-seeking</w:t>
      </w:r>
      <w:r>
        <w:rPr>
          <w:rFonts w:ascii="Arial" w:hAnsi="Arial" w:cs="Arial"/>
        </w:rPr>
        <w:t xml:space="preserve"> (</w:t>
      </w:r>
      <w:r w:rsidRPr="00F0339C">
        <w:rPr>
          <w:rFonts w:ascii="Arial" w:hAnsi="Arial" w:cs="Arial"/>
        </w:rPr>
        <w:t>Gamage</w:t>
      </w:r>
      <w:r>
        <w:rPr>
          <w:rFonts w:ascii="Arial" w:hAnsi="Arial" w:cs="Arial"/>
        </w:rPr>
        <w:t xml:space="preserve"> et al, 2024)</w:t>
      </w:r>
      <w:r w:rsidRPr="00CA528E">
        <w:rPr>
          <w:rFonts w:ascii="Arial" w:hAnsi="Arial" w:cs="Arial"/>
        </w:rPr>
        <w:t>. This framework supports the development of tailored interventions that build confidence, shift cultural norms surrounding help-seeking, and promote positive attitudes toward early diagnosis and formal dementia care</w:t>
      </w:r>
      <w:r>
        <w:rPr>
          <w:rFonts w:ascii="Arial" w:hAnsi="Arial" w:cs="Arial"/>
        </w:rPr>
        <w:t xml:space="preserve"> (</w:t>
      </w:r>
      <w:r w:rsidRPr="00F0339C">
        <w:rPr>
          <w:rFonts w:ascii="Arial" w:hAnsi="Arial" w:cs="Arial"/>
        </w:rPr>
        <w:t>Gamage</w:t>
      </w:r>
      <w:r>
        <w:rPr>
          <w:rFonts w:ascii="Arial" w:hAnsi="Arial" w:cs="Arial"/>
        </w:rPr>
        <w:t xml:space="preserve"> et al, 2024)</w:t>
      </w:r>
      <w:r w:rsidRPr="00CA528E">
        <w:rPr>
          <w:rFonts w:ascii="Arial" w:hAnsi="Arial" w:cs="Arial"/>
        </w:rPr>
        <w:t>.</w:t>
      </w:r>
    </w:p>
    <w:p w14:paraId="0FDF8B67" w14:textId="77777777" w:rsidR="00A240E8" w:rsidRPr="005A3A9D" w:rsidRDefault="00A240E8" w:rsidP="001A6776">
      <w:pPr>
        <w:pStyle w:val="Heading1"/>
      </w:pPr>
      <w:bookmarkStart w:id="28" w:name="_Toc220760156"/>
      <w:r w:rsidRPr="005A3A9D">
        <w:t>2.11 Research Gaps and Limitations in Existing Literature</w:t>
      </w:r>
      <w:bookmarkEnd w:id="28"/>
      <w:r w:rsidRPr="005A3A9D">
        <w:t xml:space="preserve"> </w:t>
      </w:r>
    </w:p>
    <w:p w14:paraId="0DF3A15F"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 xml:space="preserve">Despite growing awareness of health inequalities, research exploring Alzheimer’s care among South Asian older adults in the UK remains limited. Much of the existing literature focuses broadly on dementia awareness in ethnic minority groups, rather than specifically examining cultural and systemic barriers unique to South Asian communities. As a result, there is an incomplete understanding of how cultural beliefs, migration history, and generational differences shape help-seeking patterns. Additionally, many studies rely on small sample sizes or focus on specific subgroups, </w:t>
      </w:r>
      <w:r w:rsidRPr="005A3A9D">
        <w:rPr>
          <w:rFonts w:ascii="Arial" w:hAnsi="Arial" w:cs="Arial"/>
        </w:rPr>
        <w:lastRenderedPageBreak/>
        <w:t>such as Indian or Pakistani families, which may limit the ability to generalise findings across the wider South Asian population.</w:t>
      </w:r>
    </w:p>
    <w:p w14:paraId="568280C4"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 xml:space="preserve">Another gap in the literature is the lack of longitudinal studies tracking how beliefs and behaviours evolve, particularly as social norms shift and younger generations take on caregiving roles. Much research also focuses on family perspectives, with fewer studies capturing the views of older adults themselves, especially those with early-stage cognitive decline who may still have </w:t>
      </w:r>
      <w:r>
        <w:rPr>
          <w:rFonts w:ascii="Arial" w:hAnsi="Arial" w:cs="Arial"/>
        </w:rPr>
        <w:t xml:space="preserve">the </w:t>
      </w:r>
      <w:r w:rsidRPr="005A3A9D">
        <w:rPr>
          <w:rFonts w:ascii="Arial" w:hAnsi="Arial" w:cs="Arial"/>
        </w:rPr>
        <w:t>capacity to reflect on their experiences. Language barriers and stigma may contribute to their limited representation, but their perspectives are essential for developing person-centred care models.</w:t>
      </w:r>
    </w:p>
    <w:p w14:paraId="6792D570" w14:textId="77777777" w:rsidR="00A240E8" w:rsidRPr="005A3A9D" w:rsidRDefault="00A240E8" w:rsidP="001A6776">
      <w:pPr>
        <w:spacing w:before="240" w:after="0" w:line="360" w:lineRule="auto"/>
        <w:jc w:val="both"/>
        <w:rPr>
          <w:rFonts w:ascii="Arial" w:hAnsi="Arial" w:cs="Arial"/>
        </w:rPr>
      </w:pPr>
      <w:r w:rsidRPr="005A3A9D">
        <w:rPr>
          <w:rFonts w:ascii="Arial" w:hAnsi="Arial" w:cs="Arial"/>
        </w:rPr>
        <w:t>Practical evaluation of interventions is also limited. Although there is increasing recognition of the need for culturally adapted services, few studies have measured the long-term effectiveness of community-based outreach, bilingual support strategies, or culturally sensitive diagnostic tools. As a result, there is insufficient evidence on which approaches most effectively reduce inequalities in access. Finally, literature often underexplores the role of health policy, funding, and workforce diversity in shaping service delivery for this population. Addressing these research gaps is necessary to design interventions that are not only culturally appropriate but also sustainable and accessible.</w:t>
      </w:r>
    </w:p>
    <w:p w14:paraId="07131BA8" w14:textId="77777777" w:rsidR="00A240E8" w:rsidRPr="005A3A9D" w:rsidRDefault="00A240E8" w:rsidP="001A6776">
      <w:pPr>
        <w:pStyle w:val="Heading1"/>
      </w:pPr>
      <w:bookmarkStart w:id="29" w:name="_Toc220760157"/>
      <w:r w:rsidRPr="005A3A9D">
        <w:t>2.12 Summary</w:t>
      </w:r>
      <w:bookmarkEnd w:id="29"/>
      <w:r w:rsidRPr="005A3A9D">
        <w:t xml:space="preserve"> </w:t>
      </w:r>
    </w:p>
    <w:p w14:paraId="0318BA13" w14:textId="77777777" w:rsidR="00A240E8" w:rsidRDefault="00A240E8" w:rsidP="001A6776">
      <w:pPr>
        <w:spacing w:before="240" w:after="0" w:line="360" w:lineRule="auto"/>
        <w:jc w:val="both"/>
        <w:rPr>
          <w:rFonts w:ascii="Arial" w:hAnsi="Arial" w:cs="Arial"/>
        </w:rPr>
      </w:pPr>
      <w:r w:rsidRPr="005A3A9D">
        <w:rPr>
          <w:rFonts w:ascii="Arial" w:hAnsi="Arial" w:cs="Arial"/>
        </w:rPr>
        <w:t>This chapter explored the key factors influencing access to Alzheimer’s care for South Asian older adults in the UK. It examined cultural beliefs, awareness levels, language and communication challenges, and systemic barriers that affect help-seeking and service engagement. The discussion highlighted how cultural interpretations of ageing, stigma, lack of knowledge, and limited culturally adapted services contribute to delayed diagnosis and reduced use of support systems. Theoretical frameworks were used to understand how beliefs and structural factors shape behaviour, and existing gaps in research were identified. Together, these findings demonstrate the complex interplay of cultural, informational, and structural influences affecting Alzheimer’s care access and emphasise the need for tailored strategies to support earlier intervention and equitable care.</w:t>
      </w:r>
    </w:p>
    <w:p w14:paraId="24D33AE9" w14:textId="77777777" w:rsidR="00A240E8" w:rsidRDefault="00A240E8" w:rsidP="001A6776">
      <w:pPr>
        <w:spacing w:after="0" w:line="360" w:lineRule="auto"/>
        <w:jc w:val="both"/>
        <w:rPr>
          <w:rFonts w:ascii="Arial" w:hAnsi="Arial" w:cs="Arial"/>
        </w:rPr>
      </w:pPr>
    </w:p>
    <w:p w14:paraId="50B4A341" w14:textId="77777777" w:rsidR="00A240E8" w:rsidRPr="00F972BF" w:rsidRDefault="00A240E8" w:rsidP="001E579A">
      <w:pPr>
        <w:pStyle w:val="Heading1"/>
        <w:spacing w:before="0"/>
      </w:pPr>
      <w:bookmarkStart w:id="30" w:name="_Toc220760158"/>
      <w:r w:rsidRPr="00F972BF">
        <w:lastRenderedPageBreak/>
        <w:t>Chapter 3: Methodology</w:t>
      </w:r>
      <w:bookmarkEnd w:id="30"/>
    </w:p>
    <w:p w14:paraId="3CE7DB0A" w14:textId="77777777" w:rsidR="00A240E8" w:rsidRPr="00F972BF" w:rsidRDefault="00A240E8" w:rsidP="001E579A">
      <w:pPr>
        <w:pStyle w:val="Heading1"/>
        <w:spacing w:before="0"/>
      </w:pPr>
      <w:bookmarkStart w:id="31" w:name="_Toc220760159"/>
      <w:r w:rsidRPr="00F972BF">
        <w:t>3.1 Introduction</w:t>
      </w:r>
      <w:bookmarkEnd w:id="31"/>
    </w:p>
    <w:p w14:paraId="25CAF416"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This chapter outlines the research methodology adopted to examine the cultural and informational barriers that hinder South Asian older adults in the United Kingdom from accessing appropriate Alzheimer’s care services. The methodology provides a systematic framework for identifying, selecting, analysing, and synthesising relevant studies to ensure a transparent and rigorous review process. A systematic review design has been chosen to collate existing evidence comprehensively and derive conclusions grounded in multiple data sources. The chapter discusses the research philosophy, approach, study design, strategy, and data collection methods. It also presents the inclusion and exclusion criteria, database search procedures, ethical considerations, and data analysis techniques used in this review. Each component of the methodology is structured in accordance with PRISMA (Preferred Reporting Items for Systematic Reviews and Meta-Analyses) guidelines to ensure accuracy, credibility, and replicability</w:t>
      </w:r>
      <w:r>
        <w:rPr>
          <w:rFonts w:ascii="Arial" w:hAnsi="Arial" w:cs="Arial"/>
        </w:rPr>
        <w:t>.</w:t>
      </w:r>
    </w:p>
    <w:p w14:paraId="7602C795" w14:textId="77777777" w:rsidR="00A240E8" w:rsidRPr="00F972BF" w:rsidRDefault="00A240E8" w:rsidP="001A6776">
      <w:pPr>
        <w:pStyle w:val="Heading1"/>
      </w:pPr>
      <w:bookmarkStart w:id="32" w:name="_Toc220760160"/>
      <w:r w:rsidRPr="00F972BF">
        <w:t>3.2 Research Philosophy</w:t>
      </w:r>
      <w:bookmarkEnd w:id="32"/>
    </w:p>
    <w:p w14:paraId="63AF85EE"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The philosophical foundation of this study is rooted in interpretivism, which focuses on understanding social phenomena through the subjective meanings and experiences of individuals</w:t>
      </w:r>
      <w:r>
        <w:rPr>
          <w:rFonts w:ascii="Arial" w:hAnsi="Arial" w:cs="Arial"/>
        </w:rPr>
        <w:t xml:space="preserve"> (</w:t>
      </w:r>
      <w:r w:rsidRPr="002C6673">
        <w:rPr>
          <w:rFonts w:ascii="Arial" w:hAnsi="Arial" w:cs="Arial"/>
        </w:rPr>
        <w:t>Acharya</w:t>
      </w:r>
      <w:r>
        <w:rPr>
          <w:rFonts w:ascii="Arial" w:hAnsi="Arial" w:cs="Arial"/>
        </w:rPr>
        <w:t>, 2024)</w:t>
      </w:r>
      <w:r w:rsidRPr="00F972BF">
        <w:rPr>
          <w:rFonts w:ascii="Arial" w:hAnsi="Arial" w:cs="Arial"/>
        </w:rPr>
        <w:t>. Given that this research investigates cultural and informational barriers within specific communities, the interpretivist paradigm is appropriate, as it acknowledges that knowledge and understanding are socially constructed rather than objectively measured (Hunt et al., 2018). Interpretivism allows the exploration of how cultural norms, beliefs, stigma, and language influence South Asian elders’ perceptions and experiences of Alzheimer’s care in the UK</w:t>
      </w:r>
      <w:r>
        <w:rPr>
          <w:rFonts w:ascii="Arial" w:hAnsi="Arial" w:cs="Arial"/>
        </w:rPr>
        <w:t xml:space="preserve"> (</w:t>
      </w:r>
      <w:r w:rsidRPr="00AC1D64">
        <w:rPr>
          <w:rFonts w:ascii="Arial" w:hAnsi="Arial" w:cs="Arial"/>
        </w:rPr>
        <w:t>Scott</w:t>
      </w:r>
      <w:r>
        <w:rPr>
          <w:rFonts w:ascii="Arial" w:hAnsi="Arial" w:cs="Arial"/>
        </w:rPr>
        <w:t>, 2017)</w:t>
      </w:r>
      <w:r w:rsidRPr="00F972BF">
        <w:rPr>
          <w:rFonts w:ascii="Arial" w:hAnsi="Arial" w:cs="Arial"/>
        </w:rPr>
        <w:t>. Unlike positivism, which seeks universal laws and quantifiable data, interpretivism recognises the complexity and diversity of human behaviour, enabling an in-depth examination of context-specific issues such as mistrust in healthcare systems and culturally rooted misconceptions surrounding dementia (Raj and Renumol, 2022).</w:t>
      </w:r>
    </w:p>
    <w:p w14:paraId="5FB1DD64"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Furthermore, the interpretivist philosophy aligns with the qualitative nature of much of the existing literature in this field, where researchers employ interviews, focus groups, and ethnographic methods to capture personal experiences and cultural narratives</w:t>
      </w:r>
      <w:r>
        <w:rPr>
          <w:rFonts w:ascii="Arial" w:hAnsi="Arial" w:cs="Arial"/>
        </w:rPr>
        <w:t xml:space="preserve"> (</w:t>
      </w:r>
      <w:r w:rsidRPr="00AC1D64">
        <w:rPr>
          <w:rFonts w:ascii="Arial" w:hAnsi="Arial" w:cs="Arial"/>
        </w:rPr>
        <w:t>Scott</w:t>
      </w:r>
      <w:r>
        <w:rPr>
          <w:rFonts w:ascii="Arial" w:hAnsi="Arial" w:cs="Arial"/>
        </w:rPr>
        <w:t>, 2017)</w:t>
      </w:r>
      <w:r w:rsidRPr="00F972BF">
        <w:rPr>
          <w:rFonts w:ascii="Arial" w:hAnsi="Arial" w:cs="Arial"/>
        </w:rPr>
        <w:t xml:space="preserve">. By integrating evidence from both qualitative and quantitative studies, </w:t>
      </w:r>
      <w:r w:rsidRPr="00F972BF">
        <w:rPr>
          <w:rFonts w:ascii="Arial" w:hAnsi="Arial" w:cs="Arial"/>
        </w:rPr>
        <w:lastRenderedPageBreak/>
        <w:t>this review aims to interpret rather than simply measure the realities of healthcare access among South Asian elders. This philosophical orientation enhances the ability to derive culturally relevant insights that reflect the lived experiences of the community, thereby guiding the development of practical, inclusive, and culturally sensitive recommendations for healthcare providers and policymakers (Sekhon et al., 2014). The interpretivist perspective thus underpins this review’s aim to move beyond statistical representation and focus on meaning, understanding, and contextual interpretation of barriers in Alzheimer’s care</w:t>
      </w:r>
      <w:r>
        <w:rPr>
          <w:rFonts w:ascii="Arial" w:hAnsi="Arial" w:cs="Arial"/>
        </w:rPr>
        <w:t xml:space="preserve"> (</w:t>
      </w:r>
      <w:r w:rsidRPr="002C6673">
        <w:rPr>
          <w:rFonts w:ascii="Arial" w:hAnsi="Arial" w:cs="Arial"/>
        </w:rPr>
        <w:t>Acharya</w:t>
      </w:r>
      <w:r>
        <w:rPr>
          <w:rFonts w:ascii="Arial" w:hAnsi="Arial" w:cs="Arial"/>
        </w:rPr>
        <w:t>, 2024)</w:t>
      </w:r>
      <w:r w:rsidRPr="00F972BF">
        <w:rPr>
          <w:rFonts w:ascii="Arial" w:hAnsi="Arial" w:cs="Arial"/>
        </w:rPr>
        <w:t>.</w:t>
      </w:r>
    </w:p>
    <w:p w14:paraId="45872EAD" w14:textId="77777777" w:rsidR="00A240E8" w:rsidRPr="00F972BF" w:rsidRDefault="00A240E8" w:rsidP="001A6776">
      <w:pPr>
        <w:pStyle w:val="Heading1"/>
      </w:pPr>
      <w:bookmarkStart w:id="33" w:name="_Toc220760161"/>
      <w:r w:rsidRPr="00F972BF">
        <w:t>3.3 Research Approach</w:t>
      </w:r>
      <w:bookmarkEnd w:id="33"/>
    </w:p>
    <w:p w14:paraId="6E168B85"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This study adopts a deductive-inductive hybrid approach, combining elements of both to achieve a comprehensive understanding of the research topic</w:t>
      </w:r>
      <w:r>
        <w:rPr>
          <w:rFonts w:ascii="Arial" w:hAnsi="Arial" w:cs="Arial"/>
        </w:rPr>
        <w:t xml:space="preserve"> (</w:t>
      </w:r>
      <w:r w:rsidRPr="006B1EEB">
        <w:rPr>
          <w:rFonts w:ascii="Arial" w:hAnsi="Arial" w:cs="Arial"/>
        </w:rPr>
        <w:t>Sinaga</w:t>
      </w:r>
      <w:r>
        <w:rPr>
          <w:rFonts w:ascii="Arial" w:hAnsi="Arial" w:cs="Arial"/>
        </w:rPr>
        <w:t xml:space="preserve"> et al, 2025)</w:t>
      </w:r>
      <w:r w:rsidRPr="00F972BF">
        <w:rPr>
          <w:rFonts w:ascii="Arial" w:hAnsi="Arial" w:cs="Arial"/>
        </w:rPr>
        <w:t>. The deductive component is based on pre-existing theoretical knowledge and evidence that cultural and informational barriers influence healthcare access among ethnic minorities</w:t>
      </w:r>
      <w:r>
        <w:rPr>
          <w:rFonts w:ascii="Arial" w:hAnsi="Arial" w:cs="Arial"/>
        </w:rPr>
        <w:t xml:space="preserve"> (</w:t>
      </w:r>
      <w:r w:rsidRPr="00CA0279">
        <w:rPr>
          <w:rFonts w:ascii="Arial" w:hAnsi="Arial" w:cs="Arial"/>
        </w:rPr>
        <w:t>Szabó</w:t>
      </w:r>
      <w:r>
        <w:rPr>
          <w:rFonts w:ascii="Arial" w:hAnsi="Arial" w:cs="Arial"/>
        </w:rPr>
        <w:t xml:space="preserve"> et al, 2025)</w:t>
      </w:r>
      <w:r w:rsidRPr="00F972BF">
        <w:rPr>
          <w:rFonts w:ascii="Arial" w:hAnsi="Arial" w:cs="Arial"/>
        </w:rPr>
        <w:t>. These theoretical assumptions guided the initial formulation of search terms, inclusion criteria, and thematic codes for analysis (Hunt et al., 2018). The deductive process ensures the research remains aligned with established frameworks and scholarly discourse on health inequalities and cultural competence in dementia care</w:t>
      </w:r>
      <w:r>
        <w:rPr>
          <w:rFonts w:ascii="Arial" w:hAnsi="Arial" w:cs="Arial"/>
        </w:rPr>
        <w:t xml:space="preserve"> (</w:t>
      </w:r>
      <w:r w:rsidRPr="00CA0279">
        <w:rPr>
          <w:rFonts w:ascii="Arial" w:hAnsi="Arial" w:cs="Arial"/>
        </w:rPr>
        <w:t>Szabó</w:t>
      </w:r>
      <w:r>
        <w:rPr>
          <w:rFonts w:ascii="Arial" w:hAnsi="Arial" w:cs="Arial"/>
        </w:rPr>
        <w:t xml:space="preserve"> et al, 2025)</w:t>
      </w:r>
      <w:r w:rsidRPr="00F972BF">
        <w:rPr>
          <w:rFonts w:ascii="Arial" w:hAnsi="Arial" w:cs="Arial"/>
        </w:rPr>
        <w:t>.</w:t>
      </w:r>
    </w:p>
    <w:p w14:paraId="71F36400"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The inductive component, on the other hand, allows themes to emerge organically from the selected literature without imposing rigid theoretical constraints (Braun and Clarke, 2021). As studies are reviewed, new themes</w:t>
      </w:r>
      <w:r>
        <w:rPr>
          <w:rFonts w:ascii="Arial" w:hAnsi="Arial" w:cs="Arial"/>
        </w:rPr>
        <w:t xml:space="preserve">, </w:t>
      </w:r>
      <w:r w:rsidRPr="00F972BF">
        <w:rPr>
          <w:rFonts w:ascii="Arial" w:hAnsi="Arial" w:cs="Arial"/>
        </w:rPr>
        <w:t xml:space="preserve">such as fear of social </w:t>
      </w:r>
      <w:r>
        <w:rPr>
          <w:rFonts w:ascii="Arial" w:hAnsi="Arial" w:cs="Arial"/>
        </w:rPr>
        <w:t>judgment</w:t>
      </w:r>
      <w:r w:rsidRPr="00F972BF">
        <w:rPr>
          <w:rFonts w:ascii="Arial" w:hAnsi="Arial" w:cs="Arial"/>
        </w:rPr>
        <w:t>, intergenerational differences in awareness, or language-related dependency</w:t>
      </w:r>
      <w:r>
        <w:rPr>
          <w:rFonts w:ascii="Arial" w:hAnsi="Arial" w:cs="Arial"/>
        </w:rPr>
        <w:t xml:space="preserve">, </w:t>
      </w:r>
      <w:r w:rsidRPr="00F972BF">
        <w:rPr>
          <w:rFonts w:ascii="Arial" w:hAnsi="Arial" w:cs="Arial"/>
        </w:rPr>
        <w:t>may arise. Integrating both deductive and inductive reasoning ensures the review remains both theory-informed and evidence-responsive</w:t>
      </w:r>
      <w:r>
        <w:rPr>
          <w:rFonts w:ascii="Arial" w:hAnsi="Arial" w:cs="Arial"/>
        </w:rPr>
        <w:t xml:space="preserve"> (</w:t>
      </w:r>
      <w:r w:rsidRPr="00501919">
        <w:rPr>
          <w:rFonts w:ascii="Arial" w:hAnsi="Arial" w:cs="Arial"/>
        </w:rPr>
        <w:t>Sinaga</w:t>
      </w:r>
      <w:r>
        <w:rPr>
          <w:rFonts w:ascii="Arial" w:hAnsi="Arial" w:cs="Arial"/>
        </w:rPr>
        <w:t xml:space="preserve"> et al, 2025)</w:t>
      </w:r>
      <w:r w:rsidRPr="00F972BF">
        <w:rPr>
          <w:rFonts w:ascii="Arial" w:hAnsi="Arial" w:cs="Arial"/>
        </w:rPr>
        <w:t>. This balanced approach enhances the validity and depth of the findings, allowing the review to not only confirm existing knowledge but also generate novel insights relevant to South Asian populations in the UK. It provides flexibility, ensuring the synthesis captures emerging cultural patterns and evolving healthcare dynamics (Wæraas, 2022).</w:t>
      </w:r>
    </w:p>
    <w:p w14:paraId="2150496A" w14:textId="77777777" w:rsidR="00A240E8" w:rsidRPr="00F972BF" w:rsidRDefault="00A240E8" w:rsidP="001A6776">
      <w:pPr>
        <w:pStyle w:val="Heading1"/>
      </w:pPr>
      <w:bookmarkStart w:id="34" w:name="_Toc220760162"/>
      <w:r w:rsidRPr="00F972BF">
        <w:t>3.4 Study Design</w:t>
      </w:r>
      <w:bookmarkEnd w:id="34"/>
    </w:p>
    <w:p w14:paraId="201D3343"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 xml:space="preserve">This study employs a systematic review design, chosen for its ability to synthesise and evaluate evidence from multiple sources systematically and transparently (Hunt et al., </w:t>
      </w:r>
      <w:r w:rsidRPr="00F972BF">
        <w:rPr>
          <w:rFonts w:ascii="Arial" w:hAnsi="Arial" w:cs="Arial"/>
        </w:rPr>
        <w:lastRenderedPageBreak/>
        <w:t>2018). The systematic review method is particularly suitable for addressing the study’s objectives, as it allows identification of recurring cultural and informational barriers across diverse research contexts. By following the PRISMA framework (Stewart et al., 2015), this review ensures methodological rigour through clearly defined inclusion and exclusion criteria, systematic data extraction, and quality appraisal.</w:t>
      </w:r>
    </w:p>
    <w:p w14:paraId="1B445D52"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The design encompasses qualitative, quantitative, and mixed-method studies to ensure a broad and balanced understanding of the topic. It prioritises studies published within the last ten years to maintain relevance to current healthcare systems and cultural dynamics (Raj and Renumol, 2022). The systematic approach reduces bias by following structured steps: defining the research question, developing search strategies, screening studies, extracting data, and synthesising findings</w:t>
      </w:r>
      <w:r>
        <w:rPr>
          <w:rFonts w:ascii="Arial" w:hAnsi="Arial" w:cs="Arial"/>
        </w:rPr>
        <w:t xml:space="preserve"> (</w:t>
      </w:r>
      <w:r w:rsidRPr="00765D06">
        <w:rPr>
          <w:rFonts w:ascii="Arial" w:hAnsi="Arial" w:cs="Arial"/>
        </w:rPr>
        <w:t>Foo</w:t>
      </w:r>
      <w:r>
        <w:rPr>
          <w:rFonts w:ascii="Arial" w:hAnsi="Arial" w:cs="Arial"/>
        </w:rPr>
        <w:t xml:space="preserve"> et al, 2021)</w:t>
      </w:r>
      <w:r w:rsidRPr="00F972BF">
        <w:rPr>
          <w:rFonts w:ascii="Arial" w:hAnsi="Arial" w:cs="Arial"/>
        </w:rPr>
        <w:t>. This enables the identification of consistent themes such as stigma, cultural misunderstanding, or mistrust of Western medical practices.</w:t>
      </w:r>
    </w:p>
    <w:p w14:paraId="28BCCD4F"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The systematic review design is appropriate because it aggregates fragmented evidence into a coherent synthesis, enhancing understanding of how cultural and informational barriers intersect to shape access to Alzheimer’s care</w:t>
      </w:r>
      <w:r>
        <w:rPr>
          <w:rFonts w:ascii="Arial" w:hAnsi="Arial" w:cs="Arial"/>
        </w:rPr>
        <w:t xml:space="preserve"> (</w:t>
      </w:r>
      <w:r w:rsidRPr="00BF319F">
        <w:rPr>
          <w:rFonts w:ascii="Arial" w:hAnsi="Arial" w:cs="Arial"/>
        </w:rPr>
        <w:t>Lame</w:t>
      </w:r>
      <w:r>
        <w:rPr>
          <w:rFonts w:ascii="Arial" w:hAnsi="Arial" w:cs="Arial"/>
        </w:rPr>
        <w:t>, 2019)</w:t>
      </w:r>
      <w:r w:rsidRPr="00F972BF">
        <w:rPr>
          <w:rFonts w:ascii="Arial" w:hAnsi="Arial" w:cs="Arial"/>
        </w:rPr>
        <w:t>. It also facilitates the evaluation of interventions that have been implemented to improve service accessibility for South Asian elders. By critically analysing existing evidence rather than generating new primary data, the design provides a comprehensive and cost-effective method to inform culturally responsive policy and practice (Mannethodi and Nashwan, 2025).</w:t>
      </w:r>
    </w:p>
    <w:p w14:paraId="6E1D2437" w14:textId="77777777" w:rsidR="00A240E8" w:rsidRPr="00F972BF" w:rsidRDefault="00A240E8" w:rsidP="001A6776">
      <w:pPr>
        <w:pStyle w:val="Heading1"/>
      </w:pPr>
      <w:bookmarkStart w:id="35" w:name="_Toc220760163"/>
      <w:r w:rsidRPr="00F972BF">
        <w:t>3.5 Research Strategy</w:t>
      </w:r>
      <w:bookmarkEnd w:id="35"/>
    </w:p>
    <w:p w14:paraId="6F034DFC"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The research strategy for this study is guided by the PRISMA protocol, ensuring transparency, reproducibility, and systematic progression through all review stages</w:t>
      </w:r>
      <w:r>
        <w:rPr>
          <w:rFonts w:ascii="Arial" w:hAnsi="Arial" w:cs="Arial"/>
        </w:rPr>
        <w:t xml:space="preserve"> (</w:t>
      </w:r>
      <w:r w:rsidRPr="00BF319F">
        <w:rPr>
          <w:rFonts w:ascii="Arial" w:hAnsi="Arial" w:cs="Arial"/>
        </w:rPr>
        <w:t>Lame</w:t>
      </w:r>
      <w:r>
        <w:rPr>
          <w:rFonts w:ascii="Arial" w:hAnsi="Arial" w:cs="Arial"/>
        </w:rPr>
        <w:t>, 2019)</w:t>
      </w:r>
      <w:r w:rsidRPr="00F972BF">
        <w:rPr>
          <w:rFonts w:ascii="Arial" w:hAnsi="Arial" w:cs="Arial"/>
        </w:rPr>
        <w:t xml:space="preserve">. The strategy begins with a structured database search across PubMed, ScienceDirect, and Google Scholar, focusing on peer-reviewed journal articles published in English within the last decade. Boolean operators (AND, OR) will refine search terms such as “Alzheimer’s disease,” “dementia,” “South Asian,” “UK,” “cultural barriers,” “stigma,” and “language barriers” (Raj and Renumol, 2022). Reference lists of included articles will also be reviewed to identify additional relevant studies. This </w:t>
      </w:r>
      <w:r w:rsidRPr="00F972BF">
        <w:rPr>
          <w:rFonts w:ascii="Arial" w:hAnsi="Arial" w:cs="Arial"/>
        </w:rPr>
        <w:lastRenderedPageBreak/>
        <w:t>comprehensive approach ensures the inclusion of diverse sources addressing both cultural and informational barriers to Alzheimer’s care in South Asian populations.</w:t>
      </w:r>
    </w:p>
    <w:p w14:paraId="6CD3AE10" w14:textId="539AC807" w:rsidR="00A240E8" w:rsidRPr="00F972BF" w:rsidRDefault="004A1AE0" w:rsidP="001A6776">
      <w:pPr>
        <w:spacing w:before="240" w:after="0" w:line="360" w:lineRule="auto"/>
        <w:jc w:val="both"/>
        <w:rPr>
          <w:rFonts w:ascii="Arial" w:hAnsi="Arial" w:cs="Arial"/>
        </w:rPr>
      </w:pPr>
      <w:r w:rsidRPr="004A1AE0">
        <w:rPr>
          <w:rFonts w:ascii="Arial" w:hAnsi="Arial" w:cs="Arial"/>
        </w:rPr>
        <w:t xml:space="preserve">To guarantee that only studies that satisfy inclusion requirements are kept, the research method also includes a multi-stage screening procedure, title and abstract screening, and full-text evaluation. For final analysis, ten to twelve excellent research </w:t>
      </w:r>
      <w:r>
        <w:rPr>
          <w:rFonts w:ascii="Arial" w:hAnsi="Arial" w:cs="Arial"/>
        </w:rPr>
        <w:t xml:space="preserve">papers </w:t>
      </w:r>
      <w:r w:rsidRPr="004A1AE0">
        <w:rPr>
          <w:rFonts w:ascii="Arial" w:hAnsi="Arial" w:cs="Arial"/>
        </w:rPr>
        <w:t>will be chosen (Wee and Bannister, 2024). A PRISMA flow diagram will be used to record the number of records that were found, screened, excluded, and ultimately incorporated to guarantee correctness. This tactic guarantees that the review will always be visible, traceable, and methodologically sound.</w:t>
      </w:r>
    </w:p>
    <w:p w14:paraId="0FC97CD9" w14:textId="77777777" w:rsidR="00A240E8" w:rsidRPr="00F972BF" w:rsidRDefault="00A240E8" w:rsidP="001A6776">
      <w:pPr>
        <w:pStyle w:val="Heading1"/>
      </w:pPr>
      <w:bookmarkStart w:id="36" w:name="_Toc220760164"/>
      <w:r w:rsidRPr="00F972BF">
        <w:t>3.6 Method of Data Collection</w:t>
      </w:r>
      <w:bookmarkEnd w:id="36"/>
    </w:p>
    <w:p w14:paraId="3FC74D00"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Data collection will involve retrieving studies from selected electronic databases using structured search terms and Boolean combinations</w:t>
      </w:r>
      <w:r>
        <w:rPr>
          <w:rFonts w:ascii="Arial" w:hAnsi="Arial" w:cs="Arial"/>
        </w:rPr>
        <w:t xml:space="preserve"> (</w:t>
      </w:r>
      <w:r w:rsidRPr="00EC34E2">
        <w:rPr>
          <w:rFonts w:ascii="Arial" w:hAnsi="Arial" w:cs="Arial"/>
        </w:rPr>
        <w:t>Gough</w:t>
      </w:r>
      <w:r>
        <w:rPr>
          <w:rFonts w:ascii="Arial" w:hAnsi="Arial" w:cs="Arial"/>
        </w:rPr>
        <w:t xml:space="preserve"> and </w:t>
      </w:r>
      <w:r w:rsidRPr="00EC34E2">
        <w:rPr>
          <w:rFonts w:ascii="Arial" w:hAnsi="Arial" w:cs="Arial"/>
        </w:rPr>
        <w:t>Richardson</w:t>
      </w:r>
      <w:r>
        <w:rPr>
          <w:rFonts w:ascii="Arial" w:hAnsi="Arial" w:cs="Arial"/>
        </w:rPr>
        <w:t>, 2024)</w:t>
      </w:r>
      <w:r w:rsidRPr="00F972BF">
        <w:rPr>
          <w:rFonts w:ascii="Arial" w:hAnsi="Arial" w:cs="Arial"/>
        </w:rPr>
        <w:t>. Each search result will be imported into a citation management tool to identify and remove duplicates.</w:t>
      </w:r>
      <w:r>
        <w:rPr>
          <w:rFonts w:ascii="Arial" w:hAnsi="Arial" w:cs="Arial"/>
        </w:rPr>
        <w:t xml:space="preserve"> </w:t>
      </w:r>
      <w:r w:rsidRPr="00F972BF">
        <w:rPr>
          <w:rFonts w:ascii="Arial" w:hAnsi="Arial" w:cs="Arial"/>
        </w:rPr>
        <w:t>The inclusion of multiple databases enhances comprehensiveness, ensuring the capture of diverse academic perspectives (Aloui et al., 2021). The search will focus on studies published within the last ten years to ensure contemporary relevance. Secondary searches will involve screening the reference lists of included papers to identify additional studies not captured in the initial database search</w:t>
      </w:r>
      <w:r>
        <w:rPr>
          <w:rFonts w:ascii="Arial" w:hAnsi="Arial" w:cs="Arial"/>
        </w:rPr>
        <w:t xml:space="preserve"> (</w:t>
      </w:r>
      <w:r w:rsidRPr="00EC34E2">
        <w:rPr>
          <w:rFonts w:ascii="Arial" w:hAnsi="Arial" w:cs="Arial"/>
        </w:rPr>
        <w:t>Gough</w:t>
      </w:r>
      <w:r>
        <w:rPr>
          <w:rFonts w:ascii="Arial" w:hAnsi="Arial" w:cs="Arial"/>
        </w:rPr>
        <w:t xml:space="preserve"> and </w:t>
      </w:r>
      <w:r w:rsidRPr="00EC34E2">
        <w:rPr>
          <w:rFonts w:ascii="Arial" w:hAnsi="Arial" w:cs="Arial"/>
        </w:rPr>
        <w:t>Richardson</w:t>
      </w:r>
      <w:r>
        <w:rPr>
          <w:rFonts w:ascii="Arial" w:hAnsi="Arial" w:cs="Arial"/>
        </w:rPr>
        <w:t>, 2024)</w:t>
      </w:r>
      <w:r w:rsidRPr="00F972BF">
        <w:rPr>
          <w:rFonts w:ascii="Arial" w:hAnsi="Arial" w:cs="Arial"/>
        </w:rPr>
        <w:t>.</w:t>
      </w:r>
    </w:p>
    <w:p w14:paraId="78C072FF" w14:textId="6E5DB341" w:rsidR="00A240E8" w:rsidRPr="00F972BF" w:rsidRDefault="00A240E8" w:rsidP="001A6776">
      <w:pPr>
        <w:spacing w:before="240" w:after="0" w:line="360" w:lineRule="auto"/>
        <w:jc w:val="both"/>
        <w:rPr>
          <w:rFonts w:ascii="Arial" w:hAnsi="Arial" w:cs="Arial"/>
        </w:rPr>
      </w:pPr>
      <w:r w:rsidRPr="00F972BF">
        <w:rPr>
          <w:rFonts w:ascii="Arial" w:hAnsi="Arial" w:cs="Arial"/>
        </w:rPr>
        <w:t xml:space="preserve">A structured data extraction </w:t>
      </w:r>
      <w:r>
        <w:rPr>
          <w:rFonts w:ascii="Arial" w:hAnsi="Arial" w:cs="Arial"/>
        </w:rPr>
        <w:t>sheet</w:t>
      </w:r>
      <w:r w:rsidRPr="00F972BF">
        <w:rPr>
          <w:rFonts w:ascii="Arial" w:hAnsi="Arial" w:cs="Arial"/>
        </w:rPr>
        <w:t xml:space="preserve"> will be developed to ensure consistency across included studies. Information extracted will include author(s), publication year, country, participant demographics, research design, key findings, limitations, and identified barriers to Alzheimer’s care. </w:t>
      </w:r>
      <w:r w:rsidR="001E579A" w:rsidRPr="00F972BF">
        <w:rPr>
          <w:rFonts w:ascii="Arial" w:hAnsi="Arial" w:cs="Arial"/>
        </w:rPr>
        <w:t>Attention</w:t>
      </w:r>
      <w:r w:rsidRPr="00F972BF">
        <w:rPr>
          <w:rFonts w:ascii="Arial" w:hAnsi="Arial" w:cs="Arial"/>
        </w:rPr>
        <w:t xml:space="preserve"> will be paid to themes such as cultural stigma, language barriers, mistrust, and awareness gaps (Aloui et al., 2021). All data will be compiled in tabular form to facilitate comparison and analysis. This systematic approach ensures reliability and transparency throughout the data collection process.</w:t>
      </w:r>
    </w:p>
    <w:p w14:paraId="0A0892C2" w14:textId="77777777" w:rsidR="00A240E8" w:rsidRDefault="00A240E8" w:rsidP="001A6776">
      <w:pPr>
        <w:pStyle w:val="Heading1"/>
      </w:pPr>
      <w:bookmarkStart w:id="37" w:name="_Toc220760165"/>
      <w:r w:rsidRPr="00F972BF">
        <w:t>3.7 PICOS Framework</w:t>
      </w:r>
      <w:bookmarkEnd w:id="37"/>
    </w:p>
    <w:p w14:paraId="05F2C22B" w14:textId="77777777" w:rsidR="00A240E8" w:rsidRDefault="00A240E8" w:rsidP="001A6776">
      <w:pPr>
        <w:spacing w:after="0"/>
        <w:rPr>
          <w:lang w:eastAsia="en-GB"/>
        </w:rPr>
      </w:pPr>
    </w:p>
    <w:p w14:paraId="7A46C707" w14:textId="1BB2C62B" w:rsidR="009717BB" w:rsidRDefault="009717BB" w:rsidP="001A6776">
      <w:pPr>
        <w:spacing w:after="0" w:line="360" w:lineRule="auto"/>
        <w:jc w:val="both"/>
        <w:rPr>
          <w:rFonts w:ascii="Arial" w:hAnsi="Arial" w:cs="Arial"/>
          <w:lang w:eastAsia="en-GB"/>
        </w:rPr>
      </w:pPr>
      <w:r w:rsidRPr="009717BB">
        <w:rPr>
          <w:rFonts w:ascii="Arial" w:hAnsi="Arial" w:cs="Arial"/>
          <w:lang w:eastAsia="en-GB"/>
        </w:rPr>
        <w:t xml:space="preserve">The PICOS framework </w:t>
      </w:r>
      <w:r w:rsidR="001E579A">
        <w:rPr>
          <w:rFonts w:ascii="Arial" w:hAnsi="Arial" w:cs="Arial"/>
          <w:lang w:eastAsia="en-GB"/>
        </w:rPr>
        <w:t xml:space="preserve">was </w:t>
      </w:r>
      <w:r w:rsidRPr="009717BB">
        <w:rPr>
          <w:rFonts w:ascii="Arial" w:hAnsi="Arial" w:cs="Arial"/>
          <w:lang w:eastAsia="en-GB"/>
        </w:rPr>
        <w:t>used to guide the selection and analysis of studies included in this review</w:t>
      </w:r>
      <w:r>
        <w:rPr>
          <w:rFonts w:ascii="Arial" w:hAnsi="Arial" w:cs="Arial"/>
          <w:lang w:eastAsia="en-GB"/>
        </w:rPr>
        <w:t xml:space="preserve"> </w:t>
      </w:r>
      <w:r w:rsidRPr="00664696">
        <w:rPr>
          <w:rFonts w:ascii="Arial" w:hAnsi="Arial" w:cs="Arial"/>
        </w:rPr>
        <w:t>(Stewart et al., 2015)</w:t>
      </w:r>
      <w:r w:rsidRPr="009717BB">
        <w:rPr>
          <w:rFonts w:ascii="Arial" w:hAnsi="Arial" w:cs="Arial"/>
          <w:lang w:eastAsia="en-GB"/>
        </w:rPr>
        <w:t xml:space="preserve">. The population focuses on South Asian adults aged 60 years and above living in the UK who are affected by Alzheimer’s </w:t>
      </w:r>
      <w:r w:rsidRPr="009717BB">
        <w:rPr>
          <w:rFonts w:ascii="Arial" w:hAnsi="Arial" w:cs="Arial"/>
          <w:lang w:eastAsia="en-GB"/>
        </w:rPr>
        <w:lastRenderedPageBreak/>
        <w:t>disease or related dementias. The framework emphasises access to Alzheimer’s care services as the intervention, with comparisons drawn across ethnic groups or within South Asian subgroups to better understand variations in barriers</w:t>
      </w:r>
      <w:r>
        <w:rPr>
          <w:rFonts w:ascii="Arial" w:hAnsi="Arial" w:cs="Arial"/>
          <w:lang w:eastAsia="en-GB"/>
        </w:rPr>
        <w:t xml:space="preserve"> </w:t>
      </w:r>
      <w:r w:rsidRPr="00664696">
        <w:rPr>
          <w:rFonts w:ascii="Arial" w:hAnsi="Arial" w:cs="Arial"/>
        </w:rPr>
        <w:t>(Stewart et al., 2015)</w:t>
      </w:r>
      <w:r w:rsidRPr="009717BB">
        <w:rPr>
          <w:rFonts w:ascii="Arial" w:hAnsi="Arial" w:cs="Arial"/>
          <w:lang w:eastAsia="en-GB"/>
        </w:rPr>
        <w:t>. The outcomes centre on identifying cultural and informational barriers and highlighting strategies to improve engagement with services, while the study design includes qualitative, quantitative, and mixed-method research published within the last ten years to ensure relevance and methodological breadth</w:t>
      </w:r>
      <w:r>
        <w:rPr>
          <w:rFonts w:ascii="Arial" w:hAnsi="Arial" w:cs="Arial"/>
          <w:lang w:eastAsia="en-GB"/>
        </w:rPr>
        <w:t xml:space="preserve"> </w:t>
      </w:r>
      <w:r>
        <w:rPr>
          <w:rFonts w:ascii="Arial" w:hAnsi="Arial" w:cs="Arial"/>
        </w:rPr>
        <w:t>(</w:t>
      </w:r>
      <w:r w:rsidRPr="00EC34E2">
        <w:rPr>
          <w:rFonts w:ascii="Arial" w:hAnsi="Arial" w:cs="Arial"/>
        </w:rPr>
        <w:t>Gough</w:t>
      </w:r>
      <w:r>
        <w:rPr>
          <w:rFonts w:ascii="Arial" w:hAnsi="Arial" w:cs="Arial"/>
        </w:rPr>
        <w:t xml:space="preserve"> and </w:t>
      </w:r>
      <w:r w:rsidRPr="00EC34E2">
        <w:rPr>
          <w:rFonts w:ascii="Arial" w:hAnsi="Arial" w:cs="Arial"/>
        </w:rPr>
        <w:t>Richardson</w:t>
      </w:r>
      <w:r>
        <w:rPr>
          <w:rFonts w:ascii="Arial" w:hAnsi="Arial" w:cs="Arial"/>
        </w:rPr>
        <w:t>, 2024)</w:t>
      </w:r>
      <w:r w:rsidRPr="009717BB">
        <w:rPr>
          <w:rFonts w:ascii="Arial" w:hAnsi="Arial" w:cs="Arial"/>
          <w:lang w:eastAsia="en-GB"/>
        </w:rPr>
        <w:t>.</w:t>
      </w:r>
    </w:p>
    <w:p w14:paraId="112B7262" w14:textId="08FFC737" w:rsidR="009717BB" w:rsidRPr="009717BB" w:rsidRDefault="009717BB" w:rsidP="001A6776">
      <w:pPr>
        <w:spacing w:after="0" w:line="360" w:lineRule="auto"/>
        <w:jc w:val="center"/>
        <w:rPr>
          <w:rFonts w:ascii="Arial" w:hAnsi="Arial" w:cs="Arial"/>
          <w:lang w:eastAsia="en-GB"/>
        </w:rPr>
      </w:pPr>
      <w:r>
        <w:rPr>
          <w:rFonts w:ascii="Arial" w:hAnsi="Arial" w:cs="Arial"/>
          <w:lang w:eastAsia="en-GB"/>
        </w:rPr>
        <w:t>Table 3.1: PICOS Framework</w:t>
      </w:r>
    </w:p>
    <w:tbl>
      <w:tblPr>
        <w:tblStyle w:val="TableGrid"/>
        <w:tblW w:w="0" w:type="auto"/>
        <w:tblLook w:val="04A0" w:firstRow="1" w:lastRow="0" w:firstColumn="1" w:lastColumn="0" w:noHBand="0" w:noVBand="1"/>
      </w:tblPr>
      <w:tblGrid>
        <w:gridCol w:w="2122"/>
        <w:gridCol w:w="6894"/>
      </w:tblGrid>
      <w:tr w:rsidR="00A240E8" w:rsidRPr="00F972BF" w14:paraId="1DA4460F" w14:textId="77777777" w:rsidTr="009A6504">
        <w:tc>
          <w:tcPr>
            <w:tcW w:w="2122" w:type="dxa"/>
            <w:hideMark/>
          </w:tcPr>
          <w:p w14:paraId="4D0FAD1C" w14:textId="77777777" w:rsidR="00A240E8" w:rsidRPr="00F972BF" w:rsidRDefault="00A240E8" w:rsidP="001A6776">
            <w:pPr>
              <w:spacing w:before="240" w:line="360" w:lineRule="auto"/>
              <w:jc w:val="both"/>
              <w:rPr>
                <w:rFonts w:ascii="Arial" w:hAnsi="Arial" w:cs="Arial"/>
                <w:b/>
                <w:bCs/>
              </w:rPr>
            </w:pPr>
            <w:r w:rsidRPr="00F972BF">
              <w:rPr>
                <w:rFonts w:ascii="Arial" w:hAnsi="Arial" w:cs="Arial"/>
                <w:b/>
                <w:bCs/>
              </w:rPr>
              <w:t>Element</w:t>
            </w:r>
          </w:p>
        </w:tc>
        <w:tc>
          <w:tcPr>
            <w:tcW w:w="6894" w:type="dxa"/>
            <w:hideMark/>
          </w:tcPr>
          <w:p w14:paraId="6D70DB91" w14:textId="77777777" w:rsidR="00A240E8" w:rsidRPr="00F972BF" w:rsidRDefault="00A240E8" w:rsidP="001A6776">
            <w:pPr>
              <w:spacing w:before="240" w:line="360" w:lineRule="auto"/>
              <w:jc w:val="both"/>
              <w:rPr>
                <w:rFonts w:ascii="Arial" w:hAnsi="Arial" w:cs="Arial"/>
                <w:b/>
                <w:bCs/>
              </w:rPr>
            </w:pPr>
            <w:r w:rsidRPr="00F972BF">
              <w:rPr>
                <w:rFonts w:ascii="Arial" w:hAnsi="Arial" w:cs="Arial"/>
                <w:b/>
                <w:bCs/>
              </w:rPr>
              <w:t>Description</w:t>
            </w:r>
          </w:p>
        </w:tc>
      </w:tr>
      <w:tr w:rsidR="00A240E8" w:rsidRPr="00F972BF" w14:paraId="0C597AA8" w14:textId="77777777" w:rsidTr="009A6504">
        <w:tc>
          <w:tcPr>
            <w:tcW w:w="2122" w:type="dxa"/>
            <w:hideMark/>
          </w:tcPr>
          <w:p w14:paraId="42207502" w14:textId="77777777" w:rsidR="00A240E8" w:rsidRPr="00F972BF" w:rsidRDefault="00A240E8" w:rsidP="001A6776">
            <w:pPr>
              <w:spacing w:before="240" w:line="360" w:lineRule="auto"/>
              <w:jc w:val="both"/>
              <w:rPr>
                <w:rFonts w:ascii="Arial" w:hAnsi="Arial" w:cs="Arial"/>
              </w:rPr>
            </w:pPr>
            <w:r w:rsidRPr="00F972BF">
              <w:rPr>
                <w:rFonts w:ascii="Arial" w:hAnsi="Arial" w:cs="Arial"/>
                <w:b/>
                <w:bCs/>
              </w:rPr>
              <w:t>Population (P)</w:t>
            </w:r>
          </w:p>
        </w:tc>
        <w:tc>
          <w:tcPr>
            <w:tcW w:w="6894" w:type="dxa"/>
            <w:hideMark/>
          </w:tcPr>
          <w:p w14:paraId="7235931C" w14:textId="77777777" w:rsidR="00A240E8" w:rsidRPr="00F972BF" w:rsidRDefault="00A240E8" w:rsidP="001A6776">
            <w:pPr>
              <w:spacing w:before="240" w:line="360" w:lineRule="auto"/>
              <w:jc w:val="both"/>
              <w:rPr>
                <w:rFonts w:ascii="Arial" w:hAnsi="Arial" w:cs="Arial"/>
              </w:rPr>
            </w:pPr>
            <w:r w:rsidRPr="00F972BF">
              <w:rPr>
                <w:rFonts w:ascii="Arial" w:hAnsi="Arial" w:cs="Arial"/>
              </w:rPr>
              <w:t>South Asian older adults aged 60 years and above living in the UK with Alzheimer’s disease or related dementias.</w:t>
            </w:r>
          </w:p>
        </w:tc>
      </w:tr>
      <w:tr w:rsidR="00A240E8" w:rsidRPr="00F972BF" w14:paraId="23EE313C" w14:textId="77777777" w:rsidTr="009A6504">
        <w:tc>
          <w:tcPr>
            <w:tcW w:w="2122" w:type="dxa"/>
            <w:hideMark/>
          </w:tcPr>
          <w:p w14:paraId="5FC33EA5" w14:textId="77777777" w:rsidR="00A240E8" w:rsidRPr="00F972BF" w:rsidRDefault="00A240E8" w:rsidP="001A6776">
            <w:pPr>
              <w:spacing w:before="240" w:line="360" w:lineRule="auto"/>
              <w:jc w:val="both"/>
              <w:rPr>
                <w:rFonts w:ascii="Arial" w:hAnsi="Arial" w:cs="Arial"/>
              </w:rPr>
            </w:pPr>
            <w:r w:rsidRPr="00F972BF">
              <w:rPr>
                <w:rFonts w:ascii="Arial" w:hAnsi="Arial" w:cs="Arial"/>
                <w:b/>
                <w:bCs/>
              </w:rPr>
              <w:t>Intervention (I)</w:t>
            </w:r>
          </w:p>
        </w:tc>
        <w:tc>
          <w:tcPr>
            <w:tcW w:w="6894" w:type="dxa"/>
            <w:hideMark/>
          </w:tcPr>
          <w:p w14:paraId="604721F2" w14:textId="77777777" w:rsidR="00A240E8" w:rsidRPr="00F972BF" w:rsidRDefault="00A240E8" w:rsidP="001A6776">
            <w:pPr>
              <w:spacing w:before="240" w:line="360" w:lineRule="auto"/>
              <w:jc w:val="both"/>
              <w:rPr>
                <w:rFonts w:ascii="Arial" w:hAnsi="Arial" w:cs="Arial"/>
              </w:rPr>
            </w:pPr>
            <w:r w:rsidRPr="00F972BF">
              <w:rPr>
                <w:rFonts w:ascii="Arial" w:hAnsi="Arial" w:cs="Arial"/>
              </w:rPr>
              <w:t>Access to Alzheimer’s care services, including educational and community-based initiatives addressing cultural and informational barriers.</w:t>
            </w:r>
          </w:p>
        </w:tc>
      </w:tr>
      <w:tr w:rsidR="00A240E8" w:rsidRPr="00F972BF" w14:paraId="053B8634" w14:textId="77777777" w:rsidTr="009A6504">
        <w:tc>
          <w:tcPr>
            <w:tcW w:w="2122" w:type="dxa"/>
            <w:hideMark/>
          </w:tcPr>
          <w:p w14:paraId="03E388FE" w14:textId="77777777" w:rsidR="00A240E8" w:rsidRPr="00F972BF" w:rsidRDefault="00A240E8" w:rsidP="001A6776">
            <w:pPr>
              <w:spacing w:before="240" w:line="360" w:lineRule="auto"/>
              <w:jc w:val="both"/>
              <w:rPr>
                <w:rFonts w:ascii="Arial" w:hAnsi="Arial" w:cs="Arial"/>
              </w:rPr>
            </w:pPr>
            <w:r w:rsidRPr="00F972BF">
              <w:rPr>
                <w:rFonts w:ascii="Arial" w:hAnsi="Arial" w:cs="Arial"/>
                <w:b/>
                <w:bCs/>
              </w:rPr>
              <w:t>Comparison (C)</w:t>
            </w:r>
          </w:p>
        </w:tc>
        <w:tc>
          <w:tcPr>
            <w:tcW w:w="6894" w:type="dxa"/>
            <w:hideMark/>
          </w:tcPr>
          <w:p w14:paraId="4B0B229C" w14:textId="77777777" w:rsidR="00A240E8" w:rsidRPr="00F972BF" w:rsidRDefault="00A240E8" w:rsidP="001A6776">
            <w:pPr>
              <w:spacing w:before="240" w:line="360" w:lineRule="auto"/>
              <w:jc w:val="both"/>
              <w:rPr>
                <w:rFonts w:ascii="Arial" w:hAnsi="Arial" w:cs="Arial"/>
              </w:rPr>
            </w:pPr>
            <w:r w:rsidRPr="00F972BF">
              <w:rPr>
                <w:rFonts w:ascii="Arial" w:hAnsi="Arial" w:cs="Arial"/>
              </w:rPr>
              <w:t>Comparative understanding of barriers in relation to other ethnic groups or within South Asian subgroups.</w:t>
            </w:r>
          </w:p>
        </w:tc>
      </w:tr>
      <w:tr w:rsidR="00A240E8" w:rsidRPr="00F972BF" w14:paraId="1266A36F" w14:textId="77777777" w:rsidTr="009A6504">
        <w:tc>
          <w:tcPr>
            <w:tcW w:w="2122" w:type="dxa"/>
            <w:hideMark/>
          </w:tcPr>
          <w:p w14:paraId="57982FF6" w14:textId="77777777" w:rsidR="00A240E8" w:rsidRPr="00F972BF" w:rsidRDefault="00A240E8" w:rsidP="001A6776">
            <w:pPr>
              <w:spacing w:before="240" w:line="360" w:lineRule="auto"/>
              <w:jc w:val="both"/>
              <w:rPr>
                <w:rFonts w:ascii="Arial" w:hAnsi="Arial" w:cs="Arial"/>
              </w:rPr>
            </w:pPr>
            <w:r w:rsidRPr="00F972BF">
              <w:rPr>
                <w:rFonts w:ascii="Arial" w:hAnsi="Arial" w:cs="Arial"/>
                <w:b/>
                <w:bCs/>
              </w:rPr>
              <w:t>Outcome (O)</w:t>
            </w:r>
          </w:p>
        </w:tc>
        <w:tc>
          <w:tcPr>
            <w:tcW w:w="6894" w:type="dxa"/>
            <w:hideMark/>
          </w:tcPr>
          <w:p w14:paraId="0474DD9E" w14:textId="77777777" w:rsidR="00A240E8" w:rsidRPr="00F972BF" w:rsidRDefault="00A240E8" w:rsidP="001A6776">
            <w:pPr>
              <w:spacing w:before="240" w:line="360" w:lineRule="auto"/>
              <w:jc w:val="both"/>
              <w:rPr>
                <w:rFonts w:ascii="Arial" w:hAnsi="Arial" w:cs="Arial"/>
              </w:rPr>
            </w:pPr>
            <w:r w:rsidRPr="00F972BF">
              <w:rPr>
                <w:rFonts w:ascii="Arial" w:hAnsi="Arial" w:cs="Arial"/>
              </w:rPr>
              <w:t>Identification of cultural and informational barriers and strategies to improve service access and engagement.</w:t>
            </w:r>
          </w:p>
        </w:tc>
      </w:tr>
      <w:tr w:rsidR="00A240E8" w:rsidRPr="00F972BF" w14:paraId="4EE29B89" w14:textId="77777777" w:rsidTr="009A6504">
        <w:tc>
          <w:tcPr>
            <w:tcW w:w="2122" w:type="dxa"/>
            <w:hideMark/>
          </w:tcPr>
          <w:p w14:paraId="0698932C" w14:textId="77777777" w:rsidR="00A240E8" w:rsidRPr="00F972BF" w:rsidRDefault="00A240E8" w:rsidP="001A6776">
            <w:pPr>
              <w:spacing w:before="240" w:line="360" w:lineRule="auto"/>
              <w:jc w:val="both"/>
              <w:rPr>
                <w:rFonts w:ascii="Arial" w:hAnsi="Arial" w:cs="Arial"/>
              </w:rPr>
            </w:pPr>
            <w:r w:rsidRPr="00F972BF">
              <w:rPr>
                <w:rFonts w:ascii="Arial" w:hAnsi="Arial" w:cs="Arial"/>
                <w:b/>
                <w:bCs/>
              </w:rPr>
              <w:t>Study Design (S)</w:t>
            </w:r>
          </w:p>
        </w:tc>
        <w:tc>
          <w:tcPr>
            <w:tcW w:w="6894" w:type="dxa"/>
            <w:hideMark/>
          </w:tcPr>
          <w:p w14:paraId="2652BB27" w14:textId="77777777" w:rsidR="00A240E8" w:rsidRPr="00F972BF" w:rsidRDefault="00A240E8" w:rsidP="001A6776">
            <w:pPr>
              <w:spacing w:before="240" w:line="360" w:lineRule="auto"/>
              <w:jc w:val="both"/>
              <w:rPr>
                <w:rFonts w:ascii="Arial" w:hAnsi="Arial" w:cs="Arial"/>
              </w:rPr>
            </w:pPr>
            <w:r w:rsidRPr="00F972BF">
              <w:rPr>
                <w:rFonts w:ascii="Arial" w:hAnsi="Arial" w:cs="Arial"/>
              </w:rPr>
              <w:t>Qualitative, quantitative, and mixed-method studies published in peer-reviewed journals within the last ten years.</w:t>
            </w:r>
          </w:p>
        </w:tc>
      </w:tr>
    </w:tbl>
    <w:p w14:paraId="6675C4D6" w14:textId="77777777" w:rsidR="00A240E8" w:rsidRPr="00F972BF" w:rsidRDefault="00A240E8" w:rsidP="001A6776">
      <w:pPr>
        <w:pStyle w:val="Heading1"/>
      </w:pPr>
      <w:bookmarkStart w:id="38" w:name="_Toc220760166"/>
      <w:r w:rsidRPr="00F972BF">
        <w:t>3.8 Inclusion and Exclusion Criteria</w:t>
      </w:r>
      <w:bookmarkEnd w:id="38"/>
    </w:p>
    <w:p w14:paraId="4F0D3F6D" w14:textId="77777777" w:rsidR="00A240E8" w:rsidRPr="00F972BF" w:rsidRDefault="00A240E8" w:rsidP="001A6776">
      <w:pPr>
        <w:pStyle w:val="Heading2"/>
        <w:spacing w:after="0"/>
      </w:pPr>
      <w:bookmarkStart w:id="39" w:name="_Toc220760167"/>
      <w:r w:rsidRPr="00F972BF">
        <w:rPr>
          <w:rFonts w:eastAsiaTheme="majorEastAsia"/>
        </w:rPr>
        <w:t>3.8.1 Inclusion Criteria</w:t>
      </w:r>
      <w:bookmarkEnd w:id="39"/>
    </w:p>
    <w:p w14:paraId="4A4711D6" w14:textId="77777777" w:rsidR="00A240E8" w:rsidRPr="00F972BF" w:rsidRDefault="00A240E8" w:rsidP="001A6776">
      <w:pPr>
        <w:spacing w:before="240" w:after="0" w:line="360" w:lineRule="auto"/>
        <w:jc w:val="both"/>
        <w:rPr>
          <w:rFonts w:ascii="Arial" w:hAnsi="Arial" w:cs="Arial"/>
        </w:rPr>
      </w:pPr>
      <w:r w:rsidRPr="00BB61B7">
        <w:rPr>
          <w:rFonts w:ascii="Arial" w:hAnsi="Arial" w:cs="Arial"/>
        </w:rPr>
        <w:t>Studies will be included if they examine South Asian adults aged 60 years or older living in the UK who have been diagnosed with Alzheimer’s disease or related dementias. Eligible research must explore cultural or informational barriers that affect access to care, such as stigma, language difficulties, lack of awareness, or mistrust in healthcare systems. Both qualitative and quantitative studies published in English within the last ten years will be considered to ensure relevance and accuracy. Peer-</w:t>
      </w:r>
      <w:r w:rsidRPr="00BB61B7">
        <w:rPr>
          <w:rFonts w:ascii="Arial" w:hAnsi="Arial" w:cs="Arial"/>
        </w:rPr>
        <w:lastRenderedPageBreak/>
        <w:t>reviewed journal articles will be prioritised for credibility. Research that investigates or evaluates interventions, including culturally adapted education, translation assistance, or community awareness initiatives, will also be included, as these studies contribute to understanding strategies that improve access to appropriate Alzheimer’s care</w:t>
      </w:r>
      <w:r w:rsidRPr="006216F4">
        <w:rPr>
          <w:rFonts w:ascii="Arial" w:hAnsi="Arial" w:cs="Arial"/>
        </w:rPr>
        <w:t>.</w:t>
      </w:r>
    </w:p>
    <w:p w14:paraId="23842565" w14:textId="77777777" w:rsidR="00A240E8" w:rsidRPr="00F972BF" w:rsidRDefault="00A240E8" w:rsidP="001A6776">
      <w:pPr>
        <w:pStyle w:val="Heading2"/>
        <w:spacing w:after="0"/>
      </w:pPr>
      <w:bookmarkStart w:id="40" w:name="_Toc220760168"/>
      <w:r w:rsidRPr="00F972BF">
        <w:rPr>
          <w:rFonts w:eastAsiaTheme="majorEastAsia"/>
        </w:rPr>
        <w:t>3.8.2 Exclusion Criteria</w:t>
      </w:r>
      <w:bookmarkEnd w:id="40"/>
    </w:p>
    <w:p w14:paraId="1F9B67B0" w14:textId="77777777" w:rsidR="00A240E8" w:rsidRPr="00F972BF" w:rsidRDefault="00A240E8" w:rsidP="001A6776">
      <w:pPr>
        <w:spacing w:before="240" w:after="0" w:line="360" w:lineRule="auto"/>
        <w:jc w:val="both"/>
        <w:rPr>
          <w:rFonts w:ascii="Arial" w:hAnsi="Arial" w:cs="Arial"/>
        </w:rPr>
      </w:pPr>
      <w:r w:rsidRPr="00BB61B7">
        <w:rPr>
          <w:rFonts w:ascii="Arial" w:hAnsi="Arial" w:cs="Arial"/>
        </w:rPr>
        <w:t>Studies will be excluded if they focus on populations outside the UK, on non-South Asian groups, or on participants below 60 years of age. Research published more than ten years ago or in languages other than English will not be considered. Non-peer-reviewed sources such as opinion pieces, grey literature, or conference abstracts lacking full data will be omitted to ensure methodological quality. Additionally, studies that discuss dementia care without addressing cultural or informational aspects will be excluded. Research limited solely to clinical interventions or biomedical outcomes, without consideration of community, cultural, or educational perspectives, will also be excluded to maintain the study’s focus on social and informational barriers to Alzheimer’s care access</w:t>
      </w:r>
      <w:r w:rsidRPr="00F972BF">
        <w:rPr>
          <w:rFonts w:ascii="Arial" w:hAnsi="Arial" w:cs="Arial"/>
        </w:rPr>
        <w:t>.</w:t>
      </w:r>
    </w:p>
    <w:p w14:paraId="27E5962B" w14:textId="77777777" w:rsidR="00A240E8" w:rsidRPr="00F972BF" w:rsidRDefault="00A240E8" w:rsidP="001A6776">
      <w:pPr>
        <w:pStyle w:val="Heading1"/>
      </w:pPr>
      <w:bookmarkStart w:id="41" w:name="_Toc220760169"/>
      <w:r w:rsidRPr="00F972BF">
        <w:t>3.9 Database Search Procedure</w:t>
      </w:r>
      <w:bookmarkEnd w:id="41"/>
    </w:p>
    <w:p w14:paraId="2DBEB12F" w14:textId="77777777" w:rsidR="00A240E8" w:rsidRPr="00F972BF" w:rsidRDefault="00A240E8" w:rsidP="001A6776">
      <w:pPr>
        <w:spacing w:before="240" w:after="0" w:line="360" w:lineRule="auto"/>
        <w:jc w:val="both"/>
        <w:rPr>
          <w:rFonts w:ascii="Arial" w:hAnsi="Arial" w:cs="Arial"/>
        </w:rPr>
      </w:pPr>
      <w:r w:rsidRPr="00664696">
        <w:rPr>
          <w:rFonts w:ascii="Arial" w:hAnsi="Arial" w:cs="Arial"/>
        </w:rPr>
        <w:t>Database searches will be systematically conducted using predefined keywords combined with Boolean operators (AND, OR) to refine results. The search will focus on peer-reviewed journal articles published in the last ten years to ensure relevance and currency</w:t>
      </w:r>
      <w:r>
        <w:rPr>
          <w:rFonts w:ascii="Arial" w:hAnsi="Arial" w:cs="Arial"/>
        </w:rPr>
        <w:t xml:space="preserve"> (</w:t>
      </w:r>
      <w:r w:rsidRPr="007D005E">
        <w:rPr>
          <w:rFonts w:ascii="Arial" w:hAnsi="Arial" w:cs="Arial"/>
        </w:rPr>
        <w:t>Veginadu</w:t>
      </w:r>
      <w:r>
        <w:rPr>
          <w:rFonts w:ascii="Arial" w:hAnsi="Arial" w:cs="Arial"/>
        </w:rPr>
        <w:t xml:space="preserve"> et al, 2022)</w:t>
      </w:r>
      <w:r w:rsidRPr="00664696">
        <w:rPr>
          <w:rFonts w:ascii="Arial" w:hAnsi="Arial" w:cs="Arial"/>
        </w:rPr>
        <w:t>. Titles and abstracts will first be screened for suitability, followed by a detailed full-text review of eligible studies</w:t>
      </w:r>
      <w:r>
        <w:rPr>
          <w:rFonts w:ascii="Arial" w:hAnsi="Arial" w:cs="Arial"/>
        </w:rPr>
        <w:t xml:space="preserve"> (</w:t>
      </w:r>
      <w:r w:rsidRPr="00EC34E2">
        <w:rPr>
          <w:rFonts w:ascii="Arial" w:hAnsi="Arial" w:cs="Arial"/>
        </w:rPr>
        <w:t>Gough</w:t>
      </w:r>
      <w:r>
        <w:rPr>
          <w:rFonts w:ascii="Arial" w:hAnsi="Arial" w:cs="Arial"/>
        </w:rPr>
        <w:t xml:space="preserve"> and </w:t>
      </w:r>
      <w:r w:rsidRPr="00EC34E2">
        <w:rPr>
          <w:rFonts w:ascii="Arial" w:hAnsi="Arial" w:cs="Arial"/>
        </w:rPr>
        <w:t>Richardson</w:t>
      </w:r>
      <w:r>
        <w:rPr>
          <w:rFonts w:ascii="Arial" w:hAnsi="Arial" w:cs="Arial"/>
        </w:rPr>
        <w:t>, 2024)</w:t>
      </w:r>
      <w:r w:rsidRPr="00664696">
        <w:rPr>
          <w:rFonts w:ascii="Arial" w:hAnsi="Arial" w:cs="Arial"/>
        </w:rPr>
        <w:t>. Reference lists of included articles will also be checked to identify any additional relevant sources. All search activities and decisions will be documented in accordance with PRISMA guidelines, using a flow diagram to illustrate the number of records identified, screened, excluded, and included</w:t>
      </w:r>
      <w:r>
        <w:rPr>
          <w:rFonts w:ascii="Arial" w:hAnsi="Arial" w:cs="Arial"/>
        </w:rPr>
        <w:t xml:space="preserve"> (</w:t>
      </w:r>
      <w:r w:rsidRPr="00492197">
        <w:rPr>
          <w:rFonts w:ascii="Arial" w:hAnsi="Arial" w:cs="Arial"/>
        </w:rPr>
        <w:t>Veginadu</w:t>
      </w:r>
      <w:r>
        <w:rPr>
          <w:rFonts w:ascii="Arial" w:hAnsi="Arial" w:cs="Arial"/>
        </w:rPr>
        <w:t xml:space="preserve"> et al, 2022)</w:t>
      </w:r>
      <w:r w:rsidRPr="00664696">
        <w:rPr>
          <w:rFonts w:ascii="Arial" w:hAnsi="Arial" w:cs="Arial"/>
        </w:rPr>
        <w:t>. This structured process ensures methodological transparency, replicability, and adherence to best practices for systematic reviews (Stewart et al., 2015).</w:t>
      </w:r>
    </w:p>
    <w:p w14:paraId="07A02F72" w14:textId="77777777" w:rsidR="00A240E8" w:rsidRPr="00F972BF" w:rsidRDefault="00A240E8" w:rsidP="001A6776">
      <w:pPr>
        <w:pStyle w:val="Heading1"/>
      </w:pPr>
      <w:bookmarkStart w:id="42" w:name="_Toc220760170"/>
      <w:r w:rsidRPr="00F972BF">
        <w:t>3.10 Ethical Considerations</w:t>
      </w:r>
      <w:bookmarkEnd w:id="42"/>
    </w:p>
    <w:p w14:paraId="2748D3F3" w14:textId="77777777" w:rsidR="00A240E8" w:rsidRPr="003C2527" w:rsidRDefault="00A240E8" w:rsidP="001A6776">
      <w:pPr>
        <w:spacing w:before="240" w:after="0" w:line="360" w:lineRule="auto"/>
        <w:jc w:val="both"/>
        <w:rPr>
          <w:rFonts w:ascii="Arial" w:hAnsi="Arial" w:cs="Arial"/>
        </w:rPr>
      </w:pPr>
      <w:r w:rsidRPr="003C2527">
        <w:rPr>
          <w:rFonts w:ascii="Arial" w:hAnsi="Arial" w:cs="Arial"/>
        </w:rPr>
        <w:t xml:space="preserve">As this study constitutes secondary research based solely on previously published data, formal ethical approval </w:t>
      </w:r>
      <w:r>
        <w:rPr>
          <w:rFonts w:ascii="Arial" w:hAnsi="Arial" w:cs="Arial"/>
        </w:rPr>
        <w:t>was</w:t>
      </w:r>
      <w:r w:rsidRPr="003C2527">
        <w:rPr>
          <w:rFonts w:ascii="Arial" w:hAnsi="Arial" w:cs="Arial"/>
        </w:rPr>
        <w:t xml:space="preserve"> </w:t>
      </w:r>
      <w:r>
        <w:rPr>
          <w:rFonts w:ascii="Arial" w:hAnsi="Arial" w:cs="Arial"/>
        </w:rPr>
        <w:t>obtained from the university</w:t>
      </w:r>
      <w:r w:rsidRPr="003C2527">
        <w:rPr>
          <w:rFonts w:ascii="Arial" w:hAnsi="Arial" w:cs="Arial"/>
        </w:rPr>
        <w:t xml:space="preserve">. Nonetheless, adherence to ethical principles of academic integrity, transparency, and responsible </w:t>
      </w:r>
      <w:r w:rsidRPr="003C2527">
        <w:rPr>
          <w:rFonts w:ascii="Arial" w:hAnsi="Arial" w:cs="Arial"/>
        </w:rPr>
        <w:lastRenderedPageBreak/>
        <w:t>scholarship will be strictly maintained throughout the research process (Hasan, 2021). Only peer-reviewed studies that have been approved by relevant institutional ethics committees will be included to ensure that all original research participants were treated ethically, with informed consent, voluntary participation, and confidentiality safeguarded (Jol and Stommel, 2016). Furthermore, the research will ensure impartiality and fairness in data selection and synthesis by adhering to rigorous and transparent procedures outlined in the PRISMA framework. This commitment ensures that ethical accountability is embedded within every stage of the review process</w:t>
      </w:r>
      <w:r>
        <w:rPr>
          <w:rFonts w:ascii="Arial" w:hAnsi="Arial" w:cs="Arial"/>
        </w:rPr>
        <w:t xml:space="preserve"> </w:t>
      </w:r>
      <w:r w:rsidRPr="003C2527">
        <w:rPr>
          <w:rFonts w:ascii="Arial" w:hAnsi="Arial" w:cs="Arial"/>
        </w:rPr>
        <w:t>(Mathers et al., 2018).</w:t>
      </w:r>
    </w:p>
    <w:p w14:paraId="2FF7D936" w14:textId="77777777" w:rsidR="00A240E8" w:rsidRPr="00F972BF" w:rsidRDefault="00A240E8" w:rsidP="001A6776">
      <w:pPr>
        <w:spacing w:before="240" w:after="0" w:line="360" w:lineRule="auto"/>
        <w:jc w:val="both"/>
        <w:rPr>
          <w:rFonts w:ascii="Arial" w:hAnsi="Arial" w:cs="Arial"/>
        </w:rPr>
      </w:pPr>
      <w:r w:rsidRPr="003C2527">
        <w:rPr>
          <w:rFonts w:ascii="Arial" w:hAnsi="Arial" w:cs="Arial"/>
        </w:rPr>
        <w:t>To uphold ethical rigour, findings will be reported accurately and objectively, avoiding misinterpretation or selective representation of evidence (Mathers et al., 2018). All sources will be properly cited and referenced to prevent plagiarism and intellectual dishonesty, maintaining the academic integrity of the study</w:t>
      </w:r>
      <w:r>
        <w:rPr>
          <w:rFonts w:ascii="Arial" w:hAnsi="Arial" w:cs="Arial"/>
        </w:rPr>
        <w:t xml:space="preserve"> </w:t>
      </w:r>
      <w:r w:rsidRPr="003C2527">
        <w:rPr>
          <w:rFonts w:ascii="Arial" w:hAnsi="Arial" w:cs="Arial"/>
        </w:rPr>
        <w:t>(Jol and Stommel, 2016). Any limitations</w:t>
      </w:r>
      <w:r>
        <w:rPr>
          <w:rFonts w:ascii="Arial" w:hAnsi="Arial" w:cs="Arial"/>
        </w:rPr>
        <w:t xml:space="preserve">, </w:t>
      </w:r>
      <w:r w:rsidRPr="003C2527">
        <w:rPr>
          <w:rFonts w:ascii="Arial" w:hAnsi="Arial" w:cs="Arial"/>
        </w:rPr>
        <w:t>such as the exclusion of non-English studies, grey literature, or older publications</w:t>
      </w:r>
      <w:r>
        <w:rPr>
          <w:rFonts w:ascii="Arial" w:hAnsi="Arial" w:cs="Arial"/>
        </w:rPr>
        <w:t xml:space="preserve">, </w:t>
      </w:r>
      <w:r w:rsidRPr="003C2527">
        <w:rPr>
          <w:rFonts w:ascii="Arial" w:hAnsi="Arial" w:cs="Arial"/>
        </w:rPr>
        <w:t>will be clearly acknowledged to promote transparency and allow readers to assess potential bias (Hasan, 2021). The data extraction and synthesis will be conducted systematically to minimise subjectivity, ensuring that interpretations are grounded in empirical evidence. By maintaining honesty, precision, and openness in reporting, this study reinforces the ethical principles of fairness, respect for original authorship, and responsible use of secondary data (Jol and Stommel, 2016).</w:t>
      </w:r>
    </w:p>
    <w:p w14:paraId="5254AE7A" w14:textId="77777777" w:rsidR="00A240E8" w:rsidRPr="00F972BF" w:rsidRDefault="00A240E8" w:rsidP="001A6776">
      <w:pPr>
        <w:pStyle w:val="Heading1"/>
      </w:pPr>
      <w:bookmarkStart w:id="43" w:name="_Toc220760171"/>
      <w:r w:rsidRPr="00F972BF">
        <w:t>3.11 Data Analysis and Critical Appraisal</w:t>
      </w:r>
      <w:bookmarkEnd w:id="43"/>
    </w:p>
    <w:p w14:paraId="15B67190"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 xml:space="preserve">Data extracted from the selected studies will be synthesised using thematic analysis, a method suitable for integrating diverse research designs and identifying recurring patterns (Braun and Clarke, 2021). The six-phase framework proposed by Braun and Clarke (2021) will guide the analysis: (1) familiarisation with the data through repeated reading, (2) generating initial codes, (3) searching for potential themes, (4) reviewing themes, (5) defining and naming themes, and (6) producing the final synthesis. Codes such as </w:t>
      </w:r>
      <w:r w:rsidRPr="00F972BF">
        <w:rPr>
          <w:rFonts w:ascii="Arial" w:hAnsi="Arial" w:cs="Arial"/>
          <w:i/>
          <w:iCs/>
        </w:rPr>
        <w:t>stigma</w:t>
      </w:r>
      <w:r w:rsidRPr="00F972BF">
        <w:rPr>
          <w:rFonts w:ascii="Arial" w:hAnsi="Arial" w:cs="Arial"/>
        </w:rPr>
        <w:t xml:space="preserve">, </w:t>
      </w:r>
      <w:r w:rsidRPr="00F972BF">
        <w:rPr>
          <w:rFonts w:ascii="Arial" w:hAnsi="Arial" w:cs="Arial"/>
          <w:i/>
          <w:iCs/>
        </w:rPr>
        <w:t>language barriers</w:t>
      </w:r>
      <w:r w:rsidRPr="00F972BF">
        <w:rPr>
          <w:rFonts w:ascii="Arial" w:hAnsi="Arial" w:cs="Arial"/>
        </w:rPr>
        <w:t xml:space="preserve">, </w:t>
      </w:r>
      <w:r w:rsidRPr="00F972BF">
        <w:rPr>
          <w:rFonts w:ascii="Arial" w:hAnsi="Arial" w:cs="Arial"/>
          <w:i/>
          <w:iCs/>
        </w:rPr>
        <w:t>cultural perceptions</w:t>
      </w:r>
      <w:r w:rsidRPr="00F972BF">
        <w:rPr>
          <w:rFonts w:ascii="Arial" w:hAnsi="Arial" w:cs="Arial"/>
        </w:rPr>
        <w:t xml:space="preserve">, and </w:t>
      </w:r>
      <w:r w:rsidRPr="00F972BF">
        <w:rPr>
          <w:rFonts w:ascii="Arial" w:hAnsi="Arial" w:cs="Arial"/>
          <w:i/>
          <w:iCs/>
        </w:rPr>
        <w:t>trust issues</w:t>
      </w:r>
      <w:r w:rsidRPr="00F972BF">
        <w:rPr>
          <w:rFonts w:ascii="Arial" w:hAnsi="Arial" w:cs="Arial"/>
        </w:rPr>
        <w:t xml:space="preserve"> will be developed and refined throughout this process (Ayre and McCaffery, 2022).</w:t>
      </w:r>
    </w:p>
    <w:p w14:paraId="132F62BA"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 xml:space="preserve">The identified themes will then be grouped into broader categories, such as “Perceived Normalisation of Symptoms,” “Fear of Social Judgment,” and “Communication and </w:t>
      </w:r>
      <w:r w:rsidRPr="00F972BF">
        <w:rPr>
          <w:rFonts w:ascii="Arial" w:hAnsi="Arial" w:cs="Arial"/>
        </w:rPr>
        <w:lastRenderedPageBreak/>
        <w:t>Trust Barriers” (Wæraas, 2022). Subthemes will be created where necessary, capturing nuances such as generational awareness differences or variations across South Asian subgroups. This dual-level thematic structure allows both descriptive and interpretive insights, linking cultural dynamics with healthcare accessibility</w:t>
      </w:r>
      <w:r>
        <w:rPr>
          <w:rFonts w:ascii="Arial" w:hAnsi="Arial" w:cs="Arial"/>
        </w:rPr>
        <w:t xml:space="preserve"> (</w:t>
      </w:r>
      <w:r w:rsidRPr="004649E6">
        <w:rPr>
          <w:rFonts w:ascii="Arial" w:hAnsi="Arial" w:cs="Arial"/>
        </w:rPr>
        <w:t>Brignardello-Petersen</w:t>
      </w:r>
      <w:r>
        <w:rPr>
          <w:rFonts w:ascii="Arial" w:hAnsi="Arial" w:cs="Arial"/>
        </w:rPr>
        <w:t xml:space="preserve"> et al, 2025)</w:t>
      </w:r>
      <w:r w:rsidRPr="00F972BF">
        <w:rPr>
          <w:rFonts w:ascii="Arial" w:hAnsi="Arial" w:cs="Arial"/>
        </w:rPr>
        <w:t>.</w:t>
      </w:r>
    </w:p>
    <w:p w14:paraId="76F820B9" w14:textId="77777777" w:rsidR="004A1AE0" w:rsidRPr="004A1AE0" w:rsidRDefault="004A1AE0" w:rsidP="004A1AE0">
      <w:pPr>
        <w:spacing w:before="240" w:after="0" w:line="360" w:lineRule="auto"/>
        <w:jc w:val="both"/>
        <w:rPr>
          <w:rFonts w:ascii="Arial" w:hAnsi="Arial" w:cs="Arial"/>
        </w:rPr>
      </w:pPr>
      <w:r w:rsidRPr="004A1AE0">
        <w:rPr>
          <w:rFonts w:ascii="Arial" w:hAnsi="Arial" w:cs="Arial"/>
        </w:rPr>
        <w:t>The Critical Appraisal Skills Programme (CASP) tool will be used to critically evaluate each included study (Smith et al., 2025). The validity of the results, the appropriateness of the technique, the clarity of the study goals, and the ethical behaviour will all be evaluated using the CASP checklist. Results from lower-quality studies will be evaluated cautiously, whereas higher-quality studies will be given more weight in synthesis (Mannethodi and Nashwan, 2025). Using CASP improves the dependability of conclusions and guarantees methodological transparency.</w:t>
      </w:r>
    </w:p>
    <w:p w14:paraId="2B763124" w14:textId="77777777" w:rsidR="00A240E8" w:rsidRPr="00F972BF" w:rsidRDefault="00A240E8" w:rsidP="001A6776">
      <w:pPr>
        <w:spacing w:before="240" w:after="0" w:line="360" w:lineRule="auto"/>
        <w:jc w:val="both"/>
        <w:rPr>
          <w:rFonts w:ascii="Arial" w:hAnsi="Arial" w:cs="Arial"/>
        </w:rPr>
      </w:pPr>
      <w:r w:rsidRPr="00F972BF">
        <w:rPr>
          <w:rFonts w:ascii="Arial" w:hAnsi="Arial" w:cs="Arial"/>
        </w:rPr>
        <w:t>The final synthesis will integrate findings across studies to construct a comprehensive understanding of cultural and informational barriers. Relationships between identified themes will be analysed to highlight how stigma, language, and mistrust interact to influence access</w:t>
      </w:r>
      <w:r>
        <w:rPr>
          <w:rFonts w:ascii="Arial" w:hAnsi="Arial" w:cs="Arial"/>
        </w:rPr>
        <w:t xml:space="preserve"> (</w:t>
      </w:r>
      <w:r w:rsidRPr="00683F00">
        <w:rPr>
          <w:rFonts w:ascii="Arial" w:hAnsi="Arial" w:cs="Arial"/>
        </w:rPr>
        <w:t>Kushnir</w:t>
      </w:r>
      <w:r>
        <w:rPr>
          <w:rFonts w:ascii="Arial" w:hAnsi="Arial" w:cs="Arial"/>
        </w:rPr>
        <w:t>, 2025)</w:t>
      </w:r>
      <w:r w:rsidRPr="00F972BF">
        <w:rPr>
          <w:rFonts w:ascii="Arial" w:hAnsi="Arial" w:cs="Arial"/>
        </w:rPr>
        <w:t>. This systematic, interpretive synthesis will produce evidence-based insights to inform culturally competent policy and community-level interventions in dementia care for South Asian older adults in the UK</w:t>
      </w:r>
      <w:r>
        <w:rPr>
          <w:rFonts w:ascii="Arial" w:hAnsi="Arial" w:cs="Arial"/>
        </w:rPr>
        <w:t xml:space="preserve"> </w:t>
      </w:r>
      <w:r w:rsidRPr="00F972BF">
        <w:rPr>
          <w:rFonts w:ascii="Arial" w:hAnsi="Arial" w:cs="Arial"/>
        </w:rPr>
        <w:t>(Wæraas, 2022).</w:t>
      </w:r>
    </w:p>
    <w:p w14:paraId="7047F942" w14:textId="77777777" w:rsidR="00A240E8" w:rsidRPr="00F972BF" w:rsidRDefault="00A240E8" w:rsidP="001A6776">
      <w:pPr>
        <w:pStyle w:val="Heading1"/>
      </w:pPr>
      <w:bookmarkStart w:id="44" w:name="_Toc220760172"/>
      <w:r w:rsidRPr="00F972BF">
        <w:t>3.12 Summary</w:t>
      </w:r>
      <w:bookmarkEnd w:id="44"/>
    </w:p>
    <w:p w14:paraId="35EF020F" w14:textId="653D9E99" w:rsidR="001A6776" w:rsidRDefault="00A240E8" w:rsidP="001E579A">
      <w:pPr>
        <w:spacing w:before="240" w:after="0" w:line="360" w:lineRule="auto"/>
        <w:jc w:val="both"/>
        <w:rPr>
          <w:rFonts w:ascii="Arial" w:hAnsi="Arial" w:cs="Arial"/>
        </w:rPr>
      </w:pPr>
      <w:r w:rsidRPr="00F972BF">
        <w:rPr>
          <w:rFonts w:ascii="Arial" w:hAnsi="Arial" w:cs="Arial"/>
        </w:rPr>
        <w:t>In summary, this chapter has detailed the methodological framework used to conduct the systematic review. Grounded in an interpretivist philosophy and a hybrid deductive–inductive approach, the study follows PRISMA guidelines to ensure rigour and transparency. The systematic review design, structured search strategy, and thematic analysis enable the comprehensive identification and synthesis of cultural and informational barriers to Alzheimer’s care among South Asian older adults in the UK. Ethical standards, including integrity, transparency, and responsible scholarship, are maintained throughout the process. The following chapter will present the results derived from the reviewed studies.</w:t>
      </w:r>
    </w:p>
    <w:p w14:paraId="2F0A7975" w14:textId="77777777" w:rsidR="004A1AE0" w:rsidRDefault="004A1AE0" w:rsidP="001E579A">
      <w:pPr>
        <w:spacing w:before="240" w:after="0" w:line="360" w:lineRule="auto"/>
        <w:jc w:val="both"/>
        <w:rPr>
          <w:rFonts w:ascii="Arial" w:hAnsi="Arial" w:cs="Arial"/>
        </w:rPr>
      </w:pPr>
    </w:p>
    <w:p w14:paraId="5F1D2150" w14:textId="77777777" w:rsidR="00993304" w:rsidRDefault="00993304" w:rsidP="001A6776">
      <w:pPr>
        <w:pStyle w:val="Heading1"/>
        <w:spacing w:before="0"/>
      </w:pPr>
      <w:bookmarkStart w:id="45" w:name="_Toc220760173"/>
      <w:r w:rsidRPr="00BA0BD1">
        <w:lastRenderedPageBreak/>
        <w:t>Chapter 4: Results</w:t>
      </w:r>
      <w:bookmarkEnd w:id="45"/>
    </w:p>
    <w:p w14:paraId="7B93EA4D" w14:textId="77777777" w:rsidR="00993304" w:rsidRPr="00BA0BD1" w:rsidRDefault="00993304" w:rsidP="001A6776">
      <w:pPr>
        <w:pStyle w:val="Heading1"/>
        <w:spacing w:before="0"/>
      </w:pPr>
      <w:bookmarkStart w:id="46" w:name="_Toc220760174"/>
      <w:r>
        <w:t xml:space="preserve">4.1 </w:t>
      </w:r>
      <w:r w:rsidRPr="00BA0BD1">
        <w:t>Introduction</w:t>
      </w:r>
      <w:bookmarkEnd w:id="46"/>
    </w:p>
    <w:p w14:paraId="74908FEB" w14:textId="77777777" w:rsidR="00993304" w:rsidRPr="00BA0BD1" w:rsidRDefault="00993304" w:rsidP="001A6776">
      <w:pPr>
        <w:spacing w:after="0" w:line="360" w:lineRule="auto"/>
        <w:jc w:val="both"/>
        <w:rPr>
          <w:rFonts w:ascii="Arial" w:hAnsi="Arial" w:cs="Arial"/>
        </w:rPr>
      </w:pPr>
      <w:r w:rsidRPr="00BA0BD1">
        <w:rPr>
          <w:rFonts w:ascii="Arial" w:hAnsi="Arial" w:cs="Arial"/>
        </w:rPr>
        <w:t>Chapter 4 presents the results of the systematic review examining barriers to accessing Alzheimer’s care among South Asian older adults (aged 60 and above) living in the UK. This chapter synthesises findings from the selected studies to address the research question and objectives, with a specific focus on cultural, informational, linguistic, and systemic barriers influencing access to care. The results are organised to highlight key themes emerging from the literature, including cultural beliefs and stigma surrounding dementia, levels of awareness and understanding of Alzheimer’s disease and available services, language and communication challenges, and trust in healthcare systems. In addition, this chapter outlines strategies identified within the literature that have shown potential in mitigating these barriers, such as culturally sensitive interventions, community-based approaches, and targeted educational initiatives.</w:t>
      </w:r>
    </w:p>
    <w:p w14:paraId="68EE25A0" w14:textId="77777777" w:rsidR="00993304" w:rsidRPr="00BA0BD1" w:rsidRDefault="00993304" w:rsidP="001A6776">
      <w:pPr>
        <w:pStyle w:val="Heading1"/>
      </w:pPr>
      <w:bookmarkStart w:id="47" w:name="_Toc220760175"/>
      <w:r>
        <w:t xml:space="preserve">4.2 </w:t>
      </w:r>
      <w:r w:rsidRPr="00BA0BD1">
        <w:t>PRISMA Flow Diagram</w:t>
      </w:r>
      <w:bookmarkEnd w:id="47"/>
    </w:p>
    <w:p w14:paraId="132663B0" w14:textId="0CB4ABE5" w:rsidR="00993304" w:rsidRDefault="00447C34" w:rsidP="001A6776">
      <w:pPr>
        <w:spacing w:after="0" w:line="360" w:lineRule="auto"/>
        <w:jc w:val="both"/>
        <w:rPr>
          <w:rFonts w:ascii="Arial" w:hAnsi="Arial" w:cs="Arial"/>
        </w:rPr>
      </w:pPr>
      <w:r w:rsidRPr="00447C34">
        <w:rPr>
          <w:rFonts w:ascii="Arial" w:hAnsi="Arial" w:cs="Arial"/>
        </w:rPr>
        <w:t>To maintain openness and methodological rigour, the research selection procedure adhered to the Preferred Reporting Items for Systematic Reviews and Meta-Analyses (PRISMA) criteria (Vu-Ngoc et al, 2018). Numerous entries were found in an initial thorough search of electronic databases. Titles and abstracts were assessed against the predetermined inclusion and exclusion criteria after duplicates were eliminated (Dickson and Yeung, 2022). At this point, studies that did not concentrate on Alzheimer's or dementia care, South Asian populations, older persons, or the UK environment were disqualified. A final set of papers was added in the review once the eligibility of the remaining full-text publications was evaluated (Dickson and Yeung, 2022).</w:t>
      </w:r>
      <w:r>
        <w:rPr>
          <w:rFonts w:ascii="Arial" w:hAnsi="Arial" w:cs="Arial"/>
        </w:rPr>
        <w:t xml:space="preserve"> </w:t>
      </w:r>
      <w:r w:rsidR="00993304" w:rsidRPr="00BA0BD1">
        <w:rPr>
          <w:rFonts w:ascii="Arial" w:hAnsi="Arial" w:cs="Arial"/>
        </w:rPr>
        <w:t>The PRISMA flow diagram</w:t>
      </w:r>
      <w:r w:rsidR="006E73EB">
        <w:rPr>
          <w:rFonts w:ascii="Arial" w:hAnsi="Arial" w:cs="Arial"/>
        </w:rPr>
        <w:t xml:space="preserve"> (see Figure 4.1</w:t>
      </w:r>
      <w:r w:rsidR="00053746">
        <w:rPr>
          <w:rFonts w:ascii="Arial" w:hAnsi="Arial" w:cs="Arial"/>
        </w:rPr>
        <w:t xml:space="preserve"> below</w:t>
      </w:r>
      <w:r w:rsidR="006E73EB">
        <w:rPr>
          <w:rFonts w:ascii="Arial" w:hAnsi="Arial" w:cs="Arial"/>
        </w:rPr>
        <w:t>)</w:t>
      </w:r>
      <w:r w:rsidR="00993304" w:rsidRPr="00BA0BD1">
        <w:rPr>
          <w:rFonts w:ascii="Arial" w:hAnsi="Arial" w:cs="Arial"/>
        </w:rPr>
        <w:t xml:space="preserve"> summarises this selection process, detailing the number of records identified, screened, excluded, and ultimately included in the synthesis</w:t>
      </w:r>
      <w:r w:rsidR="00993304">
        <w:rPr>
          <w:rFonts w:ascii="Arial" w:hAnsi="Arial" w:cs="Arial"/>
        </w:rPr>
        <w:t xml:space="preserve"> (</w:t>
      </w:r>
      <w:r w:rsidR="00993304" w:rsidRPr="00D93C86">
        <w:rPr>
          <w:rFonts w:ascii="Arial" w:hAnsi="Arial" w:cs="Arial"/>
        </w:rPr>
        <w:t>Vu-Ngoc</w:t>
      </w:r>
      <w:r w:rsidR="00993304">
        <w:rPr>
          <w:rFonts w:ascii="Arial" w:hAnsi="Arial" w:cs="Arial"/>
        </w:rPr>
        <w:t xml:space="preserve"> et al, 2018)</w:t>
      </w:r>
      <w:r w:rsidR="00993304" w:rsidRPr="00BA0BD1">
        <w:rPr>
          <w:rFonts w:ascii="Arial" w:hAnsi="Arial" w:cs="Arial"/>
        </w:rPr>
        <w:t>.</w:t>
      </w:r>
    </w:p>
    <w:p w14:paraId="27E67C04" w14:textId="77777777" w:rsidR="001A6776" w:rsidRDefault="001A6776" w:rsidP="001A6776">
      <w:pPr>
        <w:spacing w:after="0" w:line="360" w:lineRule="auto"/>
        <w:jc w:val="both"/>
        <w:rPr>
          <w:rFonts w:ascii="Arial" w:hAnsi="Arial" w:cs="Arial"/>
        </w:rPr>
      </w:pPr>
    </w:p>
    <w:p w14:paraId="6A0CD16A" w14:textId="77777777" w:rsidR="001A6776" w:rsidRDefault="001A6776" w:rsidP="001A6776">
      <w:pPr>
        <w:spacing w:after="0" w:line="360" w:lineRule="auto"/>
        <w:jc w:val="both"/>
        <w:rPr>
          <w:rFonts w:ascii="Arial" w:hAnsi="Arial" w:cs="Arial"/>
        </w:rPr>
      </w:pPr>
    </w:p>
    <w:p w14:paraId="66057C81" w14:textId="77777777" w:rsidR="001A6776" w:rsidRDefault="001A6776" w:rsidP="001A6776">
      <w:pPr>
        <w:spacing w:after="0" w:line="360" w:lineRule="auto"/>
        <w:jc w:val="both"/>
        <w:rPr>
          <w:rFonts w:ascii="Arial" w:hAnsi="Arial" w:cs="Arial"/>
        </w:rPr>
      </w:pPr>
    </w:p>
    <w:p w14:paraId="6B948E60" w14:textId="77777777" w:rsidR="001A6776" w:rsidRDefault="001A6776" w:rsidP="001A6776">
      <w:pPr>
        <w:spacing w:after="0" w:line="360" w:lineRule="auto"/>
        <w:jc w:val="both"/>
        <w:rPr>
          <w:rFonts w:ascii="Arial" w:hAnsi="Arial" w:cs="Arial"/>
        </w:rPr>
      </w:pPr>
    </w:p>
    <w:p w14:paraId="16A4FA43" w14:textId="77777777" w:rsidR="001A6776" w:rsidRDefault="001A6776" w:rsidP="001A6776">
      <w:pPr>
        <w:spacing w:after="0" w:line="360" w:lineRule="auto"/>
        <w:jc w:val="both"/>
        <w:rPr>
          <w:rFonts w:ascii="Arial" w:hAnsi="Arial" w:cs="Arial"/>
        </w:rPr>
      </w:pPr>
    </w:p>
    <w:p w14:paraId="084AEAA4" w14:textId="77777777" w:rsidR="00993304" w:rsidRDefault="00993304" w:rsidP="001A6776">
      <w:pPr>
        <w:spacing w:after="0" w:line="360" w:lineRule="auto"/>
        <w:jc w:val="both"/>
        <w:rPr>
          <w:rFonts w:ascii="Arial" w:hAnsi="Arial" w:cs="Arial"/>
        </w:rPr>
      </w:pPr>
    </w:p>
    <w:p w14:paraId="3D185950" w14:textId="0EA3B7E3" w:rsidR="00993304" w:rsidRPr="005153E5" w:rsidRDefault="005153E5" w:rsidP="001A6776">
      <w:pPr>
        <w:spacing w:before="240" w:after="0"/>
        <w:jc w:val="center"/>
        <w:rPr>
          <w:rFonts w:ascii="Arial" w:hAnsi="Arial" w:cs="Arial"/>
        </w:rPr>
      </w:pPr>
      <w:bookmarkStart w:id="48" w:name="_Hlk194899229"/>
      <w:r w:rsidRPr="005153E5">
        <w:rPr>
          <w:rFonts w:ascii="Arial" w:hAnsi="Arial" w:cs="Arial"/>
        </w:rPr>
        <w:lastRenderedPageBreak/>
        <w:t>Figure 4.1</w:t>
      </w:r>
      <w:r w:rsidR="00993304" w:rsidRPr="005153E5">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423B835B" wp14:editId="002B1267">
                <wp:simplePos x="0" y="0"/>
                <wp:positionH relativeFrom="column">
                  <wp:posOffset>22860</wp:posOffset>
                </wp:positionH>
                <wp:positionV relativeFrom="paragraph">
                  <wp:posOffset>231775</wp:posOffset>
                </wp:positionV>
                <wp:extent cx="366395" cy="1021080"/>
                <wp:effectExtent l="0" t="0" r="14605" b="26670"/>
                <wp:wrapNone/>
                <wp:docPr id="240704846"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395" cy="1021080"/>
                        </a:xfrm>
                        <a:prstGeom prst="rect">
                          <a:avLst/>
                        </a:prstGeom>
                        <a:ln>
                          <a:headEnd/>
                          <a:tailEnd/>
                        </a:ln>
                      </wps:spPr>
                      <wps:style>
                        <a:lnRef idx="2">
                          <a:schemeClr val="accent2">
                            <a:shade val="15000"/>
                          </a:schemeClr>
                        </a:lnRef>
                        <a:fillRef idx="1">
                          <a:schemeClr val="accent2"/>
                        </a:fillRef>
                        <a:effectRef idx="0">
                          <a:schemeClr val="accent2"/>
                        </a:effectRef>
                        <a:fontRef idx="minor">
                          <a:schemeClr val="lt1"/>
                        </a:fontRef>
                      </wps:style>
                      <wps:txbx>
                        <w:txbxContent>
                          <w:p w14:paraId="18E22C1F" w14:textId="77777777" w:rsidR="00993304" w:rsidRPr="001F45B5" w:rsidRDefault="00993304" w:rsidP="00993304">
                            <w:r w:rsidRPr="001F45B5">
                              <w:t>Identificatio</w:t>
                            </w:r>
                            <w:r>
                              <w:t>n</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23B835B" id="_x0000_t202" coordsize="21600,21600" o:spt="202" path="m,l,21600r21600,l21600,xe">
                <v:stroke joinstyle="miter"/>
                <v:path gradientshapeok="t" o:connecttype="rect"/>
              </v:shapetype>
              <v:shape id="Text Box 17" o:spid="_x0000_s1026" type="#_x0000_t202" style="position:absolute;left:0;text-align:left;margin-left:1.8pt;margin-top:18.25pt;width:28.85pt;height:80.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" fillcolor="#e97132 [3205]" strokecolor="#250f04 [485]" strokeweight="1pt">
                <v:textbox style="layout-flow:vertical;mso-layout-flow-alt:bottom-to-top">
                  <w:txbxContent>
                    <w:p w14:paraId="18E22C1F" w14:textId="77777777" w:rsidR="00993304" w:rsidRPr="001F45B5" w:rsidRDefault="00993304" w:rsidP="00993304">
                      <w:r w:rsidRPr="001F45B5">
                        <w:t>Identificatio</w:t>
                      </w:r>
                      <w:r>
                        <w:t>n</w:t>
                      </w:r>
                    </w:p>
                  </w:txbxContent>
                </v:textbox>
              </v:shape>
            </w:pict>
          </mc:Fallback>
        </mc:AlternateContent>
      </w:r>
      <w:r w:rsidRPr="005153E5">
        <w:rPr>
          <w:rFonts w:ascii="Arial" w:hAnsi="Arial" w:cs="Arial"/>
        </w:rPr>
        <w:t>:</w:t>
      </w:r>
      <w:r>
        <w:rPr>
          <w:rFonts w:ascii="Arial" w:hAnsi="Arial" w:cs="Arial"/>
        </w:rPr>
        <w:t xml:space="preserve"> </w:t>
      </w:r>
      <w:r w:rsidR="00993304" w:rsidRPr="005153E5">
        <w:rPr>
          <w:rFonts w:ascii="Arial" w:hAnsi="Arial" w:cs="Arial"/>
        </w:rPr>
        <w:t>PRISMA diagram for the study</w:t>
      </w:r>
    </w:p>
    <w:p w14:paraId="6A2733B1"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0F6DB2D1" wp14:editId="7E71B4A5">
                <wp:simplePos x="0" y="0"/>
                <wp:positionH relativeFrom="column">
                  <wp:posOffset>787179</wp:posOffset>
                </wp:positionH>
                <wp:positionV relativeFrom="paragraph">
                  <wp:posOffset>108805</wp:posOffset>
                </wp:positionV>
                <wp:extent cx="3705308" cy="699715"/>
                <wp:effectExtent l="0" t="0" r="28575" b="24765"/>
                <wp:wrapNone/>
                <wp:docPr id="197284531"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5308" cy="699715"/>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5D14F721" w14:textId="77777777" w:rsidR="00993304" w:rsidRDefault="00993304" w:rsidP="00993304">
                            <w:pPr>
                              <w:jc w:val="center"/>
                            </w:pPr>
                            <w:r w:rsidRPr="001033E6">
                              <w:t xml:space="preserve">Articles </w:t>
                            </w:r>
                            <w:r>
                              <w:t>collected</w:t>
                            </w:r>
                            <w:r w:rsidRPr="001033E6">
                              <w:t xml:space="preserve"> from databases </w:t>
                            </w:r>
                          </w:p>
                          <w:p w14:paraId="0859A1BB" w14:textId="77777777" w:rsidR="00993304" w:rsidRPr="001F45B5" w:rsidRDefault="00993304" w:rsidP="00993304">
                            <w:pPr>
                              <w:jc w:val="center"/>
                            </w:pPr>
                            <w:r w:rsidRPr="001F45B5">
                              <w:t xml:space="preserve">(N= </w:t>
                            </w:r>
                            <w:r>
                              <w:t>7</w:t>
                            </w:r>
                            <w:r w:rsidRPr="001F45B5">
                              <w:t>78</w:t>
                            </w:r>
                            <w:r>
                              <w:t>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6DB2D1" id="Text Box 16" o:spid="_x0000_s1027" type="#_x0000_t202" style="position:absolute;left:0;text-align:left;margin-left:62pt;margin-top:8.55pt;width:291.75pt;height:5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" fillcolor="#4fc5f2 [2167]" strokecolor="#0f9ed5 [3207]" strokeweight=".5pt">
                <v:fill color2="#2ab8f0 [2615]" rotate="t" colors="0 #9ccff5;.5 #8fc4eb;1 #79beed" focus="100%" type="gradient">
                  <o:fill v:ext="view" type="gradientUnscaled"/>
                </v:fill>
                <v:textbox>
                  <w:txbxContent>
                    <w:p w14:paraId="5D14F721" w14:textId="77777777" w:rsidR="00993304" w:rsidRDefault="00993304" w:rsidP="00993304">
                      <w:pPr>
                        <w:jc w:val="center"/>
                      </w:pPr>
                      <w:r w:rsidRPr="001033E6">
                        <w:t xml:space="preserve">Articles </w:t>
                      </w:r>
                      <w:r>
                        <w:t>collected</w:t>
                      </w:r>
                      <w:r w:rsidRPr="001033E6">
                        <w:t xml:space="preserve"> from databases </w:t>
                      </w:r>
                    </w:p>
                    <w:p w14:paraId="0859A1BB" w14:textId="77777777" w:rsidR="00993304" w:rsidRPr="001F45B5" w:rsidRDefault="00993304" w:rsidP="00993304">
                      <w:pPr>
                        <w:jc w:val="center"/>
                      </w:pPr>
                      <w:r w:rsidRPr="001F45B5">
                        <w:t xml:space="preserve">(N= </w:t>
                      </w:r>
                      <w:r>
                        <w:t>7</w:t>
                      </w:r>
                      <w:r w:rsidRPr="001F45B5">
                        <w:t>78</w:t>
                      </w:r>
                      <w:r>
                        <w:t>0</w:t>
                      </w:r>
                      <w:r w:rsidRPr="001F45B5">
                        <w:t>)</w:t>
                      </w:r>
                    </w:p>
                  </w:txbxContent>
                </v:textbox>
              </v:shape>
            </w:pict>
          </mc:Fallback>
        </mc:AlternateContent>
      </w:r>
    </w:p>
    <w:p w14:paraId="7CF70123" w14:textId="77777777" w:rsidR="00993304" w:rsidRPr="001316CE" w:rsidRDefault="00993304" w:rsidP="001A6776">
      <w:pPr>
        <w:spacing w:before="240" w:after="0" w:line="360" w:lineRule="auto"/>
        <w:jc w:val="both"/>
        <w:rPr>
          <w:rFonts w:ascii="Arial" w:hAnsi="Arial" w:cs="Arial"/>
          <w:color w:val="000000" w:themeColor="text1"/>
        </w:rPr>
      </w:pPr>
    </w:p>
    <w:p w14:paraId="2AF394E0"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6B2C1967" wp14:editId="15D77364">
                <wp:simplePos x="0" y="0"/>
                <wp:positionH relativeFrom="column">
                  <wp:posOffset>1821180</wp:posOffset>
                </wp:positionH>
                <wp:positionV relativeFrom="paragraph">
                  <wp:posOffset>208280</wp:posOffset>
                </wp:positionV>
                <wp:extent cx="266700" cy="251460"/>
                <wp:effectExtent l="38100" t="0" r="19050" b="34290"/>
                <wp:wrapNone/>
                <wp:docPr id="1021410446"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ln/>
                      </wps:spPr>
                      <wps:style>
                        <a:lnRef idx="2">
                          <a:schemeClr val="dk1">
                            <a:shade val="15000"/>
                          </a:schemeClr>
                        </a:lnRef>
                        <a:fillRef idx="1">
                          <a:schemeClr val="dk1"/>
                        </a:fillRef>
                        <a:effectRef idx="0">
                          <a:schemeClr val="dk1"/>
                        </a:effectRef>
                        <a:fontRef idx="minor">
                          <a:schemeClr val="lt1"/>
                        </a:fontRef>
                      </wps:style>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495480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143.4pt;margin-top:16.4pt;width:21pt;height:1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" fillcolor="black [3200]" strokecolor="black [480]" strokeweight="1pt">
                <v:textbox style="layout-flow:vertical-ideographic"/>
              </v:shape>
            </w:pict>
          </mc:Fallback>
        </mc:AlternateContent>
      </w:r>
    </w:p>
    <w:p w14:paraId="5DA32446"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05727742" wp14:editId="1355CDBC">
                <wp:simplePos x="0" y="0"/>
                <wp:positionH relativeFrom="column">
                  <wp:posOffset>8709</wp:posOffset>
                </wp:positionH>
                <wp:positionV relativeFrom="paragraph">
                  <wp:posOffset>256359</wp:posOffset>
                </wp:positionV>
                <wp:extent cx="400594" cy="838200"/>
                <wp:effectExtent l="0" t="0" r="19050" b="19050"/>
                <wp:wrapNone/>
                <wp:docPr id="163360638"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594" cy="838200"/>
                        </a:xfrm>
                        <a:prstGeom prst="rect">
                          <a:avLst/>
                        </a:prstGeom>
                        <a:ln>
                          <a:headEnd/>
                          <a:tailEnd/>
                        </a:ln>
                      </wps:spPr>
                      <wps:style>
                        <a:lnRef idx="2">
                          <a:schemeClr val="accent2">
                            <a:shade val="15000"/>
                          </a:schemeClr>
                        </a:lnRef>
                        <a:fillRef idx="1">
                          <a:schemeClr val="accent2"/>
                        </a:fillRef>
                        <a:effectRef idx="0">
                          <a:schemeClr val="accent2"/>
                        </a:effectRef>
                        <a:fontRef idx="minor">
                          <a:schemeClr val="lt1"/>
                        </a:fontRef>
                      </wps:style>
                      <wps:txbx>
                        <w:txbxContent>
                          <w:p w14:paraId="5D946C13" w14:textId="77777777" w:rsidR="00993304" w:rsidRPr="001F45B5" w:rsidRDefault="00993304" w:rsidP="00993304">
                            <w:pPr>
                              <w:jc w:val="center"/>
                            </w:pPr>
                            <w:r w:rsidRPr="001F45B5">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727742" id="Text Box 14" o:spid="_x0000_s1028" type="#_x0000_t202" style="position:absolute;left:0;text-align:left;margin-left:.7pt;margin-top:20.2pt;width:31.55pt;height: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" fillcolor="#e97132 [3205]" strokecolor="#250f04 [485]" strokeweight="1pt">
                <v:textbox style="layout-flow:vertical;mso-layout-flow-alt:bottom-to-top">
                  <w:txbxContent>
                    <w:p w14:paraId="5D946C13" w14:textId="77777777" w:rsidR="00993304" w:rsidRPr="001F45B5" w:rsidRDefault="00993304" w:rsidP="00993304">
                      <w:pPr>
                        <w:jc w:val="center"/>
                      </w:pPr>
                      <w:r w:rsidRPr="001F45B5">
                        <w:t>Screening</w:t>
                      </w:r>
                    </w:p>
                  </w:txbxContent>
                </v:textbox>
              </v:shape>
            </w:pict>
          </mc:Fallback>
        </mc:AlternateContent>
      </w:r>
      <w:r w:rsidRPr="001316CE">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5DC265F5" wp14:editId="05CE5ED8">
                <wp:simplePos x="0" y="0"/>
                <wp:positionH relativeFrom="column">
                  <wp:posOffset>770227</wp:posOffset>
                </wp:positionH>
                <wp:positionV relativeFrom="paragraph">
                  <wp:posOffset>142488</wp:posOffset>
                </wp:positionV>
                <wp:extent cx="2468880" cy="582378"/>
                <wp:effectExtent l="0" t="0" r="26670" b="27305"/>
                <wp:wrapNone/>
                <wp:docPr id="1710851058"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82378"/>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66B8B33E" w14:textId="77777777" w:rsidR="00993304" w:rsidRPr="001F45B5" w:rsidRDefault="00993304" w:rsidP="00993304">
                            <w:pPr>
                              <w:jc w:val="center"/>
                            </w:pPr>
                            <w:r>
                              <w:t xml:space="preserve">Remove </w:t>
                            </w:r>
                            <w:r w:rsidRPr="001F45B5">
                              <w:t xml:space="preserve">Duplicates </w:t>
                            </w:r>
                          </w:p>
                          <w:p w14:paraId="56C14AAE" w14:textId="77777777" w:rsidR="00993304" w:rsidRPr="001F45B5" w:rsidRDefault="00993304" w:rsidP="00993304">
                            <w:pPr>
                              <w:jc w:val="center"/>
                            </w:pPr>
                            <w:r w:rsidRPr="001F45B5">
                              <w:t xml:space="preserve">(N= </w:t>
                            </w:r>
                            <w:r>
                              <w:t>5</w:t>
                            </w:r>
                            <w:r w:rsidRPr="001F45B5">
                              <w:t>40</w:t>
                            </w:r>
                            <w:r>
                              <w:t>1</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C265F5" id="Text Box 13" o:spid="_x0000_s1029" type="#_x0000_t202" style="position:absolute;left:0;text-align:left;margin-left:60.65pt;margin-top:11.2pt;width:194.4pt;height:4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" fillcolor="#4fc5f2 [2167]" strokecolor="#0f9ed5 [3207]" strokeweight=".5pt">
                <v:fill color2="#2ab8f0 [2615]" rotate="t" colors="0 #9ccff5;.5 #8fc4eb;1 #79beed" focus="100%" type="gradient">
                  <o:fill v:ext="view" type="gradientUnscaled"/>
                </v:fill>
                <v:textbox>
                  <w:txbxContent>
                    <w:p w14:paraId="66B8B33E" w14:textId="77777777" w:rsidR="00993304" w:rsidRPr="001F45B5" w:rsidRDefault="00993304" w:rsidP="00993304">
                      <w:pPr>
                        <w:jc w:val="center"/>
                      </w:pPr>
                      <w:r>
                        <w:t xml:space="preserve">Remove </w:t>
                      </w:r>
                      <w:r w:rsidRPr="001F45B5">
                        <w:t xml:space="preserve">Duplicates </w:t>
                      </w:r>
                    </w:p>
                    <w:p w14:paraId="56C14AAE" w14:textId="77777777" w:rsidR="00993304" w:rsidRPr="001F45B5" w:rsidRDefault="00993304" w:rsidP="00993304">
                      <w:pPr>
                        <w:jc w:val="center"/>
                      </w:pPr>
                      <w:r w:rsidRPr="001F45B5">
                        <w:t xml:space="preserve">(N= </w:t>
                      </w:r>
                      <w:r>
                        <w:t>5</w:t>
                      </w:r>
                      <w:r w:rsidRPr="001F45B5">
                        <w:t>40</w:t>
                      </w:r>
                      <w:r>
                        <w:t>1</w:t>
                      </w:r>
                      <w:r w:rsidRPr="001F45B5">
                        <w:t>)</w:t>
                      </w:r>
                    </w:p>
                  </w:txbxContent>
                </v:textbox>
              </v:shape>
            </w:pict>
          </mc:Fallback>
        </mc:AlternateContent>
      </w:r>
    </w:p>
    <w:p w14:paraId="56B37588" w14:textId="77777777" w:rsidR="00993304" w:rsidRPr="001316CE" w:rsidRDefault="00993304" w:rsidP="001A6776">
      <w:pPr>
        <w:spacing w:before="240" w:after="0" w:line="360" w:lineRule="auto"/>
        <w:jc w:val="both"/>
        <w:rPr>
          <w:rFonts w:ascii="Arial" w:hAnsi="Arial" w:cs="Arial"/>
          <w:color w:val="000000" w:themeColor="text1"/>
        </w:rPr>
      </w:pPr>
    </w:p>
    <w:p w14:paraId="3DB0D605"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59193B17" wp14:editId="37FCCB28">
                <wp:simplePos x="0" y="0"/>
                <wp:positionH relativeFrom="column">
                  <wp:posOffset>1836420</wp:posOffset>
                </wp:positionH>
                <wp:positionV relativeFrom="paragraph">
                  <wp:posOffset>97790</wp:posOffset>
                </wp:positionV>
                <wp:extent cx="266700" cy="251460"/>
                <wp:effectExtent l="38100" t="0" r="19050" b="34290"/>
                <wp:wrapNone/>
                <wp:docPr id="1324520692" name="Arrow: Down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ln/>
                      </wps:spPr>
                      <wps:style>
                        <a:lnRef idx="2">
                          <a:schemeClr val="dk1">
                            <a:shade val="15000"/>
                          </a:schemeClr>
                        </a:lnRef>
                        <a:fillRef idx="1">
                          <a:schemeClr val="dk1"/>
                        </a:fillRef>
                        <a:effectRef idx="0">
                          <a:schemeClr val="dk1"/>
                        </a:effectRef>
                        <a:fontRef idx="minor">
                          <a:schemeClr val="lt1"/>
                        </a:fontRef>
                      </wps:style>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981848" id="Arrow: Down 12" o:spid="_x0000_s1026" type="#_x0000_t67" style="position:absolute;margin-left:144.6pt;margin-top:7.7pt;width:21pt;height:1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" fillcolor="black [3200]" strokecolor="black [480]" strokeweight="1pt">
                <v:textbox style="layout-flow:vertical-ideographic"/>
              </v:shape>
            </w:pict>
          </mc:Fallback>
        </mc:AlternateContent>
      </w:r>
    </w:p>
    <w:p w14:paraId="440F6212"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780A8349" wp14:editId="465B8BD8">
                <wp:simplePos x="0" y="0"/>
                <wp:positionH relativeFrom="margin">
                  <wp:posOffset>-1184</wp:posOffset>
                </wp:positionH>
                <wp:positionV relativeFrom="paragraph">
                  <wp:posOffset>252078</wp:posOffset>
                </wp:positionV>
                <wp:extent cx="381635" cy="845820"/>
                <wp:effectExtent l="0" t="0" r="18415" b="11430"/>
                <wp:wrapNone/>
                <wp:docPr id="86270006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635" cy="845820"/>
                        </a:xfrm>
                        <a:prstGeom prst="rect">
                          <a:avLst/>
                        </a:prstGeom>
                        <a:ln>
                          <a:headEnd/>
                          <a:tailEnd/>
                        </a:ln>
                      </wps:spPr>
                      <wps:style>
                        <a:lnRef idx="2">
                          <a:schemeClr val="accent2">
                            <a:shade val="15000"/>
                          </a:schemeClr>
                        </a:lnRef>
                        <a:fillRef idx="1">
                          <a:schemeClr val="accent2"/>
                        </a:fillRef>
                        <a:effectRef idx="0">
                          <a:schemeClr val="accent2"/>
                        </a:effectRef>
                        <a:fontRef idx="minor">
                          <a:schemeClr val="lt1"/>
                        </a:fontRef>
                      </wps:style>
                      <wps:txbx>
                        <w:txbxContent>
                          <w:p w14:paraId="4ADF2831" w14:textId="77777777" w:rsidR="00993304" w:rsidRPr="001F45B5" w:rsidRDefault="00993304" w:rsidP="00993304">
                            <w:pPr>
                              <w:jc w:val="center"/>
                            </w:pPr>
                            <w:r w:rsidRPr="001F45B5">
                              <w:t>Eligibility</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0A8349" id="Text Box 9" o:spid="_x0000_s1030" type="#_x0000_t202" style="position:absolute;left:0;text-align:left;margin-left:-.1pt;margin-top:19.85pt;width:30.05pt;height:66.6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" fillcolor="#e97132 [3205]" strokecolor="#250f04 [485]" strokeweight="1pt">
                <v:textbox style="layout-flow:vertical;mso-layout-flow-alt:bottom-to-top">
                  <w:txbxContent>
                    <w:p w14:paraId="4ADF2831" w14:textId="77777777" w:rsidR="00993304" w:rsidRPr="001F45B5" w:rsidRDefault="00993304" w:rsidP="00993304">
                      <w:pPr>
                        <w:jc w:val="center"/>
                      </w:pPr>
                      <w:r w:rsidRPr="001F45B5">
                        <w:t>Eligibility</w:t>
                      </w:r>
                    </w:p>
                  </w:txbxContent>
                </v:textbox>
                <w10:wrap anchorx="margin"/>
              </v:shape>
            </w:pict>
          </mc:Fallback>
        </mc:AlternateContent>
      </w:r>
      <w:r w:rsidRPr="001316CE">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4110AEEB" wp14:editId="381331DB">
                <wp:simplePos x="0" y="0"/>
                <wp:positionH relativeFrom="margin">
                  <wp:align>right</wp:align>
                </wp:positionH>
                <wp:positionV relativeFrom="paragraph">
                  <wp:posOffset>239395</wp:posOffset>
                </wp:positionV>
                <wp:extent cx="1882140" cy="739140"/>
                <wp:effectExtent l="0" t="0" r="22860" b="22860"/>
                <wp:wrapNone/>
                <wp:docPr id="158769800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140" cy="739140"/>
                        </a:xfrm>
                        <a:prstGeom prst="rect">
                          <a:avLst/>
                        </a:prstGeom>
                        <a:ln>
                          <a:headEnd/>
                          <a:tailEnd/>
                        </a:ln>
                      </wps:spPr>
                      <wps:style>
                        <a:lnRef idx="2">
                          <a:schemeClr val="accent4">
                            <a:shade val="15000"/>
                          </a:schemeClr>
                        </a:lnRef>
                        <a:fillRef idx="1">
                          <a:schemeClr val="accent4"/>
                        </a:fillRef>
                        <a:effectRef idx="0">
                          <a:schemeClr val="accent4"/>
                        </a:effectRef>
                        <a:fontRef idx="minor">
                          <a:schemeClr val="lt1"/>
                        </a:fontRef>
                      </wps:style>
                      <wps:txbx>
                        <w:txbxContent>
                          <w:p w14:paraId="513AC8DD" w14:textId="77777777" w:rsidR="00993304" w:rsidRPr="001F45B5" w:rsidRDefault="00993304" w:rsidP="00993304">
                            <w:r w:rsidRPr="001F45B5">
                              <w:t>Excluded articles</w:t>
                            </w:r>
                          </w:p>
                          <w:p w14:paraId="5738A511" w14:textId="77777777" w:rsidR="00993304" w:rsidRPr="001F45B5" w:rsidRDefault="00993304" w:rsidP="00993304">
                            <w:pPr>
                              <w:jc w:val="center"/>
                            </w:pPr>
                            <w:r w:rsidRPr="001F45B5">
                              <w:t>(N= 1</w:t>
                            </w:r>
                            <w:r>
                              <w:t>90</w:t>
                            </w:r>
                            <w:r w:rsidRPr="001F45B5">
                              <w:t>)</w:t>
                            </w:r>
                          </w:p>
                          <w:p w14:paraId="332174C3" w14:textId="77777777" w:rsidR="00993304" w:rsidRPr="001F45B5" w:rsidRDefault="00993304" w:rsidP="0099330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10AEEB" id="Text Box 11" o:spid="_x0000_s1031" type="#_x0000_t202" style="position:absolute;left:0;text-align:left;margin-left:97pt;margin-top:18.85pt;width:148.2pt;height:58.2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" fillcolor="#0f9ed5 [3207]" strokecolor="#02171f [487]" strokeweight="1pt">
                <v:textbox>
                  <w:txbxContent>
                    <w:p w14:paraId="513AC8DD" w14:textId="77777777" w:rsidR="00993304" w:rsidRPr="001F45B5" w:rsidRDefault="00993304" w:rsidP="00993304">
                      <w:r w:rsidRPr="001F45B5">
                        <w:t>Excluded articles</w:t>
                      </w:r>
                    </w:p>
                    <w:p w14:paraId="5738A511" w14:textId="77777777" w:rsidR="00993304" w:rsidRPr="001F45B5" w:rsidRDefault="00993304" w:rsidP="00993304">
                      <w:pPr>
                        <w:jc w:val="center"/>
                      </w:pPr>
                      <w:r w:rsidRPr="001F45B5">
                        <w:t>(N= 1</w:t>
                      </w:r>
                      <w:r>
                        <w:t>90</w:t>
                      </w:r>
                      <w:r w:rsidRPr="001F45B5">
                        <w:t>)</w:t>
                      </w:r>
                    </w:p>
                    <w:p w14:paraId="332174C3" w14:textId="77777777" w:rsidR="00993304" w:rsidRPr="001F45B5" w:rsidRDefault="00993304" w:rsidP="00993304"/>
                  </w:txbxContent>
                </v:textbox>
                <w10:wrap anchorx="margin"/>
              </v:shape>
            </w:pict>
          </mc:Fallback>
        </mc:AlternateContent>
      </w:r>
      <w:r w:rsidRPr="001316CE">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536C7925" wp14:editId="03707170">
                <wp:simplePos x="0" y="0"/>
                <wp:positionH relativeFrom="column">
                  <wp:posOffset>771277</wp:posOffset>
                </wp:positionH>
                <wp:positionV relativeFrom="paragraph">
                  <wp:posOffset>116426</wp:posOffset>
                </wp:positionV>
                <wp:extent cx="2468880" cy="803082"/>
                <wp:effectExtent l="0" t="0" r="26670" b="16510"/>
                <wp:wrapNone/>
                <wp:docPr id="4191253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803082"/>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1B6E099C" w14:textId="77777777" w:rsidR="00993304" w:rsidRPr="001033E6" w:rsidRDefault="00993304" w:rsidP="00993304">
                            <w:pPr>
                              <w:jc w:val="center"/>
                            </w:pPr>
                            <w:r w:rsidRPr="001033E6">
                              <w:t xml:space="preserve">Screening </w:t>
                            </w:r>
                            <w:r>
                              <w:t xml:space="preserve">the </w:t>
                            </w:r>
                            <w:r w:rsidRPr="001033E6">
                              <w:t>titles and abstracts for relevance.</w:t>
                            </w:r>
                          </w:p>
                          <w:p w14:paraId="67736F2D" w14:textId="77777777" w:rsidR="00993304" w:rsidRPr="001F45B5" w:rsidRDefault="00993304" w:rsidP="00993304">
                            <w:pPr>
                              <w:jc w:val="center"/>
                            </w:pPr>
                            <w:r w:rsidRPr="001F45B5">
                              <w:t xml:space="preserve">(N= </w:t>
                            </w:r>
                            <w:r>
                              <w:t>210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6C7925" id="Text Box 10" o:spid="_x0000_s1032" type="#_x0000_t202" style="position:absolute;left:0;text-align:left;margin-left:60.75pt;margin-top:9.15pt;width:194.4pt;height:6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" fillcolor="#4fc5f2 [2167]" strokecolor="#0f9ed5 [3207]" strokeweight=".5pt">
                <v:fill color2="#2ab8f0 [2615]" rotate="t" colors="0 #9ccff5;.5 #8fc4eb;1 #79beed" focus="100%" type="gradient">
                  <o:fill v:ext="view" type="gradientUnscaled"/>
                </v:fill>
                <v:textbox>
                  <w:txbxContent>
                    <w:p w14:paraId="1B6E099C" w14:textId="77777777" w:rsidR="00993304" w:rsidRPr="001033E6" w:rsidRDefault="00993304" w:rsidP="00993304">
                      <w:pPr>
                        <w:jc w:val="center"/>
                      </w:pPr>
                      <w:r w:rsidRPr="001033E6">
                        <w:t xml:space="preserve">Screening </w:t>
                      </w:r>
                      <w:r>
                        <w:t xml:space="preserve">the </w:t>
                      </w:r>
                      <w:r w:rsidRPr="001033E6">
                        <w:t>titles and abstracts for relevance.</w:t>
                      </w:r>
                    </w:p>
                    <w:p w14:paraId="67736F2D" w14:textId="77777777" w:rsidR="00993304" w:rsidRPr="001F45B5" w:rsidRDefault="00993304" w:rsidP="00993304">
                      <w:pPr>
                        <w:jc w:val="center"/>
                      </w:pPr>
                      <w:r w:rsidRPr="001F45B5">
                        <w:t xml:space="preserve">(N= </w:t>
                      </w:r>
                      <w:r>
                        <w:t>210</w:t>
                      </w:r>
                      <w:r w:rsidRPr="001F45B5">
                        <w:t>)</w:t>
                      </w:r>
                    </w:p>
                  </w:txbxContent>
                </v:textbox>
              </v:shape>
            </w:pict>
          </mc:Fallback>
        </mc:AlternateContent>
      </w:r>
    </w:p>
    <w:p w14:paraId="1D3227BB"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0BBC85DF" wp14:editId="5A68679E">
                <wp:simplePos x="0" y="0"/>
                <wp:positionH relativeFrom="column">
                  <wp:posOffset>3238500</wp:posOffset>
                </wp:positionH>
                <wp:positionV relativeFrom="paragraph">
                  <wp:posOffset>52070</wp:posOffset>
                </wp:positionV>
                <wp:extent cx="541020" cy="152400"/>
                <wp:effectExtent l="0" t="19050" r="30480" b="38100"/>
                <wp:wrapNone/>
                <wp:docPr id="1239151789" name="Arrow: Righ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ln/>
                      </wps:spPr>
                      <wps:style>
                        <a:lnRef idx="2">
                          <a:schemeClr val="dk1">
                            <a:shade val="15000"/>
                          </a:schemeClr>
                        </a:lnRef>
                        <a:fillRef idx="1">
                          <a:schemeClr val="dk1"/>
                        </a:fillRef>
                        <a:effectRef idx="0">
                          <a:schemeClr val="dk1"/>
                        </a:effectRef>
                        <a:fontRef idx="minor">
                          <a:schemeClr val="lt1"/>
                        </a:fontRef>
                      </wps:style>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91335E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55pt;margin-top:4.1pt;width:42.6pt;height: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" fillcolor="black [3200]" strokecolor="black [480]" strokeweight="1pt"/>
            </w:pict>
          </mc:Fallback>
        </mc:AlternateContent>
      </w:r>
    </w:p>
    <w:p w14:paraId="282AE696"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725C0DA9" wp14:editId="5084F07F">
                <wp:simplePos x="0" y="0"/>
                <wp:positionH relativeFrom="column">
                  <wp:posOffset>1819275</wp:posOffset>
                </wp:positionH>
                <wp:positionV relativeFrom="paragraph">
                  <wp:posOffset>221422</wp:posOffset>
                </wp:positionV>
                <wp:extent cx="266700" cy="251460"/>
                <wp:effectExtent l="38100" t="0" r="19050" b="34290"/>
                <wp:wrapNone/>
                <wp:docPr id="1193927310"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ln/>
                      </wps:spPr>
                      <wps:style>
                        <a:lnRef idx="2">
                          <a:schemeClr val="dk1">
                            <a:shade val="15000"/>
                          </a:schemeClr>
                        </a:lnRef>
                        <a:fillRef idx="1">
                          <a:schemeClr val="dk1"/>
                        </a:fillRef>
                        <a:effectRef idx="0">
                          <a:schemeClr val="dk1"/>
                        </a:effectRef>
                        <a:fontRef idx="minor">
                          <a:schemeClr val="lt1"/>
                        </a:fontRef>
                      </wps:style>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E3C543" id="Arrow: Down 7" o:spid="_x0000_s1026" type="#_x0000_t67" style="position:absolute;margin-left:143.25pt;margin-top:17.45pt;width:21pt;height:1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" fillcolor="black [3200]" strokecolor="black [480]" strokeweight="1pt">
                <v:textbox style="layout-flow:vertical-ideographic"/>
              </v:shape>
            </w:pict>
          </mc:Fallback>
        </mc:AlternateContent>
      </w:r>
    </w:p>
    <w:p w14:paraId="10DCBE12"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170B2BC1" wp14:editId="229A4902">
                <wp:simplePos x="0" y="0"/>
                <wp:positionH relativeFrom="column">
                  <wp:posOffset>3849189</wp:posOffset>
                </wp:positionH>
                <wp:positionV relativeFrom="paragraph">
                  <wp:posOffset>133985</wp:posOffset>
                </wp:positionV>
                <wp:extent cx="2004060" cy="2656114"/>
                <wp:effectExtent l="0" t="0" r="15240" b="11430"/>
                <wp:wrapNone/>
                <wp:docPr id="28475013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4060" cy="2656114"/>
                        </a:xfrm>
                        <a:prstGeom prst="rect">
                          <a:avLst/>
                        </a:prstGeom>
                        <a:ln>
                          <a:headEnd/>
                          <a:tailEnd/>
                        </a:ln>
                      </wps:spPr>
                      <wps:style>
                        <a:lnRef idx="2">
                          <a:schemeClr val="accent4">
                            <a:shade val="15000"/>
                          </a:schemeClr>
                        </a:lnRef>
                        <a:fillRef idx="1">
                          <a:schemeClr val="accent4"/>
                        </a:fillRef>
                        <a:effectRef idx="0">
                          <a:schemeClr val="accent4"/>
                        </a:effectRef>
                        <a:fontRef idx="minor">
                          <a:schemeClr val="lt1"/>
                        </a:fontRef>
                      </wps:style>
                      <wps:txbx>
                        <w:txbxContent>
                          <w:p w14:paraId="1E6E3591" w14:textId="77777777" w:rsidR="00993304" w:rsidRPr="001F45B5" w:rsidRDefault="00993304" w:rsidP="00993304">
                            <w:r w:rsidRPr="001F45B5">
                              <w:t>Full-text articles excluded</w:t>
                            </w:r>
                          </w:p>
                          <w:p w14:paraId="0509C4F6" w14:textId="77777777" w:rsidR="00993304" w:rsidRPr="001F45B5" w:rsidRDefault="00993304" w:rsidP="00993304">
                            <w:pPr>
                              <w:jc w:val="center"/>
                            </w:pPr>
                            <w:r w:rsidRPr="001F45B5">
                              <w:t xml:space="preserve">(N= </w:t>
                            </w:r>
                            <w:r>
                              <w:t>15</w:t>
                            </w:r>
                            <w:r w:rsidRPr="001F45B5">
                              <w:t>)</w:t>
                            </w:r>
                          </w:p>
                          <w:p w14:paraId="62D5B734" w14:textId="77777777" w:rsidR="00993304" w:rsidRPr="001F45B5" w:rsidRDefault="00993304" w:rsidP="00993304">
                            <w:r w:rsidRPr="001F45B5">
                              <w:t xml:space="preserve">- Information </w:t>
                            </w:r>
                            <w:r>
                              <w:t>from</w:t>
                            </w:r>
                            <w:r w:rsidRPr="001F45B5">
                              <w:t xml:space="preserve"> the study is repeated from other included articles (n=</w:t>
                            </w:r>
                            <w:r>
                              <w:t>2</w:t>
                            </w:r>
                            <w:r w:rsidRPr="001F45B5">
                              <w:t>0)</w:t>
                            </w:r>
                          </w:p>
                          <w:p w14:paraId="3BE23BAE" w14:textId="77777777" w:rsidR="00993304" w:rsidRPr="001F45B5" w:rsidRDefault="00993304" w:rsidP="00993304">
                            <w:r w:rsidRPr="001F45B5">
                              <w:t>- Lack of detail for adequate evaluation (n=</w:t>
                            </w:r>
                            <w:r>
                              <w:t>11</w:t>
                            </w:r>
                            <w:r w:rsidRPr="001F45B5">
                              <w:t>)</w:t>
                            </w:r>
                          </w:p>
                          <w:p w14:paraId="71184A5D" w14:textId="77777777" w:rsidR="00993304" w:rsidRPr="001F45B5" w:rsidRDefault="00993304" w:rsidP="00993304">
                            <w:r w:rsidRPr="001F45B5">
                              <w:t>- Outcomes are not relevant (n=</w:t>
                            </w:r>
                            <w:r>
                              <w:t>4</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0B2BC1" id="Text Box 6" o:spid="_x0000_s1033" type="#_x0000_t202" style="position:absolute;left:0;text-align:left;margin-left:303.1pt;margin-top:10.55pt;width:157.8pt;height:209.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" fillcolor="#0f9ed5 [3207]" strokecolor="#02171f [487]" strokeweight="1pt">
                <v:textbox>
                  <w:txbxContent>
                    <w:p w14:paraId="1E6E3591" w14:textId="77777777" w:rsidR="00993304" w:rsidRPr="001F45B5" w:rsidRDefault="00993304" w:rsidP="00993304">
                      <w:r w:rsidRPr="001F45B5">
                        <w:t>Full-text articles excluded</w:t>
                      </w:r>
                    </w:p>
                    <w:p w14:paraId="0509C4F6" w14:textId="77777777" w:rsidR="00993304" w:rsidRPr="001F45B5" w:rsidRDefault="00993304" w:rsidP="00993304">
                      <w:pPr>
                        <w:jc w:val="center"/>
                      </w:pPr>
                      <w:r w:rsidRPr="001F45B5">
                        <w:t xml:space="preserve">(N= </w:t>
                      </w:r>
                      <w:r>
                        <w:t>15</w:t>
                      </w:r>
                      <w:r w:rsidRPr="001F45B5">
                        <w:t>)</w:t>
                      </w:r>
                    </w:p>
                    <w:p w14:paraId="62D5B734" w14:textId="77777777" w:rsidR="00993304" w:rsidRPr="001F45B5" w:rsidRDefault="00993304" w:rsidP="00993304">
                      <w:r w:rsidRPr="001F45B5">
                        <w:t xml:space="preserve">- Information </w:t>
                      </w:r>
                      <w:r>
                        <w:t>from</w:t>
                      </w:r>
                      <w:r w:rsidRPr="001F45B5">
                        <w:t xml:space="preserve"> the study is repeated from other included articles (n=</w:t>
                      </w:r>
                      <w:r>
                        <w:t>2</w:t>
                      </w:r>
                      <w:r w:rsidRPr="001F45B5">
                        <w:t>0)</w:t>
                      </w:r>
                    </w:p>
                    <w:p w14:paraId="3BE23BAE" w14:textId="77777777" w:rsidR="00993304" w:rsidRPr="001F45B5" w:rsidRDefault="00993304" w:rsidP="00993304">
                      <w:r w:rsidRPr="001F45B5">
                        <w:t>- Lack of detail for adequate evaluation (n=</w:t>
                      </w:r>
                      <w:r>
                        <w:t>11</w:t>
                      </w:r>
                      <w:r w:rsidRPr="001F45B5">
                        <w:t>)</w:t>
                      </w:r>
                    </w:p>
                    <w:p w14:paraId="71184A5D" w14:textId="77777777" w:rsidR="00993304" w:rsidRPr="001F45B5" w:rsidRDefault="00993304" w:rsidP="00993304">
                      <w:r w:rsidRPr="001F45B5">
                        <w:t>- Outcomes are not relevant (n=</w:t>
                      </w:r>
                      <w:r>
                        <w:t>4</w:t>
                      </w:r>
                      <w:r w:rsidRPr="001F45B5">
                        <w:t>)</w:t>
                      </w:r>
                    </w:p>
                  </w:txbxContent>
                </v:textbox>
              </v:shape>
            </w:pict>
          </mc:Fallback>
        </mc:AlternateContent>
      </w:r>
      <w:r w:rsidRPr="001316CE">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13EF868E" wp14:editId="6709AB3C">
                <wp:simplePos x="0" y="0"/>
                <wp:positionH relativeFrom="column">
                  <wp:posOffset>790658</wp:posOffset>
                </wp:positionH>
                <wp:positionV relativeFrom="paragraph">
                  <wp:posOffset>125287</wp:posOffset>
                </wp:positionV>
                <wp:extent cx="2468880" cy="614183"/>
                <wp:effectExtent l="0" t="0" r="26670" b="14605"/>
                <wp:wrapNone/>
                <wp:docPr id="38493423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614183"/>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63B3CE08" w14:textId="77777777" w:rsidR="00993304" w:rsidRPr="001F45B5" w:rsidRDefault="00993304" w:rsidP="00993304">
                            <w:pPr>
                              <w:jc w:val="center"/>
                            </w:pPr>
                            <w:r w:rsidRPr="001F45B5">
                              <w:t>Full text assessment of articles</w:t>
                            </w:r>
                          </w:p>
                          <w:p w14:paraId="03F3FFBF" w14:textId="77777777" w:rsidR="00993304" w:rsidRPr="001F45B5" w:rsidRDefault="00993304" w:rsidP="00993304">
                            <w:pPr>
                              <w:jc w:val="center"/>
                            </w:pPr>
                            <w:r w:rsidRPr="001F45B5">
                              <w:t xml:space="preserve">(N= </w:t>
                            </w:r>
                            <w:r>
                              <w:t>60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EF868E" id="Text Box 5" o:spid="_x0000_s1034" type="#_x0000_t202" style="position:absolute;left:0;text-align:left;margin-left:62.25pt;margin-top:9.85pt;width:194.4pt;height:48.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" fillcolor="#4fc5f2 [2167]" strokecolor="#0f9ed5 [3207]" strokeweight=".5pt">
                <v:fill color2="#2ab8f0 [2615]" rotate="t" colors="0 #9ccff5;.5 #8fc4eb;1 #79beed" focus="100%" type="gradient">
                  <o:fill v:ext="view" type="gradientUnscaled"/>
                </v:fill>
                <v:textbox>
                  <w:txbxContent>
                    <w:p w14:paraId="63B3CE08" w14:textId="77777777" w:rsidR="00993304" w:rsidRPr="001F45B5" w:rsidRDefault="00993304" w:rsidP="00993304">
                      <w:pPr>
                        <w:jc w:val="center"/>
                      </w:pPr>
                      <w:r w:rsidRPr="001F45B5">
                        <w:t>Full text assessment of articles</w:t>
                      </w:r>
                    </w:p>
                    <w:p w14:paraId="03F3FFBF" w14:textId="77777777" w:rsidR="00993304" w:rsidRPr="001F45B5" w:rsidRDefault="00993304" w:rsidP="00993304">
                      <w:pPr>
                        <w:jc w:val="center"/>
                      </w:pPr>
                      <w:r w:rsidRPr="001F45B5">
                        <w:t xml:space="preserve">(N= </w:t>
                      </w:r>
                      <w:r>
                        <w:t>60</w:t>
                      </w:r>
                      <w:r w:rsidRPr="001F45B5">
                        <w:t>)</w:t>
                      </w:r>
                    </w:p>
                  </w:txbxContent>
                </v:textbox>
              </v:shape>
            </w:pict>
          </mc:Fallback>
        </mc:AlternateContent>
      </w:r>
    </w:p>
    <w:p w14:paraId="7F746724"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78FAF8BB" wp14:editId="4F251944">
                <wp:simplePos x="0" y="0"/>
                <wp:positionH relativeFrom="column">
                  <wp:posOffset>3276600</wp:posOffset>
                </wp:positionH>
                <wp:positionV relativeFrom="paragraph">
                  <wp:posOffset>48895</wp:posOffset>
                </wp:positionV>
                <wp:extent cx="541020" cy="152400"/>
                <wp:effectExtent l="0" t="19050" r="30480" b="38100"/>
                <wp:wrapNone/>
                <wp:docPr id="321962932" name="Arrow: Righ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ln/>
                      </wps:spPr>
                      <wps:style>
                        <a:lnRef idx="2">
                          <a:schemeClr val="dk1">
                            <a:shade val="15000"/>
                          </a:schemeClr>
                        </a:lnRef>
                        <a:fillRef idx="1">
                          <a:schemeClr val="dk1"/>
                        </a:fillRef>
                        <a:effectRef idx="0">
                          <a:schemeClr val="dk1"/>
                        </a:effectRef>
                        <a:fontRef idx="minor">
                          <a:schemeClr val="lt1"/>
                        </a:fontRef>
                      </wps:style>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F0A716" id="Arrow: Right 4" o:spid="_x0000_s1026" type="#_x0000_t13" style="position:absolute;margin-left:258pt;margin-top:3.85pt;width:42.6pt;height: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" fillcolor="black [3200]" strokecolor="black [480]" strokeweight="1pt"/>
            </w:pict>
          </mc:Fallback>
        </mc:AlternateContent>
      </w:r>
    </w:p>
    <w:p w14:paraId="2FA5CF88"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5D471EF1" wp14:editId="0C7AEA35">
                <wp:simplePos x="0" y="0"/>
                <wp:positionH relativeFrom="column">
                  <wp:posOffset>1813560</wp:posOffset>
                </wp:positionH>
                <wp:positionV relativeFrom="paragraph">
                  <wp:posOffset>45085</wp:posOffset>
                </wp:positionV>
                <wp:extent cx="266700" cy="251460"/>
                <wp:effectExtent l="38100" t="0" r="19050" b="34290"/>
                <wp:wrapNone/>
                <wp:docPr id="1823943668"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ln/>
                      </wps:spPr>
                      <wps:style>
                        <a:lnRef idx="2">
                          <a:schemeClr val="dk1">
                            <a:shade val="15000"/>
                          </a:schemeClr>
                        </a:lnRef>
                        <a:fillRef idx="1">
                          <a:schemeClr val="dk1"/>
                        </a:fillRef>
                        <a:effectRef idx="0">
                          <a:schemeClr val="dk1"/>
                        </a:effectRef>
                        <a:fontRef idx="minor">
                          <a:schemeClr val="lt1"/>
                        </a:fontRef>
                      </wps:style>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5B8369" id="Arrow: Down 2" o:spid="_x0000_s1026" type="#_x0000_t67" style="position:absolute;margin-left:142.8pt;margin-top:3.55pt;width:21pt;height:1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" fillcolor="black [3200]" strokecolor="black [480]" strokeweight="1pt">
                <v:textbox style="layout-flow:vertical-ideographic"/>
              </v:shape>
            </w:pict>
          </mc:Fallback>
        </mc:AlternateContent>
      </w:r>
    </w:p>
    <w:p w14:paraId="07176D33" w14:textId="77777777" w:rsidR="00993304" w:rsidRPr="001316CE" w:rsidRDefault="00993304" w:rsidP="001A6776">
      <w:pPr>
        <w:spacing w:before="240" w:after="0" w:line="360" w:lineRule="auto"/>
        <w:jc w:val="both"/>
        <w:rPr>
          <w:rFonts w:ascii="Arial" w:hAnsi="Arial" w:cs="Arial"/>
          <w:color w:val="000000" w:themeColor="text1"/>
        </w:rPr>
      </w:pPr>
      <w:r w:rsidRPr="001316CE">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6277A0E2" wp14:editId="2263EFB2">
                <wp:simplePos x="0" y="0"/>
                <wp:positionH relativeFrom="column">
                  <wp:posOffset>30480</wp:posOffset>
                </wp:positionH>
                <wp:positionV relativeFrom="paragraph">
                  <wp:posOffset>3810</wp:posOffset>
                </wp:positionV>
                <wp:extent cx="403860" cy="838200"/>
                <wp:effectExtent l="0" t="0" r="15240" b="19050"/>
                <wp:wrapNone/>
                <wp:docPr id="35190020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860" cy="838200"/>
                        </a:xfrm>
                        <a:prstGeom prst="rect">
                          <a:avLst/>
                        </a:prstGeom>
                        <a:ln>
                          <a:headEnd/>
                          <a:tailEnd/>
                        </a:ln>
                      </wps:spPr>
                      <wps:style>
                        <a:lnRef idx="2">
                          <a:schemeClr val="accent2">
                            <a:shade val="15000"/>
                          </a:schemeClr>
                        </a:lnRef>
                        <a:fillRef idx="1">
                          <a:schemeClr val="accent2"/>
                        </a:fillRef>
                        <a:effectRef idx="0">
                          <a:schemeClr val="accent2"/>
                        </a:effectRef>
                        <a:fontRef idx="minor">
                          <a:schemeClr val="lt1"/>
                        </a:fontRef>
                      </wps:style>
                      <wps:txbx>
                        <w:txbxContent>
                          <w:p w14:paraId="1AABAB87" w14:textId="77777777" w:rsidR="00993304" w:rsidRPr="001F45B5" w:rsidRDefault="00993304" w:rsidP="00993304">
                            <w:pPr>
                              <w:jc w:val="center"/>
                            </w:pPr>
                            <w:r w:rsidRPr="001F45B5">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77A0E2" id="Text Box 3" o:spid="_x0000_s1035" type="#_x0000_t202" style="position:absolute;left:0;text-align:left;margin-left:2.4pt;margin-top:.3pt;width:31.8pt;height:6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" fillcolor="#e97132 [3205]" strokecolor="#250f04 [485]" strokeweight="1pt">
                <v:textbox style="layout-flow:vertical;mso-layout-flow-alt:bottom-to-top">
                  <w:txbxContent>
                    <w:p w14:paraId="1AABAB87" w14:textId="77777777" w:rsidR="00993304" w:rsidRPr="001F45B5" w:rsidRDefault="00993304" w:rsidP="00993304">
                      <w:pPr>
                        <w:jc w:val="center"/>
                      </w:pPr>
                      <w:r w:rsidRPr="001F45B5">
                        <w:t>Included</w:t>
                      </w:r>
                    </w:p>
                  </w:txbxContent>
                </v:textbox>
              </v:shape>
            </w:pict>
          </mc:Fallback>
        </mc:AlternateContent>
      </w:r>
      <w:r w:rsidRPr="001316CE">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6EEF4139" wp14:editId="6BA6256F">
                <wp:simplePos x="0" y="0"/>
                <wp:positionH relativeFrom="column">
                  <wp:posOffset>739471</wp:posOffset>
                </wp:positionH>
                <wp:positionV relativeFrom="paragraph">
                  <wp:posOffset>35615</wp:posOffset>
                </wp:positionV>
                <wp:extent cx="2468880" cy="866692"/>
                <wp:effectExtent l="0" t="0" r="26670" b="10160"/>
                <wp:wrapNone/>
                <wp:docPr id="158932196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866692"/>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1F30D96F" w14:textId="77777777" w:rsidR="00993304" w:rsidRPr="001F45B5" w:rsidRDefault="00993304" w:rsidP="00993304">
                            <w:pPr>
                              <w:jc w:val="center"/>
                            </w:pPr>
                            <w:r w:rsidRPr="001F45B5">
                              <w:t>Article meeting inclusion criteria/ selected articles</w:t>
                            </w:r>
                          </w:p>
                          <w:p w14:paraId="3012489F" w14:textId="77777777" w:rsidR="00993304" w:rsidRPr="001F45B5" w:rsidRDefault="00993304" w:rsidP="00993304">
                            <w:pPr>
                              <w:jc w:val="center"/>
                            </w:pPr>
                            <w:r w:rsidRPr="001F45B5">
                              <w:t xml:space="preserve">(N= </w:t>
                            </w:r>
                            <w:r>
                              <w:t>10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EF4139" id="Text Box 1" o:spid="_x0000_s1036" type="#_x0000_t202" style="position:absolute;left:0;text-align:left;margin-left:58.25pt;margin-top:2.8pt;width:194.4pt;height:6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" fillcolor="#4fc5f2 [2167]" strokecolor="#0f9ed5 [3207]" strokeweight=".5pt">
                <v:fill color2="#2ab8f0 [2615]" rotate="t" colors="0 #9ccff5;.5 #8fc4eb;1 #79beed" focus="100%" type="gradient">
                  <o:fill v:ext="view" type="gradientUnscaled"/>
                </v:fill>
                <v:textbox>
                  <w:txbxContent>
                    <w:p w14:paraId="1F30D96F" w14:textId="77777777" w:rsidR="00993304" w:rsidRPr="001F45B5" w:rsidRDefault="00993304" w:rsidP="00993304">
                      <w:pPr>
                        <w:jc w:val="center"/>
                      </w:pPr>
                      <w:r w:rsidRPr="001F45B5">
                        <w:t>Article meeting inclusion criteria/ selected articles</w:t>
                      </w:r>
                    </w:p>
                    <w:p w14:paraId="3012489F" w14:textId="77777777" w:rsidR="00993304" w:rsidRPr="001F45B5" w:rsidRDefault="00993304" w:rsidP="00993304">
                      <w:pPr>
                        <w:jc w:val="center"/>
                      </w:pPr>
                      <w:r w:rsidRPr="001F45B5">
                        <w:t xml:space="preserve">(N= </w:t>
                      </w:r>
                      <w:r>
                        <w:t>10</w:t>
                      </w:r>
                      <w:r w:rsidRPr="001F45B5">
                        <w:t>)</w:t>
                      </w:r>
                    </w:p>
                  </w:txbxContent>
                </v:textbox>
              </v:shape>
            </w:pict>
          </mc:Fallback>
        </mc:AlternateContent>
      </w:r>
    </w:p>
    <w:p w14:paraId="28C4FA5F" w14:textId="77777777" w:rsidR="00993304" w:rsidRDefault="00993304" w:rsidP="001A6776">
      <w:pPr>
        <w:spacing w:before="240" w:after="0" w:line="360" w:lineRule="auto"/>
        <w:jc w:val="both"/>
        <w:rPr>
          <w:rFonts w:ascii="Arial" w:hAnsi="Arial" w:cs="Arial"/>
          <w:color w:val="000000" w:themeColor="text1"/>
        </w:rPr>
      </w:pPr>
    </w:p>
    <w:bookmarkEnd w:id="48"/>
    <w:p w14:paraId="1B3DA0B7" w14:textId="77777777" w:rsidR="00993304" w:rsidRPr="00BA0BD1" w:rsidRDefault="00993304" w:rsidP="001A6776">
      <w:pPr>
        <w:spacing w:before="240" w:after="0" w:line="360" w:lineRule="auto"/>
        <w:jc w:val="both"/>
        <w:rPr>
          <w:rFonts w:ascii="Arial" w:hAnsi="Arial" w:cs="Arial"/>
        </w:rPr>
      </w:pPr>
    </w:p>
    <w:p w14:paraId="264B5A1C" w14:textId="77777777" w:rsidR="00993304" w:rsidRPr="00BA0BD1" w:rsidRDefault="00993304" w:rsidP="001A6776">
      <w:pPr>
        <w:pStyle w:val="Heading1"/>
      </w:pPr>
      <w:bookmarkStart w:id="49" w:name="_Toc220760176"/>
      <w:r>
        <w:t xml:space="preserve">4.3 </w:t>
      </w:r>
      <w:r w:rsidRPr="00BA0BD1">
        <w:t>Data Extraction</w:t>
      </w:r>
      <w:bookmarkEnd w:id="49"/>
    </w:p>
    <w:p w14:paraId="33CC9E8B" w14:textId="19304271" w:rsidR="00993304" w:rsidRPr="00BA0BD1" w:rsidRDefault="00993304" w:rsidP="001A6776">
      <w:pPr>
        <w:spacing w:before="240" w:after="0" w:line="360" w:lineRule="auto"/>
        <w:jc w:val="both"/>
        <w:rPr>
          <w:rFonts w:ascii="Arial" w:hAnsi="Arial" w:cs="Arial"/>
        </w:rPr>
      </w:pPr>
      <w:r w:rsidRPr="00BA0BD1">
        <w:rPr>
          <w:rFonts w:ascii="Arial" w:hAnsi="Arial" w:cs="Arial"/>
        </w:rPr>
        <w:t xml:space="preserve">Data extraction was conducted systematically using a structured data extraction table </w:t>
      </w:r>
      <w:r w:rsidR="00053746">
        <w:rPr>
          <w:rFonts w:ascii="Arial" w:hAnsi="Arial" w:cs="Arial"/>
        </w:rPr>
        <w:t xml:space="preserve">(see Table 4.1 below) </w:t>
      </w:r>
      <w:r w:rsidRPr="00BA0BD1">
        <w:rPr>
          <w:rFonts w:ascii="Arial" w:hAnsi="Arial" w:cs="Arial"/>
        </w:rPr>
        <w:t>to ensure consistency and accuracy across studies</w:t>
      </w:r>
      <w:r>
        <w:rPr>
          <w:rFonts w:ascii="Arial" w:hAnsi="Arial" w:cs="Arial"/>
        </w:rPr>
        <w:t xml:space="preserve"> (</w:t>
      </w:r>
      <w:r w:rsidRPr="009C7250">
        <w:rPr>
          <w:rFonts w:ascii="Arial" w:hAnsi="Arial" w:cs="Arial"/>
        </w:rPr>
        <w:t>Caldwell</w:t>
      </w:r>
      <w:r>
        <w:rPr>
          <w:rFonts w:ascii="Arial" w:hAnsi="Arial" w:cs="Arial"/>
        </w:rPr>
        <w:t xml:space="preserve"> and </w:t>
      </w:r>
      <w:r w:rsidRPr="009C7250">
        <w:rPr>
          <w:rFonts w:ascii="Arial" w:hAnsi="Arial" w:cs="Arial"/>
        </w:rPr>
        <w:t>Bennett</w:t>
      </w:r>
      <w:r>
        <w:rPr>
          <w:rFonts w:ascii="Arial" w:hAnsi="Arial" w:cs="Arial"/>
        </w:rPr>
        <w:t>, 2020)</w:t>
      </w:r>
      <w:r w:rsidRPr="00BA0BD1">
        <w:rPr>
          <w:rFonts w:ascii="Arial" w:hAnsi="Arial" w:cs="Arial"/>
        </w:rPr>
        <w:t>. Key information extracted included author(s), year of publication, study design, sample characteristics, South Asian subgroups represented, and the UK setting. In addition, data relating to identified barriers to accessing Alzheimer’s care</w:t>
      </w:r>
      <w:r>
        <w:rPr>
          <w:rFonts w:ascii="Arial" w:hAnsi="Arial" w:cs="Arial"/>
        </w:rPr>
        <w:t xml:space="preserve">, </w:t>
      </w:r>
      <w:r w:rsidRPr="00BA0BD1">
        <w:rPr>
          <w:rFonts w:ascii="Arial" w:hAnsi="Arial" w:cs="Arial"/>
        </w:rPr>
        <w:t>such as cultural beliefs, stigma, language difficulties, lack of awareness, and mistrust of healthcare services</w:t>
      </w:r>
      <w:r>
        <w:rPr>
          <w:rFonts w:ascii="Arial" w:hAnsi="Arial" w:cs="Arial"/>
        </w:rPr>
        <w:t xml:space="preserve">, </w:t>
      </w:r>
      <w:r w:rsidRPr="00BA0BD1">
        <w:rPr>
          <w:rFonts w:ascii="Arial" w:hAnsi="Arial" w:cs="Arial"/>
        </w:rPr>
        <w:t xml:space="preserve">were recorded. Where available, information on proposed or </w:t>
      </w:r>
      <w:r w:rsidRPr="00BA0BD1">
        <w:rPr>
          <w:rFonts w:ascii="Arial" w:hAnsi="Arial" w:cs="Arial"/>
        </w:rPr>
        <w:lastRenderedPageBreak/>
        <w:t>evaluated strategies to improve access, including culturally adapted services, community engagement initiatives, and use of interpreters or translated materials, was also extracted.</w:t>
      </w:r>
    </w:p>
    <w:p w14:paraId="4BEB0114" w14:textId="77777777" w:rsidR="00993304" w:rsidRDefault="00993304" w:rsidP="001A6776">
      <w:pPr>
        <w:spacing w:after="0" w:line="360" w:lineRule="auto"/>
        <w:jc w:val="both"/>
        <w:rPr>
          <w:rFonts w:ascii="Arial" w:hAnsi="Arial" w:cs="Arial"/>
        </w:rPr>
      </w:pPr>
      <w:r w:rsidRPr="00BA0BD1">
        <w:rPr>
          <w:rFonts w:ascii="Arial" w:hAnsi="Arial" w:cs="Arial"/>
        </w:rPr>
        <w:t>Following extraction, the data were carefully reviewed and synthesised using a narrative thematic approach</w:t>
      </w:r>
      <w:r>
        <w:rPr>
          <w:rFonts w:ascii="Arial" w:hAnsi="Arial" w:cs="Arial"/>
        </w:rPr>
        <w:t xml:space="preserve"> (</w:t>
      </w:r>
      <w:r w:rsidRPr="009C7250">
        <w:rPr>
          <w:rFonts w:ascii="Arial" w:hAnsi="Arial" w:cs="Arial"/>
        </w:rPr>
        <w:t>Caldwell</w:t>
      </w:r>
      <w:r>
        <w:rPr>
          <w:rFonts w:ascii="Arial" w:hAnsi="Arial" w:cs="Arial"/>
        </w:rPr>
        <w:t xml:space="preserve"> and </w:t>
      </w:r>
      <w:r w:rsidRPr="009C7250">
        <w:rPr>
          <w:rFonts w:ascii="Arial" w:hAnsi="Arial" w:cs="Arial"/>
        </w:rPr>
        <w:t>Bennett</w:t>
      </w:r>
      <w:r>
        <w:rPr>
          <w:rFonts w:ascii="Arial" w:hAnsi="Arial" w:cs="Arial"/>
        </w:rPr>
        <w:t>, 2020)</w:t>
      </w:r>
      <w:r w:rsidRPr="00BA0BD1">
        <w:rPr>
          <w:rFonts w:ascii="Arial" w:hAnsi="Arial" w:cs="Arial"/>
        </w:rPr>
        <w:t>. This process involved comparing and grouping findings across studies to identify recurring patterns and key themes relevant to the research objectives. Attention was paid to similarities and differences across South Asian subgroups and study designs to enhance the depth of analysis. This structured approach to data extraction and synthesis provided a robust foundation for the thematic presentation of results and the subsequent discussion in later chapters</w:t>
      </w:r>
      <w:r>
        <w:rPr>
          <w:rFonts w:ascii="Arial" w:hAnsi="Arial" w:cs="Arial"/>
        </w:rPr>
        <w:t xml:space="preserve"> (</w:t>
      </w:r>
      <w:r w:rsidRPr="009C7250">
        <w:rPr>
          <w:rFonts w:ascii="Arial" w:hAnsi="Arial" w:cs="Arial"/>
        </w:rPr>
        <w:t>Caldwell</w:t>
      </w:r>
      <w:r>
        <w:rPr>
          <w:rFonts w:ascii="Arial" w:hAnsi="Arial" w:cs="Arial"/>
        </w:rPr>
        <w:t xml:space="preserve"> and </w:t>
      </w:r>
      <w:r w:rsidRPr="009C7250">
        <w:rPr>
          <w:rFonts w:ascii="Arial" w:hAnsi="Arial" w:cs="Arial"/>
        </w:rPr>
        <w:t>Bennett</w:t>
      </w:r>
      <w:r>
        <w:rPr>
          <w:rFonts w:ascii="Arial" w:hAnsi="Arial" w:cs="Arial"/>
        </w:rPr>
        <w:t>, 2020)</w:t>
      </w:r>
      <w:r w:rsidRPr="00BA0BD1">
        <w:rPr>
          <w:rFonts w:ascii="Arial" w:hAnsi="Arial" w:cs="Arial"/>
        </w:rPr>
        <w:t>.</w:t>
      </w:r>
    </w:p>
    <w:p w14:paraId="01429F28" w14:textId="77777777" w:rsidR="001E579A" w:rsidRDefault="001E579A" w:rsidP="001A6776">
      <w:pPr>
        <w:spacing w:after="0" w:line="360" w:lineRule="auto"/>
        <w:jc w:val="both"/>
        <w:rPr>
          <w:rFonts w:ascii="Arial" w:hAnsi="Arial" w:cs="Arial"/>
        </w:rPr>
      </w:pPr>
    </w:p>
    <w:p w14:paraId="11953A27" w14:textId="77777777" w:rsidR="00993304" w:rsidRDefault="00993304" w:rsidP="001A6776">
      <w:pPr>
        <w:pStyle w:val="Heading2"/>
        <w:spacing w:after="0"/>
      </w:pPr>
      <w:bookmarkStart w:id="50" w:name="_Toc220760177"/>
      <w:r>
        <w:t xml:space="preserve">Table </w:t>
      </w:r>
      <w:r w:rsidRPr="00C41F51">
        <w:t>4.</w:t>
      </w:r>
      <w:r>
        <w:t xml:space="preserve">1: </w:t>
      </w:r>
      <w:r w:rsidRPr="00C41F51">
        <w:t>Data extraction table</w:t>
      </w:r>
      <w:bookmarkEnd w:id="50"/>
    </w:p>
    <w:p w14:paraId="25794537" w14:textId="77777777" w:rsidR="001E579A" w:rsidRPr="001E579A" w:rsidRDefault="001E579A" w:rsidP="001E579A"/>
    <w:tbl>
      <w:tblPr>
        <w:tblStyle w:val="TableGrid"/>
        <w:tblW w:w="11058" w:type="dxa"/>
        <w:tblInd w:w="-998" w:type="dxa"/>
        <w:tblCellMar>
          <w:left w:w="57" w:type="dxa"/>
          <w:right w:w="57" w:type="dxa"/>
        </w:tblCellMar>
        <w:tblLook w:val="04A0" w:firstRow="1" w:lastRow="0" w:firstColumn="1" w:lastColumn="0" w:noHBand="0" w:noVBand="1"/>
      </w:tblPr>
      <w:tblGrid>
        <w:gridCol w:w="882"/>
        <w:gridCol w:w="1551"/>
        <w:gridCol w:w="1253"/>
        <w:gridCol w:w="1416"/>
        <w:gridCol w:w="1406"/>
        <w:gridCol w:w="1431"/>
        <w:gridCol w:w="1332"/>
        <w:gridCol w:w="1787"/>
      </w:tblGrid>
      <w:tr w:rsidR="00567B84" w:rsidRPr="00742DFD" w14:paraId="5D38638D"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hideMark/>
          </w:tcPr>
          <w:p w14:paraId="24E4B480" w14:textId="77777777" w:rsidR="00993304" w:rsidRPr="000D5EB8" w:rsidRDefault="00993304" w:rsidP="001A6776">
            <w:pPr>
              <w:spacing w:line="278" w:lineRule="auto"/>
              <w:rPr>
                <w:rFonts w:ascii="Arial" w:hAnsi="Arial" w:cs="Arial"/>
                <w:b/>
                <w:bCs/>
                <w:sz w:val="16"/>
                <w:szCs w:val="16"/>
              </w:rPr>
            </w:pPr>
            <w:r w:rsidRPr="000D5EB8">
              <w:rPr>
                <w:rFonts w:ascii="Arial" w:hAnsi="Arial" w:cs="Arial"/>
                <w:b/>
                <w:bCs/>
                <w:sz w:val="16"/>
                <w:szCs w:val="16"/>
              </w:rPr>
              <w:t>Study Author’s name/ year</w:t>
            </w:r>
          </w:p>
        </w:tc>
        <w:tc>
          <w:tcPr>
            <w:tcW w:w="1551" w:type="dxa"/>
            <w:tcBorders>
              <w:top w:val="single" w:sz="4" w:space="0" w:color="auto"/>
              <w:left w:val="single" w:sz="4" w:space="0" w:color="auto"/>
              <w:bottom w:val="single" w:sz="4" w:space="0" w:color="auto"/>
              <w:right w:val="single" w:sz="4" w:space="0" w:color="auto"/>
            </w:tcBorders>
            <w:hideMark/>
          </w:tcPr>
          <w:p w14:paraId="74ED4D2A" w14:textId="77777777" w:rsidR="00993304" w:rsidRPr="000D5EB8" w:rsidRDefault="00993304" w:rsidP="001A6776">
            <w:pPr>
              <w:spacing w:line="278" w:lineRule="auto"/>
              <w:rPr>
                <w:rFonts w:ascii="Arial" w:hAnsi="Arial" w:cs="Arial"/>
                <w:b/>
                <w:bCs/>
                <w:sz w:val="16"/>
                <w:szCs w:val="16"/>
              </w:rPr>
            </w:pPr>
            <w:r w:rsidRPr="000D5EB8">
              <w:rPr>
                <w:rFonts w:ascii="Arial" w:hAnsi="Arial" w:cs="Arial"/>
                <w:b/>
                <w:bCs/>
                <w:sz w:val="16"/>
                <w:szCs w:val="16"/>
              </w:rPr>
              <w:t>Objective/purpose</w:t>
            </w:r>
          </w:p>
        </w:tc>
        <w:tc>
          <w:tcPr>
            <w:tcW w:w="1253" w:type="dxa"/>
            <w:tcBorders>
              <w:top w:val="single" w:sz="4" w:space="0" w:color="auto"/>
              <w:left w:val="single" w:sz="4" w:space="0" w:color="auto"/>
              <w:bottom w:val="single" w:sz="4" w:space="0" w:color="auto"/>
              <w:right w:val="single" w:sz="4" w:space="0" w:color="auto"/>
            </w:tcBorders>
            <w:hideMark/>
          </w:tcPr>
          <w:p w14:paraId="4EB64D14" w14:textId="77777777" w:rsidR="00993304" w:rsidRPr="000D5EB8" w:rsidRDefault="00993304" w:rsidP="001A6776">
            <w:pPr>
              <w:spacing w:line="278" w:lineRule="auto"/>
              <w:rPr>
                <w:rFonts w:ascii="Arial" w:hAnsi="Arial" w:cs="Arial"/>
                <w:b/>
                <w:bCs/>
                <w:sz w:val="16"/>
                <w:szCs w:val="16"/>
              </w:rPr>
            </w:pPr>
            <w:r w:rsidRPr="000D5EB8">
              <w:rPr>
                <w:rFonts w:ascii="Arial" w:hAnsi="Arial" w:cs="Arial"/>
                <w:b/>
                <w:bCs/>
                <w:sz w:val="16"/>
                <w:szCs w:val="16"/>
              </w:rPr>
              <w:t xml:space="preserve">Setting/sample </w:t>
            </w:r>
          </w:p>
        </w:tc>
        <w:tc>
          <w:tcPr>
            <w:tcW w:w="1416" w:type="dxa"/>
            <w:tcBorders>
              <w:top w:val="single" w:sz="4" w:space="0" w:color="auto"/>
              <w:left w:val="single" w:sz="4" w:space="0" w:color="auto"/>
              <w:bottom w:val="single" w:sz="4" w:space="0" w:color="auto"/>
              <w:right w:val="single" w:sz="4" w:space="0" w:color="auto"/>
            </w:tcBorders>
            <w:hideMark/>
          </w:tcPr>
          <w:p w14:paraId="42B7C5D1" w14:textId="77777777" w:rsidR="00993304" w:rsidRPr="000D5EB8" w:rsidRDefault="00993304" w:rsidP="001A6776">
            <w:pPr>
              <w:spacing w:line="278" w:lineRule="auto"/>
              <w:rPr>
                <w:rFonts w:ascii="Arial" w:hAnsi="Arial" w:cs="Arial"/>
                <w:b/>
                <w:bCs/>
                <w:sz w:val="16"/>
                <w:szCs w:val="16"/>
              </w:rPr>
            </w:pPr>
            <w:r w:rsidRPr="000D5EB8">
              <w:rPr>
                <w:rFonts w:ascii="Arial" w:hAnsi="Arial" w:cs="Arial"/>
                <w:b/>
                <w:bCs/>
                <w:sz w:val="16"/>
                <w:szCs w:val="16"/>
              </w:rPr>
              <w:t xml:space="preserve">Study design </w:t>
            </w:r>
          </w:p>
        </w:tc>
        <w:tc>
          <w:tcPr>
            <w:tcW w:w="1406" w:type="dxa"/>
            <w:tcBorders>
              <w:top w:val="single" w:sz="4" w:space="0" w:color="auto"/>
              <w:left w:val="single" w:sz="4" w:space="0" w:color="auto"/>
              <w:bottom w:val="single" w:sz="4" w:space="0" w:color="auto"/>
              <w:right w:val="single" w:sz="4" w:space="0" w:color="auto"/>
            </w:tcBorders>
            <w:hideMark/>
          </w:tcPr>
          <w:p w14:paraId="1F2CBCB1" w14:textId="77777777" w:rsidR="00993304" w:rsidRPr="000D5EB8" w:rsidRDefault="00993304" w:rsidP="001A6776">
            <w:pPr>
              <w:spacing w:line="278" w:lineRule="auto"/>
              <w:rPr>
                <w:rFonts w:ascii="Arial" w:hAnsi="Arial" w:cs="Arial"/>
                <w:b/>
                <w:bCs/>
                <w:sz w:val="16"/>
                <w:szCs w:val="16"/>
              </w:rPr>
            </w:pPr>
            <w:r w:rsidRPr="000D5EB8">
              <w:rPr>
                <w:rFonts w:ascii="Arial" w:hAnsi="Arial" w:cs="Arial"/>
                <w:b/>
                <w:bCs/>
                <w:sz w:val="16"/>
                <w:szCs w:val="16"/>
              </w:rPr>
              <w:t xml:space="preserve">Strength </w:t>
            </w:r>
          </w:p>
        </w:tc>
        <w:tc>
          <w:tcPr>
            <w:tcW w:w="1431" w:type="dxa"/>
            <w:tcBorders>
              <w:top w:val="single" w:sz="4" w:space="0" w:color="auto"/>
              <w:left w:val="single" w:sz="4" w:space="0" w:color="auto"/>
              <w:bottom w:val="single" w:sz="4" w:space="0" w:color="auto"/>
              <w:right w:val="single" w:sz="4" w:space="0" w:color="auto"/>
            </w:tcBorders>
            <w:hideMark/>
          </w:tcPr>
          <w:p w14:paraId="124F9D02" w14:textId="77777777" w:rsidR="00993304" w:rsidRPr="000D5EB8" w:rsidRDefault="00993304" w:rsidP="001A6776">
            <w:pPr>
              <w:spacing w:line="278" w:lineRule="auto"/>
              <w:rPr>
                <w:rFonts w:ascii="Arial" w:hAnsi="Arial" w:cs="Arial"/>
                <w:b/>
                <w:bCs/>
                <w:sz w:val="16"/>
                <w:szCs w:val="16"/>
              </w:rPr>
            </w:pPr>
            <w:r w:rsidRPr="000D5EB8">
              <w:rPr>
                <w:rFonts w:ascii="Arial" w:hAnsi="Arial" w:cs="Arial"/>
                <w:b/>
                <w:bCs/>
                <w:sz w:val="16"/>
                <w:szCs w:val="16"/>
              </w:rPr>
              <w:t xml:space="preserve">weakness </w:t>
            </w:r>
          </w:p>
        </w:tc>
        <w:tc>
          <w:tcPr>
            <w:tcW w:w="1332" w:type="dxa"/>
            <w:tcBorders>
              <w:top w:val="single" w:sz="4" w:space="0" w:color="auto"/>
              <w:left w:val="single" w:sz="4" w:space="0" w:color="auto"/>
              <w:bottom w:val="single" w:sz="4" w:space="0" w:color="auto"/>
              <w:right w:val="single" w:sz="4" w:space="0" w:color="auto"/>
            </w:tcBorders>
          </w:tcPr>
          <w:p w14:paraId="13470CE0" w14:textId="77777777" w:rsidR="00993304" w:rsidRPr="000D5EB8" w:rsidRDefault="00993304" w:rsidP="001A6776">
            <w:pPr>
              <w:spacing w:line="278" w:lineRule="auto"/>
              <w:rPr>
                <w:rFonts w:ascii="Arial" w:hAnsi="Arial" w:cs="Arial"/>
                <w:b/>
                <w:bCs/>
                <w:sz w:val="16"/>
                <w:szCs w:val="16"/>
              </w:rPr>
            </w:pPr>
            <w:r w:rsidRPr="000D5EB8">
              <w:rPr>
                <w:rFonts w:ascii="Arial" w:hAnsi="Arial" w:cs="Arial"/>
                <w:b/>
                <w:bCs/>
                <w:sz w:val="16"/>
                <w:szCs w:val="16"/>
              </w:rPr>
              <w:t xml:space="preserve">Results /outcomes </w:t>
            </w:r>
          </w:p>
          <w:p w14:paraId="27C5BB3A" w14:textId="77777777" w:rsidR="00993304" w:rsidRPr="000D5EB8" w:rsidRDefault="00993304" w:rsidP="001A6776">
            <w:pPr>
              <w:spacing w:line="278" w:lineRule="auto"/>
              <w:rPr>
                <w:rFonts w:ascii="Arial" w:hAnsi="Arial" w:cs="Arial"/>
                <w:b/>
                <w:bCs/>
                <w:sz w:val="16"/>
                <w:szCs w:val="16"/>
              </w:rPr>
            </w:pPr>
          </w:p>
        </w:tc>
        <w:tc>
          <w:tcPr>
            <w:tcW w:w="1787" w:type="dxa"/>
            <w:tcBorders>
              <w:top w:val="single" w:sz="4" w:space="0" w:color="auto"/>
              <w:left w:val="single" w:sz="4" w:space="0" w:color="auto"/>
              <w:bottom w:val="single" w:sz="4" w:space="0" w:color="auto"/>
              <w:right w:val="single" w:sz="4" w:space="0" w:color="auto"/>
            </w:tcBorders>
            <w:hideMark/>
          </w:tcPr>
          <w:p w14:paraId="67AC6F58" w14:textId="77777777" w:rsidR="00993304" w:rsidRPr="000D5EB8" w:rsidRDefault="00993304" w:rsidP="001A6776">
            <w:pPr>
              <w:spacing w:line="278" w:lineRule="auto"/>
              <w:rPr>
                <w:rFonts w:ascii="Arial" w:hAnsi="Arial" w:cs="Arial"/>
                <w:b/>
                <w:bCs/>
                <w:sz w:val="16"/>
                <w:szCs w:val="16"/>
              </w:rPr>
            </w:pPr>
            <w:r w:rsidRPr="000D5EB8">
              <w:rPr>
                <w:rFonts w:ascii="Arial" w:hAnsi="Arial" w:cs="Arial"/>
                <w:b/>
                <w:bCs/>
                <w:sz w:val="16"/>
                <w:szCs w:val="16"/>
              </w:rPr>
              <w:t xml:space="preserve">Conclusion </w:t>
            </w:r>
          </w:p>
        </w:tc>
      </w:tr>
      <w:tr w:rsidR="00567B84" w:rsidRPr="00742DFD" w14:paraId="74298789" w14:textId="77777777" w:rsidTr="00C32AFD">
        <w:trPr>
          <w:trHeight w:val="451"/>
        </w:trPr>
        <w:tc>
          <w:tcPr>
            <w:tcW w:w="882" w:type="dxa"/>
            <w:tcBorders>
              <w:top w:val="single" w:sz="4" w:space="0" w:color="auto"/>
              <w:left w:val="single" w:sz="4" w:space="0" w:color="auto"/>
              <w:bottom w:val="single" w:sz="4" w:space="0" w:color="auto"/>
              <w:right w:val="single" w:sz="4" w:space="0" w:color="auto"/>
            </w:tcBorders>
          </w:tcPr>
          <w:p w14:paraId="574FF73B" w14:textId="77777777" w:rsidR="00993304" w:rsidRPr="000D5EB8" w:rsidRDefault="00993304" w:rsidP="001A6776">
            <w:pPr>
              <w:spacing w:line="278" w:lineRule="auto"/>
              <w:rPr>
                <w:rFonts w:ascii="Arial" w:hAnsi="Arial" w:cs="Arial"/>
                <w:sz w:val="16"/>
                <w:szCs w:val="16"/>
              </w:rPr>
            </w:pPr>
            <w:r w:rsidRPr="00086DBE">
              <w:rPr>
                <w:rFonts w:ascii="Arial" w:hAnsi="Arial" w:cs="Arial"/>
                <w:sz w:val="16"/>
                <w:szCs w:val="16"/>
              </w:rPr>
              <w:t>Hossain</w:t>
            </w:r>
            <w:r>
              <w:rPr>
                <w:rFonts w:ascii="Arial" w:hAnsi="Arial" w:cs="Arial"/>
                <w:sz w:val="16"/>
                <w:szCs w:val="16"/>
              </w:rPr>
              <w:t xml:space="preserve"> and Khan, 2020</w:t>
            </w:r>
          </w:p>
        </w:tc>
        <w:tc>
          <w:tcPr>
            <w:tcW w:w="1551" w:type="dxa"/>
            <w:tcBorders>
              <w:top w:val="single" w:sz="4" w:space="0" w:color="auto"/>
              <w:left w:val="single" w:sz="4" w:space="0" w:color="auto"/>
              <w:bottom w:val="single" w:sz="4" w:space="0" w:color="auto"/>
              <w:right w:val="single" w:sz="4" w:space="0" w:color="auto"/>
            </w:tcBorders>
          </w:tcPr>
          <w:p w14:paraId="31CC7890" w14:textId="77777777" w:rsidR="00993304" w:rsidRPr="000D5EB8" w:rsidRDefault="00993304" w:rsidP="001A6776">
            <w:pPr>
              <w:spacing w:line="278" w:lineRule="auto"/>
              <w:rPr>
                <w:rFonts w:ascii="Arial" w:hAnsi="Arial" w:cs="Arial"/>
                <w:sz w:val="16"/>
                <w:szCs w:val="16"/>
              </w:rPr>
            </w:pPr>
            <w:r w:rsidRPr="00A0513F">
              <w:rPr>
                <w:rFonts w:ascii="Arial" w:hAnsi="Arial" w:cs="Arial"/>
                <w:sz w:val="16"/>
                <w:szCs w:val="16"/>
              </w:rPr>
              <w:t>To examine barriers to health care service use for dementia within the Bangladeshi community living in the UK, with a focus on cultural, religious, and systemic factors influencing access to care.</w:t>
            </w:r>
          </w:p>
        </w:tc>
        <w:tc>
          <w:tcPr>
            <w:tcW w:w="1253" w:type="dxa"/>
            <w:tcBorders>
              <w:top w:val="single" w:sz="4" w:space="0" w:color="auto"/>
              <w:left w:val="single" w:sz="4" w:space="0" w:color="auto"/>
              <w:bottom w:val="single" w:sz="4" w:space="0" w:color="auto"/>
              <w:right w:val="single" w:sz="4" w:space="0" w:color="auto"/>
            </w:tcBorders>
          </w:tcPr>
          <w:p w14:paraId="0C39F5E5" w14:textId="31F471B6"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Bangladeshi ethnic minority community in England</w:t>
            </w:r>
            <w:r>
              <w:rPr>
                <w:rFonts w:ascii="Arial" w:hAnsi="Arial" w:cs="Arial"/>
                <w:sz w:val="16"/>
                <w:szCs w:val="16"/>
              </w:rPr>
              <w:t>,</w:t>
            </w:r>
            <w:r w:rsidRPr="00567B84">
              <w:rPr>
                <w:rFonts w:ascii="Arial" w:hAnsi="Arial" w:cs="Arial"/>
                <w:sz w:val="16"/>
                <w:szCs w:val="16"/>
              </w:rPr>
              <w:t xml:space="preserve"> caregivers and community members.</w:t>
            </w:r>
          </w:p>
        </w:tc>
        <w:tc>
          <w:tcPr>
            <w:tcW w:w="1416" w:type="dxa"/>
            <w:tcBorders>
              <w:top w:val="single" w:sz="4" w:space="0" w:color="auto"/>
              <w:left w:val="single" w:sz="4" w:space="0" w:color="auto"/>
              <w:bottom w:val="single" w:sz="4" w:space="0" w:color="auto"/>
              <w:right w:val="single" w:sz="4" w:space="0" w:color="auto"/>
            </w:tcBorders>
          </w:tcPr>
          <w:p w14:paraId="269B13E8" w14:textId="5192CFF8"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Qualitative study using focus groups and semi-structured interviews; thematic analysis (NVivo).</w:t>
            </w:r>
          </w:p>
        </w:tc>
        <w:tc>
          <w:tcPr>
            <w:tcW w:w="1406" w:type="dxa"/>
            <w:tcBorders>
              <w:top w:val="single" w:sz="4" w:space="0" w:color="auto"/>
              <w:left w:val="single" w:sz="4" w:space="0" w:color="auto"/>
              <w:bottom w:val="single" w:sz="4" w:space="0" w:color="auto"/>
              <w:right w:val="single" w:sz="4" w:space="0" w:color="auto"/>
            </w:tcBorders>
          </w:tcPr>
          <w:p w14:paraId="26576A39" w14:textId="44A6ED85"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 xml:space="preserve">Focus on under-researched </w:t>
            </w:r>
            <w:r>
              <w:rPr>
                <w:rFonts w:ascii="Arial" w:hAnsi="Arial" w:cs="Arial"/>
                <w:sz w:val="16"/>
                <w:szCs w:val="16"/>
              </w:rPr>
              <w:t>groups,</w:t>
            </w:r>
            <w:r w:rsidRPr="00567B84">
              <w:rPr>
                <w:rFonts w:ascii="Arial" w:hAnsi="Arial" w:cs="Arial"/>
                <w:sz w:val="16"/>
                <w:szCs w:val="16"/>
              </w:rPr>
              <w:t xml:space="preserve"> rich qualitative data</w:t>
            </w:r>
            <w:r>
              <w:rPr>
                <w:rFonts w:ascii="Arial" w:hAnsi="Arial" w:cs="Arial"/>
                <w:sz w:val="16"/>
                <w:szCs w:val="16"/>
              </w:rPr>
              <w:t>, and</w:t>
            </w:r>
            <w:r w:rsidRPr="00567B84">
              <w:rPr>
                <w:rFonts w:ascii="Arial" w:hAnsi="Arial" w:cs="Arial"/>
                <w:sz w:val="16"/>
                <w:szCs w:val="16"/>
              </w:rPr>
              <w:t xml:space="preserve"> in-depth cultural insights.</w:t>
            </w:r>
          </w:p>
        </w:tc>
        <w:tc>
          <w:tcPr>
            <w:tcW w:w="1431" w:type="dxa"/>
            <w:tcBorders>
              <w:top w:val="single" w:sz="4" w:space="0" w:color="auto"/>
              <w:left w:val="single" w:sz="4" w:space="0" w:color="auto"/>
              <w:bottom w:val="single" w:sz="4" w:space="0" w:color="auto"/>
              <w:right w:val="single" w:sz="4" w:space="0" w:color="auto"/>
            </w:tcBorders>
          </w:tcPr>
          <w:p w14:paraId="0292D65E" w14:textId="51A9D770"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Limited generalisability; unclear sample size; potential researcher bias.</w:t>
            </w:r>
          </w:p>
        </w:tc>
        <w:tc>
          <w:tcPr>
            <w:tcW w:w="1332" w:type="dxa"/>
            <w:tcBorders>
              <w:top w:val="single" w:sz="4" w:space="0" w:color="auto"/>
              <w:left w:val="single" w:sz="4" w:space="0" w:color="auto"/>
              <w:bottom w:val="single" w:sz="4" w:space="0" w:color="auto"/>
              <w:right w:val="single" w:sz="4" w:space="0" w:color="auto"/>
            </w:tcBorders>
          </w:tcPr>
          <w:p w14:paraId="56367677" w14:textId="418BFA89"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Cultural and religious beliefs, gender roles, and healthcare system complexity hinder access; need for culturally and religiously sensitive services.</w:t>
            </w:r>
          </w:p>
        </w:tc>
        <w:tc>
          <w:tcPr>
            <w:tcW w:w="1787" w:type="dxa"/>
            <w:tcBorders>
              <w:top w:val="single" w:sz="4" w:space="0" w:color="auto"/>
              <w:left w:val="single" w:sz="4" w:space="0" w:color="auto"/>
              <w:bottom w:val="single" w:sz="4" w:space="0" w:color="auto"/>
              <w:right w:val="single" w:sz="4" w:space="0" w:color="auto"/>
            </w:tcBorders>
          </w:tcPr>
          <w:p w14:paraId="026B946B" w14:textId="77777777" w:rsidR="00993304" w:rsidRPr="000D5EB8" w:rsidRDefault="00993304" w:rsidP="001A6776">
            <w:pPr>
              <w:spacing w:line="278" w:lineRule="auto"/>
              <w:rPr>
                <w:rFonts w:ascii="Arial" w:hAnsi="Arial" w:cs="Arial"/>
                <w:sz w:val="16"/>
                <w:szCs w:val="16"/>
              </w:rPr>
            </w:pPr>
            <w:r w:rsidRPr="00A0513F">
              <w:rPr>
                <w:rFonts w:ascii="Arial" w:hAnsi="Arial" w:cs="Arial"/>
                <w:sz w:val="16"/>
                <w:szCs w:val="16"/>
              </w:rPr>
              <w:t>The study highlights the significant role of religious, cultural, and systemic barriers in shaping healthcare access for the Bangladeshi community. Findings emphasise the need for religiously tailored and culturally appropriate dementia services to improve access and engagement within this population.</w:t>
            </w:r>
          </w:p>
        </w:tc>
      </w:tr>
      <w:tr w:rsidR="00567B84" w:rsidRPr="00742DFD" w14:paraId="5E8A321D"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tcPr>
          <w:p w14:paraId="78419B96" w14:textId="77777777" w:rsidR="00993304" w:rsidRPr="000D5EB8" w:rsidRDefault="00993304" w:rsidP="001A6776">
            <w:pPr>
              <w:spacing w:line="278" w:lineRule="auto"/>
              <w:rPr>
                <w:rFonts w:ascii="Arial" w:hAnsi="Arial" w:cs="Arial"/>
                <w:sz w:val="16"/>
                <w:szCs w:val="16"/>
              </w:rPr>
            </w:pPr>
            <w:r w:rsidRPr="00F30539">
              <w:rPr>
                <w:rFonts w:ascii="Arial" w:hAnsi="Arial" w:cs="Arial"/>
                <w:sz w:val="16"/>
                <w:szCs w:val="16"/>
              </w:rPr>
              <w:t>James</w:t>
            </w:r>
            <w:r>
              <w:rPr>
                <w:rFonts w:ascii="Arial" w:hAnsi="Arial" w:cs="Arial"/>
                <w:sz w:val="16"/>
                <w:szCs w:val="16"/>
              </w:rPr>
              <w:t xml:space="preserve"> et al, 2024</w:t>
            </w:r>
          </w:p>
        </w:tc>
        <w:tc>
          <w:tcPr>
            <w:tcW w:w="1551" w:type="dxa"/>
            <w:tcBorders>
              <w:top w:val="single" w:sz="4" w:space="0" w:color="auto"/>
              <w:left w:val="single" w:sz="4" w:space="0" w:color="auto"/>
              <w:bottom w:val="single" w:sz="4" w:space="0" w:color="auto"/>
              <w:right w:val="single" w:sz="4" w:space="0" w:color="auto"/>
            </w:tcBorders>
          </w:tcPr>
          <w:p w14:paraId="07FAD457" w14:textId="77777777" w:rsidR="00993304" w:rsidRPr="000D5EB8" w:rsidRDefault="00993304" w:rsidP="001A6776">
            <w:pPr>
              <w:spacing w:line="278" w:lineRule="auto"/>
              <w:rPr>
                <w:rFonts w:ascii="Arial" w:hAnsi="Arial" w:cs="Arial"/>
                <w:sz w:val="16"/>
                <w:szCs w:val="16"/>
              </w:rPr>
            </w:pPr>
            <w:r w:rsidRPr="00F30539">
              <w:rPr>
                <w:rFonts w:ascii="Arial" w:hAnsi="Arial" w:cs="Arial"/>
                <w:sz w:val="16"/>
                <w:szCs w:val="16"/>
              </w:rPr>
              <w:t>To explore the care and support received and desired by UK South Asian and White British people affected by dementia, and to examine whether access to dementia care is equitable across ethnic groups.</w:t>
            </w:r>
          </w:p>
        </w:tc>
        <w:tc>
          <w:tcPr>
            <w:tcW w:w="1253" w:type="dxa"/>
            <w:tcBorders>
              <w:top w:val="single" w:sz="4" w:space="0" w:color="auto"/>
              <w:left w:val="single" w:sz="4" w:space="0" w:color="auto"/>
              <w:bottom w:val="single" w:sz="4" w:space="0" w:color="auto"/>
              <w:right w:val="single" w:sz="4" w:space="0" w:color="auto"/>
            </w:tcBorders>
          </w:tcPr>
          <w:p w14:paraId="3CB0B10C" w14:textId="566CC7B9"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Eight NHS memory clinics (London, Leicester); 62 participants (people with dementia, carers, clinicians).</w:t>
            </w:r>
          </w:p>
        </w:tc>
        <w:tc>
          <w:tcPr>
            <w:tcW w:w="1416" w:type="dxa"/>
            <w:tcBorders>
              <w:top w:val="single" w:sz="4" w:space="0" w:color="auto"/>
              <w:left w:val="single" w:sz="4" w:space="0" w:color="auto"/>
              <w:bottom w:val="single" w:sz="4" w:space="0" w:color="auto"/>
              <w:right w:val="single" w:sz="4" w:space="0" w:color="auto"/>
            </w:tcBorders>
          </w:tcPr>
          <w:p w14:paraId="6184EFFA" w14:textId="77777777" w:rsidR="00993304" w:rsidRPr="000D5EB8" w:rsidRDefault="00993304" w:rsidP="001A6776">
            <w:pPr>
              <w:spacing w:line="278" w:lineRule="auto"/>
              <w:rPr>
                <w:rFonts w:ascii="Arial" w:hAnsi="Arial" w:cs="Arial"/>
                <w:sz w:val="16"/>
                <w:szCs w:val="16"/>
              </w:rPr>
            </w:pPr>
            <w:r w:rsidRPr="00F30539">
              <w:rPr>
                <w:rFonts w:ascii="Arial" w:hAnsi="Arial" w:cs="Arial"/>
                <w:sz w:val="16"/>
                <w:szCs w:val="16"/>
              </w:rPr>
              <w:t>Qualitative study using semi-structured interviews guided by a topic guide; data analysed using reflexive thematic analysis.</w:t>
            </w:r>
          </w:p>
        </w:tc>
        <w:tc>
          <w:tcPr>
            <w:tcW w:w="1406" w:type="dxa"/>
            <w:tcBorders>
              <w:top w:val="single" w:sz="4" w:space="0" w:color="auto"/>
              <w:left w:val="single" w:sz="4" w:space="0" w:color="auto"/>
              <w:bottom w:val="single" w:sz="4" w:space="0" w:color="auto"/>
              <w:right w:val="single" w:sz="4" w:space="0" w:color="auto"/>
            </w:tcBorders>
          </w:tcPr>
          <w:p w14:paraId="43F722C3" w14:textId="4385902D"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Multiple perspectives; maximum variation sampling; multi-site NHS context.</w:t>
            </w:r>
          </w:p>
        </w:tc>
        <w:tc>
          <w:tcPr>
            <w:tcW w:w="1431" w:type="dxa"/>
            <w:tcBorders>
              <w:top w:val="single" w:sz="4" w:space="0" w:color="auto"/>
              <w:left w:val="single" w:sz="4" w:space="0" w:color="auto"/>
              <w:bottom w:val="single" w:sz="4" w:space="0" w:color="auto"/>
              <w:right w:val="single" w:sz="4" w:space="0" w:color="auto"/>
            </w:tcBorders>
          </w:tcPr>
          <w:p w14:paraId="7AFD5D9D" w14:textId="1DFDBD32"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Small sample size; limited generalisability; potential recall and social desirability bias.</w:t>
            </w:r>
          </w:p>
        </w:tc>
        <w:tc>
          <w:tcPr>
            <w:tcW w:w="1332" w:type="dxa"/>
            <w:tcBorders>
              <w:top w:val="single" w:sz="4" w:space="0" w:color="auto"/>
              <w:left w:val="single" w:sz="4" w:space="0" w:color="auto"/>
              <w:bottom w:val="single" w:sz="4" w:space="0" w:color="auto"/>
              <w:right w:val="single" w:sz="4" w:space="0" w:color="auto"/>
            </w:tcBorders>
          </w:tcPr>
          <w:p w14:paraId="64FD5AE0" w14:textId="38E11676"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Shared language and communication valued; care preferences varied within ethnic groups; resources and English proficiency improved access.</w:t>
            </w:r>
          </w:p>
        </w:tc>
        <w:tc>
          <w:tcPr>
            <w:tcW w:w="1787" w:type="dxa"/>
            <w:tcBorders>
              <w:top w:val="single" w:sz="4" w:space="0" w:color="auto"/>
              <w:left w:val="single" w:sz="4" w:space="0" w:color="auto"/>
              <w:bottom w:val="single" w:sz="4" w:space="0" w:color="auto"/>
              <w:right w:val="single" w:sz="4" w:space="0" w:color="auto"/>
            </w:tcBorders>
          </w:tcPr>
          <w:p w14:paraId="6694338A" w14:textId="7CC2B712"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Dementia care access is shaped more by individual resources than ethnicity alone, though South Asian families face added challenges due to limited culturally appropriate services.</w:t>
            </w:r>
          </w:p>
        </w:tc>
      </w:tr>
      <w:tr w:rsidR="00567B84" w:rsidRPr="00742DFD" w14:paraId="48B59789"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tcPr>
          <w:p w14:paraId="76B15B79" w14:textId="77777777" w:rsidR="00993304" w:rsidRPr="000D5EB8" w:rsidRDefault="00993304" w:rsidP="001A6776">
            <w:pPr>
              <w:spacing w:line="278" w:lineRule="auto"/>
              <w:rPr>
                <w:rFonts w:ascii="Arial" w:hAnsi="Arial" w:cs="Arial"/>
                <w:sz w:val="16"/>
                <w:szCs w:val="16"/>
              </w:rPr>
            </w:pPr>
            <w:r w:rsidRPr="0050357F">
              <w:rPr>
                <w:rFonts w:ascii="Arial" w:hAnsi="Arial" w:cs="Arial"/>
                <w:sz w:val="16"/>
                <w:szCs w:val="16"/>
              </w:rPr>
              <w:t>Hailstone</w:t>
            </w:r>
            <w:r>
              <w:rPr>
                <w:rFonts w:ascii="Arial" w:hAnsi="Arial" w:cs="Arial"/>
                <w:sz w:val="16"/>
                <w:szCs w:val="16"/>
              </w:rPr>
              <w:t xml:space="preserve"> et al, 2017</w:t>
            </w:r>
          </w:p>
        </w:tc>
        <w:tc>
          <w:tcPr>
            <w:tcW w:w="1551" w:type="dxa"/>
            <w:tcBorders>
              <w:top w:val="single" w:sz="4" w:space="0" w:color="auto"/>
              <w:left w:val="single" w:sz="4" w:space="0" w:color="auto"/>
              <w:bottom w:val="single" w:sz="4" w:space="0" w:color="auto"/>
              <w:right w:val="single" w:sz="4" w:space="0" w:color="auto"/>
            </w:tcBorders>
          </w:tcPr>
          <w:p w14:paraId="0D0F221A" w14:textId="77777777" w:rsidR="00993304" w:rsidRPr="000D5EB8" w:rsidRDefault="00993304" w:rsidP="001A6776">
            <w:pPr>
              <w:spacing w:line="278" w:lineRule="auto"/>
              <w:rPr>
                <w:rFonts w:ascii="Arial" w:hAnsi="Arial" w:cs="Arial"/>
                <w:sz w:val="16"/>
                <w:szCs w:val="16"/>
              </w:rPr>
            </w:pPr>
            <w:r w:rsidRPr="00E16190">
              <w:rPr>
                <w:rFonts w:ascii="Arial" w:hAnsi="Arial" w:cs="Arial"/>
                <w:sz w:val="16"/>
                <w:szCs w:val="16"/>
              </w:rPr>
              <w:t xml:space="preserve">To develop and validate a culturally appropriate questionnaire, based on the Theory of Planned </w:t>
            </w:r>
            <w:r w:rsidRPr="00E16190">
              <w:rPr>
                <w:rFonts w:ascii="Arial" w:hAnsi="Arial" w:cs="Arial"/>
                <w:sz w:val="16"/>
                <w:szCs w:val="16"/>
              </w:rPr>
              <w:lastRenderedPageBreak/>
              <w:t>Behaviour, to measure attitudes predicting medical help-seeking for dementia among UK-based South Asian people and to inform future interventions promoting earlier service use.</w:t>
            </w:r>
          </w:p>
        </w:tc>
        <w:tc>
          <w:tcPr>
            <w:tcW w:w="1253" w:type="dxa"/>
            <w:tcBorders>
              <w:top w:val="single" w:sz="4" w:space="0" w:color="auto"/>
              <w:left w:val="single" w:sz="4" w:space="0" w:color="auto"/>
              <w:bottom w:val="single" w:sz="4" w:space="0" w:color="auto"/>
              <w:right w:val="single" w:sz="4" w:space="0" w:color="auto"/>
            </w:tcBorders>
          </w:tcPr>
          <w:p w14:paraId="189BFDB7" w14:textId="347449B5"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lastRenderedPageBreak/>
              <w:t>UK South Asian population; focus groups and questionnaire participants.</w:t>
            </w:r>
          </w:p>
        </w:tc>
        <w:tc>
          <w:tcPr>
            <w:tcW w:w="1416" w:type="dxa"/>
            <w:tcBorders>
              <w:top w:val="single" w:sz="4" w:space="0" w:color="auto"/>
              <w:left w:val="single" w:sz="4" w:space="0" w:color="auto"/>
              <w:bottom w:val="single" w:sz="4" w:space="0" w:color="auto"/>
              <w:right w:val="single" w:sz="4" w:space="0" w:color="auto"/>
            </w:tcBorders>
          </w:tcPr>
          <w:p w14:paraId="336106C9" w14:textId="5C7EFEC3"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Mixed-methods; qualitative focus groups and quantitative questionnaire validation.</w:t>
            </w:r>
          </w:p>
        </w:tc>
        <w:tc>
          <w:tcPr>
            <w:tcW w:w="1406" w:type="dxa"/>
            <w:tcBorders>
              <w:top w:val="single" w:sz="4" w:space="0" w:color="auto"/>
              <w:left w:val="single" w:sz="4" w:space="0" w:color="auto"/>
              <w:bottom w:val="single" w:sz="4" w:space="0" w:color="auto"/>
              <w:right w:val="single" w:sz="4" w:space="0" w:color="auto"/>
            </w:tcBorders>
          </w:tcPr>
          <w:p w14:paraId="2C4E146D" w14:textId="29584F34"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 xml:space="preserve">Theory-driven (Theory of Planned Behaviour); culturally tailored tool; strong </w:t>
            </w:r>
            <w:r w:rsidRPr="00567B84">
              <w:rPr>
                <w:rFonts w:ascii="Arial" w:hAnsi="Arial" w:cs="Arial"/>
                <w:sz w:val="16"/>
                <w:szCs w:val="16"/>
              </w:rPr>
              <w:lastRenderedPageBreak/>
              <w:t>psychometric validity.</w:t>
            </w:r>
          </w:p>
        </w:tc>
        <w:tc>
          <w:tcPr>
            <w:tcW w:w="1431" w:type="dxa"/>
            <w:tcBorders>
              <w:top w:val="single" w:sz="4" w:space="0" w:color="auto"/>
              <w:left w:val="single" w:sz="4" w:space="0" w:color="auto"/>
              <w:bottom w:val="single" w:sz="4" w:space="0" w:color="auto"/>
              <w:right w:val="single" w:sz="4" w:space="0" w:color="auto"/>
            </w:tcBorders>
          </w:tcPr>
          <w:p w14:paraId="4A727768" w14:textId="55293353"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lastRenderedPageBreak/>
              <w:t xml:space="preserve">Sample size/details unclear; cross-sectional design; attitudes measured rather </w:t>
            </w:r>
            <w:r w:rsidRPr="00567B84">
              <w:rPr>
                <w:rFonts w:ascii="Arial" w:hAnsi="Arial" w:cs="Arial"/>
                <w:sz w:val="16"/>
                <w:szCs w:val="16"/>
              </w:rPr>
              <w:lastRenderedPageBreak/>
              <w:t>than actual behaviour.</w:t>
            </w:r>
          </w:p>
        </w:tc>
        <w:tc>
          <w:tcPr>
            <w:tcW w:w="1332" w:type="dxa"/>
            <w:tcBorders>
              <w:top w:val="single" w:sz="4" w:space="0" w:color="auto"/>
              <w:left w:val="single" w:sz="4" w:space="0" w:color="auto"/>
              <w:bottom w:val="single" w:sz="4" w:space="0" w:color="auto"/>
              <w:right w:val="single" w:sz="4" w:space="0" w:color="auto"/>
            </w:tcBorders>
          </w:tcPr>
          <w:p w14:paraId="245BBA82" w14:textId="51EF568A"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lastRenderedPageBreak/>
              <w:t xml:space="preserve">Social pressure and family beliefs strongly predicted willingness to seek help; </w:t>
            </w:r>
            <w:r w:rsidRPr="00567B84">
              <w:rPr>
                <w:rFonts w:ascii="Arial" w:hAnsi="Arial" w:cs="Arial"/>
                <w:sz w:val="16"/>
                <w:szCs w:val="16"/>
              </w:rPr>
              <w:lastRenderedPageBreak/>
              <w:t>attitudes explained 77% of variance; knowledge not linked to help-seeking.</w:t>
            </w:r>
          </w:p>
        </w:tc>
        <w:tc>
          <w:tcPr>
            <w:tcW w:w="1787" w:type="dxa"/>
            <w:tcBorders>
              <w:top w:val="single" w:sz="4" w:space="0" w:color="auto"/>
              <w:left w:val="single" w:sz="4" w:space="0" w:color="auto"/>
              <w:bottom w:val="single" w:sz="4" w:space="0" w:color="auto"/>
              <w:right w:val="single" w:sz="4" w:space="0" w:color="auto"/>
            </w:tcBorders>
          </w:tcPr>
          <w:p w14:paraId="6E0ECC04" w14:textId="77777777" w:rsidR="00993304" w:rsidRPr="000D5EB8" w:rsidRDefault="00993304" w:rsidP="001A6776">
            <w:pPr>
              <w:spacing w:line="278" w:lineRule="auto"/>
              <w:rPr>
                <w:rFonts w:ascii="Arial" w:hAnsi="Arial" w:cs="Arial"/>
                <w:sz w:val="16"/>
                <w:szCs w:val="16"/>
              </w:rPr>
            </w:pPr>
            <w:r w:rsidRPr="00E16190">
              <w:rPr>
                <w:rFonts w:ascii="Arial" w:hAnsi="Arial" w:cs="Arial"/>
                <w:sz w:val="16"/>
                <w:szCs w:val="16"/>
              </w:rPr>
              <w:lastRenderedPageBreak/>
              <w:t xml:space="preserve">The APEND questionnaire is a valid and reliable tool for assessing attitudes influencing dementia help-seeking among </w:t>
            </w:r>
            <w:r w:rsidRPr="00E16190">
              <w:rPr>
                <w:rFonts w:ascii="Arial" w:hAnsi="Arial" w:cs="Arial"/>
                <w:sz w:val="16"/>
                <w:szCs w:val="16"/>
              </w:rPr>
              <w:lastRenderedPageBreak/>
              <w:t>South Asian populations. Findings suggest that interventions should prioritise modifying social norms, beliefs, and attitudes rather than solely increasing dementia knowledge to promote earlier access to care.</w:t>
            </w:r>
          </w:p>
        </w:tc>
      </w:tr>
      <w:tr w:rsidR="00567B84" w:rsidRPr="00742DFD" w14:paraId="536DE698"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tcPr>
          <w:p w14:paraId="798333C4" w14:textId="77777777" w:rsidR="00993304" w:rsidRPr="000D5EB8" w:rsidRDefault="00993304" w:rsidP="001A6776">
            <w:pPr>
              <w:spacing w:line="278" w:lineRule="auto"/>
              <w:rPr>
                <w:rFonts w:ascii="Arial" w:hAnsi="Arial" w:cs="Arial"/>
                <w:sz w:val="16"/>
                <w:szCs w:val="16"/>
              </w:rPr>
            </w:pPr>
            <w:r w:rsidRPr="00F80AF1">
              <w:rPr>
                <w:rFonts w:ascii="Arial" w:hAnsi="Arial" w:cs="Arial"/>
                <w:sz w:val="16"/>
                <w:szCs w:val="16"/>
              </w:rPr>
              <w:lastRenderedPageBreak/>
              <w:t>Jutlla</w:t>
            </w:r>
            <w:r>
              <w:rPr>
                <w:rFonts w:ascii="Arial" w:hAnsi="Arial" w:cs="Arial"/>
                <w:sz w:val="16"/>
                <w:szCs w:val="16"/>
              </w:rPr>
              <w:t xml:space="preserve"> and </w:t>
            </w:r>
            <w:r w:rsidRPr="00F80AF1">
              <w:rPr>
                <w:rFonts w:ascii="Arial" w:hAnsi="Arial" w:cs="Arial"/>
                <w:sz w:val="16"/>
                <w:szCs w:val="16"/>
              </w:rPr>
              <w:t>Arblaster</w:t>
            </w:r>
            <w:r>
              <w:rPr>
                <w:rFonts w:ascii="Arial" w:hAnsi="Arial" w:cs="Arial"/>
                <w:sz w:val="16"/>
                <w:szCs w:val="16"/>
              </w:rPr>
              <w:t>, 2023</w:t>
            </w:r>
          </w:p>
        </w:tc>
        <w:tc>
          <w:tcPr>
            <w:tcW w:w="1551" w:type="dxa"/>
            <w:tcBorders>
              <w:top w:val="single" w:sz="4" w:space="0" w:color="auto"/>
              <w:left w:val="single" w:sz="4" w:space="0" w:color="auto"/>
              <w:bottom w:val="single" w:sz="4" w:space="0" w:color="auto"/>
              <w:right w:val="single" w:sz="4" w:space="0" w:color="auto"/>
            </w:tcBorders>
          </w:tcPr>
          <w:p w14:paraId="3965CD9B" w14:textId="77777777" w:rsidR="00993304" w:rsidRPr="000D5EB8" w:rsidRDefault="00993304" w:rsidP="001A6776">
            <w:pPr>
              <w:spacing w:line="278" w:lineRule="auto"/>
              <w:rPr>
                <w:rFonts w:ascii="Arial" w:hAnsi="Arial" w:cs="Arial"/>
                <w:sz w:val="16"/>
                <w:szCs w:val="16"/>
              </w:rPr>
            </w:pPr>
            <w:r w:rsidRPr="00244DB5">
              <w:rPr>
                <w:rFonts w:ascii="Arial" w:hAnsi="Arial" w:cs="Arial"/>
                <w:sz w:val="16"/>
                <w:szCs w:val="16"/>
              </w:rPr>
              <w:t>To explore the experiences of post-diagnostic dementia support among the South Asian community in England and to identify whether current post-diagnostic support services meet their needs.</w:t>
            </w:r>
          </w:p>
        </w:tc>
        <w:tc>
          <w:tcPr>
            <w:tcW w:w="1253" w:type="dxa"/>
            <w:tcBorders>
              <w:top w:val="single" w:sz="4" w:space="0" w:color="auto"/>
              <w:left w:val="single" w:sz="4" w:space="0" w:color="auto"/>
              <w:bottom w:val="single" w:sz="4" w:space="0" w:color="auto"/>
              <w:right w:val="single" w:sz="4" w:space="0" w:color="auto"/>
            </w:tcBorders>
          </w:tcPr>
          <w:p w14:paraId="118D8043" w14:textId="54DD08D4"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England; 12 South Asian carers and 1 person living with dementia.</w:t>
            </w:r>
          </w:p>
        </w:tc>
        <w:tc>
          <w:tcPr>
            <w:tcW w:w="1416" w:type="dxa"/>
            <w:tcBorders>
              <w:top w:val="single" w:sz="4" w:space="0" w:color="auto"/>
              <w:left w:val="single" w:sz="4" w:space="0" w:color="auto"/>
              <w:bottom w:val="single" w:sz="4" w:space="0" w:color="auto"/>
              <w:right w:val="single" w:sz="4" w:space="0" w:color="auto"/>
            </w:tcBorders>
          </w:tcPr>
          <w:p w14:paraId="7C7E52B8" w14:textId="72933881"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Qualitative case study using in-depth online interviews; thematic analysis.</w:t>
            </w:r>
          </w:p>
        </w:tc>
        <w:tc>
          <w:tcPr>
            <w:tcW w:w="1406" w:type="dxa"/>
            <w:tcBorders>
              <w:top w:val="single" w:sz="4" w:space="0" w:color="auto"/>
              <w:left w:val="single" w:sz="4" w:space="0" w:color="auto"/>
              <w:bottom w:val="single" w:sz="4" w:space="0" w:color="auto"/>
              <w:right w:val="single" w:sz="4" w:space="0" w:color="auto"/>
            </w:tcBorders>
          </w:tcPr>
          <w:p w14:paraId="15384885" w14:textId="035F4073"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Focus on under-researched post-diagnostic stage; strong policy relevance; rich lived-experience data.</w:t>
            </w:r>
          </w:p>
        </w:tc>
        <w:tc>
          <w:tcPr>
            <w:tcW w:w="1431" w:type="dxa"/>
            <w:tcBorders>
              <w:top w:val="single" w:sz="4" w:space="0" w:color="auto"/>
              <w:left w:val="single" w:sz="4" w:space="0" w:color="auto"/>
              <w:bottom w:val="single" w:sz="4" w:space="0" w:color="auto"/>
              <w:right w:val="single" w:sz="4" w:space="0" w:color="auto"/>
            </w:tcBorders>
          </w:tcPr>
          <w:p w14:paraId="2B42CA8B" w14:textId="15540136"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Very small sample; limited representation of people with dementia; digital access bias.</w:t>
            </w:r>
          </w:p>
        </w:tc>
        <w:tc>
          <w:tcPr>
            <w:tcW w:w="1332" w:type="dxa"/>
            <w:tcBorders>
              <w:top w:val="single" w:sz="4" w:space="0" w:color="auto"/>
              <w:left w:val="single" w:sz="4" w:space="0" w:color="auto"/>
              <w:bottom w:val="single" w:sz="4" w:space="0" w:color="auto"/>
              <w:right w:val="single" w:sz="4" w:space="0" w:color="auto"/>
            </w:tcBorders>
          </w:tcPr>
          <w:p w14:paraId="3C610120" w14:textId="75212019"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Minimal post-diagnostic support; lack of culturally appropriate services; cultural mismatch reduced effectiveness.</w:t>
            </w:r>
          </w:p>
        </w:tc>
        <w:tc>
          <w:tcPr>
            <w:tcW w:w="1787" w:type="dxa"/>
            <w:tcBorders>
              <w:top w:val="single" w:sz="4" w:space="0" w:color="auto"/>
              <w:left w:val="single" w:sz="4" w:space="0" w:color="auto"/>
              <w:bottom w:val="single" w:sz="4" w:space="0" w:color="auto"/>
              <w:right w:val="single" w:sz="4" w:space="0" w:color="auto"/>
            </w:tcBorders>
          </w:tcPr>
          <w:p w14:paraId="7074FF2A" w14:textId="77777777" w:rsidR="00993304" w:rsidRPr="000D5EB8" w:rsidRDefault="00993304" w:rsidP="001A6776">
            <w:pPr>
              <w:spacing w:line="278" w:lineRule="auto"/>
              <w:rPr>
                <w:rFonts w:ascii="Arial" w:hAnsi="Arial" w:cs="Arial"/>
                <w:sz w:val="16"/>
                <w:szCs w:val="16"/>
              </w:rPr>
            </w:pPr>
            <w:r w:rsidRPr="00244DB5">
              <w:rPr>
                <w:rFonts w:ascii="Arial" w:hAnsi="Arial" w:cs="Arial"/>
                <w:sz w:val="16"/>
                <w:szCs w:val="16"/>
              </w:rPr>
              <w:t>The study highlights significant unmet post-diagnostic support needs among South Asian communities in England. Culturally inclusive and co-produced dementia services, developed in partnership with South Asian service users and carers, are essential to improve access, effectiveness, and overall care experiences.</w:t>
            </w:r>
          </w:p>
        </w:tc>
      </w:tr>
      <w:tr w:rsidR="00567B84" w:rsidRPr="00742DFD" w14:paraId="588DDC3F"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tcPr>
          <w:p w14:paraId="3A342445" w14:textId="77777777" w:rsidR="00993304" w:rsidRPr="000D5EB8" w:rsidRDefault="00993304" w:rsidP="001A6776">
            <w:pPr>
              <w:spacing w:line="278" w:lineRule="auto"/>
              <w:rPr>
                <w:rFonts w:ascii="Arial" w:hAnsi="Arial" w:cs="Arial"/>
                <w:sz w:val="16"/>
                <w:szCs w:val="16"/>
              </w:rPr>
            </w:pPr>
            <w:r w:rsidRPr="007074A6">
              <w:rPr>
                <w:rFonts w:ascii="Arial" w:hAnsi="Arial" w:cs="Arial"/>
                <w:sz w:val="16"/>
                <w:szCs w:val="16"/>
              </w:rPr>
              <w:t>Regan, 2015</w:t>
            </w:r>
          </w:p>
        </w:tc>
        <w:tc>
          <w:tcPr>
            <w:tcW w:w="1551" w:type="dxa"/>
            <w:tcBorders>
              <w:top w:val="single" w:sz="4" w:space="0" w:color="auto"/>
              <w:left w:val="single" w:sz="4" w:space="0" w:color="auto"/>
              <w:bottom w:val="single" w:sz="4" w:space="0" w:color="auto"/>
              <w:right w:val="single" w:sz="4" w:space="0" w:color="auto"/>
            </w:tcBorders>
          </w:tcPr>
          <w:p w14:paraId="7D6036BE" w14:textId="77777777" w:rsidR="00993304" w:rsidRPr="000D5EB8" w:rsidRDefault="00993304" w:rsidP="001A6776">
            <w:pPr>
              <w:spacing w:line="278" w:lineRule="auto"/>
              <w:rPr>
                <w:rFonts w:ascii="Arial" w:hAnsi="Arial" w:cs="Arial"/>
                <w:sz w:val="16"/>
                <w:szCs w:val="16"/>
              </w:rPr>
            </w:pPr>
            <w:r w:rsidRPr="007D25AC">
              <w:rPr>
                <w:rFonts w:ascii="Arial" w:hAnsi="Arial" w:cs="Arial"/>
                <w:sz w:val="16"/>
                <w:szCs w:val="16"/>
              </w:rPr>
              <w:t>To investigate the influence of religion on access to and experiences of dementia care services among South Asian individuals from Sikh, Hindu, and Muslim communities.</w:t>
            </w:r>
          </w:p>
        </w:tc>
        <w:tc>
          <w:tcPr>
            <w:tcW w:w="1253" w:type="dxa"/>
            <w:tcBorders>
              <w:top w:val="single" w:sz="4" w:space="0" w:color="auto"/>
              <w:left w:val="single" w:sz="4" w:space="0" w:color="auto"/>
              <w:bottom w:val="single" w:sz="4" w:space="0" w:color="auto"/>
              <w:right w:val="single" w:sz="4" w:space="0" w:color="auto"/>
            </w:tcBorders>
          </w:tcPr>
          <w:p w14:paraId="6F210265" w14:textId="23AD4A86"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West Midlands, UK; Sikh, Hindu, and Muslim communities including people with dementia, carers, and professionals.</w:t>
            </w:r>
          </w:p>
        </w:tc>
        <w:tc>
          <w:tcPr>
            <w:tcW w:w="1416" w:type="dxa"/>
            <w:tcBorders>
              <w:top w:val="single" w:sz="4" w:space="0" w:color="auto"/>
              <w:left w:val="single" w:sz="4" w:space="0" w:color="auto"/>
              <w:bottom w:val="single" w:sz="4" w:space="0" w:color="auto"/>
              <w:right w:val="single" w:sz="4" w:space="0" w:color="auto"/>
            </w:tcBorders>
          </w:tcPr>
          <w:p w14:paraId="6065C1C5" w14:textId="3954FF5E"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Exploratory qualitative study using Critical Realist Grounded Theory; interviews and observations.</w:t>
            </w:r>
          </w:p>
        </w:tc>
        <w:tc>
          <w:tcPr>
            <w:tcW w:w="1406" w:type="dxa"/>
            <w:tcBorders>
              <w:top w:val="single" w:sz="4" w:space="0" w:color="auto"/>
              <w:left w:val="single" w:sz="4" w:space="0" w:color="auto"/>
              <w:bottom w:val="single" w:sz="4" w:space="0" w:color="auto"/>
              <w:right w:val="single" w:sz="4" w:space="0" w:color="auto"/>
            </w:tcBorders>
          </w:tcPr>
          <w:p w14:paraId="3AC77DC1" w14:textId="18E99B6C"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Strong theoretical framework; multiple stakeholder perspectives; focus on religion as a key determinant.</w:t>
            </w:r>
          </w:p>
        </w:tc>
        <w:tc>
          <w:tcPr>
            <w:tcW w:w="1431" w:type="dxa"/>
            <w:tcBorders>
              <w:top w:val="single" w:sz="4" w:space="0" w:color="auto"/>
              <w:left w:val="single" w:sz="4" w:space="0" w:color="auto"/>
              <w:bottom w:val="single" w:sz="4" w:space="0" w:color="auto"/>
              <w:right w:val="single" w:sz="4" w:space="0" w:color="auto"/>
            </w:tcBorders>
          </w:tcPr>
          <w:p w14:paraId="12303121" w14:textId="33C8A8B5" w:rsidR="00993304" w:rsidRPr="000D5EB8" w:rsidRDefault="00993304" w:rsidP="001A6776">
            <w:pPr>
              <w:spacing w:line="278" w:lineRule="auto"/>
              <w:rPr>
                <w:rFonts w:ascii="Arial" w:hAnsi="Arial" w:cs="Arial"/>
                <w:sz w:val="16"/>
                <w:szCs w:val="16"/>
              </w:rPr>
            </w:pPr>
            <w:r w:rsidRPr="007D25AC">
              <w:rPr>
                <w:rFonts w:ascii="Arial" w:hAnsi="Arial" w:cs="Arial"/>
                <w:sz w:val="16"/>
                <w:szCs w:val="16"/>
              </w:rPr>
              <w:t xml:space="preserve">Sample size </w:t>
            </w:r>
            <w:r w:rsidR="00567B84">
              <w:rPr>
                <w:rFonts w:ascii="Arial" w:hAnsi="Arial" w:cs="Arial"/>
                <w:sz w:val="16"/>
                <w:szCs w:val="16"/>
              </w:rPr>
              <w:t xml:space="preserve">small and </w:t>
            </w:r>
            <w:r w:rsidRPr="007D25AC">
              <w:rPr>
                <w:rFonts w:ascii="Arial" w:hAnsi="Arial" w:cs="Arial"/>
                <w:sz w:val="16"/>
                <w:szCs w:val="16"/>
              </w:rPr>
              <w:t>generalisable beyond the West Midlands. Complexity of methodology may limit replicability.</w:t>
            </w:r>
          </w:p>
        </w:tc>
        <w:tc>
          <w:tcPr>
            <w:tcW w:w="1332" w:type="dxa"/>
            <w:tcBorders>
              <w:top w:val="single" w:sz="4" w:space="0" w:color="auto"/>
              <w:left w:val="single" w:sz="4" w:space="0" w:color="auto"/>
              <w:bottom w:val="single" w:sz="4" w:space="0" w:color="auto"/>
              <w:right w:val="single" w:sz="4" w:space="0" w:color="auto"/>
            </w:tcBorders>
          </w:tcPr>
          <w:p w14:paraId="5DD9748F" w14:textId="3921581D"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Religious beliefs influenced stigma, low dementia knowledge, family duty of care, and reduced service access; lack of culturally responsive services.</w:t>
            </w:r>
          </w:p>
        </w:tc>
        <w:tc>
          <w:tcPr>
            <w:tcW w:w="1787" w:type="dxa"/>
            <w:tcBorders>
              <w:top w:val="single" w:sz="4" w:space="0" w:color="auto"/>
              <w:left w:val="single" w:sz="4" w:space="0" w:color="auto"/>
              <w:bottom w:val="single" w:sz="4" w:space="0" w:color="auto"/>
              <w:right w:val="single" w:sz="4" w:space="0" w:color="auto"/>
            </w:tcBorders>
          </w:tcPr>
          <w:p w14:paraId="7A598D47" w14:textId="44EFD801" w:rsidR="00993304" w:rsidRPr="000D5EB8" w:rsidRDefault="00567B84" w:rsidP="001A6776">
            <w:pPr>
              <w:spacing w:line="278" w:lineRule="auto"/>
              <w:rPr>
                <w:rFonts w:ascii="Arial" w:hAnsi="Arial" w:cs="Arial"/>
                <w:sz w:val="16"/>
                <w:szCs w:val="16"/>
              </w:rPr>
            </w:pPr>
            <w:r w:rsidRPr="00567B84">
              <w:rPr>
                <w:rFonts w:ascii="Arial" w:hAnsi="Arial" w:cs="Arial"/>
                <w:sz w:val="16"/>
                <w:szCs w:val="16"/>
              </w:rPr>
              <w:t>Religious communities are underused resources; faith-based, culturally informed outreach can improve awareness, reduce stigma, and support dementia care access.</w:t>
            </w:r>
          </w:p>
        </w:tc>
      </w:tr>
      <w:tr w:rsidR="00567B84" w:rsidRPr="00742DFD" w14:paraId="5D968E3B"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tcPr>
          <w:p w14:paraId="554735AD" w14:textId="77777777" w:rsidR="00993304" w:rsidRPr="000D5EB8" w:rsidRDefault="00993304" w:rsidP="001A6776">
            <w:pPr>
              <w:spacing w:line="278" w:lineRule="auto"/>
              <w:rPr>
                <w:rFonts w:ascii="Arial" w:hAnsi="Arial" w:cs="Arial"/>
                <w:sz w:val="16"/>
                <w:szCs w:val="16"/>
              </w:rPr>
            </w:pPr>
            <w:r w:rsidRPr="00C96EA9">
              <w:rPr>
                <w:rFonts w:ascii="Arial" w:hAnsi="Arial" w:cs="Arial"/>
                <w:sz w:val="16"/>
                <w:szCs w:val="16"/>
              </w:rPr>
              <w:t>Mukadam</w:t>
            </w:r>
            <w:r>
              <w:rPr>
                <w:rFonts w:ascii="Arial" w:hAnsi="Arial" w:cs="Arial"/>
                <w:sz w:val="16"/>
                <w:szCs w:val="16"/>
              </w:rPr>
              <w:t xml:space="preserve"> et al, 2023</w:t>
            </w:r>
          </w:p>
        </w:tc>
        <w:tc>
          <w:tcPr>
            <w:tcW w:w="1551" w:type="dxa"/>
            <w:tcBorders>
              <w:top w:val="single" w:sz="4" w:space="0" w:color="auto"/>
              <w:left w:val="single" w:sz="4" w:space="0" w:color="auto"/>
              <w:bottom w:val="single" w:sz="4" w:space="0" w:color="auto"/>
              <w:right w:val="single" w:sz="4" w:space="0" w:color="auto"/>
            </w:tcBorders>
          </w:tcPr>
          <w:p w14:paraId="27E3110E" w14:textId="77777777" w:rsidR="00993304" w:rsidRPr="000D5EB8" w:rsidRDefault="00993304" w:rsidP="001A6776">
            <w:pPr>
              <w:spacing w:line="278" w:lineRule="auto"/>
              <w:rPr>
                <w:rFonts w:ascii="Arial" w:hAnsi="Arial" w:cs="Arial"/>
                <w:sz w:val="16"/>
                <w:szCs w:val="16"/>
              </w:rPr>
            </w:pPr>
            <w:r w:rsidRPr="00816F31">
              <w:rPr>
                <w:rFonts w:ascii="Arial" w:hAnsi="Arial" w:cs="Arial"/>
                <w:sz w:val="16"/>
                <w:szCs w:val="16"/>
              </w:rPr>
              <w:t>To investigate ethnic differences in the associations between potentially modifiable risk factors and dementia, with a focus on South Asian and Black populations compared to White individuals.</w:t>
            </w:r>
          </w:p>
        </w:tc>
        <w:tc>
          <w:tcPr>
            <w:tcW w:w="1253" w:type="dxa"/>
            <w:tcBorders>
              <w:top w:val="single" w:sz="4" w:space="0" w:color="auto"/>
              <w:left w:val="single" w:sz="4" w:space="0" w:color="auto"/>
              <w:bottom w:val="single" w:sz="4" w:space="0" w:color="auto"/>
              <w:right w:val="single" w:sz="4" w:space="0" w:color="auto"/>
            </w:tcBorders>
          </w:tcPr>
          <w:p w14:paraId="4D120C71" w14:textId="50EFECC0"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England; 865,674 adults aged ≥65 using primary care records (1997–2018).</w:t>
            </w:r>
          </w:p>
        </w:tc>
        <w:tc>
          <w:tcPr>
            <w:tcW w:w="1416" w:type="dxa"/>
            <w:tcBorders>
              <w:top w:val="single" w:sz="4" w:space="0" w:color="auto"/>
              <w:left w:val="single" w:sz="4" w:space="0" w:color="auto"/>
              <w:bottom w:val="single" w:sz="4" w:space="0" w:color="auto"/>
              <w:right w:val="single" w:sz="4" w:space="0" w:color="auto"/>
            </w:tcBorders>
          </w:tcPr>
          <w:p w14:paraId="48743A65" w14:textId="1B90AE25"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Quantitative cohort study; Cox proportional hazards regression.</w:t>
            </w:r>
          </w:p>
        </w:tc>
        <w:tc>
          <w:tcPr>
            <w:tcW w:w="1406" w:type="dxa"/>
            <w:tcBorders>
              <w:top w:val="single" w:sz="4" w:space="0" w:color="auto"/>
              <w:left w:val="single" w:sz="4" w:space="0" w:color="auto"/>
              <w:bottom w:val="single" w:sz="4" w:space="0" w:color="auto"/>
              <w:right w:val="single" w:sz="4" w:space="0" w:color="auto"/>
            </w:tcBorders>
          </w:tcPr>
          <w:p w14:paraId="2DF10B63" w14:textId="77777777" w:rsidR="00993304" w:rsidRPr="000D5EB8" w:rsidRDefault="00993304" w:rsidP="001A6776">
            <w:pPr>
              <w:spacing w:line="278" w:lineRule="auto"/>
              <w:rPr>
                <w:rFonts w:ascii="Arial" w:hAnsi="Arial" w:cs="Arial"/>
                <w:sz w:val="16"/>
                <w:szCs w:val="16"/>
              </w:rPr>
            </w:pPr>
            <w:r w:rsidRPr="00816F31">
              <w:rPr>
                <w:rFonts w:ascii="Arial" w:hAnsi="Arial" w:cs="Arial"/>
                <w:sz w:val="16"/>
                <w:szCs w:val="16"/>
              </w:rPr>
              <w:t>Very large, nationally representative sample with long follow-up period. Use of real-world primary care data enhances external validity. Robust statistical analysis examining interaction effects by ethnicity.</w:t>
            </w:r>
          </w:p>
        </w:tc>
        <w:tc>
          <w:tcPr>
            <w:tcW w:w="1431" w:type="dxa"/>
            <w:tcBorders>
              <w:top w:val="single" w:sz="4" w:space="0" w:color="auto"/>
              <w:left w:val="single" w:sz="4" w:space="0" w:color="auto"/>
              <w:bottom w:val="single" w:sz="4" w:space="0" w:color="auto"/>
              <w:right w:val="single" w:sz="4" w:space="0" w:color="auto"/>
            </w:tcBorders>
          </w:tcPr>
          <w:p w14:paraId="134E8E83" w14:textId="2A9761D4"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Reliance on routine data; potential misclassification; observational design limits causality.</w:t>
            </w:r>
          </w:p>
        </w:tc>
        <w:tc>
          <w:tcPr>
            <w:tcW w:w="1332" w:type="dxa"/>
            <w:tcBorders>
              <w:top w:val="single" w:sz="4" w:space="0" w:color="auto"/>
              <w:left w:val="single" w:sz="4" w:space="0" w:color="auto"/>
              <w:bottom w:val="single" w:sz="4" w:space="0" w:color="auto"/>
              <w:right w:val="single" w:sz="4" w:space="0" w:color="auto"/>
            </w:tcBorders>
          </w:tcPr>
          <w:p w14:paraId="47BDFE3F" w14:textId="5576DA86"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Modifiable risk factors more prevalent in minority groups; stronger dementia risk associations in South Asian and Black populations.</w:t>
            </w:r>
          </w:p>
        </w:tc>
        <w:tc>
          <w:tcPr>
            <w:tcW w:w="1787" w:type="dxa"/>
            <w:tcBorders>
              <w:top w:val="single" w:sz="4" w:space="0" w:color="auto"/>
              <w:left w:val="single" w:sz="4" w:space="0" w:color="auto"/>
              <w:bottom w:val="single" w:sz="4" w:space="0" w:color="auto"/>
              <w:right w:val="single" w:sz="4" w:space="0" w:color="auto"/>
            </w:tcBorders>
          </w:tcPr>
          <w:p w14:paraId="5ECF9BBD" w14:textId="77777777" w:rsidR="00993304" w:rsidRPr="000D5EB8" w:rsidRDefault="00993304" w:rsidP="001A6776">
            <w:pPr>
              <w:spacing w:line="278" w:lineRule="auto"/>
              <w:rPr>
                <w:rFonts w:ascii="Arial" w:hAnsi="Arial" w:cs="Arial"/>
                <w:sz w:val="16"/>
                <w:szCs w:val="16"/>
              </w:rPr>
            </w:pPr>
            <w:r w:rsidRPr="00816F31">
              <w:rPr>
                <w:rFonts w:ascii="Arial" w:hAnsi="Arial" w:cs="Arial"/>
                <w:sz w:val="16"/>
                <w:szCs w:val="16"/>
              </w:rPr>
              <w:t>Dementia prevention strategies should be targeted towards minority ethnic groups, including South Asian populations, and tailored to address risk factors that have a disproportionate impact. Findings support the need for culturally appropriate and early preventative interventions to reduce future dementia burden.</w:t>
            </w:r>
          </w:p>
        </w:tc>
      </w:tr>
      <w:tr w:rsidR="00567B84" w:rsidRPr="00742DFD" w14:paraId="2829F10E"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tcPr>
          <w:p w14:paraId="73DB4ED6" w14:textId="77777777" w:rsidR="00993304" w:rsidRPr="000D5EB8" w:rsidRDefault="00993304" w:rsidP="001A6776">
            <w:pPr>
              <w:spacing w:line="278" w:lineRule="auto"/>
              <w:rPr>
                <w:rFonts w:ascii="Arial" w:hAnsi="Arial" w:cs="Arial"/>
                <w:sz w:val="16"/>
                <w:szCs w:val="16"/>
              </w:rPr>
            </w:pPr>
            <w:r w:rsidRPr="00A649B5">
              <w:rPr>
                <w:rFonts w:ascii="Arial" w:hAnsi="Arial" w:cs="Arial"/>
                <w:sz w:val="16"/>
                <w:szCs w:val="16"/>
              </w:rPr>
              <w:t>Ogliari</w:t>
            </w:r>
            <w:r>
              <w:rPr>
                <w:rFonts w:ascii="Arial" w:hAnsi="Arial" w:cs="Arial"/>
                <w:sz w:val="16"/>
                <w:szCs w:val="16"/>
              </w:rPr>
              <w:t xml:space="preserve"> et al, 2020</w:t>
            </w:r>
          </w:p>
        </w:tc>
        <w:tc>
          <w:tcPr>
            <w:tcW w:w="1551" w:type="dxa"/>
            <w:tcBorders>
              <w:top w:val="single" w:sz="4" w:space="0" w:color="auto"/>
              <w:left w:val="single" w:sz="4" w:space="0" w:color="auto"/>
              <w:bottom w:val="single" w:sz="4" w:space="0" w:color="auto"/>
              <w:right w:val="single" w:sz="4" w:space="0" w:color="auto"/>
            </w:tcBorders>
          </w:tcPr>
          <w:p w14:paraId="3F6C6D0A" w14:textId="77777777" w:rsidR="00993304" w:rsidRPr="000D5EB8" w:rsidRDefault="00993304" w:rsidP="001A6776">
            <w:pPr>
              <w:spacing w:line="278" w:lineRule="auto"/>
              <w:rPr>
                <w:rFonts w:ascii="Arial" w:hAnsi="Arial" w:cs="Arial"/>
                <w:sz w:val="16"/>
                <w:szCs w:val="16"/>
              </w:rPr>
            </w:pPr>
            <w:r w:rsidRPr="001C6F4B">
              <w:rPr>
                <w:rFonts w:ascii="Arial" w:hAnsi="Arial" w:cs="Arial"/>
                <w:sz w:val="16"/>
                <w:szCs w:val="16"/>
              </w:rPr>
              <w:t>To investigate whether the timeliness of access to memory assessment services differs between older adults of White British and South Asian ethnicity.</w:t>
            </w:r>
          </w:p>
        </w:tc>
        <w:tc>
          <w:tcPr>
            <w:tcW w:w="1253" w:type="dxa"/>
            <w:tcBorders>
              <w:top w:val="single" w:sz="4" w:space="0" w:color="auto"/>
              <w:left w:val="single" w:sz="4" w:space="0" w:color="auto"/>
              <w:bottom w:val="single" w:sz="4" w:space="0" w:color="auto"/>
              <w:right w:val="single" w:sz="4" w:space="0" w:color="auto"/>
            </w:tcBorders>
          </w:tcPr>
          <w:p w14:paraId="3D9FF7DE" w14:textId="77777777" w:rsidR="00993304" w:rsidRPr="000D5EB8" w:rsidRDefault="00993304" w:rsidP="001A6776">
            <w:pPr>
              <w:spacing w:line="278" w:lineRule="auto"/>
              <w:rPr>
                <w:rFonts w:ascii="Arial" w:hAnsi="Arial" w:cs="Arial"/>
                <w:sz w:val="16"/>
                <w:szCs w:val="16"/>
              </w:rPr>
            </w:pPr>
            <w:r w:rsidRPr="001C6F4B">
              <w:rPr>
                <w:rFonts w:ascii="Arial" w:hAnsi="Arial" w:cs="Arial"/>
                <w:sz w:val="16"/>
                <w:szCs w:val="16"/>
              </w:rPr>
              <w:t xml:space="preserve">Nottingham Memory Study, UK; outpatient secondary mental healthcare. Sample included 3,654 White British and 32 South </w:t>
            </w:r>
            <w:r w:rsidRPr="001C6F4B">
              <w:rPr>
                <w:rFonts w:ascii="Arial" w:hAnsi="Arial" w:cs="Arial"/>
                <w:sz w:val="16"/>
                <w:szCs w:val="16"/>
              </w:rPr>
              <w:lastRenderedPageBreak/>
              <w:t>Asian older outpatients referred for memory assessment.</w:t>
            </w:r>
          </w:p>
        </w:tc>
        <w:tc>
          <w:tcPr>
            <w:tcW w:w="1416" w:type="dxa"/>
            <w:tcBorders>
              <w:top w:val="single" w:sz="4" w:space="0" w:color="auto"/>
              <w:left w:val="single" w:sz="4" w:space="0" w:color="auto"/>
              <w:bottom w:val="single" w:sz="4" w:space="0" w:color="auto"/>
              <w:right w:val="single" w:sz="4" w:space="0" w:color="auto"/>
            </w:tcBorders>
          </w:tcPr>
          <w:p w14:paraId="3CF4D451" w14:textId="77777777" w:rsidR="00993304" w:rsidRPr="000D5EB8" w:rsidRDefault="00993304" w:rsidP="001A6776">
            <w:pPr>
              <w:spacing w:line="278" w:lineRule="auto"/>
              <w:rPr>
                <w:rFonts w:ascii="Arial" w:hAnsi="Arial" w:cs="Arial"/>
                <w:sz w:val="16"/>
                <w:szCs w:val="16"/>
              </w:rPr>
            </w:pPr>
            <w:r w:rsidRPr="001C6F4B">
              <w:rPr>
                <w:rFonts w:ascii="Arial" w:hAnsi="Arial" w:cs="Arial"/>
                <w:sz w:val="16"/>
                <w:szCs w:val="16"/>
              </w:rPr>
              <w:lastRenderedPageBreak/>
              <w:t xml:space="preserve">Longitudinal cohort study using routinely collected clinical data; binary logistic regression analyses adjusted for socio-demographic factors, </w:t>
            </w:r>
            <w:r w:rsidRPr="001C6F4B">
              <w:rPr>
                <w:rFonts w:ascii="Arial" w:hAnsi="Arial" w:cs="Arial"/>
                <w:sz w:val="16"/>
                <w:szCs w:val="16"/>
              </w:rPr>
              <w:lastRenderedPageBreak/>
              <w:t>deprivation, and prior mental health service use.</w:t>
            </w:r>
          </w:p>
        </w:tc>
        <w:tc>
          <w:tcPr>
            <w:tcW w:w="1406" w:type="dxa"/>
            <w:tcBorders>
              <w:top w:val="single" w:sz="4" w:space="0" w:color="auto"/>
              <w:left w:val="single" w:sz="4" w:space="0" w:color="auto"/>
              <w:bottom w:val="single" w:sz="4" w:space="0" w:color="auto"/>
              <w:right w:val="single" w:sz="4" w:space="0" w:color="auto"/>
            </w:tcBorders>
          </w:tcPr>
          <w:p w14:paraId="17820B02" w14:textId="77777777" w:rsidR="00993304" w:rsidRPr="000D5EB8" w:rsidRDefault="00993304" w:rsidP="001A6776">
            <w:pPr>
              <w:spacing w:line="278" w:lineRule="auto"/>
              <w:rPr>
                <w:rFonts w:ascii="Arial" w:hAnsi="Arial" w:cs="Arial"/>
                <w:sz w:val="16"/>
                <w:szCs w:val="16"/>
              </w:rPr>
            </w:pPr>
            <w:r w:rsidRPr="001C6F4B">
              <w:rPr>
                <w:rFonts w:ascii="Arial" w:hAnsi="Arial" w:cs="Arial"/>
                <w:sz w:val="16"/>
                <w:szCs w:val="16"/>
              </w:rPr>
              <w:lastRenderedPageBreak/>
              <w:t xml:space="preserve">Addresses equality of access using an objective outcome (time from referral). Adjustment for multiple confounders strengthens internal validity. </w:t>
            </w:r>
            <w:r w:rsidRPr="001C6F4B">
              <w:rPr>
                <w:rFonts w:ascii="Arial" w:hAnsi="Arial" w:cs="Arial"/>
                <w:sz w:val="16"/>
                <w:szCs w:val="16"/>
              </w:rPr>
              <w:lastRenderedPageBreak/>
              <w:t>Direct relevance to UK dementia diagnostic pathways.</w:t>
            </w:r>
          </w:p>
        </w:tc>
        <w:tc>
          <w:tcPr>
            <w:tcW w:w="1431" w:type="dxa"/>
            <w:tcBorders>
              <w:top w:val="single" w:sz="4" w:space="0" w:color="auto"/>
              <w:left w:val="single" w:sz="4" w:space="0" w:color="auto"/>
              <w:bottom w:val="single" w:sz="4" w:space="0" w:color="auto"/>
              <w:right w:val="single" w:sz="4" w:space="0" w:color="auto"/>
            </w:tcBorders>
          </w:tcPr>
          <w:p w14:paraId="72ED0E8F" w14:textId="77777777" w:rsidR="00993304" w:rsidRPr="000D5EB8" w:rsidRDefault="00993304" w:rsidP="001A6776">
            <w:pPr>
              <w:spacing w:line="278" w:lineRule="auto"/>
              <w:rPr>
                <w:rFonts w:ascii="Arial" w:hAnsi="Arial" w:cs="Arial"/>
                <w:sz w:val="16"/>
                <w:szCs w:val="16"/>
              </w:rPr>
            </w:pPr>
            <w:r w:rsidRPr="001C6F4B">
              <w:rPr>
                <w:rFonts w:ascii="Arial" w:hAnsi="Arial" w:cs="Arial"/>
                <w:sz w:val="16"/>
                <w:szCs w:val="16"/>
              </w:rPr>
              <w:lastRenderedPageBreak/>
              <w:t xml:space="preserve">Very small South Asian sample limits statistical power and precision. Single-site study reduces generalisability. Use of referral-based cohort may miss individuals </w:t>
            </w:r>
            <w:r w:rsidRPr="001C6F4B">
              <w:rPr>
                <w:rFonts w:ascii="Arial" w:hAnsi="Arial" w:cs="Arial"/>
                <w:sz w:val="16"/>
                <w:szCs w:val="16"/>
              </w:rPr>
              <w:lastRenderedPageBreak/>
              <w:t>not accessing services at all.</w:t>
            </w:r>
          </w:p>
        </w:tc>
        <w:tc>
          <w:tcPr>
            <w:tcW w:w="1332" w:type="dxa"/>
            <w:tcBorders>
              <w:top w:val="single" w:sz="4" w:space="0" w:color="auto"/>
              <w:left w:val="single" w:sz="4" w:space="0" w:color="auto"/>
              <w:bottom w:val="single" w:sz="4" w:space="0" w:color="auto"/>
              <w:right w:val="single" w:sz="4" w:space="0" w:color="auto"/>
            </w:tcBorders>
          </w:tcPr>
          <w:p w14:paraId="0B54850E" w14:textId="77777777" w:rsidR="00993304" w:rsidRPr="000D5EB8" w:rsidRDefault="00993304" w:rsidP="001A6776">
            <w:pPr>
              <w:spacing w:line="278" w:lineRule="auto"/>
              <w:rPr>
                <w:rFonts w:ascii="Arial" w:hAnsi="Arial" w:cs="Arial"/>
                <w:sz w:val="16"/>
                <w:szCs w:val="16"/>
              </w:rPr>
            </w:pPr>
            <w:r w:rsidRPr="001C6F4B">
              <w:rPr>
                <w:rFonts w:ascii="Arial" w:hAnsi="Arial" w:cs="Arial"/>
                <w:sz w:val="16"/>
                <w:szCs w:val="16"/>
              </w:rPr>
              <w:lastRenderedPageBreak/>
              <w:t xml:space="preserve">A lower proportion of South Asian outpatients (43.8%) achieved timely access (within 90 days) compared to White British </w:t>
            </w:r>
            <w:r w:rsidRPr="001C6F4B">
              <w:rPr>
                <w:rFonts w:ascii="Arial" w:hAnsi="Arial" w:cs="Arial"/>
                <w:sz w:val="16"/>
                <w:szCs w:val="16"/>
              </w:rPr>
              <w:lastRenderedPageBreak/>
              <w:t>outpatients (62.2%). After adjustment, South Asian ethnicity was associated with a significantly reduced likelihood of timely access (OR 0.47). The difference was not significant when restricting analyses to British nationality or English as a first language.</w:t>
            </w:r>
          </w:p>
        </w:tc>
        <w:tc>
          <w:tcPr>
            <w:tcW w:w="1787" w:type="dxa"/>
            <w:tcBorders>
              <w:top w:val="single" w:sz="4" w:space="0" w:color="auto"/>
              <w:left w:val="single" w:sz="4" w:space="0" w:color="auto"/>
              <w:bottom w:val="single" w:sz="4" w:space="0" w:color="auto"/>
              <w:right w:val="single" w:sz="4" w:space="0" w:color="auto"/>
            </w:tcBorders>
          </w:tcPr>
          <w:p w14:paraId="44811C5D" w14:textId="77777777" w:rsidR="00993304" w:rsidRPr="000D5EB8" w:rsidRDefault="00993304" w:rsidP="001A6776">
            <w:pPr>
              <w:spacing w:line="278" w:lineRule="auto"/>
              <w:rPr>
                <w:rFonts w:ascii="Arial" w:hAnsi="Arial" w:cs="Arial"/>
                <w:sz w:val="16"/>
                <w:szCs w:val="16"/>
              </w:rPr>
            </w:pPr>
            <w:r w:rsidRPr="001C6F4B">
              <w:rPr>
                <w:rFonts w:ascii="Arial" w:hAnsi="Arial" w:cs="Arial"/>
                <w:sz w:val="16"/>
                <w:szCs w:val="16"/>
              </w:rPr>
              <w:lastRenderedPageBreak/>
              <w:t xml:space="preserve">Older South Asian outpatients are less likely to access dementia diagnostic services in a timely manner compared with White British outpatients. Findings suggest that language and nationality-related </w:t>
            </w:r>
            <w:r w:rsidRPr="001C6F4B">
              <w:rPr>
                <w:rFonts w:ascii="Arial" w:hAnsi="Arial" w:cs="Arial"/>
                <w:sz w:val="16"/>
                <w:szCs w:val="16"/>
              </w:rPr>
              <w:lastRenderedPageBreak/>
              <w:t>factors contribute to delays, highlighting the need for targeted strategies to improve equitable access to memory assessment services.</w:t>
            </w:r>
          </w:p>
        </w:tc>
      </w:tr>
      <w:tr w:rsidR="00567B84" w:rsidRPr="00742DFD" w14:paraId="5758CDB5"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tcPr>
          <w:p w14:paraId="6C1174AF" w14:textId="77777777" w:rsidR="00993304" w:rsidRPr="000D5EB8" w:rsidRDefault="00993304" w:rsidP="001A6776">
            <w:pPr>
              <w:spacing w:line="278" w:lineRule="auto"/>
              <w:rPr>
                <w:rFonts w:ascii="Arial" w:hAnsi="Arial" w:cs="Arial"/>
                <w:sz w:val="16"/>
                <w:szCs w:val="16"/>
              </w:rPr>
            </w:pPr>
            <w:r w:rsidRPr="009C4AAD">
              <w:rPr>
                <w:rFonts w:ascii="Arial" w:hAnsi="Arial" w:cs="Arial"/>
                <w:sz w:val="16"/>
                <w:szCs w:val="16"/>
              </w:rPr>
              <w:lastRenderedPageBreak/>
              <w:t>Kafadar</w:t>
            </w:r>
            <w:r>
              <w:rPr>
                <w:rFonts w:ascii="Arial" w:hAnsi="Arial" w:cs="Arial"/>
                <w:sz w:val="16"/>
                <w:szCs w:val="16"/>
              </w:rPr>
              <w:t xml:space="preserve"> et al, 2021</w:t>
            </w:r>
          </w:p>
        </w:tc>
        <w:tc>
          <w:tcPr>
            <w:tcW w:w="1551" w:type="dxa"/>
            <w:tcBorders>
              <w:top w:val="single" w:sz="4" w:space="0" w:color="auto"/>
              <w:left w:val="single" w:sz="4" w:space="0" w:color="auto"/>
              <w:bottom w:val="single" w:sz="4" w:space="0" w:color="auto"/>
              <w:right w:val="single" w:sz="4" w:space="0" w:color="auto"/>
            </w:tcBorders>
          </w:tcPr>
          <w:p w14:paraId="74B64C2A" w14:textId="77777777" w:rsidR="00993304" w:rsidRPr="000D5EB8" w:rsidRDefault="00993304" w:rsidP="001A6776">
            <w:pPr>
              <w:spacing w:line="278" w:lineRule="auto"/>
              <w:rPr>
                <w:rFonts w:ascii="Arial" w:hAnsi="Arial" w:cs="Arial"/>
                <w:sz w:val="16"/>
                <w:szCs w:val="16"/>
              </w:rPr>
            </w:pPr>
            <w:r w:rsidRPr="00020D53">
              <w:rPr>
                <w:rFonts w:ascii="Arial" w:hAnsi="Arial" w:cs="Arial"/>
                <w:sz w:val="16"/>
                <w:szCs w:val="16"/>
              </w:rPr>
              <w:t>To assess Alzheimer’s disease (AD) knowledge and perceptions among UK adults aged 18–49 years, compare knowledge across ethnic groups (Asian, Black, and White), and examine associations between demographic factors and AD knowledge.</w:t>
            </w:r>
          </w:p>
        </w:tc>
        <w:tc>
          <w:tcPr>
            <w:tcW w:w="1253" w:type="dxa"/>
            <w:tcBorders>
              <w:top w:val="single" w:sz="4" w:space="0" w:color="auto"/>
              <w:left w:val="single" w:sz="4" w:space="0" w:color="auto"/>
              <w:bottom w:val="single" w:sz="4" w:space="0" w:color="auto"/>
              <w:right w:val="single" w:sz="4" w:space="0" w:color="auto"/>
            </w:tcBorders>
          </w:tcPr>
          <w:p w14:paraId="1094EB5C" w14:textId="0F46D489"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UK; 186 adults aged 18–49 (Asian, Black, White), mainly aged 18–34.</w:t>
            </w:r>
          </w:p>
        </w:tc>
        <w:tc>
          <w:tcPr>
            <w:tcW w:w="1416" w:type="dxa"/>
            <w:tcBorders>
              <w:top w:val="single" w:sz="4" w:space="0" w:color="auto"/>
              <w:left w:val="single" w:sz="4" w:space="0" w:color="auto"/>
              <w:bottom w:val="single" w:sz="4" w:space="0" w:color="auto"/>
              <w:right w:val="single" w:sz="4" w:space="0" w:color="auto"/>
            </w:tcBorders>
          </w:tcPr>
          <w:p w14:paraId="3C15E4E4" w14:textId="77777777" w:rsidR="00993304" w:rsidRPr="000D5EB8" w:rsidRDefault="00993304" w:rsidP="001A6776">
            <w:pPr>
              <w:spacing w:line="278" w:lineRule="auto"/>
              <w:rPr>
                <w:rFonts w:ascii="Arial" w:hAnsi="Arial" w:cs="Arial"/>
                <w:sz w:val="16"/>
                <w:szCs w:val="16"/>
              </w:rPr>
            </w:pPr>
            <w:r w:rsidRPr="00020D53">
              <w:rPr>
                <w:rFonts w:ascii="Arial" w:hAnsi="Arial" w:cs="Arial"/>
                <w:sz w:val="16"/>
                <w:szCs w:val="16"/>
              </w:rPr>
              <w:t>Quantitative cross-sectional study using the 30-item Alzheimer’s Disease Knowledge Scale (ADKS); statistical analysis conducted using ANOVA/ANCOVA.</w:t>
            </w:r>
          </w:p>
        </w:tc>
        <w:tc>
          <w:tcPr>
            <w:tcW w:w="1406" w:type="dxa"/>
            <w:tcBorders>
              <w:top w:val="single" w:sz="4" w:space="0" w:color="auto"/>
              <w:left w:val="single" w:sz="4" w:space="0" w:color="auto"/>
              <w:bottom w:val="single" w:sz="4" w:space="0" w:color="auto"/>
              <w:right w:val="single" w:sz="4" w:space="0" w:color="auto"/>
            </w:tcBorders>
          </w:tcPr>
          <w:p w14:paraId="2EFAC8B5" w14:textId="77777777" w:rsidR="00993304" w:rsidRPr="000D5EB8" w:rsidRDefault="00993304" w:rsidP="001A6776">
            <w:pPr>
              <w:spacing w:line="278" w:lineRule="auto"/>
              <w:rPr>
                <w:rFonts w:ascii="Arial" w:hAnsi="Arial" w:cs="Arial"/>
                <w:sz w:val="16"/>
                <w:szCs w:val="16"/>
              </w:rPr>
            </w:pPr>
            <w:r w:rsidRPr="00020D53">
              <w:rPr>
                <w:rFonts w:ascii="Arial" w:hAnsi="Arial" w:cs="Arial"/>
                <w:sz w:val="16"/>
                <w:szCs w:val="16"/>
              </w:rPr>
              <w:t>Use of a validated knowledge assessment tool (ADKS). Inclusion of multiple ethnic groups enabled comparative analysis. Focus on symptom-specific knowledge provided nuanced insights relevant to early recognition.</w:t>
            </w:r>
          </w:p>
        </w:tc>
        <w:tc>
          <w:tcPr>
            <w:tcW w:w="1431" w:type="dxa"/>
            <w:tcBorders>
              <w:top w:val="single" w:sz="4" w:space="0" w:color="auto"/>
              <w:left w:val="single" w:sz="4" w:space="0" w:color="auto"/>
              <w:bottom w:val="single" w:sz="4" w:space="0" w:color="auto"/>
              <w:right w:val="single" w:sz="4" w:space="0" w:color="auto"/>
            </w:tcBorders>
          </w:tcPr>
          <w:p w14:paraId="65F2A556" w14:textId="77777777" w:rsidR="00993304" w:rsidRPr="000D5EB8" w:rsidRDefault="00993304" w:rsidP="001A6776">
            <w:pPr>
              <w:spacing w:line="278" w:lineRule="auto"/>
              <w:rPr>
                <w:rFonts w:ascii="Arial" w:hAnsi="Arial" w:cs="Arial"/>
                <w:sz w:val="16"/>
                <w:szCs w:val="16"/>
              </w:rPr>
            </w:pPr>
            <w:r>
              <w:rPr>
                <w:rFonts w:ascii="Arial" w:hAnsi="Arial" w:cs="Arial"/>
                <w:sz w:val="16"/>
                <w:szCs w:val="16"/>
              </w:rPr>
              <w:t>The sample</w:t>
            </w:r>
            <w:r w:rsidRPr="00020D53">
              <w:rPr>
                <w:rFonts w:ascii="Arial" w:hAnsi="Arial" w:cs="Arial"/>
                <w:sz w:val="16"/>
                <w:szCs w:val="16"/>
              </w:rPr>
              <w:t xml:space="preserve"> </w:t>
            </w:r>
            <w:r>
              <w:rPr>
                <w:rFonts w:ascii="Arial" w:hAnsi="Arial" w:cs="Arial"/>
                <w:sz w:val="16"/>
                <w:szCs w:val="16"/>
              </w:rPr>
              <w:t xml:space="preserve">is </w:t>
            </w:r>
            <w:r w:rsidRPr="00020D53">
              <w:rPr>
                <w:rFonts w:ascii="Arial" w:hAnsi="Arial" w:cs="Arial"/>
                <w:sz w:val="16"/>
                <w:szCs w:val="16"/>
              </w:rPr>
              <w:t>limited to younger adults, reducing direct applicability to older populations and caregivers. Convenience sampling may introduce selection bias. Asian group not disaggregated into South Asian subgroups.</w:t>
            </w:r>
          </w:p>
        </w:tc>
        <w:tc>
          <w:tcPr>
            <w:tcW w:w="1332" w:type="dxa"/>
            <w:tcBorders>
              <w:top w:val="single" w:sz="4" w:space="0" w:color="auto"/>
              <w:left w:val="single" w:sz="4" w:space="0" w:color="auto"/>
              <w:bottom w:val="single" w:sz="4" w:space="0" w:color="auto"/>
              <w:right w:val="single" w:sz="4" w:space="0" w:color="auto"/>
            </w:tcBorders>
          </w:tcPr>
          <w:p w14:paraId="28BDCF6D" w14:textId="5388216F"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UK; 186 adults aged 18–49 (Asian, Black, White), mainly aged 18–34.</w:t>
            </w:r>
          </w:p>
        </w:tc>
        <w:tc>
          <w:tcPr>
            <w:tcW w:w="1787" w:type="dxa"/>
            <w:tcBorders>
              <w:top w:val="single" w:sz="4" w:space="0" w:color="auto"/>
              <w:left w:val="single" w:sz="4" w:space="0" w:color="auto"/>
              <w:bottom w:val="single" w:sz="4" w:space="0" w:color="auto"/>
              <w:right w:val="single" w:sz="4" w:space="0" w:color="auto"/>
            </w:tcBorders>
          </w:tcPr>
          <w:p w14:paraId="14CB53C1" w14:textId="77777777" w:rsidR="00993304" w:rsidRPr="000D5EB8" w:rsidRDefault="00993304" w:rsidP="001A6776">
            <w:pPr>
              <w:spacing w:line="278" w:lineRule="auto"/>
              <w:rPr>
                <w:rFonts w:ascii="Arial" w:hAnsi="Arial" w:cs="Arial"/>
                <w:sz w:val="16"/>
                <w:szCs w:val="16"/>
              </w:rPr>
            </w:pPr>
            <w:r w:rsidRPr="00020D53">
              <w:rPr>
                <w:rFonts w:ascii="Arial" w:hAnsi="Arial" w:cs="Arial"/>
                <w:sz w:val="16"/>
                <w:szCs w:val="16"/>
              </w:rPr>
              <w:t>AD knowledge is inadequate across all ethnic groups in younger UK adults. Ethnic differences in symptom recognition suggest varying health communication needs, highlighting the importance of tailored educational interventions to improve early awareness and understanding of Alzheimer’s disease.</w:t>
            </w:r>
          </w:p>
        </w:tc>
      </w:tr>
      <w:tr w:rsidR="00567B84" w:rsidRPr="00742DFD" w14:paraId="3A15187A"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tcPr>
          <w:p w14:paraId="04D8743F" w14:textId="77777777" w:rsidR="00993304" w:rsidRPr="000D5EB8" w:rsidRDefault="00993304" w:rsidP="001A6776">
            <w:pPr>
              <w:spacing w:line="278" w:lineRule="auto"/>
              <w:rPr>
                <w:rFonts w:ascii="Arial" w:hAnsi="Arial" w:cs="Arial"/>
                <w:sz w:val="16"/>
                <w:szCs w:val="16"/>
              </w:rPr>
            </w:pPr>
            <w:r w:rsidRPr="002F057B">
              <w:rPr>
                <w:rFonts w:ascii="Arial" w:hAnsi="Arial" w:cs="Arial"/>
                <w:sz w:val="16"/>
                <w:szCs w:val="16"/>
              </w:rPr>
              <w:t>Hossain</w:t>
            </w:r>
            <w:r>
              <w:rPr>
                <w:rFonts w:ascii="Arial" w:hAnsi="Arial" w:cs="Arial"/>
                <w:sz w:val="16"/>
                <w:szCs w:val="16"/>
              </w:rPr>
              <w:t xml:space="preserve"> et al, 2022</w:t>
            </w:r>
          </w:p>
        </w:tc>
        <w:tc>
          <w:tcPr>
            <w:tcW w:w="1551" w:type="dxa"/>
            <w:tcBorders>
              <w:top w:val="single" w:sz="4" w:space="0" w:color="auto"/>
              <w:left w:val="single" w:sz="4" w:space="0" w:color="auto"/>
              <w:bottom w:val="single" w:sz="4" w:space="0" w:color="auto"/>
              <w:right w:val="single" w:sz="4" w:space="0" w:color="auto"/>
            </w:tcBorders>
          </w:tcPr>
          <w:p w14:paraId="7EF0400B" w14:textId="77777777" w:rsidR="00993304" w:rsidRPr="000D5EB8" w:rsidRDefault="00993304" w:rsidP="001A6776">
            <w:pPr>
              <w:spacing w:line="278" w:lineRule="auto"/>
              <w:rPr>
                <w:rFonts w:ascii="Arial" w:hAnsi="Arial" w:cs="Arial"/>
                <w:sz w:val="16"/>
                <w:szCs w:val="16"/>
              </w:rPr>
            </w:pPr>
            <w:r w:rsidRPr="00D44F98">
              <w:rPr>
                <w:rFonts w:ascii="Arial" w:hAnsi="Arial" w:cs="Arial"/>
                <w:sz w:val="16"/>
                <w:szCs w:val="16"/>
              </w:rPr>
              <w:t>To explore the experiences of South Asian family carers of people with dementia living in the UK, focusing on perceptions of dementia, access to services, and planning for end-of-life care.</w:t>
            </w:r>
          </w:p>
        </w:tc>
        <w:tc>
          <w:tcPr>
            <w:tcW w:w="1253" w:type="dxa"/>
            <w:tcBorders>
              <w:top w:val="single" w:sz="4" w:space="0" w:color="auto"/>
              <w:left w:val="single" w:sz="4" w:space="0" w:color="auto"/>
              <w:bottom w:val="single" w:sz="4" w:space="0" w:color="auto"/>
              <w:right w:val="single" w:sz="4" w:space="0" w:color="auto"/>
            </w:tcBorders>
          </w:tcPr>
          <w:p w14:paraId="61D5D7CF" w14:textId="31838CAB"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UK; 16 South Asian family caregivers.</w:t>
            </w:r>
          </w:p>
        </w:tc>
        <w:tc>
          <w:tcPr>
            <w:tcW w:w="1416" w:type="dxa"/>
            <w:tcBorders>
              <w:top w:val="single" w:sz="4" w:space="0" w:color="auto"/>
              <w:left w:val="single" w:sz="4" w:space="0" w:color="auto"/>
              <w:bottom w:val="single" w:sz="4" w:space="0" w:color="auto"/>
              <w:right w:val="single" w:sz="4" w:space="0" w:color="auto"/>
            </w:tcBorders>
          </w:tcPr>
          <w:p w14:paraId="63C51D1A" w14:textId="77777777" w:rsidR="00993304" w:rsidRPr="000D5EB8" w:rsidRDefault="00993304" w:rsidP="001A6776">
            <w:pPr>
              <w:spacing w:line="278" w:lineRule="auto"/>
              <w:rPr>
                <w:rFonts w:ascii="Arial" w:hAnsi="Arial" w:cs="Arial"/>
                <w:sz w:val="16"/>
                <w:szCs w:val="16"/>
              </w:rPr>
            </w:pPr>
            <w:r w:rsidRPr="00D44F98">
              <w:rPr>
                <w:rFonts w:ascii="Arial" w:hAnsi="Arial" w:cs="Arial"/>
                <w:sz w:val="16"/>
                <w:szCs w:val="16"/>
              </w:rPr>
              <w:t>Qualitative study using semi-structured interviews; data analysed thematically.</w:t>
            </w:r>
          </w:p>
        </w:tc>
        <w:tc>
          <w:tcPr>
            <w:tcW w:w="1406" w:type="dxa"/>
            <w:tcBorders>
              <w:top w:val="single" w:sz="4" w:space="0" w:color="auto"/>
              <w:left w:val="single" w:sz="4" w:space="0" w:color="auto"/>
              <w:bottom w:val="single" w:sz="4" w:space="0" w:color="auto"/>
              <w:right w:val="single" w:sz="4" w:space="0" w:color="auto"/>
            </w:tcBorders>
          </w:tcPr>
          <w:p w14:paraId="1BFA66C8" w14:textId="185CAEC3"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Focus on under-researched end-of-life issues; rich carer perspectives; strong cultural and religious context.</w:t>
            </w:r>
          </w:p>
        </w:tc>
        <w:tc>
          <w:tcPr>
            <w:tcW w:w="1431" w:type="dxa"/>
            <w:tcBorders>
              <w:top w:val="single" w:sz="4" w:space="0" w:color="auto"/>
              <w:left w:val="single" w:sz="4" w:space="0" w:color="auto"/>
              <w:bottom w:val="single" w:sz="4" w:space="0" w:color="auto"/>
              <w:right w:val="single" w:sz="4" w:space="0" w:color="auto"/>
            </w:tcBorders>
          </w:tcPr>
          <w:p w14:paraId="7045D58E" w14:textId="0A6B5F63"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Small sample; limited generalisability; no direct input from people with dementia.</w:t>
            </w:r>
          </w:p>
        </w:tc>
        <w:tc>
          <w:tcPr>
            <w:tcW w:w="1332" w:type="dxa"/>
            <w:tcBorders>
              <w:top w:val="single" w:sz="4" w:space="0" w:color="auto"/>
              <w:left w:val="single" w:sz="4" w:space="0" w:color="auto"/>
              <w:bottom w:val="single" w:sz="4" w:space="0" w:color="auto"/>
              <w:right w:val="single" w:sz="4" w:space="0" w:color="auto"/>
            </w:tcBorders>
          </w:tcPr>
          <w:p w14:paraId="421E8CB1" w14:textId="4A7C84A5" w:rsidR="00993304" w:rsidRPr="000D5EB8" w:rsidRDefault="00C32AFD" w:rsidP="001A6776">
            <w:pPr>
              <w:spacing w:line="278" w:lineRule="auto"/>
              <w:rPr>
                <w:rFonts w:ascii="Arial" w:hAnsi="Arial" w:cs="Arial"/>
                <w:sz w:val="16"/>
                <w:szCs w:val="16"/>
              </w:rPr>
            </w:pPr>
            <w:r w:rsidRPr="00C32AFD">
              <w:rPr>
                <w:rFonts w:ascii="Arial" w:hAnsi="Arial" w:cs="Arial"/>
                <w:sz w:val="16"/>
                <w:szCs w:val="16"/>
              </w:rPr>
              <w:t>Low awareness at diagnosis; ongoing caregiving challenges; cultural and religious influences on end-of-life and burial decisions.</w:t>
            </w:r>
          </w:p>
        </w:tc>
        <w:tc>
          <w:tcPr>
            <w:tcW w:w="1787" w:type="dxa"/>
            <w:tcBorders>
              <w:top w:val="single" w:sz="4" w:space="0" w:color="auto"/>
              <w:left w:val="single" w:sz="4" w:space="0" w:color="auto"/>
              <w:bottom w:val="single" w:sz="4" w:space="0" w:color="auto"/>
              <w:right w:val="single" w:sz="4" w:space="0" w:color="auto"/>
            </w:tcBorders>
          </w:tcPr>
          <w:p w14:paraId="36606FF7" w14:textId="77777777" w:rsidR="00C32AFD" w:rsidRPr="00C32AFD" w:rsidRDefault="00C32AFD" w:rsidP="00C32AFD">
            <w:pPr>
              <w:spacing w:line="278" w:lineRule="auto"/>
              <w:rPr>
                <w:rFonts w:ascii="Arial" w:hAnsi="Arial" w:cs="Arial"/>
                <w:sz w:val="16"/>
                <w:szCs w:val="16"/>
              </w:rPr>
            </w:pPr>
            <w:r w:rsidRPr="00C32AFD">
              <w:rPr>
                <w:rFonts w:ascii="Arial" w:hAnsi="Arial" w:cs="Arial"/>
                <w:sz w:val="16"/>
                <w:szCs w:val="16"/>
              </w:rPr>
              <w:t>South Asian carers need culturally and religiously sensitive dementia support across the entire care pathway, including end-of-life planning.</w:t>
            </w:r>
          </w:p>
          <w:p w14:paraId="29082F8E" w14:textId="40B9E3AE" w:rsidR="00993304" w:rsidRPr="000D5EB8" w:rsidRDefault="00993304" w:rsidP="001A6776">
            <w:pPr>
              <w:spacing w:line="278" w:lineRule="auto"/>
              <w:rPr>
                <w:rFonts w:ascii="Arial" w:hAnsi="Arial" w:cs="Arial"/>
                <w:sz w:val="16"/>
                <w:szCs w:val="16"/>
              </w:rPr>
            </w:pPr>
          </w:p>
        </w:tc>
      </w:tr>
      <w:tr w:rsidR="00567B84" w:rsidRPr="00742DFD" w14:paraId="39C7B8B9" w14:textId="77777777" w:rsidTr="00C32AFD">
        <w:trPr>
          <w:trHeight w:val="438"/>
        </w:trPr>
        <w:tc>
          <w:tcPr>
            <w:tcW w:w="882" w:type="dxa"/>
            <w:tcBorders>
              <w:top w:val="single" w:sz="4" w:space="0" w:color="auto"/>
              <w:left w:val="single" w:sz="4" w:space="0" w:color="auto"/>
              <w:bottom w:val="single" w:sz="4" w:space="0" w:color="auto"/>
              <w:right w:val="single" w:sz="4" w:space="0" w:color="auto"/>
            </w:tcBorders>
          </w:tcPr>
          <w:p w14:paraId="5658DB82" w14:textId="77777777" w:rsidR="00993304" w:rsidRPr="000D5EB8" w:rsidRDefault="00993304" w:rsidP="001A6776">
            <w:pPr>
              <w:spacing w:line="278" w:lineRule="auto"/>
              <w:rPr>
                <w:rFonts w:ascii="Arial" w:hAnsi="Arial" w:cs="Arial"/>
                <w:sz w:val="16"/>
                <w:szCs w:val="16"/>
              </w:rPr>
            </w:pPr>
            <w:r w:rsidRPr="007E4EE3">
              <w:rPr>
                <w:rFonts w:ascii="Arial" w:hAnsi="Arial" w:cs="Arial"/>
                <w:sz w:val="16"/>
                <w:szCs w:val="16"/>
              </w:rPr>
              <w:t>Bajwa</w:t>
            </w:r>
            <w:r>
              <w:rPr>
                <w:rFonts w:ascii="Arial" w:hAnsi="Arial" w:cs="Arial"/>
                <w:sz w:val="16"/>
                <w:szCs w:val="16"/>
              </w:rPr>
              <w:t xml:space="preserve"> et al, 2025</w:t>
            </w:r>
          </w:p>
        </w:tc>
        <w:tc>
          <w:tcPr>
            <w:tcW w:w="1551" w:type="dxa"/>
            <w:tcBorders>
              <w:top w:val="single" w:sz="4" w:space="0" w:color="auto"/>
              <w:left w:val="single" w:sz="4" w:space="0" w:color="auto"/>
              <w:bottom w:val="single" w:sz="4" w:space="0" w:color="auto"/>
              <w:right w:val="single" w:sz="4" w:space="0" w:color="auto"/>
            </w:tcBorders>
          </w:tcPr>
          <w:p w14:paraId="29E9E63D" w14:textId="77777777" w:rsidR="00993304" w:rsidRPr="000D5EB8" w:rsidRDefault="00993304" w:rsidP="001A6776">
            <w:pPr>
              <w:spacing w:line="278" w:lineRule="auto"/>
              <w:rPr>
                <w:rFonts w:ascii="Arial" w:hAnsi="Arial" w:cs="Arial"/>
                <w:sz w:val="16"/>
                <w:szCs w:val="16"/>
              </w:rPr>
            </w:pPr>
            <w:r w:rsidRPr="00207976">
              <w:rPr>
                <w:rFonts w:ascii="Arial" w:hAnsi="Arial" w:cs="Arial"/>
                <w:sz w:val="16"/>
                <w:szCs w:val="16"/>
              </w:rPr>
              <w:t>To explore dementia knowledge, attitudes towards dementia risk prediction, and barriers and facilitators to accessing dementia services among socioeconomically and ethnically diverse populations in England.</w:t>
            </w:r>
          </w:p>
        </w:tc>
        <w:tc>
          <w:tcPr>
            <w:tcW w:w="1253" w:type="dxa"/>
            <w:tcBorders>
              <w:top w:val="single" w:sz="4" w:space="0" w:color="auto"/>
              <w:left w:val="single" w:sz="4" w:space="0" w:color="auto"/>
              <w:bottom w:val="single" w:sz="4" w:space="0" w:color="auto"/>
              <w:right w:val="single" w:sz="4" w:space="0" w:color="auto"/>
            </w:tcBorders>
          </w:tcPr>
          <w:p w14:paraId="0D328E1A" w14:textId="5B09D43C" w:rsidR="00993304" w:rsidRPr="000D5EB8" w:rsidRDefault="00253F0F" w:rsidP="001A6776">
            <w:pPr>
              <w:rPr>
                <w:rFonts w:ascii="Arial" w:hAnsi="Arial" w:cs="Arial"/>
                <w:sz w:val="16"/>
                <w:szCs w:val="16"/>
              </w:rPr>
            </w:pPr>
            <w:r w:rsidRPr="00253F0F">
              <w:rPr>
                <w:rFonts w:ascii="Arial" w:hAnsi="Arial" w:cs="Arial"/>
                <w:sz w:val="16"/>
                <w:szCs w:val="16"/>
              </w:rPr>
              <w:t>England; 147 participants from low-income, ethnically diverse communities (24% Asian/Asian British).</w:t>
            </w:r>
          </w:p>
        </w:tc>
        <w:tc>
          <w:tcPr>
            <w:tcW w:w="1416" w:type="dxa"/>
            <w:tcBorders>
              <w:top w:val="single" w:sz="4" w:space="0" w:color="auto"/>
              <w:left w:val="single" w:sz="4" w:space="0" w:color="auto"/>
              <w:bottom w:val="single" w:sz="4" w:space="0" w:color="auto"/>
              <w:right w:val="single" w:sz="4" w:space="0" w:color="auto"/>
            </w:tcBorders>
          </w:tcPr>
          <w:p w14:paraId="67822A0C" w14:textId="77777777" w:rsidR="00993304" w:rsidRPr="000D5EB8" w:rsidRDefault="00993304" w:rsidP="001A6776">
            <w:pPr>
              <w:spacing w:line="278" w:lineRule="auto"/>
              <w:rPr>
                <w:rFonts w:ascii="Arial" w:hAnsi="Arial" w:cs="Arial"/>
                <w:sz w:val="16"/>
                <w:szCs w:val="16"/>
              </w:rPr>
            </w:pPr>
            <w:r w:rsidRPr="00207976">
              <w:rPr>
                <w:rFonts w:ascii="Arial" w:hAnsi="Arial" w:cs="Arial"/>
                <w:sz w:val="16"/>
                <w:szCs w:val="16"/>
              </w:rPr>
              <w:t>Qualitative study using task group methodology; data analysed using framework analysis.</w:t>
            </w:r>
          </w:p>
        </w:tc>
        <w:tc>
          <w:tcPr>
            <w:tcW w:w="1406" w:type="dxa"/>
            <w:tcBorders>
              <w:top w:val="single" w:sz="4" w:space="0" w:color="auto"/>
              <w:left w:val="single" w:sz="4" w:space="0" w:color="auto"/>
              <w:bottom w:val="single" w:sz="4" w:space="0" w:color="auto"/>
              <w:right w:val="single" w:sz="4" w:space="0" w:color="auto"/>
            </w:tcBorders>
          </w:tcPr>
          <w:p w14:paraId="07940DD1" w14:textId="72D3B1D1" w:rsidR="00993304" w:rsidRPr="000D5EB8" w:rsidRDefault="00253F0F" w:rsidP="001A6776">
            <w:pPr>
              <w:spacing w:line="278" w:lineRule="auto"/>
              <w:rPr>
                <w:rFonts w:ascii="Arial" w:hAnsi="Arial" w:cs="Arial"/>
                <w:sz w:val="16"/>
                <w:szCs w:val="16"/>
              </w:rPr>
            </w:pPr>
            <w:r w:rsidRPr="00253F0F">
              <w:rPr>
                <w:rFonts w:ascii="Arial" w:hAnsi="Arial" w:cs="Arial"/>
                <w:sz w:val="16"/>
                <w:szCs w:val="16"/>
              </w:rPr>
              <w:t>Large, diverse qualitative sample; community-based approach; systematic analysis.</w:t>
            </w:r>
          </w:p>
        </w:tc>
        <w:tc>
          <w:tcPr>
            <w:tcW w:w="1431" w:type="dxa"/>
            <w:tcBorders>
              <w:top w:val="single" w:sz="4" w:space="0" w:color="auto"/>
              <w:left w:val="single" w:sz="4" w:space="0" w:color="auto"/>
              <w:bottom w:val="single" w:sz="4" w:space="0" w:color="auto"/>
              <w:right w:val="single" w:sz="4" w:space="0" w:color="auto"/>
            </w:tcBorders>
          </w:tcPr>
          <w:p w14:paraId="55E2BD47" w14:textId="11997CA5" w:rsidR="00993304" w:rsidRPr="000D5EB8" w:rsidRDefault="00993304" w:rsidP="001A6776">
            <w:pPr>
              <w:spacing w:line="278" w:lineRule="auto"/>
              <w:rPr>
                <w:rFonts w:ascii="Arial" w:hAnsi="Arial" w:cs="Arial"/>
                <w:sz w:val="16"/>
                <w:szCs w:val="16"/>
              </w:rPr>
            </w:pPr>
            <w:r w:rsidRPr="006753BB">
              <w:rPr>
                <w:rFonts w:ascii="Arial" w:hAnsi="Arial" w:cs="Arial"/>
                <w:sz w:val="16"/>
                <w:szCs w:val="16"/>
              </w:rPr>
              <w:t>limiting subgroup-specific conclusions. Group-based methodology may limit exploration of sensitive topics. Perspectives of people with diagnosed dementia were not specified.</w:t>
            </w:r>
          </w:p>
        </w:tc>
        <w:tc>
          <w:tcPr>
            <w:tcW w:w="1332" w:type="dxa"/>
            <w:tcBorders>
              <w:top w:val="single" w:sz="4" w:space="0" w:color="auto"/>
              <w:left w:val="single" w:sz="4" w:space="0" w:color="auto"/>
              <w:bottom w:val="single" w:sz="4" w:space="0" w:color="auto"/>
              <w:right w:val="single" w:sz="4" w:space="0" w:color="auto"/>
            </w:tcBorders>
          </w:tcPr>
          <w:p w14:paraId="76842907" w14:textId="0AE56362" w:rsidR="00993304" w:rsidRPr="000D5EB8" w:rsidRDefault="00253F0F" w:rsidP="001A6776">
            <w:pPr>
              <w:spacing w:line="278" w:lineRule="auto"/>
              <w:rPr>
                <w:rFonts w:ascii="Arial" w:hAnsi="Arial" w:cs="Arial"/>
                <w:sz w:val="16"/>
                <w:szCs w:val="16"/>
              </w:rPr>
            </w:pPr>
            <w:r w:rsidRPr="00253F0F">
              <w:rPr>
                <w:rFonts w:ascii="Arial" w:hAnsi="Arial" w:cs="Arial"/>
                <w:sz w:val="16"/>
                <w:szCs w:val="16"/>
              </w:rPr>
              <w:t>Partial dementia knowledge; low understanding of risk prediction; barriers included stigma, language, and cultural beliefs.</w:t>
            </w:r>
          </w:p>
        </w:tc>
        <w:tc>
          <w:tcPr>
            <w:tcW w:w="1787" w:type="dxa"/>
            <w:tcBorders>
              <w:top w:val="single" w:sz="4" w:space="0" w:color="auto"/>
              <w:left w:val="single" w:sz="4" w:space="0" w:color="auto"/>
              <w:bottom w:val="single" w:sz="4" w:space="0" w:color="auto"/>
              <w:right w:val="single" w:sz="4" w:space="0" w:color="auto"/>
            </w:tcBorders>
          </w:tcPr>
          <w:p w14:paraId="4726E263" w14:textId="77777777" w:rsidR="00993304" w:rsidRPr="000D5EB8" w:rsidRDefault="00993304" w:rsidP="001A6776">
            <w:pPr>
              <w:spacing w:line="278" w:lineRule="auto"/>
              <w:rPr>
                <w:rFonts w:ascii="Arial" w:hAnsi="Arial" w:cs="Arial"/>
                <w:sz w:val="16"/>
                <w:szCs w:val="16"/>
              </w:rPr>
            </w:pPr>
            <w:r w:rsidRPr="006753BB">
              <w:rPr>
                <w:rFonts w:ascii="Arial" w:hAnsi="Arial" w:cs="Arial"/>
                <w:sz w:val="16"/>
                <w:szCs w:val="16"/>
              </w:rPr>
              <w:t>The study highlights persistent informational, cultural, and language barriers to dementia services among diverse UK populations. Findings support the development of culturally inclusive, community-engaged, and linguistically accessible dementia services to improve early access and prevention efforts.</w:t>
            </w:r>
          </w:p>
        </w:tc>
      </w:tr>
    </w:tbl>
    <w:p w14:paraId="3E0652FF" w14:textId="77777777" w:rsidR="00993304" w:rsidRDefault="00993304" w:rsidP="001A6776">
      <w:pPr>
        <w:spacing w:after="0" w:line="360" w:lineRule="auto"/>
        <w:jc w:val="both"/>
        <w:rPr>
          <w:rFonts w:ascii="Arial" w:hAnsi="Arial" w:cs="Arial"/>
        </w:rPr>
      </w:pPr>
    </w:p>
    <w:p w14:paraId="13AAC68C" w14:textId="77777777" w:rsidR="00993304" w:rsidRDefault="00993304" w:rsidP="001A6776">
      <w:pPr>
        <w:pStyle w:val="Heading1"/>
      </w:pPr>
      <w:bookmarkStart w:id="51" w:name="_Toc220760178"/>
      <w:r>
        <w:lastRenderedPageBreak/>
        <w:t xml:space="preserve">4.4 </w:t>
      </w:r>
      <w:r w:rsidRPr="00884988">
        <w:t>Thematic Analysis</w:t>
      </w:r>
      <w:bookmarkEnd w:id="51"/>
    </w:p>
    <w:p w14:paraId="198FAE65" w14:textId="77777777" w:rsidR="00993304" w:rsidRPr="00884988" w:rsidRDefault="00993304" w:rsidP="001A6776">
      <w:pPr>
        <w:pStyle w:val="Heading2"/>
        <w:spacing w:after="0"/>
      </w:pPr>
      <w:bookmarkStart w:id="52" w:name="_Toc220760179"/>
      <w:r>
        <w:t xml:space="preserve">4.4.1 </w:t>
      </w:r>
      <w:r w:rsidRPr="00884988">
        <w:t>Theme 1: Cultural Beliefs, Attitudes, and Social Norms Influencing Help-Seeking for Alzheimer’s Care</w:t>
      </w:r>
      <w:bookmarkEnd w:id="52"/>
    </w:p>
    <w:p w14:paraId="382221BF" w14:textId="77777777" w:rsidR="00993304" w:rsidRPr="00884988" w:rsidRDefault="00993304" w:rsidP="001E579A">
      <w:pPr>
        <w:spacing w:before="240" w:after="0" w:line="360" w:lineRule="auto"/>
        <w:jc w:val="both"/>
        <w:rPr>
          <w:rFonts w:ascii="Arial" w:hAnsi="Arial" w:cs="Arial"/>
        </w:rPr>
      </w:pPr>
      <w:r w:rsidRPr="00884988">
        <w:rPr>
          <w:rFonts w:ascii="Arial" w:hAnsi="Arial" w:cs="Arial"/>
        </w:rPr>
        <w:t>Cultural beliefs and attitudes play a central role in shaping help-seeking behaviours for Alzheimer’s care among South Asian older adults in the UK. Across multiple qualitative studies, dementia was frequently interpreted through religious, moral, and familial frameworks rather than biomedical models, influencing whether and when families seek professional support. Hossain and Khan (2020) and Regan (2015) highlight how religious interpretations</w:t>
      </w:r>
      <w:r>
        <w:rPr>
          <w:rFonts w:ascii="Arial" w:hAnsi="Arial" w:cs="Arial"/>
        </w:rPr>
        <w:t xml:space="preserve">, </w:t>
      </w:r>
      <w:r w:rsidRPr="00884988">
        <w:rPr>
          <w:rFonts w:ascii="Arial" w:hAnsi="Arial" w:cs="Arial"/>
        </w:rPr>
        <w:t>such as viewing dementia as a test from God or part of normal ageing</w:t>
      </w:r>
      <w:r>
        <w:rPr>
          <w:rFonts w:ascii="Arial" w:hAnsi="Arial" w:cs="Arial"/>
        </w:rPr>
        <w:t xml:space="preserve">, </w:t>
      </w:r>
      <w:r w:rsidRPr="00884988">
        <w:rPr>
          <w:rFonts w:ascii="Arial" w:hAnsi="Arial" w:cs="Arial"/>
        </w:rPr>
        <w:t>can delay recognition of symptoms and reduce engagement with formal services. Strong cultural norms around family responsibility and filial duty often position caregiving as a private matter, discouraging external help-seeking and reinforcing reliance on family-based care (Regan, 2015; James et al., 2024).</w:t>
      </w:r>
    </w:p>
    <w:p w14:paraId="10757A0D" w14:textId="77777777" w:rsidR="00993304" w:rsidRPr="00884988" w:rsidRDefault="00993304" w:rsidP="001E579A">
      <w:pPr>
        <w:spacing w:before="240" w:after="0" w:line="360" w:lineRule="auto"/>
        <w:jc w:val="both"/>
        <w:rPr>
          <w:rFonts w:ascii="Arial" w:hAnsi="Arial" w:cs="Arial"/>
        </w:rPr>
      </w:pPr>
      <w:r w:rsidRPr="00884988">
        <w:rPr>
          <w:rFonts w:ascii="Arial" w:hAnsi="Arial" w:cs="Arial"/>
        </w:rPr>
        <w:t>Social norms within families and communities also significantly influence attitudes toward help-seeking. Using the Theory of Planned Behaviour, Hailstone et al. (2017) demonstrated that perceived social pressure from significant others</w:t>
      </w:r>
      <w:r>
        <w:rPr>
          <w:rFonts w:ascii="Arial" w:hAnsi="Arial" w:cs="Arial"/>
        </w:rPr>
        <w:t xml:space="preserve">, </w:t>
      </w:r>
      <w:r w:rsidRPr="00884988">
        <w:rPr>
          <w:rFonts w:ascii="Arial" w:hAnsi="Arial" w:cs="Arial"/>
        </w:rPr>
        <w:t>particularly family members</w:t>
      </w:r>
      <w:r>
        <w:rPr>
          <w:rFonts w:ascii="Arial" w:hAnsi="Arial" w:cs="Arial"/>
        </w:rPr>
        <w:t xml:space="preserve">, </w:t>
      </w:r>
      <w:r w:rsidRPr="00884988">
        <w:rPr>
          <w:rFonts w:ascii="Arial" w:hAnsi="Arial" w:cs="Arial"/>
        </w:rPr>
        <w:t>was the strongest predictor of willingness to seek medical help for memory problems. Feelings of embarrassment, fear of community judgement, and concerns about honour were found to outweigh factual knowledge about dementia. Similarly, Hossain et al. (2022) reported that carers struggled to balance cultural expectations of dignity and respect with the practical challenges of managing dementia, particularly during later stages and end-of-life planning. These findings suggest that attitudes embedded within family and community structures strongly mediate engagement with Alzheimer’s services.</w:t>
      </w:r>
    </w:p>
    <w:p w14:paraId="05D7FA27" w14:textId="77777777" w:rsidR="00993304" w:rsidRPr="00884988" w:rsidRDefault="00993304" w:rsidP="001E579A">
      <w:pPr>
        <w:spacing w:before="240" w:after="0" w:line="360" w:lineRule="auto"/>
        <w:jc w:val="both"/>
        <w:rPr>
          <w:rFonts w:ascii="Arial" w:hAnsi="Arial" w:cs="Arial"/>
        </w:rPr>
      </w:pPr>
      <w:r w:rsidRPr="00884988">
        <w:rPr>
          <w:rFonts w:ascii="Arial" w:hAnsi="Arial" w:cs="Arial"/>
        </w:rPr>
        <w:t>Importantly, cultural beliefs were not uniform across South Asian communities. James et al. (2024) found considerable variation in care preferences within ethnic groups, challenging assumptions that South Asian families universally prefer informal care. Some families actively sought formal support when culturally and linguistically appropriate services were available. This indicates that culturally sensitive approaches</w:t>
      </w:r>
      <w:r>
        <w:rPr>
          <w:rFonts w:ascii="Arial" w:hAnsi="Arial" w:cs="Arial"/>
        </w:rPr>
        <w:t xml:space="preserve">, </w:t>
      </w:r>
      <w:r w:rsidRPr="00884988">
        <w:rPr>
          <w:rFonts w:ascii="Arial" w:hAnsi="Arial" w:cs="Arial"/>
        </w:rPr>
        <w:t>such as involving religious leaders, community outreach, and co-production of services</w:t>
      </w:r>
      <w:r>
        <w:rPr>
          <w:rFonts w:ascii="Arial" w:hAnsi="Arial" w:cs="Arial"/>
        </w:rPr>
        <w:t xml:space="preserve">, </w:t>
      </w:r>
      <w:r w:rsidRPr="00884988">
        <w:rPr>
          <w:rFonts w:ascii="Arial" w:hAnsi="Arial" w:cs="Arial"/>
        </w:rPr>
        <w:t xml:space="preserve">can positively influence engagement. Regan (2015) and Jutlla and Arblaster (2023) both emphasise that engaging religious institutions and community organisations can reduce stigma, improve understanding, and normalise </w:t>
      </w:r>
      <w:r w:rsidRPr="00884988">
        <w:rPr>
          <w:rFonts w:ascii="Arial" w:hAnsi="Arial" w:cs="Arial"/>
        </w:rPr>
        <w:lastRenderedPageBreak/>
        <w:t>help-seeking. Overall, addressing culturally rooted attitudes through community-based, culturally informed strategies is essential to improving access to Alzheimer’s care among South Asian older adults.</w:t>
      </w:r>
    </w:p>
    <w:p w14:paraId="49A44AD6" w14:textId="77777777" w:rsidR="00993304" w:rsidRPr="00884988" w:rsidRDefault="00993304" w:rsidP="001A6776">
      <w:pPr>
        <w:pStyle w:val="Heading2"/>
        <w:spacing w:after="0"/>
      </w:pPr>
      <w:bookmarkStart w:id="53" w:name="_Toc220760180"/>
      <w:r>
        <w:t xml:space="preserve">4.4.2 </w:t>
      </w:r>
      <w:r w:rsidRPr="00884988">
        <w:t>Theme 2: Awareness, Knowledge, and Understanding of Alzheimer’s Disease and Available Services</w:t>
      </w:r>
      <w:bookmarkEnd w:id="53"/>
    </w:p>
    <w:p w14:paraId="3ED7D513" w14:textId="77777777" w:rsidR="00993304" w:rsidRPr="00884988" w:rsidRDefault="00993304" w:rsidP="001E579A">
      <w:pPr>
        <w:spacing w:before="240" w:after="0" w:line="360" w:lineRule="auto"/>
        <w:jc w:val="both"/>
        <w:rPr>
          <w:rFonts w:ascii="Arial" w:hAnsi="Arial" w:cs="Arial"/>
        </w:rPr>
      </w:pPr>
      <w:r w:rsidRPr="00884988">
        <w:rPr>
          <w:rFonts w:ascii="Arial" w:hAnsi="Arial" w:cs="Arial"/>
        </w:rPr>
        <w:t xml:space="preserve">Limited awareness and understanding of Alzheimer’s disease and available care services emerged as a consistent barrier across the reviewed studies. Several qualitative investigations reported that early symptoms of dementia were often misunderstood or normalised as part of ageing, delaying diagnosis and access to support (Hossain </w:t>
      </w:r>
      <w:r>
        <w:rPr>
          <w:rFonts w:ascii="Arial" w:hAnsi="Arial" w:cs="Arial"/>
        </w:rPr>
        <w:t>and</w:t>
      </w:r>
      <w:r w:rsidRPr="00884988">
        <w:rPr>
          <w:rFonts w:ascii="Arial" w:hAnsi="Arial" w:cs="Arial"/>
        </w:rPr>
        <w:t xml:space="preserve"> Khan, 2020; Hossain et al., 2022). Carers frequently described difficulties in recognising cognitive decline and behavioural changes, resulting in late presentation to services, often at crisis points. This lack of awareness extended beyond symptoms to </w:t>
      </w:r>
      <w:r>
        <w:rPr>
          <w:rFonts w:ascii="Arial" w:hAnsi="Arial" w:cs="Arial"/>
        </w:rPr>
        <w:t xml:space="preserve">a </w:t>
      </w:r>
      <w:r w:rsidRPr="00884988">
        <w:rPr>
          <w:rFonts w:ascii="Arial" w:hAnsi="Arial" w:cs="Arial"/>
        </w:rPr>
        <w:t xml:space="preserve">limited understanding of diagnostic processes, post-diagnostic support, and long-term care options (Jutlla </w:t>
      </w:r>
      <w:r>
        <w:rPr>
          <w:rFonts w:ascii="Arial" w:hAnsi="Arial" w:cs="Arial"/>
        </w:rPr>
        <w:t>and</w:t>
      </w:r>
      <w:r w:rsidRPr="00884988">
        <w:rPr>
          <w:rFonts w:ascii="Arial" w:hAnsi="Arial" w:cs="Arial"/>
        </w:rPr>
        <w:t xml:space="preserve"> Arblaster, 2023).</w:t>
      </w:r>
    </w:p>
    <w:p w14:paraId="791611DD" w14:textId="77777777" w:rsidR="00993304" w:rsidRPr="00884988" w:rsidRDefault="00993304" w:rsidP="001E579A">
      <w:pPr>
        <w:spacing w:before="240" w:after="0" w:line="360" w:lineRule="auto"/>
        <w:jc w:val="both"/>
        <w:rPr>
          <w:rFonts w:ascii="Arial" w:hAnsi="Arial" w:cs="Arial"/>
        </w:rPr>
      </w:pPr>
      <w:r w:rsidRPr="00884988">
        <w:rPr>
          <w:rFonts w:ascii="Arial" w:hAnsi="Arial" w:cs="Arial"/>
        </w:rPr>
        <w:t>Quantitative and mixed-methods studies further reinforced these findings. Kafadar et al. (2021) demonstrated that overall Alzheimer’s knowledge was low across ethnic groups in the UK, with only 45% of correct responses, and highlighted disparities in symptom recognition. While this study focused on younger adults, its findings are relevant in understanding intergenerational knowledge gaps that may influence family decision-making. Importantly, Hailstone et al. (2017) found no association between dementia knowledge and willingness to seek help, suggesting that increasing knowledge alone may be insufficient without addressing underlying beliefs and attitudes. However, Mukadam et al. (2023) showed that South Asian populations experience a higher burden of modifiable dementia risk factors, underscoring the importance of targeted education for both prevention and early intervention.</w:t>
      </w:r>
    </w:p>
    <w:p w14:paraId="5EB854ED" w14:textId="77777777" w:rsidR="00993304" w:rsidRPr="00884988" w:rsidRDefault="00993304" w:rsidP="001E579A">
      <w:pPr>
        <w:spacing w:before="240" w:after="0" w:line="360" w:lineRule="auto"/>
        <w:jc w:val="both"/>
        <w:rPr>
          <w:rFonts w:ascii="Arial" w:hAnsi="Arial" w:cs="Arial"/>
        </w:rPr>
      </w:pPr>
      <w:r w:rsidRPr="00884988">
        <w:rPr>
          <w:rFonts w:ascii="Arial" w:hAnsi="Arial" w:cs="Arial"/>
        </w:rPr>
        <w:t xml:space="preserve">The evidence indicates a need for targeted, culturally tailored educational interventions that go beyond generic information provision. Bajwa et al. (2025) and Jutlla and Arblaster (2023) emphasised that information must be accessible, relevant, and delivered through trusted community channels. Participants expressed a preference for face-to-face engagement, community-based education, and materials in familiar languages. Educational initiatives that incorporate cultural values, religious contexts, and practical guidance on navigating services were identified as particularly </w:t>
      </w:r>
      <w:r w:rsidRPr="00884988">
        <w:rPr>
          <w:rFonts w:ascii="Arial" w:hAnsi="Arial" w:cs="Arial"/>
        </w:rPr>
        <w:lastRenderedPageBreak/>
        <w:t>effective. Collectively, these findings highlight that improving Alzheimer’s awareness among South Asian older adults and families requires culturally sensitive, community-led education strategies that address both knowledge gaps and contextual barriers to understanding.</w:t>
      </w:r>
    </w:p>
    <w:p w14:paraId="609EFBDC" w14:textId="77777777" w:rsidR="00993304" w:rsidRPr="00884988" w:rsidRDefault="00993304" w:rsidP="001A6776">
      <w:pPr>
        <w:pStyle w:val="Heading2"/>
        <w:spacing w:after="0"/>
      </w:pPr>
      <w:bookmarkStart w:id="54" w:name="_Toc220760181"/>
      <w:r>
        <w:t xml:space="preserve">4.4.3 </w:t>
      </w:r>
      <w:r w:rsidRPr="00884988">
        <w:t>Theme 3: Language Barriers, Stigma, and Mistrust in Healthcare Systems</w:t>
      </w:r>
      <w:bookmarkEnd w:id="54"/>
    </w:p>
    <w:p w14:paraId="4E31191D" w14:textId="77777777" w:rsidR="00993304" w:rsidRPr="00884988" w:rsidRDefault="00993304" w:rsidP="001A6776">
      <w:pPr>
        <w:spacing w:after="0" w:line="360" w:lineRule="auto"/>
        <w:jc w:val="both"/>
        <w:rPr>
          <w:rFonts w:ascii="Arial" w:hAnsi="Arial" w:cs="Arial"/>
        </w:rPr>
      </w:pPr>
      <w:r w:rsidRPr="00884988">
        <w:rPr>
          <w:rFonts w:ascii="Arial" w:hAnsi="Arial" w:cs="Arial"/>
        </w:rPr>
        <w:t>Language barriers, stigma, and mistrust in healthcare systems were repeatedly identified as key structural and interpersonal obstacles to accessing Alzheimer’s care. James et al. (2024) and Ogliari et al. (2020) demonstrated that limited English proficiency significantly reduced access to timely diagnosis and appropriate services. Ogliari et al. (2020) found that South Asian older adults were significantly less likely to receive timely memory assessments compared to White British counterparts, with disparities becoming non-significant when language and nationality factors were controlled. This underscores the critical role of language in mediating access to diagnostic pathways.</w:t>
      </w:r>
    </w:p>
    <w:p w14:paraId="4C9D407B" w14:textId="77777777" w:rsidR="00993304" w:rsidRPr="00884988" w:rsidRDefault="00993304" w:rsidP="001E579A">
      <w:pPr>
        <w:spacing w:before="240" w:after="0" w:line="360" w:lineRule="auto"/>
        <w:jc w:val="both"/>
        <w:rPr>
          <w:rFonts w:ascii="Arial" w:hAnsi="Arial" w:cs="Arial"/>
        </w:rPr>
      </w:pPr>
      <w:r w:rsidRPr="00884988">
        <w:rPr>
          <w:rFonts w:ascii="Arial" w:hAnsi="Arial" w:cs="Arial"/>
        </w:rPr>
        <w:t xml:space="preserve">Stigma surrounding dementia further compounded these barriers. Several studies reported that dementia was associated with shame, denial, and fear of social exclusion within families and communities (Regan, 2015; Bajwa et al., 2025). Stigma was often linked to misconceptions about mental illness and reinforced by cultural and religious narratives. Hossain and Khan (2020) noted that gendered caregiving roles and expectations intensified stigma, particularly for women, limiting help-seeking and increasing caregiver burden. Even when services were accessed, participants reported feeling misunderstood or marginalised due to a lack of cultural competence among healthcare professionals (Jutlla </w:t>
      </w:r>
      <w:r>
        <w:rPr>
          <w:rFonts w:ascii="Arial" w:hAnsi="Arial" w:cs="Arial"/>
        </w:rPr>
        <w:t xml:space="preserve">and </w:t>
      </w:r>
      <w:r w:rsidRPr="00884988">
        <w:rPr>
          <w:rFonts w:ascii="Arial" w:hAnsi="Arial" w:cs="Arial"/>
        </w:rPr>
        <w:t>Arblaster, 2023).</w:t>
      </w:r>
    </w:p>
    <w:p w14:paraId="47BF8B72" w14:textId="77777777" w:rsidR="00993304" w:rsidRPr="00884988" w:rsidRDefault="00993304" w:rsidP="001E579A">
      <w:pPr>
        <w:spacing w:before="240" w:after="0" w:line="360" w:lineRule="auto"/>
        <w:jc w:val="both"/>
        <w:rPr>
          <w:rFonts w:ascii="Arial" w:hAnsi="Arial" w:cs="Arial"/>
        </w:rPr>
      </w:pPr>
      <w:r w:rsidRPr="00884988">
        <w:rPr>
          <w:rFonts w:ascii="Arial" w:hAnsi="Arial" w:cs="Arial"/>
        </w:rPr>
        <w:t xml:space="preserve">To overcome these challenges, studies consistently highlighted the effectiveness of community-based and translation-supported strategies. Bajwa et al. (2025) and Regan (2015) recommended investment in trained interpreters, multilingual resources, and culturally competent workforce training. Community outreach delivered in religious and social spaces was identified as a powerful tool for building trust and reducing stigma. Co-production of services with South Asian communities, as advocated by Jutlla and Arblaster (2023), was shown to enhance relevance, acceptability, and engagement. Overall, addressing language barriers, stigma, and mistrust requires systemic changes that prioritise cultural competence, community partnership, and inclusive </w:t>
      </w:r>
      <w:r w:rsidRPr="00884988">
        <w:rPr>
          <w:rFonts w:ascii="Arial" w:hAnsi="Arial" w:cs="Arial"/>
        </w:rPr>
        <w:lastRenderedPageBreak/>
        <w:t>communication to ensure equitable access to Alzheimer’s care for South Asian older adults in the UK.</w:t>
      </w:r>
    </w:p>
    <w:p w14:paraId="1A55694F" w14:textId="77777777" w:rsidR="00993304" w:rsidRPr="00F0139F" w:rsidRDefault="00993304" w:rsidP="001A6776">
      <w:pPr>
        <w:pStyle w:val="Heading1"/>
      </w:pPr>
      <w:bookmarkStart w:id="55" w:name="_Toc220760182"/>
      <w:r>
        <w:t xml:space="preserve">4.4 </w:t>
      </w:r>
      <w:r w:rsidRPr="00F0139F">
        <w:t>Chapter Summary</w:t>
      </w:r>
      <w:bookmarkEnd w:id="55"/>
    </w:p>
    <w:p w14:paraId="4E4C1310" w14:textId="786642B9" w:rsidR="00953BF1" w:rsidRDefault="00993304" w:rsidP="001A6776">
      <w:pPr>
        <w:spacing w:after="0" w:line="360" w:lineRule="auto"/>
        <w:jc w:val="both"/>
        <w:rPr>
          <w:rFonts w:ascii="Arial" w:hAnsi="Arial" w:cs="Arial"/>
        </w:rPr>
      </w:pPr>
      <w:r w:rsidRPr="00F0139F">
        <w:rPr>
          <w:rFonts w:ascii="Arial" w:hAnsi="Arial" w:cs="Arial"/>
        </w:rPr>
        <w:t>Chapter 4 synthesised evidence from the systematic review to identify key barriers affecting access to Alzheimer’s care among South Asian older adults in the UK. The findings revealed that help-seeking is strongly shaped by cultural beliefs, social norms, and stigma, with dementia often interpreted through religious and familial frameworks that delay engagement with formal services. Limited awareness and understanding of Alzheimer’s disease and available care pathways further contributed to late diagnosis and crisis-driven service use, while knowledge alone was insufficient without addressing underlying attitudes. Language barriers, mistrust, and limited cultural competence within healthcare systems compounded these challenges, restricting equitable access to diagnosis and support. Collectively, the results highlight the need for culturally sensitive, community-based, and linguistically inclusive strategies to improve access to Alzheimer’s care.</w:t>
      </w:r>
    </w:p>
    <w:p w14:paraId="49EC35CF" w14:textId="77777777" w:rsidR="00A65421" w:rsidRDefault="00A65421" w:rsidP="001A6776">
      <w:pPr>
        <w:spacing w:after="0" w:line="360" w:lineRule="auto"/>
        <w:jc w:val="both"/>
        <w:rPr>
          <w:rFonts w:ascii="Arial" w:hAnsi="Arial" w:cs="Arial"/>
        </w:rPr>
      </w:pPr>
    </w:p>
    <w:p w14:paraId="7872117D" w14:textId="77777777" w:rsidR="00A65421" w:rsidRDefault="00A65421" w:rsidP="001A6776">
      <w:pPr>
        <w:spacing w:after="0" w:line="360" w:lineRule="auto"/>
        <w:jc w:val="both"/>
        <w:rPr>
          <w:rFonts w:ascii="Arial" w:hAnsi="Arial" w:cs="Arial"/>
        </w:rPr>
      </w:pPr>
    </w:p>
    <w:p w14:paraId="066226AB" w14:textId="77777777" w:rsidR="00A65421" w:rsidRDefault="00A65421" w:rsidP="001A6776">
      <w:pPr>
        <w:spacing w:after="0" w:line="360" w:lineRule="auto"/>
        <w:jc w:val="both"/>
        <w:rPr>
          <w:rFonts w:ascii="Arial" w:hAnsi="Arial" w:cs="Arial"/>
        </w:rPr>
      </w:pPr>
    </w:p>
    <w:p w14:paraId="2D061956" w14:textId="77777777" w:rsidR="00A65421" w:rsidRDefault="00A65421" w:rsidP="001A6776">
      <w:pPr>
        <w:spacing w:after="0" w:line="360" w:lineRule="auto"/>
        <w:jc w:val="both"/>
        <w:rPr>
          <w:rFonts w:ascii="Arial" w:hAnsi="Arial" w:cs="Arial"/>
        </w:rPr>
      </w:pPr>
    </w:p>
    <w:p w14:paraId="3A7FA1A9" w14:textId="77777777" w:rsidR="00A65421" w:rsidRDefault="00A65421" w:rsidP="001A6776">
      <w:pPr>
        <w:spacing w:after="0" w:line="360" w:lineRule="auto"/>
        <w:jc w:val="both"/>
        <w:rPr>
          <w:rFonts w:ascii="Arial" w:hAnsi="Arial" w:cs="Arial"/>
        </w:rPr>
      </w:pPr>
    </w:p>
    <w:p w14:paraId="4D380852" w14:textId="77777777" w:rsidR="00A65421" w:rsidRDefault="00A65421" w:rsidP="001A6776">
      <w:pPr>
        <w:spacing w:after="0" w:line="360" w:lineRule="auto"/>
        <w:jc w:val="both"/>
        <w:rPr>
          <w:rFonts w:ascii="Arial" w:hAnsi="Arial" w:cs="Arial"/>
        </w:rPr>
      </w:pPr>
    </w:p>
    <w:p w14:paraId="0E724546" w14:textId="77777777" w:rsidR="00A65421" w:rsidRDefault="00A65421" w:rsidP="001A6776">
      <w:pPr>
        <w:spacing w:after="0" w:line="360" w:lineRule="auto"/>
        <w:jc w:val="both"/>
        <w:rPr>
          <w:rFonts w:ascii="Arial" w:hAnsi="Arial" w:cs="Arial"/>
        </w:rPr>
      </w:pPr>
    </w:p>
    <w:p w14:paraId="57DBDFE7" w14:textId="77777777" w:rsidR="00A65421" w:rsidRDefault="00A65421" w:rsidP="001A6776">
      <w:pPr>
        <w:spacing w:after="0" w:line="360" w:lineRule="auto"/>
        <w:jc w:val="both"/>
        <w:rPr>
          <w:rFonts w:ascii="Arial" w:hAnsi="Arial" w:cs="Arial"/>
        </w:rPr>
      </w:pPr>
    </w:p>
    <w:p w14:paraId="60F095AD" w14:textId="77777777" w:rsidR="00A65421" w:rsidRDefault="00A65421" w:rsidP="001A6776">
      <w:pPr>
        <w:spacing w:after="0" w:line="360" w:lineRule="auto"/>
        <w:jc w:val="both"/>
        <w:rPr>
          <w:rFonts w:ascii="Arial" w:hAnsi="Arial" w:cs="Arial"/>
        </w:rPr>
      </w:pPr>
    </w:p>
    <w:p w14:paraId="3D9ED28B" w14:textId="77777777" w:rsidR="00A65421" w:rsidRDefault="00A65421" w:rsidP="001A6776">
      <w:pPr>
        <w:spacing w:after="0" w:line="360" w:lineRule="auto"/>
        <w:jc w:val="both"/>
        <w:rPr>
          <w:rFonts w:ascii="Arial" w:hAnsi="Arial" w:cs="Arial"/>
        </w:rPr>
      </w:pPr>
    </w:p>
    <w:p w14:paraId="1AA1AA27" w14:textId="77777777" w:rsidR="00A65421" w:rsidRDefault="00A65421" w:rsidP="001A6776">
      <w:pPr>
        <w:spacing w:after="0" w:line="360" w:lineRule="auto"/>
        <w:jc w:val="both"/>
        <w:rPr>
          <w:rFonts w:ascii="Arial" w:hAnsi="Arial" w:cs="Arial"/>
        </w:rPr>
      </w:pPr>
    </w:p>
    <w:p w14:paraId="5B6E5954" w14:textId="77777777" w:rsidR="00A65421" w:rsidRDefault="00A65421" w:rsidP="001A6776">
      <w:pPr>
        <w:spacing w:after="0" w:line="360" w:lineRule="auto"/>
        <w:jc w:val="both"/>
        <w:rPr>
          <w:rFonts w:ascii="Arial" w:hAnsi="Arial" w:cs="Arial"/>
        </w:rPr>
      </w:pPr>
    </w:p>
    <w:p w14:paraId="36818569" w14:textId="77777777" w:rsidR="00A65421" w:rsidRDefault="00A65421" w:rsidP="001A6776">
      <w:pPr>
        <w:spacing w:after="0" w:line="360" w:lineRule="auto"/>
        <w:jc w:val="both"/>
        <w:rPr>
          <w:rFonts w:ascii="Arial" w:hAnsi="Arial" w:cs="Arial"/>
        </w:rPr>
      </w:pPr>
    </w:p>
    <w:p w14:paraId="0EBDAD2E" w14:textId="77777777" w:rsidR="00A65421" w:rsidRDefault="00A65421" w:rsidP="001A6776">
      <w:pPr>
        <w:spacing w:after="0" w:line="360" w:lineRule="auto"/>
        <w:jc w:val="both"/>
        <w:rPr>
          <w:rFonts w:ascii="Arial" w:hAnsi="Arial" w:cs="Arial"/>
        </w:rPr>
      </w:pPr>
    </w:p>
    <w:p w14:paraId="734BF6F4" w14:textId="77777777" w:rsidR="00A65421" w:rsidRDefault="00A65421" w:rsidP="001A6776">
      <w:pPr>
        <w:spacing w:after="0" w:line="360" w:lineRule="auto"/>
        <w:jc w:val="both"/>
        <w:rPr>
          <w:rFonts w:ascii="Arial" w:hAnsi="Arial" w:cs="Arial"/>
        </w:rPr>
      </w:pPr>
    </w:p>
    <w:p w14:paraId="5DC594BD" w14:textId="77777777" w:rsidR="00953BF1" w:rsidRDefault="00953BF1" w:rsidP="001A6776">
      <w:pPr>
        <w:pStyle w:val="Heading1"/>
        <w:spacing w:before="0"/>
      </w:pPr>
      <w:bookmarkStart w:id="56" w:name="_Toc220760183"/>
      <w:r w:rsidRPr="00953BF1">
        <w:lastRenderedPageBreak/>
        <w:t>Chapter 5: Discussion</w:t>
      </w:r>
      <w:bookmarkEnd w:id="56"/>
      <w:r w:rsidRPr="00953BF1">
        <w:t xml:space="preserve"> </w:t>
      </w:r>
    </w:p>
    <w:p w14:paraId="08CD5EB8" w14:textId="0A227757" w:rsidR="00953BF1" w:rsidRPr="00953BF1" w:rsidRDefault="0046578B" w:rsidP="001A6776">
      <w:pPr>
        <w:pStyle w:val="Heading1"/>
        <w:spacing w:before="0"/>
      </w:pPr>
      <w:bookmarkStart w:id="57" w:name="_Toc220760184"/>
      <w:r>
        <w:t xml:space="preserve">5.1 </w:t>
      </w:r>
      <w:r w:rsidR="00953BF1" w:rsidRPr="00953BF1">
        <w:t>Introduction</w:t>
      </w:r>
      <w:bookmarkEnd w:id="57"/>
    </w:p>
    <w:p w14:paraId="49B76606" w14:textId="3573C19A" w:rsidR="00953BF1" w:rsidRPr="00953BF1" w:rsidRDefault="00953BF1" w:rsidP="001A6776">
      <w:pPr>
        <w:spacing w:after="0" w:line="360" w:lineRule="auto"/>
        <w:jc w:val="both"/>
        <w:rPr>
          <w:rFonts w:ascii="Arial" w:hAnsi="Arial" w:cs="Arial"/>
        </w:rPr>
      </w:pPr>
      <w:r w:rsidRPr="00953BF1">
        <w:rPr>
          <w:rFonts w:ascii="Arial" w:hAnsi="Arial" w:cs="Arial"/>
        </w:rPr>
        <w:t xml:space="preserve">This chapter discusses the findings of the systematic review by critically interpreting the evidence in relation to the research question, aims, and objectives. It explores how cultural beliefs, levels of awareness, language barriers, stigma, and trust in healthcare systems influence access to Alzheimer’s care among South Asian older adults (aged 60+) in the UK. By synthesising the reviewed literature, this chapter situates the findings within the wider context of existing research and UK dementia care policy, highlighting consistent patterns, contradictions, and gaps in knowledge. </w:t>
      </w:r>
      <w:r w:rsidR="000176DC" w:rsidRPr="00953BF1">
        <w:rPr>
          <w:rFonts w:ascii="Arial" w:hAnsi="Arial" w:cs="Arial"/>
        </w:rPr>
        <w:t>Attention</w:t>
      </w:r>
      <w:r w:rsidRPr="00953BF1">
        <w:rPr>
          <w:rFonts w:ascii="Arial" w:hAnsi="Arial" w:cs="Arial"/>
        </w:rPr>
        <w:t xml:space="preserve"> is given to culturally specific barriers to help-seeking and service utilisation, as well as the effectiveness of strategies such as culturally sensitive interventions, community-based approaches, and language-supported services. The discussion also considers the implications of these findings for practice, policy, and future research aimed at improving equitable access to Alzheimer’s care for South Asian communities in the UK.</w:t>
      </w:r>
    </w:p>
    <w:p w14:paraId="4D8C2511" w14:textId="6E07DE5C" w:rsidR="000176DC" w:rsidRDefault="0046578B" w:rsidP="001A6776">
      <w:pPr>
        <w:pStyle w:val="Heading1"/>
      </w:pPr>
      <w:bookmarkStart w:id="58" w:name="_Toc220760185"/>
      <w:r>
        <w:t xml:space="preserve">5.2 </w:t>
      </w:r>
      <w:r w:rsidR="000176DC" w:rsidRPr="000176DC">
        <w:t>Discussion</w:t>
      </w:r>
      <w:r w:rsidR="000176DC">
        <w:t xml:space="preserve"> of themes</w:t>
      </w:r>
      <w:bookmarkEnd w:id="58"/>
    </w:p>
    <w:p w14:paraId="5B4FA082" w14:textId="77777777" w:rsidR="00A65421" w:rsidRPr="00A65421" w:rsidRDefault="00A65421" w:rsidP="00A65421">
      <w:pPr>
        <w:spacing w:before="240" w:after="0" w:line="360" w:lineRule="auto"/>
        <w:jc w:val="both"/>
        <w:rPr>
          <w:rFonts w:ascii="Arial" w:hAnsi="Arial" w:cs="Arial"/>
        </w:rPr>
      </w:pPr>
      <w:r w:rsidRPr="00A65421">
        <w:rPr>
          <w:rFonts w:ascii="Arial" w:hAnsi="Arial" w:cs="Arial"/>
        </w:rPr>
        <w:t>The findings from studies on South Asian older adults in the UK closely align with international evidence from Nigeria, Vietnam, and African migrant communities in Hong Kong, reinforcing the central role of culture in shaping help-seeking behaviours for Alzheimer’s care. Across these contexts, dementia is frequently interpreted through moral, spiritual, or normative ageing frameworks rather than biomedical models. Among South Asian families, religious interpretations and beliefs that memory loss is a normal part of ageing often delay engagement with formal services (Regan, 2015; Hossain and Khan, 2020). Comparable patterns are evident in Nigeria, where moderate awareness of Alzheimer’s disease exists, yet stigma and negative perceptions substantially reduce appropriate help-seeking (Ugwu and Ene, 2025). These parallels suggest that awareness alone is insufficient to prompt service use, as deeply embedded cultural meanings, stigma, and social norms exert a stronger influence on care-seeking decisions across diverse cultural settings.</w:t>
      </w:r>
    </w:p>
    <w:p w14:paraId="18CD9297" w14:textId="77777777" w:rsidR="00A65421" w:rsidRPr="00A65421" w:rsidRDefault="00A65421" w:rsidP="00A65421">
      <w:pPr>
        <w:spacing w:before="240" w:after="0" w:line="360" w:lineRule="auto"/>
        <w:jc w:val="both"/>
        <w:rPr>
          <w:rFonts w:ascii="Arial" w:hAnsi="Arial" w:cs="Arial"/>
        </w:rPr>
      </w:pPr>
      <w:r w:rsidRPr="00A65421">
        <w:rPr>
          <w:rFonts w:ascii="Arial" w:hAnsi="Arial" w:cs="Arial"/>
        </w:rPr>
        <w:t xml:space="preserve">Strong collectivist values and expectations of family responsibility further shape help-seeking behaviour and often discourage formal care use. Within South Asian communities, caregiving is commonly viewed as a filial obligation, reinforcing privacy </w:t>
      </w:r>
      <w:r w:rsidRPr="00A65421">
        <w:rPr>
          <w:rFonts w:ascii="Arial" w:hAnsi="Arial" w:cs="Arial"/>
        </w:rPr>
        <w:lastRenderedPageBreak/>
        <w:t>around dementia care and limiting external support (James et al., 2024). Similar dynamics are observed in Vietnam, where familism, filial piety, and self-sacrifice lead families to rely on informal care until caregiving demands become unmanageable (Nguyen et al., 2022). Likewise, African families in Hong Kong have been shown to delay professional engagement due to strong norms of familial care, even when there is an intention to seek help (Koduah, 2023). However, important variations also emerge. While religion strongly influenced help-seeking among South Asian groups in the UK (Regan, 2015), its influence was not evident in shaping Alzheimer’s awareness in Nigeria (Ugwu and Ene, 2025). Additionally, James et al. (2024) highlight intra-group diversity within South Asian communities, demonstrating that some families actively engage with services when care is culturally responsive. These findings emphasise that cultural groups are not homogeneous and that social networks and contextual factors can positively mediate access to care.</w:t>
      </w:r>
    </w:p>
    <w:p w14:paraId="217D6BE5" w14:textId="77777777" w:rsidR="00A65421" w:rsidRPr="00A65421" w:rsidRDefault="00A65421" w:rsidP="00A65421">
      <w:pPr>
        <w:spacing w:before="240" w:after="0" w:line="360" w:lineRule="auto"/>
        <w:jc w:val="both"/>
        <w:rPr>
          <w:rFonts w:ascii="Arial" w:hAnsi="Arial" w:cs="Arial"/>
        </w:rPr>
      </w:pPr>
      <w:r w:rsidRPr="00A65421">
        <w:rPr>
          <w:rFonts w:ascii="Arial" w:hAnsi="Arial" w:cs="Arial"/>
        </w:rPr>
        <w:t>Limited awareness and understanding of Alzheimer’s disease and available services remain pervasive barriers across cultural contexts. Among South Asian communities in the UK, dementia symptoms are frequently normalised as part of ageing, contributing to delayed diagnosis and crisis-driven service use (Hossain and Khan, 2020; Hossain et al., 2022). Similar patterns have been reported among South Asian Bangladeshi caregivers in Canada, where dementia is often understood as simple forgetfulness, with little recognition of its progressive nature or available support options (Islam and Akter, 2023). Importantly, evidence indicates that knowledge deficits interact with stigma and attitudes rather than acting in isolation. While dementia knowledge alone does not predict help-seeking behaviour (Kafadar et al., 2021; Hailstone et al., 2017), limited understanding can reinforce shame, concealment, and a strong sense of family duty (Chaib et al., 2025; Islam and Akter, 2023). These findings suggest that educational interventions must move beyond information provision to address cultural meanings, stigma, and practical service navigation.</w:t>
      </w:r>
    </w:p>
    <w:p w14:paraId="4E311590" w14:textId="7C87FBFE" w:rsidR="00F653C4" w:rsidRDefault="00A65421" w:rsidP="001E579A">
      <w:pPr>
        <w:spacing w:before="240" w:after="0" w:line="360" w:lineRule="auto"/>
        <w:jc w:val="both"/>
        <w:rPr>
          <w:rFonts w:ascii="Arial" w:hAnsi="Arial" w:cs="Arial"/>
        </w:rPr>
      </w:pPr>
      <w:r w:rsidRPr="00A65421">
        <w:rPr>
          <w:rFonts w:ascii="Arial" w:hAnsi="Arial" w:cs="Arial"/>
        </w:rPr>
        <w:t xml:space="preserve">Language barriers, stigma, and mistrust in healthcare systems further compound inequities in Alzheimer’s care access. Limited English proficiency has been consistently identified as a key barrier to timely diagnosis and specialist referral among South Asian populations in the UK (James et al., 2024; Ogliari et al., 2020). Wider </w:t>
      </w:r>
      <w:r w:rsidRPr="00A65421">
        <w:rPr>
          <w:rFonts w:ascii="Arial" w:hAnsi="Arial" w:cs="Arial"/>
        </w:rPr>
        <w:lastRenderedPageBreak/>
        <w:t>evidence suggests that these barriers reflect systemic shortcomings rather than individual deficits, as communication gaps persist throughout the care pathway (Subramaniam and Ladinska, 2025; Ehsan et al., 2025). Stigma and mistrust are often reinforced through institutional interactions, with ethnic minority service users reporting feelings of being misunderstood or marginalised by professionals (Jutlla and Arblaster, 2023). An intersectional perspective further highlights how language, gender, socioeconomic status, and migration history interact to intensify disadvantage, particularly for South Asian women caregivers (Hossain and Khan, 2020; Ma and Joshi, 2022). Collectively, the evidence underscores the need for culturally competent, linguistically accessible, and co-produced Alzheimer’s services that rebuild trust, address stigma, and recognise diversity within ethnic groups to promote equitable access to care.</w:t>
      </w:r>
    </w:p>
    <w:p w14:paraId="2E7174E4" w14:textId="27582BBE" w:rsidR="00F30165" w:rsidRPr="00F30165" w:rsidRDefault="00F30165" w:rsidP="00F30165">
      <w:pPr>
        <w:pStyle w:val="Heading1"/>
      </w:pPr>
      <w:bookmarkStart w:id="59" w:name="_Toc220760186"/>
      <w:r>
        <w:t xml:space="preserve">5.3 </w:t>
      </w:r>
      <w:r w:rsidRPr="00F30165">
        <w:t>Gap and Limitations</w:t>
      </w:r>
      <w:r>
        <w:t xml:space="preserve"> of the Study</w:t>
      </w:r>
      <w:bookmarkEnd w:id="59"/>
    </w:p>
    <w:p w14:paraId="519E097F" w14:textId="274CB7CE" w:rsidR="00F30165" w:rsidRPr="00F30165" w:rsidRDefault="00F30165" w:rsidP="00F30165">
      <w:pPr>
        <w:spacing w:before="240" w:after="0" w:line="360" w:lineRule="auto"/>
        <w:jc w:val="both"/>
        <w:rPr>
          <w:rFonts w:ascii="Arial" w:hAnsi="Arial" w:cs="Arial"/>
        </w:rPr>
      </w:pPr>
      <w:r w:rsidRPr="00F30165">
        <w:rPr>
          <w:rFonts w:ascii="Arial" w:hAnsi="Arial" w:cs="Arial"/>
        </w:rPr>
        <w:t>Despite providing valuable insights into the cultural and informational barriers affecting access to Alzheimer’s care among South Asian older adults in the UK, this systematic review reveals several important gaps in relation to the research question. Firstly, much of the existing evidence focuses on perceptions, beliefs, and experiences rather than evaluating the effectiveness of specific strategies to mitigate identified barriers. While the research question seeks to identify which strategies are effective, there is limited empirical evaluation of interventions such as culturally tailored education programmes, faith-based outreach, or language-supported services. In addition, South Asian populations are often treated as a single homogeneous group, with insufficient disaggregation by ethnicity, religion, gender, or migration history. This limit understanding of intra-group differences and reduces the ability to design targeted, culturally responsive strategies. Furthermore, there is a lack of longitudinal and intervention-based studies that examine whether changes in awareness, attitudes, or service design translate into sustained improvements in access to care.</w:t>
      </w:r>
    </w:p>
    <w:p w14:paraId="15E369A2" w14:textId="1205F012" w:rsidR="00F30165" w:rsidRPr="00F653C4" w:rsidRDefault="00F30165" w:rsidP="001E579A">
      <w:pPr>
        <w:spacing w:before="240" w:after="0" w:line="360" w:lineRule="auto"/>
        <w:jc w:val="both"/>
        <w:rPr>
          <w:rFonts w:ascii="Arial" w:hAnsi="Arial" w:cs="Arial"/>
        </w:rPr>
      </w:pPr>
      <w:r w:rsidRPr="00F30165">
        <w:rPr>
          <w:rFonts w:ascii="Arial" w:hAnsi="Arial" w:cs="Arial"/>
        </w:rPr>
        <w:t xml:space="preserve">Several methodological limitations of the reviewed studies also constrain the strength of conclusions drawn in relation to the research question. The majority of included studies were qualitative, with small sample sizes and limited geographical coverage, reducing generalisability across the wider UK South Asian population aged 60 and above. Perspectives of people living with Alzheimer’s disease were underrepresented, </w:t>
      </w:r>
      <w:r w:rsidRPr="00F30165">
        <w:rPr>
          <w:rFonts w:ascii="Arial" w:hAnsi="Arial" w:cs="Arial"/>
        </w:rPr>
        <w:lastRenderedPageBreak/>
        <w:t>with most evidence drawn from carers or professionals. Language barriers may also have influenced participation, as studies often relied on English-language interviews, potentially excluding the most marginalised individuals. Additionally, reliance on cross-sectional designs limits causal inference regarding how barriers develop over time. These limitations highlight the need for more inclusive, mixed-methods, and intervention-focused research to robustly address barriers and evaluate effective strategies for improving equitable access to Alzheimer’s care.</w:t>
      </w:r>
    </w:p>
    <w:p w14:paraId="7CCFC5DE" w14:textId="7AA47413" w:rsidR="0046578B" w:rsidRPr="0046578B" w:rsidRDefault="00160E8B" w:rsidP="001A6776">
      <w:pPr>
        <w:pStyle w:val="Heading1"/>
      </w:pPr>
      <w:bookmarkStart w:id="60" w:name="_Toc220760187"/>
      <w:r>
        <w:t>5.</w:t>
      </w:r>
      <w:r w:rsidR="00F30165">
        <w:t>4</w:t>
      </w:r>
      <w:r>
        <w:t xml:space="preserve"> </w:t>
      </w:r>
      <w:r w:rsidR="0046578B" w:rsidRPr="0046578B">
        <w:t>Chapter Summary</w:t>
      </w:r>
      <w:bookmarkEnd w:id="60"/>
    </w:p>
    <w:p w14:paraId="49E6D4BA" w14:textId="0EBE6ACB" w:rsidR="0046578B" w:rsidRPr="0046578B" w:rsidRDefault="00F30165" w:rsidP="001A6776">
      <w:pPr>
        <w:spacing w:after="0" w:line="360" w:lineRule="auto"/>
        <w:jc w:val="both"/>
        <w:rPr>
          <w:rFonts w:ascii="Arial" w:hAnsi="Arial" w:cs="Arial"/>
        </w:rPr>
      </w:pPr>
      <w:r w:rsidRPr="00F30165">
        <w:rPr>
          <w:rFonts w:ascii="Arial" w:hAnsi="Arial" w:cs="Arial"/>
        </w:rPr>
        <w:t>This chapter critically discussed the findings of the systematic review in relation to the research question, aims, and objectives, highlighting how cultural beliefs, limited awareness, language barriers, stigma, and mistrust in healthcare systems collectively influence access to Alzheimer’s care among South Asian older adults in the UK. The discussion demonstrated that help-seeking behaviours are shaped by deeply embedded social norms, religious interpretations, and expectations of family responsibility, often delaying formal service use. Limited understanding of Alzheimer’s disease and poor service navigation further compounded these challenges, while language barriers and systemic shortcomings reinforced inequities. The chapter also identified significant gaps and methodological limitations in the existing literature, emphasising the need for culturally sensitive, linguistically accessible, and evidence-based interventions to promote equitable access to Alzheimer’s care.</w:t>
      </w:r>
    </w:p>
    <w:p w14:paraId="377BBFCF" w14:textId="77777777" w:rsidR="0046578B" w:rsidRDefault="0046578B" w:rsidP="001A6776">
      <w:pPr>
        <w:spacing w:after="0" w:line="360" w:lineRule="auto"/>
        <w:jc w:val="both"/>
        <w:rPr>
          <w:rFonts w:ascii="Arial" w:hAnsi="Arial" w:cs="Arial"/>
        </w:rPr>
      </w:pPr>
      <w:r w:rsidRPr="0046578B">
        <w:rPr>
          <w:rFonts w:ascii="Arial" w:hAnsi="Arial" w:cs="Arial"/>
          <w:vanish/>
        </w:rPr>
        <w:t>Top of Form</w:t>
      </w:r>
    </w:p>
    <w:p w14:paraId="44A4339B" w14:textId="77777777" w:rsidR="00747C3B" w:rsidRDefault="00747C3B" w:rsidP="001A6776">
      <w:pPr>
        <w:spacing w:after="0" w:line="360" w:lineRule="auto"/>
        <w:jc w:val="both"/>
        <w:rPr>
          <w:rFonts w:ascii="Arial" w:hAnsi="Arial" w:cs="Arial"/>
        </w:rPr>
      </w:pPr>
    </w:p>
    <w:p w14:paraId="4679B3C9" w14:textId="77777777" w:rsidR="00644C6C" w:rsidRDefault="00644C6C" w:rsidP="001A6776">
      <w:pPr>
        <w:spacing w:after="0" w:line="360" w:lineRule="auto"/>
        <w:jc w:val="both"/>
        <w:rPr>
          <w:rFonts w:ascii="Arial" w:hAnsi="Arial" w:cs="Arial"/>
        </w:rPr>
      </w:pPr>
    </w:p>
    <w:p w14:paraId="14EFBC60" w14:textId="77777777" w:rsidR="00644C6C" w:rsidRDefault="00644C6C" w:rsidP="001A6776">
      <w:pPr>
        <w:spacing w:after="0" w:line="360" w:lineRule="auto"/>
        <w:jc w:val="both"/>
        <w:rPr>
          <w:rFonts w:ascii="Arial" w:hAnsi="Arial" w:cs="Arial"/>
        </w:rPr>
      </w:pPr>
    </w:p>
    <w:p w14:paraId="2BC5E229" w14:textId="77777777" w:rsidR="00644C6C" w:rsidRDefault="00644C6C" w:rsidP="001A6776">
      <w:pPr>
        <w:spacing w:after="0" w:line="360" w:lineRule="auto"/>
        <w:jc w:val="both"/>
        <w:rPr>
          <w:rFonts w:ascii="Arial" w:hAnsi="Arial" w:cs="Arial"/>
        </w:rPr>
      </w:pPr>
    </w:p>
    <w:p w14:paraId="56048117" w14:textId="77777777" w:rsidR="00644C6C" w:rsidRDefault="00644C6C" w:rsidP="001A6776">
      <w:pPr>
        <w:spacing w:after="0" w:line="360" w:lineRule="auto"/>
        <w:jc w:val="both"/>
        <w:rPr>
          <w:rFonts w:ascii="Arial" w:hAnsi="Arial" w:cs="Arial"/>
        </w:rPr>
      </w:pPr>
    </w:p>
    <w:p w14:paraId="7B37CF50" w14:textId="77777777" w:rsidR="00747C3B" w:rsidRDefault="00747C3B" w:rsidP="001A6776">
      <w:pPr>
        <w:spacing w:after="0" w:line="360" w:lineRule="auto"/>
        <w:jc w:val="both"/>
        <w:rPr>
          <w:rFonts w:ascii="Arial" w:hAnsi="Arial" w:cs="Arial"/>
        </w:rPr>
      </w:pPr>
    </w:p>
    <w:p w14:paraId="0C0A1647" w14:textId="77777777" w:rsidR="00747C3B" w:rsidRDefault="00747C3B" w:rsidP="001A6776">
      <w:pPr>
        <w:spacing w:after="0" w:line="360" w:lineRule="auto"/>
        <w:jc w:val="both"/>
        <w:rPr>
          <w:rFonts w:ascii="Arial" w:hAnsi="Arial" w:cs="Arial"/>
        </w:rPr>
      </w:pPr>
    </w:p>
    <w:p w14:paraId="3CA6DBD6" w14:textId="77777777" w:rsidR="008E57B2" w:rsidRDefault="008E57B2" w:rsidP="001A6776">
      <w:pPr>
        <w:spacing w:after="0" w:line="360" w:lineRule="auto"/>
        <w:jc w:val="both"/>
        <w:rPr>
          <w:rFonts w:ascii="Arial" w:hAnsi="Arial" w:cs="Arial"/>
        </w:rPr>
      </w:pPr>
    </w:p>
    <w:p w14:paraId="3C540AD4" w14:textId="77777777" w:rsidR="00747C3B" w:rsidRDefault="00747C3B" w:rsidP="001A6776">
      <w:pPr>
        <w:spacing w:after="0" w:line="360" w:lineRule="auto"/>
        <w:jc w:val="both"/>
        <w:rPr>
          <w:rFonts w:ascii="Arial" w:hAnsi="Arial" w:cs="Arial"/>
        </w:rPr>
      </w:pPr>
    </w:p>
    <w:p w14:paraId="4163E1E7" w14:textId="77777777" w:rsidR="001A6776" w:rsidRDefault="001A6776" w:rsidP="001A6776">
      <w:pPr>
        <w:spacing w:after="0" w:line="360" w:lineRule="auto"/>
        <w:jc w:val="both"/>
        <w:rPr>
          <w:rFonts w:ascii="Arial" w:hAnsi="Arial" w:cs="Arial"/>
        </w:rPr>
      </w:pPr>
    </w:p>
    <w:p w14:paraId="6A065C78" w14:textId="77777777" w:rsidR="001A6776" w:rsidRDefault="001A6776" w:rsidP="001A6776">
      <w:pPr>
        <w:spacing w:after="0" w:line="360" w:lineRule="auto"/>
        <w:jc w:val="both"/>
        <w:rPr>
          <w:rFonts w:ascii="Arial" w:hAnsi="Arial" w:cs="Arial"/>
        </w:rPr>
      </w:pPr>
    </w:p>
    <w:p w14:paraId="3FCE882B" w14:textId="730F0582" w:rsidR="008E57B2" w:rsidRDefault="00644C6C" w:rsidP="001A6776">
      <w:pPr>
        <w:pStyle w:val="Heading1"/>
        <w:spacing w:before="0"/>
      </w:pPr>
      <w:bookmarkStart w:id="61" w:name="_Toc220760188"/>
      <w:r w:rsidRPr="00644C6C">
        <w:lastRenderedPageBreak/>
        <w:t>Chapter 6: Conclusion</w:t>
      </w:r>
      <w:r>
        <w:t xml:space="preserve"> and </w:t>
      </w:r>
      <w:r w:rsidRPr="00644C6C">
        <w:t>Recommendations</w:t>
      </w:r>
      <w:bookmarkEnd w:id="61"/>
      <w:r w:rsidRPr="00644C6C">
        <w:t xml:space="preserve"> </w:t>
      </w:r>
    </w:p>
    <w:p w14:paraId="1F8D60F2" w14:textId="5236DAF6" w:rsidR="008E57B2" w:rsidRPr="00644C6C" w:rsidRDefault="008E57B2" w:rsidP="001A6776">
      <w:pPr>
        <w:pStyle w:val="Heading1"/>
        <w:spacing w:before="0"/>
      </w:pPr>
      <w:bookmarkStart w:id="62" w:name="_Toc220760189"/>
      <w:r w:rsidRPr="00644C6C">
        <w:t>6.</w:t>
      </w:r>
      <w:r>
        <w:t>1</w:t>
      </w:r>
      <w:r w:rsidRPr="00644C6C">
        <w:t xml:space="preserve"> Recommendations for Practice and Policy</w:t>
      </w:r>
      <w:bookmarkEnd w:id="62"/>
    </w:p>
    <w:p w14:paraId="0DCCF3F1" w14:textId="77777777" w:rsidR="008E57B2" w:rsidRPr="00644C6C" w:rsidRDefault="008E57B2" w:rsidP="001E579A">
      <w:pPr>
        <w:spacing w:before="240" w:after="0" w:line="360" w:lineRule="auto"/>
        <w:jc w:val="both"/>
        <w:rPr>
          <w:rFonts w:ascii="Arial" w:hAnsi="Arial" w:cs="Arial"/>
        </w:rPr>
      </w:pPr>
      <w:r w:rsidRPr="00644C6C">
        <w:rPr>
          <w:rFonts w:ascii="Arial" w:hAnsi="Arial" w:cs="Arial"/>
        </w:rPr>
        <w:t>Based on the findings of this review, several recommendations can be suggested to improve access to Alzheimer’s care for South Asian older adults in the UK. These recommendations are framed as proposals rather than directives and aim to inform practice and policy development.</w:t>
      </w:r>
    </w:p>
    <w:p w14:paraId="0AB717BB" w14:textId="77777777" w:rsidR="008E57B2" w:rsidRPr="00644C6C" w:rsidRDefault="008E57B2" w:rsidP="001E579A">
      <w:pPr>
        <w:spacing w:before="240" w:after="0" w:line="360" w:lineRule="auto"/>
        <w:jc w:val="both"/>
        <w:rPr>
          <w:rFonts w:ascii="Arial" w:hAnsi="Arial" w:cs="Arial"/>
        </w:rPr>
      </w:pPr>
      <w:r w:rsidRPr="00644C6C">
        <w:rPr>
          <w:rFonts w:ascii="Arial" w:hAnsi="Arial" w:cs="Arial"/>
        </w:rPr>
        <w:t>First, culturally sensitive and community-based approaches should be prioritised in dementia awareness and support initiatives. Evidence consistently indicates that interventions delivered through trusted community settings</w:t>
      </w:r>
      <w:r>
        <w:rPr>
          <w:rFonts w:ascii="Arial" w:hAnsi="Arial" w:cs="Arial"/>
        </w:rPr>
        <w:t xml:space="preserve">, </w:t>
      </w:r>
      <w:r w:rsidRPr="00644C6C">
        <w:rPr>
          <w:rFonts w:ascii="Arial" w:hAnsi="Arial" w:cs="Arial"/>
        </w:rPr>
        <w:t>such as religious institutions, community centres, and voluntary organisations</w:t>
      </w:r>
      <w:r>
        <w:rPr>
          <w:rFonts w:ascii="Arial" w:hAnsi="Arial" w:cs="Arial"/>
        </w:rPr>
        <w:t xml:space="preserve">, </w:t>
      </w:r>
      <w:r w:rsidRPr="00644C6C">
        <w:rPr>
          <w:rFonts w:ascii="Arial" w:hAnsi="Arial" w:cs="Arial"/>
        </w:rPr>
        <w:t>are more acceptable and effective than generic information campaigns. Collaborating with community leaders and faith organisations may help normalise conversations about dementia, reduce stigma, and encourage earlier help-seeking.</w:t>
      </w:r>
    </w:p>
    <w:p w14:paraId="2D1616BC" w14:textId="77777777" w:rsidR="008E57B2" w:rsidRPr="00644C6C" w:rsidRDefault="008E57B2" w:rsidP="001E579A">
      <w:pPr>
        <w:spacing w:before="240" w:after="0" w:line="360" w:lineRule="auto"/>
        <w:jc w:val="both"/>
        <w:rPr>
          <w:rFonts w:ascii="Arial" w:hAnsi="Arial" w:cs="Arial"/>
        </w:rPr>
      </w:pPr>
      <w:r w:rsidRPr="00644C6C">
        <w:rPr>
          <w:rFonts w:ascii="Arial" w:hAnsi="Arial" w:cs="Arial"/>
        </w:rPr>
        <w:t>Second, dementia education should move beyond symptom awareness to include clear, practical guidance on navigating healthcare systems, accessing diagnostic services, and understanding post-diagnostic support. Educational materials should be available in relevant South Asian languages and delivered through face-to-face engagement where possible, particularly for older adults with limited literacy or digital access. Importantly, these initiatives should address cultural beliefs and misconceptions directly, rather than if increased knowledge will automatically change behaviour.</w:t>
      </w:r>
    </w:p>
    <w:p w14:paraId="4372EDCF" w14:textId="77777777" w:rsidR="008E57B2" w:rsidRPr="00644C6C" w:rsidRDefault="008E57B2" w:rsidP="001E579A">
      <w:pPr>
        <w:spacing w:before="240" w:after="0" w:line="360" w:lineRule="auto"/>
        <w:jc w:val="both"/>
        <w:rPr>
          <w:rFonts w:ascii="Arial" w:hAnsi="Arial" w:cs="Arial"/>
        </w:rPr>
      </w:pPr>
      <w:r w:rsidRPr="00644C6C">
        <w:rPr>
          <w:rFonts w:ascii="Arial" w:hAnsi="Arial" w:cs="Arial"/>
        </w:rPr>
        <w:t>Third, improving language support within healthcare services is essential. Investment in trained interpreters, multilingual resources, and bilingual staff can significantly reduce delays in diagnosis and improve patient experiences. Language support should be viewed as a core component of equitable care rather than an optional add-on.</w:t>
      </w:r>
    </w:p>
    <w:p w14:paraId="2B19EAED" w14:textId="77777777" w:rsidR="008E57B2" w:rsidRPr="00644C6C" w:rsidRDefault="008E57B2" w:rsidP="001E579A">
      <w:pPr>
        <w:spacing w:before="240" w:after="0" w:line="360" w:lineRule="auto"/>
        <w:jc w:val="both"/>
        <w:rPr>
          <w:rFonts w:ascii="Arial" w:hAnsi="Arial" w:cs="Arial"/>
        </w:rPr>
      </w:pPr>
      <w:r w:rsidRPr="00644C6C">
        <w:rPr>
          <w:rFonts w:ascii="Arial" w:hAnsi="Arial" w:cs="Arial"/>
        </w:rPr>
        <w:t xml:space="preserve">Fourth, workforce training in cultural competence should be strengthened across primary care, memory services, and post-diagnostic support services. Healthcare professionals should be supported to develop skills in culturally responsive communication, to recognise diverse explanatory models of dementia, and to avoid stereotyping or assumptions about family preferences. Such training may help reduce </w:t>
      </w:r>
      <w:r w:rsidRPr="00644C6C">
        <w:rPr>
          <w:rFonts w:ascii="Arial" w:hAnsi="Arial" w:cs="Arial"/>
        </w:rPr>
        <w:lastRenderedPageBreak/>
        <w:t>mistrust and improve the quality of interactions between South Asian families and healthcare providers.</w:t>
      </w:r>
    </w:p>
    <w:p w14:paraId="1C565FF0" w14:textId="77777777" w:rsidR="008E57B2" w:rsidRPr="00644C6C" w:rsidRDefault="008E57B2" w:rsidP="001E579A">
      <w:pPr>
        <w:spacing w:before="240" w:after="0" w:line="360" w:lineRule="auto"/>
        <w:jc w:val="both"/>
        <w:rPr>
          <w:rFonts w:ascii="Arial" w:hAnsi="Arial" w:cs="Arial"/>
        </w:rPr>
      </w:pPr>
      <w:r w:rsidRPr="00644C6C">
        <w:rPr>
          <w:rFonts w:ascii="Arial" w:hAnsi="Arial" w:cs="Arial"/>
        </w:rPr>
        <w:t>Finally, service design and policy development should increasingly adopt co-production models, involving South Asian older adults, carers, and community organisations in the planning and evaluation of dementia services. Co-produced services are more likely to be relevant, acceptable, and effective, and may help address long-standing inequities in access and outcomes.</w:t>
      </w:r>
    </w:p>
    <w:p w14:paraId="38AB4BDC" w14:textId="12AFC122" w:rsidR="008E57B2" w:rsidRPr="00644C6C" w:rsidRDefault="008E57B2" w:rsidP="001A6776">
      <w:pPr>
        <w:pStyle w:val="Heading1"/>
      </w:pPr>
      <w:bookmarkStart w:id="63" w:name="_Toc220760190"/>
      <w:r w:rsidRPr="00644C6C">
        <w:t>6.</w:t>
      </w:r>
      <w:r>
        <w:t>2</w:t>
      </w:r>
      <w:r w:rsidRPr="00644C6C">
        <w:t xml:space="preserve"> Recommendations for Future Research</w:t>
      </w:r>
      <w:bookmarkEnd w:id="63"/>
    </w:p>
    <w:p w14:paraId="1E8A1050" w14:textId="77777777" w:rsidR="008E57B2" w:rsidRPr="00644C6C" w:rsidRDefault="008E57B2" w:rsidP="001E579A">
      <w:pPr>
        <w:spacing w:before="240" w:after="0" w:line="360" w:lineRule="auto"/>
        <w:jc w:val="both"/>
        <w:rPr>
          <w:rFonts w:ascii="Arial" w:hAnsi="Arial" w:cs="Arial"/>
        </w:rPr>
      </w:pPr>
      <w:r w:rsidRPr="00644C6C">
        <w:rPr>
          <w:rFonts w:ascii="Arial" w:hAnsi="Arial" w:cs="Arial"/>
        </w:rPr>
        <w:t>This review also highlights several areas where further research is needed. Future studies should aim to include a broader range of South Asian subgroups to reflect the diversity within this population. Disaggregating data by ethnicity, religion, gender, and migration history would provide a more nuanced understanding of how different identities shape access to Alzheimer’s care.</w:t>
      </w:r>
    </w:p>
    <w:p w14:paraId="31A09B4A" w14:textId="77777777" w:rsidR="008E57B2" w:rsidRPr="00644C6C" w:rsidRDefault="008E57B2" w:rsidP="001E579A">
      <w:pPr>
        <w:spacing w:before="240" w:after="0" w:line="360" w:lineRule="auto"/>
        <w:jc w:val="both"/>
        <w:rPr>
          <w:rFonts w:ascii="Arial" w:hAnsi="Arial" w:cs="Arial"/>
        </w:rPr>
      </w:pPr>
      <w:r w:rsidRPr="00644C6C">
        <w:rPr>
          <w:rFonts w:ascii="Arial" w:hAnsi="Arial" w:cs="Arial"/>
        </w:rPr>
        <w:t>There is also a need for more research that directly includes the perspectives of South Asian people living with dementia, rather than focusing predominantly on caregivers. Understanding the lived experiences of individuals with dementia is essential for developing person-centred services and for respecting autonomy and dignity in care.</w:t>
      </w:r>
    </w:p>
    <w:p w14:paraId="797231A2" w14:textId="77777777" w:rsidR="008E57B2" w:rsidRPr="00644C6C" w:rsidRDefault="008E57B2" w:rsidP="001E579A">
      <w:pPr>
        <w:spacing w:before="240" w:after="0" w:line="360" w:lineRule="auto"/>
        <w:jc w:val="both"/>
        <w:rPr>
          <w:rFonts w:ascii="Arial" w:hAnsi="Arial" w:cs="Arial"/>
        </w:rPr>
      </w:pPr>
      <w:r w:rsidRPr="00644C6C">
        <w:rPr>
          <w:rFonts w:ascii="Arial" w:hAnsi="Arial" w:cs="Arial"/>
        </w:rPr>
        <w:t>Longitudinal and intervention-based studies would also be valuable in assessing the effectiveness of culturally tailored strategies over time. While many studies identify promising approaches, there is limited evidence evaluating their long-term impact on early diagnosis, service uptake, and health outcomes. Future research could build on the findings of this review by testing community-based education programmes, interpreter-supported services, and co-produced care models within the UK context.</w:t>
      </w:r>
    </w:p>
    <w:p w14:paraId="5B1858ED" w14:textId="08CE5211" w:rsidR="008E57B2" w:rsidRPr="008E57B2" w:rsidRDefault="008E57B2" w:rsidP="001E579A">
      <w:pPr>
        <w:spacing w:before="240" w:after="0" w:line="360" w:lineRule="auto"/>
        <w:jc w:val="both"/>
        <w:rPr>
          <w:rFonts w:ascii="Arial" w:hAnsi="Arial" w:cs="Arial"/>
        </w:rPr>
      </w:pPr>
      <w:r w:rsidRPr="00644C6C">
        <w:rPr>
          <w:rFonts w:ascii="Arial" w:hAnsi="Arial" w:cs="Arial"/>
        </w:rPr>
        <w:t>Additionally, further investigation into the role of healthcare professionals’ training, attitudes, and institutional practices is warranted. Exploring how systemic factors within the NHS contribute to inequities in dementia care may help shift the focus from individual-level explanations to structural solutions.</w:t>
      </w:r>
    </w:p>
    <w:p w14:paraId="4D33F83F" w14:textId="207A9BD9" w:rsidR="00644C6C" w:rsidRPr="00644C6C" w:rsidRDefault="00644C6C" w:rsidP="001A6776">
      <w:pPr>
        <w:pStyle w:val="Heading1"/>
      </w:pPr>
      <w:bookmarkStart w:id="64" w:name="_Toc220760191"/>
      <w:r w:rsidRPr="00644C6C">
        <w:lastRenderedPageBreak/>
        <w:t>6.</w:t>
      </w:r>
      <w:r w:rsidR="008E57B2">
        <w:t>3</w:t>
      </w:r>
      <w:r w:rsidRPr="00644C6C">
        <w:t xml:space="preserve"> Overall Conclusion and Answer to the Research Question</w:t>
      </w:r>
      <w:bookmarkEnd w:id="64"/>
    </w:p>
    <w:p w14:paraId="5DC75D2E" w14:textId="29D27645" w:rsidR="00644C6C" w:rsidRPr="00644C6C" w:rsidRDefault="00411CA4" w:rsidP="001E579A">
      <w:pPr>
        <w:spacing w:before="240" w:after="0" w:line="360" w:lineRule="auto"/>
        <w:jc w:val="both"/>
        <w:rPr>
          <w:rFonts w:ascii="Arial" w:hAnsi="Arial" w:cs="Arial"/>
        </w:rPr>
      </w:pPr>
      <w:r w:rsidRPr="00411CA4">
        <w:rPr>
          <w:rFonts w:ascii="Arial" w:hAnsi="Arial" w:cs="Arial"/>
        </w:rPr>
        <w:t>The purpose of this systematic review was to investigate the informational and cultural hurdles that prevent South Asian older individuals (60 years of age and older) in the UK from receiving the proper care for Alzheimer's disease and to find potential solutions.</w:t>
      </w:r>
      <w:r w:rsidR="00644C6C" w:rsidRPr="00644C6C">
        <w:rPr>
          <w:rFonts w:ascii="Arial" w:hAnsi="Arial" w:cs="Arial"/>
        </w:rPr>
        <w:t xml:space="preserve"> The findings clearly demonstrate that access to Alzheimer’s care within this population is not determined by a single factor, but by a complex and interrelated set of cultural, informational, linguistic, and systemic influences. Cultural beliefs, social norms, stigma, limited awareness of Alzheimer’s disease, language barriers, and mistrust in healthcare systems collectively shape help-seeking behaviour and service utilisation.</w:t>
      </w:r>
    </w:p>
    <w:p w14:paraId="444E94D0" w14:textId="37B45616" w:rsidR="00644C6C" w:rsidRPr="00644C6C" w:rsidRDefault="00644C6C" w:rsidP="001E579A">
      <w:pPr>
        <w:spacing w:before="240" w:after="0" w:line="360" w:lineRule="auto"/>
        <w:jc w:val="both"/>
        <w:rPr>
          <w:rFonts w:ascii="Arial" w:hAnsi="Arial" w:cs="Arial"/>
        </w:rPr>
      </w:pPr>
      <w:r w:rsidRPr="00644C6C">
        <w:rPr>
          <w:rFonts w:ascii="Arial" w:hAnsi="Arial" w:cs="Arial"/>
        </w:rPr>
        <w:t>In response to the main research question, the review concludes that cultural interpretations of dementia</w:t>
      </w:r>
      <w:r>
        <w:rPr>
          <w:rFonts w:ascii="Arial" w:hAnsi="Arial" w:cs="Arial"/>
        </w:rPr>
        <w:t xml:space="preserve">, </w:t>
      </w:r>
      <w:r w:rsidRPr="00644C6C">
        <w:rPr>
          <w:rFonts w:ascii="Arial" w:hAnsi="Arial" w:cs="Arial"/>
        </w:rPr>
        <w:t>often framed as normal ageing, a religious test, or a private family matter</w:t>
      </w:r>
      <w:r>
        <w:rPr>
          <w:rFonts w:ascii="Arial" w:hAnsi="Arial" w:cs="Arial"/>
        </w:rPr>
        <w:t xml:space="preserve">, </w:t>
      </w:r>
      <w:r w:rsidRPr="00644C6C">
        <w:rPr>
          <w:rFonts w:ascii="Arial" w:hAnsi="Arial" w:cs="Arial"/>
        </w:rPr>
        <w:t>significantly delay recognition of symptoms and engagement with formal care services. Informational barriers, including limited understanding of Alzheimer’s disease, diagnostic pathways, and post-diagnostic support, further compound these delays. Importantly, the evidence shows that improving knowledge alone is insufficient; without addressing stigma, social expectations, and systemic shortcomings, awareness-raising initiatives are unlikely to translate into earlier or more equitable access to care. Strategies that appear most effective in mitigating these barriers are those that are culturally sensitive, community-based, linguistically inclusive, and co-produced with South Asian communities.</w:t>
      </w:r>
    </w:p>
    <w:p w14:paraId="15AFC702" w14:textId="08FC0FFF" w:rsidR="00644C6C" w:rsidRPr="00644C6C" w:rsidRDefault="00644C6C" w:rsidP="001E579A">
      <w:pPr>
        <w:spacing w:before="240" w:after="0" w:line="360" w:lineRule="auto"/>
        <w:jc w:val="both"/>
        <w:rPr>
          <w:rFonts w:ascii="Arial" w:hAnsi="Arial" w:cs="Arial"/>
        </w:rPr>
      </w:pPr>
      <w:r w:rsidRPr="00644C6C">
        <w:rPr>
          <w:rFonts w:ascii="Arial" w:hAnsi="Arial" w:cs="Arial"/>
        </w:rPr>
        <w:t>Overall, this research highlights that inequities in Alzheimer’s care access among South Asian older adults in the UK are largely structural and contextual rather than the result of individual reluctance or lack of motivation. Addressing these inequities</w:t>
      </w:r>
      <w:r>
        <w:rPr>
          <w:rFonts w:ascii="Arial" w:hAnsi="Arial" w:cs="Arial"/>
        </w:rPr>
        <w:t>,</w:t>
      </w:r>
      <w:r w:rsidRPr="00644C6C">
        <w:rPr>
          <w:rFonts w:ascii="Arial" w:hAnsi="Arial" w:cs="Arial"/>
        </w:rPr>
        <w:t xml:space="preserve"> therefore</w:t>
      </w:r>
      <w:r>
        <w:rPr>
          <w:rFonts w:ascii="Arial" w:hAnsi="Arial" w:cs="Arial"/>
        </w:rPr>
        <w:t>,</w:t>
      </w:r>
      <w:r w:rsidRPr="00644C6C">
        <w:rPr>
          <w:rFonts w:ascii="Arial" w:hAnsi="Arial" w:cs="Arial"/>
        </w:rPr>
        <w:t xml:space="preserve"> requires changes at community, service, and policy levels, rather than solely focusing on individual behaviour change.</w:t>
      </w:r>
    </w:p>
    <w:p w14:paraId="13724A3B" w14:textId="5B7FE83F" w:rsidR="00644C6C" w:rsidRPr="00644C6C" w:rsidRDefault="00644C6C" w:rsidP="001A6776">
      <w:pPr>
        <w:pStyle w:val="Heading1"/>
      </w:pPr>
      <w:bookmarkStart w:id="65" w:name="_Toc220760192"/>
      <w:r w:rsidRPr="00644C6C">
        <w:t>6.</w:t>
      </w:r>
      <w:r w:rsidR="008E57B2">
        <w:t>4</w:t>
      </w:r>
      <w:r w:rsidRPr="00644C6C">
        <w:t xml:space="preserve"> Reflection on the Research Approach</w:t>
      </w:r>
      <w:bookmarkEnd w:id="65"/>
    </w:p>
    <w:p w14:paraId="22967D3F" w14:textId="77777777" w:rsidR="00644C6C" w:rsidRPr="00644C6C" w:rsidRDefault="00644C6C" w:rsidP="001E579A">
      <w:pPr>
        <w:spacing w:before="240" w:after="0" w:line="360" w:lineRule="auto"/>
        <w:jc w:val="both"/>
        <w:rPr>
          <w:rFonts w:ascii="Arial" w:hAnsi="Arial" w:cs="Arial"/>
        </w:rPr>
      </w:pPr>
      <w:r w:rsidRPr="00644C6C">
        <w:rPr>
          <w:rFonts w:ascii="Arial" w:hAnsi="Arial" w:cs="Arial"/>
        </w:rPr>
        <w:t>The systematic review approach adopted in this dissertation was effective in addressing the research question and objectives. By following PRISMA guidelines and using a structured, transparent search and selection process, the review was able to synthesise evidence from a diverse range of qualitative, quantitative, and mixed-</w:t>
      </w:r>
      <w:r w:rsidRPr="00644C6C">
        <w:rPr>
          <w:rFonts w:ascii="Arial" w:hAnsi="Arial" w:cs="Arial"/>
        </w:rPr>
        <w:lastRenderedPageBreak/>
        <w:t>methods studies. This methodological approach allowed for a comprehensive examination of both lived experiences and measurable disparities in access to Alzheimer’s care, strengthening the credibility and depth of the conclusions drawn.</w:t>
      </w:r>
    </w:p>
    <w:p w14:paraId="024F9C21" w14:textId="77777777" w:rsidR="00644C6C" w:rsidRPr="00644C6C" w:rsidRDefault="00644C6C" w:rsidP="001E579A">
      <w:pPr>
        <w:spacing w:before="240" w:after="0" w:line="360" w:lineRule="auto"/>
        <w:jc w:val="both"/>
        <w:rPr>
          <w:rFonts w:ascii="Arial" w:hAnsi="Arial" w:cs="Arial"/>
        </w:rPr>
      </w:pPr>
      <w:r w:rsidRPr="00644C6C">
        <w:rPr>
          <w:rFonts w:ascii="Arial" w:hAnsi="Arial" w:cs="Arial"/>
        </w:rPr>
        <w:t>The use of thematic analysis was particularly valuable in identifying recurring patterns across studies and in capturing the nuanced ways in which cultural beliefs, awareness, language, and trust intersect to shape help-seeking behaviour. Integrating international comparative evidence in the discussion further enhanced the analysis by situating the UK findings within a broader global context. This comparison reinforced the conclusion that many barriers experienced by South Asian older adults are not unique but are shared across collectivist and migrant communities, while still being shaped by local healthcare systems and policies.</w:t>
      </w:r>
    </w:p>
    <w:p w14:paraId="432540FB" w14:textId="77777777" w:rsidR="00644C6C" w:rsidRPr="00644C6C" w:rsidRDefault="00644C6C" w:rsidP="001E579A">
      <w:pPr>
        <w:spacing w:before="240" w:after="0" w:line="360" w:lineRule="auto"/>
        <w:jc w:val="both"/>
        <w:rPr>
          <w:rFonts w:ascii="Arial" w:hAnsi="Arial" w:cs="Arial"/>
        </w:rPr>
      </w:pPr>
      <w:r w:rsidRPr="00644C6C">
        <w:rPr>
          <w:rFonts w:ascii="Arial" w:hAnsi="Arial" w:cs="Arial"/>
        </w:rPr>
        <w:t>However, the research also revealed certain limitations inherent in the existing literature. Many studies focused on specific South Asian subgroups, particularly Bangladeshi, Indian, and Pakistani communities, limiting the generalisability of findings to other South Asian populations. In addition, much of the qualitative evidence relied on small samples and caregiver perspectives, with fewer studies including the voices of people living with dementia themselves. These limitations do not undermine the overall conclusions but highlight the need for caution in interpreting findings as representative of all South Asian older adults in the UK.</w:t>
      </w:r>
    </w:p>
    <w:p w14:paraId="073AB05C" w14:textId="77777777" w:rsidR="00644C6C" w:rsidRPr="00644C6C" w:rsidRDefault="00644C6C" w:rsidP="001E579A">
      <w:pPr>
        <w:spacing w:before="240" w:after="0" w:line="360" w:lineRule="auto"/>
        <w:jc w:val="both"/>
        <w:rPr>
          <w:rFonts w:ascii="Arial" w:hAnsi="Arial" w:cs="Arial"/>
        </w:rPr>
      </w:pPr>
      <w:r w:rsidRPr="00644C6C">
        <w:rPr>
          <w:rFonts w:ascii="Arial" w:hAnsi="Arial" w:cs="Arial"/>
        </w:rPr>
        <w:t>The review also raised new and important questions. One unexpected insight was the extent of intra-group diversity within South Asian communities. Several studies challenged the assumption that South Asian families uniformly prefer informal, family-based care, instead showing that preferences vary depending on resources, acculturation, language proficiency, and service responsiveness. This finding suggests that future interventions should avoid homogenising South Asian communities and instead adopt flexible, person-centred approaches. Another emerging question concerns the role of healthcare professionals’ knowledge and cultural competence, indicating that barriers do not exist solely at the community level but are embedded within healthcare systems themselves.</w:t>
      </w:r>
    </w:p>
    <w:p w14:paraId="3114EB27" w14:textId="3FD7DE7C" w:rsidR="00644C6C" w:rsidRPr="00644C6C" w:rsidRDefault="00644C6C" w:rsidP="001A6776">
      <w:pPr>
        <w:pStyle w:val="Heading1"/>
      </w:pPr>
      <w:bookmarkStart w:id="66" w:name="_Toc220760193"/>
      <w:r w:rsidRPr="00644C6C">
        <w:lastRenderedPageBreak/>
        <w:t>6.</w:t>
      </w:r>
      <w:r w:rsidR="005D06DE">
        <w:t>5</w:t>
      </w:r>
      <w:r w:rsidRPr="00644C6C">
        <w:t xml:space="preserve"> Contribution of the Study and Final Remarks</w:t>
      </w:r>
      <w:bookmarkEnd w:id="66"/>
    </w:p>
    <w:p w14:paraId="05801ECD" w14:textId="76F7DEE3" w:rsidR="00644C6C" w:rsidRPr="00644C6C" w:rsidRDefault="00644C6C" w:rsidP="001E579A">
      <w:pPr>
        <w:spacing w:before="240" w:after="0" w:line="360" w:lineRule="auto"/>
        <w:jc w:val="both"/>
        <w:rPr>
          <w:rFonts w:ascii="Arial" w:hAnsi="Arial" w:cs="Arial"/>
        </w:rPr>
      </w:pPr>
      <w:r w:rsidRPr="00644C6C">
        <w:rPr>
          <w:rFonts w:ascii="Arial" w:hAnsi="Arial" w:cs="Arial"/>
        </w:rPr>
        <w:t>This dissertation makes an important contribution to knowledge by synthesising and critically analysing evidence on cultural and informational barriers to Alzheimer’s care among South Asian older adults in the UK. By integrating findings across multiple themes and situating them within both national and international contexts, the study demonstrates that barriers to care are multifaceted, deeply embedded, and mutually reinforcing.</w:t>
      </w:r>
      <w:r w:rsidR="001E579A">
        <w:rPr>
          <w:rFonts w:ascii="Arial" w:hAnsi="Arial" w:cs="Arial"/>
        </w:rPr>
        <w:t xml:space="preserve"> </w:t>
      </w:r>
      <w:r w:rsidRPr="00644C6C">
        <w:rPr>
          <w:rFonts w:ascii="Arial" w:hAnsi="Arial" w:cs="Arial"/>
        </w:rPr>
        <w:t>The research contributes to existing literature by highlighting the interaction between culture, awareness, language, stigma, and trust, rather than treating these factors in isolation. It also challenges homogenised portrayals of South Asian communities and underscores the importance of recognising diversity within and between groups.</w:t>
      </w:r>
    </w:p>
    <w:p w14:paraId="1F2A55D9" w14:textId="77777777" w:rsidR="00644C6C" w:rsidRPr="00644C6C" w:rsidRDefault="00644C6C" w:rsidP="001E579A">
      <w:pPr>
        <w:spacing w:before="240" w:after="0" w:line="360" w:lineRule="auto"/>
        <w:jc w:val="both"/>
        <w:rPr>
          <w:rFonts w:ascii="Arial" w:hAnsi="Arial" w:cs="Arial"/>
        </w:rPr>
      </w:pPr>
      <w:r w:rsidRPr="00644C6C">
        <w:rPr>
          <w:rFonts w:ascii="Arial" w:hAnsi="Arial" w:cs="Arial"/>
        </w:rPr>
        <w:t>Ultimately, this research matters because it addresses a growing public health and equity issue within an ageing and increasingly diverse UK population. Ensuring equitable access to Alzheimer’s care is not only a matter of improving individual outcomes but also of promoting social justice and inclusive healthcare systems. By informing culturally sensitive practice, policy, and future research, this dissertation aims to support earlier diagnosis, improved service accessibility, and better quality of life for South Asian older adults and their families affected by Alzheimer’s disease.</w:t>
      </w:r>
    </w:p>
    <w:p w14:paraId="7B7F947B" w14:textId="77777777" w:rsidR="00747C3B" w:rsidRDefault="00747C3B" w:rsidP="001E579A">
      <w:pPr>
        <w:spacing w:before="240" w:after="0" w:line="360" w:lineRule="auto"/>
        <w:jc w:val="both"/>
        <w:rPr>
          <w:rFonts w:ascii="Arial" w:hAnsi="Arial" w:cs="Arial"/>
        </w:rPr>
      </w:pPr>
    </w:p>
    <w:p w14:paraId="33F55949" w14:textId="77777777" w:rsidR="00747C3B" w:rsidRDefault="00747C3B" w:rsidP="001A6776">
      <w:pPr>
        <w:spacing w:after="0" w:line="360" w:lineRule="auto"/>
        <w:jc w:val="both"/>
        <w:rPr>
          <w:rFonts w:ascii="Arial" w:hAnsi="Arial" w:cs="Arial"/>
        </w:rPr>
      </w:pPr>
    </w:p>
    <w:p w14:paraId="0E618801" w14:textId="77777777" w:rsidR="009B360B" w:rsidRDefault="009B360B" w:rsidP="001A6776">
      <w:pPr>
        <w:spacing w:after="0" w:line="360" w:lineRule="auto"/>
        <w:jc w:val="both"/>
        <w:rPr>
          <w:rFonts w:ascii="Arial" w:hAnsi="Arial" w:cs="Arial"/>
        </w:rPr>
      </w:pPr>
    </w:p>
    <w:p w14:paraId="1E8D5E4D" w14:textId="77777777" w:rsidR="009B360B" w:rsidRDefault="009B360B" w:rsidP="001A6776">
      <w:pPr>
        <w:spacing w:after="0" w:line="360" w:lineRule="auto"/>
        <w:jc w:val="both"/>
        <w:rPr>
          <w:rFonts w:ascii="Arial" w:hAnsi="Arial" w:cs="Arial"/>
        </w:rPr>
      </w:pPr>
    </w:p>
    <w:p w14:paraId="0B788C45" w14:textId="77777777" w:rsidR="009B360B" w:rsidRDefault="009B360B" w:rsidP="001A6776">
      <w:pPr>
        <w:spacing w:after="0" w:line="360" w:lineRule="auto"/>
        <w:jc w:val="both"/>
        <w:rPr>
          <w:rFonts w:ascii="Arial" w:hAnsi="Arial" w:cs="Arial"/>
        </w:rPr>
      </w:pPr>
    </w:p>
    <w:p w14:paraId="526B9AC3" w14:textId="77777777" w:rsidR="009B360B" w:rsidRDefault="009B360B" w:rsidP="001A6776">
      <w:pPr>
        <w:spacing w:after="0" w:line="360" w:lineRule="auto"/>
        <w:jc w:val="both"/>
        <w:rPr>
          <w:rFonts w:ascii="Arial" w:hAnsi="Arial" w:cs="Arial"/>
        </w:rPr>
      </w:pPr>
    </w:p>
    <w:p w14:paraId="47F859F9" w14:textId="77777777" w:rsidR="009B360B" w:rsidRDefault="009B360B" w:rsidP="001A6776">
      <w:pPr>
        <w:spacing w:after="0" w:line="360" w:lineRule="auto"/>
        <w:jc w:val="both"/>
        <w:rPr>
          <w:rFonts w:ascii="Arial" w:hAnsi="Arial" w:cs="Arial"/>
        </w:rPr>
      </w:pPr>
    </w:p>
    <w:p w14:paraId="330F2376" w14:textId="77777777" w:rsidR="009B360B" w:rsidRDefault="009B360B" w:rsidP="001A6776">
      <w:pPr>
        <w:spacing w:after="0" w:line="360" w:lineRule="auto"/>
        <w:jc w:val="both"/>
        <w:rPr>
          <w:rFonts w:ascii="Arial" w:hAnsi="Arial" w:cs="Arial"/>
        </w:rPr>
      </w:pPr>
    </w:p>
    <w:p w14:paraId="5C6588BA" w14:textId="77777777" w:rsidR="009B360B" w:rsidRDefault="009B360B" w:rsidP="001A6776">
      <w:pPr>
        <w:spacing w:after="0" w:line="360" w:lineRule="auto"/>
        <w:jc w:val="both"/>
        <w:rPr>
          <w:rFonts w:ascii="Arial" w:hAnsi="Arial" w:cs="Arial"/>
        </w:rPr>
      </w:pPr>
    </w:p>
    <w:p w14:paraId="0265B24E" w14:textId="77777777" w:rsidR="009B360B" w:rsidRDefault="009B360B" w:rsidP="001A6776">
      <w:pPr>
        <w:spacing w:after="0" w:line="360" w:lineRule="auto"/>
        <w:jc w:val="both"/>
        <w:rPr>
          <w:rFonts w:ascii="Arial" w:hAnsi="Arial" w:cs="Arial"/>
        </w:rPr>
      </w:pPr>
    </w:p>
    <w:p w14:paraId="563ED343" w14:textId="77777777" w:rsidR="009B360B" w:rsidRDefault="009B360B" w:rsidP="001A6776">
      <w:pPr>
        <w:spacing w:after="0" w:line="360" w:lineRule="auto"/>
        <w:jc w:val="both"/>
        <w:rPr>
          <w:rFonts w:ascii="Arial" w:hAnsi="Arial" w:cs="Arial"/>
        </w:rPr>
      </w:pPr>
    </w:p>
    <w:p w14:paraId="4A725191" w14:textId="77777777" w:rsidR="009B360B" w:rsidRDefault="009B360B" w:rsidP="001A6776">
      <w:pPr>
        <w:spacing w:after="0" w:line="360" w:lineRule="auto"/>
        <w:jc w:val="both"/>
        <w:rPr>
          <w:rFonts w:ascii="Arial" w:hAnsi="Arial" w:cs="Arial"/>
        </w:rPr>
      </w:pPr>
    </w:p>
    <w:p w14:paraId="5FD286A9" w14:textId="77777777" w:rsidR="009B360B" w:rsidRPr="0046578B" w:rsidRDefault="009B360B" w:rsidP="001A6776">
      <w:pPr>
        <w:spacing w:after="0" w:line="360" w:lineRule="auto"/>
        <w:jc w:val="both"/>
        <w:rPr>
          <w:rFonts w:ascii="Arial" w:hAnsi="Arial" w:cs="Arial"/>
          <w:vanish/>
        </w:rPr>
      </w:pPr>
    </w:p>
    <w:p w14:paraId="217A32AE" w14:textId="77777777" w:rsidR="0046578B" w:rsidRPr="0046578B" w:rsidRDefault="0046578B" w:rsidP="001A6776">
      <w:pPr>
        <w:spacing w:after="0" w:line="360" w:lineRule="auto"/>
        <w:jc w:val="both"/>
        <w:rPr>
          <w:rFonts w:ascii="Arial" w:hAnsi="Arial" w:cs="Arial"/>
          <w:vanish/>
        </w:rPr>
      </w:pPr>
      <w:r w:rsidRPr="0046578B">
        <w:rPr>
          <w:rFonts w:ascii="Arial" w:hAnsi="Arial" w:cs="Arial"/>
          <w:vanish/>
        </w:rPr>
        <w:t>Bottom of Form</w:t>
      </w:r>
    </w:p>
    <w:p w14:paraId="56F4886F" w14:textId="77777777" w:rsidR="00CF1DFA" w:rsidRDefault="00CF1DFA" w:rsidP="001A6776">
      <w:pPr>
        <w:spacing w:after="0" w:line="360" w:lineRule="auto"/>
        <w:jc w:val="both"/>
        <w:rPr>
          <w:rFonts w:ascii="Arial" w:hAnsi="Arial" w:cs="Arial"/>
        </w:rPr>
      </w:pPr>
    </w:p>
    <w:p w14:paraId="3116A4E3" w14:textId="77777777" w:rsidR="00A240E8" w:rsidRPr="005A3A9D" w:rsidRDefault="00A240E8" w:rsidP="001A6776">
      <w:pPr>
        <w:pStyle w:val="Heading1"/>
        <w:rPr>
          <w:sz w:val="24"/>
          <w:szCs w:val="24"/>
        </w:rPr>
      </w:pPr>
      <w:bookmarkStart w:id="67" w:name="_Toc220760194"/>
      <w:r>
        <w:lastRenderedPageBreak/>
        <w:t>References</w:t>
      </w:r>
      <w:bookmarkEnd w:id="67"/>
    </w:p>
    <w:p w14:paraId="60CB47DC" w14:textId="6D1F2215" w:rsidR="00A82356" w:rsidRDefault="00A82356" w:rsidP="00A33923">
      <w:pPr>
        <w:spacing w:before="240" w:after="0" w:line="360" w:lineRule="auto"/>
        <w:jc w:val="both"/>
        <w:rPr>
          <w:rFonts w:ascii="Arial" w:hAnsi="Arial" w:cs="Arial"/>
        </w:rPr>
      </w:pPr>
      <w:r w:rsidRPr="00A82356">
        <w:rPr>
          <w:rFonts w:ascii="Arial" w:hAnsi="Arial" w:cs="Arial"/>
        </w:rPr>
        <w:t xml:space="preserve">Abdullah, J.M., Courtney-Pratt, H., Doherty, K. and Andrews, S., </w:t>
      </w:r>
      <w:r w:rsidR="00D14C66">
        <w:rPr>
          <w:rFonts w:ascii="Arial" w:hAnsi="Arial" w:cs="Arial"/>
        </w:rPr>
        <w:t>(</w:t>
      </w:r>
      <w:r w:rsidRPr="00A82356">
        <w:rPr>
          <w:rFonts w:ascii="Arial" w:hAnsi="Arial" w:cs="Arial"/>
        </w:rPr>
        <w:t>2023</w:t>
      </w:r>
      <w:r w:rsidR="00D14C66">
        <w:rPr>
          <w:rFonts w:ascii="Arial" w:hAnsi="Arial" w:cs="Arial"/>
        </w:rPr>
        <w:t>)</w:t>
      </w:r>
      <w:r w:rsidRPr="00A82356">
        <w:rPr>
          <w:rFonts w:ascii="Arial" w:hAnsi="Arial" w:cs="Arial"/>
        </w:rPr>
        <w:t>. Needs of older people living with dementia in low and middle-income Asian countries: A scoping review. </w:t>
      </w:r>
      <w:r w:rsidRPr="00A82356">
        <w:rPr>
          <w:rFonts w:ascii="Arial" w:hAnsi="Arial" w:cs="Arial"/>
          <w:i/>
          <w:iCs/>
        </w:rPr>
        <w:t>Dementia</w:t>
      </w:r>
      <w:r w:rsidRPr="00A82356">
        <w:rPr>
          <w:rFonts w:ascii="Arial" w:hAnsi="Arial" w:cs="Arial"/>
        </w:rPr>
        <w:t>, </w:t>
      </w:r>
      <w:r w:rsidRPr="00A82356">
        <w:rPr>
          <w:rFonts w:ascii="Arial" w:hAnsi="Arial" w:cs="Arial"/>
          <w:i/>
          <w:iCs/>
        </w:rPr>
        <w:t>22</w:t>
      </w:r>
      <w:r w:rsidRPr="00A82356">
        <w:rPr>
          <w:rFonts w:ascii="Arial" w:hAnsi="Arial" w:cs="Arial"/>
        </w:rPr>
        <w:t>(8), pp.1977-1993.</w:t>
      </w:r>
    </w:p>
    <w:p w14:paraId="4CC05887" w14:textId="72B9E677" w:rsidR="00A240E8" w:rsidRDefault="00A240E8" w:rsidP="00A33923">
      <w:pPr>
        <w:spacing w:before="240" w:after="0" w:line="360" w:lineRule="auto"/>
        <w:jc w:val="both"/>
        <w:rPr>
          <w:rFonts w:ascii="Arial" w:hAnsi="Arial" w:cs="Arial"/>
        </w:rPr>
      </w:pPr>
      <w:r w:rsidRPr="00484034">
        <w:rPr>
          <w:rFonts w:ascii="Arial" w:hAnsi="Arial" w:cs="Arial"/>
        </w:rPr>
        <w:t xml:space="preserve">Adams JD. Probable causes of Alzheimer’s disease. Sci. </w:t>
      </w:r>
      <w:r>
        <w:rPr>
          <w:rFonts w:ascii="Arial" w:hAnsi="Arial" w:cs="Arial"/>
        </w:rPr>
        <w:t>(</w:t>
      </w:r>
      <w:r w:rsidRPr="00484034">
        <w:rPr>
          <w:rFonts w:ascii="Arial" w:hAnsi="Arial" w:cs="Arial"/>
        </w:rPr>
        <w:t>2021</w:t>
      </w:r>
      <w:r>
        <w:rPr>
          <w:rFonts w:ascii="Arial" w:hAnsi="Arial" w:cs="Arial"/>
        </w:rPr>
        <w:t>)</w:t>
      </w:r>
      <w:r w:rsidRPr="00484034">
        <w:rPr>
          <w:rFonts w:ascii="Arial" w:hAnsi="Arial" w:cs="Arial"/>
        </w:rPr>
        <w:t xml:space="preserve"> Mar 2;3(1):16.</w:t>
      </w:r>
    </w:p>
    <w:p w14:paraId="0A111880" w14:textId="77777777" w:rsidR="00A240E8" w:rsidRDefault="00A240E8" w:rsidP="00A33923">
      <w:pPr>
        <w:spacing w:before="240" w:after="0" w:line="360" w:lineRule="auto"/>
        <w:jc w:val="both"/>
        <w:rPr>
          <w:rFonts w:ascii="Arial" w:hAnsi="Arial" w:cs="Arial"/>
        </w:rPr>
      </w:pPr>
      <w:r w:rsidRPr="005B186E">
        <w:rPr>
          <w:rFonts w:ascii="Arial" w:hAnsi="Arial" w:cs="Arial"/>
        </w:rPr>
        <w:t>Adkins</w:t>
      </w:r>
      <w:r w:rsidRPr="005B186E">
        <w:rPr>
          <w:rFonts w:ascii="Cambria Math" w:hAnsi="Cambria Math" w:cs="Cambria Math"/>
        </w:rPr>
        <w:t>‐</w:t>
      </w:r>
      <w:r w:rsidRPr="005B186E">
        <w:rPr>
          <w:rFonts w:ascii="Arial" w:hAnsi="Arial" w:cs="Arial"/>
        </w:rPr>
        <w:t>Jackson, P.B., George, K.M., Besser, L.M., Hyun, J., Lamar, M., Hill</w:t>
      </w:r>
      <w:r w:rsidRPr="005B186E">
        <w:rPr>
          <w:rFonts w:ascii="Cambria Math" w:hAnsi="Cambria Math" w:cs="Cambria Math"/>
        </w:rPr>
        <w:t>‐</w:t>
      </w:r>
      <w:r w:rsidRPr="005B186E">
        <w:rPr>
          <w:rFonts w:ascii="Arial" w:hAnsi="Arial" w:cs="Arial"/>
        </w:rPr>
        <w:t xml:space="preserve">Jarrett, T.G., Bubu, O.M., Flatt, J.D., Heyn, P.C., Cicero, E.C. and Zarina Kraal, A., </w:t>
      </w:r>
      <w:r>
        <w:rPr>
          <w:rFonts w:ascii="Arial" w:hAnsi="Arial" w:cs="Arial"/>
        </w:rPr>
        <w:t>(</w:t>
      </w:r>
      <w:r w:rsidRPr="005B186E">
        <w:rPr>
          <w:rFonts w:ascii="Arial" w:hAnsi="Arial" w:cs="Arial"/>
        </w:rPr>
        <w:t>2023</w:t>
      </w:r>
      <w:r>
        <w:rPr>
          <w:rFonts w:ascii="Arial" w:hAnsi="Arial" w:cs="Arial"/>
        </w:rPr>
        <w:t>)</w:t>
      </w:r>
      <w:r w:rsidRPr="005B186E">
        <w:rPr>
          <w:rFonts w:ascii="Arial" w:hAnsi="Arial" w:cs="Arial"/>
        </w:rPr>
        <w:t>. The structural and social determinants of Alzheimer's disease related dementias. </w:t>
      </w:r>
      <w:r w:rsidRPr="005B186E">
        <w:rPr>
          <w:rFonts w:ascii="Arial" w:hAnsi="Arial" w:cs="Arial"/>
          <w:i/>
          <w:iCs/>
        </w:rPr>
        <w:t>Alzheimer's &amp; Dementia</w:t>
      </w:r>
      <w:r w:rsidRPr="005B186E">
        <w:rPr>
          <w:rFonts w:ascii="Arial" w:hAnsi="Arial" w:cs="Arial"/>
        </w:rPr>
        <w:t>, </w:t>
      </w:r>
      <w:r w:rsidRPr="005B186E">
        <w:rPr>
          <w:rFonts w:ascii="Arial" w:hAnsi="Arial" w:cs="Arial"/>
          <w:i/>
          <w:iCs/>
        </w:rPr>
        <w:t>19</w:t>
      </w:r>
      <w:r w:rsidRPr="005B186E">
        <w:rPr>
          <w:rFonts w:ascii="Arial" w:hAnsi="Arial" w:cs="Arial"/>
        </w:rPr>
        <w:t>(7), pp.3171-3185.</w:t>
      </w:r>
    </w:p>
    <w:p w14:paraId="0786D1B6" w14:textId="5A9E5C5F" w:rsidR="00DA12AD" w:rsidRDefault="00DA12AD" w:rsidP="00A33923">
      <w:pPr>
        <w:spacing w:before="240" w:after="0" w:line="360" w:lineRule="auto"/>
        <w:jc w:val="both"/>
        <w:rPr>
          <w:rFonts w:ascii="Arial" w:hAnsi="Arial" w:cs="Arial"/>
        </w:rPr>
      </w:pPr>
      <w:r w:rsidRPr="00DA12AD">
        <w:rPr>
          <w:rFonts w:ascii="Arial" w:hAnsi="Arial" w:cs="Arial"/>
        </w:rPr>
        <w:t xml:space="preserve">Aisen, P.S., Cummings, J., Jack Jr, C.R., Morris, J.C., Sperling, R., Frölich, L., Jones, R.W., Dowsett, S.A., Matthews, B.R., Raskin, J. and Scheltens, P., </w:t>
      </w:r>
      <w:r w:rsidR="00D14C66">
        <w:rPr>
          <w:rFonts w:ascii="Arial" w:hAnsi="Arial" w:cs="Arial"/>
        </w:rPr>
        <w:t>(</w:t>
      </w:r>
      <w:r w:rsidRPr="00DA12AD">
        <w:rPr>
          <w:rFonts w:ascii="Arial" w:hAnsi="Arial" w:cs="Arial"/>
        </w:rPr>
        <w:t>2017</w:t>
      </w:r>
      <w:r w:rsidR="00D14C66">
        <w:rPr>
          <w:rFonts w:ascii="Arial" w:hAnsi="Arial" w:cs="Arial"/>
        </w:rPr>
        <w:t>)</w:t>
      </w:r>
      <w:r w:rsidRPr="00DA12AD">
        <w:rPr>
          <w:rFonts w:ascii="Arial" w:hAnsi="Arial" w:cs="Arial"/>
        </w:rPr>
        <w:t>. On the path to 2025: understanding the Alzheimer’s disease continuum. </w:t>
      </w:r>
      <w:r w:rsidRPr="00DA12AD">
        <w:rPr>
          <w:rFonts w:ascii="Arial" w:hAnsi="Arial" w:cs="Arial"/>
          <w:i/>
          <w:iCs/>
        </w:rPr>
        <w:t>Alzheimer's research &amp; therapy</w:t>
      </w:r>
      <w:r w:rsidRPr="00DA12AD">
        <w:rPr>
          <w:rFonts w:ascii="Arial" w:hAnsi="Arial" w:cs="Arial"/>
        </w:rPr>
        <w:t>, </w:t>
      </w:r>
      <w:r w:rsidRPr="00DA12AD">
        <w:rPr>
          <w:rFonts w:ascii="Arial" w:hAnsi="Arial" w:cs="Arial"/>
          <w:i/>
          <w:iCs/>
        </w:rPr>
        <w:t>9</w:t>
      </w:r>
      <w:r w:rsidRPr="00DA12AD">
        <w:rPr>
          <w:rFonts w:ascii="Arial" w:hAnsi="Arial" w:cs="Arial"/>
        </w:rPr>
        <w:t>(1), p.60.</w:t>
      </w:r>
    </w:p>
    <w:p w14:paraId="4CE597BA" w14:textId="62978850" w:rsidR="00A240E8" w:rsidRDefault="00A240E8" w:rsidP="00A33923">
      <w:pPr>
        <w:spacing w:before="240" w:after="0" w:line="360" w:lineRule="auto"/>
        <w:jc w:val="both"/>
        <w:rPr>
          <w:rFonts w:ascii="Arial" w:hAnsi="Arial" w:cs="Arial"/>
        </w:rPr>
      </w:pPr>
      <w:r w:rsidRPr="008161F2">
        <w:rPr>
          <w:rFonts w:ascii="Arial" w:hAnsi="Arial" w:cs="Arial"/>
        </w:rPr>
        <w:t xml:space="preserve">Alladi, S., Rajagopalan, J., Hurzuk, S., Pattabiraman, M., Narendhar, R., Thomas, P.T., Gurjal, V.R., Ballal, D., Gupta, I., Mohapatra, A. and Kalkonde, Y., </w:t>
      </w:r>
      <w:r w:rsidR="00302557">
        <w:rPr>
          <w:rFonts w:ascii="Arial" w:hAnsi="Arial" w:cs="Arial"/>
        </w:rPr>
        <w:t>(</w:t>
      </w:r>
      <w:r w:rsidRPr="008161F2">
        <w:rPr>
          <w:rFonts w:ascii="Arial" w:hAnsi="Arial" w:cs="Arial"/>
        </w:rPr>
        <w:t>2022</w:t>
      </w:r>
      <w:r w:rsidR="00302557">
        <w:rPr>
          <w:rFonts w:ascii="Arial" w:hAnsi="Arial" w:cs="Arial"/>
        </w:rPr>
        <w:t>)</w:t>
      </w:r>
      <w:r w:rsidR="00B655DA">
        <w:rPr>
          <w:rFonts w:ascii="Arial" w:hAnsi="Arial" w:cs="Arial"/>
        </w:rPr>
        <w:t>-</w:t>
      </w:r>
      <w:r w:rsidRPr="008161F2">
        <w:rPr>
          <w:rFonts w:ascii="Arial" w:hAnsi="Arial" w:cs="Arial"/>
        </w:rPr>
        <w:t>. The dementia care landscape in India: Context, systems, policies and services. </w:t>
      </w:r>
      <w:r w:rsidRPr="008161F2">
        <w:rPr>
          <w:rFonts w:ascii="Arial" w:hAnsi="Arial" w:cs="Arial"/>
          <w:i/>
          <w:iCs/>
        </w:rPr>
        <w:t>STRiDE desk review</w:t>
      </w:r>
      <w:r w:rsidRPr="008161F2">
        <w:rPr>
          <w:rFonts w:ascii="Arial" w:hAnsi="Arial" w:cs="Arial"/>
        </w:rPr>
        <w:t>.</w:t>
      </w:r>
    </w:p>
    <w:p w14:paraId="75204BD7" w14:textId="3F1387CF" w:rsidR="00A82356" w:rsidRDefault="00A82356" w:rsidP="00A33923">
      <w:pPr>
        <w:spacing w:before="240" w:after="0" w:line="360" w:lineRule="auto"/>
        <w:jc w:val="both"/>
        <w:rPr>
          <w:rFonts w:ascii="Arial" w:hAnsi="Arial" w:cs="Arial"/>
        </w:rPr>
      </w:pPr>
      <w:r w:rsidRPr="00A82356">
        <w:rPr>
          <w:rFonts w:ascii="Arial" w:hAnsi="Arial" w:cs="Arial"/>
        </w:rPr>
        <w:t>Armstrong, M., Aker, N., Nair, P., Walters, K., Barrado</w:t>
      </w:r>
      <w:r w:rsidRPr="00A82356">
        <w:rPr>
          <w:rFonts w:ascii="Cambria Math" w:hAnsi="Cambria Math" w:cs="Cambria Math"/>
        </w:rPr>
        <w:t>‐</w:t>
      </w:r>
      <w:r w:rsidRPr="00A82356">
        <w:rPr>
          <w:rFonts w:ascii="Arial" w:hAnsi="Arial" w:cs="Arial"/>
        </w:rPr>
        <w:t xml:space="preserve">Martin, Y., Kupeli, N., Sampson, E.L., Manthorpe, J., West, E. and Davies, N., </w:t>
      </w:r>
      <w:r w:rsidR="00917497">
        <w:rPr>
          <w:rFonts w:ascii="Arial" w:hAnsi="Arial" w:cs="Arial"/>
        </w:rPr>
        <w:t>(</w:t>
      </w:r>
      <w:r w:rsidRPr="00A82356">
        <w:rPr>
          <w:rFonts w:ascii="Arial" w:hAnsi="Arial" w:cs="Arial"/>
        </w:rPr>
        <w:t>2022</w:t>
      </w:r>
      <w:r w:rsidR="00917497">
        <w:rPr>
          <w:rFonts w:ascii="Arial" w:hAnsi="Arial" w:cs="Arial"/>
        </w:rPr>
        <w:t>)</w:t>
      </w:r>
      <w:r w:rsidRPr="00A82356">
        <w:rPr>
          <w:rFonts w:ascii="Arial" w:hAnsi="Arial" w:cs="Arial"/>
        </w:rPr>
        <w:t>. Trust and inclusion during the Covid</w:t>
      </w:r>
      <w:r w:rsidRPr="00A82356">
        <w:rPr>
          <w:rFonts w:ascii="Cambria Math" w:hAnsi="Cambria Math" w:cs="Cambria Math"/>
        </w:rPr>
        <w:t>‐</w:t>
      </w:r>
      <w:r w:rsidRPr="00A82356">
        <w:rPr>
          <w:rFonts w:ascii="Arial" w:hAnsi="Arial" w:cs="Arial"/>
        </w:rPr>
        <w:t>19 pandemic: Perspectives from Black and South Asian people living with dementia and their carers in the UK. </w:t>
      </w:r>
      <w:r w:rsidRPr="00A82356">
        <w:rPr>
          <w:rFonts w:ascii="Arial" w:hAnsi="Arial" w:cs="Arial"/>
          <w:i/>
          <w:iCs/>
        </w:rPr>
        <w:t>International journal of geriatric psychiatry</w:t>
      </w:r>
      <w:r w:rsidRPr="00A82356">
        <w:rPr>
          <w:rFonts w:ascii="Arial" w:hAnsi="Arial" w:cs="Arial"/>
        </w:rPr>
        <w:t>, </w:t>
      </w:r>
      <w:r w:rsidRPr="00A82356">
        <w:rPr>
          <w:rFonts w:ascii="Arial" w:hAnsi="Arial" w:cs="Arial"/>
          <w:i/>
          <w:iCs/>
        </w:rPr>
        <w:t>37</w:t>
      </w:r>
      <w:r w:rsidRPr="00A82356">
        <w:rPr>
          <w:rFonts w:ascii="Arial" w:hAnsi="Arial" w:cs="Arial"/>
        </w:rPr>
        <w:t>(3).</w:t>
      </w:r>
    </w:p>
    <w:p w14:paraId="1EFAA160" w14:textId="652C720D" w:rsidR="00A240E8" w:rsidRDefault="00A240E8" w:rsidP="00A33923">
      <w:pPr>
        <w:spacing w:before="240" w:after="0" w:line="360" w:lineRule="auto"/>
        <w:jc w:val="both"/>
      </w:pPr>
      <w:r w:rsidRPr="004816F2">
        <w:rPr>
          <w:rFonts w:ascii="Arial" w:hAnsi="Arial" w:cs="Arial"/>
        </w:rPr>
        <w:t xml:space="preserve">Alzheimer’s Society (2023), </w:t>
      </w:r>
      <w:hyperlink r:id="rId14" w:history="1">
        <w:r w:rsidRPr="004816F2">
          <w:rPr>
            <w:rStyle w:val="Hyperlink"/>
            <w:rFonts w:ascii="Arial" w:hAnsi="Arial" w:cs="Arial"/>
          </w:rPr>
          <w:t>https://www.alzheimers.org.uk/blog/south-asian-communities-dementia-deserve-better-support</w:t>
        </w:r>
      </w:hyperlink>
    </w:p>
    <w:p w14:paraId="100D9B72" w14:textId="77777777" w:rsidR="00A240E8" w:rsidRDefault="00A240E8" w:rsidP="00A33923">
      <w:pPr>
        <w:spacing w:before="240" w:after="0" w:line="360" w:lineRule="auto"/>
        <w:jc w:val="both"/>
        <w:rPr>
          <w:rFonts w:ascii="Arial" w:hAnsi="Arial" w:cs="Arial"/>
        </w:rPr>
      </w:pPr>
      <w:r w:rsidRPr="00834CB8">
        <w:rPr>
          <w:rFonts w:ascii="Arial" w:hAnsi="Arial" w:cs="Arial"/>
        </w:rPr>
        <w:t xml:space="preserve">Amador, S., Rapaport, P., Lang, I., Sommerlad, A., Mukadam, N., Stringer, A., Hart, N., Nurock, S. and Livingston, G., </w:t>
      </w:r>
      <w:r>
        <w:rPr>
          <w:rFonts w:ascii="Arial" w:hAnsi="Arial" w:cs="Arial"/>
        </w:rPr>
        <w:t>(</w:t>
      </w:r>
      <w:r w:rsidRPr="00834CB8">
        <w:rPr>
          <w:rFonts w:ascii="Arial" w:hAnsi="Arial" w:cs="Arial"/>
        </w:rPr>
        <w:t>2021</w:t>
      </w:r>
      <w:r>
        <w:rPr>
          <w:rFonts w:ascii="Arial" w:hAnsi="Arial" w:cs="Arial"/>
        </w:rPr>
        <w:t>)</w:t>
      </w:r>
      <w:r w:rsidRPr="00834CB8">
        <w:rPr>
          <w:rFonts w:ascii="Arial" w:hAnsi="Arial" w:cs="Arial"/>
        </w:rPr>
        <w:t>. Implementation of START (STrAtegies for RelaTives) for dementia carers in the third sector: widening access to evidence-based interventions. </w:t>
      </w:r>
      <w:r w:rsidRPr="00834CB8">
        <w:rPr>
          <w:rFonts w:ascii="Arial" w:hAnsi="Arial" w:cs="Arial"/>
          <w:i/>
          <w:iCs/>
        </w:rPr>
        <w:t>PLoS One</w:t>
      </w:r>
      <w:r w:rsidRPr="00834CB8">
        <w:rPr>
          <w:rFonts w:ascii="Arial" w:hAnsi="Arial" w:cs="Arial"/>
        </w:rPr>
        <w:t>, </w:t>
      </w:r>
      <w:r w:rsidRPr="00834CB8">
        <w:rPr>
          <w:rFonts w:ascii="Arial" w:hAnsi="Arial" w:cs="Arial"/>
          <w:i/>
          <w:iCs/>
        </w:rPr>
        <w:t>16</w:t>
      </w:r>
      <w:r w:rsidRPr="00834CB8">
        <w:rPr>
          <w:rFonts w:ascii="Arial" w:hAnsi="Arial" w:cs="Arial"/>
        </w:rPr>
        <w:t>(6), p.e0250410.</w:t>
      </w:r>
    </w:p>
    <w:p w14:paraId="75112766" w14:textId="77777777" w:rsidR="00A240E8" w:rsidRDefault="00A240E8" w:rsidP="00A33923">
      <w:pPr>
        <w:spacing w:before="240" w:after="0" w:line="360" w:lineRule="auto"/>
        <w:jc w:val="both"/>
        <w:rPr>
          <w:rFonts w:ascii="Arial" w:hAnsi="Arial" w:cs="Arial"/>
        </w:rPr>
      </w:pPr>
      <w:r w:rsidRPr="00332136">
        <w:rPr>
          <w:rFonts w:ascii="Arial" w:hAnsi="Arial" w:cs="Arial"/>
        </w:rPr>
        <w:lastRenderedPageBreak/>
        <w:t>Aranda, M.P., Marquez, D.X., Gallagher</w:t>
      </w:r>
      <w:r w:rsidRPr="00332136">
        <w:rPr>
          <w:rFonts w:ascii="Cambria Math" w:hAnsi="Cambria Math" w:cs="Cambria Math"/>
        </w:rPr>
        <w:t>‐</w:t>
      </w:r>
      <w:r w:rsidRPr="00332136">
        <w:rPr>
          <w:rFonts w:ascii="Arial" w:hAnsi="Arial" w:cs="Arial"/>
        </w:rPr>
        <w:t>Thompson, D., Pérez, A., Rojas, J.C., Hill, C.V., Reyes, Y., Dilworth</w:t>
      </w:r>
      <w:r w:rsidRPr="00332136">
        <w:rPr>
          <w:rFonts w:ascii="Cambria Math" w:hAnsi="Cambria Math" w:cs="Cambria Math"/>
        </w:rPr>
        <w:t>‐</w:t>
      </w:r>
      <w:r w:rsidRPr="00332136">
        <w:rPr>
          <w:rFonts w:ascii="Arial" w:hAnsi="Arial" w:cs="Arial"/>
        </w:rPr>
        <w:t xml:space="preserve">Anderson, P. and Portacolone, E., </w:t>
      </w:r>
      <w:r>
        <w:rPr>
          <w:rFonts w:ascii="Arial" w:hAnsi="Arial" w:cs="Arial"/>
        </w:rPr>
        <w:t>(</w:t>
      </w:r>
      <w:r w:rsidRPr="00332136">
        <w:rPr>
          <w:rFonts w:ascii="Arial" w:hAnsi="Arial" w:cs="Arial"/>
        </w:rPr>
        <w:t>2023</w:t>
      </w:r>
      <w:r>
        <w:rPr>
          <w:rFonts w:ascii="Arial" w:hAnsi="Arial" w:cs="Arial"/>
        </w:rPr>
        <w:t>)</w:t>
      </w:r>
      <w:r w:rsidRPr="00332136">
        <w:rPr>
          <w:rFonts w:ascii="Arial" w:hAnsi="Arial" w:cs="Arial"/>
        </w:rPr>
        <w:t>. A call to address structural barriers to Hispanic/Latino representation in clinical trials on Alzheimer's disease and related dementias: a micro</w:t>
      </w:r>
      <w:r w:rsidRPr="00332136">
        <w:rPr>
          <w:rFonts w:ascii="Cambria Math" w:hAnsi="Cambria Math" w:cs="Cambria Math"/>
        </w:rPr>
        <w:t>‐</w:t>
      </w:r>
      <w:r w:rsidRPr="00332136">
        <w:rPr>
          <w:rFonts w:ascii="Arial" w:hAnsi="Arial" w:cs="Arial"/>
        </w:rPr>
        <w:t>meso</w:t>
      </w:r>
      <w:r w:rsidRPr="00332136">
        <w:rPr>
          <w:rFonts w:ascii="Cambria Math" w:hAnsi="Cambria Math" w:cs="Cambria Math"/>
        </w:rPr>
        <w:t>‐</w:t>
      </w:r>
      <w:r w:rsidRPr="00332136">
        <w:rPr>
          <w:rFonts w:ascii="Arial" w:hAnsi="Arial" w:cs="Arial"/>
        </w:rPr>
        <w:t>macro perspective. </w:t>
      </w:r>
      <w:r w:rsidRPr="00332136">
        <w:rPr>
          <w:rFonts w:ascii="Arial" w:hAnsi="Arial" w:cs="Arial"/>
          <w:i/>
          <w:iCs/>
        </w:rPr>
        <w:t>Alzheimer's &amp; Dementia: Translational Research &amp; Clinical Interventions</w:t>
      </w:r>
      <w:r w:rsidRPr="00332136">
        <w:rPr>
          <w:rFonts w:ascii="Arial" w:hAnsi="Arial" w:cs="Arial"/>
        </w:rPr>
        <w:t>, </w:t>
      </w:r>
      <w:r w:rsidRPr="00332136">
        <w:rPr>
          <w:rFonts w:ascii="Arial" w:hAnsi="Arial" w:cs="Arial"/>
          <w:i/>
          <w:iCs/>
        </w:rPr>
        <w:t>9</w:t>
      </w:r>
      <w:r w:rsidRPr="00332136">
        <w:rPr>
          <w:rFonts w:ascii="Arial" w:hAnsi="Arial" w:cs="Arial"/>
        </w:rPr>
        <w:t>(2), p.e12389.</w:t>
      </w:r>
    </w:p>
    <w:p w14:paraId="22140AE2" w14:textId="77777777" w:rsidR="00A240E8" w:rsidRDefault="00A240E8" w:rsidP="00A33923">
      <w:pPr>
        <w:spacing w:before="240" w:after="0" w:line="360" w:lineRule="auto"/>
        <w:jc w:val="both"/>
        <w:rPr>
          <w:rFonts w:ascii="Arial" w:hAnsi="Arial" w:cs="Arial"/>
        </w:rPr>
      </w:pPr>
      <w:r w:rsidRPr="00AC1D64">
        <w:rPr>
          <w:rFonts w:ascii="Arial" w:hAnsi="Arial" w:cs="Arial"/>
        </w:rPr>
        <w:t xml:space="preserve">Acharya, R., </w:t>
      </w:r>
      <w:r>
        <w:rPr>
          <w:rFonts w:ascii="Arial" w:hAnsi="Arial" w:cs="Arial"/>
        </w:rPr>
        <w:t>(</w:t>
      </w:r>
      <w:r w:rsidRPr="00AC1D64">
        <w:rPr>
          <w:rFonts w:ascii="Arial" w:hAnsi="Arial" w:cs="Arial"/>
        </w:rPr>
        <w:t>2024</w:t>
      </w:r>
      <w:r>
        <w:rPr>
          <w:rFonts w:ascii="Arial" w:hAnsi="Arial" w:cs="Arial"/>
        </w:rPr>
        <w:t>)</w:t>
      </w:r>
      <w:r w:rsidRPr="00AC1D64">
        <w:rPr>
          <w:rFonts w:ascii="Arial" w:hAnsi="Arial" w:cs="Arial"/>
        </w:rPr>
        <w:t>. Examining interpretivism in social science research. </w:t>
      </w:r>
      <w:r w:rsidRPr="00AC1D64">
        <w:rPr>
          <w:rFonts w:ascii="Arial" w:hAnsi="Arial" w:cs="Arial"/>
          <w:i/>
          <w:iCs/>
        </w:rPr>
        <w:t>Education</w:t>
      </w:r>
      <w:r w:rsidRPr="00AC1D64">
        <w:rPr>
          <w:rFonts w:ascii="Arial" w:hAnsi="Arial" w:cs="Arial"/>
        </w:rPr>
        <w:t>.</w:t>
      </w:r>
    </w:p>
    <w:p w14:paraId="75F25345"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t>Aloui, A., Hamani, N., Derrouiche, R. and Delahoche, L., (2021). Systematic literature review on collaborative sustainable transportation: overview, analysis and perspectives. </w:t>
      </w:r>
      <w:r w:rsidRPr="00087A1F">
        <w:rPr>
          <w:rFonts w:ascii="Arial" w:hAnsi="Arial" w:cs="Arial"/>
          <w:i/>
          <w:iCs/>
        </w:rPr>
        <w:t>Transportation Research Interdisciplinary Perspectives</w:t>
      </w:r>
      <w:r w:rsidRPr="00087A1F">
        <w:rPr>
          <w:rFonts w:ascii="Arial" w:hAnsi="Arial" w:cs="Arial"/>
        </w:rPr>
        <w:t>, </w:t>
      </w:r>
      <w:r w:rsidRPr="00087A1F">
        <w:rPr>
          <w:rFonts w:ascii="Arial" w:hAnsi="Arial" w:cs="Arial"/>
          <w:i/>
          <w:iCs/>
        </w:rPr>
        <w:t>9</w:t>
      </w:r>
      <w:r w:rsidRPr="00087A1F">
        <w:rPr>
          <w:rFonts w:ascii="Arial" w:hAnsi="Arial" w:cs="Arial"/>
        </w:rPr>
        <w:t>, p.100291.</w:t>
      </w:r>
    </w:p>
    <w:p w14:paraId="6C716FBB"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t>Ayre, J. and McCaffery, K.J., (2022). Research Note: Thematic analysis in qualitative research. </w:t>
      </w:r>
      <w:r w:rsidRPr="00087A1F">
        <w:rPr>
          <w:rFonts w:ascii="Arial" w:hAnsi="Arial" w:cs="Arial"/>
          <w:i/>
          <w:iCs/>
        </w:rPr>
        <w:t>Journal of Physiotherapy</w:t>
      </w:r>
      <w:r w:rsidRPr="00087A1F">
        <w:rPr>
          <w:rFonts w:ascii="Arial" w:hAnsi="Arial" w:cs="Arial"/>
        </w:rPr>
        <w:t>, </w:t>
      </w:r>
      <w:r w:rsidRPr="00087A1F">
        <w:rPr>
          <w:rFonts w:ascii="Arial" w:hAnsi="Arial" w:cs="Arial"/>
          <w:i/>
          <w:iCs/>
        </w:rPr>
        <w:t>68</w:t>
      </w:r>
      <w:r w:rsidRPr="00087A1F">
        <w:rPr>
          <w:rFonts w:ascii="Arial" w:hAnsi="Arial" w:cs="Arial"/>
        </w:rPr>
        <w:t>(1), pp.76-79.</w:t>
      </w:r>
    </w:p>
    <w:p w14:paraId="56D847E7"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t>Braun, V. and Clarke, V., (2021). Thematic analysis: A practical guide.</w:t>
      </w:r>
    </w:p>
    <w:p w14:paraId="424B4335" w14:textId="77777777" w:rsidR="00A240E8" w:rsidRDefault="00A240E8" w:rsidP="00A33923">
      <w:pPr>
        <w:spacing w:before="240" w:after="0" w:line="360" w:lineRule="auto"/>
        <w:jc w:val="both"/>
        <w:rPr>
          <w:rFonts w:ascii="Arial" w:hAnsi="Arial" w:cs="Arial"/>
        </w:rPr>
      </w:pPr>
      <w:r w:rsidRPr="00E72E38">
        <w:rPr>
          <w:rFonts w:ascii="Arial" w:hAnsi="Arial" w:cs="Arial"/>
        </w:rPr>
        <w:t xml:space="preserve">Brignardello-Petersen, R., Santesso, N. and Guyatt, G.H., </w:t>
      </w:r>
      <w:r>
        <w:rPr>
          <w:rFonts w:ascii="Arial" w:hAnsi="Arial" w:cs="Arial"/>
        </w:rPr>
        <w:t>(</w:t>
      </w:r>
      <w:r w:rsidRPr="00E72E38">
        <w:rPr>
          <w:rFonts w:ascii="Arial" w:hAnsi="Arial" w:cs="Arial"/>
        </w:rPr>
        <w:t>2025</w:t>
      </w:r>
      <w:r>
        <w:rPr>
          <w:rFonts w:ascii="Arial" w:hAnsi="Arial" w:cs="Arial"/>
        </w:rPr>
        <w:t>)</w:t>
      </w:r>
      <w:r w:rsidRPr="00E72E38">
        <w:rPr>
          <w:rFonts w:ascii="Arial" w:hAnsi="Arial" w:cs="Arial"/>
        </w:rPr>
        <w:t>. Systematic reviews of the literature: an introduction to current methods. </w:t>
      </w:r>
      <w:r w:rsidRPr="00E72E38">
        <w:rPr>
          <w:rFonts w:ascii="Arial" w:hAnsi="Arial" w:cs="Arial"/>
          <w:i/>
          <w:iCs/>
        </w:rPr>
        <w:t>American Journal of Epidemiology</w:t>
      </w:r>
      <w:r w:rsidRPr="00E72E38">
        <w:rPr>
          <w:rFonts w:ascii="Arial" w:hAnsi="Arial" w:cs="Arial"/>
        </w:rPr>
        <w:t>, </w:t>
      </w:r>
      <w:r w:rsidRPr="00E72E38">
        <w:rPr>
          <w:rFonts w:ascii="Arial" w:hAnsi="Arial" w:cs="Arial"/>
          <w:i/>
          <w:iCs/>
        </w:rPr>
        <w:t>194</w:t>
      </w:r>
      <w:r w:rsidRPr="00E72E38">
        <w:rPr>
          <w:rFonts w:ascii="Arial" w:hAnsi="Arial" w:cs="Arial"/>
        </w:rPr>
        <w:t>(2), pp.536-542.</w:t>
      </w:r>
    </w:p>
    <w:p w14:paraId="2E215CBB" w14:textId="77777777" w:rsidR="00A240E8" w:rsidRDefault="00A240E8" w:rsidP="00A33923">
      <w:pPr>
        <w:spacing w:before="240" w:after="0" w:line="360" w:lineRule="auto"/>
        <w:jc w:val="both"/>
        <w:rPr>
          <w:rFonts w:ascii="Arial" w:hAnsi="Arial" w:cs="Arial"/>
        </w:rPr>
      </w:pPr>
      <w:r w:rsidRPr="002D1DB6">
        <w:rPr>
          <w:rFonts w:ascii="Arial" w:hAnsi="Arial" w:cs="Arial"/>
        </w:rPr>
        <w:t xml:space="preserve">Bature, F., Guinn, B.A., Pang, D. and Pappas, Y., </w:t>
      </w:r>
      <w:r>
        <w:rPr>
          <w:rFonts w:ascii="Arial" w:hAnsi="Arial" w:cs="Arial"/>
        </w:rPr>
        <w:t>(</w:t>
      </w:r>
      <w:r w:rsidRPr="002D1DB6">
        <w:rPr>
          <w:rFonts w:ascii="Arial" w:hAnsi="Arial" w:cs="Arial"/>
        </w:rPr>
        <w:t>2017</w:t>
      </w:r>
      <w:r>
        <w:rPr>
          <w:rFonts w:ascii="Arial" w:hAnsi="Arial" w:cs="Arial"/>
        </w:rPr>
        <w:t>)</w:t>
      </w:r>
      <w:r w:rsidRPr="002D1DB6">
        <w:rPr>
          <w:rFonts w:ascii="Arial" w:hAnsi="Arial" w:cs="Arial"/>
        </w:rPr>
        <w:t>. Signs and symptoms preceding the diagnosis of Alzheimer’s disease: a systematic scoping review of literature from 1937 to 2016. </w:t>
      </w:r>
      <w:r w:rsidRPr="002D1DB6">
        <w:rPr>
          <w:rFonts w:ascii="Arial" w:hAnsi="Arial" w:cs="Arial"/>
          <w:i/>
          <w:iCs/>
        </w:rPr>
        <w:t>BMJ open</w:t>
      </w:r>
      <w:r w:rsidRPr="002D1DB6">
        <w:rPr>
          <w:rFonts w:ascii="Arial" w:hAnsi="Arial" w:cs="Arial"/>
        </w:rPr>
        <w:t>, </w:t>
      </w:r>
      <w:r w:rsidRPr="002D1DB6">
        <w:rPr>
          <w:rFonts w:ascii="Arial" w:hAnsi="Arial" w:cs="Arial"/>
          <w:i/>
          <w:iCs/>
        </w:rPr>
        <w:t>7</w:t>
      </w:r>
      <w:r w:rsidRPr="002D1DB6">
        <w:rPr>
          <w:rFonts w:ascii="Arial" w:hAnsi="Arial" w:cs="Arial"/>
        </w:rPr>
        <w:t>(8), p.e015746.</w:t>
      </w:r>
    </w:p>
    <w:p w14:paraId="50EF4255" w14:textId="77777777" w:rsidR="00A240E8" w:rsidRPr="004816F2" w:rsidRDefault="00A240E8" w:rsidP="00A33923">
      <w:pPr>
        <w:spacing w:before="240" w:after="0" w:line="360" w:lineRule="auto"/>
        <w:jc w:val="both"/>
        <w:rPr>
          <w:rFonts w:ascii="Arial" w:hAnsi="Arial" w:cs="Arial"/>
        </w:rPr>
      </w:pPr>
      <w:r w:rsidRPr="004816F2">
        <w:rPr>
          <w:rFonts w:ascii="Arial" w:hAnsi="Arial" w:cs="Arial"/>
        </w:rPr>
        <w:t>Barbe, C., Jolly, D., Morrone, I., Wolak-Thierry, A., Dramé, M., Novella, J.L. and Mahmoudi, R., (2018). Factors associated with quality of life in patients with Alzheimer’s disease. </w:t>
      </w:r>
      <w:r w:rsidRPr="004816F2">
        <w:rPr>
          <w:rFonts w:ascii="Arial" w:hAnsi="Arial" w:cs="Arial"/>
          <w:i/>
          <w:iCs/>
        </w:rPr>
        <w:t>BMC geriatrics</w:t>
      </w:r>
      <w:r w:rsidRPr="004816F2">
        <w:rPr>
          <w:rFonts w:ascii="Arial" w:hAnsi="Arial" w:cs="Arial"/>
        </w:rPr>
        <w:t>, </w:t>
      </w:r>
      <w:r w:rsidRPr="004816F2">
        <w:rPr>
          <w:rFonts w:ascii="Arial" w:hAnsi="Arial" w:cs="Arial"/>
          <w:i/>
          <w:iCs/>
        </w:rPr>
        <w:t>18</w:t>
      </w:r>
      <w:r w:rsidRPr="004816F2">
        <w:rPr>
          <w:rFonts w:ascii="Arial" w:hAnsi="Arial" w:cs="Arial"/>
        </w:rPr>
        <w:t>, pp.1-9.</w:t>
      </w:r>
    </w:p>
    <w:p w14:paraId="1693FD96" w14:textId="77777777" w:rsidR="00993304" w:rsidRDefault="00993304" w:rsidP="00A33923">
      <w:pPr>
        <w:spacing w:before="240" w:after="0" w:line="360" w:lineRule="auto"/>
        <w:jc w:val="both"/>
        <w:rPr>
          <w:rFonts w:ascii="Arial" w:hAnsi="Arial" w:cs="Arial"/>
        </w:rPr>
      </w:pPr>
      <w:r w:rsidRPr="00B03703">
        <w:rPr>
          <w:rFonts w:ascii="Arial" w:hAnsi="Arial" w:cs="Arial"/>
        </w:rPr>
        <w:t xml:space="preserve">Bajwa, R., Hanjari, M., Al-Oraibi, A., Akyea, R., Brar, M., Robinson, L., Stephan, B.C., Qureshi, N. and Bains, M., </w:t>
      </w:r>
      <w:r>
        <w:rPr>
          <w:rFonts w:ascii="Arial" w:hAnsi="Arial" w:cs="Arial"/>
        </w:rPr>
        <w:t>(</w:t>
      </w:r>
      <w:r w:rsidRPr="00B03703">
        <w:rPr>
          <w:rFonts w:ascii="Arial" w:hAnsi="Arial" w:cs="Arial"/>
        </w:rPr>
        <w:t>2025</w:t>
      </w:r>
      <w:r>
        <w:rPr>
          <w:rFonts w:ascii="Arial" w:hAnsi="Arial" w:cs="Arial"/>
        </w:rPr>
        <w:t>)</w:t>
      </w:r>
      <w:r w:rsidRPr="00B03703">
        <w:rPr>
          <w:rFonts w:ascii="Arial" w:hAnsi="Arial" w:cs="Arial"/>
        </w:rPr>
        <w:t>. Qualitative study exploring knowledge and attitudes towards dementia risk prediction, barriers to dementia services and service improvement recommendations with diverse populations in England. </w:t>
      </w:r>
      <w:r w:rsidRPr="00B03703">
        <w:rPr>
          <w:rFonts w:ascii="Arial" w:hAnsi="Arial" w:cs="Arial"/>
          <w:i/>
          <w:iCs/>
        </w:rPr>
        <w:t>BMJ open</w:t>
      </w:r>
      <w:r w:rsidRPr="00B03703">
        <w:rPr>
          <w:rFonts w:ascii="Arial" w:hAnsi="Arial" w:cs="Arial"/>
        </w:rPr>
        <w:t>, </w:t>
      </w:r>
      <w:r w:rsidRPr="00B03703">
        <w:rPr>
          <w:rFonts w:ascii="Arial" w:hAnsi="Arial" w:cs="Arial"/>
          <w:i/>
          <w:iCs/>
        </w:rPr>
        <w:t>15</w:t>
      </w:r>
      <w:r w:rsidRPr="00B03703">
        <w:rPr>
          <w:rFonts w:ascii="Arial" w:hAnsi="Arial" w:cs="Arial"/>
        </w:rPr>
        <w:t>(5), p.e092370.</w:t>
      </w:r>
    </w:p>
    <w:p w14:paraId="58242F91" w14:textId="29BA6A6C" w:rsidR="007D78EA" w:rsidRDefault="007D78EA" w:rsidP="00A33923">
      <w:pPr>
        <w:spacing w:before="240" w:after="0" w:line="360" w:lineRule="auto"/>
        <w:jc w:val="both"/>
        <w:rPr>
          <w:rFonts w:ascii="Arial" w:hAnsi="Arial" w:cs="Arial"/>
        </w:rPr>
      </w:pPr>
      <w:r w:rsidRPr="007D78EA">
        <w:rPr>
          <w:rFonts w:ascii="Arial" w:hAnsi="Arial" w:cs="Arial"/>
        </w:rPr>
        <w:lastRenderedPageBreak/>
        <w:t xml:space="preserve">Bondi, M.W., Edmonds, E.C. and Salmon, D.P., </w:t>
      </w:r>
      <w:r w:rsidR="005049AD">
        <w:rPr>
          <w:rFonts w:ascii="Arial" w:hAnsi="Arial" w:cs="Arial"/>
        </w:rPr>
        <w:t>(</w:t>
      </w:r>
      <w:r w:rsidRPr="007D78EA">
        <w:rPr>
          <w:rFonts w:ascii="Arial" w:hAnsi="Arial" w:cs="Arial"/>
        </w:rPr>
        <w:t>2017</w:t>
      </w:r>
      <w:r w:rsidR="005049AD">
        <w:rPr>
          <w:rFonts w:ascii="Arial" w:hAnsi="Arial" w:cs="Arial"/>
        </w:rPr>
        <w:t>)</w:t>
      </w:r>
      <w:r w:rsidRPr="007D78EA">
        <w:rPr>
          <w:rFonts w:ascii="Arial" w:hAnsi="Arial" w:cs="Arial"/>
        </w:rPr>
        <w:t>. Alzheimer’s disease: past, present, and future. </w:t>
      </w:r>
      <w:r w:rsidRPr="007D78EA">
        <w:rPr>
          <w:rFonts w:ascii="Arial" w:hAnsi="Arial" w:cs="Arial"/>
          <w:i/>
          <w:iCs/>
        </w:rPr>
        <w:t>Journal of the International Neuropsychological Society</w:t>
      </w:r>
      <w:r w:rsidRPr="007D78EA">
        <w:rPr>
          <w:rFonts w:ascii="Arial" w:hAnsi="Arial" w:cs="Arial"/>
        </w:rPr>
        <w:t>, </w:t>
      </w:r>
      <w:r w:rsidRPr="007D78EA">
        <w:rPr>
          <w:rFonts w:ascii="Arial" w:hAnsi="Arial" w:cs="Arial"/>
          <w:i/>
          <w:iCs/>
        </w:rPr>
        <w:t>23</w:t>
      </w:r>
      <w:r w:rsidRPr="007D78EA">
        <w:rPr>
          <w:rFonts w:ascii="Arial" w:hAnsi="Arial" w:cs="Arial"/>
        </w:rPr>
        <w:t>(9-10), pp.818-831.</w:t>
      </w:r>
    </w:p>
    <w:p w14:paraId="467426C7" w14:textId="6B207B39" w:rsidR="00993304" w:rsidRDefault="00993304" w:rsidP="00A33923">
      <w:pPr>
        <w:spacing w:before="240" w:after="0" w:line="360" w:lineRule="auto"/>
        <w:jc w:val="both"/>
        <w:rPr>
          <w:rFonts w:ascii="Arial" w:hAnsi="Arial" w:cs="Arial"/>
        </w:rPr>
      </w:pPr>
      <w:r w:rsidRPr="00107FBA">
        <w:rPr>
          <w:rFonts w:ascii="Arial" w:hAnsi="Arial" w:cs="Arial"/>
        </w:rPr>
        <w:t xml:space="preserve">Caldwell, P.H. and Bennett, T., </w:t>
      </w:r>
      <w:r>
        <w:rPr>
          <w:rFonts w:ascii="Arial" w:hAnsi="Arial" w:cs="Arial"/>
        </w:rPr>
        <w:t>(</w:t>
      </w:r>
      <w:r w:rsidRPr="00107FBA">
        <w:rPr>
          <w:rFonts w:ascii="Arial" w:hAnsi="Arial" w:cs="Arial"/>
        </w:rPr>
        <w:t>2020</w:t>
      </w:r>
      <w:r>
        <w:rPr>
          <w:rFonts w:ascii="Arial" w:hAnsi="Arial" w:cs="Arial"/>
        </w:rPr>
        <w:t>)</w:t>
      </w:r>
      <w:r w:rsidRPr="00107FBA">
        <w:rPr>
          <w:rFonts w:ascii="Arial" w:hAnsi="Arial" w:cs="Arial"/>
        </w:rPr>
        <w:t>. Easy guide to conducting a systematic review. </w:t>
      </w:r>
      <w:r w:rsidRPr="00107FBA">
        <w:rPr>
          <w:rFonts w:ascii="Arial" w:hAnsi="Arial" w:cs="Arial"/>
          <w:i/>
          <w:iCs/>
        </w:rPr>
        <w:t>Journal of paediatrics and child health</w:t>
      </w:r>
      <w:r w:rsidRPr="00107FBA">
        <w:rPr>
          <w:rFonts w:ascii="Arial" w:hAnsi="Arial" w:cs="Arial"/>
        </w:rPr>
        <w:t>, </w:t>
      </w:r>
      <w:r w:rsidRPr="00107FBA">
        <w:rPr>
          <w:rFonts w:ascii="Arial" w:hAnsi="Arial" w:cs="Arial"/>
          <w:i/>
          <w:iCs/>
        </w:rPr>
        <w:t>56</w:t>
      </w:r>
      <w:r w:rsidRPr="00107FBA">
        <w:rPr>
          <w:rFonts w:ascii="Arial" w:hAnsi="Arial" w:cs="Arial"/>
        </w:rPr>
        <w:t>(6), pp.853-856.</w:t>
      </w:r>
    </w:p>
    <w:p w14:paraId="05D08CE7" w14:textId="7E299FF0" w:rsidR="00A240E8" w:rsidRDefault="00A240E8" w:rsidP="00A33923">
      <w:pPr>
        <w:spacing w:before="240" w:after="0" w:line="360" w:lineRule="auto"/>
        <w:jc w:val="both"/>
        <w:rPr>
          <w:rFonts w:ascii="Arial" w:hAnsi="Arial" w:cs="Arial"/>
        </w:rPr>
      </w:pPr>
      <w:r w:rsidRPr="00E66398">
        <w:rPr>
          <w:rFonts w:ascii="Arial" w:hAnsi="Arial" w:cs="Arial"/>
        </w:rPr>
        <w:t xml:space="preserve">Chaib, D., Biggs, K. and Khan, H., </w:t>
      </w:r>
      <w:r w:rsidR="005049AD">
        <w:rPr>
          <w:rFonts w:ascii="Arial" w:hAnsi="Arial" w:cs="Arial"/>
        </w:rPr>
        <w:t>(</w:t>
      </w:r>
      <w:r w:rsidRPr="00E66398">
        <w:rPr>
          <w:rFonts w:ascii="Arial" w:hAnsi="Arial" w:cs="Arial"/>
        </w:rPr>
        <w:t>2025</w:t>
      </w:r>
      <w:r w:rsidR="005049AD">
        <w:rPr>
          <w:rFonts w:ascii="Arial" w:hAnsi="Arial" w:cs="Arial"/>
        </w:rPr>
        <w:t>)</w:t>
      </w:r>
      <w:r w:rsidRPr="00E66398">
        <w:rPr>
          <w:rFonts w:ascii="Arial" w:hAnsi="Arial" w:cs="Arial"/>
        </w:rPr>
        <w:t>. Barriers and Facilitators to Formal Dementia Care Use Among UK South Asians: A Systematic Review. </w:t>
      </w:r>
      <w:r w:rsidRPr="00E66398">
        <w:rPr>
          <w:rFonts w:ascii="Arial" w:hAnsi="Arial" w:cs="Arial"/>
          <w:i/>
          <w:iCs/>
        </w:rPr>
        <w:t>Health Services Insights</w:t>
      </w:r>
      <w:r w:rsidRPr="00E66398">
        <w:rPr>
          <w:rFonts w:ascii="Arial" w:hAnsi="Arial" w:cs="Arial"/>
        </w:rPr>
        <w:t>, </w:t>
      </w:r>
      <w:r w:rsidRPr="00E66398">
        <w:rPr>
          <w:rFonts w:ascii="Arial" w:hAnsi="Arial" w:cs="Arial"/>
          <w:i/>
          <w:iCs/>
        </w:rPr>
        <w:t>18</w:t>
      </w:r>
      <w:r w:rsidRPr="00E66398">
        <w:rPr>
          <w:rFonts w:ascii="Arial" w:hAnsi="Arial" w:cs="Arial"/>
        </w:rPr>
        <w:t>, p.11786329251408964.</w:t>
      </w:r>
    </w:p>
    <w:p w14:paraId="2CBA1B1D" w14:textId="77777777" w:rsidR="00A240E8" w:rsidRPr="004816F2" w:rsidRDefault="00A240E8" w:rsidP="00A33923">
      <w:pPr>
        <w:spacing w:before="240" w:after="0" w:line="360" w:lineRule="auto"/>
        <w:jc w:val="both"/>
        <w:rPr>
          <w:rFonts w:ascii="Arial" w:hAnsi="Arial" w:cs="Arial"/>
        </w:rPr>
      </w:pPr>
      <w:r w:rsidRPr="004816F2">
        <w:rPr>
          <w:rFonts w:ascii="Arial" w:hAnsi="Arial" w:cs="Arial"/>
        </w:rPr>
        <w:t>Cipriani, G., Danti, S., Picchi, L., Nuti, A. and Fiorino, M.D., (2020). Daily functioning and dementia. </w:t>
      </w:r>
      <w:r w:rsidRPr="004816F2">
        <w:rPr>
          <w:rFonts w:ascii="Arial" w:hAnsi="Arial" w:cs="Arial"/>
          <w:i/>
          <w:iCs/>
        </w:rPr>
        <w:t>Dementia &amp; neuropsychologia</w:t>
      </w:r>
      <w:r w:rsidRPr="004816F2">
        <w:rPr>
          <w:rFonts w:ascii="Arial" w:hAnsi="Arial" w:cs="Arial"/>
        </w:rPr>
        <w:t>, </w:t>
      </w:r>
      <w:r w:rsidRPr="004816F2">
        <w:rPr>
          <w:rFonts w:ascii="Arial" w:hAnsi="Arial" w:cs="Arial"/>
          <w:i/>
          <w:iCs/>
        </w:rPr>
        <w:t>14</w:t>
      </w:r>
      <w:r w:rsidRPr="004816F2">
        <w:rPr>
          <w:rFonts w:ascii="Arial" w:hAnsi="Arial" w:cs="Arial"/>
        </w:rPr>
        <w:t>(2), pp.93-102.</w:t>
      </w:r>
    </w:p>
    <w:p w14:paraId="7AAEECEA" w14:textId="77777777" w:rsidR="00A240E8" w:rsidRPr="004816F2" w:rsidRDefault="00A240E8" w:rsidP="00A33923">
      <w:pPr>
        <w:spacing w:before="240" w:after="0" w:line="360" w:lineRule="auto"/>
        <w:jc w:val="both"/>
        <w:rPr>
          <w:rFonts w:ascii="Arial" w:hAnsi="Arial" w:cs="Arial"/>
        </w:rPr>
      </w:pPr>
      <w:r w:rsidRPr="004816F2">
        <w:rPr>
          <w:rFonts w:ascii="Arial" w:hAnsi="Arial" w:cs="Arial"/>
        </w:rPr>
        <w:t>Co, M., Mueller, C., Mayston, R., Das-Munshi, J. and Prina, M., (2023). Ethnicity and survival after a dementia diagnosis: a retrospective cohort study using electronic health record data. </w:t>
      </w:r>
      <w:r w:rsidRPr="004816F2">
        <w:rPr>
          <w:rFonts w:ascii="Arial" w:hAnsi="Arial" w:cs="Arial"/>
          <w:i/>
          <w:iCs/>
        </w:rPr>
        <w:t>Alzheimer's research &amp; therapy</w:t>
      </w:r>
      <w:r w:rsidRPr="004816F2">
        <w:rPr>
          <w:rFonts w:ascii="Arial" w:hAnsi="Arial" w:cs="Arial"/>
        </w:rPr>
        <w:t>, </w:t>
      </w:r>
      <w:r w:rsidRPr="004816F2">
        <w:rPr>
          <w:rFonts w:ascii="Arial" w:hAnsi="Arial" w:cs="Arial"/>
          <w:i/>
          <w:iCs/>
        </w:rPr>
        <w:t>15</w:t>
      </w:r>
      <w:r w:rsidRPr="004816F2">
        <w:rPr>
          <w:rFonts w:ascii="Arial" w:hAnsi="Arial" w:cs="Arial"/>
        </w:rPr>
        <w:t>(1), p.67.</w:t>
      </w:r>
    </w:p>
    <w:p w14:paraId="23C3D4DB" w14:textId="77777777" w:rsidR="00A240E8" w:rsidRDefault="00A240E8" w:rsidP="00A33923">
      <w:pPr>
        <w:spacing w:before="240" w:after="0" w:line="360" w:lineRule="auto"/>
        <w:jc w:val="both"/>
        <w:rPr>
          <w:rFonts w:ascii="Arial" w:hAnsi="Arial" w:cs="Arial"/>
        </w:rPr>
      </w:pPr>
      <w:r w:rsidRPr="001A28DA">
        <w:rPr>
          <w:rFonts w:ascii="Arial" w:hAnsi="Arial" w:cs="Arial"/>
        </w:rPr>
        <w:t xml:space="preserve">Collins, R., Silarova, B. and Clare, L., </w:t>
      </w:r>
      <w:r>
        <w:rPr>
          <w:rFonts w:ascii="Arial" w:hAnsi="Arial" w:cs="Arial"/>
        </w:rPr>
        <w:t>(</w:t>
      </w:r>
      <w:r w:rsidRPr="001A28DA">
        <w:rPr>
          <w:rFonts w:ascii="Arial" w:hAnsi="Arial" w:cs="Arial"/>
        </w:rPr>
        <w:t>2019</w:t>
      </w:r>
      <w:r>
        <w:rPr>
          <w:rFonts w:ascii="Arial" w:hAnsi="Arial" w:cs="Arial"/>
        </w:rPr>
        <w:t>)</w:t>
      </w:r>
      <w:r w:rsidRPr="001A28DA">
        <w:rPr>
          <w:rFonts w:ascii="Arial" w:hAnsi="Arial" w:cs="Arial"/>
        </w:rPr>
        <w:t>. Dementia primary prevention policies and strategies and their local implementation: A scoping review using England as a case study. </w:t>
      </w:r>
      <w:r w:rsidRPr="001A28DA">
        <w:rPr>
          <w:rFonts w:ascii="Arial" w:hAnsi="Arial" w:cs="Arial"/>
          <w:i/>
          <w:iCs/>
        </w:rPr>
        <w:t>Journal of Alzheimer’s Disease</w:t>
      </w:r>
      <w:r w:rsidRPr="001A28DA">
        <w:rPr>
          <w:rFonts w:ascii="Arial" w:hAnsi="Arial" w:cs="Arial"/>
        </w:rPr>
        <w:t>, </w:t>
      </w:r>
      <w:r w:rsidRPr="001A28DA">
        <w:rPr>
          <w:rFonts w:ascii="Arial" w:hAnsi="Arial" w:cs="Arial"/>
          <w:i/>
          <w:iCs/>
        </w:rPr>
        <w:t>70</w:t>
      </w:r>
      <w:r w:rsidRPr="001A28DA">
        <w:rPr>
          <w:rFonts w:ascii="Arial" w:hAnsi="Arial" w:cs="Arial"/>
        </w:rPr>
        <w:t>(s1), pp.S303-S318.</w:t>
      </w:r>
    </w:p>
    <w:p w14:paraId="2AC9952D" w14:textId="77777777" w:rsidR="00A240E8" w:rsidRPr="004816F2" w:rsidRDefault="00A240E8" w:rsidP="00A33923">
      <w:pPr>
        <w:spacing w:before="240" w:after="0" w:line="360" w:lineRule="auto"/>
        <w:jc w:val="both"/>
        <w:rPr>
          <w:rFonts w:ascii="Arial" w:hAnsi="Arial" w:cs="Arial"/>
        </w:rPr>
      </w:pPr>
      <w:r w:rsidRPr="004816F2">
        <w:rPr>
          <w:rFonts w:ascii="Arial" w:hAnsi="Arial" w:cs="Arial"/>
        </w:rPr>
        <w:t>de Levante Raphael, D., (2022). The knowledge and attitudes of primary care and the barriers to early detection and diagnosis of Alzheimer’s disease. </w:t>
      </w:r>
      <w:r w:rsidRPr="004816F2">
        <w:rPr>
          <w:rFonts w:ascii="Arial" w:hAnsi="Arial" w:cs="Arial"/>
          <w:i/>
          <w:iCs/>
        </w:rPr>
        <w:t>Medicina</w:t>
      </w:r>
      <w:r w:rsidRPr="004816F2">
        <w:rPr>
          <w:rFonts w:ascii="Arial" w:hAnsi="Arial" w:cs="Arial"/>
        </w:rPr>
        <w:t>, </w:t>
      </w:r>
      <w:r w:rsidRPr="004816F2">
        <w:rPr>
          <w:rFonts w:ascii="Arial" w:hAnsi="Arial" w:cs="Arial"/>
          <w:i/>
          <w:iCs/>
        </w:rPr>
        <w:t>58</w:t>
      </w:r>
      <w:r w:rsidRPr="004816F2">
        <w:rPr>
          <w:rFonts w:ascii="Arial" w:hAnsi="Arial" w:cs="Arial"/>
        </w:rPr>
        <w:t>(7), p.906.</w:t>
      </w:r>
    </w:p>
    <w:p w14:paraId="5333FA82" w14:textId="77777777" w:rsidR="00993304" w:rsidRDefault="00993304" w:rsidP="00A33923">
      <w:pPr>
        <w:spacing w:before="240" w:after="0" w:line="360" w:lineRule="auto"/>
        <w:jc w:val="both"/>
        <w:rPr>
          <w:rFonts w:ascii="Arial" w:hAnsi="Arial" w:cs="Arial"/>
        </w:rPr>
      </w:pPr>
      <w:r w:rsidRPr="006D33AD">
        <w:rPr>
          <w:rFonts w:ascii="Arial" w:hAnsi="Arial" w:cs="Arial"/>
        </w:rPr>
        <w:t xml:space="preserve">Dickson, K. and Yeung, C.A., </w:t>
      </w:r>
      <w:r>
        <w:rPr>
          <w:rFonts w:ascii="Arial" w:hAnsi="Arial" w:cs="Arial"/>
        </w:rPr>
        <w:t>(</w:t>
      </w:r>
      <w:r w:rsidRPr="006D33AD">
        <w:rPr>
          <w:rFonts w:ascii="Arial" w:hAnsi="Arial" w:cs="Arial"/>
        </w:rPr>
        <w:t>2022</w:t>
      </w:r>
      <w:r>
        <w:rPr>
          <w:rFonts w:ascii="Arial" w:hAnsi="Arial" w:cs="Arial"/>
        </w:rPr>
        <w:t>)</w:t>
      </w:r>
      <w:r w:rsidRPr="006D33AD">
        <w:rPr>
          <w:rFonts w:ascii="Arial" w:hAnsi="Arial" w:cs="Arial"/>
        </w:rPr>
        <w:t>. PRISMA 2020 updated guideline. </w:t>
      </w:r>
      <w:r w:rsidRPr="006D33AD">
        <w:rPr>
          <w:rFonts w:ascii="Arial" w:hAnsi="Arial" w:cs="Arial"/>
          <w:i/>
          <w:iCs/>
        </w:rPr>
        <w:t>British dental journal</w:t>
      </w:r>
      <w:r w:rsidRPr="006D33AD">
        <w:rPr>
          <w:rFonts w:ascii="Arial" w:hAnsi="Arial" w:cs="Arial"/>
        </w:rPr>
        <w:t>, </w:t>
      </w:r>
      <w:r w:rsidRPr="006D33AD">
        <w:rPr>
          <w:rFonts w:ascii="Arial" w:hAnsi="Arial" w:cs="Arial"/>
          <w:i/>
          <w:iCs/>
        </w:rPr>
        <w:t>232</w:t>
      </w:r>
      <w:r w:rsidRPr="006D33AD">
        <w:rPr>
          <w:rFonts w:ascii="Arial" w:hAnsi="Arial" w:cs="Arial"/>
        </w:rPr>
        <w:t>(11), pp.760-761.</w:t>
      </w:r>
    </w:p>
    <w:p w14:paraId="126C9AFE" w14:textId="77777777" w:rsidR="00A240E8" w:rsidRDefault="00A240E8" w:rsidP="00A33923">
      <w:pPr>
        <w:spacing w:before="240" w:after="0" w:line="360" w:lineRule="auto"/>
        <w:jc w:val="both"/>
        <w:rPr>
          <w:rFonts w:ascii="Arial" w:hAnsi="Arial" w:cs="Arial"/>
        </w:rPr>
      </w:pPr>
      <w:r w:rsidRPr="00092434">
        <w:rPr>
          <w:rFonts w:ascii="Arial" w:hAnsi="Arial" w:cs="Arial"/>
        </w:rPr>
        <w:t xml:space="preserve">Dietlin, S., Soto, M., Kiyasova, V., Pueyo, M., de Mauleon, A., Delrieu, J., Ousset, P.J. and Vellas, B., </w:t>
      </w:r>
      <w:r>
        <w:rPr>
          <w:rFonts w:ascii="Arial" w:hAnsi="Arial" w:cs="Arial"/>
        </w:rPr>
        <w:t>(</w:t>
      </w:r>
      <w:r w:rsidRPr="00092434">
        <w:rPr>
          <w:rFonts w:ascii="Arial" w:hAnsi="Arial" w:cs="Arial"/>
        </w:rPr>
        <w:t>2019</w:t>
      </w:r>
      <w:r>
        <w:rPr>
          <w:rFonts w:ascii="Arial" w:hAnsi="Arial" w:cs="Arial"/>
        </w:rPr>
        <w:t>)</w:t>
      </w:r>
      <w:r w:rsidRPr="00092434">
        <w:rPr>
          <w:rFonts w:ascii="Arial" w:hAnsi="Arial" w:cs="Arial"/>
        </w:rPr>
        <w:t>. Neuropsychiatric symptoms and risk of progression to Alzheimer’s disease among mild cognitive impairment subjects. </w:t>
      </w:r>
      <w:r w:rsidRPr="00092434">
        <w:rPr>
          <w:rFonts w:ascii="Arial" w:hAnsi="Arial" w:cs="Arial"/>
          <w:i/>
          <w:iCs/>
        </w:rPr>
        <w:t>Journal of Alzheimer’s Disease</w:t>
      </w:r>
      <w:r w:rsidRPr="00092434">
        <w:rPr>
          <w:rFonts w:ascii="Arial" w:hAnsi="Arial" w:cs="Arial"/>
        </w:rPr>
        <w:t>, </w:t>
      </w:r>
      <w:r w:rsidRPr="00092434">
        <w:rPr>
          <w:rFonts w:ascii="Arial" w:hAnsi="Arial" w:cs="Arial"/>
          <w:i/>
          <w:iCs/>
        </w:rPr>
        <w:t>70</w:t>
      </w:r>
      <w:r w:rsidRPr="00092434">
        <w:rPr>
          <w:rFonts w:ascii="Arial" w:hAnsi="Arial" w:cs="Arial"/>
        </w:rPr>
        <w:t>(1), pp.25-34.</w:t>
      </w:r>
    </w:p>
    <w:p w14:paraId="6B82CC3A" w14:textId="77777777" w:rsidR="00A240E8" w:rsidRDefault="00A240E8" w:rsidP="00A33923">
      <w:pPr>
        <w:spacing w:before="240" w:after="0" w:line="360" w:lineRule="auto"/>
        <w:jc w:val="both"/>
        <w:rPr>
          <w:rFonts w:ascii="Arial" w:hAnsi="Arial" w:cs="Arial"/>
        </w:rPr>
      </w:pPr>
      <w:r w:rsidRPr="008302BD">
        <w:rPr>
          <w:rFonts w:ascii="Arial" w:hAnsi="Arial" w:cs="Arial"/>
        </w:rPr>
        <w:t xml:space="preserve">Duran-Kiraç, G., Uysal-Bozkir, Ö., Uittenbroek, R., van Hout, H. and Broese van Groenou, M.I., </w:t>
      </w:r>
      <w:r>
        <w:rPr>
          <w:rFonts w:ascii="Arial" w:hAnsi="Arial" w:cs="Arial"/>
        </w:rPr>
        <w:t>(</w:t>
      </w:r>
      <w:r w:rsidRPr="008302BD">
        <w:rPr>
          <w:rFonts w:ascii="Arial" w:hAnsi="Arial" w:cs="Arial"/>
        </w:rPr>
        <w:t>2022</w:t>
      </w:r>
      <w:r>
        <w:rPr>
          <w:rFonts w:ascii="Arial" w:hAnsi="Arial" w:cs="Arial"/>
        </w:rPr>
        <w:t>)</w:t>
      </w:r>
      <w:r w:rsidRPr="008302BD">
        <w:rPr>
          <w:rFonts w:ascii="Arial" w:hAnsi="Arial" w:cs="Arial"/>
        </w:rPr>
        <w:t xml:space="preserve">. Accessibility of health care experienced by persons with </w:t>
      </w:r>
      <w:r w:rsidRPr="008302BD">
        <w:rPr>
          <w:rFonts w:ascii="Arial" w:hAnsi="Arial" w:cs="Arial"/>
        </w:rPr>
        <w:lastRenderedPageBreak/>
        <w:t>dementia from ethnic minority groups and formal and informal caregivers: A scoping review of European literature. </w:t>
      </w:r>
      <w:r w:rsidRPr="008302BD">
        <w:rPr>
          <w:rFonts w:ascii="Arial" w:hAnsi="Arial" w:cs="Arial"/>
          <w:i/>
          <w:iCs/>
        </w:rPr>
        <w:t>Dementia</w:t>
      </w:r>
      <w:r w:rsidRPr="008302BD">
        <w:rPr>
          <w:rFonts w:ascii="Arial" w:hAnsi="Arial" w:cs="Arial"/>
        </w:rPr>
        <w:t>, </w:t>
      </w:r>
      <w:r w:rsidRPr="008302BD">
        <w:rPr>
          <w:rFonts w:ascii="Arial" w:hAnsi="Arial" w:cs="Arial"/>
          <w:i/>
          <w:iCs/>
        </w:rPr>
        <w:t>21</w:t>
      </w:r>
      <w:r w:rsidRPr="008302BD">
        <w:rPr>
          <w:rFonts w:ascii="Arial" w:hAnsi="Arial" w:cs="Arial"/>
        </w:rPr>
        <w:t>(2), pp.677-700.</w:t>
      </w:r>
    </w:p>
    <w:p w14:paraId="13E1B1A1" w14:textId="77777777" w:rsidR="00A240E8" w:rsidRDefault="00A240E8" w:rsidP="00A33923">
      <w:pPr>
        <w:spacing w:before="240" w:after="0" w:line="360" w:lineRule="auto"/>
        <w:jc w:val="both"/>
        <w:rPr>
          <w:rFonts w:ascii="Arial" w:hAnsi="Arial" w:cs="Arial"/>
        </w:rPr>
      </w:pPr>
      <w:r w:rsidRPr="00E01541">
        <w:rPr>
          <w:rFonts w:ascii="Arial" w:hAnsi="Arial" w:cs="Arial"/>
        </w:rPr>
        <w:t xml:space="preserve">Erel, M., Marcus, E.L. and Dekeyser-Ganz, F., </w:t>
      </w:r>
      <w:r>
        <w:rPr>
          <w:rFonts w:ascii="Arial" w:hAnsi="Arial" w:cs="Arial"/>
        </w:rPr>
        <w:t>(</w:t>
      </w:r>
      <w:r w:rsidRPr="00E01541">
        <w:rPr>
          <w:rFonts w:ascii="Arial" w:hAnsi="Arial" w:cs="Arial"/>
        </w:rPr>
        <w:t>2017</w:t>
      </w:r>
      <w:r>
        <w:rPr>
          <w:rFonts w:ascii="Arial" w:hAnsi="Arial" w:cs="Arial"/>
        </w:rPr>
        <w:t>)</w:t>
      </w:r>
      <w:r w:rsidRPr="00E01541">
        <w:rPr>
          <w:rFonts w:ascii="Arial" w:hAnsi="Arial" w:cs="Arial"/>
        </w:rPr>
        <w:t>. Barriers to palliative care for advanced dementia: a scoping review. </w:t>
      </w:r>
      <w:r w:rsidRPr="00E01541">
        <w:rPr>
          <w:rFonts w:ascii="Arial" w:hAnsi="Arial" w:cs="Arial"/>
          <w:i/>
          <w:iCs/>
        </w:rPr>
        <w:t>Annals of palliative medicine</w:t>
      </w:r>
      <w:r w:rsidRPr="00E01541">
        <w:rPr>
          <w:rFonts w:ascii="Arial" w:hAnsi="Arial" w:cs="Arial"/>
        </w:rPr>
        <w:t>, </w:t>
      </w:r>
      <w:r w:rsidRPr="00E01541">
        <w:rPr>
          <w:rFonts w:ascii="Arial" w:hAnsi="Arial" w:cs="Arial"/>
          <w:i/>
          <w:iCs/>
        </w:rPr>
        <w:t>6</w:t>
      </w:r>
      <w:r w:rsidRPr="00E01541">
        <w:rPr>
          <w:rFonts w:ascii="Arial" w:hAnsi="Arial" w:cs="Arial"/>
        </w:rPr>
        <w:t>(4), pp.36579-36379.</w:t>
      </w:r>
    </w:p>
    <w:p w14:paraId="546817F9" w14:textId="077A7994" w:rsidR="00A240E8" w:rsidRDefault="00A240E8" w:rsidP="00A33923">
      <w:pPr>
        <w:spacing w:before="240" w:after="0" w:line="360" w:lineRule="auto"/>
        <w:jc w:val="both"/>
        <w:rPr>
          <w:rFonts w:ascii="Arial" w:hAnsi="Arial" w:cs="Arial"/>
        </w:rPr>
      </w:pPr>
      <w:r w:rsidRPr="00C225B9">
        <w:rPr>
          <w:rFonts w:ascii="Arial" w:hAnsi="Arial" w:cs="Arial"/>
        </w:rPr>
        <w:t xml:space="preserve">Ehsan, S., Mirza, N., Vikram, A., Osmani, F., Kumar, N., Orakzai, S. and Sharma, S., </w:t>
      </w:r>
      <w:r w:rsidR="00E267CE">
        <w:rPr>
          <w:rFonts w:ascii="Arial" w:hAnsi="Arial" w:cs="Arial"/>
        </w:rPr>
        <w:t>(</w:t>
      </w:r>
      <w:r w:rsidRPr="00C225B9">
        <w:rPr>
          <w:rFonts w:ascii="Arial" w:hAnsi="Arial" w:cs="Arial"/>
        </w:rPr>
        <w:t>2025</w:t>
      </w:r>
      <w:r w:rsidR="00E267CE">
        <w:rPr>
          <w:rFonts w:ascii="Arial" w:hAnsi="Arial" w:cs="Arial"/>
        </w:rPr>
        <w:t>)</w:t>
      </w:r>
      <w:r w:rsidRPr="00C225B9">
        <w:rPr>
          <w:rFonts w:ascii="Arial" w:hAnsi="Arial" w:cs="Arial"/>
        </w:rPr>
        <w:t>. Proposed barriers and facilitators for engaging with neuropsychological services by Black and South Asian populations in the UK: A qualitative systematic review of ethnic minority access of neurological services. </w:t>
      </w:r>
      <w:r w:rsidRPr="00C225B9">
        <w:rPr>
          <w:rFonts w:ascii="Arial" w:hAnsi="Arial" w:cs="Arial"/>
          <w:i/>
          <w:iCs/>
        </w:rPr>
        <w:t>The Clinical Neuropsychologist</w:t>
      </w:r>
      <w:r w:rsidRPr="00C225B9">
        <w:rPr>
          <w:rFonts w:ascii="Arial" w:hAnsi="Arial" w:cs="Arial"/>
        </w:rPr>
        <w:t>, pp.1-31.</w:t>
      </w:r>
    </w:p>
    <w:p w14:paraId="500676C8" w14:textId="77777777" w:rsidR="00A240E8" w:rsidRDefault="00A240E8" w:rsidP="00A33923">
      <w:pPr>
        <w:spacing w:before="240" w:after="0" w:line="360" w:lineRule="auto"/>
        <w:jc w:val="both"/>
        <w:rPr>
          <w:rFonts w:ascii="Arial" w:hAnsi="Arial" w:cs="Arial"/>
        </w:rPr>
      </w:pPr>
      <w:r w:rsidRPr="00BF319F">
        <w:rPr>
          <w:rFonts w:ascii="Arial" w:hAnsi="Arial" w:cs="Arial"/>
        </w:rPr>
        <w:t xml:space="preserve">Foo, Y.Z., O'Dea, R.E., Koricheva, J., Nakagawa, S. and Lagisz, M., </w:t>
      </w:r>
      <w:r>
        <w:rPr>
          <w:rFonts w:ascii="Arial" w:hAnsi="Arial" w:cs="Arial"/>
        </w:rPr>
        <w:t>(</w:t>
      </w:r>
      <w:r w:rsidRPr="00BF319F">
        <w:rPr>
          <w:rFonts w:ascii="Arial" w:hAnsi="Arial" w:cs="Arial"/>
        </w:rPr>
        <w:t>2021</w:t>
      </w:r>
      <w:r>
        <w:rPr>
          <w:rFonts w:ascii="Arial" w:hAnsi="Arial" w:cs="Arial"/>
        </w:rPr>
        <w:t>)</w:t>
      </w:r>
      <w:r w:rsidRPr="00BF319F">
        <w:rPr>
          <w:rFonts w:ascii="Arial" w:hAnsi="Arial" w:cs="Arial"/>
        </w:rPr>
        <w:t>. A practical guide to question formation, systematic searching and study screening for literature reviews in ecology and evolution. </w:t>
      </w:r>
      <w:r w:rsidRPr="00BF319F">
        <w:rPr>
          <w:rFonts w:ascii="Arial" w:hAnsi="Arial" w:cs="Arial"/>
          <w:i/>
          <w:iCs/>
        </w:rPr>
        <w:t>Methods in Ecology and Evolution</w:t>
      </w:r>
      <w:r w:rsidRPr="00BF319F">
        <w:rPr>
          <w:rFonts w:ascii="Arial" w:hAnsi="Arial" w:cs="Arial"/>
        </w:rPr>
        <w:t>, </w:t>
      </w:r>
      <w:r w:rsidRPr="00BF319F">
        <w:rPr>
          <w:rFonts w:ascii="Arial" w:hAnsi="Arial" w:cs="Arial"/>
          <w:i/>
          <w:iCs/>
        </w:rPr>
        <w:t>12</w:t>
      </w:r>
      <w:r w:rsidRPr="00BF319F">
        <w:rPr>
          <w:rFonts w:ascii="Arial" w:hAnsi="Arial" w:cs="Arial"/>
        </w:rPr>
        <w:t>(9), pp.1705-1720.</w:t>
      </w:r>
    </w:p>
    <w:p w14:paraId="2307C447" w14:textId="77777777" w:rsidR="00A240E8" w:rsidRDefault="00A240E8" w:rsidP="00A33923">
      <w:pPr>
        <w:spacing w:before="240" w:after="0" w:line="360" w:lineRule="auto"/>
        <w:jc w:val="both"/>
        <w:rPr>
          <w:rFonts w:ascii="Arial" w:hAnsi="Arial" w:cs="Arial"/>
        </w:rPr>
      </w:pPr>
      <w:r w:rsidRPr="000D0A97">
        <w:rPr>
          <w:rFonts w:ascii="Arial" w:hAnsi="Arial" w:cs="Arial"/>
        </w:rPr>
        <w:t xml:space="preserve">Gough, D. and Richardson, M., </w:t>
      </w:r>
      <w:r>
        <w:rPr>
          <w:rFonts w:ascii="Arial" w:hAnsi="Arial" w:cs="Arial"/>
        </w:rPr>
        <w:t>(</w:t>
      </w:r>
      <w:r w:rsidRPr="000D0A97">
        <w:rPr>
          <w:rFonts w:ascii="Arial" w:hAnsi="Arial" w:cs="Arial"/>
        </w:rPr>
        <w:t>2024</w:t>
      </w:r>
      <w:r>
        <w:rPr>
          <w:rFonts w:ascii="Arial" w:hAnsi="Arial" w:cs="Arial"/>
        </w:rPr>
        <w:t>)</w:t>
      </w:r>
      <w:r w:rsidRPr="000D0A97">
        <w:rPr>
          <w:rFonts w:ascii="Arial" w:hAnsi="Arial" w:cs="Arial"/>
        </w:rPr>
        <w:t>. Systematic reviews. In </w:t>
      </w:r>
      <w:r w:rsidRPr="000D0A97">
        <w:rPr>
          <w:rFonts w:ascii="Arial" w:hAnsi="Arial" w:cs="Arial"/>
          <w:i/>
          <w:iCs/>
        </w:rPr>
        <w:t>Advanced research methods for applied psychology</w:t>
      </w:r>
      <w:r w:rsidRPr="000D0A97">
        <w:rPr>
          <w:rFonts w:ascii="Arial" w:hAnsi="Arial" w:cs="Arial"/>
        </w:rPr>
        <w:t> (pp. 71-86). Routledge.</w:t>
      </w:r>
    </w:p>
    <w:p w14:paraId="386C84EC" w14:textId="77777777" w:rsidR="00A240E8" w:rsidRPr="004816F2" w:rsidRDefault="00A240E8" w:rsidP="00A33923">
      <w:pPr>
        <w:spacing w:before="240" w:after="0" w:line="360" w:lineRule="auto"/>
        <w:jc w:val="both"/>
        <w:rPr>
          <w:rFonts w:ascii="Arial" w:hAnsi="Arial" w:cs="Arial"/>
        </w:rPr>
      </w:pPr>
      <w:r w:rsidRPr="004816F2">
        <w:rPr>
          <w:rFonts w:ascii="Arial" w:hAnsi="Arial" w:cs="Arial"/>
        </w:rPr>
        <w:t>Giebel, C.M., Zubair, M., Jolley, D., Bhui, K.S., Purandare, N., Worden, A. and Challis, D., (2015). South Asian older adults with memory impairment: improving assessment and access to dementia care. </w:t>
      </w:r>
      <w:r w:rsidRPr="004816F2">
        <w:rPr>
          <w:rFonts w:ascii="Arial" w:hAnsi="Arial" w:cs="Arial"/>
          <w:i/>
          <w:iCs/>
        </w:rPr>
        <w:t>International journal of geriatric psychiatry</w:t>
      </w:r>
      <w:r w:rsidRPr="004816F2">
        <w:rPr>
          <w:rFonts w:ascii="Arial" w:hAnsi="Arial" w:cs="Arial"/>
        </w:rPr>
        <w:t>, </w:t>
      </w:r>
      <w:r w:rsidRPr="004816F2">
        <w:rPr>
          <w:rFonts w:ascii="Arial" w:hAnsi="Arial" w:cs="Arial"/>
          <w:i/>
          <w:iCs/>
        </w:rPr>
        <w:t>30</w:t>
      </w:r>
      <w:r w:rsidRPr="004816F2">
        <w:rPr>
          <w:rFonts w:ascii="Arial" w:hAnsi="Arial" w:cs="Arial"/>
        </w:rPr>
        <w:t>(4), pp.345-356.</w:t>
      </w:r>
    </w:p>
    <w:p w14:paraId="363426EE" w14:textId="77777777" w:rsidR="00A240E8" w:rsidRDefault="00A240E8" w:rsidP="00A33923">
      <w:pPr>
        <w:spacing w:before="240" w:after="0" w:line="360" w:lineRule="auto"/>
        <w:jc w:val="both"/>
        <w:rPr>
          <w:rFonts w:ascii="Arial" w:hAnsi="Arial" w:cs="Arial"/>
        </w:rPr>
      </w:pPr>
      <w:r w:rsidRPr="000A6C7F">
        <w:rPr>
          <w:rFonts w:ascii="Arial" w:hAnsi="Arial" w:cs="Arial"/>
        </w:rPr>
        <w:t xml:space="preserve">Giebel, C., Robertson, S., Beaulen, A., Zwakhalen, S., Allen, D. and Verbeek, H., </w:t>
      </w:r>
      <w:r>
        <w:rPr>
          <w:rFonts w:ascii="Arial" w:hAnsi="Arial" w:cs="Arial"/>
        </w:rPr>
        <w:t>(</w:t>
      </w:r>
      <w:r w:rsidRPr="000A6C7F">
        <w:rPr>
          <w:rFonts w:ascii="Arial" w:hAnsi="Arial" w:cs="Arial"/>
        </w:rPr>
        <w:t>2021</w:t>
      </w:r>
      <w:r>
        <w:rPr>
          <w:rFonts w:ascii="Arial" w:hAnsi="Arial" w:cs="Arial"/>
        </w:rPr>
        <w:t>)</w:t>
      </w:r>
      <w:r w:rsidRPr="000A6C7F">
        <w:rPr>
          <w:rFonts w:ascii="Arial" w:hAnsi="Arial" w:cs="Arial"/>
        </w:rPr>
        <w:t>. “Nobody seems to know where to even turn to”: Barriers in accessing and utilising dementia care services in England and the Netherlands. </w:t>
      </w:r>
      <w:r w:rsidRPr="000A6C7F">
        <w:rPr>
          <w:rFonts w:ascii="Arial" w:hAnsi="Arial" w:cs="Arial"/>
          <w:i/>
          <w:iCs/>
        </w:rPr>
        <w:t>International Journal of Environmental Research and Public Health</w:t>
      </w:r>
      <w:r w:rsidRPr="000A6C7F">
        <w:rPr>
          <w:rFonts w:ascii="Arial" w:hAnsi="Arial" w:cs="Arial"/>
        </w:rPr>
        <w:t>, </w:t>
      </w:r>
      <w:r w:rsidRPr="000A6C7F">
        <w:rPr>
          <w:rFonts w:ascii="Arial" w:hAnsi="Arial" w:cs="Arial"/>
          <w:i/>
          <w:iCs/>
        </w:rPr>
        <w:t>18</w:t>
      </w:r>
      <w:r w:rsidRPr="000A6C7F">
        <w:rPr>
          <w:rFonts w:ascii="Arial" w:hAnsi="Arial" w:cs="Arial"/>
        </w:rPr>
        <w:t>(22), p.12233.</w:t>
      </w:r>
    </w:p>
    <w:p w14:paraId="1C315ED6" w14:textId="31AD6143" w:rsidR="00A82356" w:rsidRDefault="00A82356" w:rsidP="00A33923">
      <w:pPr>
        <w:spacing w:before="240" w:after="0" w:line="360" w:lineRule="auto"/>
        <w:jc w:val="both"/>
        <w:rPr>
          <w:rFonts w:ascii="Arial" w:hAnsi="Arial" w:cs="Arial"/>
        </w:rPr>
      </w:pPr>
      <w:r w:rsidRPr="00A82356">
        <w:rPr>
          <w:rFonts w:ascii="Arial" w:hAnsi="Arial" w:cs="Arial"/>
        </w:rPr>
        <w:t xml:space="preserve">Giebel, C., Challis, D., Worden, A., Jolley, D., Bhui, K.S., Lambat, A. and Purandare, N., </w:t>
      </w:r>
      <w:r w:rsidR="00437BD4">
        <w:rPr>
          <w:rFonts w:ascii="Arial" w:hAnsi="Arial" w:cs="Arial"/>
        </w:rPr>
        <w:t>(</w:t>
      </w:r>
      <w:r w:rsidRPr="00A82356">
        <w:rPr>
          <w:rFonts w:ascii="Arial" w:hAnsi="Arial" w:cs="Arial"/>
        </w:rPr>
        <w:t>2016</w:t>
      </w:r>
      <w:r w:rsidR="00437BD4">
        <w:rPr>
          <w:rFonts w:ascii="Arial" w:hAnsi="Arial" w:cs="Arial"/>
        </w:rPr>
        <w:t>)</w:t>
      </w:r>
      <w:r w:rsidRPr="00A82356">
        <w:rPr>
          <w:rFonts w:ascii="Arial" w:hAnsi="Arial" w:cs="Arial"/>
        </w:rPr>
        <w:t>. Perceptions of self</w:t>
      </w:r>
      <w:r w:rsidRPr="00A82356">
        <w:rPr>
          <w:rFonts w:ascii="Cambria Math" w:hAnsi="Cambria Math" w:cs="Cambria Math"/>
        </w:rPr>
        <w:t>‐</w:t>
      </w:r>
      <w:r w:rsidRPr="00A82356">
        <w:rPr>
          <w:rFonts w:ascii="Arial" w:hAnsi="Arial" w:cs="Arial"/>
        </w:rPr>
        <w:t>defined memory problems vary in South Asian minority older people who consult a GP and those who do not: a mixed</w:t>
      </w:r>
      <w:r w:rsidRPr="00A82356">
        <w:rPr>
          <w:rFonts w:ascii="Cambria Math" w:hAnsi="Cambria Math" w:cs="Cambria Math"/>
        </w:rPr>
        <w:t>‐</w:t>
      </w:r>
      <w:r w:rsidRPr="00A82356">
        <w:rPr>
          <w:rFonts w:ascii="Arial" w:hAnsi="Arial" w:cs="Arial"/>
        </w:rPr>
        <w:t>method pilot study. </w:t>
      </w:r>
      <w:r w:rsidRPr="00A82356">
        <w:rPr>
          <w:rFonts w:ascii="Arial" w:hAnsi="Arial" w:cs="Arial"/>
          <w:i/>
          <w:iCs/>
        </w:rPr>
        <w:t>International Journal of Geriatric Psychiatry</w:t>
      </w:r>
      <w:r w:rsidRPr="00A82356">
        <w:rPr>
          <w:rFonts w:ascii="Arial" w:hAnsi="Arial" w:cs="Arial"/>
        </w:rPr>
        <w:t>, </w:t>
      </w:r>
      <w:r w:rsidRPr="00A82356">
        <w:rPr>
          <w:rFonts w:ascii="Arial" w:hAnsi="Arial" w:cs="Arial"/>
          <w:i/>
          <w:iCs/>
        </w:rPr>
        <w:t>31</w:t>
      </w:r>
      <w:r w:rsidRPr="00A82356">
        <w:rPr>
          <w:rFonts w:ascii="Arial" w:hAnsi="Arial" w:cs="Arial"/>
        </w:rPr>
        <w:t>(4), pp.375-383.</w:t>
      </w:r>
    </w:p>
    <w:p w14:paraId="09C64019" w14:textId="08D63163" w:rsidR="00A240E8" w:rsidRDefault="00A240E8" w:rsidP="00A33923">
      <w:pPr>
        <w:spacing w:before="240" w:after="0" w:line="360" w:lineRule="auto"/>
        <w:jc w:val="both"/>
        <w:rPr>
          <w:rFonts w:ascii="Arial" w:hAnsi="Arial" w:cs="Arial"/>
        </w:rPr>
      </w:pPr>
      <w:r w:rsidRPr="00B772FF">
        <w:rPr>
          <w:rFonts w:ascii="Arial" w:hAnsi="Arial" w:cs="Arial"/>
        </w:rPr>
        <w:lastRenderedPageBreak/>
        <w:t xml:space="preserve">Hockley, A., Moll, D., Littlejohns, J., Collett, Z. and Henshall, C., </w:t>
      </w:r>
      <w:r>
        <w:rPr>
          <w:rFonts w:ascii="Arial" w:hAnsi="Arial" w:cs="Arial"/>
        </w:rPr>
        <w:t>(</w:t>
      </w:r>
      <w:r w:rsidRPr="00B772FF">
        <w:rPr>
          <w:rFonts w:ascii="Arial" w:hAnsi="Arial" w:cs="Arial"/>
        </w:rPr>
        <w:t>2025</w:t>
      </w:r>
      <w:r>
        <w:rPr>
          <w:rFonts w:ascii="Arial" w:hAnsi="Arial" w:cs="Arial"/>
        </w:rPr>
        <w:t>)</w:t>
      </w:r>
      <w:r w:rsidRPr="00B772FF">
        <w:rPr>
          <w:rFonts w:ascii="Arial" w:hAnsi="Arial" w:cs="Arial"/>
        </w:rPr>
        <w:t>. Access to communication support for community-dwelling people with dementia: A mixed methods study exploring local perspectives within the United Kingdom context. </w:t>
      </w:r>
      <w:r w:rsidRPr="00B772FF">
        <w:rPr>
          <w:rFonts w:ascii="Arial" w:hAnsi="Arial" w:cs="Arial"/>
          <w:i/>
          <w:iCs/>
        </w:rPr>
        <w:t>Age and Ageing</w:t>
      </w:r>
      <w:r w:rsidRPr="00B772FF">
        <w:rPr>
          <w:rFonts w:ascii="Arial" w:hAnsi="Arial" w:cs="Arial"/>
        </w:rPr>
        <w:t>, </w:t>
      </w:r>
      <w:r w:rsidRPr="00B772FF">
        <w:rPr>
          <w:rFonts w:ascii="Arial" w:hAnsi="Arial" w:cs="Arial"/>
          <w:i/>
          <w:iCs/>
        </w:rPr>
        <w:t>54</w:t>
      </w:r>
      <w:r w:rsidRPr="00B772FF">
        <w:rPr>
          <w:rFonts w:ascii="Arial" w:hAnsi="Arial" w:cs="Arial"/>
        </w:rPr>
        <w:t>(6), p.afaf150.</w:t>
      </w:r>
    </w:p>
    <w:p w14:paraId="19AE0DE9" w14:textId="77777777" w:rsidR="004E2A97" w:rsidRDefault="004E2A97" w:rsidP="00A33923">
      <w:pPr>
        <w:spacing w:before="240" w:after="0" w:line="360" w:lineRule="auto"/>
        <w:jc w:val="both"/>
        <w:rPr>
          <w:rFonts w:ascii="Arial" w:hAnsi="Arial" w:cs="Arial"/>
        </w:rPr>
      </w:pPr>
      <w:r w:rsidRPr="00A12918">
        <w:rPr>
          <w:rFonts w:ascii="Arial" w:hAnsi="Arial" w:cs="Arial"/>
        </w:rPr>
        <w:t xml:space="preserve">Hailstone, J., Mukadam, N., Owen, T., Cooper, C. and Livingston, G., </w:t>
      </w:r>
      <w:r>
        <w:rPr>
          <w:rFonts w:ascii="Arial" w:hAnsi="Arial" w:cs="Arial"/>
        </w:rPr>
        <w:t>(</w:t>
      </w:r>
      <w:r w:rsidRPr="00A12918">
        <w:rPr>
          <w:rFonts w:ascii="Arial" w:hAnsi="Arial" w:cs="Arial"/>
        </w:rPr>
        <w:t>2017</w:t>
      </w:r>
      <w:r>
        <w:rPr>
          <w:rFonts w:ascii="Arial" w:hAnsi="Arial" w:cs="Arial"/>
        </w:rPr>
        <w:t>)</w:t>
      </w:r>
      <w:r w:rsidRPr="00A12918">
        <w:rPr>
          <w:rFonts w:ascii="Arial" w:hAnsi="Arial" w:cs="Arial"/>
        </w:rPr>
        <w:t>. The development of Attitudes of People from Ethnic Minorities to Help</w:t>
      </w:r>
      <w:r w:rsidRPr="00A12918">
        <w:rPr>
          <w:rFonts w:ascii="Cambria Math" w:hAnsi="Cambria Math" w:cs="Cambria Math"/>
        </w:rPr>
        <w:t>‐</w:t>
      </w:r>
      <w:r w:rsidRPr="00A12918">
        <w:rPr>
          <w:rFonts w:ascii="Arial" w:hAnsi="Arial" w:cs="Arial"/>
        </w:rPr>
        <w:t>Seeking for Dementia (APEND): a questionnaire to measure attitudes to help</w:t>
      </w:r>
      <w:r w:rsidRPr="00A12918">
        <w:rPr>
          <w:rFonts w:ascii="Cambria Math" w:hAnsi="Cambria Math" w:cs="Cambria Math"/>
        </w:rPr>
        <w:t>‐</w:t>
      </w:r>
      <w:r w:rsidRPr="00A12918">
        <w:rPr>
          <w:rFonts w:ascii="Arial" w:hAnsi="Arial" w:cs="Arial"/>
        </w:rPr>
        <w:t>seeking for dementia in people from South Asian backgrounds in the UK. </w:t>
      </w:r>
      <w:r w:rsidRPr="00A12918">
        <w:rPr>
          <w:rFonts w:ascii="Arial" w:hAnsi="Arial" w:cs="Arial"/>
          <w:i/>
          <w:iCs/>
        </w:rPr>
        <w:t>International Journal of Geriatric Psychiatry</w:t>
      </w:r>
      <w:r w:rsidRPr="00A12918">
        <w:rPr>
          <w:rFonts w:ascii="Arial" w:hAnsi="Arial" w:cs="Arial"/>
        </w:rPr>
        <w:t>, </w:t>
      </w:r>
      <w:r w:rsidRPr="00A12918">
        <w:rPr>
          <w:rFonts w:ascii="Arial" w:hAnsi="Arial" w:cs="Arial"/>
          <w:i/>
          <w:iCs/>
        </w:rPr>
        <w:t>32</w:t>
      </w:r>
      <w:r w:rsidRPr="00A12918">
        <w:rPr>
          <w:rFonts w:ascii="Arial" w:hAnsi="Arial" w:cs="Arial"/>
        </w:rPr>
        <w:t>(3), pp.288-296.</w:t>
      </w:r>
    </w:p>
    <w:p w14:paraId="45587158" w14:textId="77777777" w:rsidR="004E2A97" w:rsidRDefault="004E2A97" w:rsidP="00A33923">
      <w:pPr>
        <w:spacing w:before="240" w:after="0" w:line="360" w:lineRule="auto"/>
        <w:jc w:val="both"/>
        <w:rPr>
          <w:rFonts w:ascii="Arial" w:hAnsi="Arial" w:cs="Arial"/>
        </w:rPr>
      </w:pPr>
      <w:r w:rsidRPr="00086EAD">
        <w:rPr>
          <w:rFonts w:ascii="Arial" w:hAnsi="Arial" w:cs="Arial"/>
        </w:rPr>
        <w:t xml:space="preserve">Hossain, M.Z. and Khan, H.T., </w:t>
      </w:r>
      <w:r>
        <w:rPr>
          <w:rFonts w:ascii="Arial" w:hAnsi="Arial" w:cs="Arial"/>
        </w:rPr>
        <w:t>(</w:t>
      </w:r>
      <w:r w:rsidRPr="00086EAD">
        <w:rPr>
          <w:rFonts w:ascii="Arial" w:hAnsi="Arial" w:cs="Arial"/>
        </w:rPr>
        <w:t>2020</w:t>
      </w:r>
      <w:r>
        <w:rPr>
          <w:rFonts w:ascii="Arial" w:hAnsi="Arial" w:cs="Arial"/>
        </w:rPr>
        <w:t>)</w:t>
      </w:r>
      <w:r w:rsidRPr="00086EAD">
        <w:rPr>
          <w:rFonts w:ascii="Arial" w:hAnsi="Arial" w:cs="Arial"/>
        </w:rPr>
        <w:t>. Barriers to access and ways to improve dementia services for a minority ethnic group in England. </w:t>
      </w:r>
      <w:r w:rsidRPr="00086EAD">
        <w:rPr>
          <w:rFonts w:ascii="Arial" w:hAnsi="Arial" w:cs="Arial"/>
          <w:i/>
          <w:iCs/>
        </w:rPr>
        <w:t>Journal of evaluation in clinical practice</w:t>
      </w:r>
      <w:r w:rsidRPr="00086EAD">
        <w:rPr>
          <w:rFonts w:ascii="Arial" w:hAnsi="Arial" w:cs="Arial"/>
        </w:rPr>
        <w:t>, </w:t>
      </w:r>
      <w:r w:rsidRPr="00086EAD">
        <w:rPr>
          <w:rFonts w:ascii="Arial" w:hAnsi="Arial" w:cs="Arial"/>
          <w:i/>
          <w:iCs/>
        </w:rPr>
        <w:t>26</w:t>
      </w:r>
      <w:r w:rsidRPr="00086EAD">
        <w:rPr>
          <w:rFonts w:ascii="Arial" w:hAnsi="Arial" w:cs="Arial"/>
        </w:rPr>
        <w:t>(6), pp.1629-1637.</w:t>
      </w:r>
    </w:p>
    <w:p w14:paraId="6D0124AB" w14:textId="77777777" w:rsidR="004E2A97" w:rsidRDefault="004E2A97" w:rsidP="00A33923">
      <w:pPr>
        <w:spacing w:before="240" w:after="0" w:line="360" w:lineRule="auto"/>
        <w:jc w:val="both"/>
        <w:rPr>
          <w:rFonts w:ascii="Arial" w:hAnsi="Arial" w:cs="Arial"/>
        </w:rPr>
      </w:pPr>
      <w:r w:rsidRPr="00421EEC">
        <w:rPr>
          <w:rFonts w:ascii="Arial" w:hAnsi="Arial" w:cs="Arial"/>
        </w:rPr>
        <w:t>Hossain, M.Z., Tarafdar, S.A., Kingstone, T., Campbell, P. and Chew</w:t>
      </w:r>
      <w:r w:rsidRPr="00421EEC">
        <w:rPr>
          <w:rFonts w:ascii="Cambria Math" w:hAnsi="Cambria Math" w:cs="Cambria Math"/>
        </w:rPr>
        <w:t>‐</w:t>
      </w:r>
      <w:r w:rsidRPr="00421EEC">
        <w:rPr>
          <w:rFonts w:ascii="Arial" w:hAnsi="Arial" w:cs="Arial"/>
        </w:rPr>
        <w:t xml:space="preserve">Graham, C.A., </w:t>
      </w:r>
      <w:r>
        <w:rPr>
          <w:rFonts w:ascii="Arial" w:hAnsi="Arial" w:cs="Arial"/>
        </w:rPr>
        <w:t>(</w:t>
      </w:r>
      <w:r w:rsidRPr="00421EEC">
        <w:rPr>
          <w:rFonts w:ascii="Arial" w:hAnsi="Arial" w:cs="Arial"/>
        </w:rPr>
        <w:t>2022</w:t>
      </w:r>
      <w:r>
        <w:rPr>
          <w:rFonts w:ascii="Arial" w:hAnsi="Arial" w:cs="Arial"/>
        </w:rPr>
        <w:t>)</w:t>
      </w:r>
      <w:r w:rsidRPr="00421EEC">
        <w:rPr>
          <w:rFonts w:ascii="Arial" w:hAnsi="Arial" w:cs="Arial"/>
        </w:rPr>
        <w:t>. From detection to preparing for the end</w:t>
      </w:r>
      <w:r w:rsidRPr="00421EEC">
        <w:rPr>
          <w:rFonts w:ascii="Cambria Math" w:hAnsi="Cambria Math" w:cs="Cambria Math"/>
        </w:rPr>
        <w:t>‐</w:t>
      </w:r>
      <w:r w:rsidRPr="00421EEC">
        <w:rPr>
          <w:rFonts w:ascii="Arial" w:hAnsi="Arial" w:cs="Arial"/>
        </w:rPr>
        <w:t>of</w:t>
      </w:r>
      <w:r w:rsidRPr="00421EEC">
        <w:rPr>
          <w:rFonts w:ascii="Cambria Math" w:hAnsi="Cambria Math" w:cs="Cambria Math"/>
        </w:rPr>
        <w:t>‐</w:t>
      </w:r>
      <w:r w:rsidRPr="00421EEC">
        <w:rPr>
          <w:rFonts w:ascii="Arial" w:hAnsi="Arial" w:cs="Arial"/>
        </w:rPr>
        <w:t>life: A qualitative exploration of the South Asian family carers' experiences of the journey with dementia. </w:t>
      </w:r>
      <w:r w:rsidRPr="00421EEC">
        <w:rPr>
          <w:rFonts w:ascii="Arial" w:hAnsi="Arial" w:cs="Arial"/>
          <w:i/>
          <w:iCs/>
        </w:rPr>
        <w:t>Health &amp; Social Care in the Community</w:t>
      </w:r>
      <w:r w:rsidRPr="00421EEC">
        <w:rPr>
          <w:rFonts w:ascii="Arial" w:hAnsi="Arial" w:cs="Arial"/>
        </w:rPr>
        <w:t>, </w:t>
      </w:r>
      <w:r w:rsidRPr="00421EEC">
        <w:rPr>
          <w:rFonts w:ascii="Arial" w:hAnsi="Arial" w:cs="Arial"/>
          <w:i/>
          <w:iCs/>
        </w:rPr>
        <w:t>30</w:t>
      </w:r>
      <w:r w:rsidRPr="00421EEC">
        <w:rPr>
          <w:rFonts w:ascii="Arial" w:hAnsi="Arial" w:cs="Arial"/>
        </w:rPr>
        <w:t>(6), pp.e5135-e5144.</w:t>
      </w:r>
    </w:p>
    <w:p w14:paraId="28EA80E7" w14:textId="77777777" w:rsidR="00A240E8" w:rsidRPr="004816F2" w:rsidRDefault="00A240E8" w:rsidP="00A33923">
      <w:pPr>
        <w:spacing w:before="240" w:after="0" w:line="360" w:lineRule="auto"/>
        <w:jc w:val="both"/>
        <w:rPr>
          <w:rFonts w:ascii="Arial" w:hAnsi="Arial" w:cs="Arial"/>
        </w:rPr>
      </w:pPr>
      <w:r w:rsidRPr="004816F2">
        <w:rPr>
          <w:rFonts w:ascii="Arial" w:hAnsi="Arial" w:cs="Arial"/>
        </w:rPr>
        <w:t>Hossain, M., Crossland, J., Stores, R., Dewey, A. and Hakak, Y., (2020). Awareness and understanding of dementia in South Asians: A synthesis of qualitative evidence. </w:t>
      </w:r>
      <w:r w:rsidRPr="004816F2">
        <w:rPr>
          <w:rFonts w:ascii="Arial" w:hAnsi="Arial" w:cs="Arial"/>
          <w:i/>
          <w:iCs/>
        </w:rPr>
        <w:t>Dementia</w:t>
      </w:r>
      <w:r w:rsidRPr="004816F2">
        <w:rPr>
          <w:rFonts w:ascii="Arial" w:hAnsi="Arial" w:cs="Arial"/>
        </w:rPr>
        <w:t>, </w:t>
      </w:r>
      <w:r w:rsidRPr="004816F2">
        <w:rPr>
          <w:rFonts w:ascii="Arial" w:hAnsi="Arial" w:cs="Arial"/>
          <w:i/>
          <w:iCs/>
        </w:rPr>
        <w:t>19</w:t>
      </w:r>
      <w:r w:rsidRPr="004816F2">
        <w:rPr>
          <w:rFonts w:ascii="Arial" w:hAnsi="Arial" w:cs="Arial"/>
        </w:rPr>
        <w:t>(5), pp.1441-1473.</w:t>
      </w:r>
    </w:p>
    <w:p w14:paraId="475FDDD5" w14:textId="77777777" w:rsidR="00A240E8" w:rsidRDefault="00A240E8" w:rsidP="00A33923">
      <w:pPr>
        <w:spacing w:before="240" w:after="0" w:line="360" w:lineRule="auto"/>
        <w:jc w:val="both"/>
        <w:rPr>
          <w:rFonts w:ascii="Arial" w:hAnsi="Arial" w:cs="Arial"/>
        </w:rPr>
      </w:pPr>
      <w:r w:rsidRPr="004816F2">
        <w:rPr>
          <w:rFonts w:ascii="Arial" w:hAnsi="Arial" w:cs="Arial"/>
        </w:rPr>
        <w:t>Hussain, M.N., (2022). </w:t>
      </w:r>
      <w:r w:rsidRPr="004816F2">
        <w:rPr>
          <w:rFonts w:ascii="Arial" w:hAnsi="Arial" w:cs="Arial"/>
          <w:i/>
          <w:iCs/>
        </w:rPr>
        <w:t>Experiences of dementia in a UK Bangladeshi community: An exploratory study</w:t>
      </w:r>
      <w:r w:rsidRPr="004816F2">
        <w:rPr>
          <w:rFonts w:ascii="Arial" w:hAnsi="Arial" w:cs="Arial"/>
        </w:rPr>
        <w:t>. University of Salford (United Kingdom).</w:t>
      </w:r>
    </w:p>
    <w:p w14:paraId="59F0A1A3"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t>Hasan, A., (2021). Ethical considerations in the use of secondary data for built environment research. In </w:t>
      </w:r>
      <w:r w:rsidRPr="00087A1F">
        <w:rPr>
          <w:rFonts w:ascii="Arial" w:hAnsi="Arial" w:cs="Arial"/>
          <w:i/>
          <w:iCs/>
        </w:rPr>
        <w:t>Secondary Research Methods in the Built Environment</w:t>
      </w:r>
      <w:r w:rsidRPr="00087A1F">
        <w:rPr>
          <w:rFonts w:ascii="Arial" w:hAnsi="Arial" w:cs="Arial"/>
        </w:rPr>
        <w:t> (pp. 26-39). Routledge.</w:t>
      </w:r>
    </w:p>
    <w:p w14:paraId="7F75D74F"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t>Hunt, H., Pollock, A., Campbell, P., Estcourt, L. and Brunton, G., (2018). An introduction to overviews of reviews: planning a relevant research question and objective for an overview. </w:t>
      </w:r>
      <w:r w:rsidRPr="00087A1F">
        <w:rPr>
          <w:rFonts w:ascii="Arial" w:hAnsi="Arial" w:cs="Arial"/>
          <w:i/>
          <w:iCs/>
        </w:rPr>
        <w:t>Systematic reviews</w:t>
      </w:r>
      <w:r w:rsidRPr="00087A1F">
        <w:rPr>
          <w:rFonts w:ascii="Arial" w:hAnsi="Arial" w:cs="Arial"/>
        </w:rPr>
        <w:t>, </w:t>
      </w:r>
      <w:r w:rsidRPr="00087A1F">
        <w:rPr>
          <w:rFonts w:ascii="Arial" w:hAnsi="Arial" w:cs="Arial"/>
          <w:i/>
          <w:iCs/>
        </w:rPr>
        <w:t>7</w:t>
      </w:r>
      <w:r w:rsidRPr="00087A1F">
        <w:rPr>
          <w:rFonts w:ascii="Arial" w:hAnsi="Arial" w:cs="Arial"/>
        </w:rPr>
        <w:t>(1), p.39.</w:t>
      </w:r>
    </w:p>
    <w:p w14:paraId="0510C036" w14:textId="286AC16F" w:rsidR="00A240E8" w:rsidRPr="004816F2" w:rsidRDefault="00A240E8" w:rsidP="00A33923">
      <w:pPr>
        <w:spacing w:before="240" w:after="0" w:line="360" w:lineRule="auto"/>
        <w:jc w:val="both"/>
        <w:rPr>
          <w:rFonts w:ascii="Arial" w:hAnsi="Arial" w:cs="Arial"/>
        </w:rPr>
      </w:pPr>
      <w:r w:rsidRPr="00E66398">
        <w:rPr>
          <w:rFonts w:ascii="Arial" w:hAnsi="Arial" w:cs="Arial"/>
        </w:rPr>
        <w:lastRenderedPageBreak/>
        <w:t xml:space="preserve">Islam, Q.S. and Akter, N., </w:t>
      </w:r>
      <w:r w:rsidR="00E9364E">
        <w:rPr>
          <w:rFonts w:ascii="Arial" w:hAnsi="Arial" w:cs="Arial"/>
        </w:rPr>
        <w:t>(</w:t>
      </w:r>
      <w:r w:rsidRPr="00E66398">
        <w:rPr>
          <w:rFonts w:ascii="Arial" w:hAnsi="Arial" w:cs="Arial"/>
        </w:rPr>
        <w:t>2023</w:t>
      </w:r>
      <w:r w:rsidR="00E9364E">
        <w:rPr>
          <w:rFonts w:ascii="Arial" w:hAnsi="Arial" w:cs="Arial"/>
        </w:rPr>
        <w:t>)</w:t>
      </w:r>
      <w:r w:rsidRPr="00E66398">
        <w:rPr>
          <w:rFonts w:ascii="Arial" w:hAnsi="Arial" w:cs="Arial"/>
        </w:rPr>
        <w:t>. Awareness and Attitudes of South Asian Family Caregivers in Dementia Care in Toronto. </w:t>
      </w:r>
      <w:r w:rsidRPr="00E66398">
        <w:rPr>
          <w:rFonts w:ascii="Arial" w:hAnsi="Arial" w:cs="Arial"/>
          <w:i/>
          <w:iCs/>
        </w:rPr>
        <w:t>Perspective of Recent Advances in Medical Research</w:t>
      </w:r>
      <w:r w:rsidRPr="00E66398">
        <w:rPr>
          <w:rFonts w:ascii="Arial" w:hAnsi="Arial" w:cs="Arial"/>
        </w:rPr>
        <w:t>, </w:t>
      </w:r>
      <w:r w:rsidRPr="00E66398">
        <w:rPr>
          <w:rFonts w:ascii="Arial" w:hAnsi="Arial" w:cs="Arial"/>
          <w:i/>
          <w:iCs/>
        </w:rPr>
        <w:t>5</w:t>
      </w:r>
      <w:r w:rsidRPr="00E66398">
        <w:rPr>
          <w:rFonts w:ascii="Arial" w:hAnsi="Arial" w:cs="Arial"/>
        </w:rPr>
        <w:t>, pp.83-102.</w:t>
      </w:r>
    </w:p>
    <w:p w14:paraId="66D1DD85" w14:textId="77777777" w:rsidR="00A240E8" w:rsidRDefault="00A240E8" w:rsidP="00A33923">
      <w:pPr>
        <w:spacing w:before="240" w:after="0" w:line="360" w:lineRule="auto"/>
        <w:jc w:val="both"/>
        <w:rPr>
          <w:rFonts w:ascii="Arial" w:hAnsi="Arial" w:cs="Arial"/>
        </w:rPr>
      </w:pPr>
      <w:r w:rsidRPr="00087A1F">
        <w:rPr>
          <w:rFonts w:ascii="Arial" w:hAnsi="Arial" w:cs="Arial"/>
        </w:rPr>
        <w:t>Jol, G. and Stommel, W., (2016). Ethical considerations of secondary data use: What about informed consent?. </w:t>
      </w:r>
      <w:r w:rsidRPr="00087A1F">
        <w:rPr>
          <w:rFonts w:ascii="Arial" w:hAnsi="Arial" w:cs="Arial"/>
          <w:i/>
          <w:iCs/>
        </w:rPr>
        <w:t>Dutch Journal of Applied Linguistics</w:t>
      </w:r>
      <w:r w:rsidRPr="00087A1F">
        <w:rPr>
          <w:rFonts w:ascii="Arial" w:hAnsi="Arial" w:cs="Arial"/>
        </w:rPr>
        <w:t>, </w:t>
      </w:r>
      <w:r w:rsidRPr="00087A1F">
        <w:rPr>
          <w:rFonts w:ascii="Arial" w:hAnsi="Arial" w:cs="Arial"/>
          <w:i/>
          <w:iCs/>
        </w:rPr>
        <w:t>5</w:t>
      </w:r>
      <w:r w:rsidRPr="00087A1F">
        <w:rPr>
          <w:rFonts w:ascii="Arial" w:hAnsi="Arial" w:cs="Arial"/>
        </w:rPr>
        <w:t>(2), pp.180-195.</w:t>
      </w:r>
    </w:p>
    <w:p w14:paraId="52AB3006" w14:textId="77777777" w:rsidR="00A240E8" w:rsidRDefault="00A240E8" w:rsidP="00A33923">
      <w:pPr>
        <w:spacing w:before="240" w:after="0" w:line="360" w:lineRule="auto"/>
        <w:jc w:val="both"/>
        <w:rPr>
          <w:rFonts w:ascii="Arial" w:hAnsi="Arial" w:cs="Arial"/>
        </w:rPr>
      </w:pPr>
      <w:r w:rsidRPr="004816F2">
        <w:rPr>
          <w:rFonts w:ascii="Arial" w:hAnsi="Arial" w:cs="Arial"/>
        </w:rPr>
        <w:t>James, T., Mukadam, N., Sommerlad, A., Barrera-Caballero, S. and Livingston, G., (2024). Equity in care and support provision for people affected by dementia: experiences of people from UK South Asian and White British backgrounds. </w:t>
      </w:r>
      <w:r w:rsidRPr="004816F2">
        <w:rPr>
          <w:rFonts w:ascii="Arial" w:hAnsi="Arial" w:cs="Arial"/>
          <w:i/>
          <w:iCs/>
        </w:rPr>
        <w:t>International Psychogeriatrics</w:t>
      </w:r>
      <w:r w:rsidRPr="004816F2">
        <w:rPr>
          <w:rFonts w:ascii="Arial" w:hAnsi="Arial" w:cs="Arial"/>
        </w:rPr>
        <w:t>, </w:t>
      </w:r>
      <w:r w:rsidRPr="004816F2">
        <w:rPr>
          <w:rFonts w:ascii="Arial" w:hAnsi="Arial" w:cs="Arial"/>
          <w:i/>
          <w:iCs/>
        </w:rPr>
        <w:t>36</w:t>
      </w:r>
      <w:r w:rsidRPr="004816F2">
        <w:rPr>
          <w:rFonts w:ascii="Arial" w:hAnsi="Arial" w:cs="Arial"/>
        </w:rPr>
        <w:t>(7), pp.564-573.</w:t>
      </w:r>
    </w:p>
    <w:p w14:paraId="0C5E3C3C" w14:textId="77777777" w:rsidR="00A240E8" w:rsidRDefault="00A240E8" w:rsidP="00A33923">
      <w:pPr>
        <w:spacing w:before="240" w:after="0" w:line="360" w:lineRule="auto"/>
        <w:jc w:val="both"/>
        <w:rPr>
          <w:rFonts w:ascii="Arial" w:hAnsi="Arial" w:cs="Arial"/>
        </w:rPr>
      </w:pPr>
      <w:r w:rsidRPr="00053A87">
        <w:rPr>
          <w:rFonts w:ascii="Arial" w:hAnsi="Arial" w:cs="Arial"/>
        </w:rPr>
        <w:t xml:space="preserve">Jalili, Z., Tavakoli, R. and Jalili, S., </w:t>
      </w:r>
      <w:r>
        <w:rPr>
          <w:rFonts w:ascii="Arial" w:hAnsi="Arial" w:cs="Arial"/>
        </w:rPr>
        <w:t>(</w:t>
      </w:r>
      <w:r w:rsidRPr="00053A87">
        <w:rPr>
          <w:rFonts w:ascii="Arial" w:hAnsi="Arial" w:cs="Arial"/>
        </w:rPr>
        <w:t>2019</w:t>
      </w:r>
      <w:r>
        <w:rPr>
          <w:rFonts w:ascii="Arial" w:hAnsi="Arial" w:cs="Arial"/>
        </w:rPr>
        <w:t>)</w:t>
      </w:r>
      <w:r w:rsidRPr="00053A87">
        <w:rPr>
          <w:rFonts w:ascii="Arial" w:hAnsi="Arial" w:cs="Arial"/>
        </w:rPr>
        <w:t>. Consumption of omega-3 supplements to prevent Alzheimer's disease based on Health Belief Model in the elderly. </w:t>
      </w:r>
      <w:r w:rsidRPr="00053A87">
        <w:rPr>
          <w:rFonts w:ascii="Arial" w:hAnsi="Arial" w:cs="Arial"/>
          <w:i/>
          <w:iCs/>
        </w:rPr>
        <w:t>Food Health</w:t>
      </w:r>
      <w:r w:rsidRPr="00053A87">
        <w:rPr>
          <w:rFonts w:ascii="Arial" w:hAnsi="Arial" w:cs="Arial"/>
        </w:rPr>
        <w:t>, </w:t>
      </w:r>
      <w:r w:rsidRPr="00053A87">
        <w:rPr>
          <w:rFonts w:ascii="Arial" w:hAnsi="Arial" w:cs="Arial"/>
          <w:i/>
          <w:iCs/>
        </w:rPr>
        <w:t>2</w:t>
      </w:r>
      <w:r w:rsidRPr="00053A87">
        <w:rPr>
          <w:rFonts w:ascii="Arial" w:hAnsi="Arial" w:cs="Arial"/>
        </w:rPr>
        <w:t>(2), pp.1-5.</w:t>
      </w:r>
    </w:p>
    <w:p w14:paraId="5F825299" w14:textId="752FACB5" w:rsidR="004F2A3D" w:rsidRDefault="004F2A3D" w:rsidP="00A33923">
      <w:pPr>
        <w:spacing w:before="240" w:after="0" w:line="360" w:lineRule="auto"/>
        <w:jc w:val="both"/>
        <w:rPr>
          <w:rFonts w:ascii="Arial" w:hAnsi="Arial" w:cs="Arial"/>
        </w:rPr>
      </w:pPr>
      <w:r w:rsidRPr="004F2A3D">
        <w:rPr>
          <w:rFonts w:ascii="Arial" w:hAnsi="Arial" w:cs="Arial"/>
        </w:rPr>
        <w:t xml:space="preserve">Jenkins, C. and Kamal, A., </w:t>
      </w:r>
      <w:r w:rsidR="00F50E51">
        <w:rPr>
          <w:rFonts w:ascii="Arial" w:hAnsi="Arial" w:cs="Arial"/>
        </w:rPr>
        <w:t>(</w:t>
      </w:r>
      <w:r w:rsidRPr="004F2A3D">
        <w:rPr>
          <w:rFonts w:ascii="Arial" w:hAnsi="Arial" w:cs="Arial"/>
        </w:rPr>
        <w:t>2024</w:t>
      </w:r>
      <w:r w:rsidR="00F50E51">
        <w:rPr>
          <w:rFonts w:ascii="Arial" w:hAnsi="Arial" w:cs="Arial"/>
        </w:rPr>
        <w:t>)</w:t>
      </w:r>
      <w:r w:rsidRPr="004F2A3D">
        <w:rPr>
          <w:rFonts w:ascii="Arial" w:hAnsi="Arial" w:cs="Arial"/>
        </w:rPr>
        <w:t>. A qualitative study exploring nurses' experiences of supporting South Asian people with dementia and their family carers. </w:t>
      </w:r>
      <w:r w:rsidRPr="004F2A3D">
        <w:rPr>
          <w:rFonts w:ascii="Arial" w:hAnsi="Arial" w:cs="Arial"/>
          <w:i/>
          <w:iCs/>
        </w:rPr>
        <w:t>Journal of Advanced Nursing</w:t>
      </w:r>
      <w:r w:rsidRPr="004F2A3D">
        <w:rPr>
          <w:rFonts w:ascii="Arial" w:hAnsi="Arial" w:cs="Arial"/>
        </w:rPr>
        <w:t>, </w:t>
      </w:r>
      <w:r w:rsidRPr="004F2A3D">
        <w:rPr>
          <w:rFonts w:ascii="Arial" w:hAnsi="Arial" w:cs="Arial"/>
          <w:i/>
          <w:iCs/>
        </w:rPr>
        <w:t>80</w:t>
      </w:r>
      <w:r w:rsidRPr="004F2A3D">
        <w:rPr>
          <w:rFonts w:ascii="Arial" w:hAnsi="Arial" w:cs="Arial"/>
        </w:rPr>
        <w:t>(1), pp.161-175.</w:t>
      </w:r>
    </w:p>
    <w:p w14:paraId="2E4D5287" w14:textId="3546283C" w:rsidR="004E2A97" w:rsidRDefault="004E2A97" w:rsidP="00A33923">
      <w:pPr>
        <w:spacing w:before="240" w:after="0" w:line="360" w:lineRule="auto"/>
        <w:jc w:val="both"/>
        <w:rPr>
          <w:rFonts w:ascii="Arial" w:hAnsi="Arial" w:cs="Arial"/>
        </w:rPr>
      </w:pPr>
      <w:r w:rsidRPr="007D25AC">
        <w:rPr>
          <w:rFonts w:ascii="Arial" w:hAnsi="Arial" w:cs="Arial"/>
        </w:rPr>
        <w:t xml:space="preserve">Jutlla, K. and Arblaster, K., </w:t>
      </w:r>
      <w:r>
        <w:rPr>
          <w:rFonts w:ascii="Arial" w:hAnsi="Arial" w:cs="Arial"/>
        </w:rPr>
        <w:t>(</w:t>
      </w:r>
      <w:r w:rsidRPr="007D25AC">
        <w:rPr>
          <w:rFonts w:ascii="Arial" w:hAnsi="Arial" w:cs="Arial"/>
        </w:rPr>
        <w:t>2023</w:t>
      </w:r>
      <w:r>
        <w:rPr>
          <w:rFonts w:ascii="Arial" w:hAnsi="Arial" w:cs="Arial"/>
        </w:rPr>
        <w:t>)</w:t>
      </w:r>
      <w:r w:rsidRPr="007D25AC">
        <w:rPr>
          <w:rFonts w:ascii="Arial" w:hAnsi="Arial" w:cs="Arial"/>
        </w:rPr>
        <w:t>. Understanding the experiences of post-diagnostic dementia support for South Asians living in England: The need for Co-production.</w:t>
      </w:r>
    </w:p>
    <w:p w14:paraId="6763CA46" w14:textId="77777777" w:rsidR="004E2A97" w:rsidRDefault="004E2A97" w:rsidP="00A33923">
      <w:pPr>
        <w:spacing w:before="240" w:after="0" w:line="360" w:lineRule="auto"/>
        <w:jc w:val="both"/>
        <w:rPr>
          <w:rFonts w:ascii="Arial" w:hAnsi="Arial" w:cs="Arial"/>
        </w:rPr>
      </w:pPr>
      <w:r w:rsidRPr="00BC3AA7">
        <w:rPr>
          <w:rFonts w:ascii="Arial" w:hAnsi="Arial" w:cs="Arial"/>
        </w:rPr>
        <w:t xml:space="preserve">Kafadar, A.H., Barrett, C. and Cheung, K.L., </w:t>
      </w:r>
      <w:r>
        <w:rPr>
          <w:rFonts w:ascii="Arial" w:hAnsi="Arial" w:cs="Arial"/>
        </w:rPr>
        <w:t>(</w:t>
      </w:r>
      <w:r w:rsidRPr="00BC3AA7">
        <w:rPr>
          <w:rFonts w:ascii="Arial" w:hAnsi="Arial" w:cs="Arial"/>
        </w:rPr>
        <w:t>2021</w:t>
      </w:r>
      <w:r>
        <w:rPr>
          <w:rFonts w:ascii="Arial" w:hAnsi="Arial" w:cs="Arial"/>
        </w:rPr>
        <w:t>)</w:t>
      </w:r>
      <w:r w:rsidRPr="00BC3AA7">
        <w:rPr>
          <w:rFonts w:ascii="Arial" w:hAnsi="Arial" w:cs="Arial"/>
        </w:rPr>
        <w:t>. Knowledge and perceptions of Alzheimer’s disease in three ethnic groups of younger adults in the United Kingdom. </w:t>
      </w:r>
      <w:r w:rsidRPr="00BC3AA7">
        <w:rPr>
          <w:rFonts w:ascii="Arial" w:hAnsi="Arial" w:cs="Arial"/>
          <w:i/>
          <w:iCs/>
        </w:rPr>
        <w:t>BMC Public Health</w:t>
      </w:r>
      <w:r w:rsidRPr="00BC3AA7">
        <w:rPr>
          <w:rFonts w:ascii="Arial" w:hAnsi="Arial" w:cs="Arial"/>
        </w:rPr>
        <w:t>, </w:t>
      </w:r>
      <w:r w:rsidRPr="00BC3AA7">
        <w:rPr>
          <w:rFonts w:ascii="Arial" w:hAnsi="Arial" w:cs="Arial"/>
          <w:i/>
          <w:iCs/>
        </w:rPr>
        <w:t>21</w:t>
      </w:r>
      <w:r w:rsidRPr="00BC3AA7">
        <w:rPr>
          <w:rFonts w:ascii="Arial" w:hAnsi="Arial" w:cs="Arial"/>
        </w:rPr>
        <w:t>(1), p.1124.</w:t>
      </w:r>
    </w:p>
    <w:p w14:paraId="16398C69" w14:textId="77777777" w:rsidR="00A240E8" w:rsidRDefault="00A240E8" w:rsidP="00A33923">
      <w:pPr>
        <w:spacing w:before="240" w:after="0" w:line="360" w:lineRule="auto"/>
        <w:jc w:val="both"/>
        <w:rPr>
          <w:rFonts w:ascii="Arial" w:hAnsi="Arial" w:cs="Arial"/>
        </w:rPr>
      </w:pPr>
      <w:r w:rsidRPr="00995D9E">
        <w:rPr>
          <w:rFonts w:ascii="Arial" w:hAnsi="Arial" w:cs="Arial"/>
        </w:rPr>
        <w:t xml:space="preserve">Kaushal, N., Noriega de la Colina, A., Keith, N.R. and Nemati, D., </w:t>
      </w:r>
      <w:r>
        <w:rPr>
          <w:rFonts w:ascii="Arial" w:hAnsi="Arial" w:cs="Arial"/>
        </w:rPr>
        <w:t>(</w:t>
      </w:r>
      <w:r w:rsidRPr="00995D9E">
        <w:rPr>
          <w:rFonts w:ascii="Arial" w:hAnsi="Arial" w:cs="Arial"/>
        </w:rPr>
        <w:t>2024</w:t>
      </w:r>
      <w:r>
        <w:rPr>
          <w:rFonts w:ascii="Arial" w:hAnsi="Arial" w:cs="Arial"/>
        </w:rPr>
        <w:t>)</w:t>
      </w:r>
      <w:r w:rsidRPr="00995D9E">
        <w:rPr>
          <w:rFonts w:ascii="Arial" w:hAnsi="Arial" w:cs="Arial"/>
        </w:rPr>
        <w:t>. Predicting Exercise Behavior Among Caregivers of Persons With Dementia—A Longitudinal Investigation Using an Extended Health Belief Model. </w:t>
      </w:r>
      <w:r w:rsidRPr="00995D9E">
        <w:rPr>
          <w:rFonts w:ascii="Arial" w:hAnsi="Arial" w:cs="Arial"/>
          <w:i/>
          <w:iCs/>
        </w:rPr>
        <w:t>The Gerontologist</w:t>
      </w:r>
      <w:r w:rsidRPr="00995D9E">
        <w:rPr>
          <w:rFonts w:ascii="Arial" w:hAnsi="Arial" w:cs="Arial"/>
        </w:rPr>
        <w:t>, </w:t>
      </w:r>
      <w:r w:rsidRPr="00995D9E">
        <w:rPr>
          <w:rFonts w:ascii="Arial" w:hAnsi="Arial" w:cs="Arial"/>
          <w:i/>
          <w:iCs/>
        </w:rPr>
        <w:t>64</w:t>
      </w:r>
      <w:r w:rsidRPr="00995D9E">
        <w:rPr>
          <w:rFonts w:ascii="Arial" w:hAnsi="Arial" w:cs="Arial"/>
        </w:rPr>
        <w:t>(7), p.gnad159.</w:t>
      </w:r>
    </w:p>
    <w:p w14:paraId="38CC5DFA" w14:textId="77777777" w:rsidR="00A240E8" w:rsidRDefault="00A240E8" w:rsidP="00A33923">
      <w:pPr>
        <w:spacing w:before="240" w:after="0" w:line="360" w:lineRule="auto"/>
        <w:jc w:val="both"/>
        <w:rPr>
          <w:rFonts w:ascii="Arial" w:hAnsi="Arial" w:cs="Arial"/>
        </w:rPr>
      </w:pPr>
      <w:r w:rsidRPr="008D0828">
        <w:rPr>
          <w:rFonts w:ascii="Arial" w:hAnsi="Arial" w:cs="Arial"/>
        </w:rPr>
        <w:t xml:space="preserve">Kermel Schiffman, I. and Werner, P., </w:t>
      </w:r>
      <w:r>
        <w:rPr>
          <w:rFonts w:ascii="Arial" w:hAnsi="Arial" w:cs="Arial"/>
        </w:rPr>
        <w:t>(</w:t>
      </w:r>
      <w:r w:rsidRPr="008D0828">
        <w:rPr>
          <w:rFonts w:ascii="Arial" w:hAnsi="Arial" w:cs="Arial"/>
        </w:rPr>
        <w:t>2021</w:t>
      </w:r>
      <w:r>
        <w:rPr>
          <w:rFonts w:ascii="Arial" w:hAnsi="Arial" w:cs="Arial"/>
        </w:rPr>
        <w:t>)</w:t>
      </w:r>
      <w:r w:rsidRPr="008D0828">
        <w:rPr>
          <w:rFonts w:ascii="Arial" w:hAnsi="Arial" w:cs="Arial"/>
        </w:rPr>
        <w:t>. Willingness of family caregivers of people with dementia to undertake advance care planning: examining an extended model of the theory of planned behavior. </w:t>
      </w:r>
      <w:r w:rsidRPr="008D0828">
        <w:rPr>
          <w:rFonts w:ascii="Arial" w:hAnsi="Arial" w:cs="Arial"/>
          <w:i/>
          <w:iCs/>
        </w:rPr>
        <w:t>Dementia</w:t>
      </w:r>
      <w:r w:rsidRPr="008D0828">
        <w:rPr>
          <w:rFonts w:ascii="Arial" w:hAnsi="Arial" w:cs="Arial"/>
        </w:rPr>
        <w:t>, </w:t>
      </w:r>
      <w:r w:rsidRPr="008D0828">
        <w:rPr>
          <w:rFonts w:ascii="Arial" w:hAnsi="Arial" w:cs="Arial"/>
          <w:i/>
          <w:iCs/>
        </w:rPr>
        <w:t>20</w:t>
      </w:r>
      <w:r w:rsidRPr="008D0828">
        <w:rPr>
          <w:rFonts w:ascii="Arial" w:hAnsi="Arial" w:cs="Arial"/>
        </w:rPr>
        <w:t>(3), pp.1044-1057.</w:t>
      </w:r>
    </w:p>
    <w:p w14:paraId="133E24C0" w14:textId="7BE92F49" w:rsidR="00A240E8" w:rsidRDefault="00A240E8" w:rsidP="00A33923">
      <w:pPr>
        <w:spacing w:before="240" w:after="0" w:line="360" w:lineRule="auto"/>
        <w:jc w:val="both"/>
        <w:rPr>
          <w:rFonts w:ascii="Arial" w:hAnsi="Arial" w:cs="Arial"/>
        </w:rPr>
      </w:pPr>
      <w:r w:rsidRPr="000176DC">
        <w:rPr>
          <w:rFonts w:ascii="Arial" w:hAnsi="Arial" w:cs="Arial"/>
        </w:rPr>
        <w:lastRenderedPageBreak/>
        <w:t xml:space="preserve">Koduah, A.O., </w:t>
      </w:r>
      <w:r w:rsidR="00A33923">
        <w:rPr>
          <w:rFonts w:ascii="Arial" w:hAnsi="Arial" w:cs="Arial"/>
        </w:rPr>
        <w:t>(</w:t>
      </w:r>
      <w:r w:rsidRPr="000176DC">
        <w:rPr>
          <w:rFonts w:ascii="Arial" w:hAnsi="Arial" w:cs="Arial"/>
        </w:rPr>
        <w:t>2023</w:t>
      </w:r>
      <w:r w:rsidR="00A33923">
        <w:rPr>
          <w:rFonts w:ascii="Arial" w:hAnsi="Arial" w:cs="Arial"/>
        </w:rPr>
        <w:t>)</w:t>
      </w:r>
      <w:r w:rsidRPr="000176DC">
        <w:rPr>
          <w:rFonts w:ascii="Arial" w:hAnsi="Arial" w:cs="Arial"/>
        </w:rPr>
        <w:t>. Relationship among intention-to-seek-help in dementia, dementia literacy, acculturation and social network: a mixed-method study.</w:t>
      </w:r>
    </w:p>
    <w:p w14:paraId="5214A6ED" w14:textId="77777777" w:rsidR="00A240E8" w:rsidRDefault="00A240E8" w:rsidP="00A33923">
      <w:pPr>
        <w:spacing w:before="240" w:after="0" w:line="360" w:lineRule="auto"/>
        <w:jc w:val="both"/>
        <w:rPr>
          <w:rFonts w:ascii="Arial" w:hAnsi="Arial" w:cs="Arial"/>
        </w:rPr>
      </w:pPr>
      <w:r w:rsidRPr="004A46CF">
        <w:rPr>
          <w:rFonts w:ascii="Arial" w:hAnsi="Arial" w:cs="Arial"/>
        </w:rPr>
        <w:t xml:space="preserve">Kodagoda Gamage, M.W., Pu, L., Todorovic, M. and Moyle, W., </w:t>
      </w:r>
      <w:r>
        <w:rPr>
          <w:rFonts w:ascii="Arial" w:hAnsi="Arial" w:cs="Arial"/>
        </w:rPr>
        <w:t>(</w:t>
      </w:r>
      <w:r w:rsidRPr="004A46CF">
        <w:rPr>
          <w:rFonts w:ascii="Arial" w:hAnsi="Arial" w:cs="Arial"/>
        </w:rPr>
        <w:t>2024</w:t>
      </w:r>
      <w:r>
        <w:rPr>
          <w:rFonts w:ascii="Arial" w:hAnsi="Arial" w:cs="Arial"/>
        </w:rPr>
        <w:t>)</w:t>
      </w:r>
      <w:r w:rsidRPr="004A46CF">
        <w:rPr>
          <w:rFonts w:ascii="Arial" w:hAnsi="Arial" w:cs="Arial"/>
        </w:rPr>
        <w:t>. Nurses' Beliefs About Pain Assessment in Dementia: A Qualitative Study Informed by the Theory of Planned Behaviour. </w:t>
      </w:r>
      <w:r w:rsidRPr="004A46CF">
        <w:rPr>
          <w:rFonts w:ascii="Arial" w:hAnsi="Arial" w:cs="Arial"/>
          <w:i/>
          <w:iCs/>
        </w:rPr>
        <w:t>Journal of Clinical Nursing</w:t>
      </w:r>
      <w:r w:rsidRPr="004A46CF">
        <w:rPr>
          <w:rFonts w:ascii="Arial" w:hAnsi="Arial" w:cs="Arial"/>
        </w:rPr>
        <w:t>, </w:t>
      </w:r>
      <w:r w:rsidRPr="004A46CF">
        <w:rPr>
          <w:rFonts w:ascii="Arial" w:hAnsi="Arial" w:cs="Arial"/>
          <w:i/>
          <w:iCs/>
        </w:rPr>
        <w:t>33</w:t>
      </w:r>
      <w:r w:rsidRPr="004A46CF">
        <w:rPr>
          <w:rFonts w:ascii="Arial" w:hAnsi="Arial" w:cs="Arial"/>
        </w:rPr>
        <w:t>(12), pp.4795-4808.</w:t>
      </w:r>
    </w:p>
    <w:p w14:paraId="3FA2ADC5" w14:textId="77777777" w:rsidR="00A240E8" w:rsidRDefault="00A240E8" w:rsidP="00A33923">
      <w:pPr>
        <w:spacing w:before="240" w:after="0" w:line="360" w:lineRule="auto"/>
        <w:jc w:val="both"/>
        <w:rPr>
          <w:rFonts w:ascii="Arial" w:hAnsi="Arial" w:cs="Arial"/>
        </w:rPr>
      </w:pPr>
      <w:r w:rsidRPr="00683F00">
        <w:rPr>
          <w:rFonts w:ascii="Arial" w:hAnsi="Arial" w:cs="Arial"/>
        </w:rPr>
        <w:t xml:space="preserve">Kushnir, I., </w:t>
      </w:r>
      <w:r>
        <w:rPr>
          <w:rFonts w:ascii="Arial" w:hAnsi="Arial" w:cs="Arial"/>
        </w:rPr>
        <w:t>(</w:t>
      </w:r>
      <w:r w:rsidRPr="00683F00">
        <w:rPr>
          <w:rFonts w:ascii="Arial" w:hAnsi="Arial" w:cs="Arial"/>
        </w:rPr>
        <w:t>2025</w:t>
      </w:r>
      <w:r>
        <w:rPr>
          <w:rFonts w:ascii="Arial" w:hAnsi="Arial" w:cs="Arial"/>
        </w:rPr>
        <w:t>)</w:t>
      </w:r>
      <w:r w:rsidRPr="00683F00">
        <w:rPr>
          <w:rFonts w:ascii="Arial" w:hAnsi="Arial" w:cs="Arial"/>
        </w:rPr>
        <w:t>. Thematic analysis in the area of education: a practical guide. </w:t>
      </w:r>
      <w:r w:rsidRPr="00683F00">
        <w:rPr>
          <w:rFonts w:ascii="Arial" w:hAnsi="Arial" w:cs="Arial"/>
          <w:i/>
          <w:iCs/>
        </w:rPr>
        <w:t>Cogent Education</w:t>
      </w:r>
      <w:r w:rsidRPr="00683F00">
        <w:rPr>
          <w:rFonts w:ascii="Arial" w:hAnsi="Arial" w:cs="Arial"/>
        </w:rPr>
        <w:t>, </w:t>
      </w:r>
      <w:r w:rsidRPr="00683F00">
        <w:rPr>
          <w:rFonts w:ascii="Arial" w:hAnsi="Arial" w:cs="Arial"/>
          <w:i/>
          <w:iCs/>
        </w:rPr>
        <w:t>12</w:t>
      </w:r>
      <w:r w:rsidRPr="00683F00">
        <w:rPr>
          <w:rFonts w:ascii="Arial" w:hAnsi="Arial" w:cs="Arial"/>
        </w:rPr>
        <w:t>(1), p.2471645.</w:t>
      </w:r>
    </w:p>
    <w:p w14:paraId="2903557F" w14:textId="6A3DEC54" w:rsidR="007D78EA" w:rsidRDefault="007D78EA" w:rsidP="00A33923">
      <w:pPr>
        <w:spacing w:before="240" w:after="0" w:line="360" w:lineRule="auto"/>
        <w:jc w:val="both"/>
        <w:rPr>
          <w:rFonts w:ascii="Arial" w:hAnsi="Arial" w:cs="Arial"/>
        </w:rPr>
      </w:pPr>
      <w:r w:rsidRPr="007D78EA">
        <w:rPr>
          <w:rFonts w:ascii="Arial" w:hAnsi="Arial" w:cs="Arial"/>
        </w:rPr>
        <w:t xml:space="preserve">Lane, C.A., Hardy, J. and Schott, J.M., </w:t>
      </w:r>
      <w:r w:rsidR="00311968">
        <w:rPr>
          <w:rFonts w:ascii="Arial" w:hAnsi="Arial" w:cs="Arial"/>
        </w:rPr>
        <w:t>(</w:t>
      </w:r>
      <w:r w:rsidRPr="007D78EA">
        <w:rPr>
          <w:rFonts w:ascii="Arial" w:hAnsi="Arial" w:cs="Arial"/>
        </w:rPr>
        <w:t>2018</w:t>
      </w:r>
      <w:r w:rsidR="00311968">
        <w:rPr>
          <w:rFonts w:ascii="Arial" w:hAnsi="Arial" w:cs="Arial"/>
        </w:rPr>
        <w:t>)</w:t>
      </w:r>
      <w:r w:rsidRPr="007D78EA">
        <w:rPr>
          <w:rFonts w:ascii="Arial" w:hAnsi="Arial" w:cs="Arial"/>
        </w:rPr>
        <w:t>. Alzheimer's disease. </w:t>
      </w:r>
      <w:r w:rsidRPr="007D78EA">
        <w:rPr>
          <w:rFonts w:ascii="Arial" w:hAnsi="Arial" w:cs="Arial"/>
          <w:i/>
          <w:iCs/>
        </w:rPr>
        <w:t>European journal of neurology</w:t>
      </w:r>
      <w:r w:rsidRPr="007D78EA">
        <w:rPr>
          <w:rFonts w:ascii="Arial" w:hAnsi="Arial" w:cs="Arial"/>
        </w:rPr>
        <w:t>, </w:t>
      </w:r>
      <w:r w:rsidRPr="007D78EA">
        <w:rPr>
          <w:rFonts w:ascii="Arial" w:hAnsi="Arial" w:cs="Arial"/>
          <w:i/>
          <w:iCs/>
        </w:rPr>
        <w:t>25</w:t>
      </w:r>
      <w:r w:rsidRPr="007D78EA">
        <w:rPr>
          <w:rFonts w:ascii="Arial" w:hAnsi="Arial" w:cs="Arial"/>
        </w:rPr>
        <w:t>(1), pp.59-70.</w:t>
      </w:r>
    </w:p>
    <w:p w14:paraId="5EF13A80" w14:textId="04B4D95C" w:rsidR="00A240E8" w:rsidRPr="00087A1F" w:rsidRDefault="00A240E8" w:rsidP="00A33923">
      <w:pPr>
        <w:spacing w:before="240" w:after="0" w:line="360" w:lineRule="auto"/>
        <w:jc w:val="both"/>
        <w:rPr>
          <w:rFonts w:ascii="Arial" w:hAnsi="Arial" w:cs="Arial"/>
        </w:rPr>
      </w:pPr>
      <w:r w:rsidRPr="00EC34E2">
        <w:rPr>
          <w:rFonts w:ascii="Arial" w:hAnsi="Arial" w:cs="Arial"/>
        </w:rPr>
        <w:t xml:space="preserve">Lame, G., </w:t>
      </w:r>
      <w:r>
        <w:rPr>
          <w:rFonts w:ascii="Arial" w:hAnsi="Arial" w:cs="Arial"/>
        </w:rPr>
        <w:t>(</w:t>
      </w:r>
      <w:r w:rsidRPr="00EC34E2">
        <w:rPr>
          <w:rFonts w:ascii="Arial" w:hAnsi="Arial" w:cs="Arial"/>
        </w:rPr>
        <w:t>2019</w:t>
      </w:r>
      <w:r>
        <w:rPr>
          <w:rFonts w:ascii="Arial" w:hAnsi="Arial" w:cs="Arial"/>
        </w:rPr>
        <w:t>)</w:t>
      </w:r>
      <w:r w:rsidRPr="00EC34E2">
        <w:rPr>
          <w:rFonts w:ascii="Arial" w:hAnsi="Arial" w:cs="Arial"/>
        </w:rPr>
        <w:t>, July. Systematic literature reviews: An introduction. In </w:t>
      </w:r>
      <w:r w:rsidRPr="00EC34E2">
        <w:rPr>
          <w:rFonts w:ascii="Arial" w:hAnsi="Arial" w:cs="Arial"/>
          <w:i/>
          <w:iCs/>
        </w:rPr>
        <w:t>Proceedings of the design society: international conference on engineering design</w:t>
      </w:r>
      <w:r w:rsidRPr="00EC34E2">
        <w:rPr>
          <w:rFonts w:ascii="Arial" w:hAnsi="Arial" w:cs="Arial"/>
        </w:rPr>
        <w:t> (Vol. 1, No. 1, pp. 1633-1642). Cambridge University Press.</w:t>
      </w:r>
    </w:p>
    <w:p w14:paraId="7D54AF61" w14:textId="77777777" w:rsidR="00A240E8" w:rsidRDefault="00A240E8" w:rsidP="00A33923">
      <w:pPr>
        <w:spacing w:before="240" w:after="0" w:line="360" w:lineRule="auto"/>
        <w:jc w:val="both"/>
        <w:rPr>
          <w:rFonts w:ascii="Arial" w:hAnsi="Arial" w:cs="Arial"/>
        </w:rPr>
      </w:pPr>
      <w:r w:rsidRPr="00085F54">
        <w:rPr>
          <w:rFonts w:ascii="Arial" w:hAnsi="Arial" w:cs="Arial"/>
        </w:rPr>
        <w:t xml:space="preserve">Lazarova, S. and Petrova-Antonova, D., </w:t>
      </w:r>
      <w:r>
        <w:rPr>
          <w:rFonts w:ascii="Arial" w:hAnsi="Arial" w:cs="Arial"/>
        </w:rPr>
        <w:t>(</w:t>
      </w:r>
      <w:r w:rsidRPr="00085F54">
        <w:rPr>
          <w:rFonts w:ascii="Arial" w:hAnsi="Arial" w:cs="Arial"/>
        </w:rPr>
        <w:t>2024</w:t>
      </w:r>
      <w:r>
        <w:rPr>
          <w:rFonts w:ascii="Arial" w:hAnsi="Arial" w:cs="Arial"/>
        </w:rPr>
        <w:t>)</w:t>
      </w:r>
      <w:r w:rsidRPr="00085F54">
        <w:rPr>
          <w:rFonts w:ascii="Arial" w:hAnsi="Arial" w:cs="Arial"/>
        </w:rPr>
        <w:t>. Establishing a unified global framework for studying dementia knowledge: insights from a narrative review. </w:t>
      </w:r>
      <w:r w:rsidRPr="00085F54">
        <w:rPr>
          <w:rFonts w:ascii="Arial" w:hAnsi="Arial" w:cs="Arial"/>
          <w:i/>
          <w:iCs/>
        </w:rPr>
        <w:t>Archives of Public Health</w:t>
      </w:r>
      <w:r w:rsidRPr="00085F54">
        <w:rPr>
          <w:rFonts w:ascii="Arial" w:hAnsi="Arial" w:cs="Arial"/>
        </w:rPr>
        <w:t>, </w:t>
      </w:r>
      <w:r w:rsidRPr="00085F54">
        <w:rPr>
          <w:rFonts w:ascii="Arial" w:hAnsi="Arial" w:cs="Arial"/>
          <w:i/>
          <w:iCs/>
        </w:rPr>
        <w:t>82</w:t>
      </w:r>
      <w:r w:rsidRPr="00085F54">
        <w:rPr>
          <w:rFonts w:ascii="Arial" w:hAnsi="Arial" w:cs="Arial"/>
        </w:rPr>
        <w:t>(1), p.242.</w:t>
      </w:r>
    </w:p>
    <w:p w14:paraId="34D921E9" w14:textId="77777777" w:rsidR="00A240E8" w:rsidRDefault="00A240E8" w:rsidP="00A33923">
      <w:pPr>
        <w:spacing w:before="240" w:after="0" w:line="360" w:lineRule="auto"/>
        <w:jc w:val="both"/>
        <w:rPr>
          <w:rFonts w:ascii="Arial" w:hAnsi="Arial" w:cs="Arial"/>
        </w:rPr>
      </w:pPr>
      <w:r w:rsidRPr="00085F54">
        <w:rPr>
          <w:rFonts w:ascii="Arial" w:hAnsi="Arial" w:cs="Arial"/>
        </w:rPr>
        <w:t xml:space="preserve">Lim, R.H. and Sharmeen, T., </w:t>
      </w:r>
      <w:r>
        <w:rPr>
          <w:rFonts w:ascii="Arial" w:hAnsi="Arial" w:cs="Arial"/>
        </w:rPr>
        <w:t>(</w:t>
      </w:r>
      <w:r w:rsidRPr="00085F54">
        <w:rPr>
          <w:rFonts w:ascii="Arial" w:hAnsi="Arial" w:cs="Arial"/>
        </w:rPr>
        <w:t>2018</w:t>
      </w:r>
      <w:r>
        <w:rPr>
          <w:rFonts w:ascii="Arial" w:hAnsi="Arial" w:cs="Arial"/>
        </w:rPr>
        <w:t>)</w:t>
      </w:r>
      <w:r w:rsidRPr="00085F54">
        <w:rPr>
          <w:rFonts w:ascii="Arial" w:hAnsi="Arial" w:cs="Arial"/>
        </w:rPr>
        <w:t>. Medicines management issues in dementia and coping strategies used by people living with dementia and family carers: a systematic review. </w:t>
      </w:r>
      <w:r w:rsidRPr="00085F54">
        <w:rPr>
          <w:rFonts w:ascii="Arial" w:hAnsi="Arial" w:cs="Arial"/>
          <w:i/>
          <w:iCs/>
        </w:rPr>
        <w:t>International Journal of Geriatric Psychiatry</w:t>
      </w:r>
      <w:r w:rsidRPr="00085F54">
        <w:rPr>
          <w:rFonts w:ascii="Arial" w:hAnsi="Arial" w:cs="Arial"/>
        </w:rPr>
        <w:t>, </w:t>
      </w:r>
      <w:r w:rsidRPr="00085F54">
        <w:rPr>
          <w:rFonts w:ascii="Arial" w:hAnsi="Arial" w:cs="Arial"/>
          <w:i/>
          <w:iCs/>
        </w:rPr>
        <w:t>33</w:t>
      </w:r>
      <w:r w:rsidRPr="00085F54">
        <w:rPr>
          <w:rFonts w:ascii="Arial" w:hAnsi="Arial" w:cs="Arial"/>
        </w:rPr>
        <w:t>(12), pp.1562-1581.</w:t>
      </w:r>
    </w:p>
    <w:p w14:paraId="786EBBA9"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t>Mannethodi, K. and Nashwan, A.J., (2025). How to assess the quality of research in nursing. </w:t>
      </w:r>
      <w:r w:rsidRPr="00087A1F">
        <w:rPr>
          <w:rFonts w:ascii="Arial" w:hAnsi="Arial" w:cs="Arial"/>
          <w:i/>
          <w:iCs/>
        </w:rPr>
        <w:t>Evidence-Based Nursing</w:t>
      </w:r>
      <w:r w:rsidRPr="00087A1F">
        <w:rPr>
          <w:rFonts w:ascii="Arial" w:hAnsi="Arial" w:cs="Arial"/>
        </w:rPr>
        <w:t>.</w:t>
      </w:r>
    </w:p>
    <w:p w14:paraId="4B222D18"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t>Mathers, N., Howe, A. and Hunn, A., (2018). Ethical considerations in research. In </w:t>
      </w:r>
      <w:r w:rsidRPr="00087A1F">
        <w:rPr>
          <w:rFonts w:ascii="Arial" w:hAnsi="Arial" w:cs="Arial"/>
          <w:i/>
          <w:iCs/>
        </w:rPr>
        <w:t>Developing Research in Primary Care</w:t>
      </w:r>
      <w:r w:rsidRPr="00087A1F">
        <w:rPr>
          <w:rFonts w:ascii="Arial" w:hAnsi="Arial" w:cs="Arial"/>
        </w:rPr>
        <w:t> (pp. 51-70). CRC Press.</w:t>
      </w:r>
    </w:p>
    <w:p w14:paraId="08F6C349" w14:textId="77777777" w:rsidR="00A240E8" w:rsidRDefault="00A240E8" w:rsidP="00A33923">
      <w:pPr>
        <w:spacing w:before="240" w:after="0" w:line="360" w:lineRule="auto"/>
        <w:jc w:val="both"/>
        <w:rPr>
          <w:rFonts w:ascii="Arial" w:hAnsi="Arial" w:cs="Arial"/>
        </w:rPr>
      </w:pPr>
      <w:r w:rsidRPr="002B47EB">
        <w:rPr>
          <w:rFonts w:ascii="Arial" w:hAnsi="Arial" w:cs="Arial"/>
        </w:rPr>
        <w:t xml:space="preserve">Mattke, S., Tang, Y. and Hanson, M., </w:t>
      </w:r>
      <w:r>
        <w:rPr>
          <w:rFonts w:ascii="Arial" w:hAnsi="Arial" w:cs="Arial"/>
        </w:rPr>
        <w:t>(</w:t>
      </w:r>
      <w:r w:rsidRPr="002B47EB">
        <w:rPr>
          <w:rFonts w:ascii="Arial" w:hAnsi="Arial" w:cs="Arial"/>
        </w:rPr>
        <w:t>2024</w:t>
      </w:r>
      <w:r>
        <w:rPr>
          <w:rFonts w:ascii="Arial" w:hAnsi="Arial" w:cs="Arial"/>
        </w:rPr>
        <w:t>)</w:t>
      </w:r>
      <w:r w:rsidRPr="002B47EB">
        <w:rPr>
          <w:rFonts w:ascii="Arial" w:hAnsi="Arial" w:cs="Arial"/>
        </w:rPr>
        <w:t>. Expected wait times for access to a disease-modifying Alzheimer’s treatment in England: A modelling study. </w:t>
      </w:r>
      <w:r w:rsidRPr="002B47EB">
        <w:rPr>
          <w:rFonts w:ascii="Arial" w:hAnsi="Arial" w:cs="Arial"/>
          <w:i/>
          <w:iCs/>
        </w:rPr>
        <w:t>Journal of Health Services Research &amp; Policy</w:t>
      </w:r>
      <w:r w:rsidRPr="002B47EB">
        <w:rPr>
          <w:rFonts w:ascii="Arial" w:hAnsi="Arial" w:cs="Arial"/>
        </w:rPr>
        <w:t>, </w:t>
      </w:r>
      <w:r w:rsidRPr="002B47EB">
        <w:rPr>
          <w:rFonts w:ascii="Arial" w:hAnsi="Arial" w:cs="Arial"/>
          <w:i/>
          <w:iCs/>
        </w:rPr>
        <w:t>29</w:t>
      </w:r>
      <w:r w:rsidRPr="002B47EB">
        <w:rPr>
          <w:rFonts w:ascii="Arial" w:hAnsi="Arial" w:cs="Arial"/>
        </w:rPr>
        <w:t>(2), pp.69-75.</w:t>
      </w:r>
    </w:p>
    <w:p w14:paraId="7DAE809D" w14:textId="77777777" w:rsidR="00A240E8" w:rsidRDefault="00A240E8" w:rsidP="00A33923">
      <w:pPr>
        <w:spacing w:before="240" w:after="0" w:line="360" w:lineRule="auto"/>
        <w:jc w:val="both"/>
        <w:rPr>
          <w:rFonts w:ascii="Arial" w:hAnsi="Arial" w:cs="Arial"/>
        </w:rPr>
      </w:pPr>
      <w:r w:rsidRPr="00F61F98">
        <w:rPr>
          <w:rFonts w:ascii="Arial" w:hAnsi="Arial" w:cs="Arial"/>
        </w:rPr>
        <w:t xml:space="preserve">Maresova, P., Mohelska, H. and Kuca, K., </w:t>
      </w:r>
      <w:r>
        <w:rPr>
          <w:rFonts w:ascii="Arial" w:hAnsi="Arial" w:cs="Arial"/>
        </w:rPr>
        <w:t>(</w:t>
      </w:r>
      <w:r w:rsidRPr="00F61F98">
        <w:rPr>
          <w:rFonts w:ascii="Arial" w:hAnsi="Arial" w:cs="Arial"/>
        </w:rPr>
        <w:t>2016</w:t>
      </w:r>
      <w:r>
        <w:rPr>
          <w:rFonts w:ascii="Arial" w:hAnsi="Arial" w:cs="Arial"/>
        </w:rPr>
        <w:t>)</w:t>
      </w:r>
      <w:r w:rsidRPr="00F61F98">
        <w:rPr>
          <w:rFonts w:ascii="Arial" w:hAnsi="Arial" w:cs="Arial"/>
        </w:rPr>
        <w:t>. Social and family load of Alzheimer’s disease. </w:t>
      </w:r>
      <w:r w:rsidRPr="00F61F98">
        <w:rPr>
          <w:rFonts w:ascii="Arial" w:hAnsi="Arial" w:cs="Arial"/>
          <w:i/>
          <w:iCs/>
        </w:rPr>
        <w:t>Applied economics</w:t>
      </w:r>
      <w:r w:rsidRPr="00F61F98">
        <w:rPr>
          <w:rFonts w:ascii="Arial" w:hAnsi="Arial" w:cs="Arial"/>
        </w:rPr>
        <w:t>, </w:t>
      </w:r>
      <w:r w:rsidRPr="00F61F98">
        <w:rPr>
          <w:rFonts w:ascii="Arial" w:hAnsi="Arial" w:cs="Arial"/>
          <w:i/>
          <w:iCs/>
        </w:rPr>
        <w:t>48</w:t>
      </w:r>
      <w:r w:rsidRPr="00F61F98">
        <w:rPr>
          <w:rFonts w:ascii="Arial" w:hAnsi="Arial" w:cs="Arial"/>
        </w:rPr>
        <w:t>(21), pp.1936-1948.</w:t>
      </w:r>
    </w:p>
    <w:p w14:paraId="2A88F09C" w14:textId="32BC5F59" w:rsidR="00A240E8" w:rsidRPr="004816F2" w:rsidRDefault="00A240E8" w:rsidP="00A33923">
      <w:pPr>
        <w:spacing w:before="240" w:after="0" w:line="360" w:lineRule="auto"/>
        <w:jc w:val="both"/>
        <w:rPr>
          <w:rFonts w:ascii="Arial" w:hAnsi="Arial" w:cs="Arial"/>
        </w:rPr>
      </w:pPr>
      <w:r w:rsidRPr="00C225B9">
        <w:rPr>
          <w:rFonts w:ascii="Arial" w:hAnsi="Arial" w:cs="Arial"/>
        </w:rPr>
        <w:lastRenderedPageBreak/>
        <w:t xml:space="preserve">Ma, M. and Joshi, G., </w:t>
      </w:r>
      <w:r w:rsidR="00762D55">
        <w:rPr>
          <w:rFonts w:ascii="Arial" w:hAnsi="Arial" w:cs="Arial"/>
        </w:rPr>
        <w:t>(</w:t>
      </w:r>
      <w:r w:rsidRPr="00C225B9">
        <w:rPr>
          <w:rFonts w:ascii="Arial" w:hAnsi="Arial" w:cs="Arial"/>
        </w:rPr>
        <w:t>2022</w:t>
      </w:r>
      <w:r w:rsidR="00762D55">
        <w:rPr>
          <w:rFonts w:ascii="Arial" w:hAnsi="Arial" w:cs="Arial"/>
        </w:rPr>
        <w:t>)</w:t>
      </w:r>
      <w:r w:rsidRPr="00C225B9">
        <w:rPr>
          <w:rFonts w:ascii="Arial" w:hAnsi="Arial" w:cs="Arial"/>
        </w:rPr>
        <w:t>. Unpacking the complexity of migrated older adults’ lives in the United Kingdom through an intersectional lens: A qualitative systematic review. </w:t>
      </w:r>
      <w:r w:rsidRPr="00C225B9">
        <w:rPr>
          <w:rFonts w:ascii="Arial" w:hAnsi="Arial" w:cs="Arial"/>
          <w:i/>
          <w:iCs/>
        </w:rPr>
        <w:t>The Gerontologist</w:t>
      </w:r>
      <w:r w:rsidRPr="00C225B9">
        <w:rPr>
          <w:rFonts w:ascii="Arial" w:hAnsi="Arial" w:cs="Arial"/>
        </w:rPr>
        <w:t>, </w:t>
      </w:r>
      <w:r w:rsidRPr="00C225B9">
        <w:rPr>
          <w:rFonts w:ascii="Arial" w:hAnsi="Arial" w:cs="Arial"/>
          <w:i/>
          <w:iCs/>
        </w:rPr>
        <w:t>62</w:t>
      </w:r>
      <w:r w:rsidRPr="00C225B9">
        <w:rPr>
          <w:rFonts w:ascii="Arial" w:hAnsi="Arial" w:cs="Arial"/>
        </w:rPr>
        <w:t>(7), pp.e402-e417.</w:t>
      </w:r>
    </w:p>
    <w:p w14:paraId="300945BD" w14:textId="77777777" w:rsidR="004E2A97" w:rsidRDefault="004E2A97" w:rsidP="00A33923">
      <w:pPr>
        <w:spacing w:before="240" w:after="0" w:line="360" w:lineRule="auto"/>
        <w:jc w:val="both"/>
        <w:rPr>
          <w:rFonts w:ascii="Arial" w:hAnsi="Arial" w:cs="Arial"/>
        </w:rPr>
      </w:pPr>
      <w:r w:rsidRPr="00452970">
        <w:rPr>
          <w:rFonts w:ascii="Arial" w:hAnsi="Arial" w:cs="Arial"/>
        </w:rPr>
        <w:t xml:space="preserve">Mukadam, N., Marston, L., Lewis, G., Mathur, R., Lowther, E., Rait, G. and Livingston, G., </w:t>
      </w:r>
      <w:r>
        <w:rPr>
          <w:rFonts w:ascii="Arial" w:hAnsi="Arial" w:cs="Arial"/>
        </w:rPr>
        <w:t>(</w:t>
      </w:r>
      <w:r w:rsidRPr="00452970">
        <w:rPr>
          <w:rFonts w:ascii="Arial" w:hAnsi="Arial" w:cs="Arial"/>
        </w:rPr>
        <w:t>2023</w:t>
      </w:r>
      <w:r>
        <w:rPr>
          <w:rFonts w:ascii="Arial" w:hAnsi="Arial" w:cs="Arial"/>
        </w:rPr>
        <w:t>)</w:t>
      </w:r>
      <w:r w:rsidRPr="00452970">
        <w:rPr>
          <w:rFonts w:ascii="Arial" w:hAnsi="Arial" w:cs="Arial"/>
        </w:rPr>
        <w:t>. South Asian, Black and White ethnicity and the effect of potentially modifiable risk factors for dementia: A study in English electronic health records. </w:t>
      </w:r>
      <w:r w:rsidRPr="00452970">
        <w:rPr>
          <w:rFonts w:ascii="Arial" w:hAnsi="Arial" w:cs="Arial"/>
          <w:i/>
          <w:iCs/>
        </w:rPr>
        <w:t>PLoS One</w:t>
      </w:r>
      <w:r w:rsidRPr="00452970">
        <w:rPr>
          <w:rFonts w:ascii="Arial" w:hAnsi="Arial" w:cs="Arial"/>
        </w:rPr>
        <w:t>, </w:t>
      </w:r>
      <w:r w:rsidRPr="00452970">
        <w:rPr>
          <w:rFonts w:ascii="Arial" w:hAnsi="Arial" w:cs="Arial"/>
          <w:i/>
          <w:iCs/>
        </w:rPr>
        <w:t>18</w:t>
      </w:r>
      <w:r w:rsidRPr="00452970">
        <w:rPr>
          <w:rFonts w:ascii="Arial" w:hAnsi="Arial" w:cs="Arial"/>
        </w:rPr>
        <w:t>(10), p.e0289893.</w:t>
      </w:r>
    </w:p>
    <w:p w14:paraId="628367F6" w14:textId="77777777" w:rsidR="00A240E8" w:rsidRPr="004816F2" w:rsidRDefault="00A240E8" w:rsidP="00A33923">
      <w:pPr>
        <w:spacing w:before="240" w:after="0" w:line="360" w:lineRule="auto"/>
        <w:jc w:val="both"/>
        <w:rPr>
          <w:rFonts w:ascii="Arial" w:hAnsi="Arial" w:cs="Arial"/>
        </w:rPr>
      </w:pPr>
      <w:r w:rsidRPr="004816F2">
        <w:rPr>
          <w:rFonts w:ascii="Arial" w:hAnsi="Arial" w:cs="Arial"/>
        </w:rPr>
        <w:t xml:space="preserve">NHS England (2024) </w:t>
      </w:r>
      <w:hyperlink r:id="rId15" w:history="1">
        <w:r w:rsidRPr="004816F2">
          <w:rPr>
            <w:rStyle w:val="Hyperlink"/>
            <w:rFonts w:ascii="Arial" w:hAnsi="Arial" w:cs="Arial"/>
          </w:rPr>
          <w:t>https://www.england.nhs.uk/long-read/rightcare-dementia-scenario/</w:t>
        </w:r>
      </w:hyperlink>
    </w:p>
    <w:p w14:paraId="663839A8" w14:textId="77777777" w:rsidR="00A240E8" w:rsidRPr="004816F2" w:rsidRDefault="00A240E8" w:rsidP="00A33923">
      <w:pPr>
        <w:spacing w:before="240" w:after="0" w:line="360" w:lineRule="auto"/>
        <w:jc w:val="both"/>
        <w:rPr>
          <w:rFonts w:ascii="Arial" w:hAnsi="Arial" w:cs="Arial"/>
        </w:rPr>
      </w:pPr>
      <w:r w:rsidRPr="004816F2">
        <w:rPr>
          <w:rFonts w:ascii="Arial" w:hAnsi="Arial" w:cs="Arial"/>
        </w:rPr>
        <w:t>Nedelec, T., Couvy</w:t>
      </w:r>
      <w:r w:rsidRPr="004816F2">
        <w:rPr>
          <w:rFonts w:ascii="Cambria Math" w:hAnsi="Cambria Math" w:cs="Cambria Math"/>
        </w:rPr>
        <w:t>‐</w:t>
      </w:r>
      <w:r w:rsidRPr="004816F2">
        <w:rPr>
          <w:rFonts w:ascii="Arial" w:hAnsi="Arial" w:cs="Arial"/>
        </w:rPr>
        <w:t>Duchesne, B., Darves</w:t>
      </w:r>
      <w:r w:rsidRPr="004816F2">
        <w:rPr>
          <w:rFonts w:ascii="Cambria Math" w:hAnsi="Cambria Math" w:cs="Cambria Math"/>
        </w:rPr>
        <w:t>‐</w:t>
      </w:r>
      <w:r w:rsidRPr="004816F2">
        <w:rPr>
          <w:rFonts w:ascii="Arial" w:hAnsi="Arial" w:cs="Arial"/>
        </w:rPr>
        <w:t>Bornoz, A., Couronne, R., Monnet, F., Gantzer, L., Lekens, B., Wu, Y., Villain, N., Schrag, A. and Durrleman, S., (2023). A comparison between early presentation of dementia with Lewy bodies, Alzheimer's disease, and Parkinson's disease: evidence from routine primary care and UK Biobank data. </w:t>
      </w:r>
      <w:r w:rsidRPr="004816F2">
        <w:rPr>
          <w:rFonts w:ascii="Arial" w:hAnsi="Arial" w:cs="Arial"/>
          <w:i/>
          <w:iCs/>
        </w:rPr>
        <w:t>Annals of Neurology</w:t>
      </w:r>
      <w:r w:rsidRPr="004816F2">
        <w:rPr>
          <w:rFonts w:ascii="Arial" w:hAnsi="Arial" w:cs="Arial"/>
        </w:rPr>
        <w:t>, </w:t>
      </w:r>
      <w:r w:rsidRPr="004816F2">
        <w:rPr>
          <w:rFonts w:ascii="Arial" w:hAnsi="Arial" w:cs="Arial"/>
          <w:i/>
          <w:iCs/>
        </w:rPr>
        <w:t>94</w:t>
      </w:r>
      <w:r w:rsidRPr="004816F2">
        <w:rPr>
          <w:rFonts w:ascii="Arial" w:hAnsi="Arial" w:cs="Arial"/>
        </w:rPr>
        <w:t>(2), pp.259-270.</w:t>
      </w:r>
    </w:p>
    <w:p w14:paraId="1608D473" w14:textId="59A14663" w:rsidR="00A240E8" w:rsidRDefault="00A240E8" w:rsidP="00A33923">
      <w:pPr>
        <w:spacing w:before="240" w:after="0" w:line="360" w:lineRule="auto"/>
        <w:jc w:val="both"/>
        <w:rPr>
          <w:rFonts w:ascii="Arial" w:hAnsi="Arial" w:cs="Arial"/>
          <w:lang w:eastAsia="en-GB"/>
        </w:rPr>
      </w:pPr>
      <w:r w:rsidRPr="000176DC">
        <w:rPr>
          <w:rFonts w:ascii="Arial" w:hAnsi="Arial" w:cs="Arial"/>
          <w:lang w:eastAsia="en-GB"/>
        </w:rPr>
        <w:t xml:space="preserve">Nguyen, T., Levkoff, S. and Nguyen, H., </w:t>
      </w:r>
      <w:r w:rsidR="00133D22">
        <w:rPr>
          <w:rFonts w:ascii="Arial" w:hAnsi="Arial" w:cs="Arial"/>
          <w:lang w:eastAsia="en-GB"/>
        </w:rPr>
        <w:t>(</w:t>
      </w:r>
      <w:r w:rsidRPr="000176DC">
        <w:rPr>
          <w:rFonts w:ascii="Arial" w:hAnsi="Arial" w:cs="Arial"/>
          <w:lang w:eastAsia="en-GB"/>
        </w:rPr>
        <w:t>2022</w:t>
      </w:r>
      <w:r w:rsidR="00133D22">
        <w:rPr>
          <w:rFonts w:ascii="Arial" w:hAnsi="Arial" w:cs="Arial"/>
          <w:lang w:eastAsia="en-GB"/>
        </w:rPr>
        <w:t>)</w:t>
      </w:r>
      <w:r w:rsidRPr="000176DC">
        <w:rPr>
          <w:rFonts w:ascii="Arial" w:hAnsi="Arial" w:cs="Arial"/>
          <w:lang w:eastAsia="en-GB"/>
        </w:rPr>
        <w:t>. ‘He is just getting old, you know’: the role of cultural and health beliefs in shaping the help-seeking process of family members caring for persons with dementia in Vietnam. </w:t>
      </w:r>
      <w:r w:rsidRPr="000176DC">
        <w:rPr>
          <w:rFonts w:ascii="Arial" w:hAnsi="Arial" w:cs="Arial"/>
          <w:i/>
          <w:iCs/>
          <w:lang w:eastAsia="en-GB"/>
        </w:rPr>
        <w:t>Ethnicity &amp; Health</w:t>
      </w:r>
      <w:r w:rsidRPr="000176DC">
        <w:rPr>
          <w:rFonts w:ascii="Arial" w:hAnsi="Arial" w:cs="Arial"/>
          <w:lang w:eastAsia="en-GB"/>
        </w:rPr>
        <w:t>, </w:t>
      </w:r>
      <w:r w:rsidRPr="000176DC">
        <w:rPr>
          <w:rFonts w:ascii="Arial" w:hAnsi="Arial" w:cs="Arial"/>
          <w:i/>
          <w:iCs/>
          <w:lang w:eastAsia="en-GB"/>
        </w:rPr>
        <w:t>27</w:t>
      </w:r>
      <w:r w:rsidRPr="000176DC">
        <w:rPr>
          <w:rFonts w:ascii="Arial" w:hAnsi="Arial" w:cs="Arial"/>
          <w:lang w:eastAsia="en-GB"/>
        </w:rPr>
        <w:t>(7), pp.1630-1651.</w:t>
      </w:r>
    </w:p>
    <w:p w14:paraId="07EC99A5" w14:textId="77777777" w:rsidR="004E2A97" w:rsidRDefault="004E2A97" w:rsidP="00A33923">
      <w:pPr>
        <w:spacing w:before="240" w:after="0" w:line="360" w:lineRule="auto"/>
        <w:jc w:val="both"/>
        <w:rPr>
          <w:rFonts w:ascii="Arial" w:hAnsi="Arial" w:cs="Arial"/>
        </w:rPr>
      </w:pPr>
      <w:r w:rsidRPr="00900E03">
        <w:rPr>
          <w:rFonts w:ascii="Arial" w:hAnsi="Arial" w:cs="Arial"/>
        </w:rPr>
        <w:t xml:space="preserve">Ogliari, G., Turner, Z., Khalique, J., Gordon, A.L., Gladman, J.R. and Chadborn, N.H., </w:t>
      </w:r>
      <w:r>
        <w:rPr>
          <w:rFonts w:ascii="Arial" w:hAnsi="Arial" w:cs="Arial"/>
        </w:rPr>
        <w:t>(</w:t>
      </w:r>
      <w:r w:rsidRPr="00900E03">
        <w:rPr>
          <w:rFonts w:ascii="Arial" w:hAnsi="Arial" w:cs="Arial"/>
        </w:rPr>
        <w:t>2020</w:t>
      </w:r>
      <w:r>
        <w:rPr>
          <w:rFonts w:ascii="Arial" w:hAnsi="Arial" w:cs="Arial"/>
        </w:rPr>
        <w:t>)</w:t>
      </w:r>
      <w:r w:rsidRPr="00900E03">
        <w:rPr>
          <w:rFonts w:ascii="Arial" w:hAnsi="Arial" w:cs="Arial"/>
        </w:rPr>
        <w:t>. Ethnic disparity in access to the memory assessment service between South Asian and white British older adults in the United Kingdom: A cohort study. </w:t>
      </w:r>
      <w:r w:rsidRPr="00900E03">
        <w:rPr>
          <w:rFonts w:ascii="Arial" w:hAnsi="Arial" w:cs="Arial"/>
          <w:i/>
          <w:iCs/>
        </w:rPr>
        <w:t>International journal of geriatric psychiatry</w:t>
      </w:r>
      <w:r w:rsidRPr="00900E03">
        <w:rPr>
          <w:rFonts w:ascii="Arial" w:hAnsi="Arial" w:cs="Arial"/>
        </w:rPr>
        <w:t>, </w:t>
      </w:r>
      <w:r w:rsidRPr="00900E03">
        <w:rPr>
          <w:rFonts w:ascii="Arial" w:hAnsi="Arial" w:cs="Arial"/>
          <w:i/>
          <w:iCs/>
        </w:rPr>
        <w:t>35</w:t>
      </w:r>
      <w:r w:rsidRPr="00900E03">
        <w:rPr>
          <w:rFonts w:ascii="Arial" w:hAnsi="Arial" w:cs="Arial"/>
        </w:rPr>
        <w:t>(5), pp.507-515.</w:t>
      </w:r>
    </w:p>
    <w:p w14:paraId="6BCB0143" w14:textId="77777777" w:rsidR="00A240E8" w:rsidRDefault="00A240E8" w:rsidP="00A33923">
      <w:pPr>
        <w:spacing w:before="240" w:after="0" w:line="360" w:lineRule="auto"/>
        <w:jc w:val="both"/>
        <w:rPr>
          <w:rFonts w:ascii="Arial" w:hAnsi="Arial" w:cs="Arial"/>
        </w:rPr>
      </w:pPr>
      <w:r w:rsidRPr="00D91B2D">
        <w:rPr>
          <w:rFonts w:ascii="Arial" w:hAnsi="Arial" w:cs="Arial"/>
        </w:rPr>
        <w:t xml:space="preserve">Parveen, S., Peltier, C. and Oyebode, J.R., </w:t>
      </w:r>
      <w:r>
        <w:rPr>
          <w:rFonts w:ascii="Arial" w:hAnsi="Arial" w:cs="Arial"/>
        </w:rPr>
        <w:t>(</w:t>
      </w:r>
      <w:r w:rsidRPr="00D91B2D">
        <w:rPr>
          <w:rFonts w:ascii="Arial" w:hAnsi="Arial" w:cs="Arial"/>
        </w:rPr>
        <w:t>2017</w:t>
      </w:r>
      <w:r>
        <w:rPr>
          <w:rFonts w:ascii="Arial" w:hAnsi="Arial" w:cs="Arial"/>
        </w:rPr>
        <w:t>)</w:t>
      </w:r>
      <w:r w:rsidRPr="00D91B2D">
        <w:rPr>
          <w:rFonts w:ascii="Arial" w:hAnsi="Arial" w:cs="Arial"/>
        </w:rPr>
        <w:t>. Perceptions of dementia and use of services in minority ethnic communities: a scoping exercise. </w:t>
      </w:r>
      <w:r w:rsidRPr="00D91B2D">
        <w:rPr>
          <w:rFonts w:ascii="Arial" w:hAnsi="Arial" w:cs="Arial"/>
          <w:i/>
          <w:iCs/>
        </w:rPr>
        <w:t>Health &amp; social care in the community</w:t>
      </w:r>
      <w:r w:rsidRPr="00D91B2D">
        <w:rPr>
          <w:rFonts w:ascii="Arial" w:hAnsi="Arial" w:cs="Arial"/>
        </w:rPr>
        <w:t>, </w:t>
      </w:r>
      <w:r w:rsidRPr="00D91B2D">
        <w:rPr>
          <w:rFonts w:ascii="Arial" w:hAnsi="Arial" w:cs="Arial"/>
          <w:i/>
          <w:iCs/>
        </w:rPr>
        <w:t>25</w:t>
      </w:r>
      <w:r w:rsidRPr="00D91B2D">
        <w:rPr>
          <w:rFonts w:ascii="Arial" w:hAnsi="Arial" w:cs="Arial"/>
        </w:rPr>
        <w:t>(2), pp.734-742.</w:t>
      </w:r>
    </w:p>
    <w:p w14:paraId="65FC5E19" w14:textId="6122794D" w:rsidR="00A240E8" w:rsidRDefault="00A240E8" w:rsidP="00A33923">
      <w:pPr>
        <w:spacing w:before="240" w:after="0" w:line="360" w:lineRule="auto"/>
        <w:jc w:val="both"/>
        <w:rPr>
          <w:rFonts w:ascii="Arial" w:hAnsi="Arial" w:cs="Arial"/>
          <w:lang w:eastAsia="en-GB"/>
        </w:rPr>
      </w:pPr>
      <w:r w:rsidRPr="00E66398">
        <w:rPr>
          <w:rFonts w:ascii="Arial" w:hAnsi="Arial" w:cs="Arial"/>
          <w:lang w:eastAsia="en-GB"/>
        </w:rPr>
        <w:t xml:space="preserve">Paul, P., Mahfoud, Z.R., Malik, R.A., Kaul, R., Muffuh Navti, P., Al-Sheikhly, D. and Chaari, A., </w:t>
      </w:r>
      <w:r w:rsidR="0032434B">
        <w:rPr>
          <w:rFonts w:ascii="Arial" w:hAnsi="Arial" w:cs="Arial"/>
          <w:lang w:eastAsia="en-GB"/>
        </w:rPr>
        <w:t>(</w:t>
      </w:r>
      <w:r w:rsidRPr="00E66398">
        <w:rPr>
          <w:rFonts w:ascii="Arial" w:hAnsi="Arial" w:cs="Arial"/>
          <w:lang w:eastAsia="en-GB"/>
        </w:rPr>
        <w:t>2023</w:t>
      </w:r>
      <w:r w:rsidR="0032434B">
        <w:rPr>
          <w:rFonts w:ascii="Arial" w:hAnsi="Arial" w:cs="Arial"/>
          <w:lang w:eastAsia="en-GB"/>
        </w:rPr>
        <w:t>)</w:t>
      </w:r>
      <w:r w:rsidRPr="00E66398">
        <w:rPr>
          <w:rFonts w:ascii="Arial" w:hAnsi="Arial" w:cs="Arial"/>
          <w:lang w:eastAsia="en-GB"/>
        </w:rPr>
        <w:t>. Knowledge, awareness, and attitude of healthcare stakeholders on Alzheimer’s disease and dementia in Qatar. </w:t>
      </w:r>
      <w:r w:rsidRPr="00E66398">
        <w:rPr>
          <w:rFonts w:ascii="Arial" w:hAnsi="Arial" w:cs="Arial"/>
          <w:i/>
          <w:iCs/>
          <w:lang w:eastAsia="en-GB"/>
        </w:rPr>
        <w:t>International journal of environmental research and public health</w:t>
      </w:r>
      <w:r w:rsidRPr="00E66398">
        <w:rPr>
          <w:rFonts w:ascii="Arial" w:hAnsi="Arial" w:cs="Arial"/>
          <w:lang w:eastAsia="en-GB"/>
        </w:rPr>
        <w:t>, </w:t>
      </w:r>
      <w:r w:rsidRPr="00E66398">
        <w:rPr>
          <w:rFonts w:ascii="Arial" w:hAnsi="Arial" w:cs="Arial"/>
          <w:i/>
          <w:iCs/>
          <w:lang w:eastAsia="en-GB"/>
        </w:rPr>
        <w:t>20</w:t>
      </w:r>
      <w:r w:rsidRPr="00E66398">
        <w:rPr>
          <w:rFonts w:ascii="Arial" w:hAnsi="Arial" w:cs="Arial"/>
          <w:lang w:eastAsia="en-GB"/>
        </w:rPr>
        <w:t>(5), p.4535.</w:t>
      </w:r>
    </w:p>
    <w:p w14:paraId="1DB2E18A" w14:textId="77777777" w:rsidR="00A240E8" w:rsidRDefault="00A240E8" w:rsidP="00A33923">
      <w:pPr>
        <w:spacing w:before="240" w:after="0" w:line="360" w:lineRule="auto"/>
        <w:jc w:val="both"/>
        <w:rPr>
          <w:rFonts w:ascii="Arial" w:hAnsi="Arial" w:cs="Arial"/>
        </w:rPr>
      </w:pPr>
      <w:r w:rsidRPr="00AA7381">
        <w:rPr>
          <w:rFonts w:ascii="Arial" w:hAnsi="Arial" w:cs="Arial"/>
        </w:rPr>
        <w:lastRenderedPageBreak/>
        <w:t xml:space="preserve">Parnetti, L., Chipi, E., Salvadori, N., D’Andrea, K. and Eusebi, P., </w:t>
      </w:r>
      <w:r>
        <w:rPr>
          <w:rFonts w:ascii="Arial" w:hAnsi="Arial" w:cs="Arial"/>
        </w:rPr>
        <w:t>(</w:t>
      </w:r>
      <w:r w:rsidRPr="00AA7381">
        <w:rPr>
          <w:rFonts w:ascii="Arial" w:hAnsi="Arial" w:cs="Arial"/>
        </w:rPr>
        <w:t>2019</w:t>
      </w:r>
      <w:r>
        <w:rPr>
          <w:rFonts w:ascii="Arial" w:hAnsi="Arial" w:cs="Arial"/>
        </w:rPr>
        <w:t>)</w:t>
      </w:r>
      <w:r w:rsidRPr="00AA7381">
        <w:rPr>
          <w:rFonts w:ascii="Arial" w:hAnsi="Arial" w:cs="Arial"/>
        </w:rPr>
        <w:t>. Prevalence and risk of progression of preclinical Alzheimer’s disease stages: a systematic review and meta-analysis. </w:t>
      </w:r>
      <w:r w:rsidRPr="00AA7381">
        <w:rPr>
          <w:rFonts w:ascii="Arial" w:hAnsi="Arial" w:cs="Arial"/>
          <w:i/>
          <w:iCs/>
        </w:rPr>
        <w:t>Alzheimer's research &amp; therapy</w:t>
      </w:r>
      <w:r w:rsidRPr="00AA7381">
        <w:rPr>
          <w:rFonts w:ascii="Arial" w:hAnsi="Arial" w:cs="Arial"/>
        </w:rPr>
        <w:t>, </w:t>
      </w:r>
      <w:r w:rsidRPr="00AA7381">
        <w:rPr>
          <w:rFonts w:ascii="Arial" w:hAnsi="Arial" w:cs="Arial"/>
          <w:i/>
          <w:iCs/>
        </w:rPr>
        <w:t>11</w:t>
      </w:r>
      <w:r w:rsidRPr="00AA7381">
        <w:rPr>
          <w:rFonts w:ascii="Arial" w:hAnsi="Arial" w:cs="Arial"/>
        </w:rPr>
        <w:t>(1), p.7.</w:t>
      </w:r>
    </w:p>
    <w:p w14:paraId="550FCA0A" w14:textId="77777777" w:rsidR="004E2A97" w:rsidRDefault="004E2A97" w:rsidP="00A33923">
      <w:pPr>
        <w:spacing w:before="240" w:after="0" w:line="360" w:lineRule="auto"/>
        <w:jc w:val="both"/>
        <w:rPr>
          <w:rFonts w:ascii="Arial" w:hAnsi="Arial" w:cs="Arial"/>
        </w:rPr>
      </w:pPr>
      <w:r w:rsidRPr="005A3C98">
        <w:rPr>
          <w:rFonts w:ascii="Arial" w:hAnsi="Arial" w:cs="Arial"/>
        </w:rPr>
        <w:t xml:space="preserve">Regan, J., </w:t>
      </w:r>
      <w:r>
        <w:rPr>
          <w:rFonts w:ascii="Arial" w:hAnsi="Arial" w:cs="Arial"/>
        </w:rPr>
        <w:t>(</w:t>
      </w:r>
      <w:r w:rsidRPr="005A3C98">
        <w:rPr>
          <w:rFonts w:ascii="Arial" w:hAnsi="Arial" w:cs="Arial"/>
        </w:rPr>
        <w:t>2015</w:t>
      </w:r>
      <w:r>
        <w:rPr>
          <w:rFonts w:ascii="Arial" w:hAnsi="Arial" w:cs="Arial"/>
        </w:rPr>
        <w:t>)</w:t>
      </w:r>
      <w:r w:rsidRPr="005A3C98">
        <w:rPr>
          <w:rFonts w:ascii="Arial" w:hAnsi="Arial" w:cs="Arial"/>
        </w:rPr>
        <w:t>. </w:t>
      </w:r>
      <w:r w:rsidRPr="005A3C98">
        <w:rPr>
          <w:rFonts w:ascii="Arial" w:hAnsi="Arial" w:cs="Arial"/>
          <w:i/>
          <w:iCs/>
        </w:rPr>
        <w:t>Dementia care access and experience for south Asians in the UK: The influence of Hindu, Sikh and Muslim religions</w:t>
      </w:r>
    </w:p>
    <w:p w14:paraId="728339A8" w14:textId="77777777" w:rsidR="00A240E8" w:rsidRDefault="00A240E8" w:rsidP="00A33923">
      <w:pPr>
        <w:spacing w:before="240" w:after="0" w:line="360" w:lineRule="auto"/>
        <w:jc w:val="both"/>
        <w:rPr>
          <w:rFonts w:ascii="Arial" w:hAnsi="Arial" w:cs="Arial"/>
        </w:rPr>
      </w:pPr>
      <w:r w:rsidRPr="00286ED8">
        <w:rPr>
          <w:rFonts w:ascii="Arial" w:hAnsi="Arial" w:cs="Arial"/>
        </w:rPr>
        <w:t xml:space="preserve">Ribas, M.Z., Paticcié, G.F., Noleto, F.M., Ramanzini, L.G., de Oliveira Veras, A., Dall'Oglio, R., de Albuquerque Filho, L.B., da Silva, J.G.M., Lima, M.P.P., Teixeira, B.E. and de Sousa, G.N., </w:t>
      </w:r>
      <w:r>
        <w:rPr>
          <w:rFonts w:ascii="Arial" w:hAnsi="Arial" w:cs="Arial"/>
        </w:rPr>
        <w:t>(</w:t>
      </w:r>
      <w:r w:rsidRPr="00286ED8">
        <w:rPr>
          <w:rFonts w:ascii="Arial" w:hAnsi="Arial" w:cs="Arial"/>
        </w:rPr>
        <w:t>2023</w:t>
      </w:r>
      <w:r>
        <w:rPr>
          <w:rFonts w:ascii="Arial" w:hAnsi="Arial" w:cs="Arial"/>
        </w:rPr>
        <w:t>)</w:t>
      </w:r>
      <w:r w:rsidRPr="00286ED8">
        <w:rPr>
          <w:rFonts w:ascii="Arial" w:hAnsi="Arial" w:cs="Arial"/>
        </w:rPr>
        <w:t>. Impact of dysexecutive syndrome in quality of life in Alzheimer disease: What we know now and where we are headed. </w:t>
      </w:r>
      <w:r w:rsidRPr="00286ED8">
        <w:rPr>
          <w:rFonts w:ascii="Arial" w:hAnsi="Arial" w:cs="Arial"/>
          <w:i/>
          <w:iCs/>
        </w:rPr>
        <w:t>Ageing Research Reviews</w:t>
      </w:r>
      <w:r w:rsidRPr="00286ED8">
        <w:rPr>
          <w:rFonts w:ascii="Arial" w:hAnsi="Arial" w:cs="Arial"/>
        </w:rPr>
        <w:t>, </w:t>
      </w:r>
      <w:r w:rsidRPr="00286ED8">
        <w:rPr>
          <w:rFonts w:ascii="Arial" w:hAnsi="Arial" w:cs="Arial"/>
          <w:i/>
          <w:iCs/>
        </w:rPr>
        <w:t>86</w:t>
      </w:r>
      <w:r w:rsidRPr="00286ED8">
        <w:rPr>
          <w:rFonts w:ascii="Arial" w:hAnsi="Arial" w:cs="Arial"/>
        </w:rPr>
        <w:t>, p.101866.</w:t>
      </w:r>
    </w:p>
    <w:p w14:paraId="3925AADE" w14:textId="77777777" w:rsidR="00A240E8" w:rsidRDefault="00A240E8" w:rsidP="00A33923">
      <w:pPr>
        <w:spacing w:before="240" w:after="0" w:line="360" w:lineRule="auto"/>
        <w:jc w:val="both"/>
        <w:rPr>
          <w:rFonts w:ascii="Arial" w:hAnsi="Arial" w:cs="Arial"/>
        </w:rPr>
      </w:pPr>
      <w:r w:rsidRPr="00087A1F">
        <w:rPr>
          <w:rFonts w:ascii="Arial" w:hAnsi="Arial" w:cs="Arial"/>
        </w:rPr>
        <w:t>Raj, N.S. and Renumol, V.G., (2022). A systematic literature review on adaptive content recommenders in personalized learning environments from 2015 to 2020. </w:t>
      </w:r>
      <w:r w:rsidRPr="00087A1F">
        <w:rPr>
          <w:rFonts w:ascii="Arial" w:hAnsi="Arial" w:cs="Arial"/>
          <w:i/>
          <w:iCs/>
        </w:rPr>
        <w:t>Journal of Computers in Education</w:t>
      </w:r>
      <w:r w:rsidRPr="00087A1F">
        <w:rPr>
          <w:rFonts w:ascii="Arial" w:hAnsi="Arial" w:cs="Arial"/>
        </w:rPr>
        <w:t>, </w:t>
      </w:r>
      <w:r w:rsidRPr="00087A1F">
        <w:rPr>
          <w:rFonts w:ascii="Arial" w:hAnsi="Arial" w:cs="Arial"/>
          <w:i/>
          <w:iCs/>
        </w:rPr>
        <w:t>9</w:t>
      </w:r>
      <w:r w:rsidRPr="00087A1F">
        <w:rPr>
          <w:rFonts w:ascii="Arial" w:hAnsi="Arial" w:cs="Arial"/>
        </w:rPr>
        <w:t>(1), pp.113-148.</w:t>
      </w:r>
    </w:p>
    <w:p w14:paraId="7518D180" w14:textId="77777777" w:rsidR="00A240E8" w:rsidRDefault="00A240E8" w:rsidP="00A33923">
      <w:pPr>
        <w:spacing w:before="240" w:after="0" w:line="360" w:lineRule="auto"/>
        <w:jc w:val="both"/>
        <w:rPr>
          <w:rFonts w:ascii="Arial" w:hAnsi="Arial" w:cs="Arial"/>
        </w:rPr>
      </w:pPr>
      <w:r w:rsidRPr="00DA10E1">
        <w:rPr>
          <w:rFonts w:ascii="Arial" w:hAnsi="Arial" w:cs="Arial"/>
        </w:rPr>
        <w:t xml:space="preserve">Sinaga, N.A., Ningtiyas, F.A., Mahmuzah, R., Zahara, Y. and Fatwa, I., </w:t>
      </w:r>
      <w:r>
        <w:rPr>
          <w:rFonts w:ascii="Arial" w:hAnsi="Arial" w:cs="Arial"/>
        </w:rPr>
        <w:t>(</w:t>
      </w:r>
      <w:r w:rsidRPr="00DA10E1">
        <w:rPr>
          <w:rFonts w:ascii="Arial" w:hAnsi="Arial" w:cs="Arial"/>
        </w:rPr>
        <w:t>2023</w:t>
      </w:r>
      <w:r>
        <w:rPr>
          <w:rFonts w:ascii="Arial" w:hAnsi="Arial" w:cs="Arial"/>
        </w:rPr>
        <w:t>)</w:t>
      </w:r>
      <w:r w:rsidRPr="00DA10E1">
        <w:rPr>
          <w:rFonts w:ascii="Arial" w:hAnsi="Arial" w:cs="Arial"/>
        </w:rPr>
        <w:t>. The Effect of Deductive-Inductive Learning Approach on Creative Thinking Ability and Learning Motivation. </w:t>
      </w:r>
      <w:r w:rsidRPr="00DA10E1">
        <w:rPr>
          <w:rFonts w:ascii="Arial" w:hAnsi="Arial" w:cs="Arial"/>
          <w:i/>
          <w:iCs/>
        </w:rPr>
        <w:t>Journal of Educational Research and Evaluation</w:t>
      </w:r>
      <w:r w:rsidRPr="00DA10E1">
        <w:rPr>
          <w:rFonts w:ascii="Arial" w:hAnsi="Arial" w:cs="Arial"/>
        </w:rPr>
        <w:t>, </w:t>
      </w:r>
      <w:r w:rsidRPr="00DA10E1">
        <w:rPr>
          <w:rFonts w:ascii="Arial" w:hAnsi="Arial" w:cs="Arial"/>
          <w:i/>
          <w:iCs/>
        </w:rPr>
        <w:t>6</w:t>
      </w:r>
      <w:r w:rsidRPr="00DA10E1">
        <w:rPr>
          <w:rFonts w:ascii="Arial" w:hAnsi="Arial" w:cs="Arial"/>
        </w:rPr>
        <w:t>(2), pp.123-134.</w:t>
      </w:r>
    </w:p>
    <w:p w14:paraId="542A06F2" w14:textId="77777777" w:rsidR="00A240E8" w:rsidRPr="00087A1F" w:rsidRDefault="00A240E8" w:rsidP="00A33923">
      <w:pPr>
        <w:spacing w:before="240" w:after="0" w:line="360" w:lineRule="auto"/>
        <w:jc w:val="both"/>
        <w:rPr>
          <w:rFonts w:ascii="Arial" w:hAnsi="Arial" w:cs="Arial"/>
        </w:rPr>
      </w:pPr>
      <w:r w:rsidRPr="003E54D5">
        <w:rPr>
          <w:rFonts w:ascii="Arial" w:hAnsi="Arial" w:cs="Arial"/>
        </w:rPr>
        <w:t xml:space="preserve">Scott, D., </w:t>
      </w:r>
      <w:r>
        <w:rPr>
          <w:rFonts w:ascii="Arial" w:hAnsi="Arial" w:cs="Arial"/>
        </w:rPr>
        <w:t>(</w:t>
      </w:r>
      <w:r w:rsidRPr="003E54D5">
        <w:rPr>
          <w:rFonts w:ascii="Arial" w:hAnsi="Arial" w:cs="Arial"/>
        </w:rPr>
        <w:t>2017</w:t>
      </w:r>
      <w:r>
        <w:rPr>
          <w:rFonts w:ascii="Arial" w:hAnsi="Arial" w:cs="Arial"/>
        </w:rPr>
        <w:t>)</w:t>
      </w:r>
      <w:r w:rsidRPr="003E54D5">
        <w:rPr>
          <w:rFonts w:ascii="Arial" w:hAnsi="Arial" w:cs="Arial"/>
        </w:rPr>
        <w:t>. Interpretivism as a Theory of Knowledge. </w:t>
      </w:r>
      <w:r w:rsidRPr="003E54D5">
        <w:rPr>
          <w:rFonts w:ascii="Arial" w:hAnsi="Arial" w:cs="Arial"/>
          <w:i/>
          <w:iCs/>
        </w:rPr>
        <w:t>The BERA/SAGE Handbook of Educational Research: Two Volume Set</w:t>
      </w:r>
      <w:r w:rsidRPr="003E54D5">
        <w:rPr>
          <w:rFonts w:ascii="Arial" w:hAnsi="Arial" w:cs="Arial"/>
        </w:rPr>
        <w:t>, </w:t>
      </w:r>
      <w:r w:rsidRPr="003E54D5">
        <w:rPr>
          <w:rFonts w:ascii="Arial" w:hAnsi="Arial" w:cs="Arial"/>
          <w:i/>
          <w:iCs/>
        </w:rPr>
        <w:t>2</w:t>
      </w:r>
      <w:r w:rsidRPr="003E54D5">
        <w:rPr>
          <w:rFonts w:ascii="Arial" w:hAnsi="Arial" w:cs="Arial"/>
        </w:rPr>
        <w:t>, pp.243-258.</w:t>
      </w:r>
    </w:p>
    <w:p w14:paraId="6B595E09"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t>Sekhon, M., De Thurah, A., Fragoulis, G.E., Schoones, J., Stamm, T.A., Vlieland, T.P.V., Esbensen, B.A., Lempp, H., Bearne, L., Kouloumas, M. and Pchelnikova, P., (2024). Synthesis of guidance available for assessing methodological quality and grading of evidence from qualitative research to inform clinical recommendations: a systematic literature review. </w:t>
      </w:r>
      <w:r w:rsidRPr="00087A1F">
        <w:rPr>
          <w:rFonts w:ascii="Arial" w:hAnsi="Arial" w:cs="Arial"/>
          <w:i/>
          <w:iCs/>
        </w:rPr>
        <w:t>RMD open</w:t>
      </w:r>
      <w:r w:rsidRPr="00087A1F">
        <w:rPr>
          <w:rFonts w:ascii="Arial" w:hAnsi="Arial" w:cs="Arial"/>
        </w:rPr>
        <w:t>, </w:t>
      </w:r>
      <w:r w:rsidRPr="00087A1F">
        <w:rPr>
          <w:rFonts w:ascii="Arial" w:hAnsi="Arial" w:cs="Arial"/>
          <w:i/>
          <w:iCs/>
        </w:rPr>
        <w:t>10</w:t>
      </w:r>
      <w:r w:rsidRPr="00087A1F">
        <w:rPr>
          <w:rFonts w:ascii="Arial" w:hAnsi="Arial" w:cs="Arial"/>
        </w:rPr>
        <w:t>(2).</w:t>
      </w:r>
    </w:p>
    <w:p w14:paraId="5E795D3A"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t>Smith, V., Smith, A. and Carroll, L., (2025). Quality appraisal tools used in qualitative evidence syntheses of maternity care research: A scoping review. </w:t>
      </w:r>
      <w:r w:rsidRPr="00087A1F">
        <w:rPr>
          <w:rFonts w:ascii="Arial" w:hAnsi="Arial" w:cs="Arial"/>
          <w:i/>
          <w:iCs/>
        </w:rPr>
        <w:t>Midwifery</w:t>
      </w:r>
      <w:r w:rsidRPr="00087A1F">
        <w:rPr>
          <w:rFonts w:ascii="Arial" w:hAnsi="Arial" w:cs="Arial"/>
        </w:rPr>
        <w:t>, p.104479.</w:t>
      </w:r>
    </w:p>
    <w:p w14:paraId="70FA71E1" w14:textId="77777777" w:rsidR="00A240E8" w:rsidRDefault="00A240E8" w:rsidP="00A33923">
      <w:pPr>
        <w:spacing w:before="240" w:after="0" w:line="360" w:lineRule="auto"/>
        <w:jc w:val="both"/>
        <w:rPr>
          <w:rFonts w:ascii="Arial" w:hAnsi="Arial" w:cs="Arial"/>
        </w:rPr>
      </w:pPr>
      <w:r w:rsidRPr="00087A1F">
        <w:rPr>
          <w:rFonts w:ascii="Arial" w:hAnsi="Arial" w:cs="Arial"/>
        </w:rPr>
        <w:t>Stewart, L.A., Clarke, M., Rovers, M., Riley, R.D., Simmonds, M., Stewart, G. and Tierney, J.F., (2015). Preferred reporting items for a systematic review and meta-</w:t>
      </w:r>
      <w:r w:rsidRPr="00087A1F">
        <w:rPr>
          <w:rFonts w:ascii="Arial" w:hAnsi="Arial" w:cs="Arial"/>
        </w:rPr>
        <w:lastRenderedPageBreak/>
        <w:t>analysis of individual participant data: the PRISMA-IPD statement. </w:t>
      </w:r>
      <w:r w:rsidRPr="00087A1F">
        <w:rPr>
          <w:rFonts w:ascii="Arial" w:hAnsi="Arial" w:cs="Arial"/>
          <w:i/>
          <w:iCs/>
        </w:rPr>
        <w:t>Jama</w:t>
      </w:r>
      <w:r w:rsidRPr="00087A1F">
        <w:rPr>
          <w:rFonts w:ascii="Arial" w:hAnsi="Arial" w:cs="Arial"/>
        </w:rPr>
        <w:t>, </w:t>
      </w:r>
      <w:r w:rsidRPr="00087A1F">
        <w:rPr>
          <w:rFonts w:ascii="Arial" w:hAnsi="Arial" w:cs="Arial"/>
          <w:i/>
          <w:iCs/>
        </w:rPr>
        <w:t>313</w:t>
      </w:r>
      <w:r w:rsidRPr="00087A1F">
        <w:rPr>
          <w:rFonts w:ascii="Arial" w:hAnsi="Arial" w:cs="Arial"/>
        </w:rPr>
        <w:t>(16), pp.1657-1665.</w:t>
      </w:r>
    </w:p>
    <w:p w14:paraId="52EFAF96" w14:textId="77777777" w:rsidR="00A240E8" w:rsidRPr="00087A1F" w:rsidRDefault="00A240E8" w:rsidP="00A33923">
      <w:pPr>
        <w:spacing w:before="240" w:after="0" w:line="360" w:lineRule="auto"/>
        <w:jc w:val="both"/>
        <w:rPr>
          <w:rFonts w:ascii="Arial" w:hAnsi="Arial" w:cs="Arial"/>
        </w:rPr>
      </w:pPr>
      <w:r w:rsidRPr="005C4536">
        <w:rPr>
          <w:rFonts w:ascii="Arial" w:hAnsi="Arial" w:cs="Arial"/>
        </w:rPr>
        <w:t xml:space="preserve">Szabó, Z.A., Soós, S. and Schiller, E., </w:t>
      </w:r>
      <w:r>
        <w:rPr>
          <w:rFonts w:ascii="Arial" w:hAnsi="Arial" w:cs="Arial"/>
        </w:rPr>
        <w:t>(</w:t>
      </w:r>
      <w:r w:rsidRPr="005C4536">
        <w:rPr>
          <w:rFonts w:ascii="Arial" w:hAnsi="Arial" w:cs="Arial"/>
        </w:rPr>
        <w:t>2025</w:t>
      </w:r>
      <w:r>
        <w:rPr>
          <w:rFonts w:ascii="Arial" w:hAnsi="Arial" w:cs="Arial"/>
        </w:rPr>
        <w:t>)</w:t>
      </w:r>
      <w:r w:rsidRPr="005C4536">
        <w:rPr>
          <w:rFonts w:ascii="Arial" w:hAnsi="Arial" w:cs="Arial"/>
        </w:rPr>
        <w:t>. Deductive content analysis as a research method in the field of education sciences–A systematic literature review of journal articles in Web of Science (2019–2023). </w:t>
      </w:r>
      <w:r w:rsidRPr="005C4536">
        <w:rPr>
          <w:rFonts w:ascii="Arial" w:hAnsi="Arial" w:cs="Arial"/>
          <w:i/>
          <w:iCs/>
        </w:rPr>
        <w:t>Journal of Adult Learning, Knowledge and Innovation</w:t>
      </w:r>
      <w:r w:rsidRPr="005C4536">
        <w:rPr>
          <w:rFonts w:ascii="Arial" w:hAnsi="Arial" w:cs="Arial"/>
        </w:rPr>
        <w:t>, </w:t>
      </w:r>
      <w:r w:rsidRPr="005C4536">
        <w:rPr>
          <w:rFonts w:ascii="Arial" w:hAnsi="Arial" w:cs="Arial"/>
          <w:i/>
          <w:iCs/>
        </w:rPr>
        <w:t>7</w:t>
      </w:r>
      <w:r w:rsidRPr="005C4536">
        <w:rPr>
          <w:rFonts w:ascii="Arial" w:hAnsi="Arial" w:cs="Arial"/>
        </w:rPr>
        <w:t>(2), pp.49-57.</w:t>
      </w:r>
    </w:p>
    <w:p w14:paraId="2F47C9A9" w14:textId="77777777" w:rsidR="00A240E8" w:rsidRDefault="00A240E8" w:rsidP="00A33923">
      <w:pPr>
        <w:spacing w:before="240" w:after="0" w:line="360" w:lineRule="auto"/>
        <w:jc w:val="both"/>
        <w:rPr>
          <w:rFonts w:ascii="Arial" w:hAnsi="Arial" w:cs="Arial"/>
        </w:rPr>
      </w:pPr>
      <w:r w:rsidRPr="008302BD">
        <w:rPr>
          <w:rFonts w:ascii="Arial" w:hAnsi="Arial" w:cs="Arial"/>
        </w:rPr>
        <w:t xml:space="preserve">Sagbakken, M. and Kumar, B., </w:t>
      </w:r>
      <w:r>
        <w:rPr>
          <w:rFonts w:ascii="Arial" w:hAnsi="Arial" w:cs="Arial"/>
        </w:rPr>
        <w:t>(</w:t>
      </w:r>
      <w:r w:rsidRPr="008302BD">
        <w:rPr>
          <w:rFonts w:ascii="Arial" w:hAnsi="Arial" w:cs="Arial"/>
        </w:rPr>
        <w:t>2017</w:t>
      </w:r>
      <w:r>
        <w:rPr>
          <w:rFonts w:ascii="Arial" w:hAnsi="Arial" w:cs="Arial"/>
        </w:rPr>
        <w:t>)</w:t>
      </w:r>
      <w:r w:rsidRPr="008302BD">
        <w:rPr>
          <w:rFonts w:ascii="Arial" w:hAnsi="Arial" w:cs="Arial"/>
        </w:rPr>
        <w:t>. Dementia, Ethnic Minorities and Migrants. </w:t>
      </w:r>
      <w:r w:rsidRPr="008302BD">
        <w:rPr>
          <w:rFonts w:ascii="Arial" w:hAnsi="Arial" w:cs="Arial"/>
          <w:i/>
          <w:iCs/>
        </w:rPr>
        <w:t>Norwegian Centre for Migration and Minority Health</w:t>
      </w:r>
      <w:r w:rsidRPr="008302BD">
        <w:rPr>
          <w:rFonts w:ascii="Arial" w:hAnsi="Arial" w:cs="Arial"/>
        </w:rPr>
        <w:t>.</w:t>
      </w:r>
    </w:p>
    <w:p w14:paraId="701013F6" w14:textId="77777777" w:rsidR="00A240E8" w:rsidRDefault="00A240E8" w:rsidP="00A33923">
      <w:pPr>
        <w:spacing w:before="240" w:after="0" w:line="360" w:lineRule="auto"/>
        <w:jc w:val="both"/>
        <w:rPr>
          <w:rFonts w:ascii="Arial" w:hAnsi="Arial" w:cs="Arial"/>
        </w:rPr>
      </w:pPr>
      <w:r w:rsidRPr="00F61F98">
        <w:rPr>
          <w:rFonts w:ascii="Arial" w:hAnsi="Arial" w:cs="Arial"/>
        </w:rPr>
        <w:t xml:space="preserve">Scerri, A. and Scerri, C., </w:t>
      </w:r>
      <w:r>
        <w:rPr>
          <w:rFonts w:ascii="Arial" w:hAnsi="Arial" w:cs="Arial"/>
        </w:rPr>
        <w:t>(</w:t>
      </w:r>
      <w:r w:rsidRPr="00F61F98">
        <w:rPr>
          <w:rFonts w:ascii="Arial" w:hAnsi="Arial" w:cs="Arial"/>
        </w:rPr>
        <w:t>2017</w:t>
      </w:r>
      <w:r>
        <w:rPr>
          <w:rFonts w:ascii="Arial" w:hAnsi="Arial" w:cs="Arial"/>
        </w:rPr>
        <w:t>)</w:t>
      </w:r>
      <w:r w:rsidRPr="00F61F98">
        <w:rPr>
          <w:rFonts w:ascii="Arial" w:hAnsi="Arial" w:cs="Arial"/>
        </w:rPr>
        <w:t>. Training older adults about Alzheimer’s disease–impact on knowledge and fear. </w:t>
      </w:r>
      <w:r w:rsidRPr="00F61F98">
        <w:rPr>
          <w:rFonts w:ascii="Arial" w:hAnsi="Arial" w:cs="Arial"/>
          <w:i/>
          <w:iCs/>
        </w:rPr>
        <w:t>Educational Gerontology</w:t>
      </w:r>
      <w:r w:rsidRPr="00F61F98">
        <w:rPr>
          <w:rFonts w:ascii="Arial" w:hAnsi="Arial" w:cs="Arial"/>
        </w:rPr>
        <w:t>, </w:t>
      </w:r>
      <w:r w:rsidRPr="00F61F98">
        <w:rPr>
          <w:rFonts w:ascii="Arial" w:hAnsi="Arial" w:cs="Arial"/>
          <w:i/>
          <w:iCs/>
        </w:rPr>
        <w:t>43</w:t>
      </w:r>
      <w:r w:rsidRPr="00F61F98">
        <w:rPr>
          <w:rFonts w:ascii="Arial" w:hAnsi="Arial" w:cs="Arial"/>
        </w:rPr>
        <w:t>(3), pp.117-127.</w:t>
      </w:r>
    </w:p>
    <w:p w14:paraId="33DAADB8" w14:textId="77777777" w:rsidR="00A240E8" w:rsidRDefault="00A240E8" w:rsidP="00A33923">
      <w:pPr>
        <w:spacing w:before="240" w:after="0" w:line="360" w:lineRule="auto"/>
        <w:jc w:val="both"/>
        <w:rPr>
          <w:rFonts w:ascii="Arial" w:hAnsi="Arial" w:cs="Arial"/>
        </w:rPr>
      </w:pPr>
      <w:r w:rsidRPr="00353BFB">
        <w:rPr>
          <w:rFonts w:ascii="Arial" w:hAnsi="Arial" w:cs="Arial"/>
        </w:rPr>
        <w:t xml:space="preserve">Scheltens, P., Blennow, K., Breteler, M.M., De Strooper, B., Frisoni, G.B., Salloway, S. and Van der Flier, W.M., </w:t>
      </w:r>
      <w:r>
        <w:rPr>
          <w:rFonts w:ascii="Arial" w:hAnsi="Arial" w:cs="Arial"/>
        </w:rPr>
        <w:t>(</w:t>
      </w:r>
      <w:r w:rsidRPr="00353BFB">
        <w:rPr>
          <w:rFonts w:ascii="Arial" w:hAnsi="Arial" w:cs="Arial"/>
        </w:rPr>
        <w:t>2016</w:t>
      </w:r>
      <w:r>
        <w:rPr>
          <w:rFonts w:ascii="Arial" w:hAnsi="Arial" w:cs="Arial"/>
        </w:rPr>
        <w:t>)</w:t>
      </w:r>
      <w:r w:rsidRPr="00353BFB">
        <w:rPr>
          <w:rFonts w:ascii="Arial" w:hAnsi="Arial" w:cs="Arial"/>
        </w:rPr>
        <w:t>. Alzheimer's disease. </w:t>
      </w:r>
      <w:r w:rsidRPr="00353BFB">
        <w:rPr>
          <w:rFonts w:ascii="Arial" w:hAnsi="Arial" w:cs="Arial"/>
          <w:i/>
          <w:iCs/>
        </w:rPr>
        <w:t>The Lancet</w:t>
      </w:r>
      <w:r w:rsidRPr="00353BFB">
        <w:rPr>
          <w:rFonts w:ascii="Arial" w:hAnsi="Arial" w:cs="Arial"/>
        </w:rPr>
        <w:t>, </w:t>
      </w:r>
      <w:r w:rsidRPr="00353BFB">
        <w:rPr>
          <w:rFonts w:ascii="Arial" w:hAnsi="Arial" w:cs="Arial"/>
          <w:i/>
          <w:iCs/>
        </w:rPr>
        <w:t>388</w:t>
      </w:r>
      <w:r w:rsidRPr="00353BFB">
        <w:rPr>
          <w:rFonts w:ascii="Arial" w:hAnsi="Arial" w:cs="Arial"/>
        </w:rPr>
        <w:t>(10043), pp.505-517.</w:t>
      </w:r>
    </w:p>
    <w:p w14:paraId="67472E4E" w14:textId="77777777" w:rsidR="00A240E8" w:rsidRDefault="00A240E8" w:rsidP="00A33923">
      <w:pPr>
        <w:spacing w:before="240" w:after="0" w:line="360" w:lineRule="auto"/>
        <w:jc w:val="both"/>
        <w:rPr>
          <w:rFonts w:ascii="Arial" w:hAnsi="Arial" w:cs="Arial"/>
        </w:rPr>
      </w:pPr>
      <w:r w:rsidRPr="00353BFB">
        <w:rPr>
          <w:rFonts w:ascii="Arial" w:hAnsi="Arial" w:cs="Arial"/>
        </w:rPr>
        <w:t xml:space="preserve">Sheppard, O. and Coleman, M., </w:t>
      </w:r>
      <w:r>
        <w:rPr>
          <w:rFonts w:ascii="Arial" w:hAnsi="Arial" w:cs="Arial"/>
        </w:rPr>
        <w:t>(</w:t>
      </w:r>
      <w:r w:rsidRPr="00353BFB">
        <w:rPr>
          <w:rFonts w:ascii="Arial" w:hAnsi="Arial" w:cs="Arial"/>
        </w:rPr>
        <w:t>2020</w:t>
      </w:r>
      <w:r>
        <w:rPr>
          <w:rFonts w:ascii="Arial" w:hAnsi="Arial" w:cs="Arial"/>
        </w:rPr>
        <w:t>)</w:t>
      </w:r>
      <w:r w:rsidRPr="00353BFB">
        <w:rPr>
          <w:rFonts w:ascii="Arial" w:hAnsi="Arial" w:cs="Arial"/>
        </w:rPr>
        <w:t>. Alzheimer’s disease: etiology, neuropathology and pathogenesis. </w:t>
      </w:r>
      <w:r w:rsidRPr="00353BFB">
        <w:rPr>
          <w:rFonts w:ascii="Arial" w:hAnsi="Arial" w:cs="Arial"/>
          <w:i/>
          <w:iCs/>
        </w:rPr>
        <w:t>Exon Publications</w:t>
      </w:r>
      <w:r w:rsidRPr="00353BFB">
        <w:rPr>
          <w:rFonts w:ascii="Arial" w:hAnsi="Arial" w:cs="Arial"/>
        </w:rPr>
        <w:t>, pp.1-21.</w:t>
      </w:r>
    </w:p>
    <w:p w14:paraId="30C84499" w14:textId="77777777" w:rsidR="00A240E8" w:rsidRDefault="00A240E8" w:rsidP="00A33923">
      <w:pPr>
        <w:spacing w:before="240" w:after="0" w:line="360" w:lineRule="auto"/>
        <w:jc w:val="both"/>
        <w:rPr>
          <w:rFonts w:ascii="Arial" w:hAnsi="Arial" w:cs="Arial"/>
        </w:rPr>
      </w:pPr>
      <w:r w:rsidRPr="00D14415">
        <w:rPr>
          <w:rFonts w:ascii="Arial" w:hAnsi="Arial" w:cs="Arial"/>
        </w:rPr>
        <w:t xml:space="preserve">Sohrabi, H.R. and Weinborn, M., </w:t>
      </w:r>
      <w:r>
        <w:rPr>
          <w:rFonts w:ascii="Arial" w:hAnsi="Arial" w:cs="Arial"/>
        </w:rPr>
        <w:t>(</w:t>
      </w:r>
      <w:r w:rsidRPr="00D14415">
        <w:rPr>
          <w:rFonts w:ascii="Arial" w:hAnsi="Arial" w:cs="Arial"/>
        </w:rPr>
        <w:t>2019</w:t>
      </w:r>
      <w:r>
        <w:rPr>
          <w:rFonts w:ascii="Arial" w:hAnsi="Arial" w:cs="Arial"/>
        </w:rPr>
        <w:t>)</w:t>
      </w:r>
      <w:r w:rsidRPr="00D14415">
        <w:rPr>
          <w:rFonts w:ascii="Arial" w:hAnsi="Arial" w:cs="Arial"/>
        </w:rPr>
        <w:t>. Cognitive impairments in Alzheimer's disease and other neurodegenerative diseases. </w:t>
      </w:r>
      <w:r w:rsidRPr="00D14415">
        <w:rPr>
          <w:rFonts w:ascii="Arial" w:hAnsi="Arial" w:cs="Arial"/>
          <w:i/>
          <w:iCs/>
        </w:rPr>
        <w:t>Neurodegeneration and Alzheimer's Disease: The Role of Diabetes, Genetics, Hormones, and Lifestyle</w:t>
      </w:r>
      <w:r w:rsidRPr="00D14415">
        <w:rPr>
          <w:rFonts w:ascii="Arial" w:hAnsi="Arial" w:cs="Arial"/>
        </w:rPr>
        <w:t>, pp.267-290.</w:t>
      </w:r>
    </w:p>
    <w:p w14:paraId="0DFC6865" w14:textId="77777777" w:rsidR="00A240E8" w:rsidRDefault="00A240E8" w:rsidP="00A33923">
      <w:pPr>
        <w:spacing w:before="240" w:after="0" w:line="360" w:lineRule="auto"/>
        <w:jc w:val="both"/>
        <w:rPr>
          <w:rFonts w:ascii="Arial" w:hAnsi="Arial" w:cs="Arial"/>
        </w:rPr>
      </w:pPr>
      <w:r w:rsidRPr="00691E45">
        <w:rPr>
          <w:rFonts w:ascii="Arial" w:hAnsi="Arial" w:cs="Arial"/>
        </w:rPr>
        <w:t xml:space="preserve">Sorrentino, M., Fiorilla, C., Mercogliano, M., Stilo, I., Esposito, F., Moccia, M., Lavorgna, L., Salvatore, E., Sormani, M.P., Majeed, A. and Triassi, M., </w:t>
      </w:r>
      <w:r>
        <w:rPr>
          <w:rFonts w:ascii="Arial" w:hAnsi="Arial" w:cs="Arial"/>
        </w:rPr>
        <w:t>(</w:t>
      </w:r>
      <w:r w:rsidRPr="00691E45">
        <w:rPr>
          <w:rFonts w:ascii="Arial" w:hAnsi="Arial" w:cs="Arial"/>
        </w:rPr>
        <w:t>2025</w:t>
      </w:r>
      <w:r>
        <w:rPr>
          <w:rFonts w:ascii="Arial" w:hAnsi="Arial" w:cs="Arial"/>
        </w:rPr>
        <w:t>)</w:t>
      </w:r>
      <w:r w:rsidRPr="00691E45">
        <w:rPr>
          <w:rFonts w:ascii="Arial" w:hAnsi="Arial" w:cs="Arial"/>
        </w:rPr>
        <w:t>. Barriers for access and utilization of dementia care services in Europe: a systematic review. </w:t>
      </w:r>
      <w:r w:rsidRPr="00691E45">
        <w:rPr>
          <w:rFonts w:ascii="Arial" w:hAnsi="Arial" w:cs="Arial"/>
          <w:i/>
          <w:iCs/>
        </w:rPr>
        <w:t>BMC geriatrics</w:t>
      </w:r>
      <w:r w:rsidRPr="00691E45">
        <w:rPr>
          <w:rFonts w:ascii="Arial" w:hAnsi="Arial" w:cs="Arial"/>
        </w:rPr>
        <w:t>, </w:t>
      </w:r>
      <w:r w:rsidRPr="00691E45">
        <w:rPr>
          <w:rFonts w:ascii="Arial" w:hAnsi="Arial" w:cs="Arial"/>
          <w:i/>
          <w:iCs/>
        </w:rPr>
        <w:t>25</w:t>
      </w:r>
      <w:r w:rsidRPr="00691E45">
        <w:rPr>
          <w:rFonts w:ascii="Arial" w:hAnsi="Arial" w:cs="Arial"/>
        </w:rPr>
        <w:t>(1), p.162.</w:t>
      </w:r>
    </w:p>
    <w:p w14:paraId="273D90C2" w14:textId="77777777" w:rsidR="00A240E8" w:rsidRDefault="00A240E8" w:rsidP="00A33923">
      <w:pPr>
        <w:spacing w:before="240" w:after="0" w:line="360" w:lineRule="auto"/>
        <w:jc w:val="both"/>
        <w:rPr>
          <w:rFonts w:ascii="Arial" w:hAnsi="Arial" w:cs="Arial"/>
        </w:rPr>
      </w:pPr>
      <w:r w:rsidRPr="00691E45">
        <w:rPr>
          <w:rFonts w:ascii="Arial" w:hAnsi="Arial" w:cs="Arial"/>
        </w:rPr>
        <w:t xml:space="preserve">Solis, A.R., </w:t>
      </w:r>
      <w:r>
        <w:rPr>
          <w:rFonts w:ascii="Arial" w:hAnsi="Arial" w:cs="Arial"/>
        </w:rPr>
        <w:t>(</w:t>
      </w:r>
      <w:r w:rsidRPr="00691E45">
        <w:rPr>
          <w:rFonts w:ascii="Arial" w:hAnsi="Arial" w:cs="Arial"/>
        </w:rPr>
        <w:t>2024</w:t>
      </w:r>
      <w:r>
        <w:rPr>
          <w:rFonts w:ascii="Arial" w:hAnsi="Arial" w:cs="Arial"/>
        </w:rPr>
        <w:t>)</w:t>
      </w:r>
      <w:r w:rsidRPr="00691E45">
        <w:rPr>
          <w:rFonts w:ascii="Arial" w:hAnsi="Arial" w:cs="Arial"/>
        </w:rPr>
        <w:t>. </w:t>
      </w:r>
      <w:r w:rsidRPr="00691E45">
        <w:rPr>
          <w:rFonts w:ascii="Arial" w:hAnsi="Arial" w:cs="Arial"/>
          <w:i/>
          <w:iCs/>
        </w:rPr>
        <w:t>Cultural Competence and Resource Accessibility: Investigating the Gap in Alzheimer’s and Related Dementia Research in Latino Communities</w:t>
      </w:r>
      <w:r w:rsidRPr="00691E45">
        <w:rPr>
          <w:rFonts w:ascii="Arial" w:hAnsi="Arial" w:cs="Arial"/>
        </w:rPr>
        <w:t> (Master's thesis, California State University, Fresno).</w:t>
      </w:r>
    </w:p>
    <w:p w14:paraId="7FE72070" w14:textId="77777777" w:rsidR="00A240E8" w:rsidRDefault="00A240E8" w:rsidP="00A33923">
      <w:pPr>
        <w:spacing w:before="240" w:after="0" w:line="360" w:lineRule="auto"/>
        <w:jc w:val="both"/>
        <w:rPr>
          <w:rFonts w:ascii="Arial" w:hAnsi="Arial" w:cs="Arial"/>
        </w:rPr>
      </w:pPr>
      <w:r w:rsidRPr="008302BD">
        <w:rPr>
          <w:rFonts w:ascii="Arial" w:hAnsi="Arial" w:cs="Arial"/>
        </w:rPr>
        <w:t xml:space="preserve">Sun, W., Biswas, S., Dacanay, M. and Zou, P., </w:t>
      </w:r>
      <w:r>
        <w:rPr>
          <w:rFonts w:ascii="Arial" w:hAnsi="Arial" w:cs="Arial"/>
        </w:rPr>
        <w:t>(</w:t>
      </w:r>
      <w:r w:rsidRPr="008302BD">
        <w:rPr>
          <w:rFonts w:ascii="Arial" w:hAnsi="Arial" w:cs="Arial"/>
        </w:rPr>
        <w:t>2019</w:t>
      </w:r>
      <w:r>
        <w:rPr>
          <w:rFonts w:ascii="Arial" w:hAnsi="Arial" w:cs="Arial"/>
        </w:rPr>
        <w:t>)</w:t>
      </w:r>
      <w:r w:rsidRPr="008302BD">
        <w:rPr>
          <w:rFonts w:ascii="Arial" w:hAnsi="Arial" w:cs="Arial"/>
        </w:rPr>
        <w:t>. </w:t>
      </w:r>
      <w:r w:rsidRPr="008302BD">
        <w:rPr>
          <w:rFonts w:ascii="Arial" w:hAnsi="Arial" w:cs="Arial"/>
          <w:i/>
          <w:iCs/>
        </w:rPr>
        <w:t>An examination of factors influencing equitable access to dementia care and support programs among migrants and refugees living with dementia: a literature review</w:t>
      </w:r>
      <w:r w:rsidRPr="008302BD">
        <w:rPr>
          <w:rFonts w:ascii="Arial" w:hAnsi="Arial" w:cs="Arial"/>
        </w:rPr>
        <w:t>. IntechOpen.</w:t>
      </w:r>
    </w:p>
    <w:p w14:paraId="60D47135" w14:textId="3DFCD9C0" w:rsidR="00A240E8" w:rsidRDefault="00A240E8" w:rsidP="00A33923">
      <w:pPr>
        <w:spacing w:before="240" w:after="0" w:line="360" w:lineRule="auto"/>
        <w:jc w:val="both"/>
        <w:rPr>
          <w:rFonts w:ascii="Arial" w:hAnsi="Arial" w:cs="Arial"/>
          <w:lang w:eastAsia="en-GB"/>
        </w:rPr>
      </w:pPr>
      <w:r w:rsidRPr="00C225B9">
        <w:rPr>
          <w:rFonts w:ascii="Arial" w:hAnsi="Arial" w:cs="Arial"/>
          <w:lang w:eastAsia="en-GB"/>
        </w:rPr>
        <w:lastRenderedPageBreak/>
        <w:t xml:space="preserve">Subramaniam, H. and Ladinska, E.B.M., </w:t>
      </w:r>
      <w:r w:rsidR="00F019AA">
        <w:rPr>
          <w:rFonts w:ascii="Arial" w:hAnsi="Arial" w:cs="Arial"/>
          <w:lang w:eastAsia="en-GB"/>
        </w:rPr>
        <w:t>(</w:t>
      </w:r>
      <w:r w:rsidRPr="00C225B9">
        <w:rPr>
          <w:rFonts w:ascii="Arial" w:hAnsi="Arial" w:cs="Arial"/>
          <w:lang w:eastAsia="en-GB"/>
        </w:rPr>
        <w:t>2025</w:t>
      </w:r>
      <w:r w:rsidR="00F019AA">
        <w:rPr>
          <w:rFonts w:ascii="Arial" w:hAnsi="Arial" w:cs="Arial"/>
          <w:lang w:eastAsia="en-GB"/>
        </w:rPr>
        <w:t>)</w:t>
      </w:r>
      <w:r w:rsidRPr="00C225B9">
        <w:rPr>
          <w:rFonts w:ascii="Arial" w:hAnsi="Arial" w:cs="Arial"/>
          <w:lang w:eastAsia="en-GB"/>
        </w:rPr>
        <w:t>. Systemic disadvantages facing UK ethnic elders within dementia healthcare. </w:t>
      </w:r>
      <w:r w:rsidRPr="00C225B9">
        <w:rPr>
          <w:rFonts w:ascii="Arial" w:hAnsi="Arial" w:cs="Arial"/>
          <w:i/>
          <w:iCs/>
          <w:lang w:eastAsia="en-GB"/>
        </w:rPr>
        <w:t>BJPsych advances</w:t>
      </w:r>
      <w:r w:rsidRPr="00C225B9">
        <w:rPr>
          <w:rFonts w:ascii="Arial" w:hAnsi="Arial" w:cs="Arial"/>
          <w:lang w:eastAsia="en-GB"/>
        </w:rPr>
        <w:t>, </w:t>
      </w:r>
      <w:r w:rsidRPr="00C225B9">
        <w:rPr>
          <w:rFonts w:ascii="Arial" w:hAnsi="Arial" w:cs="Arial"/>
          <w:i/>
          <w:iCs/>
          <w:lang w:eastAsia="en-GB"/>
        </w:rPr>
        <w:t>31</w:t>
      </w:r>
      <w:r w:rsidRPr="00C225B9">
        <w:rPr>
          <w:rFonts w:ascii="Arial" w:hAnsi="Arial" w:cs="Arial"/>
          <w:lang w:eastAsia="en-GB"/>
        </w:rPr>
        <w:t>(5), pp.311-320.</w:t>
      </w:r>
    </w:p>
    <w:p w14:paraId="5107D64B" w14:textId="77777777" w:rsidR="00A240E8" w:rsidRDefault="00A240E8" w:rsidP="00A33923">
      <w:pPr>
        <w:spacing w:before="240" w:after="0" w:line="360" w:lineRule="auto"/>
        <w:jc w:val="both"/>
        <w:rPr>
          <w:rFonts w:ascii="Arial" w:hAnsi="Arial" w:cs="Arial"/>
        </w:rPr>
      </w:pPr>
      <w:r w:rsidRPr="008D0828">
        <w:rPr>
          <w:rFonts w:ascii="Arial" w:hAnsi="Arial" w:cs="Arial"/>
        </w:rPr>
        <w:t xml:space="preserve">Tang, L., Zhuang, Z., Luo, M., Cai, Y. and Lyu, Q., </w:t>
      </w:r>
      <w:r>
        <w:rPr>
          <w:rFonts w:ascii="Arial" w:hAnsi="Arial" w:cs="Arial"/>
        </w:rPr>
        <w:t>(</w:t>
      </w:r>
      <w:r w:rsidRPr="008D0828">
        <w:rPr>
          <w:rFonts w:ascii="Arial" w:hAnsi="Arial" w:cs="Arial"/>
        </w:rPr>
        <w:t>2025</w:t>
      </w:r>
      <w:r>
        <w:rPr>
          <w:rFonts w:ascii="Arial" w:hAnsi="Arial" w:cs="Arial"/>
        </w:rPr>
        <w:t>)</w:t>
      </w:r>
      <w:r w:rsidRPr="008D0828">
        <w:rPr>
          <w:rFonts w:ascii="Arial" w:hAnsi="Arial" w:cs="Arial"/>
        </w:rPr>
        <w:t>. Exploring the determinants to accept dementia screening among patients at high risk of dementia based on the theory of planned behavior: A cross-sectional study. </w:t>
      </w:r>
      <w:r w:rsidRPr="008D0828">
        <w:rPr>
          <w:rFonts w:ascii="Arial" w:hAnsi="Arial" w:cs="Arial"/>
          <w:i/>
          <w:iCs/>
        </w:rPr>
        <w:t>Preventive Medicine</w:t>
      </w:r>
      <w:r w:rsidRPr="008D0828">
        <w:rPr>
          <w:rFonts w:ascii="Arial" w:hAnsi="Arial" w:cs="Arial"/>
        </w:rPr>
        <w:t>, </w:t>
      </w:r>
      <w:r w:rsidRPr="008D0828">
        <w:rPr>
          <w:rFonts w:ascii="Arial" w:hAnsi="Arial" w:cs="Arial"/>
          <w:i/>
          <w:iCs/>
        </w:rPr>
        <w:t>191</w:t>
      </w:r>
      <w:r w:rsidRPr="008D0828">
        <w:rPr>
          <w:rFonts w:ascii="Arial" w:hAnsi="Arial" w:cs="Arial"/>
        </w:rPr>
        <w:t>, p.108215.</w:t>
      </w:r>
    </w:p>
    <w:p w14:paraId="34B4E57F" w14:textId="3D071F85" w:rsidR="00A240E8" w:rsidRDefault="00A240E8" w:rsidP="00A33923">
      <w:pPr>
        <w:spacing w:before="240" w:after="0" w:line="360" w:lineRule="auto"/>
        <w:jc w:val="both"/>
        <w:rPr>
          <w:rFonts w:ascii="Arial" w:hAnsi="Arial" w:cs="Arial"/>
        </w:rPr>
      </w:pPr>
      <w:r w:rsidRPr="000176DC">
        <w:rPr>
          <w:rFonts w:ascii="Arial" w:hAnsi="Arial" w:cs="Arial"/>
        </w:rPr>
        <w:t xml:space="preserve">Ugwu, U.C. and Ene, O.C., </w:t>
      </w:r>
      <w:r w:rsidR="00C1618D">
        <w:rPr>
          <w:rFonts w:ascii="Arial" w:hAnsi="Arial" w:cs="Arial"/>
        </w:rPr>
        <w:t>(</w:t>
      </w:r>
      <w:r w:rsidRPr="000176DC">
        <w:rPr>
          <w:rFonts w:ascii="Arial" w:hAnsi="Arial" w:cs="Arial"/>
        </w:rPr>
        <w:t>2025</w:t>
      </w:r>
      <w:r w:rsidR="00C1618D">
        <w:rPr>
          <w:rFonts w:ascii="Arial" w:hAnsi="Arial" w:cs="Arial"/>
        </w:rPr>
        <w:t>)</w:t>
      </w:r>
      <w:r w:rsidRPr="000176DC">
        <w:rPr>
          <w:rFonts w:ascii="Arial" w:hAnsi="Arial" w:cs="Arial"/>
        </w:rPr>
        <w:t>. Awareness, Perceptions, Stigma, Attitudes, and Help</w:t>
      </w:r>
      <w:r w:rsidRPr="000176DC">
        <w:rPr>
          <w:rFonts w:ascii="Cambria Math" w:hAnsi="Cambria Math" w:cs="Cambria Math"/>
        </w:rPr>
        <w:t>‐</w:t>
      </w:r>
      <w:r w:rsidRPr="000176DC">
        <w:rPr>
          <w:rFonts w:ascii="Arial" w:hAnsi="Arial" w:cs="Arial"/>
        </w:rPr>
        <w:t>Seeking Behavior Regarding Alzheimer's Disease Among Older Adults in Nigeria: A Community</w:t>
      </w:r>
      <w:r w:rsidRPr="000176DC">
        <w:rPr>
          <w:rFonts w:ascii="Cambria Math" w:hAnsi="Cambria Math" w:cs="Cambria Math"/>
        </w:rPr>
        <w:t>‐</w:t>
      </w:r>
      <w:r w:rsidRPr="000176DC">
        <w:rPr>
          <w:rFonts w:ascii="Arial" w:hAnsi="Arial" w:cs="Arial"/>
        </w:rPr>
        <w:t>Based Cross</w:t>
      </w:r>
      <w:r w:rsidRPr="000176DC">
        <w:rPr>
          <w:rFonts w:ascii="Cambria Math" w:hAnsi="Cambria Math" w:cs="Cambria Math"/>
        </w:rPr>
        <w:t>‐</w:t>
      </w:r>
      <w:r w:rsidRPr="000176DC">
        <w:rPr>
          <w:rFonts w:ascii="Arial" w:hAnsi="Arial" w:cs="Arial"/>
        </w:rPr>
        <w:t>Sectional Study. </w:t>
      </w:r>
      <w:r w:rsidRPr="000176DC">
        <w:rPr>
          <w:rFonts w:ascii="Arial" w:hAnsi="Arial" w:cs="Arial"/>
          <w:i/>
          <w:iCs/>
        </w:rPr>
        <w:t>International Journal of Geriatric Psychiatry</w:t>
      </w:r>
      <w:r w:rsidRPr="000176DC">
        <w:rPr>
          <w:rFonts w:ascii="Arial" w:hAnsi="Arial" w:cs="Arial"/>
        </w:rPr>
        <w:t>, </w:t>
      </w:r>
      <w:r w:rsidRPr="000176DC">
        <w:rPr>
          <w:rFonts w:ascii="Arial" w:hAnsi="Arial" w:cs="Arial"/>
          <w:i/>
          <w:iCs/>
        </w:rPr>
        <w:t>40</w:t>
      </w:r>
      <w:r w:rsidRPr="000176DC">
        <w:rPr>
          <w:rFonts w:ascii="Arial" w:hAnsi="Arial" w:cs="Arial"/>
        </w:rPr>
        <w:t>(10), p.e70170.</w:t>
      </w:r>
    </w:p>
    <w:p w14:paraId="1AD50258" w14:textId="77777777" w:rsidR="00A240E8" w:rsidRDefault="00A240E8" w:rsidP="00A33923">
      <w:pPr>
        <w:spacing w:before="240" w:after="0" w:line="360" w:lineRule="auto"/>
        <w:jc w:val="both"/>
        <w:rPr>
          <w:rFonts w:ascii="Arial" w:hAnsi="Arial" w:cs="Arial"/>
        </w:rPr>
      </w:pPr>
      <w:r w:rsidRPr="00764DC2">
        <w:rPr>
          <w:rFonts w:ascii="Arial" w:hAnsi="Arial" w:cs="Arial"/>
        </w:rPr>
        <w:t xml:space="preserve">Volkmer, A., Cross, L., Highton, L., Jackson, C., Smith, C., Brotherhood, E., Harding, E.V., Mummery, C., Rohrer, J., Weil, R. and Yong, K., </w:t>
      </w:r>
      <w:r>
        <w:rPr>
          <w:rFonts w:ascii="Arial" w:hAnsi="Arial" w:cs="Arial"/>
        </w:rPr>
        <w:t>(</w:t>
      </w:r>
      <w:r w:rsidRPr="00764DC2">
        <w:rPr>
          <w:rFonts w:ascii="Arial" w:hAnsi="Arial" w:cs="Arial"/>
        </w:rPr>
        <w:t>2024</w:t>
      </w:r>
      <w:r>
        <w:rPr>
          <w:rFonts w:ascii="Arial" w:hAnsi="Arial" w:cs="Arial"/>
        </w:rPr>
        <w:t>)</w:t>
      </w:r>
      <w:r w:rsidRPr="00764DC2">
        <w:rPr>
          <w:rFonts w:ascii="Arial" w:hAnsi="Arial" w:cs="Arial"/>
        </w:rPr>
        <w:t>. ‘Communication is difficult’: Speech, language and communication needs of people with young onset or rarer forms of non</w:t>
      </w:r>
      <w:r w:rsidRPr="00764DC2">
        <w:rPr>
          <w:rFonts w:ascii="Cambria Math" w:hAnsi="Cambria Math" w:cs="Cambria Math"/>
        </w:rPr>
        <w:t>‐</w:t>
      </w:r>
      <w:r w:rsidRPr="00764DC2">
        <w:rPr>
          <w:rFonts w:ascii="Arial" w:hAnsi="Arial" w:cs="Arial"/>
        </w:rPr>
        <w:t>language led dementia. </w:t>
      </w:r>
      <w:r w:rsidRPr="00764DC2">
        <w:rPr>
          <w:rFonts w:ascii="Arial" w:hAnsi="Arial" w:cs="Arial"/>
          <w:i/>
          <w:iCs/>
        </w:rPr>
        <w:t>International Journal of Language &amp; Communication Disorders</w:t>
      </w:r>
      <w:r w:rsidRPr="00764DC2">
        <w:rPr>
          <w:rFonts w:ascii="Arial" w:hAnsi="Arial" w:cs="Arial"/>
        </w:rPr>
        <w:t>, </w:t>
      </w:r>
      <w:r w:rsidRPr="00764DC2">
        <w:rPr>
          <w:rFonts w:ascii="Arial" w:hAnsi="Arial" w:cs="Arial"/>
          <w:i/>
          <w:iCs/>
        </w:rPr>
        <w:t>59</w:t>
      </w:r>
      <w:r w:rsidRPr="00764DC2">
        <w:rPr>
          <w:rFonts w:ascii="Arial" w:hAnsi="Arial" w:cs="Arial"/>
        </w:rPr>
        <w:t>(4), pp.1553-1577.</w:t>
      </w:r>
    </w:p>
    <w:p w14:paraId="6876FF9E" w14:textId="77777777" w:rsidR="00A240E8" w:rsidRDefault="00A240E8" w:rsidP="00A33923">
      <w:pPr>
        <w:spacing w:before="240" w:after="0" w:line="360" w:lineRule="auto"/>
        <w:jc w:val="both"/>
        <w:rPr>
          <w:rFonts w:ascii="Arial" w:hAnsi="Arial" w:cs="Arial"/>
        </w:rPr>
      </w:pPr>
      <w:r w:rsidRPr="00087A1F">
        <w:rPr>
          <w:rFonts w:ascii="Arial" w:hAnsi="Arial" w:cs="Arial"/>
        </w:rPr>
        <w:t>van Wee, B. and Banister, D., (2024). Literature review papers: the search and selection process. </w:t>
      </w:r>
      <w:r w:rsidRPr="00087A1F">
        <w:rPr>
          <w:rFonts w:ascii="Arial" w:hAnsi="Arial" w:cs="Arial"/>
          <w:i/>
          <w:iCs/>
        </w:rPr>
        <w:t>Journal of Decision Systems</w:t>
      </w:r>
      <w:r w:rsidRPr="00087A1F">
        <w:rPr>
          <w:rFonts w:ascii="Arial" w:hAnsi="Arial" w:cs="Arial"/>
        </w:rPr>
        <w:t>, </w:t>
      </w:r>
      <w:r w:rsidRPr="00087A1F">
        <w:rPr>
          <w:rFonts w:ascii="Arial" w:hAnsi="Arial" w:cs="Arial"/>
          <w:i/>
          <w:iCs/>
        </w:rPr>
        <w:t>33</w:t>
      </w:r>
      <w:r w:rsidRPr="00087A1F">
        <w:rPr>
          <w:rFonts w:ascii="Arial" w:hAnsi="Arial" w:cs="Arial"/>
        </w:rPr>
        <w:t>(4), pp.559-565.</w:t>
      </w:r>
    </w:p>
    <w:p w14:paraId="38393614" w14:textId="77777777" w:rsidR="00A240E8" w:rsidRPr="00087A1F" w:rsidRDefault="00A240E8" w:rsidP="00A33923">
      <w:pPr>
        <w:spacing w:before="240" w:after="0" w:line="360" w:lineRule="auto"/>
        <w:jc w:val="both"/>
        <w:rPr>
          <w:rFonts w:ascii="Arial" w:hAnsi="Arial" w:cs="Arial"/>
        </w:rPr>
      </w:pPr>
      <w:r w:rsidRPr="00962747">
        <w:rPr>
          <w:rFonts w:ascii="Arial" w:hAnsi="Arial" w:cs="Arial"/>
        </w:rPr>
        <w:t xml:space="preserve">Veginadu, P., Calache, H., Gussy, M., Pandian, A. and Masood, M., </w:t>
      </w:r>
      <w:r>
        <w:rPr>
          <w:rFonts w:ascii="Arial" w:hAnsi="Arial" w:cs="Arial"/>
        </w:rPr>
        <w:t>(</w:t>
      </w:r>
      <w:r w:rsidRPr="00962747">
        <w:rPr>
          <w:rFonts w:ascii="Arial" w:hAnsi="Arial" w:cs="Arial"/>
        </w:rPr>
        <w:t>2022</w:t>
      </w:r>
      <w:r>
        <w:rPr>
          <w:rFonts w:ascii="Arial" w:hAnsi="Arial" w:cs="Arial"/>
        </w:rPr>
        <w:t>)</w:t>
      </w:r>
      <w:r w:rsidRPr="00962747">
        <w:rPr>
          <w:rFonts w:ascii="Arial" w:hAnsi="Arial" w:cs="Arial"/>
        </w:rPr>
        <w:t>. An overview of methodological approaches in systematic reviews. </w:t>
      </w:r>
      <w:r w:rsidRPr="00962747">
        <w:rPr>
          <w:rFonts w:ascii="Arial" w:hAnsi="Arial" w:cs="Arial"/>
          <w:i/>
          <w:iCs/>
        </w:rPr>
        <w:t>Journal of Evidence</w:t>
      </w:r>
      <w:r w:rsidRPr="00962747">
        <w:rPr>
          <w:rFonts w:ascii="Cambria Math" w:hAnsi="Cambria Math" w:cs="Cambria Math"/>
          <w:i/>
          <w:iCs/>
        </w:rPr>
        <w:t>‐</w:t>
      </w:r>
      <w:r w:rsidRPr="00962747">
        <w:rPr>
          <w:rFonts w:ascii="Arial" w:hAnsi="Arial" w:cs="Arial"/>
          <w:i/>
          <w:iCs/>
        </w:rPr>
        <w:t>Based Medicine</w:t>
      </w:r>
      <w:r w:rsidRPr="00962747">
        <w:rPr>
          <w:rFonts w:ascii="Arial" w:hAnsi="Arial" w:cs="Arial"/>
        </w:rPr>
        <w:t>, </w:t>
      </w:r>
      <w:r w:rsidRPr="00962747">
        <w:rPr>
          <w:rFonts w:ascii="Arial" w:hAnsi="Arial" w:cs="Arial"/>
          <w:i/>
          <w:iCs/>
        </w:rPr>
        <w:t>15</w:t>
      </w:r>
      <w:r w:rsidRPr="00962747">
        <w:rPr>
          <w:rFonts w:ascii="Arial" w:hAnsi="Arial" w:cs="Arial"/>
        </w:rPr>
        <w:t>(1), pp.39-54.</w:t>
      </w:r>
    </w:p>
    <w:p w14:paraId="09BBF4DE" w14:textId="7D913399" w:rsidR="00DA12AD" w:rsidRDefault="00DA12AD" w:rsidP="00A33923">
      <w:pPr>
        <w:spacing w:before="240" w:after="0" w:line="360" w:lineRule="auto"/>
        <w:jc w:val="both"/>
        <w:rPr>
          <w:rFonts w:ascii="Arial" w:hAnsi="Arial" w:cs="Arial"/>
        </w:rPr>
      </w:pPr>
      <w:r w:rsidRPr="00DA12AD">
        <w:rPr>
          <w:rFonts w:ascii="Arial" w:hAnsi="Arial" w:cs="Arial"/>
        </w:rPr>
        <w:t xml:space="preserve">Veitch, D.P., Weiner, M.W., Aisen, P.S., Beckett, L.A., Cairns, N.J., Green, R.C., Harvey, D., Jack Jr, C.R., Jagust, W., Morris, J.C. and Petersen, R.C., </w:t>
      </w:r>
      <w:r w:rsidR="00AA1242">
        <w:rPr>
          <w:rFonts w:ascii="Arial" w:hAnsi="Arial" w:cs="Arial"/>
        </w:rPr>
        <w:t>(</w:t>
      </w:r>
      <w:r w:rsidRPr="00DA12AD">
        <w:rPr>
          <w:rFonts w:ascii="Arial" w:hAnsi="Arial" w:cs="Arial"/>
        </w:rPr>
        <w:t>2019</w:t>
      </w:r>
      <w:r w:rsidR="00AA1242">
        <w:rPr>
          <w:rFonts w:ascii="Arial" w:hAnsi="Arial" w:cs="Arial"/>
        </w:rPr>
        <w:t>)</w:t>
      </w:r>
      <w:r w:rsidRPr="00DA12AD">
        <w:rPr>
          <w:rFonts w:ascii="Arial" w:hAnsi="Arial" w:cs="Arial"/>
        </w:rPr>
        <w:t>. Understanding disease progression and improving Alzheimer's disease clinical trials: Recent highlights from the Alzheimer's Disease Neuroimaging Initiative. </w:t>
      </w:r>
      <w:r w:rsidRPr="00DA12AD">
        <w:rPr>
          <w:rFonts w:ascii="Arial" w:hAnsi="Arial" w:cs="Arial"/>
          <w:i/>
          <w:iCs/>
        </w:rPr>
        <w:t>Alzheimer's &amp; Dementia</w:t>
      </w:r>
      <w:r w:rsidRPr="00DA12AD">
        <w:rPr>
          <w:rFonts w:ascii="Arial" w:hAnsi="Arial" w:cs="Arial"/>
        </w:rPr>
        <w:t>, </w:t>
      </w:r>
      <w:r w:rsidRPr="00DA12AD">
        <w:rPr>
          <w:rFonts w:ascii="Arial" w:hAnsi="Arial" w:cs="Arial"/>
          <w:i/>
          <w:iCs/>
        </w:rPr>
        <w:t>15</w:t>
      </w:r>
      <w:r w:rsidRPr="00DA12AD">
        <w:rPr>
          <w:rFonts w:ascii="Arial" w:hAnsi="Arial" w:cs="Arial"/>
        </w:rPr>
        <w:t>(1), pp.106-152.</w:t>
      </w:r>
    </w:p>
    <w:p w14:paraId="5FCA5796" w14:textId="7CB6BEA0" w:rsidR="004E2A97" w:rsidRPr="00BA0BD1" w:rsidRDefault="004E2A97" w:rsidP="00A33923">
      <w:pPr>
        <w:spacing w:before="240" w:after="0" w:line="360" w:lineRule="auto"/>
        <w:jc w:val="both"/>
        <w:rPr>
          <w:rFonts w:ascii="Arial" w:hAnsi="Arial" w:cs="Arial"/>
        </w:rPr>
      </w:pPr>
      <w:r w:rsidRPr="006D33AD">
        <w:rPr>
          <w:rFonts w:ascii="Arial" w:hAnsi="Arial" w:cs="Arial"/>
        </w:rPr>
        <w:t xml:space="preserve">Vu-Ngoc, H., Elawady, S.S., Mehyar, G.M., Abdelhamid, A.H., Mattar, O.M., Halhouli, O., Vuong, N.L., Ali, C.D.M., Hassan, U.H., Kien, N.D. and Hirayama, K., </w:t>
      </w:r>
      <w:r>
        <w:rPr>
          <w:rFonts w:ascii="Arial" w:hAnsi="Arial" w:cs="Arial"/>
        </w:rPr>
        <w:t>(</w:t>
      </w:r>
      <w:r w:rsidRPr="006D33AD">
        <w:rPr>
          <w:rFonts w:ascii="Arial" w:hAnsi="Arial" w:cs="Arial"/>
        </w:rPr>
        <w:t>2018</w:t>
      </w:r>
      <w:r>
        <w:rPr>
          <w:rFonts w:ascii="Arial" w:hAnsi="Arial" w:cs="Arial"/>
        </w:rPr>
        <w:t>)</w:t>
      </w:r>
      <w:r w:rsidRPr="006D33AD">
        <w:rPr>
          <w:rFonts w:ascii="Arial" w:hAnsi="Arial" w:cs="Arial"/>
        </w:rPr>
        <w:t>. Quality of flow diagram in systematic review and/or meta-analysis. </w:t>
      </w:r>
      <w:r w:rsidRPr="006D33AD">
        <w:rPr>
          <w:rFonts w:ascii="Arial" w:hAnsi="Arial" w:cs="Arial"/>
          <w:i/>
          <w:iCs/>
        </w:rPr>
        <w:t>PloS one</w:t>
      </w:r>
      <w:r w:rsidRPr="006D33AD">
        <w:rPr>
          <w:rFonts w:ascii="Arial" w:hAnsi="Arial" w:cs="Arial"/>
        </w:rPr>
        <w:t>, </w:t>
      </w:r>
      <w:r w:rsidRPr="006D33AD">
        <w:rPr>
          <w:rFonts w:ascii="Arial" w:hAnsi="Arial" w:cs="Arial"/>
          <w:i/>
          <w:iCs/>
        </w:rPr>
        <w:t>13</w:t>
      </w:r>
      <w:r w:rsidRPr="006D33AD">
        <w:rPr>
          <w:rFonts w:ascii="Arial" w:hAnsi="Arial" w:cs="Arial"/>
        </w:rPr>
        <w:t>(6), p.e0195955.</w:t>
      </w:r>
    </w:p>
    <w:p w14:paraId="05DC6367" w14:textId="77777777" w:rsidR="00A240E8" w:rsidRPr="00087A1F" w:rsidRDefault="00A240E8" w:rsidP="00A33923">
      <w:pPr>
        <w:spacing w:before="240" w:after="0" w:line="360" w:lineRule="auto"/>
        <w:jc w:val="both"/>
        <w:rPr>
          <w:rFonts w:ascii="Arial" w:hAnsi="Arial" w:cs="Arial"/>
        </w:rPr>
      </w:pPr>
      <w:r w:rsidRPr="00087A1F">
        <w:rPr>
          <w:rFonts w:ascii="Arial" w:hAnsi="Arial" w:cs="Arial"/>
        </w:rPr>
        <w:lastRenderedPageBreak/>
        <w:t>Wæraas, A., (2022). Thematic analysis: Making values emerge from texts. In </w:t>
      </w:r>
      <w:r w:rsidRPr="00087A1F">
        <w:rPr>
          <w:rFonts w:ascii="Arial" w:hAnsi="Arial" w:cs="Arial"/>
          <w:i/>
          <w:iCs/>
        </w:rPr>
        <w:t>Researching values: Methodological approaches for understanding values work in organisations and leadership</w:t>
      </w:r>
      <w:r w:rsidRPr="00087A1F">
        <w:rPr>
          <w:rFonts w:ascii="Arial" w:hAnsi="Arial" w:cs="Arial"/>
        </w:rPr>
        <w:t> (pp. 153-170). Cham: Springer International Publishing.</w:t>
      </w:r>
    </w:p>
    <w:p w14:paraId="78C7AF33" w14:textId="77777777" w:rsidR="00A240E8" w:rsidRDefault="00A240E8" w:rsidP="00A33923">
      <w:pPr>
        <w:spacing w:before="240" w:after="0" w:line="360" w:lineRule="auto"/>
        <w:jc w:val="both"/>
        <w:rPr>
          <w:rFonts w:ascii="Arial" w:hAnsi="Arial" w:cs="Arial"/>
        </w:rPr>
      </w:pPr>
      <w:r w:rsidRPr="00332136">
        <w:rPr>
          <w:rFonts w:ascii="Arial" w:hAnsi="Arial" w:cs="Arial"/>
        </w:rPr>
        <w:t>Watson, J., Giebel, C., Green, M., Darlington</w:t>
      </w:r>
      <w:r w:rsidRPr="00332136">
        <w:rPr>
          <w:rFonts w:ascii="Cambria Math" w:hAnsi="Cambria Math" w:cs="Cambria Math"/>
        </w:rPr>
        <w:t>‐</w:t>
      </w:r>
      <w:r w:rsidRPr="00332136">
        <w:rPr>
          <w:rFonts w:ascii="Arial" w:hAnsi="Arial" w:cs="Arial"/>
        </w:rPr>
        <w:t xml:space="preserve">Pollock, F. and Akpan, A., </w:t>
      </w:r>
      <w:r>
        <w:rPr>
          <w:rFonts w:ascii="Arial" w:hAnsi="Arial" w:cs="Arial"/>
        </w:rPr>
        <w:t>(</w:t>
      </w:r>
      <w:r w:rsidRPr="00332136">
        <w:rPr>
          <w:rFonts w:ascii="Arial" w:hAnsi="Arial" w:cs="Arial"/>
        </w:rPr>
        <w:t>2021</w:t>
      </w:r>
      <w:r>
        <w:rPr>
          <w:rFonts w:ascii="Arial" w:hAnsi="Arial" w:cs="Arial"/>
        </w:rPr>
        <w:t>)</w:t>
      </w:r>
      <w:r w:rsidRPr="00332136">
        <w:rPr>
          <w:rFonts w:ascii="Arial" w:hAnsi="Arial" w:cs="Arial"/>
        </w:rPr>
        <w:t>. Use of routine and cohort data globally in exploring dementia care pathways and inequalities: A systematic review.</w:t>
      </w:r>
    </w:p>
    <w:p w14:paraId="12A0D26E" w14:textId="067495D2" w:rsidR="00DA12AD" w:rsidRDefault="00DA12AD" w:rsidP="00A33923">
      <w:pPr>
        <w:spacing w:before="240" w:after="0" w:line="360" w:lineRule="auto"/>
        <w:jc w:val="both"/>
        <w:rPr>
          <w:rFonts w:ascii="Arial" w:hAnsi="Arial" w:cs="Arial"/>
        </w:rPr>
      </w:pPr>
      <w:r w:rsidRPr="00DA12AD">
        <w:rPr>
          <w:rFonts w:ascii="Arial" w:hAnsi="Arial" w:cs="Arial"/>
        </w:rPr>
        <w:t xml:space="preserve">Weller, J. and Budson, A., </w:t>
      </w:r>
      <w:r w:rsidR="0037496A">
        <w:rPr>
          <w:rFonts w:ascii="Arial" w:hAnsi="Arial" w:cs="Arial"/>
        </w:rPr>
        <w:t>(</w:t>
      </w:r>
      <w:r w:rsidRPr="00DA12AD">
        <w:rPr>
          <w:rFonts w:ascii="Arial" w:hAnsi="Arial" w:cs="Arial"/>
        </w:rPr>
        <w:t>2018</w:t>
      </w:r>
      <w:r w:rsidR="0037496A">
        <w:rPr>
          <w:rFonts w:ascii="Arial" w:hAnsi="Arial" w:cs="Arial"/>
        </w:rPr>
        <w:t>)</w:t>
      </w:r>
      <w:r w:rsidRPr="00DA12AD">
        <w:rPr>
          <w:rFonts w:ascii="Arial" w:hAnsi="Arial" w:cs="Arial"/>
        </w:rPr>
        <w:t>. Current understanding of Alzheimer’s disease diagnosis and treatment. </w:t>
      </w:r>
      <w:r w:rsidRPr="00DA12AD">
        <w:rPr>
          <w:rFonts w:ascii="Arial" w:hAnsi="Arial" w:cs="Arial"/>
          <w:i/>
          <w:iCs/>
        </w:rPr>
        <w:t>F1000Research</w:t>
      </w:r>
      <w:r w:rsidRPr="00DA12AD">
        <w:rPr>
          <w:rFonts w:ascii="Arial" w:hAnsi="Arial" w:cs="Arial"/>
        </w:rPr>
        <w:t>, </w:t>
      </w:r>
      <w:r w:rsidRPr="00DA12AD">
        <w:rPr>
          <w:rFonts w:ascii="Arial" w:hAnsi="Arial" w:cs="Arial"/>
          <w:i/>
          <w:iCs/>
        </w:rPr>
        <w:t>7</w:t>
      </w:r>
      <w:r w:rsidRPr="00DA12AD">
        <w:rPr>
          <w:rFonts w:ascii="Arial" w:hAnsi="Arial" w:cs="Arial"/>
        </w:rPr>
        <w:t>, pp.F1000-Faculty.</w:t>
      </w:r>
    </w:p>
    <w:p w14:paraId="1F993170" w14:textId="4BC65467" w:rsidR="00A240E8" w:rsidRDefault="00A240E8" w:rsidP="00A33923">
      <w:pPr>
        <w:spacing w:before="240" w:after="0" w:line="360" w:lineRule="auto"/>
        <w:jc w:val="both"/>
        <w:rPr>
          <w:rFonts w:ascii="Arial" w:hAnsi="Arial" w:cs="Arial"/>
        </w:rPr>
      </w:pPr>
      <w:r w:rsidRPr="000B6FE9">
        <w:rPr>
          <w:rFonts w:ascii="Arial" w:hAnsi="Arial" w:cs="Arial"/>
        </w:rPr>
        <w:t xml:space="preserve">Zakrzewski, J.J., Davis, J.D., Gemelli, Z.T. and Korthauer, L.E., </w:t>
      </w:r>
      <w:r>
        <w:rPr>
          <w:rFonts w:ascii="Arial" w:hAnsi="Arial" w:cs="Arial"/>
        </w:rPr>
        <w:t>(</w:t>
      </w:r>
      <w:r w:rsidRPr="000B6FE9">
        <w:rPr>
          <w:rFonts w:ascii="Arial" w:hAnsi="Arial" w:cs="Arial"/>
        </w:rPr>
        <w:t>2024</w:t>
      </w:r>
      <w:r>
        <w:rPr>
          <w:rFonts w:ascii="Arial" w:hAnsi="Arial" w:cs="Arial"/>
        </w:rPr>
        <w:t>)</w:t>
      </w:r>
      <w:r w:rsidRPr="000B6FE9">
        <w:rPr>
          <w:rFonts w:ascii="Arial" w:hAnsi="Arial" w:cs="Arial"/>
        </w:rPr>
        <w:t>. Understanding Health Beliefs and Health Behaviors in Older Adults at Risk for Alzheimer’s Disease. </w:t>
      </w:r>
      <w:r w:rsidRPr="000B6FE9">
        <w:rPr>
          <w:rFonts w:ascii="Arial" w:hAnsi="Arial" w:cs="Arial"/>
          <w:i/>
          <w:iCs/>
        </w:rPr>
        <w:t>Journal of Alzheimer’s Disease</w:t>
      </w:r>
      <w:r w:rsidRPr="000B6FE9">
        <w:rPr>
          <w:rFonts w:ascii="Arial" w:hAnsi="Arial" w:cs="Arial"/>
        </w:rPr>
        <w:t>, </w:t>
      </w:r>
      <w:r w:rsidRPr="000B6FE9">
        <w:rPr>
          <w:rFonts w:ascii="Arial" w:hAnsi="Arial" w:cs="Arial"/>
          <w:i/>
          <w:iCs/>
        </w:rPr>
        <w:t>99</w:t>
      </w:r>
      <w:r w:rsidRPr="000B6FE9">
        <w:rPr>
          <w:rFonts w:ascii="Arial" w:hAnsi="Arial" w:cs="Arial"/>
        </w:rPr>
        <w:t>(3), pp.1093-1104.</w:t>
      </w:r>
    </w:p>
    <w:p w14:paraId="530A5D8B" w14:textId="77777777" w:rsidR="00A240E8" w:rsidRPr="006C25FD" w:rsidRDefault="00A240E8" w:rsidP="00A33923">
      <w:pPr>
        <w:spacing w:before="240" w:after="0" w:line="360" w:lineRule="auto"/>
        <w:jc w:val="both"/>
        <w:rPr>
          <w:rFonts w:ascii="Arial" w:hAnsi="Arial" w:cs="Arial"/>
        </w:rPr>
      </w:pPr>
      <w:r w:rsidRPr="00D14415">
        <w:rPr>
          <w:rFonts w:ascii="Arial" w:hAnsi="Arial" w:cs="Arial"/>
        </w:rPr>
        <w:t xml:space="preserve">Zvěřová, M., </w:t>
      </w:r>
      <w:r>
        <w:rPr>
          <w:rFonts w:ascii="Arial" w:hAnsi="Arial" w:cs="Arial"/>
        </w:rPr>
        <w:t>(</w:t>
      </w:r>
      <w:r w:rsidRPr="00D14415">
        <w:rPr>
          <w:rFonts w:ascii="Arial" w:hAnsi="Arial" w:cs="Arial"/>
        </w:rPr>
        <w:t>2019</w:t>
      </w:r>
      <w:r>
        <w:rPr>
          <w:rFonts w:ascii="Arial" w:hAnsi="Arial" w:cs="Arial"/>
        </w:rPr>
        <w:t>)</w:t>
      </w:r>
      <w:r w:rsidRPr="00D14415">
        <w:rPr>
          <w:rFonts w:ascii="Arial" w:hAnsi="Arial" w:cs="Arial"/>
        </w:rPr>
        <w:t>. Clinical aspects of Alzheimer's disease. </w:t>
      </w:r>
      <w:r w:rsidRPr="00D14415">
        <w:rPr>
          <w:rFonts w:ascii="Arial" w:hAnsi="Arial" w:cs="Arial"/>
          <w:i/>
          <w:iCs/>
        </w:rPr>
        <w:t>Clinical biochemistry</w:t>
      </w:r>
      <w:r w:rsidRPr="00D14415">
        <w:rPr>
          <w:rFonts w:ascii="Arial" w:hAnsi="Arial" w:cs="Arial"/>
        </w:rPr>
        <w:t>, </w:t>
      </w:r>
      <w:r w:rsidRPr="00D14415">
        <w:rPr>
          <w:rFonts w:ascii="Arial" w:hAnsi="Arial" w:cs="Arial"/>
          <w:i/>
          <w:iCs/>
        </w:rPr>
        <w:t>72</w:t>
      </w:r>
      <w:r w:rsidRPr="00D14415">
        <w:rPr>
          <w:rFonts w:ascii="Arial" w:hAnsi="Arial" w:cs="Arial"/>
        </w:rPr>
        <w:t>, pp.3-6.</w:t>
      </w:r>
    </w:p>
    <w:p w14:paraId="1AA2ED88" w14:textId="77777777" w:rsidR="000176DC" w:rsidRPr="001E579A" w:rsidRDefault="000176DC" w:rsidP="005F661A">
      <w:pPr>
        <w:rPr>
          <w:rFonts w:ascii="Arial" w:hAnsi="Arial" w:cs="Arial"/>
        </w:rPr>
      </w:pPr>
    </w:p>
    <w:sectPr w:rsidR="000176DC" w:rsidRPr="001E579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770F4" w14:textId="77777777" w:rsidR="00C10597" w:rsidRDefault="00C10597" w:rsidP="004816F2">
      <w:pPr>
        <w:spacing w:after="0" w:line="240" w:lineRule="auto"/>
      </w:pPr>
      <w:r>
        <w:separator/>
      </w:r>
    </w:p>
  </w:endnote>
  <w:endnote w:type="continuationSeparator" w:id="0">
    <w:p w14:paraId="7EDB80E6" w14:textId="77777777" w:rsidR="00C10597" w:rsidRDefault="00C10597" w:rsidP="00481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7512982"/>
      <w:docPartObj>
        <w:docPartGallery w:val="Page Numbers (Bottom of Page)"/>
        <w:docPartUnique/>
      </w:docPartObj>
    </w:sdtPr>
    <w:sdtContent>
      <w:p w14:paraId="2882983E" w14:textId="39A33949" w:rsidR="00FE3F66" w:rsidRDefault="00FE3F66">
        <w:pPr>
          <w:pStyle w:val="Footer"/>
          <w:jc w:val="right"/>
        </w:pPr>
        <w:r>
          <w:fldChar w:fldCharType="begin"/>
        </w:r>
        <w:r>
          <w:instrText>PAGE   \* MERGEFORMAT</w:instrText>
        </w:r>
        <w:r>
          <w:fldChar w:fldCharType="separate"/>
        </w:r>
        <w:r>
          <w:t>2</w:t>
        </w:r>
        <w:r>
          <w:fldChar w:fldCharType="end"/>
        </w:r>
      </w:p>
    </w:sdtContent>
  </w:sdt>
  <w:p w14:paraId="5DC88406" w14:textId="22D6EBCD" w:rsidR="00FE3F66" w:rsidRDefault="00FE3F66">
    <w:pPr>
      <w:pStyle w:val="Footer"/>
    </w:pPr>
    <w:r>
      <w:t>Amee Vadaliya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068D7" w14:textId="77777777" w:rsidR="00C10597" w:rsidRDefault="00C10597" w:rsidP="004816F2">
      <w:pPr>
        <w:spacing w:after="0" w:line="240" w:lineRule="auto"/>
      </w:pPr>
      <w:r>
        <w:separator/>
      </w:r>
    </w:p>
  </w:footnote>
  <w:footnote w:type="continuationSeparator" w:id="0">
    <w:p w14:paraId="6B709279" w14:textId="77777777" w:rsidR="00C10597" w:rsidRDefault="00C10597" w:rsidP="004816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96E9C"/>
    <w:multiLevelType w:val="multilevel"/>
    <w:tmpl w:val="520E3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076D8A"/>
    <w:multiLevelType w:val="multilevel"/>
    <w:tmpl w:val="1A162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0F29FE"/>
    <w:multiLevelType w:val="hybridMultilevel"/>
    <w:tmpl w:val="B332038E"/>
    <w:lvl w:ilvl="0" w:tplc="08090001">
      <w:start w:val="1"/>
      <w:numFmt w:val="bullet"/>
      <w:lvlText w:val=""/>
      <w:lvlJc w:val="left"/>
      <w:pPr>
        <w:ind w:left="502" w:hanging="360"/>
      </w:pPr>
      <w:rPr>
        <w:rFonts w:ascii="Symbol" w:hAnsi="Symbol" w:hint="default"/>
      </w:rPr>
    </w:lvl>
    <w:lvl w:ilvl="1" w:tplc="FFFFFFFF">
      <w:start w:val="1"/>
      <w:numFmt w:val="bullet"/>
      <w:lvlText w:val="o"/>
      <w:lvlJc w:val="left"/>
      <w:pPr>
        <w:ind w:left="1222" w:hanging="360"/>
      </w:pPr>
      <w:rPr>
        <w:rFonts w:ascii="Courier New" w:hAnsi="Courier New" w:cs="Courier New" w:hint="default"/>
      </w:rPr>
    </w:lvl>
    <w:lvl w:ilvl="2" w:tplc="FFFFFFFF">
      <w:start w:val="1"/>
      <w:numFmt w:val="bullet"/>
      <w:lvlText w:val=""/>
      <w:lvlJc w:val="left"/>
      <w:pPr>
        <w:ind w:left="1942" w:hanging="360"/>
      </w:pPr>
      <w:rPr>
        <w:rFonts w:ascii="Wingdings" w:hAnsi="Wingdings" w:hint="default"/>
      </w:rPr>
    </w:lvl>
    <w:lvl w:ilvl="3" w:tplc="FFFFFFFF">
      <w:start w:val="1"/>
      <w:numFmt w:val="bullet"/>
      <w:lvlText w:val=""/>
      <w:lvlJc w:val="left"/>
      <w:pPr>
        <w:ind w:left="2662" w:hanging="360"/>
      </w:pPr>
      <w:rPr>
        <w:rFonts w:ascii="Symbol" w:hAnsi="Symbol" w:hint="default"/>
      </w:rPr>
    </w:lvl>
    <w:lvl w:ilvl="4" w:tplc="FFFFFFFF">
      <w:start w:val="1"/>
      <w:numFmt w:val="bullet"/>
      <w:lvlText w:val="o"/>
      <w:lvlJc w:val="left"/>
      <w:pPr>
        <w:ind w:left="3382" w:hanging="360"/>
      </w:pPr>
      <w:rPr>
        <w:rFonts w:ascii="Courier New" w:hAnsi="Courier New" w:cs="Courier New" w:hint="default"/>
      </w:rPr>
    </w:lvl>
    <w:lvl w:ilvl="5" w:tplc="FFFFFFFF">
      <w:start w:val="1"/>
      <w:numFmt w:val="bullet"/>
      <w:lvlText w:val=""/>
      <w:lvlJc w:val="left"/>
      <w:pPr>
        <w:ind w:left="4102" w:hanging="360"/>
      </w:pPr>
      <w:rPr>
        <w:rFonts w:ascii="Wingdings" w:hAnsi="Wingdings" w:hint="default"/>
      </w:rPr>
    </w:lvl>
    <w:lvl w:ilvl="6" w:tplc="FFFFFFFF">
      <w:start w:val="1"/>
      <w:numFmt w:val="bullet"/>
      <w:lvlText w:val=""/>
      <w:lvlJc w:val="left"/>
      <w:pPr>
        <w:ind w:left="4822" w:hanging="360"/>
      </w:pPr>
      <w:rPr>
        <w:rFonts w:ascii="Symbol" w:hAnsi="Symbol" w:hint="default"/>
      </w:rPr>
    </w:lvl>
    <w:lvl w:ilvl="7" w:tplc="FFFFFFFF">
      <w:start w:val="1"/>
      <w:numFmt w:val="bullet"/>
      <w:lvlText w:val="o"/>
      <w:lvlJc w:val="left"/>
      <w:pPr>
        <w:ind w:left="5542" w:hanging="360"/>
      </w:pPr>
      <w:rPr>
        <w:rFonts w:ascii="Courier New" w:hAnsi="Courier New" w:cs="Courier New" w:hint="default"/>
      </w:rPr>
    </w:lvl>
    <w:lvl w:ilvl="8" w:tplc="FFFFFFFF">
      <w:start w:val="1"/>
      <w:numFmt w:val="bullet"/>
      <w:lvlText w:val=""/>
      <w:lvlJc w:val="left"/>
      <w:pPr>
        <w:ind w:left="6262" w:hanging="360"/>
      </w:pPr>
      <w:rPr>
        <w:rFonts w:ascii="Wingdings" w:hAnsi="Wingdings" w:hint="default"/>
      </w:rPr>
    </w:lvl>
  </w:abstractNum>
  <w:abstractNum w:abstractNumId="3" w15:restartNumberingAfterBreak="0">
    <w:nsid w:val="715A6310"/>
    <w:multiLevelType w:val="hybridMultilevel"/>
    <w:tmpl w:val="2C46DB7E"/>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484006414">
    <w:abstractNumId w:val="2"/>
  </w:num>
  <w:num w:numId="2" w16cid:durableId="812213360">
    <w:abstractNumId w:val="2"/>
  </w:num>
  <w:num w:numId="3" w16cid:durableId="903032594">
    <w:abstractNumId w:val="0"/>
  </w:num>
  <w:num w:numId="4" w16cid:durableId="1521772049">
    <w:abstractNumId w:val="3"/>
  </w:num>
  <w:num w:numId="5" w16cid:durableId="311182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647"/>
    <w:rsid w:val="000176DC"/>
    <w:rsid w:val="000232B3"/>
    <w:rsid w:val="000467C5"/>
    <w:rsid w:val="00053746"/>
    <w:rsid w:val="000D2871"/>
    <w:rsid w:val="00133D22"/>
    <w:rsid w:val="00160E8B"/>
    <w:rsid w:val="001A6776"/>
    <w:rsid w:val="001B19CD"/>
    <w:rsid w:val="001B461C"/>
    <w:rsid w:val="001E579A"/>
    <w:rsid w:val="00235910"/>
    <w:rsid w:val="00253F0F"/>
    <w:rsid w:val="00294D0C"/>
    <w:rsid w:val="00302557"/>
    <w:rsid w:val="00310E2A"/>
    <w:rsid w:val="003116EA"/>
    <w:rsid w:val="00311968"/>
    <w:rsid w:val="0032434B"/>
    <w:rsid w:val="00370D68"/>
    <w:rsid w:val="0037496A"/>
    <w:rsid w:val="0040603E"/>
    <w:rsid w:val="00411CA4"/>
    <w:rsid w:val="00416647"/>
    <w:rsid w:val="00417F03"/>
    <w:rsid w:val="00437BD4"/>
    <w:rsid w:val="00440840"/>
    <w:rsid w:val="004465D5"/>
    <w:rsid w:val="00447C34"/>
    <w:rsid w:val="0045255A"/>
    <w:rsid w:val="0046578B"/>
    <w:rsid w:val="004816F2"/>
    <w:rsid w:val="004A1AE0"/>
    <w:rsid w:val="004B4058"/>
    <w:rsid w:val="004D4BE7"/>
    <w:rsid w:val="004E2A97"/>
    <w:rsid w:val="004F2A3D"/>
    <w:rsid w:val="005049AD"/>
    <w:rsid w:val="005153E5"/>
    <w:rsid w:val="005516FF"/>
    <w:rsid w:val="00554B8A"/>
    <w:rsid w:val="00567001"/>
    <w:rsid w:val="00567B84"/>
    <w:rsid w:val="00580C46"/>
    <w:rsid w:val="005871E2"/>
    <w:rsid w:val="005A591C"/>
    <w:rsid w:val="005D06DE"/>
    <w:rsid w:val="005D15F8"/>
    <w:rsid w:val="005F2D25"/>
    <w:rsid w:val="005F661A"/>
    <w:rsid w:val="00644C6C"/>
    <w:rsid w:val="00645F57"/>
    <w:rsid w:val="006622D5"/>
    <w:rsid w:val="00666DA7"/>
    <w:rsid w:val="006E73EB"/>
    <w:rsid w:val="00737E3C"/>
    <w:rsid w:val="00747C3B"/>
    <w:rsid w:val="00762D55"/>
    <w:rsid w:val="00790FEC"/>
    <w:rsid w:val="007D78EA"/>
    <w:rsid w:val="00806EE1"/>
    <w:rsid w:val="008161F2"/>
    <w:rsid w:val="008276E5"/>
    <w:rsid w:val="008430B6"/>
    <w:rsid w:val="00857F49"/>
    <w:rsid w:val="00871361"/>
    <w:rsid w:val="008727AE"/>
    <w:rsid w:val="00896D54"/>
    <w:rsid w:val="008D47EB"/>
    <w:rsid w:val="008D5CA8"/>
    <w:rsid w:val="008E57B2"/>
    <w:rsid w:val="00903671"/>
    <w:rsid w:val="00917497"/>
    <w:rsid w:val="0093658E"/>
    <w:rsid w:val="00953BF1"/>
    <w:rsid w:val="009708A7"/>
    <w:rsid w:val="009717BB"/>
    <w:rsid w:val="0097418C"/>
    <w:rsid w:val="00993304"/>
    <w:rsid w:val="00993822"/>
    <w:rsid w:val="009B360B"/>
    <w:rsid w:val="009C2C1D"/>
    <w:rsid w:val="00A240E8"/>
    <w:rsid w:val="00A33923"/>
    <w:rsid w:val="00A65421"/>
    <w:rsid w:val="00A81134"/>
    <w:rsid w:val="00A82356"/>
    <w:rsid w:val="00A85B59"/>
    <w:rsid w:val="00AA1242"/>
    <w:rsid w:val="00AE5596"/>
    <w:rsid w:val="00AF341A"/>
    <w:rsid w:val="00B61DAB"/>
    <w:rsid w:val="00B655DA"/>
    <w:rsid w:val="00B80BE1"/>
    <w:rsid w:val="00B8569E"/>
    <w:rsid w:val="00C02E0D"/>
    <w:rsid w:val="00C10597"/>
    <w:rsid w:val="00C11F0E"/>
    <w:rsid w:val="00C1618D"/>
    <w:rsid w:val="00C225B9"/>
    <w:rsid w:val="00C32AFD"/>
    <w:rsid w:val="00C645FC"/>
    <w:rsid w:val="00C82724"/>
    <w:rsid w:val="00CC19F1"/>
    <w:rsid w:val="00CF1DFA"/>
    <w:rsid w:val="00D14C66"/>
    <w:rsid w:val="00D21125"/>
    <w:rsid w:val="00D32E62"/>
    <w:rsid w:val="00D67A0D"/>
    <w:rsid w:val="00DA12AD"/>
    <w:rsid w:val="00DC1B0F"/>
    <w:rsid w:val="00DF7523"/>
    <w:rsid w:val="00E267CE"/>
    <w:rsid w:val="00E34877"/>
    <w:rsid w:val="00E46EDF"/>
    <w:rsid w:val="00E66398"/>
    <w:rsid w:val="00E9364E"/>
    <w:rsid w:val="00ED771F"/>
    <w:rsid w:val="00ED7BE7"/>
    <w:rsid w:val="00EE782F"/>
    <w:rsid w:val="00F019AA"/>
    <w:rsid w:val="00F04C97"/>
    <w:rsid w:val="00F30165"/>
    <w:rsid w:val="00F40171"/>
    <w:rsid w:val="00F50E51"/>
    <w:rsid w:val="00F653C4"/>
    <w:rsid w:val="00F97AF0"/>
    <w:rsid w:val="00FA1C87"/>
    <w:rsid w:val="00FE3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71E716"/>
  <w15:chartTrackingRefBased/>
  <w15:docId w15:val="{BB96BD4E-792E-4811-9888-F89CFF4A0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416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6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6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6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416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6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6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6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647"/>
    <w:rPr>
      <w:rFonts w:eastAsiaTheme="majorEastAsia" w:cstheme="majorBidi"/>
      <w:color w:val="272727" w:themeColor="text1" w:themeTint="D8"/>
    </w:rPr>
  </w:style>
  <w:style w:type="paragraph" w:styleId="Title">
    <w:name w:val="Title"/>
    <w:basedOn w:val="Normal"/>
    <w:next w:val="Normal"/>
    <w:link w:val="TitleChar"/>
    <w:uiPriority w:val="10"/>
    <w:qFormat/>
    <w:rsid w:val="00416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647"/>
    <w:pPr>
      <w:spacing w:before="160"/>
      <w:jc w:val="center"/>
    </w:pPr>
    <w:rPr>
      <w:i/>
      <w:iCs/>
      <w:color w:val="404040" w:themeColor="text1" w:themeTint="BF"/>
    </w:rPr>
  </w:style>
  <w:style w:type="character" w:customStyle="1" w:styleId="QuoteChar">
    <w:name w:val="Quote Char"/>
    <w:basedOn w:val="DefaultParagraphFont"/>
    <w:link w:val="Quote"/>
    <w:uiPriority w:val="29"/>
    <w:rsid w:val="00416647"/>
    <w:rPr>
      <w:i/>
      <w:iCs/>
      <w:color w:val="404040" w:themeColor="text1" w:themeTint="BF"/>
    </w:rPr>
  </w:style>
  <w:style w:type="paragraph" w:styleId="ListParagraph">
    <w:name w:val="List Paragraph"/>
    <w:basedOn w:val="Normal"/>
    <w:uiPriority w:val="34"/>
    <w:qFormat/>
    <w:rsid w:val="00416647"/>
    <w:pPr>
      <w:ind w:left="720"/>
      <w:contextualSpacing/>
    </w:pPr>
  </w:style>
  <w:style w:type="character" w:styleId="IntenseEmphasis">
    <w:name w:val="Intense Emphasis"/>
    <w:basedOn w:val="DefaultParagraphFont"/>
    <w:uiPriority w:val="21"/>
    <w:qFormat/>
    <w:rsid w:val="00416647"/>
    <w:rPr>
      <w:i/>
      <w:iCs/>
      <w:color w:val="0F4761" w:themeColor="accent1" w:themeShade="BF"/>
    </w:rPr>
  </w:style>
  <w:style w:type="paragraph" w:styleId="IntenseQuote">
    <w:name w:val="Intense Quote"/>
    <w:basedOn w:val="Normal"/>
    <w:next w:val="Normal"/>
    <w:link w:val="IntenseQuoteChar"/>
    <w:uiPriority w:val="30"/>
    <w:qFormat/>
    <w:rsid w:val="00416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6647"/>
    <w:rPr>
      <w:i/>
      <w:iCs/>
      <w:color w:val="0F4761" w:themeColor="accent1" w:themeShade="BF"/>
    </w:rPr>
  </w:style>
  <w:style w:type="character" w:styleId="IntenseReference">
    <w:name w:val="Intense Reference"/>
    <w:basedOn w:val="DefaultParagraphFont"/>
    <w:uiPriority w:val="32"/>
    <w:qFormat/>
    <w:rsid w:val="00416647"/>
    <w:rPr>
      <w:b/>
      <w:bCs/>
      <w:smallCaps/>
      <w:color w:val="0F4761" w:themeColor="accent1" w:themeShade="BF"/>
      <w:spacing w:val="5"/>
    </w:rPr>
  </w:style>
  <w:style w:type="character" w:styleId="Hyperlink">
    <w:name w:val="Hyperlink"/>
    <w:basedOn w:val="DefaultParagraphFont"/>
    <w:uiPriority w:val="99"/>
    <w:unhideWhenUsed/>
    <w:rsid w:val="004816F2"/>
    <w:rPr>
      <w:color w:val="467886" w:themeColor="hyperlink"/>
      <w:u w:val="single"/>
    </w:rPr>
  </w:style>
  <w:style w:type="paragraph" w:styleId="Header">
    <w:name w:val="header"/>
    <w:basedOn w:val="Normal"/>
    <w:link w:val="HeaderChar"/>
    <w:uiPriority w:val="99"/>
    <w:unhideWhenUsed/>
    <w:rsid w:val="00481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6F2"/>
  </w:style>
  <w:style w:type="paragraph" w:styleId="Footer">
    <w:name w:val="footer"/>
    <w:basedOn w:val="Normal"/>
    <w:link w:val="FooterChar"/>
    <w:uiPriority w:val="99"/>
    <w:unhideWhenUsed/>
    <w:rsid w:val="00481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6F2"/>
  </w:style>
  <w:style w:type="table" w:styleId="TableGrid">
    <w:name w:val="Table Grid"/>
    <w:basedOn w:val="TableNormal"/>
    <w:uiPriority w:val="39"/>
    <w:rsid w:val="00A240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54B8A"/>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554B8A"/>
    <w:pPr>
      <w:spacing w:after="100"/>
    </w:pPr>
  </w:style>
  <w:style w:type="paragraph" w:styleId="TOC2">
    <w:name w:val="toc 2"/>
    <w:basedOn w:val="Normal"/>
    <w:next w:val="Normal"/>
    <w:autoRedefine/>
    <w:uiPriority w:val="39"/>
    <w:unhideWhenUsed/>
    <w:rsid w:val="00554B8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4.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england.nhs.uk/long-read/rightcare-dementia-scenario/" TargetMode="Externa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lzheimers.org.uk/blog/south-asian-communities-dementia-deserve-better-support" TargetMode="External"/></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63</Pages>
  <Words>20475</Words>
  <Characters>116713</Characters>
  <Application>Microsoft Office Word</Application>
  <DocSecurity>0</DocSecurity>
  <Lines>972</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Amee Atulbhai Vadaliya (2423127)</cp:lastModifiedBy>
  <cp:revision>15</cp:revision>
  <dcterms:created xsi:type="dcterms:W3CDTF">2026-02-02T02:35:00Z</dcterms:created>
  <dcterms:modified xsi:type="dcterms:W3CDTF">2026-02-03T02:00:00Z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d17144b5-be29-494b-a6dd-3238550afab1</vt:lpwstr>
  </property>
</Properties>
</file>