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28074002"/>
        <w:docPartObj>
          <w:docPartGallery w:val="Cover Pages"/>
          <w:docPartUnique/>
        </w:docPartObj>
      </w:sdtPr>
      <w:sdtEndPr>
        <w:rPr>
          <w:color w:val="000000" w:themeColor="text1"/>
        </w:rPr>
      </w:sdtEndPr>
      <w:sdtContent>
        <w:p w14:paraId="7C222BEC" w14:textId="43783063" w:rsidR="00402828" w:rsidRDefault="00402828" w:rsidP="002C29C0">
          <w:pPr>
            <w:spacing w:line="360" w:lineRule="auto"/>
            <w:jc w:val="both"/>
          </w:pPr>
          <w:r>
            <w:rPr>
              <w:noProof/>
            </w:rPr>
            <mc:AlternateContent>
              <mc:Choice Requires="wps">
                <w:drawing>
                  <wp:anchor distT="0" distB="0" distL="114300" distR="114300" simplePos="0" relativeHeight="251659264" behindDoc="0" locked="0" layoutInCell="1" allowOverlap="1" wp14:anchorId="21F67182" wp14:editId="3D7348B2">
                    <wp:simplePos x="0" y="0"/>
                    <wp:positionH relativeFrom="page">
                      <wp:posOffset>0</wp:posOffset>
                    </wp:positionH>
                    <wp:positionV relativeFrom="page">
                      <wp:posOffset>1095828</wp:posOffset>
                    </wp:positionV>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02C65285" w14:textId="2D78B042" w:rsidR="0023379B" w:rsidRPr="00402828" w:rsidRDefault="00AB0AC6" w:rsidP="00FC62B1">
                                <w:pPr>
                                  <w:pStyle w:val="NoSpacing"/>
                                  <w:spacing w:after="900"/>
                                  <w:rPr>
                                    <w:rFonts w:ascii="Times New Roman" w:hAnsi="Times New Roman" w:cs="Times New Roman"/>
                                    <w:b/>
                                    <w:bCs/>
                                    <w:sz w:val="56"/>
                                    <w:szCs w:val="56"/>
                                  </w:rPr>
                                </w:pPr>
                                <w:r w:rsidRPr="00402828">
                                  <w:rPr>
                                    <w:rFonts w:ascii="Times New Roman" w:hAnsi="Times New Roman" w:cs="Times New Roman"/>
                                    <w:b/>
                                    <w:bCs/>
                                    <w:sz w:val="56"/>
                                    <w:szCs w:val="56"/>
                                  </w:rPr>
                                  <w:t>Sustainable Technolog</w:t>
                                </w:r>
                                <w:r w:rsidR="001A6CD7">
                                  <w:rPr>
                                    <w:rFonts w:ascii="Times New Roman" w:hAnsi="Times New Roman" w:cs="Times New Roman"/>
                                    <w:b/>
                                    <w:bCs/>
                                    <w:sz w:val="56"/>
                                    <w:szCs w:val="56"/>
                                  </w:rPr>
                                  <w:t>y</w:t>
                                </w:r>
                                <w:r w:rsidRPr="00402828">
                                  <w:rPr>
                                    <w:rFonts w:ascii="Times New Roman" w:hAnsi="Times New Roman" w:cs="Times New Roman"/>
                                    <w:b/>
                                    <w:bCs/>
                                    <w:sz w:val="56"/>
                                    <w:szCs w:val="56"/>
                                  </w:rPr>
                                  <w:t xml:space="preserve"> Integration in Early Childhood and </w:t>
                                </w:r>
                                <w:r w:rsidR="001D1D0D" w:rsidRPr="00402828">
                                  <w:rPr>
                                    <w:rFonts w:ascii="Times New Roman" w:hAnsi="Times New Roman" w:cs="Times New Roman"/>
                                    <w:b/>
                                    <w:bCs/>
                                    <w:sz w:val="56"/>
                                    <w:szCs w:val="56"/>
                                  </w:rPr>
                                  <w:t>Its E</w:t>
                                </w:r>
                                <w:r w:rsidRPr="00402828">
                                  <w:rPr>
                                    <w:rFonts w:ascii="Times New Roman" w:hAnsi="Times New Roman" w:cs="Times New Roman"/>
                                    <w:b/>
                                    <w:bCs/>
                                    <w:sz w:val="56"/>
                                    <w:szCs w:val="56"/>
                                  </w:rPr>
                                  <w:t>ffects on Workplace Skills</w:t>
                                </w:r>
                              </w:p>
                              <w:p w14:paraId="534231C1" w14:textId="77777777" w:rsidR="00FD5D3C" w:rsidRPr="00402828" w:rsidRDefault="00FD5D3C" w:rsidP="00FD5D3C">
                                <w:pPr>
                                  <w:pStyle w:val="NoSpacing"/>
                                  <w:rPr>
                                    <w:rFonts w:ascii="Times New Roman" w:hAnsi="Times New Roman" w:cs="Times New Roman"/>
                                    <w:i/>
                                    <w:color w:val="262626" w:themeColor="text1" w:themeTint="D9"/>
                                    <w:sz w:val="32"/>
                                    <w:szCs w:val="32"/>
                                  </w:rPr>
                                </w:pPr>
                                <w:r w:rsidRPr="00402828">
                                  <w:rPr>
                                    <w:rFonts w:ascii="Times New Roman" w:hAnsi="Times New Roman" w:cs="Times New Roman"/>
                                    <w:i/>
                                    <w:color w:val="262626" w:themeColor="text1" w:themeTint="D9"/>
                                    <w:sz w:val="32"/>
                                    <w:szCs w:val="32"/>
                                  </w:rPr>
                                  <w:t>An exploration of the effects of technology, introduced in early childhood, on employability and workplace skills.</w:t>
                                </w:r>
                              </w:p>
                              <w:p w14:paraId="69699AB1" w14:textId="77777777" w:rsidR="00FD5D3C" w:rsidRPr="00402828" w:rsidRDefault="00FD5D3C" w:rsidP="00FC62B1">
                                <w:pPr>
                                  <w:pStyle w:val="NoSpacing"/>
                                  <w:spacing w:after="900"/>
                                  <w:rPr>
                                    <w:rFonts w:ascii="Times New Roman" w:hAnsi="Times New Roman" w:cs="Times New Roman"/>
                                    <w:b/>
                                    <w:bCs/>
                                    <w:color w:val="262626" w:themeColor="text1" w:themeTint="D9"/>
                                    <w:sz w:val="24"/>
                                    <w:szCs w:val="24"/>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21F67182" id="_x0000_t202" coordsize="21600,21600" o:spt="202" path="m,l,21600r21600,l21600,xe">
                    <v:stroke joinstyle="miter"/>
                    <v:path gradientshapeok="t" o:connecttype="rect"/>
                  </v:shapetype>
                  <v:shape id="Text Box 139" o:spid="_x0000_s1026" type="#_x0000_t202" alt="Title: Title and subtitle" style="position:absolute;left:0;text-align:left;margin-left:0;margin-top:86.3pt;width:435.75pt;height:214.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" filled="f" stroked="f" strokeweight=".5pt">
                    <v:textbox style="mso-fit-shape-to-text:t" inset="93.6pt,,0">
                      <w:txbxContent>
                        <w:p w14:paraId="02C65285" w14:textId="2D78B042" w:rsidR="0023379B" w:rsidRPr="00402828" w:rsidRDefault="00AB0AC6" w:rsidP="00FC62B1">
                          <w:pPr>
                            <w:pStyle w:val="NoSpacing"/>
                            <w:spacing w:after="900"/>
                            <w:rPr>
                              <w:rFonts w:ascii="Times New Roman" w:hAnsi="Times New Roman" w:cs="Times New Roman"/>
                              <w:b/>
                              <w:bCs/>
                              <w:sz w:val="56"/>
                              <w:szCs w:val="56"/>
                            </w:rPr>
                          </w:pPr>
                          <w:r w:rsidRPr="00402828">
                            <w:rPr>
                              <w:rFonts w:ascii="Times New Roman" w:hAnsi="Times New Roman" w:cs="Times New Roman"/>
                              <w:b/>
                              <w:bCs/>
                              <w:sz w:val="56"/>
                              <w:szCs w:val="56"/>
                            </w:rPr>
                            <w:t>Sustainable Technolog</w:t>
                          </w:r>
                          <w:r w:rsidR="001A6CD7">
                            <w:rPr>
                              <w:rFonts w:ascii="Times New Roman" w:hAnsi="Times New Roman" w:cs="Times New Roman"/>
                              <w:b/>
                              <w:bCs/>
                              <w:sz w:val="56"/>
                              <w:szCs w:val="56"/>
                            </w:rPr>
                            <w:t>y</w:t>
                          </w:r>
                          <w:r w:rsidRPr="00402828">
                            <w:rPr>
                              <w:rFonts w:ascii="Times New Roman" w:hAnsi="Times New Roman" w:cs="Times New Roman"/>
                              <w:b/>
                              <w:bCs/>
                              <w:sz w:val="56"/>
                              <w:szCs w:val="56"/>
                            </w:rPr>
                            <w:t xml:space="preserve"> Integration in Early Childhood and </w:t>
                          </w:r>
                          <w:r w:rsidR="001D1D0D" w:rsidRPr="00402828">
                            <w:rPr>
                              <w:rFonts w:ascii="Times New Roman" w:hAnsi="Times New Roman" w:cs="Times New Roman"/>
                              <w:b/>
                              <w:bCs/>
                              <w:sz w:val="56"/>
                              <w:szCs w:val="56"/>
                            </w:rPr>
                            <w:t>Its E</w:t>
                          </w:r>
                          <w:r w:rsidRPr="00402828">
                            <w:rPr>
                              <w:rFonts w:ascii="Times New Roman" w:hAnsi="Times New Roman" w:cs="Times New Roman"/>
                              <w:b/>
                              <w:bCs/>
                              <w:sz w:val="56"/>
                              <w:szCs w:val="56"/>
                            </w:rPr>
                            <w:t>ffects on Workplace Skills</w:t>
                          </w:r>
                        </w:p>
                        <w:p w14:paraId="534231C1" w14:textId="77777777" w:rsidR="00FD5D3C" w:rsidRPr="00402828" w:rsidRDefault="00FD5D3C" w:rsidP="00FD5D3C">
                          <w:pPr>
                            <w:pStyle w:val="NoSpacing"/>
                            <w:rPr>
                              <w:rFonts w:ascii="Times New Roman" w:hAnsi="Times New Roman" w:cs="Times New Roman"/>
                              <w:i/>
                              <w:color w:val="262626" w:themeColor="text1" w:themeTint="D9"/>
                              <w:sz w:val="32"/>
                              <w:szCs w:val="32"/>
                            </w:rPr>
                          </w:pPr>
                          <w:r w:rsidRPr="00402828">
                            <w:rPr>
                              <w:rFonts w:ascii="Times New Roman" w:hAnsi="Times New Roman" w:cs="Times New Roman"/>
                              <w:i/>
                              <w:color w:val="262626" w:themeColor="text1" w:themeTint="D9"/>
                              <w:sz w:val="32"/>
                              <w:szCs w:val="32"/>
                            </w:rPr>
                            <w:t>An exploration of the effects of technology, introduced in early childhood, on employability and workplace skills.</w:t>
                          </w:r>
                        </w:p>
                        <w:p w14:paraId="69699AB1" w14:textId="77777777" w:rsidR="00FD5D3C" w:rsidRPr="00402828" w:rsidRDefault="00FD5D3C" w:rsidP="00FC62B1">
                          <w:pPr>
                            <w:pStyle w:val="NoSpacing"/>
                            <w:spacing w:after="900"/>
                            <w:rPr>
                              <w:rFonts w:ascii="Times New Roman" w:hAnsi="Times New Roman" w:cs="Times New Roman"/>
                              <w:b/>
                              <w:bCs/>
                              <w:color w:val="262626" w:themeColor="text1" w:themeTint="D9"/>
                              <w:sz w:val="24"/>
                              <w:szCs w:val="24"/>
                            </w:rPr>
                          </w:pPr>
                        </w:p>
                      </w:txbxContent>
                    </v:textbox>
                    <w10:wrap anchorx="page" anchory="page"/>
                  </v:shape>
                </w:pict>
              </mc:Fallback>
            </mc:AlternateContent>
          </w:r>
        </w:p>
        <w:p w14:paraId="68D6D34B" w14:textId="4B077C7A" w:rsidR="00402828" w:rsidRPr="002563ED" w:rsidRDefault="00402828" w:rsidP="002C29C0">
          <w:pPr>
            <w:spacing w:line="360" w:lineRule="auto"/>
            <w:jc w:val="both"/>
            <w:rPr>
              <w:color w:val="000000" w:themeColor="text1"/>
            </w:rPr>
          </w:pPr>
          <w:r>
            <w:rPr>
              <w:noProof/>
            </w:rPr>
            <mc:AlternateContent>
              <mc:Choice Requires="wps">
                <w:drawing>
                  <wp:anchor distT="0" distB="0" distL="114300" distR="114300" simplePos="0" relativeHeight="251662336" behindDoc="0" locked="0" layoutInCell="1" allowOverlap="1" wp14:anchorId="5F33D293" wp14:editId="5170DDF8">
                    <wp:simplePos x="0" y="0"/>
                    <wp:positionH relativeFrom="page">
                      <wp:posOffset>52705</wp:posOffset>
                    </wp:positionH>
                    <wp:positionV relativeFrom="page">
                      <wp:posOffset>7122432</wp:posOffset>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imes New Roman" w:hAnsi="Times New Roman" w:cs="Times New Roman"/>
                                    <w:b/>
                                    <w:bCs/>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E5880A4" w14:textId="137D4B4D" w:rsidR="00482E33" w:rsidRPr="00402828" w:rsidRDefault="00482E33" w:rsidP="00482E33">
                                    <w:pPr>
                                      <w:pStyle w:val="NoSpacing"/>
                                      <w:spacing w:after="480"/>
                                      <w:rPr>
                                        <w:rFonts w:ascii="Times New Roman" w:hAnsi="Times New Roman" w:cs="Times New Roman"/>
                                        <w:b/>
                                        <w:bCs/>
                                        <w:iCs/>
                                        <w:color w:val="262626" w:themeColor="text1" w:themeTint="D9"/>
                                        <w:sz w:val="32"/>
                                        <w:szCs w:val="32"/>
                                      </w:rPr>
                                    </w:pPr>
                                    <w:r w:rsidRPr="00402828">
                                      <w:rPr>
                                        <w:rFonts w:ascii="Times New Roman" w:hAnsi="Times New Roman" w:cs="Times New Roman"/>
                                        <w:b/>
                                        <w:bCs/>
                                        <w:iCs/>
                                        <w:color w:val="262626" w:themeColor="text1" w:themeTint="D9"/>
                                        <w:sz w:val="32"/>
                                        <w:szCs w:val="32"/>
                                      </w:rPr>
                                      <w:t>Taylor-Jayne Rowe</w:t>
                                    </w:r>
                                  </w:p>
                                </w:sdtContent>
                              </w:sdt>
                              <w:p w14:paraId="644BED1E" w14:textId="77777777" w:rsidR="00482E33" w:rsidRPr="00402828" w:rsidRDefault="00482E33" w:rsidP="00482E33">
                                <w:pPr>
                                  <w:pStyle w:val="NoSpacing"/>
                                  <w:rPr>
                                    <w:rFonts w:ascii="Times New Roman" w:hAnsi="Times New Roman" w:cs="Times New Roman"/>
                                    <w:iCs/>
                                    <w:color w:val="262626" w:themeColor="text1" w:themeTint="D9"/>
                                    <w:sz w:val="26"/>
                                    <w:szCs w:val="26"/>
                                  </w:rPr>
                                </w:pPr>
                                <w:r w:rsidRPr="00402828">
                                  <w:rPr>
                                    <w:rFonts w:ascii="Times New Roman" w:hAnsi="Times New Roman" w:cs="Times New Roman"/>
                                    <w:iCs/>
                                    <w:color w:val="262626" w:themeColor="text1" w:themeTint="D9"/>
                                    <w:sz w:val="26"/>
                                    <w:szCs w:val="26"/>
                                  </w:rPr>
                                  <w:t>2507302</w:t>
                                </w:r>
                              </w:p>
                              <w:p w14:paraId="4FD4740F" w14:textId="77777777" w:rsidR="00482E33" w:rsidRPr="00402828" w:rsidRDefault="00482E33" w:rsidP="00482E33">
                                <w:pPr>
                                  <w:pStyle w:val="NoSpacing"/>
                                  <w:rPr>
                                    <w:rFonts w:ascii="Times New Roman" w:hAnsi="Times New Roman" w:cs="Times New Roman"/>
                                    <w:iCs/>
                                    <w:color w:val="262626" w:themeColor="text1" w:themeTint="D9"/>
                                    <w:sz w:val="26"/>
                                    <w:szCs w:val="26"/>
                                  </w:rPr>
                                </w:pPr>
                                <w:r w:rsidRPr="00402828">
                                  <w:rPr>
                                    <w:rFonts w:ascii="Times New Roman" w:hAnsi="Times New Roman" w:cs="Times New Roman"/>
                                    <w:iCs/>
                                    <w:color w:val="262626" w:themeColor="text1" w:themeTint="D9"/>
                                    <w:sz w:val="26"/>
                                    <w:szCs w:val="26"/>
                                  </w:rPr>
                                  <w:t>University of Wales Trinity St. David</w:t>
                                </w:r>
                              </w:p>
                              <w:p w14:paraId="24754D53" w14:textId="77777777" w:rsidR="00482E33" w:rsidRDefault="00482E33" w:rsidP="00482E33">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5F33D293" id="Text Box 135" o:spid="_x0000_s1027" type="#_x0000_t202" alt="Title: Title and subtitle" style="position:absolute;left:0;text-align:left;margin-left:4.15pt;margin-top:560.8pt;width:435.75pt;height:214.55pt;z-index:251662336;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" filled="f" stroked="f" strokeweight=".5pt">
                    <v:textbox inset="93.6pt,7.2pt,0,1in">
                      <w:txbxContent>
                        <w:sdt>
                          <w:sdtPr>
                            <w:rPr>
                              <w:rFonts w:ascii="Times New Roman" w:hAnsi="Times New Roman" w:cs="Times New Roman"/>
                              <w:b/>
                              <w:bCs/>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E5880A4" w14:textId="137D4B4D" w:rsidR="00482E33" w:rsidRPr="00402828" w:rsidRDefault="00482E33" w:rsidP="00482E33">
                              <w:pPr>
                                <w:pStyle w:val="NoSpacing"/>
                                <w:spacing w:after="480"/>
                                <w:rPr>
                                  <w:rFonts w:ascii="Times New Roman" w:hAnsi="Times New Roman" w:cs="Times New Roman"/>
                                  <w:b/>
                                  <w:bCs/>
                                  <w:iCs/>
                                  <w:color w:val="262626" w:themeColor="text1" w:themeTint="D9"/>
                                  <w:sz w:val="32"/>
                                  <w:szCs w:val="32"/>
                                </w:rPr>
                              </w:pPr>
                              <w:r w:rsidRPr="00402828">
                                <w:rPr>
                                  <w:rFonts w:ascii="Times New Roman" w:hAnsi="Times New Roman" w:cs="Times New Roman"/>
                                  <w:b/>
                                  <w:bCs/>
                                  <w:iCs/>
                                  <w:color w:val="262626" w:themeColor="text1" w:themeTint="D9"/>
                                  <w:sz w:val="32"/>
                                  <w:szCs w:val="32"/>
                                </w:rPr>
                                <w:t>Taylor-Jayne Rowe</w:t>
                              </w:r>
                            </w:p>
                          </w:sdtContent>
                        </w:sdt>
                        <w:p w14:paraId="644BED1E" w14:textId="77777777" w:rsidR="00482E33" w:rsidRPr="00402828" w:rsidRDefault="00482E33" w:rsidP="00482E33">
                          <w:pPr>
                            <w:pStyle w:val="NoSpacing"/>
                            <w:rPr>
                              <w:rFonts w:ascii="Times New Roman" w:hAnsi="Times New Roman" w:cs="Times New Roman"/>
                              <w:iCs/>
                              <w:color w:val="262626" w:themeColor="text1" w:themeTint="D9"/>
                              <w:sz w:val="26"/>
                              <w:szCs w:val="26"/>
                            </w:rPr>
                          </w:pPr>
                          <w:r w:rsidRPr="00402828">
                            <w:rPr>
                              <w:rFonts w:ascii="Times New Roman" w:hAnsi="Times New Roman" w:cs="Times New Roman"/>
                              <w:iCs/>
                              <w:color w:val="262626" w:themeColor="text1" w:themeTint="D9"/>
                              <w:sz w:val="26"/>
                              <w:szCs w:val="26"/>
                            </w:rPr>
                            <w:t>2507302</w:t>
                          </w:r>
                        </w:p>
                        <w:p w14:paraId="4FD4740F" w14:textId="77777777" w:rsidR="00482E33" w:rsidRPr="00402828" w:rsidRDefault="00482E33" w:rsidP="00482E33">
                          <w:pPr>
                            <w:pStyle w:val="NoSpacing"/>
                            <w:rPr>
                              <w:rFonts w:ascii="Times New Roman" w:hAnsi="Times New Roman" w:cs="Times New Roman"/>
                              <w:iCs/>
                              <w:color w:val="262626" w:themeColor="text1" w:themeTint="D9"/>
                              <w:sz w:val="26"/>
                              <w:szCs w:val="26"/>
                            </w:rPr>
                          </w:pPr>
                          <w:r w:rsidRPr="00402828">
                            <w:rPr>
                              <w:rFonts w:ascii="Times New Roman" w:hAnsi="Times New Roman" w:cs="Times New Roman"/>
                              <w:iCs/>
                              <w:color w:val="262626" w:themeColor="text1" w:themeTint="D9"/>
                              <w:sz w:val="26"/>
                              <w:szCs w:val="26"/>
                            </w:rPr>
                            <w:t>University of Wales Trinity St. David</w:t>
                          </w:r>
                        </w:p>
                        <w:p w14:paraId="24754D53" w14:textId="77777777" w:rsidR="00482E33" w:rsidRDefault="00482E33" w:rsidP="00482E33">
                          <w:pPr>
                            <w:pStyle w:val="NoSpacing"/>
                            <w:rPr>
                              <w:i/>
                              <w:color w:val="262626" w:themeColor="text1" w:themeTint="D9"/>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25E28252" wp14:editId="2B09264D">
                    <wp:simplePos x="0" y="0"/>
                    <wp:positionH relativeFrom="page">
                      <wp:posOffset>775335</wp:posOffset>
                    </wp:positionH>
                    <wp:positionV relativeFrom="page">
                      <wp:posOffset>1197610</wp:posOffset>
                    </wp:positionV>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173D0D9" id="Straight Connector 137" o:spid="_x0000_s1026" style="position:absolute;z-index:-251656192;visibility:visible;mso-wrap-style:square;mso-height-percent:795;mso-wrap-distance-left:9pt;mso-wrap-distance-top:0;mso-wrap-distance-right:9pt;mso-wrap-distance-bottom:0;mso-position-horizontal:absolute;mso-position-horizontal-relative:page;mso-position-vertical:absolute;mso-position-vertical-relative:page;mso-height-percent:795;mso-height-relative:page" from="61.05pt,94.3pt" to="61.05pt,215.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" strokecolor="#272727 [2749]" strokeweight="2.25pt">
                    <v:stroke joinstyle="miter"/>
                    <w10:wrap anchorx="page" anchory="page"/>
                  </v:line>
                </w:pict>
              </mc:Fallback>
            </mc:AlternateContent>
          </w:r>
          <w:r w:rsidRPr="002563ED">
            <w:rPr>
              <w:color w:val="000000" w:themeColor="text1"/>
            </w:rPr>
            <w:br w:type="page"/>
          </w:r>
        </w:p>
        <w:p w14:paraId="312113F1" w14:textId="77777777" w:rsidR="001B5895" w:rsidRPr="002563ED" w:rsidRDefault="001B5895" w:rsidP="002C29C0">
          <w:pPr>
            <w:spacing w:line="360" w:lineRule="auto"/>
            <w:jc w:val="both"/>
            <w:rPr>
              <w:color w:val="000000" w:themeColor="text1"/>
            </w:rPr>
          </w:pPr>
        </w:p>
        <w:p w14:paraId="6B6EBF9C" w14:textId="48ECECAF" w:rsidR="001B5895" w:rsidRPr="002563ED" w:rsidRDefault="00296885" w:rsidP="00267406">
          <w:pPr>
            <w:spacing w:line="360" w:lineRule="auto"/>
            <w:jc w:val="center"/>
            <w:rPr>
              <w:b/>
              <w:bCs/>
              <w:color w:val="000000" w:themeColor="text1"/>
              <w:sz w:val="36"/>
              <w:szCs w:val="36"/>
            </w:rPr>
          </w:pPr>
          <w:r w:rsidRPr="002563ED">
            <w:rPr>
              <w:b/>
              <w:bCs/>
              <w:color w:val="000000" w:themeColor="text1"/>
              <w:sz w:val="36"/>
              <w:szCs w:val="36"/>
            </w:rPr>
            <w:t>Declaration</w:t>
          </w:r>
        </w:p>
        <w:p w14:paraId="06677B6A" w14:textId="77777777" w:rsidR="00296885" w:rsidRPr="002563ED" w:rsidRDefault="00296885" w:rsidP="002C29C0">
          <w:pPr>
            <w:spacing w:line="360" w:lineRule="auto"/>
            <w:jc w:val="both"/>
            <w:rPr>
              <w:color w:val="000000" w:themeColor="text1"/>
            </w:rPr>
          </w:pPr>
        </w:p>
        <w:p w14:paraId="65FA9B1F" w14:textId="77777777" w:rsidR="00296885" w:rsidRPr="002563ED" w:rsidRDefault="00296885" w:rsidP="002C29C0">
          <w:pPr>
            <w:spacing w:line="360" w:lineRule="auto"/>
            <w:jc w:val="both"/>
            <w:rPr>
              <w:color w:val="000000" w:themeColor="text1"/>
            </w:rPr>
          </w:pPr>
        </w:p>
        <w:p w14:paraId="52FCE227" w14:textId="5945C33E" w:rsidR="00BE6508" w:rsidRPr="002563ED" w:rsidRDefault="00BE6508" w:rsidP="002C29C0">
          <w:pPr>
            <w:pStyle w:val="ListParagraph"/>
            <w:numPr>
              <w:ilvl w:val="0"/>
              <w:numId w:val="5"/>
            </w:numPr>
            <w:spacing w:after="160" w:line="360" w:lineRule="auto"/>
            <w:jc w:val="both"/>
            <w:rPr>
              <w:color w:val="000000" w:themeColor="text1"/>
            </w:rPr>
          </w:pPr>
          <w:r w:rsidRPr="002563ED">
            <w:rPr>
              <w:color w:val="000000" w:themeColor="text1"/>
            </w:rPr>
            <w:t>This work has not been previously accepted in substance for any degree and is not being concurrently submitted in candidature for any degree.</w:t>
          </w:r>
        </w:p>
        <w:p w14:paraId="52A80008" w14:textId="77777777" w:rsidR="002B4EC1" w:rsidRPr="002563ED" w:rsidRDefault="002B4EC1" w:rsidP="002C29C0">
          <w:pPr>
            <w:spacing w:after="160" w:line="360" w:lineRule="auto"/>
            <w:jc w:val="both"/>
            <w:rPr>
              <w:color w:val="000000" w:themeColor="text1"/>
            </w:rPr>
          </w:pPr>
        </w:p>
        <w:p w14:paraId="32D041B3" w14:textId="262A3989" w:rsidR="00BE6508" w:rsidRPr="002563ED" w:rsidRDefault="00BE6508" w:rsidP="002C29C0">
          <w:pPr>
            <w:pStyle w:val="ListParagraph"/>
            <w:numPr>
              <w:ilvl w:val="0"/>
              <w:numId w:val="5"/>
            </w:numPr>
            <w:spacing w:after="160" w:line="360" w:lineRule="auto"/>
            <w:jc w:val="both"/>
            <w:rPr>
              <w:color w:val="000000" w:themeColor="text1"/>
            </w:rPr>
          </w:pPr>
          <w:r w:rsidRPr="002563ED">
            <w:rPr>
              <w:color w:val="000000" w:themeColor="text1"/>
            </w:rPr>
            <w:t xml:space="preserve">This dissertation is being submitted in partial fulfilment of the requirements for the degree </w:t>
          </w:r>
          <w:r w:rsidR="009441EC" w:rsidRPr="002563ED">
            <w:rPr>
              <w:color w:val="000000" w:themeColor="text1"/>
            </w:rPr>
            <w:t xml:space="preserve">BA (Hons) </w:t>
          </w:r>
          <w:r w:rsidRPr="002563ED">
            <w:rPr>
              <w:color w:val="000000" w:themeColor="text1"/>
            </w:rPr>
            <w:t>Business and Management.</w:t>
          </w:r>
        </w:p>
        <w:p w14:paraId="6A5AD7B4" w14:textId="77777777" w:rsidR="002B4EC1" w:rsidRPr="002563ED" w:rsidRDefault="002B4EC1" w:rsidP="002C29C0">
          <w:pPr>
            <w:pStyle w:val="ListParagraph"/>
            <w:spacing w:line="360" w:lineRule="auto"/>
            <w:jc w:val="both"/>
            <w:rPr>
              <w:color w:val="000000" w:themeColor="text1"/>
            </w:rPr>
          </w:pPr>
        </w:p>
        <w:p w14:paraId="10C18011" w14:textId="77777777" w:rsidR="002B4EC1" w:rsidRPr="002563ED" w:rsidRDefault="002B4EC1" w:rsidP="002C29C0">
          <w:pPr>
            <w:spacing w:after="160" w:line="360" w:lineRule="auto"/>
            <w:jc w:val="both"/>
            <w:rPr>
              <w:color w:val="000000" w:themeColor="text1"/>
            </w:rPr>
          </w:pPr>
        </w:p>
        <w:p w14:paraId="498C59E2" w14:textId="01267B56" w:rsidR="00BE6508" w:rsidRPr="002563ED" w:rsidRDefault="00BE6508" w:rsidP="002C29C0">
          <w:pPr>
            <w:pStyle w:val="ListParagraph"/>
            <w:numPr>
              <w:ilvl w:val="0"/>
              <w:numId w:val="5"/>
            </w:numPr>
            <w:spacing w:after="160" w:line="360" w:lineRule="auto"/>
            <w:jc w:val="both"/>
            <w:rPr>
              <w:color w:val="000000" w:themeColor="text1"/>
            </w:rPr>
          </w:pPr>
          <w:r w:rsidRPr="002563ED">
            <w:rPr>
              <w:color w:val="000000" w:themeColor="text1"/>
            </w:rPr>
            <w:t xml:space="preserve">This dissertation is the result of my own independent work and investigation, except where otherwise stated. </w:t>
          </w:r>
        </w:p>
        <w:p w14:paraId="18CF5CEE" w14:textId="77777777" w:rsidR="002B4EC1" w:rsidRPr="002563ED" w:rsidRDefault="002B4EC1" w:rsidP="002C29C0">
          <w:pPr>
            <w:spacing w:after="160" w:line="360" w:lineRule="auto"/>
            <w:jc w:val="both"/>
            <w:rPr>
              <w:color w:val="000000" w:themeColor="text1"/>
            </w:rPr>
          </w:pPr>
        </w:p>
        <w:p w14:paraId="27BDF98B" w14:textId="79F4EF34" w:rsidR="00A27BE4" w:rsidRPr="002563ED" w:rsidRDefault="00BE6508" w:rsidP="002C29C0">
          <w:pPr>
            <w:pStyle w:val="ListParagraph"/>
            <w:numPr>
              <w:ilvl w:val="0"/>
              <w:numId w:val="5"/>
            </w:numPr>
            <w:spacing w:after="160" w:line="360" w:lineRule="auto"/>
            <w:jc w:val="both"/>
            <w:rPr>
              <w:color w:val="000000" w:themeColor="text1"/>
            </w:rPr>
          </w:pPr>
          <w:r w:rsidRPr="002563ED">
            <w:rPr>
              <w:color w:val="000000" w:themeColor="text1"/>
            </w:rPr>
            <w:t>Other sources are acknowledged by footnotes giving explicit references. A bibliography is appended.</w:t>
          </w:r>
        </w:p>
        <w:p w14:paraId="00C1D967" w14:textId="77777777" w:rsidR="00A27BE4" w:rsidRPr="002563ED" w:rsidRDefault="00A27BE4" w:rsidP="002C29C0">
          <w:pPr>
            <w:spacing w:after="160" w:line="360" w:lineRule="auto"/>
            <w:jc w:val="both"/>
            <w:rPr>
              <w:color w:val="000000" w:themeColor="text1"/>
            </w:rPr>
          </w:pPr>
        </w:p>
        <w:p w14:paraId="3E6645FA" w14:textId="77777777" w:rsidR="00BE6508" w:rsidRPr="002563ED" w:rsidRDefault="00BE6508" w:rsidP="002C29C0">
          <w:pPr>
            <w:pStyle w:val="ListParagraph"/>
            <w:spacing w:line="360" w:lineRule="auto"/>
            <w:jc w:val="both"/>
            <w:rPr>
              <w:color w:val="000000" w:themeColor="text1"/>
            </w:rPr>
          </w:pPr>
        </w:p>
        <w:p w14:paraId="74975CA3" w14:textId="77777777" w:rsidR="00BE6508" w:rsidRPr="002563ED" w:rsidRDefault="00BE6508" w:rsidP="002C29C0">
          <w:pPr>
            <w:pStyle w:val="ListParagraph"/>
            <w:numPr>
              <w:ilvl w:val="0"/>
              <w:numId w:val="5"/>
            </w:numPr>
            <w:spacing w:after="160" w:line="360" w:lineRule="auto"/>
            <w:jc w:val="both"/>
            <w:rPr>
              <w:color w:val="000000" w:themeColor="text1"/>
            </w:rPr>
          </w:pPr>
          <w:r w:rsidRPr="002563ED">
            <w:rPr>
              <w:color w:val="000000" w:themeColor="text1"/>
            </w:rPr>
            <w:t>I herby give consent for my dissertation, if accepted, to be available for photocopying and for interlibrary loan, and for the title and summary to be made available to outside organisations.</w:t>
          </w:r>
        </w:p>
        <w:p w14:paraId="796BB343" w14:textId="77777777" w:rsidR="001B5895" w:rsidRPr="002563ED" w:rsidRDefault="001B5895" w:rsidP="002C29C0">
          <w:pPr>
            <w:spacing w:line="360" w:lineRule="auto"/>
            <w:jc w:val="both"/>
            <w:rPr>
              <w:color w:val="000000" w:themeColor="text1"/>
            </w:rPr>
          </w:pPr>
        </w:p>
        <w:p w14:paraId="5B4357F2" w14:textId="7CBE4C65" w:rsidR="00DE6FBF" w:rsidRPr="002563ED" w:rsidRDefault="00DE6FBF" w:rsidP="002C29C0">
          <w:pPr>
            <w:spacing w:line="360" w:lineRule="auto"/>
            <w:jc w:val="both"/>
            <w:rPr>
              <w:rFonts w:ascii="Arial" w:hAnsi="Arial" w:cs="Arial"/>
              <w:b/>
              <w:bCs/>
              <w:color w:val="000000" w:themeColor="text1"/>
              <w:sz w:val="32"/>
              <w:szCs w:val="32"/>
              <w:u w:val="single"/>
            </w:rPr>
          </w:pPr>
        </w:p>
        <w:p w14:paraId="47E299A1" w14:textId="5B2C8A75" w:rsidR="00080DFF" w:rsidRPr="002563ED" w:rsidRDefault="00DE6FBF" w:rsidP="002C29C0">
          <w:pPr>
            <w:spacing w:line="360" w:lineRule="auto"/>
            <w:jc w:val="both"/>
            <w:rPr>
              <w:rFonts w:ascii="Arial" w:hAnsi="Arial" w:cs="Arial"/>
              <w:b/>
              <w:bCs/>
              <w:color w:val="000000" w:themeColor="text1"/>
              <w:sz w:val="32"/>
              <w:szCs w:val="32"/>
              <w:u w:val="single"/>
            </w:rPr>
          </w:pPr>
          <w:r w:rsidRPr="002563ED">
            <w:rPr>
              <w:rFonts w:ascii="Arial" w:hAnsi="Arial" w:cs="Arial"/>
              <w:b/>
              <w:bCs/>
              <w:color w:val="000000" w:themeColor="text1"/>
              <w:sz w:val="32"/>
              <w:szCs w:val="32"/>
              <w:u w:val="single"/>
            </w:rPr>
            <w:br w:type="page"/>
          </w:r>
        </w:p>
        <w:p w14:paraId="7C8D367A" w14:textId="4DB2B129" w:rsidR="00BE6508" w:rsidRPr="002563ED" w:rsidRDefault="00BE6508" w:rsidP="00267406">
          <w:pPr>
            <w:spacing w:line="360" w:lineRule="auto"/>
            <w:jc w:val="center"/>
            <w:rPr>
              <w:b/>
              <w:bCs/>
              <w:color w:val="000000" w:themeColor="text1"/>
              <w:sz w:val="40"/>
              <w:szCs w:val="40"/>
            </w:rPr>
          </w:pPr>
          <w:r w:rsidRPr="002563ED">
            <w:rPr>
              <w:b/>
              <w:bCs/>
              <w:color w:val="000000" w:themeColor="text1"/>
              <w:sz w:val="40"/>
              <w:szCs w:val="40"/>
            </w:rPr>
            <w:lastRenderedPageBreak/>
            <w:t>Acknowledgments</w:t>
          </w:r>
        </w:p>
        <w:p w14:paraId="506FD60A" w14:textId="77777777" w:rsidR="00BE6508" w:rsidRPr="002563ED" w:rsidRDefault="00BE6508" w:rsidP="002C29C0">
          <w:pPr>
            <w:spacing w:line="360" w:lineRule="auto"/>
            <w:jc w:val="both"/>
            <w:rPr>
              <w:b/>
              <w:bCs/>
              <w:color w:val="000000" w:themeColor="text1"/>
              <w:sz w:val="32"/>
              <w:szCs w:val="32"/>
              <w:u w:val="single"/>
            </w:rPr>
          </w:pPr>
        </w:p>
        <w:p w14:paraId="371D9DDE" w14:textId="66291FD6" w:rsidR="00F72170" w:rsidRDefault="00F72170" w:rsidP="008B04FD">
          <w:pPr>
            <w:spacing w:line="360" w:lineRule="auto"/>
            <w:jc w:val="both"/>
            <w:rPr>
              <w:color w:val="000000" w:themeColor="text1"/>
            </w:rPr>
          </w:pPr>
          <w:r w:rsidRPr="002563ED">
            <w:rPr>
              <w:color w:val="000000" w:themeColor="text1"/>
            </w:rPr>
            <w:t>I wish to acknowledge and thank all of the people involved, both directly and indirectly, in the development of this research.</w:t>
          </w:r>
        </w:p>
        <w:p w14:paraId="250215E8" w14:textId="77777777" w:rsidR="008B04FD" w:rsidRDefault="008B04FD" w:rsidP="008B04FD">
          <w:pPr>
            <w:spacing w:line="360" w:lineRule="auto"/>
            <w:jc w:val="both"/>
            <w:rPr>
              <w:color w:val="000000" w:themeColor="text1"/>
            </w:rPr>
          </w:pPr>
        </w:p>
        <w:p w14:paraId="4E37CDFB" w14:textId="07221FC8" w:rsidR="008B04FD" w:rsidRPr="002563ED" w:rsidRDefault="008B04FD" w:rsidP="008B04FD">
          <w:pPr>
            <w:spacing w:line="360" w:lineRule="auto"/>
            <w:jc w:val="both"/>
            <w:rPr>
              <w:color w:val="000000" w:themeColor="text1"/>
            </w:rPr>
          </w:pPr>
          <w:r w:rsidRPr="002563ED">
            <w:rPr>
              <w:color w:val="000000" w:themeColor="text1"/>
            </w:rPr>
            <w:t xml:space="preserve">I would like to thank the three participants of this study, who kindly donated their time and vulnerability to support this project. </w:t>
          </w:r>
        </w:p>
        <w:p w14:paraId="2361488D" w14:textId="77777777" w:rsidR="00F72170" w:rsidRPr="002563ED" w:rsidRDefault="00F72170" w:rsidP="008B04FD">
          <w:pPr>
            <w:spacing w:line="360" w:lineRule="auto"/>
            <w:jc w:val="both"/>
            <w:rPr>
              <w:color w:val="000000" w:themeColor="text1"/>
            </w:rPr>
          </w:pPr>
        </w:p>
        <w:p w14:paraId="31028EAC" w14:textId="06240A56" w:rsidR="008B04FD" w:rsidRDefault="00BE6508" w:rsidP="008B04FD">
          <w:pPr>
            <w:spacing w:line="360" w:lineRule="auto"/>
            <w:jc w:val="both"/>
            <w:rPr>
              <w:color w:val="000000" w:themeColor="text1"/>
            </w:rPr>
          </w:pPr>
          <w:r w:rsidRPr="002563ED">
            <w:rPr>
              <w:color w:val="000000" w:themeColor="text1"/>
            </w:rPr>
            <w:t xml:space="preserve">I would like to thank my </w:t>
          </w:r>
          <w:r w:rsidR="008B04FD">
            <w:rPr>
              <w:color w:val="000000" w:themeColor="text1"/>
            </w:rPr>
            <w:t>S</w:t>
          </w:r>
          <w:r w:rsidRPr="002563ED">
            <w:rPr>
              <w:color w:val="000000" w:themeColor="text1"/>
            </w:rPr>
            <w:t xml:space="preserve">upervisor </w:t>
          </w:r>
          <w:r w:rsidR="008B04FD">
            <w:rPr>
              <w:color w:val="000000" w:themeColor="text1"/>
            </w:rPr>
            <w:t xml:space="preserve">Dr </w:t>
          </w:r>
          <w:r w:rsidR="00987F86" w:rsidRPr="002563ED">
            <w:rPr>
              <w:color w:val="000000" w:themeColor="text1"/>
            </w:rPr>
            <w:t>Laura James</w:t>
          </w:r>
          <w:r w:rsidRPr="002563ED">
            <w:rPr>
              <w:color w:val="000000" w:themeColor="text1"/>
            </w:rPr>
            <w:t xml:space="preserve"> for her </w:t>
          </w:r>
          <w:r w:rsidR="00987F86" w:rsidRPr="002563ED">
            <w:rPr>
              <w:color w:val="000000" w:themeColor="text1"/>
            </w:rPr>
            <w:t>guidance, and for her support in my choosing a</w:t>
          </w:r>
          <w:r w:rsidR="00E5115C" w:rsidRPr="002563ED">
            <w:rPr>
              <w:color w:val="000000" w:themeColor="text1"/>
            </w:rPr>
            <w:t xml:space="preserve"> niche </w:t>
          </w:r>
          <w:r w:rsidR="00987F86" w:rsidRPr="002563ED">
            <w:rPr>
              <w:color w:val="000000" w:themeColor="text1"/>
            </w:rPr>
            <w:t xml:space="preserve">research topic that will support my career. </w:t>
          </w:r>
          <w:r w:rsidR="008B04FD">
            <w:rPr>
              <w:color w:val="000000" w:themeColor="text1"/>
            </w:rPr>
            <w:t>Dr James’ passion and endless positivity has been an inspiration for the curiosity that formed the basis of this research.</w:t>
          </w:r>
        </w:p>
        <w:p w14:paraId="00E7604A" w14:textId="77777777" w:rsidR="008B04FD" w:rsidRDefault="008B04FD" w:rsidP="008B04FD">
          <w:pPr>
            <w:spacing w:line="360" w:lineRule="auto"/>
            <w:jc w:val="both"/>
            <w:rPr>
              <w:color w:val="000000" w:themeColor="text1"/>
            </w:rPr>
          </w:pPr>
        </w:p>
        <w:p w14:paraId="4642A732" w14:textId="062BD531" w:rsidR="00BE6508" w:rsidRPr="002563ED" w:rsidRDefault="008B04FD" w:rsidP="008B04FD">
          <w:pPr>
            <w:spacing w:line="360" w:lineRule="auto"/>
            <w:jc w:val="both"/>
            <w:rPr>
              <w:color w:val="000000" w:themeColor="text1"/>
            </w:rPr>
          </w:pPr>
          <w:r>
            <w:rPr>
              <w:color w:val="000000" w:themeColor="text1"/>
            </w:rPr>
            <w:t>Furthermore, my thanks to</w:t>
          </w:r>
          <w:r w:rsidR="00987F86" w:rsidRPr="002563ED">
            <w:rPr>
              <w:color w:val="000000" w:themeColor="text1"/>
            </w:rPr>
            <w:t xml:space="preserve"> </w:t>
          </w:r>
          <w:r>
            <w:rPr>
              <w:color w:val="000000" w:themeColor="text1"/>
            </w:rPr>
            <w:t xml:space="preserve">Dr </w:t>
          </w:r>
          <w:r w:rsidR="00987F86" w:rsidRPr="002563ED">
            <w:rPr>
              <w:color w:val="000000" w:themeColor="text1"/>
            </w:rPr>
            <w:t>Anthony Burns</w:t>
          </w:r>
          <w:r w:rsidR="00BE6508" w:rsidRPr="002563ED">
            <w:rPr>
              <w:color w:val="000000" w:themeColor="text1"/>
            </w:rPr>
            <w:t xml:space="preserve"> for his </w:t>
          </w:r>
          <w:r w:rsidR="00987F86" w:rsidRPr="002563ED">
            <w:rPr>
              <w:color w:val="000000" w:themeColor="text1"/>
            </w:rPr>
            <w:t>advice, proofreading and his rich conversations.</w:t>
          </w:r>
          <w:r>
            <w:rPr>
              <w:color w:val="000000" w:themeColor="text1"/>
            </w:rPr>
            <w:t xml:space="preserve"> Dr Burns has been an excellent voice of business in practise and his knowledge is greatly respected.</w:t>
          </w:r>
        </w:p>
        <w:p w14:paraId="52BC1451" w14:textId="77777777" w:rsidR="00787155" w:rsidRPr="002563ED" w:rsidRDefault="00787155" w:rsidP="008B04FD">
          <w:pPr>
            <w:spacing w:line="360" w:lineRule="auto"/>
            <w:jc w:val="both"/>
            <w:rPr>
              <w:color w:val="000000" w:themeColor="text1"/>
            </w:rPr>
          </w:pPr>
        </w:p>
        <w:p w14:paraId="15737950" w14:textId="5A9E5CFD" w:rsidR="008B04FD" w:rsidRPr="002563ED" w:rsidRDefault="008B04FD" w:rsidP="008B04FD">
          <w:pPr>
            <w:spacing w:line="360" w:lineRule="auto"/>
            <w:jc w:val="both"/>
            <w:rPr>
              <w:color w:val="000000" w:themeColor="text1"/>
            </w:rPr>
          </w:pPr>
          <w:r>
            <w:rPr>
              <w:color w:val="000000" w:themeColor="text1"/>
            </w:rPr>
            <w:t xml:space="preserve">A special thanks </w:t>
          </w:r>
          <w:r w:rsidR="00787155" w:rsidRPr="002563ED">
            <w:rPr>
              <w:color w:val="000000" w:themeColor="text1"/>
            </w:rPr>
            <w:t>to my f</w:t>
          </w:r>
          <w:r w:rsidR="0063096A" w:rsidRPr="002563ED">
            <w:rPr>
              <w:color w:val="000000" w:themeColor="text1"/>
            </w:rPr>
            <w:t xml:space="preserve">amily, friends </w:t>
          </w:r>
          <w:r w:rsidR="00787155" w:rsidRPr="002563ED">
            <w:rPr>
              <w:color w:val="000000" w:themeColor="text1"/>
            </w:rPr>
            <w:t>and peers for their continued support</w:t>
          </w:r>
          <w:r>
            <w:rPr>
              <w:color w:val="000000" w:themeColor="text1"/>
            </w:rPr>
            <w:t xml:space="preserve"> – and my cats for their emotional support.</w:t>
          </w:r>
        </w:p>
        <w:p w14:paraId="6659CEEE" w14:textId="77777777" w:rsidR="002E6ED8" w:rsidRPr="002563ED" w:rsidRDefault="002E6ED8" w:rsidP="008B04FD">
          <w:pPr>
            <w:spacing w:line="360" w:lineRule="auto"/>
            <w:jc w:val="both"/>
            <w:rPr>
              <w:color w:val="000000" w:themeColor="text1"/>
            </w:rPr>
          </w:pPr>
        </w:p>
        <w:p w14:paraId="0D1C744D" w14:textId="7BA604FF" w:rsidR="002E6ED8" w:rsidRPr="002563ED" w:rsidRDefault="008B04FD" w:rsidP="008B04FD">
          <w:pPr>
            <w:spacing w:line="360" w:lineRule="auto"/>
            <w:jc w:val="both"/>
            <w:rPr>
              <w:color w:val="000000" w:themeColor="text1"/>
            </w:rPr>
          </w:pPr>
          <w:r>
            <w:rPr>
              <w:color w:val="000000" w:themeColor="text1"/>
            </w:rPr>
            <w:t>Lastly</w:t>
          </w:r>
          <w:r w:rsidR="002E6ED8" w:rsidRPr="002563ED">
            <w:rPr>
              <w:color w:val="000000" w:themeColor="text1"/>
            </w:rPr>
            <w:t>, I would like to thank my partner Sam for his unconditional suppor</w:t>
          </w:r>
          <w:r>
            <w:rPr>
              <w:color w:val="000000" w:themeColor="text1"/>
            </w:rPr>
            <w:t>t, endless encouragement and his constant belief in me.</w:t>
          </w:r>
        </w:p>
        <w:p w14:paraId="7717287F" w14:textId="77777777" w:rsidR="00BE6508" w:rsidRPr="002563ED" w:rsidRDefault="00BE6508" w:rsidP="008B04FD">
          <w:pPr>
            <w:spacing w:line="360" w:lineRule="auto"/>
            <w:jc w:val="both"/>
            <w:rPr>
              <w:color w:val="000000" w:themeColor="text1"/>
            </w:rPr>
          </w:pPr>
        </w:p>
        <w:p w14:paraId="4353F770" w14:textId="77777777" w:rsidR="001B5895" w:rsidRPr="002563ED" w:rsidRDefault="001B5895" w:rsidP="002C29C0">
          <w:pPr>
            <w:spacing w:line="360" w:lineRule="auto"/>
            <w:jc w:val="both"/>
            <w:rPr>
              <w:color w:val="000000" w:themeColor="text1"/>
            </w:rPr>
          </w:pPr>
        </w:p>
        <w:p w14:paraId="206C948A" w14:textId="77777777" w:rsidR="005E04CD" w:rsidRPr="002563ED" w:rsidRDefault="005E04CD" w:rsidP="002C29C0">
          <w:pPr>
            <w:spacing w:line="360" w:lineRule="auto"/>
            <w:jc w:val="both"/>
            <w:rPr>
              <w:b/>
              <w:bCs/>
              <w:color w:val="000000" w:themeColor="text1"/>
            </w:rPr>
          </w:pPr>
          <w:r w:rsidRPr="002563ED">
            <w:rPr>
              <w:b/>
              <w:bCs/>
              <w:color w:val="000000" w:themeColor="text1"/>
            </w:rPr>
            <w:br w:type="page"/>
          </w:r>
        </w:p>
        <w:p w14:paraId="7B89D49F" w14:textId="761A1815" w:rsidR="001B5895" w:rsidRPr="002563ED" w:rsidRDefault="00BE6508" w:rsidP="00181B93">
          <w:pPr>
            <w:spacing w:line="360" w:lineRule="auto"/>
            <w:jc w:val="center"/>
            <w:rPr>
              <w:b/>
              <w:bCs/>
              <w:color w:val="000000" w:themeColor="text1"/>
              <w:sz w:val="40"/>
              <w:szCs w:val="40"/>
            </w:rPr>
          </w:pPr>
          <w:r w:rsidRPr="002563ED">
            <w:rPr>
              <w:b/>
              <w:bCs/>
              <w:color w:val="000000" w:themeColor="text1"/>
              <w:sz w:val="40"/>
              <w:szCs w:val="40"/>
            </w:rPr>
            <w:lastRenderedPageBreak/>
            <w:t>Abstract</w:t>
          </w:r>
        </w:p>
        <w:p w14:paraId="075EC9C5" w14:textId="77777777" w:rsidR="00BE0025" w:rsidRPr="002563ED" w:rsidRDefault="00BE0025" w:rsidP="002C29C0">
          <w:pPr>
            <w:pStyle w:val="font-claude-response-body"/>
            <w:spacing w:line="360" w:lineRule="auto"/>
            <w:jc w:val="both"/>
            <w:rPr>
              <w:color w:val="000000" w:themeColor="text1"/>
            </w:rPr>
          </w:pPr>
          <w:r w:rsidRPr="002563ED">
            <w:rPr>
              <w:color w:val="000000" w:themeColor="text1"/>
            </w:rPr>
            <w:t>The integration of digital technology into early childhood has significant implications for workforce development and sustainable business practice, yet the relationship between the quality of early digital engagement and long-term professional capability remains poorly understood. Existing literature presents conflicting evidence, with developmental risks associated with unmediated screen exposure set against the potential for technology to scaffold learning, support neurodivergent inclusion, and develop the digital competencies that contemporary employers prioritise. This ambiguity has practical consequences for parents, educational institutions, and employers, none of whom have sufficient evidence-based guidance to inform their decisions.</w:t>
          </w:r>
        </w:p>
        <w:p w14:paraId="5A6F4323" w14:textId="196C8761" w:rsidR="00BE0025" w:rsidRPr="002563ED" w:rsidRDefault="00BE0025" w:rsidP="002C29C0">
          <w:pPr>
            <w:pStyle w:val="font-claude-response-body"/>
            <w:spacing w:line="360" w:lineRule="auto"/>
            <w:jc w:val="both"/>
            <w:rPr>
              <w:color w:val="000000" w:themeColor="text1"/>
            </w:rPr>
          </w:pPr>
          <w:r w:rsidRPr="002563ED">
            <w:rPr>
              <w:color w:val="000000" w:themeColor="text1"/>
            </w:rPr>
            <w:t xml:space="preserve">This study examined how early childhood technology exposure influences workplace skill development, drawing on three research questions: how early exposure shapes employability skills; what differences in workplace readiness exist between individuals with high and limited childhood technology exposure; and what approaches to technology integration can balance developmental safety with professional preparation. A qualitative phenomenological approach was adopted, combining Moustakas (1994) transcendental phenomenology with Smith et al. (2022) Interpretative Phenomenological Analysis. </w:t>
          </w:r>
          <w:r w:rsidR="002D0C07" w:rsidRPr="002563ED">
            <w:rPr>
              <w:color w:val="000000" w:themeColor="text1"/>
            </w:rPr>
            <w:t>Three</w:t>
          </w:r>
          <w:r w:rsidRPr="002563ED">
            <w:rPr>
              <w:color w:val="000000" w:themeColor="text1"/>
            </w:rPr>
            <w:t xml:space="preserve"> participants across two stakeholder groups — </w:t>
          </w:r>
          <w:r w:rsidR="002D0C07" w:rsidRPr="002563ED">
            <w:rPr>
              <w:color w:val="000000" w:themeColor="text1"/>
            </w:rPr>
            <w:t>one</w:t>
          </w:r>
          <w:r w:rsidRPr="002563ED">
            <w:rPr>
              <w:color w:val="000000" w:themeColor="text1"/>
            </w:rPr>
            <w:t xml:space="preserve"> parent and </w:t>
          </w:r>
          <w:r w:rsidR="002D0C07" w:rsidRPr="002563ED">
            <w:rPr>
              <w:color w:val="000000" w:themeColor="text1"/>
            </w:rPr>
            <w:t>two</w:t>
          </w:r>
          <w:r w:rsidRPr="002563ED">
            <w:rPr>
              <w:color w:val="000000" w:themeColor="text1"/>
            </w:rPr>
            <w:t xml:space="preserve"> </w:t>
          </w:r>
          <w:r w:rsidR="002D0C07" w:rsidRPr="002563ED">
            <w:rPr>
              <w:color w:val="000000" w:themeColor="text1"/>
            </w:rPr>
            <w:t>Digital Natives</w:t>
          </w:r>
          <w:r w:rsidRPr="002563ED">
            <w:rPr>
              <w:color w:val="000000" w:themeColor="text1"/>
            </w:rPr>
            <w:t xml:space="preserve"> aged eighteen to twenty-five — took part in semi-structured interviews analysed through a dual framework of phenomenological reduction and Braun and Clarke (2021) reflexive thematic analysis.</w:t>
          </w:r>
        </w:p>
        <w:p w14:paraId="7E428E86" w14:textId="38BB6A7F" w:rsidR="0023379B" w:rsidRPr="002563ED" w:rsidRDefault="00BE0025" w:rsidP="00410FCC">
          <w:pPr>
            <w:pStyle w:val="font-claude-response-body"/>
            <w:spacing w:line="360" w:lineRule="auto"/>
            <w:jc w:val="both"/>
            <w:rPr>
              <w:color w:val="000000" w:themeColor="text1"/>
            </w:rPr>
          </w:pPr>
          <w:r w:rsidRPr="002563ED">
            <w:rPr>
              <w:color w:val="000000" w:themeColor="text1"/>
            </w:rPr>
            <w:t>Seve</w:t>
          </w:r>
          <w:r w:rsidR="00764F37">
            <w:rPr>
              <w:color w:val="000000" w:themeColor="text1"/>
            </w:rPr>
            <w:t>ral</w:t>
          </w:r>
          <w:r w:rsidRPr="002563ED">
            <w:rPr>
              <w:color w:val="000000" w:themeColor="text1"/>
            </w:rPr>
            <w:t xml:space="preserve"> superordinate themes emerged from the data. Technology functioned as a developmental scaffold, an adaptive educational resource for neurodivergent learners, a form of social capital, a site of significant harm when unmediated, and a constitutive influence on professional identity. The determining variable across all themes was mediation quality: purposeful, adult-supported engagement produced durable professional competencies, while passive or unsupervised access produced attentional, social, and developmental harm. The study recommends that parents prioritise active co-engagement over screen time management, that employers audit the developmental origins of digital competencies rather than assuming generational fluency, and that educational institutions replace blanket access or prohibition with structured, pedagogically guided digital literacy provision.</w:t>
          </w:r>
        </w:p>
      </w:sdtContent>
    </w:sdt>
    <w:bookmarkStart w:id="0" w:name="_Toc227484299" w:displacedByCustomXml="next"/>
    <w:bookmarkStart w:id="1" w:name="_Toc227484005" w:displacedByCustomXml="next"/>
    <w:bookmarkStart w:id="2" w:name="_Toc227482885" w:displacedByCustomXml="next"/>
    <w:sdt>
      <w:sdtPr>
        <w:rPr>
          <w:rFonts w:eastAsiaTheme="minorHAnsi"/>
          <w:i/>
          <w:iCs/>
          <w:color w:val="000000" w:themeColor="text1"/>
          <w:kern w:val="2"/>
          <w:sz w:val="24"/>
          <w:szCs w:val="24"/>
          <w14:ligatures w14:val="standardContextual"/>
        </w:rPr>
        <w:id w:val="1320920668"/>
        <w:docPartObj>
          <w:docPartGallery w:val="Table of Contents"/>
          <w:docPartUnique/>
        </w:docPartObj>
      </w:sdtPr>
      <w:sdtEndPr>
        <w:rPr>
          <w:rFonts w:eastAsia="Times New Roman"/>
          <w:noProof/>
          <w:kern w:val="0"/>
          <w14:ligatures w14:val="none"/>
        </w:rPr>
      </w:sdtEndPr>
      <w:sdtContent>
        <w:p w14:paraId="05069F05" w14:textId="77777777" w:rsidR="00190A96" w:rsidRDefault="000C632C" w:rsidP="00410FCC">
          <w:pPr>
            <w:pStyle w:val="Heading1"/>
            <w:numPr>
              <w:ilvl w:val="0"/>
              <w:numId w:val="0"/>
            </w:numPr>
            <w:ind w:left="720"/>
            <w:jc w:val="center"/>
            <w:rPr>
              <w:noProof/>
            </w:rPr>
          </w:pPr>
          <w:r w:rsidRPr="002563ED">
            <w:rPr>
              <w:color w:val="000000" w:themeColor="text1"/>
            </w:rPr>
            <w:t>Table of Contents</w:t>
          </w:r>
          <w:bookmarkEnd w:id="2"/>
          <w:bookmarkEnd w:id="1"/>
          <w:bookmarkEnd w:id="0"/>
          <w:r w:rsidRPr="002563ED">
            <w:rPr>
              <w:b w:val="0"/>
              <w:bCs w:val="0"/>
              <w:color w:val="000000" w:themeColor="text1"/>
              <w:sz w:val="32"/>
              <w:szCs w:val="32"/>
            </w:rPr>
            <w:fldChar w:fldCharType="begin"/>
          </w:r>
          <w:r w:rsidRPr="002563ED">
            <w:rPr>
              <w:color w:val="000000" w:themeColor="text1"/>
              <w:sz w:val="32"/>
              <w:szCs w:val="32"/>
            </w:rPr>
            <w:instrText xml:space="preserve"> TOC \o "1-3" \h \z \u </w:instrText>
          </w:r>
          <w:r w:rsidRPr="002563ED">
            <w:rPr>
              <w:b w:val="0"/>
              <w:bCs w:val="0"/>
              <w:color w:val="000000" w:themeColor="text1"/>
              <w:sz w:val="32"/>
              <w:szCs w:val="32"/>
            </w:rPr>
            <w:fldChar w:fldCharType="separate"/>
          </w:r>
        </w:p>
        <w:p w14:paraId="6429F259" w14:textId="6A03CED6" w:rsidR="00190A96" w:rsidRDefault="00190A96">
          <w:pPr>
            <w:pStyle w:val="TOC1"/>
            <w:tabs>
              <w:tab w:val="left" w:pos="720"/>
              <w:tab w:val="right" w:leader="dot" w:pos="9016"/>
            </w:tabs>
            <w:rPr>
              <w:rFonts w:asciiTheme="minorHAnsi" w:eastAsiaTheme="minorEastAsia" w:hAnsiTheme="minorHAnsi" w:cstheme="minorBidi"/>
              <w:b w:val="0"/>
              <w:bCs w:val="0"/>
              <w:i w:val="0"/>
              <w:iCs w:val="0"/>
              <w:noProof/>
              <w:kern w:val="2"/>
              <w14:ligatures w14:val="standardContextual"/>
            </w:rPr>
          </w:pPr>
          <w:hyperlink w:anchor="_Toc227484300" w:history="1">
            <w:r w:rsidRPr="00E27E11">
              <w:rPr>
                <w:rStyle w:val="Hyperlink"/>
                <w:noProof/>
              </w:rPr>
              <w:t>1.0.</w:t>
            </w:r>
            <w:r>
              <w:rPr>
                <w:rFonts w:asciiTheme="minorHAnsi" w:eastAsiaTheme="minorEastAsia" w:hAnsiTheme="minorHAnsi" w:cstheme="minorBidi"/>
                <w:b w:val="0"/>
                <w:bCs w:val="0"/>
                <w:i w:val="0"/>
                <w:iCs w:val="0"/>
                <w:noProof/>
                <w:kern w:val="2"/>
                <w14:ligatures w14:val="standardContextual"/>
              </w:rPr>
              <w:tab/>
            </w:r>
            <w:r w:rsidRPr="00E27E11">
              <w:rPr>
                <w:rStyle w:val="Hyperlink"/>
                <w:noProof/>
              </w:rPr>
              <w:t>Introduction</w:t>
            </w:r>
            <w:r>
              <w:rPr>
                <w:noProof/>
                <w:webHidden/>
              </w:rPr>
              <w:tab/>
            </w:r>
            <w:r>
              <w:rPr>
                <w:noProof/>
                <w:webHidden/>
              </w:rPr>
              <w:fldChar w:fldCharType="begin"/>
            </w:r>
            <w:r>
              <w:rPr>
                <w:noProof/>
                <w:webHidden/>
              </w:rPr>
              <w:instrText xml:space="preserve"> PAGEREF _Toc227484300 \h </w:instrText>
            </w:r>
            <w:r>
              <w:rPr>
                <w:noProof/>
                <w:webHidden/>
              </w:rPr>
            </w:r>
            <w:r>
              <w:rPr>
                <w:noProof/>
                <w:webHidden/>
              </w:rPr>
              <w:fldChar w:fldCharType="separate"/>
            </w:r>
            <w:r>
              <w:rPr>
                <w:noProof/>
                <w:webHidden/>
              </w:rPr>
              <w:t>6</w:t>
            </w:r>
            <w:r>
              <w:rPr>
                <w:noProof/>
                <w:webHidden/>
              </w:rPr>
              <w:fldChar w:fldCharType="end"/>
            </w:r>
          </w:hyperlink>
        </w:p>
        <w:p w14:paraId="38432D5A" w14:textId="651E2F24"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01" w:history="1">
            <w:r w:rsidRPr="00E27E11">
              <w:rPr>
                <w:rStyle w:val="Hyperlink"/>
                <w:noProof/>
              </w:rPr>
              <w:t>1.1</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Context and Rationale</w:t>
            </w:r>
            <w:r>
              <w:rPr>
                <w:noProof/>
                <w:webHidden/>
              </w:rPr>
              <w:tab/>
            </w:r>
            <w:r>
              <w:rPr>
                <w:noProof/>
                <w:webHidden/>
              </w:rPr>
              <w:fldChar w:fldCharType="begin"/>
            </w:r>
            <w:r>
              <w:rPr>
                <w:noProof/>
                <w:webHidden/>
              </w:rPr>
              <w:instrText xml:space="preserve"> PAGEREF _Toc227484301 \h </w:instrText>
            </w:r>
            <w:r>
              <w:rPr>
                <w:noProof/>
                <w:webHidden/>
              </w:rPr>
            </w:r>
            <w:r>
              <w:rPr>
                <w:noProof/>
                <w:webHidden/>
              </w:rPr>
              <w:fldChar w:fldCharType="separate"/>
            </w:r>
            <w:r>
              <w:rPr>
                <w:noProof/>
                <w:webHidden/>
              </w:rPr>
              <w:t>6</w:t>
            </w:r>
            <w:r>
              <w:rPr>
                <w:noProof/>
                <w:webHidden/>
              </w:rPr>
              <w:fldChar w:fldCharType="end"/>
            </w:r>
          </w:hyperlink>
        </w:p>
        <w:p w14:paraId="042FBA8E" w14:textId="68360A54"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02" w:history="1">
            <w:r w:rsidRPr="00E27E11">
              <w:rPr>
                <w:rStyle w:val="Hyperlink"/>
                <w:noProof/>
              </w:rPr>
              <w:t>1.2</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Research Aims, Questions and Objectives</w:t>
            </w:r>
            <w:r>
              <w:rPr>
                <w:noProof/>
                <w:webHidden/>
              </w:rPr>
              <w:tab/>
            </w:r>
            <w:r>
              <w:rPr>
                <w:noProof/>
                <w:webHidden/>
              </w:rPr>
              <w:fldChar w:fldCharType="begin"/>
            </w:r>
            <w:r>
              <w:rPr>
                <w:noProof/>
                <w:webHidden/>
              </w:rPr>
              <w:instrText xml:space="preserve"> PAGEREF _Toc227484302 \h </w:instrText>
            </w:r>
            <w:r>
              <w:rPr>
                <w:noProof/>
                <w:webHidden/>
              </w:rPr>
            </w:r>
            <w:r>
              <w:rPr>
                <w:noProof/>
                <w:webHidden/>
              </w:rPr>
              <w:fldChar w:fldCharType="separate"/>
            </w:r>
            <w:r>
              <w:rPr>
                <w:noProof/>
                <w:webHidden/>
              </w:rPr>
              <w:t>6</w:t>
            </w:r>
            <w:r>
              <w:rPr>
                <w:noProof/>
                <w:webHidden/>
              </w:rPr>
              <w:fldChar w:fldCharType="end"/>
            </w:r>
          </w:hyperlink>
        </w:p>
        <w:p w14:paraId="3614796E" w14:textId="6BB051B9"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03" w:history="1">
            <w:r w:rsidRPr="00E27E11">
              <w:rPr>
                <w:rStyle w:val="Hyperlink"/>
                <w:noProof/>
              </w:rPr>
              <w:t>1.3</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Research Approach</w:t>
            </w:r>
            <w:r>
              <w:rPr>
                <w:noProof/>
                <w:webHidden/>
              </w:rPr>
              <w:tab/>
            </w:r>
            <w:r>
              <w:rPr>
                <w:noProof/>
                <w:webHidden/>
              </w:rPr>
              <w:fldChar w:fldCharType="begin"/>
            </w:r>
            <w:r>
              <w:rPr>
                <w:noProof/>
                <w:webHidden/>
              </w:rPr>
              <w:instrText xml:space="preserve"> PAGEREF _Toc227484303 \h </w:instrText>
            </w:r>
            <w:r>
              <w:rPr>
                <w:noProof/>
                <w:webHidden/>
              </w:rPr>
            </w:r>
            <w:r>
              <w:rPr>
                <w:noProof/>
                <w:webHidden/>
              </w:rPr>
              <w:fldChar w:fldCharType="separate"/>
            </w:r>
            <w:r>
              <w:rPr>
                <w:noProof/>
                <w:webHidden/>
              </w:rPr>
              <w:t>7</w:t>
            </w:r>
            <w:r>
              <w:rPr>
                <w:noProof/>
                <w:webHidden/>
              </w:rPr>
              <w:fldChar w:fldCharType="end"/>
            </w:r>
          </w:hyperlink>
        </w:p>
        <w:p w14:paraId="4A83525E" w14:textId="2A55B604"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04" w:history="1">
            <w:r w:rsidRPr="00E27E11">
              <w:rPr>
                <w:rStyle w:val="Hyperlink"/>
                <w:noProof/>
              </w:rPr>
              <w:t>1.4</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Feasibility</w:t>
            </w:r>
            <w:r>
              <w:rPr>
                <w:noProof/>
                <w:webHidden/>
              </w:rPr>
              <w:tab/>
            </w:r>
            <w:r>
              <w:rPr>
                <w:noProof/>
                <w:webHidden/>
              </w:rPr>
              <w:fldChar w:fldCharType="begin"/>
            </w:r>
            <w:r>
              <w:rPr>
                <w:noProof/>
                <w:webHidden/>
              </w:rPr>
              <w:instrText xml:space="preserve"> PAGEREF _Toc227484304 \h </w:instrText>
            </w:r>
            <w:r>
              <w:rPr>
                <w:noProof/>
                <w:webHidden/>
              </w:rPr>
            </w:r>
            <w:r>
              <w:rPr>
                <w:noProof/>
                <w:webHidden/>
              </w:rPr>
              <w:fldChar w:fldCharType="separate"/>
            </w:r>
            <w:r>
              <w:rPr>
                <w:noProof/>
                <w:webHidden/>
              </w:rPr>
              <w:t>8</w:t>
            </w:r>
            <w:r>
              <w:rPr>
                <w:noProof/>
                <w:webHidden/>
              </w:rPr>
              <w:fldChar w:fldCharType="end"/>
            </w:r>
          </w:hyperlink>
        </w:p>
        <w:p w14:paraId="2AFBBF16" w14:textId="3BF62495"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05" w:history="1">
            <w:r w:rsidRPr="00E27E11">
              <w:rPr>
                <w:rStyle w:val="Hyperlink"/>
                <w:noProof/>
              </w:rPr>
              <w:t>1.5</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Boundaries and Limitations</w:t>
            </w:r>
            <w:r>
              <w:rPr>
                <w:noProof/>
                <w:webHidden/>
              </w:rPr>
              <w:tab/>
            </w:r>
            <w:r>
              <w:rPr>
                <w:noProof/>
                <w:webHidden/>
              </w:rPr>
              <w:fldChar w:fldCharType="begin"/>
            </w:r>
            <w:r>
              <w:rPr>
                <w:noProof/>
                <w:webHidden/>
              </w:rPr>
              <w:instrText xml:space="preserve"> PAGEREF _Toc227484305 \h </w:instrText>
            </w:r>
            <w:r>
              <w:rPr>
                <w:noProof/>
                <w:webHidden/>
              </w:rPr>
            </w:r>
            <w:r>
              <w:rPr>
                <w:noProof/>
                <w:webHidden/>
              </w:rPr>
              <w:fldChar w:fldCharType="separate"/>
            </w:r>
            <w:r>
              <w:rPr>
                <w:noProof/>
                <w:webHidden/>
              </w:rPr>
              <w:t>8</w:t>
            </w:r>
            <w:r>
              <w:rPr>
                <w:noProof/>
                <w:webHidden/>
              </w:rPr>
              <w:fldChar w:fldCharType="end"/>
            </w:r>
          </w:hyperlink>
        </w:p>
        <w:p w14:paraId="16DE67CA" w14:textId="598EAC7A"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06" w:history="1">
            <w:r w:rsidRPr="00E27E11">
              <w:rPr>
                <w:rStyle w:val="Hyperlink"/>
                <w:noProof/>
              </w:rPr>
              <w:t>1.6</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Dissertation Structure</w:t>
            </w:r>
            <w:r>
              <w:rPr>
                <w:noProof/>
                <w:webHidden/>
              </w:rPr>
              <w:tab/>
            </w:r>
            <w:r>
              <w:rPr>
                <w:noProof/>
                <w:webHidden/>
              </w:rPr>
              <w:fldChar w:fldCharType="begin"/>
            </w:r>
            <w:r>
              <w:rPr>
                <w:noProof/>
                <w:webHidden/>
              </w:rPr>
              <w:instrText xml:space="preserve"> PAGEREF _Toc227484306 \h </w:instrText>
            </w:r>
            <w:r>
              <w:rPr>
                <w:noProof/>
                <w:webHidden/>
              </w:rPr>
            </w:r>
            <w:r>
              <w:rPr>
                <w:noProof/>
                <w:webHidden/>
              </w:rPr>
              <w:fldChar w:fldCharType="separate"/>
            </w:r>
            <w:r>
              <w:rPr>
                <w:noProof/>
                <w:webHidden/>
              </w:rPr>
              <w:t>8</w:t>
            </w:r>
            <w:r>
              <w:rPr>
                <w:noProof/>
                <w:webHidden/>
              </w:rPr>
              <w:fldChar w:fldCharType="end"/>
            </w:r>
          </w:hyperlink>
        </w:p>
        <w:p w14:paraId="6D407E15" w14:textId="12F2E895" w:rsidR="00190A96" w:rsidRDefault="00190A96">
          <w:pPr>
            <w:pStyle w:val="TOC1"/>
            <w:tabs>
              <w:tab w:val="left" w:pos="720"/>
              <w:tab w:val="right" w:leader="dot" w:pos="9016"/>
            </w:tabs>
            <w:rPr>
              <w:rFonts w:asciiTheme="minorHAnsi" w:eastAsiaTheme="minorEastAsia" w:hAnsiTheme="minorHAnsi" w:cstheme="minorBidi"/>
              <w:b w:val="0"/>
              <w:bCs w:val="0"/>
              <w:i w:val="0"/>
              <w:iCs w:val="0"/>
              <w:noProof/>
              <w:kern w:val="2"/>
              <w14:ligatures w14:val="standardContextual"/>
            </w:rPr>
          </w:pPr>
          <w:hyperlink w:anchor="_Toc227484307" w:history="1">
            <w:r w:rsidRPr="00E27E11">
              <w:rPr>
                <w:rStyle w:val="Hyperlink"/>
                <w:noProof/>
              </w:rPr>
              <w:t>2.0.</w:t>
            </w:r>
            <w:r>
              <w:rPr>
                <w:rFonts w:asciiTheme="minorHAnsi" w:eastAsiaTheme="minorEastAsia" w:hAnsiTheme="minorHAnsi" w:cstheme="minorBidi"/>
                <w:b w:val="0"/>
                <w:bCs w:val="0"/>
                <w:i w:val="0"/>
                <w:iCs w:val="0"/>
                <w:noProof/>
                <w:kern w:val="2"/>
                <w14:ligatures w14:val="standardContextual"/>
              </w:rPr>
              <w:tab/>
            </w:r>
            <w:r w:rsidRPr="00E27E11">
              <w:rPr>
                <w:rStyle w:val="Hyperlink"/>
                <w:noProof/>
              </w:rPr>
              <w:t>Literature Review</w:t>
            </w:r>
            <w:r>
              <w:rPr>
                <w:noProof/>
                <w:webHidden/>
              </w:rPr>
              <w:tab/>
            </w:r>
            <w:r>
              <w:rPr>
                <w:noProof/>
                <w:webHidden/>
              </w:rPr>
              <w:fldChar w:fldCharType="begin"/>
            </w:r>
            <w:r>
              <w:rPr>
                <w:noProof/>
                <w:webHidden/>
              </w:rPr>
              <w:instrText xml:space="preserve"> PAGEREF _Toc227484307 \h </w:instrText>
            </w:r>
            <w:r>
              <w:rPr>
                <w:noProof/>
                <w:webHidden/>
              </w:rPr>
            </w:r>
            <w:r>
              <w:rPr>
                <w:noProof/>
                <w:webHidden/>
              </w:rPr>
              <w:fldChar w:fldCharType="separate"/>
            </w:r>
            <w:r>
              <w:rPr>
                <w:noProof/>
                <w:webHidden/>
              </w:rPr>
              <w:t>9</w:t>
            </w:r>
            <w:r>
              <w:rPr>
                <w:noProof/>
                <w:webHidden/>
              </w:rPr>
              <w:fldChar w:fldCharType="end"/>
            </w:r>
          </w:hyperlink>
        </w:p>
        <w:p w14:paraId="5E31D354" w14:textId="76C84BE9"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08" w:history="1">
            <w:r w:rsidRPr="00E27E11">
              <w:rPr>
                <w:rStyle w:val="Hyperlink"/>
                <w:noProof/>
              </w:rPr>
              <w:t>2.1</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Early Childhood Technology Exposure and Development</w:t>
            </w:r>
            <w:r>
              <w:rPr>
                <w:noProof/>
                <w:webHidden/>
              </w:rPr>
              <w:tab/>
            </w:r>
            <w:r>
              <w:rPr>
                <w:noProof/>
                <w:webHidden/>
              </w:rPr>
              <w:fldChar w:fldCharType="begin"/>
            </w:r>
            <w:r>
              <w:rPr>
                <w:noProof/>
                <w:webHidden/>
              </w:rPr>
              <w:instrText xml:space="preserve"> PAGEREF _Toc227484308 \h </w:instrText>
            </w:r>
            <w:r>
              <w:rPr>
                <w:noProof/>
                <w:webHidden/>
              </w:rPr>
            </w:r>
            <w:r>
              <w:rPr>
                <w:noProof/>
                <w:webHidden/>
              </w:rPr>
              <w:fldChar w:fldCharType="separate"/>
            </w:r>
            <w:r>
              <w:rPr>
                <w:noProof/>
                <w:webHidden/>
              </w:rPr>
              <w:t>9</w:t>
            </w:r>
            <w:r>
              <w:rPr>
                <w:noProof/>
                <w:webHidden/>
              </w:rPr>
              <w:fldChar w:fldCharType="end"/>
            </w:r>
          </w:hyperlink>
        </w:p>
        <w:p w14:paraId="38852657" w14:textId="2E668D6D"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09" w:history="1">
            <w:r w:rsidRPr="00E27E11">
              <w:rPr>
                <w:rStyle w:val="Hyperlink"/>
                <w:noProof/>
              </w:rPr>
              <w:t>2.2</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Technology Exposure and Employability Skills</w:t>
            </w:r>
            <w:r>
              <w:rPr>
                <w:noProof/>
                <w:webHidden/>
              </w:rPr>
              <w:tab/>
            </w:r>
            <w:r>
              <w:rPr>
                <w:noProof/>
                <w:webHidden/>
              </w:rPr>
              <w:fldChar w:fldCharType="begin"/>
            </w:r>
            <w:r>
              <w:rPr>
                <w:noProof/>
                <w:webHidden/>
              </w:rPr>
              <w:instrText xml:space="preserve"> PAGEREF _Toc227484309 \h </w:instrText>
            </w:r>
            <w:r>
              <w:rPr>
                <w:noProof/>
                <w:webHidden/>
              </w:rPr>
            </w:r>
            <w:r>
              <w:rPr>
                <w:noProof/>
                <w:webHidden/>
              </w:rPr>
              <w:fldChar w:fldCharType="separate"/>
            </w:r>
            <w:r>
              <w:rPr>
                <w:noProof/>
                <w:webHidden/>
              </w:rPr>
              <w:t>10</w:t>
            </w:r>
            <w:r>
              <w:rPr>
                <w:noProof/>
                <w:webHidden/>
              </w:rPr>
              <w:fldChar w:fldCharType="end"/>
            </w:r>
          </w:hyperlink>
        </w:p>
        <w:p w14:paraId="671CB5DD" w14:textId="2149A29F"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10" w:history="1">
            <w:r w:rsidRPr="00E27E11">
              <w:rPr>
                <w:rStyle w:val="Hyperlink"/>
                <w:noProof/>
              </w:rPr>
              <w:t>2.3</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Sustainable Technology Integration Approaches</w:t>
            </w:r>
            <w:r>
              <w:rPr>
                <w:noProof/>
                <w:webHidden/>
              </w:rPr>
              <w:tab/>
            </w:r>
            <w:r>
              <w:rPr>
                <w:noProof/>
                <w:webHidden/>
              </w:rPr>
              <w:fldChar w:fldCharType="begin"/>
            </w:r>
            <w:r>
              <w:rPr>
                <w:noProof/>
                <w:webHidden/>
              </w:rPr>
              <w:instrText xml:space="preserve"> PAGEREF _Toc227484310 \h </w:instrText>
            </w:r>
            <w:r>
              <w:rPr>
                <w:noProof/>
                <w:webHidden/>
              </w:rPr>
            </w:r>
            <w:r>
              <w:rPr>
                <w:noProof/>
                <w:webHidden/>
              </w:rPr>
              <w:fldChar w:fldCharType="separate"/>
            </w:r>
            <w:r>
              <w:rPr>
                <w:noProof/>
                <w:webHidden/>
              </w:rPr>
              <w:t>12</w:t>
            </w:r>
            <w:r>
              <w:rPr>
                <w:noProof/>
                <w:webHidden/>
              </w:rPr>
              <w:fldChar w:fldCharType="end"/>
            </w:r>
          </w:hyperlink>
        </w:p>
        <w:p w14:paraId="5379CC74" w14:textId="41FA2562"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11" w:history="1">
            <w:r w:rsidRPr="00E27E11">
              <w:rPr>
                <w:rStyle w:val="Hyperlink"/>
                <w:noProof/>
              </w:rPr>
              <w:t>2.4</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Literature Gaps and Research Justification</w:t>
            </w:r>
            <w:r>
              <w:rPr>
                <w:noProof/>
                <w:webHidden/>
              </w:rPr>
              <w:tab/>
            </w:r>
            <w:r>
              <w:rPr>
                <w:noProof/>
                <w:webHidden/>
              </w:rPr>
              <w:fldChar w:fldCharType="begin"/>
            </w:r>
            <w:r>
              <w:rPr>
                <w:noProof/>
                <w:webHidden/>
              </w:rPr>
              <w:instrText xml:space="preserve"> PAGEREF _Toc227484311 \h </w:instrText>
            </w:r>
            <w:r>
              <w:rPr>
                <w:noProof/>
                <w:webHidden/>
              </w:rPr>
            </w:r>
            <w:r>
              <w:rPr>
                <w:noProof/>
                <w:webHidden/>
              </w:rPr>
              <w:fldChar w:fldCharType="separate"/>
            </w:r>
            <w:r>
              <w:rPr>
                <w:noProof/>
                <w:webHidden/>
              </w:rPr>
              <w:t>14</w:t>
            </w:r>
            <w:r>
              <w:rPr>
                <w:noProof/>
                <w:webHidden/>
              </w:rPr>
              <w:fldChar w:fldCharType="end"/>
            </w:r>
          </w:hyperlink>
        </w:p>
        <w:p w14:paraId="02A570EF" w14:textId="1F1E5EE2" w:rsidR="00190A96" w:rsidRDefault="00190A96">
          <w:pPr>
            <w:pStyle w:val="TOC1"/>
            <w:tabs>
              <w:tab w:val="left" w:pos="720"/>
              <w:tab w:val="right" w:leader="dot" w:pos="9016"/>
            </w:tabs>
            <w:rPr>
              <w:rFonts w:asciiTheme="minorHAnsi" w:eastAsiaTheme="minorEastAsia" w:hAnsiTheme="minorHAnsi" w:cstheme="minorBidi"/>
              <w:b w:val="0"/>
              <w:bCs w:val="0"/>
              <w:i w:val="0"/>
              <w:iCs w:val="0"/>
              <w:noProof/>
              <w:kern w:val="2"/>
              <w14:ligatures w14:val="standardContextual"/>
            </w:rPr>
          </w:pPr>
          <w:hyperlink w:anchor="_Toc227484312" w:history="1">
            <w:r w:rsidRPr="00E27E11">
              <w:rPr>
                <w:rStyle w:val="Hyperlink"/>
                <w:noProof/>
              </w:rPr>
              <w:t>3.0.</w:t>
            </w:r>
            <w:r>
              <w:rPr>
                <w:rFonts w:asciiTheme="minorHAnsi" w:eastAsiaTheme="minorEastAsia" w:hAnsiTheme="minorHAnsi" w:cstheme="minorBidi"/>
                <w:b w:val="0"/>
                <w:bCs w:val="0"/>
                <w:i w:val="0"/>
                <w:iCs w:val="0"/>
                <w:noProof/>
                <w:kern w:val="2"/>
                <w14:ligatures w14:val="standardContextual"/>
              </w:rPr>
              <w:tab/>
            </w:r>
            <w:r w:rsidRPr="00E27E11">
              <w:rPr>
                <w:rStyle w:val="Hyperlink"/>
                <w:noProof/>
              </w:rPr>
              <w:t>Methodology</w:t>
            </w:r>
            <w:r>
              <w:rPr>
                <w:noProof/>
                <w:webHidden/>
              </w:rPr>
              <w:tab/>
            </w:r>
            <w:r>
              <w:rPr>
                <w:noProof/>
                <w:webHidden/>
              </w:rPr>
              <w:fldChar w:fldCharType="begin"/>
            </w:r>
            <w:r>
              <w:rPr>
                <w:noProof/>
                <w:webHidden/>
              </w:rPr>
              <w:instrText xml:space="preserve"> PAGEREF _Toc227484312 \h </w:instrText>
            </w:r>
            <w:r>
              <w:rPr>
                <w:noProof/>
                <w:webHidden/>
              </w:rPr>
            </w:r>
            <w:r>
              <w:rPr>
                <w:noProof/>
                <w:webHidden/>
              </w:rPr>
              <w:fldChar w:fldCharType="separate"/>
            </w:r>
            <w:r>
              <w:rPr>
                <w:noProof/>
                <w:webHidden/>
              </w:rPr>
              <w:t>16</w:t>
            </w:r>
            <w:r>
              <w:rPr>
                <w:noProof/>
                <w:webHidden/>
              </w:rPr>
              <w:fldChar w:fldCharType="end"/>
            </w:r>
          </w:hyperlink>
        </w:p>
        <w:p w14:paraId="1FEA3ECB" w14:textId="614FF4BF"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13" w:history="1">
            <w:r w:rsidRPr="00E27E11">
              <w:rPr>
                <w:rStyle w:val="Hyperlink"/>
                <w:noProof/>
              </w:rPr>
              <w:t>3.1</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Research Design and Philosophical Foundations</w:t>
            </w:r>
            <w:r>
              <w:rPr>
                <w:noProof/>
                <w:webHidden/>
              </w:rPr>
              <w:tab/>
            </w:r>
            <w:r>
              <w:rPr>
                <w:noProof/>
                <w:webHidden/>
              </w:rPr>
              <w:fldChar w:fldCharType="begin"/>
            </w:r>
            <w:r>
              <w:rPr>
                <w:noProof/>
                <w:webHidden/>
              </w:rPr>
              <w:instrText xml:space="preserve"> PAGEREF _Toc227484313 \h </w:instrText>
            </w:r>
            <w:r>
              <w:rPr>
                <w:noProof/>
                <w:webHidden/>
              </w:rPr>
            </w:r>
            <w:r>
              <w:rPr>
                <w:noProof/>
                <w:webHidden/>
              </w:rPr>
              <w:fldChar w:fldCharType="separate"/>
            </w:r>
            <w:r>
              <w:rPr>
                <w:noProof/>
                <w:webHidden/>
              </w:rPr>
              <w:t>16</w:t>
            </w:r>
            <w:r>
              <w:rPr>
                <w:noProof/>
                <w:webHidden/>
              </w:rPr>
              <w:fldChar w:fldCharType="end"/>
            </w:r>
          </w:hyperlink>
        </w:p>
        <w:p w14:paraId="7877AD8A" w14:textId="1D883A6A"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14" w:history="1">
            <w:r w:rsidRPr="00E27E11">
              <w:rPr>
                <w:rStyle w:val="Hyperlink"/>
                <w:noProof/>
              </w:rPr>
              <w:t>3.2</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Participants and Sampling</w:t>
            </w:r>
            <w:r>
              <w:rPr>
                <w:noProof/>
                <w:webHidden/>
              </w:rPr>
              <w:tab/>
            </w:r>
            <w:r>
              <w:rPr>
                <w:noProof/>
                <w:webHidden/>
              </w:rPr>
              <w:fldChar w:fldCharType="begin"/>
            </w:r>
            <w:r>
              <w:rPr>
                <w:noProof/>
                <w:webHidden/>
              </w:rPr>
              <w:instrText xml:space="preserve"> PAGEREF _Toc227484314 \h </w:instrText>
            </w:r>
            <w:r>
              <w:rPr>
                <w:noProof/>
                <w:webHidden/>
              </w:rPr>
            </w:r>
            <w:r>
              <w:rPr>
                <w:noProof/>
                <w:webHidden/>
              </w:rPr>
              <w:fldChar w:fldCharType="separate"/>
            </w:r>
            <w:r>
              <w:rPr>
                <w:noProof/>
                <w:webHidden/>
              </w:rPr>
              <w:t>18</w:t>
            </w:r>
            <w:r>
              <w:rPr>
                <w:noProof/>
                <w:webHidden/>
              </w:rPr>
              <w:fldChar w:fldCharType="end"/>
            </w:r>
          </w:hyperlink>
        </w:p>
        <w:p w14:paraId="22497607" w14:textId="3EE418E7"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15" w:history="1">
            <w:r w:rsidRPr="00E27E11">
              <w:rPr>
                <w:rStyle w:val="Hyperlink"/>
                <w:noProof/>
              </w:rPr>
              <w:t>3.3</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Data Collection and Epoché</w:t>
            </w:r>
            <w:r>
              <w:rPr>
                <w:noProof/>
                <w:webHidden/>
              </w:rPr>
              <w:tab/>
            </w:r>
            <w:r>
              <w:rPr>
                <w:noProof/>
                <w:webHidden/>
              </w:rPr>
              <w:fldChar w:fldCharType="begin"/>
            </w:r>
            <w:r>
              <w:rPr>
                <w:noProof/>
                <w:webHidden/>
              </w:rPr>
              <w:instrText xml:space="preserve"> PAGEREF _Toc227484315 \h </w:instrText>
            </w:r>
            <w:r>
              <w:rPr>
                <w:noProof/>
                <w:webHidden/>
              </w:rPr>
            </w:r>
            <w:r>
              <w:rPr>
                <w:noProof/>
                <w:webHidden/>
              </w:rPr>
              <w:fldChar w:fldCharType="separate"/>
            </w:r>
            <w:r>
              <w:rPr>
                <w:noProof/>
                <w:webHidden/>
              </w:rPr>
              <w:t>19</w:t>
            </w:r>
            <w:r>
              <w:rPr>
                <w:noProof/>
                <w:webHidden/>
              </w:rPr>
              <w:fldChar w:fldCharType="end"/>
            </w:r>
          </w:hyperlink>
        </w:p>
        <w:p w14:paraId="7741BDC9" w14:textId="37C9A12A"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16" w:history="1">
            <w:r w:rsidRPr="00E27E11">
              <w:rPr>
                <w:rStyle w:val="Hyperlink"/>
                <w:noProof/>
              </w:rPr>
              <w:t>3.4</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Data Analysis</w:t>
            </w:r>
            <w:r>
              <w:rPr>
                <w:noProof/>
                <w:webHidden/>
              </w:rPr>
              <w:tab/>
            </w:r>
            <w:r>
              <w:rPr>
                <w:noProof/>
                <w:webHidden/>
              </w:rPr>
              <w:fldChar w:fldCharType="begin"/>
            </w:r>
            <w:r>
              <w:rPr>
                <w:noProof/>
                <w:webHidden/>
              </w:rPr>
              <w:instrText xml:space="preserve"> PAGEREF _Toc227484316 \h </w:instrText>
            </w:r>
            <w:r>
              <w:rPr>
                <w:noProof/>
                <w:webHidden/>
              </w:rPr>
            </w:r>
            <w:r>
              <w:rPr>
                <w:noProof/>
                <w:webHidden/>
              </w:rPr>
              <w:fldChar w:fldCharType="separate"/>
            </w:r>
            <w:r>
              <w:rPr>
                <w:noProof/>
                <w:webHidden/>
              </w:rPr>
              <w:t>20</w:t>
            </w:r>
            <w:r>
              <w:rPr>
                <w:noProof/>
                <w:webHidden/>
              </w:rPr>
              <w:fldChar w:fldCharType="end"/>
            </w:r>
          </w:hyperlink>
        </w:p>
        <w:p w14:paraId="301AC0A8" w14:textId="0F1CFCDD"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17" w:history="1">
            <w:r w:rsidRPr="00E27E11">
              <w:rPr>
                <w:rStyle w:val="Hyperlink"/>
                <w:noProof/>
              </w:rPr>
              <w:t>3.5</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Reliability and Limitations</w:t>
            </w:r>
            <w:r>
              <w:rPr>
                <w:noProof/>
                <w:webHidden/>
              </w:rPr>
              <w:tab/>
            </w:r>
            <w:r>
              <w:rPr>
                <w:noProof/>
                <w:webHidden/>
              </w:rPr>
              <w:fldChar w:fldCharType="begin"/>
            </w:r>
            <w:r>
              <w:rPr>
                <w:noProof/>
                <w:webHidden/>
              </w:rPr>
              <w:instrText xml:space="preserve"> PAGEREF _Toc227484317 \h </w:instrText>
            </w:r>
            <w:r>
              <w:rPr>
                <w:noProof/>
                <w:webHidden/>
              </w:rPr>
            </w:r>
            <w:r>
              <w:rPr>
                <w:noProof/>
                <w:webHidden/>
              </w:rPr>
              <w:fldChar w:fldCharType="separate"/>
            </w:r>
            <w:r>
              <w:rPr>
                <w:noProof/>
                <w:webHidden/>
              </w:rPr>
              <w:t>22</w:t>
            </w:r>
            <w:r>
              <w:rPr>
                <w:noProof/>
                <w:webHidden/>
              </w:rPr>
              <w:fldChar w:fldCharType="end"/>
            </w:r>
          </w:hyperlink>
        </w:p>
        <w:p w14:paraId="0D5DB172" w14:textId="0FCB11B4"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18" w:history="1">
            <w:r w:rsidRPr="00E27E11">
              <w:rPr>
                <w:rStyle w:val="Hyperlink"/>
                <w:noProof/>
              </w:rPr>
              <w:t>3.6</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Ethics</w:t>
            </w:r>
            <w:r>
              <w:rPr>
                <w:noProof/>
                <w:webHidden/>
              </w:rPr>
              <w:tab/>
            </w:r>
            <w:r>
              <w:rPr>
                <w:noProof/>
                <w:webHidden/>
              </w:rPr>
              <w:fldChar w:fldCharType="begin"/>
            </w:r>
            <w:r>
              <w:rPr>
                <w:noProof/>
                <w:webHidden/>
              </w:rPr>
              <w:instrText xml:space="preserve"> PAGEREF _Toc227484318 \h </w:instrText>
            </w:r>
            <w:r>
              <w:rPr>
                <w:noProof/>
                <w:webHidden/>
              </w:rPr>
            </w:r>
            <w:r>
              <w:rPr>
                <w:noProof/>
                <w:webHidden/>
              </w:rPr>
              <w:fldChar w:fldCharType="separate"/>
            </w:r>
            <w:r>
              <w:rPr>
                <w:noProof/>
                <w:webHidden/>
              </w:rPr>
              <w:t>23</w:t>
            </w:r>
            <w:r>
              <w:rPr>
                <w:noProof/>
                <w:webHidden/>
              </w:rPr>
              <w:fldChar w:fldCharType="end"/>
            </w:r>
          </w:hyperlink>
        </w:p>
        <w:p w14:paraId="5E6D0FAB" w14:textId="5FE5CB3F" w:rsidR="00190A96" w:rsidRDefault="00190A96">
          <w:pPr>
            <w:pStyle w:val="TOC1"/>
            <w:tabs>
              <w:tab w:val="left" w:pos="720"/>
              <w:tab w:val="right" w:leader="dot" w:pos="9016"/>
            </w:tabs>
            <w:rPr>
              <w:rFonts w:asciiTheme="minorHAnsi" w:eastAsiaTheme="minorEastAsia" w:hAnsiTheme="minorHAnsi" w:cstheme="minorBidi"/>
              <w:b w:val="0"/>
              <w:bCs w:val="0"/>
              <w:i w:val="0"/>
              <w:iCs w:val="0"/>
              <w:noProof/>
              <w:kern w:val="2"/>
              <w14:ligatures w14:val="standardContextual"/>
            </w:rPr>
          </w:pPr>
          <w:hyperlink w:anchor="_Toc227484319" w:history="1">
            <w:r w:rsidRPr="00E27E11">
              <w:rPr>
                <w:rStyle w:val="Hyperlink"/>
                <w:noProof/>
              </w:rPr>
              <w:t>4.0</w:t>
            </w:r>
            <w:r>
              <w:rPr>
                <w:rFonts w:asciiTheme="minorHAnsi" w:eastAsiaTheme="minorEastAsia" w:hAnsiTheme="minorHAnsi" w:cstheme="minorBidi"/>
                <w:b w:val="0"/>
                <w:bCs w:val="0"/>
                <w:i w:val="0"/>
                <w:iCs w:val="0"/>
                <w:noProof/>
                <w:kern w:val="2"/>
                <w14:ligatures w14:val="standardContextual"/>
              </w:rPr>
              <w:tab/>
            </w:r>
            <w:r w:rsidRPr="00E27E11">
              <w:rPr>
                <w:rStyle w:val="Hyperlink"/>
                <w:noProof/>
              </w:rPr>
              <w:t>Presentation of Findings</w:t>
            </w:r>
            <w:r>
              <w:rPr>
                <w:noProof/>
                <w:webHidden/>
              </w:rPr>
              <w:tab/>
            </w:r>
            <w:r>
              <w:rPr>
                <w:noProof/>
                <w:webHidden/>
              </w:rPr>
              <w:fldChar w:fldCharType="begin"/>
            </w:r>
            <w:r>
              <w:rPr>
                <w:noProof/>
                <w:webHidden/>
              </w:rPr>
              <w:instrText xml:space="preserve"> PAGEREF _Toc227484319 \h </w:instrText>
            </w:r>
            <w:r>
              <w:rPr>
                <w:noProof/>
                <w:webHidden/>
              </w:rPr>
            </w:r>
            <w:r>
              <w:rPr>
                <w:noProof/>
                <w:webHidden/>
              </w:rPr>
              <w:fldChar w:fldCharType="separate"/>
            </w:r>
            <w:r>
              <w:rPr>
                <w:noProof/>
                <w:webHidden/>
              </w:rPr>
              <w:t>25</w:t>
            </w:r>
            <w:r>
              <w:rPr>
                <w:noProof/>
                <w:webHidden/>
              </w:rPr>
              <w:fldChar w:fldCharType="end"/>
            </w:r>
          </w:hyperlink>
        </w:p>
        <w:p w14:paraId="18FF083D" w14:textId="2A889F39"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20" w:history="1">
            <w:r w:rsidRPr="00E27E11">
              <w:rPr>
                <w:rStyle w:val="Hyperlink"/>
                <w:noProof/>
              </w:rPr>
              <w:t>4.1</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Overview</w:t>
            </w:r>
            <w:r>
              <w:rPr>
                <w:noProof/>
                <w:webHidden/>
              </w:rPr>
              <w:tab/>
            </w:r>
            <w:r>
              <w:rPr>
                <w:noProof/>
                <w:webHidden/>
              </w:rPr>
              <w:fldChar w:fldCharType="begin"/>
            </w:r>
            <w:r>
              <w:rPr>
                <w:noProof/>
                <w:webHidden/>
              </w:rPr>
              <w:instrText xml:space="preserve"> PAGEREF _Toc227484320 \h </w:instrText>
            </w:r>
            <w:r>
              <w:rPr>
                <w:noProof/>
                <w:webHidden/>
              </w:rPr>
            </w:r>
            <w:r>
              <w:rPr>
                <w:noProof/>
                <w:webHidden/>
              </w:rPr>
              <w:fldChar w:fldCharType="separate"/>
            </w:r>
            <w:r>
              <w:rPr>
                <w:noProof/>
                <w:webHidden/>
              </w:rPr>
              <w:t>25</w:t>
            </w:r>
            <w:r>
              <w:rPr>
                <w:noProof/>
                <w:webHidden/>
              </w:rPr>
              <w:fldChar w:fldCharType="end"/>
            </w:r>
          </w:hyperlink>
        </w:p>
        <w:p w14:paraId="0AEBBBF8" w14:textId="01A38054"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21" w:history="1">
            <w:r w:rsidRPr="00E27E11">
              <w:rPr>
                <w:rStyle w:val="Hyperlink"/>
                <w:noProof/>
              </w:rPr>
              <w:t>4.2</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Technology as a Developmental and Professional Resource</w:t>
            </w:r>
            <w:r>
              <w:rPr>
                <w:noProof/>
                <w:webHidden/>
              </w:rPr>
              <w:tab/>
            </w:r>
            <w:r>
              <w:rPr>
                <w:noProof/>
                <w:webHidden/>
              </w:rPr>
              <w:fldChar w:fldCharType="begin"/>
            </w:r>
            <w:r>
              <w:rPr>
                <w:noProof/>
                <w:webHidden/>
              </w:rPr>
              <w:instrText xml:space="preserve"> PAGEREF _Toc227484321 \h </w:instrText>
            </w:r>
            <w:r>
              <w:rPr>
                <w:noProof/>
                <w:webHidden/>
              </w:rPr>
            </w:r>
            <w:r>
              <w:rPr>
                <w:noProof/>
                <w:webHidden/>
              </w:rPr>
              <w:fldChar w:fldCharType="separate"/>
            </w:r>
            <w:r>
              <w:rPr>
                <w:noProof/>
                <w:webHidden/>
              </w:rPr>
              <w:t>25</w:t>
            </w:r>
            <w:r>
              <w:rPr>
                <w:noProof/>
                <w:webHidden/>
              </w:rPr>
              <w:fldChar w:fldCharType="end"/>
            </w:r>
          </w:hyperlink>
        </w:p>
        <w:p w14:paraId="1096C83A" w14:textId="34C7138C"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22" w:history="1">
            <w:r w:rsidRPr="00E27E11">
              <w:rPr>
                <w:rStyle w:val="Hyperlink"/>
                <w:noProof/>
              </w:rPr>
              <w:t>4.3</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Technology, Neurodiversity and Adaptive Inclusion</w:t>
            </w:r>
            <w:r>
              <w:rPr>
                <w:noProof/>
                <w:webHidden/>
              </w:rPr>
              <w:tab/>
            </w:r>
            <w:r>
              <w:rPr>
                <w:noProof/>
                <w:webHidden/>
              </w:rPr>
              <w:fldChar w:fldCharType="begin"/>
            </w:r>
            <w:r>
              <w:rPr>
                <w:noProof/>
                <w:webHidden/>
              </w:rPr>
              <w:instrText xml:space="preserve"> PAGEREF _Toc227484322 \h </w:instrText>
            </w:r>
            <w:r>
              <w:rPr>
                <w:noProof/>
                <w:webHidden/>
              </w:rPr>
            </w:r>
            <w:r>
              <w:rPr>
                <w:noProof/>
                <w:webHidden/>
              </w:rPr>
              <w:fldChar w:fldCharType="separate"/>
            </w:r>
            <w:r>
              <w:rPr>
                <w:noProof/>
                <w:webHidden/>
              </w:rPr>
              <w:t>26</w:t>
            </w:r>
            <w:r>
              <w:rPr>
                <w:noProof/>
                <w:webHidden/>
              </w:rPr>
              <w:fldChar w:fldCharType="end"/>
            </w:r>
          </w:hyperlink>
        </w:p>
        <w:p w14:paraId="038C1637" w14:textId="13414810"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23" w:history="1">
            <w:r w:rsidRPr="00E27E11">
              <w:rPr>
                <w:rStyle w:val="Hyperlink"/>
                <w:noProof/>
              </w:rPr>
              <w:t>4.4</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Social Capital and the Costs of Unmediated Access</w:t>
            </w:r>
            <w:r>
              <w:rPr>
                <w:noProof/>
                <w:webHidden/>
              </w:rPr>
              <w:tab/>
            </w:r>
            <w:r>
              <w:rPr>
                <w:noProof/>
                <w:webHidden/>
              </w:rPr>
              <w:fldChar w:fldCharType="begin"/>
            </w:r>
            <w:r>
              <w:rPr>
                <w:noProof/>
                <w:webHidden/>
              </w:rPr>
              <w:instrText xml:space="preserve"> PAGEREF _Toc227484323 \h </w:instrText>
            </w:r>
            <w:r>
              <w:rPr>
                <w:noProof/>
                <w:webHidden/>
              </w:rPr>
            </w:r>
            <w:r>
              <w:rPr>
                <w:noProof/>
                <w:webHidden/>
              </w:rPr>
              <w:fldChar w:fldCharType="separate"/>
            </w:r>
            <w:r>
              <w:rPr>
                <w:noProof/>
                <w:webHidden/>
              </w:rPr>
              <w:t>27</w:t>
            </w:r>
            <w:r>
              <w:rPr>
                <w:noProof/>
                <w:webHidden/>
              </w:rPr>
              <w:fldChar w:fldCharType="end"/>
            </w:r>
          </w:hyperlink>
        </w:p>
        <w:p w14:paraId="303CF7D9" w14:textId="378AF059"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24" w:history="1">
            <w:r w:rsidRPr="00E27E11">
              <w:rPr>
                <w:rStyle w:val="Hyperlink"/>
                <w:noProof/>
              </w:rPr>
              <w:t>4.5</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Professional Identity, Artificial Intelligence and Institutional Gaps</w:t>
            </w:r>
            <w:r>
              <w:rPr>
                <w:noProof/>
                <w:webHidden/>
              </w:rPr>
              <w:tab/>
            </w:r>
            <w:r>
              <w:rPr>
                <w:noProof/>
                <w:webHidden/>
              </w:rPr>
              <w:fldChar w:fldCharType="begin"/>
            </w:r>
            <w:r>
              <w:rPr>
                <w:noProof/>
                <w:webHidden/>
              </w:rPr>
              <w:instrText xml:space="preserve"> PAGEREF _Toc227484324 \h </w:instrText>
            </w:r>
            <w:r>
              <w:rPr>
                <w:noProof/>
                <w:webHidden/>
              </w:rPr>
            </w:r>
            <w:r>
              <w:rPr>
                <w:noProof/>
                <w:webHidden/>
              </w:rPr>
              <w:fldChar w:fldCharType="separate"/>
            </w:r>
            <w:r>
              <w:rPr>
                <w:noProof/>
                <w:webHidden/>
              </w:rPr>
              <w:t>27</w:t>
            </w:r>
            <w:r>
              <w:rPr>
                <w:noProof/>
                <w:webHidden/>
              </w:rPr>
              <w:fldChar w:fldCharType="end"/>
            </w:r>
          </w:hyperlink>
        </w:p>
        <w:p w14:paraId="2DFD1EB1" w14:textId="125FB34D" w:rsidR="00190A96" w:rsidRDefault="00190A96">
          <w:pPr>
            <w:pStyle w:val="TOC1"/>
            <w:tabs>
              <w:tab w:val="left" w:pos="720"/>
              <w:tab w:val="right" w:leader="dot" w:pos="9016"/>
            </w:tabs>
            <w:rPr>
              <w:rFonts w:asciiTheme="minorHAnsi" w:eastAsiaTheme="minorEastAsia" w:hAnsiTheme="minorHAnsi" w:cstheme="minorBidi"/>
              <w:b w:val="0"/>
              <w:bCs w:val="0"/>
              <w:i w:val="0"/>
              <w:iCs w:val="0"/>
              <w:noProof/>
              <w:kern w:val="2"/>
              <w14:ligatures w14:val="standardContextual"/>
            </w:rPr>
          </w:pPr>
          <w:hyperlink w:anchor="_Toc227484325" w:history="1">
            <w:r w:rsidRPr="00E27E11">
              <w:rPr>
                <w:rStyle w:val="Hyperlink"/>
                <w:noProof/>
              </w:rPr>
              <w:t>5.0</w:t>
            </w:r>
            <w:r>
              <w:rPr>
                <w:rFonts w:asciiTheme="minorHAnsi" w:eastAsiaTheme="minorEastAsia" w:hAnsiTheme="minorHAnsi" w:cstheme="minorBidi"/>
                <w:b w:val="0"/>
                <w:bCs w:val="0"/>
                <w:i w:val="0"/>
                <w:iCs w:val="0"/>
                <w:noProof/>
                <w:kern w:val="2"/>
                <w14:ligatures w14:val="standardContextual"/>
              </w:rPr>
              <w:tab/>
            </w:r>
            <w:r w:rsidRPr="00E27E11">
              <w:rPr>
                <w:rStyle w:val="Hyperlink"/>
                <w:noProof/>
              </w:rPr>
              <w:t>Discussion and Analysis</w:t>
            </w:r>
            <w:r>
              <w:rPr>
                <w:noProof/>
                <w:webHidden/>
              </w:rPr>
              <w:tab/>
            </w:r>
            <w:r>
              <w:rPr>
                <w:noProof/>
                <w:webHidden/>
              </w:rPr>
              <w:fldChar w:fldCharType="begin"/>
            </w:r>
            <w:r>
              <w:rPr>
                <w:noProof/>
                <w:webHidden/>
              </w:rPr>
              <w:instrText xml:space="preserve"> PAGEREF _Toc227484325 \h </w:instrText>
            </w:r>
            <w:r>
              <w:rPr>
                <w:noProof/>
                <w:webHidden/>
              </w:rPr>
            </w:r>
            <w:r>
              <w:rPr>
                <w:noProof/>
                <w:webHidden/>
              </w:rPr>
              <w:fldChar w:fldCharType="separate"/>
            </w:r>
            <w:r>
              <w:rPr>
                <w:noProof/>
                <w:webHidden/>
              </w:rPr>
              <w:t>29</w:t>
            </w:r>
            <w:r>
              <w:rPr>
                <w:noProof/>
                <w:webHidden/>
              </w:rPr>
              <w:fldChar w:fldCharType="end"/>
            </w:r>
          </w:hyperlink>
        </w:p>
        <w:p w14:paraId="628F447D" w14:textId="30979B2C"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26" w:history="1">
            <w:r w:rsidRPr="00E27E11">
              <w:rPr>
                <w:rStyle w:val="Hyperlink"/>
                <w:noProof/>
              </w:rPr>
              <w:t>5.1</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Neurodiversity</w:t>
            </w:r>
            <w:r>
              <w:rPr>
                <w:noProof/>
                <w:webHidden/>
              </w:rPr>
              <w:tab/>
            </w:r>
            <w:r>
              <w:rPr>
                <w:noProof/>
                <w:webHidden/>
              </w:rPr>
              <w:fldChar w:fldCharType="begin"/>
            </w:r>
            <w:r>
              <w:rPr>
                <w:noProof/>
                <w:webHidden/>
              </w:rPr>
              <w:instrText xml:space="preserve"> PAGEREF _Toc227484326 \h </w:instrText>
            </w:r>
            <w:r>
              <w:rPr>
                <w:noProof/>
                <w:webHidden/>
              </w:rPr>
            </w:r>
            <w:r>
              <w:rPr>
                <w:noProof/>
                <w:webHidden/>
              </w:rPr>
              <w:fldChar w:fldCharType="separate"/>
            </w:r>
            <w:r>
              <w:rPr>
                <w:noProof/>
                <w:webHidden/>
              </w:rPr>
              <w:t>29</w:t>
            </w:r>
            <w:r>
              <w:rPr>
                <w:noProof/>
                <w:webHidden/>
              </w:rPr>
              <w:fldChar w:fldCharType="end"/>
            </w:r>
          </w:hyperlink>
        </w:p>
        <w:p w14:paraId="2D436799" w14:textId="08D425DE"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27" w:history="1">
            <w:r w:rsidRPr="00E27E11">
              <w:rPr>
                <w:rStyle w:val="Hyperlink"/>
                <w:noProof/>
              </w:rPr>
              <w:t>5.2</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Digital Peer Culture</w:t>
            </w:r>
            <w:r>
              <w:rPr>
                <w:noProof/>
                <w:webHidden/>
              </w:rPr>
              <w:tab/>
            </w:r>
            <w:r>
              <w:rPr>
                <w:noProof/>
                <w:webHidden/>
              </w:rPr>
              <w:fldChar w:fldCharType="begin"/>
            </w:r>
            <w:r>
              <w:rPr>
                <w:noProof/>
                <w:webHidden/>
              </w:rPr>
              <w:instrText xml:space="preserve"> PAGEREF _Toc227484327 \h </w:instrText>
            </w:r>
            <w:r>
              <w:rPr>
                <w:noProof/>
                <w:webHidden/>
              </w:rPr>
            </w:r>
            <w:r>
              <w:rPr>
                <w:noProof/>
                <w:webHidden/>
              </w:rPr>
              <w:fldChar w:fldCharType="separate"/>
            </w:r>
            <w:r>
              <w:rPr>
                <w:noProof/>
                <w:webHidden/>
              </w:rPr>
              <w:t>30</w:t>
            </w:r>
            <w:r>
              <w:rPr>
                <w:noProof/>
                <w:webHidden/>
              </w:rPr>
              <w:fldChar w:fldCharType="end"/>
            </w:r>
          </w:hyperlink>
        </w:p>
        <w:p w14:paraId="0DEA198C" w14:textId="791D23C6"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28" w:history="1">
            <w:r w:rsidRPr="00E27E11">
              <w:rPr>
                <w:rStyle w:val="Hyperlink"/>
                <w:noProof/>
              </w:rPr>
              <w:t>5.3</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Generative Artificial Intelligence</w:t>
            </w:r>
            <w:r>
              <w:rPr>
                <w:noProof/>
                <w:webHidden/>
              </w:rPr>
              <w:tab/>
            </w:r>
            <w:r>
              <w:rPr>
                <w:noProof/>
                <w:webHidden/>
              </w:rPr>
              <w:fldChar w:fldCharType="begin"/>
            </w:r>
            <w:r>
              <w:rPr>
                <w:noProof/>
                <w:webHidden/>
              </w:rPr>
              <w:instrText xml:space="preserve"> PAGEREF _Toc227484328 \h </w:instrText>
            </w:r>
            <w:r>
              <w:rPr>
                <w:noProof/>
                <w:webHidden/>
              </w:rPr>
            </w:r>
            <w:r>
              <w:rPr>
                <w:noProof/>
                <w:webHidden/>
              </w:rPr>
              <w:fldChar w:fldCharType="separate"/>
            </w:r>
            <w:r>
              <w:rPr>
                <w:noProof/>
                <w:webHidden/>
              </w:rPr>
              <w:t>30</w:t>
            </w:r>
            <w:r>
              <w:rPr>
                <w:noProof/>
                <w:webHidden/>
              </w:rPr>
              <w:fldChar w:fldCharType="end"/>
            </w:r>
          </w:hyperlink>
        </w:p>
        <w:p w14:paraId="68E2D5D7" w14:textId="04BB3928" w:rsidR="00190A96" w:rsidRDefault="00190A96">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29" w:history="1">
            <w:r w:rsidRPr="00E27E11">
              <w:rPr>
                <w:rStyle w:val="Hyperlink"/>
                <w:noProof/>
              </w:rPr>
              <w:t>5.4</w:t>
            </w:r>
            <w:r>
              <w:rPr>
                <w:rFonts w:asciiTheme="minorHAnsi" w:eastAsiaTheme="minorEastAsia" w:hAnsiTheme="minorHAnsi" w:cstheme="minorBidi"/>
                <w:b w:val="0"/>
                <w:bCs w:val="0"/>
                <w:noProof/>
                <w:kern w:val="2"/>
                <w:sz w:val="24"/>
                <w:szCs w:val="24"/>
                <w14:ligatures w14:val="standardContextual"/>
              </w:rPr>
              <w:tab/>
            </w:r>
            <w:r w:rsidRPr="00E27E11">
              <w:rPr>
                <w:rStyle w:val="Hyperlink"/>
                <w:noProof/>
              </w:rPr>
              <w:t>Holistic Discussion and Synthesis</w:t>
            </w:r>
            <w:r>
              <w:rPr>
                <w:noProof/>
                <w:webHidden/>
              </w:rPr>
              <w:tab/>
            </w:r>
            <w:r>
              <w:rPr>
                <w:noProof/>
                <w:webHidden/>
              </w:rPr>
              <w:fldChar w:fldCharType="begin"/>
            </w:r>
            <w:r>
              <w:rPr>
                <w:noProof/>
                <w:webHidden/>
              </w:rPr>
              <w:instrText xml:space="preserve"> PAGEREF _Toc227484329 \h </w:instrText>
            </w:r>
            <w:r>
              <w:rPr>
                <w:noProof/>
                <w:webHidden/>
              </w:rPr>
            </w:r>
            <w:r>
              <w:rPr>
                <w:noProof/>
                <w:webHidden/>
              </w:rPr>
              <w:fldChar w:fldCharType="separate"/>
            </w:r>
            <w:r>
              <w:rPr>
                <w:noProof/>
                <w:webHidden/>
              </w:rPr>
              <w:t>31</w:t>
            </w:r>
            <w:r>
              <w:rPr>
                <w:noProof/>
                <w:webHidden/>
              </w:rPr>
              <w:fldChar w:fldCharType="end"/>
            </w:r>
          </w:hyperlink>
        </w:p>
        <w:p w14:paraId="61328BF8" w14:textId="2F38BF50" w:rsidR="00190A96" w:rsidRDefault="00190A96">
          <w:pPr>
            <w:pStyle w:val="TOC1"/>
            <w:tabs>
              <w:tab w:val="left" w:pos="720"/>
              <w:tab w:val="right" w:leader="dot" w:pos="9016"/>
            </w:tabs>
            <w:rPr>
              <w:rFonts w:asciiTheme="minorHAnsi" w:eastAsiaTheme="minorEastAsia" w:hAnsiTheme="minorHAnsi" w:cstheme="minorBidi"/>
              <w:b w:val="0"/>
              <w:bCs w:val="0"/>
              <w:i w:val="0"/>
              <w:iCs w:val="0"/>
              <w:noProof/>
              <w:kern w:val="2"/>
              <w14:ligatures w14:val="standardContextual"/>
            </w:rPr>
          </w:pPr>
          <w:hyperlink w:anchor="_Toc227484330" w:history="1">
            <w:r w:rsidRPr="00E27E11">
              <w:rPr>
                <w:rStyle w:val="Hyperlink"/>
                <w:noProof/>
              </w:rPr>
              <w:t>6.0</w:t>
            </w:r>
            <w:r>
              <w:rPr>
                <w:rFonts w:asciiTheme="minorHAnsi" w:eastAsiaTheme="minorEastAsia" w:hAnsiTheme="minorHAnsi" w:cstheme="minorBidi"/>
                <w:b w:val="0"/>
                <w:bCs w:val="0"/>
                <w:i w:val="0"/>
                <w:iCs w:val="0"/>
                <w:noProof/>
                <w:kern w:val="2"/>
                <w14:ligatures w14:val="standardContextual"/>
              </w:rPr>
              <w:tab/>
            </w:r>
            <w:r w:rsidRPr="00E27E11">
              <w:rPr>
                <w:rStyle w:val="Hyperlink"/>
                <w:noProof/>
              </w:rPr>
              <w:t>Conclusion and Recommendations</w:t>
            </w:r>
            <w:r>
              <w:rPr>
                <w:noProof/>
                <w:webHidden/>
              </w:rPr>
              <w:tab/>
            </w:r>
            <w:r>
              <w:rPr>
                <w:noProof/>
                <w:webHidden/>
              </w:rPr>
              <w:fldChar w:fldCharType="begin"/>
            </w:r>
            <w:r>
              <w:rPr>
                <w:noProof/>
                <w:webHidden/>
              </w:rPr>
              <w:instrText xml:space="preserve"> PAGEREF _Toc227484330 \h </w:instrText>
            </w:r>
            <w:r>
              <w:rPr>
                <w:noProof/>
                <w:webHidden/>
              </w:rPr>
            </w:r>
            <w:r>
              <w:rPr>
                <w:noProof/>
                <w:webHidden/>
              </w:rPr>
              <w:fldChar w:fldCharType="separate"/>
            </w:r>
            <w:r>
              <w:rPr>
                <w:noProof/>
                <w:webHidden/>
              </w:rPr>
              <w:t>33</w:t>
            </w:r>
            <w:r>
              <w:rPr>
                <w:noProof/>
                <w:webHidden/>
              </w:rPr>
              <w:fldChar w:fldCharType="end"/>
            </w:r>
          </w:hyperlink>
        </w:p>
        <w:p w14:paraId="6B309464" w14:textId="1A4B3E75" w:rsidR="00190A96" w:rsidRDefault="00190A96">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31" w:history="1">
            <w:r w:rsidRPr="00E27E11">
              <w:rPr>
                <w:rStyle w:val="Hyperlink"/>
                <w:noProof/>
              </w:rPr>
              <w:t>6.1 Evaluation of Research Objectives and Questions</w:t>
            </w:r>
            <w:r>
              <w:rPr>
                <w:noProof/>
                <w:webHidden/>
              </w:rPr>
              <w:tab/>
            </w:r>
            <w:r>
              <w:rPr>
                <w:noProof/>
                <w:webHidden/>
              </w:rPr>
              <w:fldChar w:fldCharType="begin"/>
            </w:r>
            <w:r>
              <w:rPr>
                <w:noProof/>
                <w:webHidden/>
              </w:rPr>
              <w:instrText xml:space="preserve"> PAGEREF _Toc227484331 \h </w:instrText>
            </w:r>
            <w:r>
              <w:rPr>
                <w:noProof/>
                <w:webHidden/>
              </w:rPr>
            </w:r>
            <w:r>
              <w:rPr>
                <w:noProof/>
                <w:webHidden/>
              </w:rPr>
              <w:fldChar w:fldCharType="separate"/>
            </w:r>
            <w:r>
              <w:rPr>
                <w:noProof/>
                <w:webHidden/>
              </w:rPr>
              <w:t>33</w:t>
            </w:r>
            <w:r>
              <w:rPr>
                <w:noProof/>
                <w:webHidden/>
              </w:rPr>
              <w:fldChar w:fldCharType="end"/>
            </w:r>
          </w:hyperlink>
        </w:p>
        <w:p w14:paraId="41B99E5D" w14:textId="68812C8E" w:rsidR="00190A96" w:rsidRDefault="00190A96">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32" w:history="1">
            <w:r w:rsidRPr="00E27E11">
              <w:rPr>
                <w:rStyle w:val="Hyperlink"/>
                <w:noProof/>
              </w:rPr>
              <w:t>6.2 Evaluation of Research Strengths and Limitations</w:t>
            </w:r>
            <w:r>
              <w:rPr>
                <w:noProof/>
                <w:webHidden/>
              </w:rPr>
              <w:tab/>
            </w:r>
            <w:r>
              <w:rPr>
                <w:noProof/>
                <w:webHidden/>
              </w:rPr>
              <w:fldChar w:fldCharType="begin"/>
            </w:r>
            <w:r>
              <w:rPr>
                <w:noProof/>
                <w:webHidden/>
              </w:rPr>
              <w:instrText xml:space="preserve"> PAGEREF _Toc227484332 \h </w:instrText>
            </w:r>
            <w:r>
              <w:rPr>
                <w:noProof/>
                <w:webHidden/>
              </w:rPr>
            </w:r>
            <w:r>
              <w:rPr>
                <w:noProof/>
                <w:webHidden/>
              </w:rPr>
              <w:fldChar w:fldCharType="separate"/>
            </w:r>
            <w:r>
              <w:rPr>
                <w:noProof/>
                <w:webHidden/>
              </w:rPr>
              <w:t>34</w:t>
            </w:r>
            <w:r>
              <w:rPr>
                <w:noProof/>
                <w:webHidden/>
              </w:rPr>
              <w:fldChar w:fldCharType="end"/>
            </w:r>
          </w:hyperlink>
        </w:p>
        <w:p w14:paraId="08FD2E21" w14:textId="4C04EE92" w:rsidR="00190A96" w:rsidRDefault="00190A96">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33" w:history="1">
            <w:r w:rsidRPr="00E27E11">
              <w:rPr>
                <w:rStyle w:val="Hyperlink"/>
                <w:noProof/>
              </w:rPr>
              <w:t>6.3 Recommendations for Parents</w:t>
            </w:r>
            <w:r>
              <w:rPr>
                <w:noProof/>
                <w:webHidden/>
              </w:rPr>
              <w:tab/>
            </w:r>
            <w:r>
              <w:rPr>
                <w:noProof/>
                <w:webHidden/>
              </w:rPr>
              <w:fldChar w:fldCharType="begin"/>
            </w:r>
            <w:r>
              <w:rPr>
                <w:noProof/>
                <w:webHidden/>
              </w:rPr>
              <w:instrText xml:space="preserve"> PAGEREF _Toc227484333 \h </w:instrText>
            </w:r>
            <w:r>
              <w:rPr>
                <w:noProof/>
                <w:webHidden/>
              </w:rPr>
            </w:r>
            <w:r>
              <w:rPr>
                <w:noProof/>
                <w:webHidden/>
              </w:rPr>
              <w:fldChar w:fldCharType="separate"/>
            </w:r>
            <w:r>
              <w:rPr>
                <w:noProof/>
                <w:webHidden/>
              </w:rPr>
              <w:t>35</w:t>
            </w:r>
            <w:r>
              <w:rPr>
                <w:noProof/>
                <w:webHidden/>
              </w:rPr>
              <w:fldChar w:fldCharType="end"/>
            </w:r>
          </w:hyperlink>
        </w:p>
        <w:p w14:paraId="73DF6161" w14:textId="06641DBD" w:rsidR="00190A96" w:rsidRDefault="00190A96">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34" w:history="1">
            <w:r w:rsidRPr="00E27E11">
              <w:rPr>
                <w:rStyle w:val="Hyperlink"/>
                <w:noProof/>
              </w:rPr>
              <w:t>6.4 Recommendations for Educational Institutions</w:t>
            </w:r>
            <w:r>
              <w:rPr>
                <w:noProof/>
                <w:webHidden/>
              </w:rPr>
              <w:tab/>
            </w:r>
            <w:r>
              <w:rPr>
                <w:noProof/>
                <w:webHidden/>
              </w:rPr>
              <w:fldChar w:fldCharType="begin"/>
            </w:r>
            <w:r>
              <w:rPr>
                <w:noProof/>
                <w:webHidden/>
              </w:rPr>
              <w:instrText xml:space="preserve"> PAGEREF _Toc227484334 \h </w:instrText>
            </w:r>
            <w:r>
              <w:rPr>
                <w:noProof/>
                <w:webHidden/>
              </w:rPr>
            </w:r>
            <w:r>
              <w:rPr>
                <w:noProof/>
                <w:webHidden/>
              </w:rPr>
              <w:fldChar w:fldCharType="separate"/>
            </w:r>
            <w:r>
              <w:rPr>
                <w:noProof/>
                <w:webHidden/>
              </w:rPr>
              <w:t>36</w:t>
            </w:r>
            <w:r>
              <w:rPr>
                <w:noProof/>
                <w:webHidden/>
              </w:rPr>
              <w:fldChar w:fldCharType="end"/>
            </w:r>
          </w:hyperlink>
        </w:p>
        <w:p w14:paraId="5BA7CBAF" w14:textId="20E10364" w:rsidR="00190A96" w:rsidRDefault="00190A96">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35" w:history="1">
            <w:r w:rsidRPr="00E27E11">
              <w:rPr>
                <w:rStyle w:val="Hyperlink"/>
                <w:noProof/>
              </w:rPr>
              <w:t>6.5 Recommendations for Business and Practice</w:t>
            </w:r>
            <w:r>
              <w:rPr>
                <w:noProof/>
                <w:webHidden/>
              </w:rPr>
              <w:tab/>
            </w:r>
            <w:r>
              <w:rPr>
                <w:noProof/>
                <w:webHidden/>
              </w:rPr>
              <w:fldChar w:fldCharType="begin"/>
            </w:r>
            <w:r>
              <w:rPr>
                <w:noProof/>
                <w:webHidden/>
              </w:rPr>
              <w:instrText xml:space="preserve"> PAGEREF _Toc227484335 \h </w:instrText>
            </w:r>
            <w:r>
              <w:rPr>
                <w:noProof/>
                <w:webHidden/>
              </w:rPr>
            </w:r>
            <w:r>
              <w:rPr>
                <w:noProof/>
                <w:webHidden/>
              </w:rPr>
              <w:fldChar w:fldCharType="separate"/>
            </w:r>
            <w:r>
              <w:rPr>
                <w:noProof/>
                <w:webHidden/>
              </w:rPr>
              <w:t>37</w:t>
            </w:r>
            <w:r>
              <w:rPr>
                <w:noProof/>
                <w:webHidden/>
              </w:rPr>
              <w:fldChar w:fldCharType="end"/>
            </w:r>
          </w:hyperlink>
        </w:p>
        <w:p w14:paraId="4F3DE5BE" w14:textId="3D055F49" w:rsidR="00190A96" w:rsidRDefault="00190A96">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7484336" w:history="1">
            <w:r w:rsidRPr="00E27E11">
              <w:rPr>
                <w:rStyle w:val="Hyperlink"/>
                <w:noProof/>
              </w:rPr>
              <w:t>6.6 Directions for Future Research and Concluding Thoughts</w:t>
            </w:r>
            <w:r>
              <w:rPr>
                <w:noProof/>
                <w:webHidden/>
              </w:rPr>
              <w:tab/>
            </w:r>
            <w:r>
              <w:rPr>
                <w:noProof/>
                <w:webHidden/>
              </w:rPr>
              <w:fldChar w:fldCharType="begin"/>
            </w:r>
            <w:r>
              <w:rPr>
                <w:noProof/>
                <w:webHidden/>
              </w:rPr>
              <w:instrText xml:space="preserve"> PAGEREF _Toc227484336 \h </w:instrText>
            </w:r>
            <w:r>
              <w:rPr>
                <w:noProof/>
                <w:webHidden/>
              </w:rPr>
            </w:r>
            <w:r>
              <w:rPr>
                <w:noProof/>
                <w:webHidden/>
              </w:rPr>
              <w:fldChar w:fldCharType="separate"/>
            </w:r>
            <w:r>
              <w:rPr>
                <w:noProof/>
                <w:webHidden/>
              </w:rPr>
              <w:t>38</w:t>
            </w:r>
            <w:r>
              <w:rPr>
                <w:noProof/>
                <w:webHidden/>
              </w:rPr>
              <w:fldChar w:fldCharType="end"/>
            </w:r>
          </w:hyperlink>
        </w:p>
        <w:p w14:paraId="14A39CD1" w14:textId="39F92C68" w:rsidR="00190A96" w:rsidRDefault="00190A96">
          <w:pPr>
            <w:pStyle w:val="TOC1"/>
            <w:tabs>
              <w:tab w:val="left" w:pos="720"/>
              <w:tab w:val="right" w:leader="dot" w:pos="9016"/>
            </w:tabs>
            <w:rPr>
              <w:rFonts w:asciiTheme="minorHAnsi" w:eastAsiaTheme="minorEastAsia" w:hAnsiTheme="minorHAnsi" w:cstheme="minorBidi"/>
              <w:b w:val="0"/>
              <w:bCs w:val="0"/>
              <w:i w:val="0"/>
              <w:iCs w:val="0"/>
              <w:noProof/>
              <w:kern w:val="2"/>
              <w14:ligatures w14:val="standardContextual"/>
            </w:rPr>
          </w:pPr>
          <w:hyperlink w:anchor="_Toc227484337" w:history="1">
            <w:r w:rsidRPr="00E27E11">
              <w:rPr>
                <w:rStyle w:val="Hyperlink"/>
                <w:noProof/>
              </w:rPr>
              <w:t>7.0</w:t>
            </w:r>
            <w:r>
              <w:rPr>
                <w:rFonts w:asciiTheme="minorHAnsi" w:eastAsiaTheme="minorEastAsia" w:hAnsiTheme="minorHAnsi" w:cstheme="minorBidi"/>
                <w:b w:val="0"/>
                <w:bCs w:val="0"/>
                <w:i w:val="0"/>
                <w:iCs w:val="0"/>
                <w:noProof/>
                <w:kern w:val="2"/>
                <w14:ligatures w14:val="standardContextual"/>
              </w:rPr>
              <w:tab/>
            </w:r>
            <w:r w:rsidRPr="00E27E11">
              <w:rPr>
                <w:rStyle w:val="Hyperlink"/>
                <w:noProof/>
              </w:rPr>
              <w:t>References</w:t>
            </w:r>
            <w:r>
              <w:rPr>
                <w:noProof/>
                <w:webHidden/>
              </w:rPr>
              <w:tab/>
            </w:r>
            <w:r>
              <w:rPr>
                <w:noProof/>
                <w:webHidden/>
              </w:rPr>
              <w:fldChar w:fldCharType="begin"/>
            </w:r>
            <w:r>
              <w:rPr>
                <w:noProof/>
                <w:webHidden/>
              </w:rPr>
              <w:instrText xml:space="preserve"> PAGEREF _Toc227484337 \h </w:instrText>
            </w:r>
            <w:r>
              <w:rPr>
                <w:noProof/>
                <w:webHidden/>
              </w:rPr>
            </w:r>
            <w:r>
              <w:rPr>
                <w:noProof/>
                <w:webHidden/>
              </w:rPr>
              <w:fldChar w:fldCharType="separate"/>
            </w:r>
            <w:r>
              <w:rPr>
                <w:noProof/>
                <w:webHidden/>
              </w:rPr>
              <w:t>40</w:t>
            </w:r>
            <w:r>
              <w:rPr>
                <w:noProof/>
                <w:webHidden/>
              </w:rPr>
              <w:fldChar w:fldCharType="end"/>
            </w:r>
          </w:hyperlink>
        </w:p>
        <w:p w14:paraId="63C3BBE4" w14:textId="7C20B846" w:rsidR="00190A96" w:rsidRDefault="00190A96">
          <w:pPr>
            <w:pStyle w:val="TOC1"/>
            <w:tabs>
              <w:tab w:val="left" w:pos="720"/>
              <w:tab w:val="right" w:leader="dot" w:pos="9016"/>
            </w:tabs>
            <w:rPr>
              <w:rFonts w:asciiTheme="minorHAnsi" w:eastAsiaTheme="minorEastAsia" w:hAnsiTheme="minorHAnsi" w:cstheme="minorBidi"/>
              <w:b w:val="0"/>
              <w:bCs w:val="0"/>
              <w:i w:val="0"/>
              <w:iCs w:val="0"/>
              <w:noProof/>
              <w:kern w:val="2"/>
              <w14:ligatures w14:val="standardContextual"/>
            </w:rPr>
          </w:pPr>
          <w:hyperlink w:anchor="_Toc227484338" w:history="1">
            <w:r w:rsidRPr="00E27E11">
              <w:rPr>
                <w:rStyle w:val="Hyperlink"/>
                <w:noProof/>
              </w:rPr>
              <w:t>8.0</w:t>
            </w:r>
            <w:r>
              <w:rPr>
                <w:rFonts w:asciiTheme="minorHAnsi" w:eastAsiaTheme="minorEastAsia" w:hAnsiTheme="minorHAnsi" w:cstheme="minorBidi"/>
                <w:b w:val="0"/>
                <w:bCs w:val="0"/>
                <w:i w:val="0"/>
                <w:iCs w:val="0"/>
                <w:noProof/>
                <w:kern w:val="2"/>
                <w14:ligatures w14:val="standardContextual"/>
              </w:rPr>
              <w:tab/>
            </w:r>
            <w:r w:rsidRPr="00E27E11">
              <w:rPr>
                <w:rStyle w:val="Hyperlink"/>
                <w:noProof/>
              </w:rPr>
              <w:t>Appendix</w:t>
            </w:r>
            <w:r>
              <w:rPr>
                <w:noProof/>
                <w:webHidden/>
              </w:rPr>
              <w:tab/>
            </w:r>
            <w:r>
              <w:rPr>
                <w:noProof/>
                <w:webHidden/>
              </w:rPr>
              <w:fldChar w:fldCharType="begin"/>
            </w:r>
            <w:r>
              <w:rPr>
                <w:noProof/>
                <w:webHidden/>
              </w:rPr>
              <w:instrText xml:space="preserve"> PAGEREF _Toc227484338 \h </w:instrText>
            </w:r>
            <w:r>
              <w:rPr>
                <w:noProof/>
                <w:webHidden/>
              </w:rPr>
            </w:r>
            <w:r>
              <w:rPr>
                <w:noProof/>
                <w:webHidden/>
              </w:rPr>
              <w:fldChar w:fldCharType="separate"/>
            </w:r>
            <w:r>
              <w:rPr>
                <w:noProof/>
                <w:webHidden/>
              </w:rPr>
              <w:t>43</w:t>
            </w:r>
            <w:r>
              <w:rPr>
                <w:noProof/>
                <w:webHidden/>
              </w:rPr>
              <w:fldChar w:fldCharType="end"/>
            </w:r>
          </w:hyperlink>
        </w:p>
        <w:p w14:paraId="44DA3A23" w14:textId="666F26EF" w:rsidR="005C5D12" w:rsidRPr="002563ED" w:rsidRDefault="000C632C" w:rsidP="002C29C0">
          <w:pPr>
            <w:pStyle w:val="TOC1"/>
            <w:tabs>
              <w:tab w:val="left" w:pos="720"/>
              <w:tab w:val="right" w:leader="dot" w:pos="9016"/>
            </w:tabs>
            <w:spacing w:line="360" w:lineRule="auto"/>
            <w:jc w:val="both"/>
            <w:rPr>
              <w:rFonts w:asciiTheme="minorHAnsi" w:eastAsiaTheme="minorEastAsia" w:hAnsiTheme="minorHAnsi" w:cstheme="minorBidi"/>
              <w:b w:val="0"/>
              <w:bCs w:val="0"/>
              <w:i w:val="0"/>
              <w:iCs w:val="0"/>
              <w:noProof/>
              <w:color w:val="000000" w:themeColor="text1"/>
            </w:rPr>
          </w:pPr>
          <w:r w:rsidRPr="002563ED">
            <w:rPr>
              <w:b w:val="0"/>
              <w:bCs w:val="0"/>
              <w:noProof/>
              <w:color w:val="000000" w:themeColor="text1"/>
              <w:sz w:val="32"/>
              <w:szCs w:val="32"/>
            </w:rPr>
            <w:fldChar w:fldCharType="end"/>
          </w:r>
        </w:p>
      </w:sdtContent>
    </w:sdt>
    <w:p w14:paraId="423A4485" w14:textId="77777777" w:rsidR="000F29D9" w:rsidRPr="002563ED" w:rsidRDefault="000F29D9" w:rsidP="002C29C0">
      <w:pPr>
        <w:spacing w:line="360" w:lineRule="auto"/>
        <w:jc w:val="both"/>
        <w:rPr>
          <w:b/>
          <w:bCs/>
          <w:color w:val="000000" w:themeColor="text1"/>
          <w:sz w:val="40"/>
          <w:szCs w:val="40"/>
        </w:rPr>
      </w:pPr>
      <w:r w:rsidRPr="002563ED">
        <w:rPr>
          <w:b/>
          <w:bCs/>
          <w:color w:val="000000" w:themeColor="text1"/>
          <w:sz w:val="40"/>
          <w:szCs w:val="40"/>
        </w:rPr>
        <w:br w:type="page"/>
      </w:r>
    </w:p>
    <w:p w14:paraId="38763344" w14:textId="647D792A" w:rsidR="00401024" w:rsidRPr="002563ED" w:rsidRDefault="00BB21B4" w:rsidP="00EE4C74">
      <w:pPr>
        <w:pStyle w:val="Heading1"/>
        <w:numPr>
          <w:ilvl w:val="0"/>
          <w:numId w:val="17"/>
        </w:numPr>
        <w:jc w:val="center"/>
        <w:rPr>
          <w:color w:val="000000" w:themeColor="text1"/>
        </w:rPr>
      </w:pPr>
      <w:bookmarkStart w:id="3" w:name="_Toc227484300"/>
      <w:r w:rsidRPr="002563ED">
        <w:rPr>
          <w:color w:val="000000" w:themeColor="text1"/>
        </w:rPr>
        <w:lastRenderedPageBreak/>
        <w:t>Introduction</w:t>
      </w:r>
      <w:bookmarkEnd w:id="3"/>
    </w:p>
    <w:p w14:paraId="27AEB0B0" w14:textId="1F238FE5" w:rsidR="00C53874" w:rsidRPr="002563ED" w:rsidRDefault="00C53874" w:rsidP="00BB21B4">
      <w:pPr>
        <w:pStyle w:val="Heading2"/>
        <w:numPr>
          <w:ilvl w:val="1"/>
          <w:numId w:val="18"/>
        </w:numPr>
        <w:rPr>
          <w:color w:val="000000" w:themeColor="text1"/>
        </w:rPr>
      </w:pPr>
      <w:bookmarkStart w:id="4" w:name="_Toc227484301"/>
      <w:r w:rsidRPr="002563ED">
        <w:rPr>
          <w:color w:val="000000" w:themeColor="text1"/>
        </w:rPr>
        <w:t>Context and Rationale</w:t>
      </w:r>
      <w:bookmarkEnd w:id="4"/>
    </w:p>
    <w:p w14:paraId="73BD261A" w14:textId="01354E1F" w:rsidR="00C53874" w:rsidRDefault="00C53874" w:rsidP="002C29C0">
      <w:pPr>
        <w:spacing w:after="240" w:line="360" w:lineRule="auto"/>
        <w:jc w:val="both"/>
        <w:rPr>
          <w:color w:val="000000" w:themeColor="text1"/>
        </w:rPr>
      </w:pPr>
      <w:r w:rsidRPr="002563ED">
        <w:rPr>
          <w:color w:val="000000" w:themeColor="text1"/>
        </w:rPr>
        <w:t>The integration of digital technology into early childhood has fundamentally altered the conditions under which employability skills develop. Children growing up after the year 2000 encounter technology not as a supplementary resource but as a structuring feature of their social, educational, and domestic environments. The field, however, is contested. Evidence links early unmediated screen exposure to attentional difficulties and impaired communication development (Christakis et al., 2004; Madigan et al., 2019), whilst other research demonstrates that purposeful, co-mediated digital engagement can develop the literacy, problem-solving, and adaptive digital skills that contemporary employers consistently prioritise (Radesky et al., 2016; Osmani et al., 2019). The concept of the digital native — the assumption that young people raised with technology possess inherent digital fluency — has been significantly challenged by evidence that professional digital capability is shaped by context, mediation quality, and socioeconomic background rather than age or exposure alone (Prensky, 2001; Bennett &amp; Maton, 2010; Helsper &amp; Eynon, 2010). In an era of increasing automation and digital dependence, this gap between assumption and evidence has practical consequences for workforce sustainability (Tech Partnership, 2023; Kramar, 2014; Pfeffer, 201</w:t>
      </w:r>
      <w:r w:rsidR="002D0C07" w:rsidRPr="002563ED">
        <w:rPr>
          <w:color w:val="000000" w:themeColor="text1"/>
        </w:rPr>
        <w:t>0</w:t>
      </w:r>
      <w:r w:rsidRPr="002563ED">
        <w:rPr>
          <w:color w:val="000000" w:themeColor="text1"/>
        </w:rPr>
        <w:t>).</w:t>
      </w:r>
    </w:p>
    <w:p w14:paraId="13FCF24C" w14:textId="77777777" w:rsidR="00A24700" w:rsidRPr="002563ED" w:rsidRDefault="00A24700" w:rsidP="002C29C0">
      <w:pPr>
        <w:spacing w:after="240" w:line="360" w:lineRule="auto"/>
        <w:jc w:val="both"/>
        <w:rPr>
          <w:color w:val="000000" w:themeColor="text1"/>
        </w:rPr>
      </w:pPr>
    </w:p>
    <w:p w14:paraId="3A6BAF4D" w14:textId="1CFC3100" w:rsidR="00C53874" w:rsidRPr="002563ED" w:rsidRDefault="00C53874" w:rsidP="00BB21B4">
      <w:pPr>
        <w:pStyle w:val="Heading2"/>
        <w:numPr>
          <w:ilvl w:val="1"/>
          <w:numId w:val="18"/>
        </w:numPr>
        <w:rPr>
          <w:color w:val="000000" w:themeColor="text1"/>
        </w:rPr>
      </w:pPr>
      <w:bookmarkStart w:id="5" w:name="_Toc227484302"/>
      <w:r w:rsidRPr="002563ED">
        <w:rPr>
          <w:color w:val="000000" w:themeColor="text1"/>
        </w:rPr>
        <w:t>Research Aims, Questions and Objectives</w:t>
      </w:r>
      <w:bookmarkEnd w:id="5"/>
    </w:p>
    <w:p w14:paraId="325A6A34" w14:textId="40D285EA" w:rsidR="00FD48A7" w:rsidRPr="002563ED" w:rsidRDefault="00C53874" w:rsidP="002C29C0">
      <w:pPr>
        <w:spacing w:after="240" w:line="360" w:lineRule="auto"/>
        <w:jc w:val="both"/>
        <w:rPr>
          <w:color w:val="000000" w:themeColor="text1"/>
        </w:rPr>
      </w:pPr>
      <w:r w:rsidRPr="002563ED">
        <w:rPr>
          <w:color w:val="000000" w:themeColor="text1"/>
        </w:rPr>
        <w:t xml:space="preserve">This dissertation examines how early childhood technology exposure influences workplace skill development, focusing on the relational and institutional conditions of engagement rather than the fact of access alone. Three research questions guide the study: how early technology exposure influences employability skill development; what differences in workplace readiness exist between individuals with high and limited childhood technology exposure; and what evidence-based approaches to technology integration can balance healthy development with professional preparation. Three corresponding research objectives structure the inquiry: to critically review the literature on early childhood technology exposure, professional skill acquisition, and workforce employability; to conduct semi-structured interviews with parents and young professionals to understand technology's role in skill development and workplace </w:t>
      </w:r>
      <w:r w:rsidRPr="002563ED">
        <w:rPr>
          <w:color w:val="000000" w:themeColor="text1"/>
        </w:rPr>
        <w:lastRenderedPageBreak/>
        <w:t>preparedness; and to recommend strategies enabling organisations, educational institutions, and parents to integrate technology sustainably in early childhood.</w:t>
      </w:r>
    </w:p>
    <w:p w14:paraId="225C106F" w14:textId="77777777" w:rsidR="00DB29C6" w:rsidRPr="002563ED" w:rsidRDefault="00DB29C6" w:rsidP="002C29C0">
      <w:pPr>
        <w:spacing w:line="360" w:lineRule="auto"/>
        <w:jc w:val="both"/>
        <w:rPr>
          <w:b/>
          <w:bCs/>
          <w:color w:val="000000" w:themeColor="text1"/>
        </w:rPr>
      </w:pPr>
    </w:p>
    <w:p w14:paraId="324D725A" w14:textId="5A6081C9" w:rsidR="00DB29C6" w:rsidRPr="00410FCC" w:rsidRDefault="00DB29C6" w:rsidP="002C29C0">
      <w:pPr>
        <w:spacing w:line="360" w:lineRule="auto"/>
        <w:jc w:val="both"/>
        <w:rPr>
          <w:b/>
          <w:bCs/>
          <w:color w:val="000000" w:themeColor="text1"/>
          <w:sz w:val="28"/>
          <w:szCs w:val="28"/>
        </w:rPr>
      </w:pPr>
      <w:r w:rsidRPr="00410FCC">
        <w:rPr>
          <w:b/>
          <w:bCs/>
          <w:color w:val="000000" w:themeColor="text1"/>
          <w:sz w:val="28"/>
          <w:szCs w:val="28"/>
        </w:rPr>
        <w:t>Research Objectives</w:t>
      </w:r>
    </w:p>
    <w:p w14:paraId="5E756DE0" w14:textId="77777777" w:rsidR="00C60452" w:rsidRPr="002563ED" w:rsidRDefault="00C60452" w:rsidP="00EE4C74">
      <w:pPr>
        <w:rPr>
          <w:color w:val="000000" w:themeColor="text1"/>
        </w:rPr>
      </w:pPr>
      <w:bookmarkStart w:id="6" w:name="_Toc211859158"/>
      <w:r w:rsidRPr="002563ED">
        <w:rPr>
          <w:color w:val="000000" w:themeColor="text1"/>
        </w:rPr>
        <w:t>RO1: To critically review the relevant literature surrounding the impact of early childhood technology exposure on childhood development, professional skill acquisition and workforce employability in the digital age.</w:t>
      </w:r>
      <w:bookmarkEnd w:id="6"/>
    </w:p>
    <w:p w14:paraId="5A0506C3" w14:textId="77777777" w:rsidR="00C60452" w:rsidRPr="002563ED" w:rsidRDefault="00C60452" w:rsidP="00EE4C74">
      <w:pPr>
        <w:rPr>
          <w:color w:val="000000" w:themeColor="text1"/>
        </w:rPr>
      </w:pPr>
    </w:p>
    <w:p w14:paraId="0DE13F42" w14:textId="77777777" w:rsidR="00C60452" w:rsidRPr="002563ED" w:rsidRDefault="00C60452" w:rsidP="00EE4C74">
      <w:pPr>
        <w:rPr>
          <w:b/>
          <w:bCs/>
          <w:color w:val="000000" w:themeColor="text1"/>
        </w:rPr>
      </w:pPr>
      <w:bookmarkStart w:id="7" w:name="_Toc211859159"/>
      <w:r w:rsidRPr="002563ED">
        <w:rPr>
          <w:color w:val="000000" w:themeColor="text1"/>
        </w:rPr>
        <w:t>RO2: To conduct semi-structured interviews with parents, employers and young professionals (aged 18-25) who grew up with varying levels of childhood technology exposure, to understand technology's role in skill development, professional ambition and workplace preparedness.</w:t>
      </w:r>
      <w:bookmarkEnd w:id="7"/>
    </w:p>
    <w:p w14:paraId="15448758" w14:textId="77777777" w:rsidR="00C60452" w:rsidRPr="002563ED" w:rsidRDefault="00C60452" w:rsidP="00EE4C74">
      <w:pPr>
        <w:rPr>
          <w:color w:val="000000" w:themeColor="text1"/>
        </w:rPr>
      </w:pPr>
    </w:p>
    <w:p w14:paraId="0108EF93" w14:textId="77777777" w:rsidR="00C60452" w:rsidRPr="002563ED" w:rsidRDefault="00C60452" w:rsidP="00EE4C74">
      <w:pPr>
        <w:rPr>
          <w:color w:val="000000" w:themeColor="text1"/>
        </w:rPr>
      </w:pPr>
      <w:bookmarkStart w:id="8" w:name="_Toc211859160"/>
      <w:r w:rsidRPr="002563ED">
        <w:rPr>
          <w:color w:val="000000" w:themeColor="text1"/>
        </w:rPr>
        <w:t>RO3: Drawing on both the literature review and user interviews, the study aims to recommend strategies that enable organisations, educational institutions, and parents to integrate technology sustainably in early childhood, balancing the development of future workforce competencies with safeguarding developmental risks.</w:t>
      </w:r>
      <w:bookmarkEnd w:id="8"/>
    </w:p>
    <w:p w14:paraId="4EAA89F2" w14:textId="77777777" w:rsidR="00DB29C6" w:rsidRPr="002563ED" w:rsidRDefault="00DB29C6" w:rsidP="002C29C0">
      <w:pPr>
        <w:spacing w:line="360" w:lineRule="auto"/>
        <w:jc w:val="both"/>
        <w:rPr>
          <w:b/>
          <w:bCs/>
          <w:color w:val="000000" w:themeColor="text1"/>
        </w:rPr>
      </w:pPr>
    </w:p>
    <w:p w14:paraId="32C91FCA" w14:textId="77777777" w:rsidR="00407704" w:rsidRPr="002563ED" w:rsidRDefault="00407704" w:rsidP="002C29C0">
      <w:pPr>
        <w:spacing w:line="360" w:lineRule="auto"/>
        <w:jc w:val="both"/>
        <w:rPr>
          <w:b/>
          <w:bCs/>
          <w:color w:val="000000" w:themeColor="text1"/>
        </w:rPr>
      </w:pPr>
    </w:p>
    <w:p w14:paraId="5D3455BB" w14:textId="26B3C981" w:rsidR="00407704" w:rsidRPr="00410FCC" w:rsidRDefault="00407704" w:rsidP="002C29C0">
      <w:pPr>
        <w:spacing w:line="360" w:lineRule="auto"/>
        <w:jc w:val="both"/>
        <w:rPr>
          <w:b/>
          <w:bCs/>
          <w:color w:val="000000" w:themeColor="text1"/>
          <w:sz w:val="28"/>
          <w:szCs w:val="28"/>
        </w:rPr>
      </w:pPr>
      <w:r w:rsidRPr="00410FCC">
        <w:rPr>
          <w:b/>
          <w:bCs/>
          <w:color w:val="000000" w:themeColor="text1"/>
          <w:sz w:val="28"/>
          <w:szCs w:val="28"/>
        </w:rPr>
        <w:t xml:space="preserve">Research </w:t>
      </w:r>
      <w:r w:rsidR="00806E1C" w:rsidRPr="00410FCC">
        <w:rPr>
          <w:b/>
          <w:bCs/>
          <w:color w:val="000000" w:themeColor="text1"/>
          <w:sz w:val="28"/>
          <w:szCs w:val="28"/>
        </w:rPr>
        <w:t>Questions</w:t>
      </w:r>
    </w:p>
    <w:p w14:paraId="05474955" w14:textId="77777777" w:rsidR="008D3033" w:rsidRPr="002563ED" w:rsidRDefault="008D3033" w:rsidP="008D3033">
      <w:pPr>
        <w:pStyle w:val="ListParagraph"/>
        <w:numPr>
          <w:ilvl w:val="0"/>
          <w:numId w:val="31"/>
        </w:numPr>
        <w:spacing w:line="360" w:lineRule="auto"/>
        <w:jc w:val="both"/>
        <w:rPr>
          <w:color w:val="000000" w:themeColor="text1"/>
        </w:rPr>
      </w:pPr>
      <w:r w:rsidRPr="002563ED">
        <w:rPr>
          <w:color w:val="000000" w:themeColor="text1"/>
        </w:rPr>
        <w:t xml:space="preserve">RQ1: </w:t>
      </w:r>
      <w:bookmarkStart w:id="9" w:name="_Toc211859154"/>
      <w:r w:rsidRPr="002563ED">
        <w:rPr>
          <w:color w:val="000000" w:themeColor="text1"/>
        </w:rPr>
        <w:t>How does early childhood technology exposure influence the development of employability skills?</w:t>
      </w:r>
      <w:bookmarkEnd w:id="9"/>
      <w:r w:rsidRPr="002563ED">
        <w:rPr>
          <w:color w:val="000000" w:themeColor="text1"/>
        </w:rPr>
        <w:t xml:space="preserve"> </w:t>
      </w:r>
    </w:p>
    <w:p w14:paraId="1AD4E865" w14:textId="77777777" w:rsidR="008D3033" w:rsidRPr="002563ED" w:rsidRDefault="008D3033" w:rsidP="008D3033">
      <w:pPr>
        <w:spacing w:line="360" w:lineRule="auto"/>
        <w:jc w:val="both"/>
        <w:rPr>
          <w:color w:val="000000" w:themeColor="text1"/>
        </w:rPr>
      </w:pPr>
    </w:p>
    <w:p w14:paraId="74E42C1A" w14:textId="77777777" w:rsidR="008D3033" w:rsidRPr="002563ED" w:rsidRDefault="008D3033" w:rsidP="008D3033">
      <w:pPr>
        <w:pStyle w:val="ListParagraph"/>
        <w:numPr>
          <w:ilvl w:val="0"/>
          <w:numId w:val="13"/>
        </w:numPr>
        <w:spacing w:line="360" w:lineRule="auto"/>
        <w:jc w:val="both"/>
        <w:rPr>
          <w:color w:val="000000" w:themeColor="text1"/>
        </w:rPr>
      </w:pPr>
      <w:bookmarkStart w:id="10" w:name="_Toc224818814"/>
      <w:bookmarkStart w:id="11" w:name="_Toc224820202"/>
      <w:r w:rsidRPr="002563ED">
        <w:rPr>
          <w:color w:val="000000" w:themeColor="text1"/>
        </w:rPr>
        <w:t xml:space="preserve">RQ2: </w:t>
      </w:r>
      <w:bookmarkStart w:id="12" w:name="_Toc211859155"/>
      <w:r w:rsidRPr="002563ED">
        <w:rPr>
          <w:color w:val="000000" w:themeColor="text1"/>
        </w:rPr>
        <w:t>What are the differences in workplace performance, skills and attitudes between Digital Natives raised with high technology exposure and those with limited exposure?</w:t>
      </w:r>
      <w:bookmarkEnd w:id="10"/>
      <w:bookmarkEnd w:id="11"/>
      <w:bookmarkEnd w:id="12"/>
      <w:r w:rsidRPr="002563ED">
        <w:rPr>
          <w:color w:val="000000" w:themeColor="text1"/>
        </w:rPr>
        <w:t xml:space="preserve"> </w:t>
      </w:r>
    </w:p>
    <w:p w14:paraId="707CD13C" w14:textId="77777777" w:rsidR="008D3033" w:rsidRPr="002563ED" w:rsidRDefault="008D3033" w:rsidP="008D3033">
      <w:pPr>
        <w:spacing w:line="360" w:lineRule="auto"/>
        <w:jc w:val="both"/>
        <w:rPr>
          <w:color w:val="000000" w:themeColor="text1"/>
        </w:rPr>
      </w:pPr>
    </w:p>
    <w:p w14:paraId="7F73EB4C" w14:textId="77777777" w:rsidR="008D3033" w:rsidRPr="002563ED" w:rsidRDefault="008D3033" w:rsidP="008D3033">
      <w:pPr>
        <w:pStyle w:val="ListParagraph"/>
        <w:numPr>
          <w:ilvl w:val="0"/>
          <w:numId w:val="13"/>
        </w:numPr>
        <w:spacing w:line="360" w:lineRule="auto"/>
        <w:jc w:val="both"/>
        <w:rPr>
          <w:color w:val="000000" w:themeColor="text1"/>
        </w:rPr>
      </w:pPr>
      <w:bookmarkStart w:id="13" w:name="_Toc224818815"/>
      <w:bookmarkStart w:id="14" w:name="_Toc224820203"/>
      <w:r w:rsidRPr="002563ED">
        <w:rPr>
          <w:color w:val="000000" w:themeColor="text1"/>
        </w:rPr>
        <w:t xml:space="preserve">RQ3: </w:t>
      </w:r>
      <w:bookmarkStart w:id="15" w:name="_Toc211859156"/>
      <w:r w:rsidRPr="002563ED">
        <w:rPr>
          <w:color w:val="000000" w:themeColor="text1"/>
        </w:rPr>
        <w:t>What evidence-based approaches to childhood technology integration can balance healthy development with adequate preparation for an increasingly automated and digitally reliant workforce?</w:t>
      </w:r>
      <w:bookmarkEnd w:id="13"/>
      <w:bookmarkEnd w:id="14"/>
      <w:bookmarkEnd w:id="15"/>
    </w:p>
    <w:p w14:paraId="60203289" w14:textId="77777777" w:rsidR="00FD48A7" w:rsidRPr="002563ED" w:rsidRDefault="00FD48A7" w:rsidP="002C29C0">
      <w:pPr>
        <w:spacing w:after="240" w:line="360" w:lineRule="auto"/>
        <w:jc w:val="both"/>
        <w:rPr>
          <w:color w:val="000000" w:themeColor="text1"/>
        </w:rPr>
      </w:pPr>
    </w:p>
    <w:p w14:paraId="02EF0A6D" w14:textId="4220CA4E" w:rsidR="00C53874" w:rsidRPr="002563ED" w:rsidRDefault="00C53874" w:rsidP="00BB21B4">
      <w:pPr>
        <w:pStyle w:val="Heading2"/>
        <w:numPr>
          <w:ilvl w:val="1"/>
          <w:numId w:val="18"/>
        </w:numPr>
        <w:rPr>
          <w:color w:val="000000" w:themeColor="text1"/>
        </w:rPr>
      </w:pPr>
      <w:bookmarkStart w:id="16" w:name="_Toc227484303"/>
      <w:r w:rsidRPr="002563ED">
        <w:rPr>
          <w:color w:val="000000" w:themeColor="text1"/>
        </w:rPr>
        <w:t>Research Approach</w:t>
      </w:r>
      <w:bookmarkEnd w:id="16"/>
    </w:p>
    <w:p w14:paraId="276FABF9" w14:textId="6C37B1D8" w:rsidR="00C53874" w:rsidRDefault="00C53874" w:rsidP="002C29C0">
      <w:pPr>
        <w:spacing w:after="240" w:line="360" w:lineRule="auto"/>
        <w:jc w:val="both"/>
        <w:rPr>
          <w:color w:val="000000" w:themeColor="text1"/>
        </w:rPr>
      </w:pPr>
      <w:r w:rsidRPr="002563ED">
        <w:rPr>
          <w:color w:val="000000" w:themeColor="text1"/>
        </w:rPr>
        <w:t xml:space="preserve">To address these objectives, a qualitative phenomenological approach was adopted, drawing on Moustakas (1994) transcendental phenomenology and Smith et al. (2022) Interpretative Phenomenological Analysis. This methodology was selected for its capacity to illuminate the subjective meanings that parents and young professionals attach to lived technology experiences, rather than to produce generalisable statistics. </w:t>
      </w:r>
      <w:r w:rsidR="0055675F" w:rsidRPr="002563ED">
        <w:rPr>
          <w:color w:val="000000" w:themeColor="text1"/>
        </w:rPr>
        <w:t>Three</w:t>
      </w:r>
      <w:r w:rsidRPr="002563ED">
        <w:rPr>
          <w:color w:val="000000" w:themeColor="text1"/>
        </w:rPr>
        <w:t xml:space="preserve"> participants across two </w:t>
      </w:r>
      <w:r w:rsidRPr="002563ED">
        <w:rPr>
          <w:color w:val="000000" w:themeColor="text1"/>
        </w:rPr>
        <w:lastRenderedPageBreak/>
        <w:t xml:space="preserve">stakeholder groups took part in semi-structured interviews: </w:t>
      </w:r>
      <w:r w:rsidR="0055675F" w:rsidRPr="002563ED">
        <w:rPr>
          <w:color w:val="000000" w:themeColor="text1"/>
        </w:rPr>
        <w:t>one</w:t>
      </w:r>
      <w:r w:rsidRPr="002563ED">
        <w:rPr>
          <w:color w:val="000000" w:themeColor="text1"/>
        </w:rPr>
        <w:t xml:space="preserve"> parent</w:t>
      </w:r>
      <w:r w:rsidR="0055675F" w:rsidRPr="002563ED">
        <w:rPr>
          <w:color w:val="000000" w:themeColor="text1"/>
        </w:rPr>
        <w:t xml:space="preserve"> </w:t>
      </w:r>
      <w:r w:rsidRPr="002563ED">
        <w:rPr>
          <w:color w:val="000000" w:themeColor="text1"/>
        </w:rPr>
        <w:t xml:space="preserve">of children aged five to twelve and </w:t>
      </w:r>
      <w:r w:rsidR="0055675F" w:rsidRPr="002563ED">
        <w:rPr>
          <w:color w:val="000000" w:themeColor="text1"/>
        </w:rPr>
        <w:t>two</w:t>
      </w:r>
      <w:r w:rsidRPr="002563ED">
        <w:rPr>
          <w:color w:val="000000" w:themeColor="text1"/>
        </w:rPr>
        <w:t xml:space="preserve"> young professionals aged eighteen to twenty-five, representing varied levels of childhood technology exposure.</w:t>
      </w:r>
    </w:p>
    <w:p w14:paraId="2FB1BBBE" w14:textId="77777777" w:rsidR="002952AB" w:rsidRPr="002563ED" w:rsidRDefault="002952AB" w:rsidP="002C29C0">
      <w:pPr>
        <w:spacing w:after="240" w:line="360" w:lineRule="auto"/>
        <w:jc w:val="both"/>
        <w:rPr>
          <w:color w:val="000000" w:themeColor="text1"/>
        </w:rPr>
      </w:pPr>
    </w:p>
    <w:p w14:paraId="02254807" w14:textId="6E526828" w:rsidR="00C53874" w:rsidRPr="002563ED" w:rsidRDefault="00C53874" w:rsidP="00BB21B4">
      <w:pPr>
        <w:pStyle w:val="Heading2"/>
        <w:numPr>
          <w:ilvl w:val="1"/>
          <w:numId w:val="18"/>
        </w:numPr>
        <w:rPr>
          <w:color w:val="000000" w:themeColor="text1"/>
        </w:rPr>
      </w:pPr>
      <w:bookmarkStart w:id="17" w:name="_Toc227484304"/>
      <w:r w:rsidRPr="002563ED">
        <w:rPr>
          <w:color w:val="000000" w:themeColor="text1"/>
        </w:rPr>
        <w:t>Feasibility</w:t>
      </w:r>
      <w:bookmarkEnd w:id="17"/>
    </w:p>
    <w:p w14:paraId="6B48F37B" w14:textId="0CFD2021" w:rsidR="00C53874" w:rsidRDefault="00C53874" w:rsidP="002C29C0">
      <w:pPr>
        <w:spacing w:after="240" w:line="360" w:lineRule="auto"/>
        <w:jc w:val="both"/>
        <w:rPr>
          <w:color w:val="000000" w:themeColor="text1"/>
        </w:rPr>
      </w:pPr>
      <w:r w:rsidRPr="002563ED">
        <w:rPr>
          <w:color w:val="000000" w:themeColor="text1"/>
        </w:rPr>
        <w:t xml:space="preserve">The study was feasible within the constraints of a postgraduate dissertation. Participants were recruited through local community organisations, with supplementary snowball sampling. Ethical approval was obtained from the University prior to data collection, and all participants provided informed consent. The sample size of </w:t>
      </w:r>
      <w:r w:rsidR="002D0C07" w:rsidRPr="002563ED">
        <w:rPr>
          <w:color w:val="000000" w:themeColor="text1"/>
        </w:rPr>
        <w:t>three</w:t>
      </w:r>
      <w:r w:rsidRPr="002563ED">
        <w:rPr>
          <w:color w:val="000000" w:themeColor="text1"/>
        </w:rPr>
        <w:t xml:space="preserve"> is consistent with IPA recommendations for small, depth-focused studies (Smith et al., 2022), and the two-stakeholder design enabled cross-group comparison within the available timeframe. The geographic focus on Wales and England reflects practical recruitment constraints rather than a theoretical boundary.</w:t>
      </w:r>
    </w:p>
    <w:p w14:paraId="741E709D" w14:textId="77777777" w:rsidR="002952AB" w:rsidRPr="002563ED" w:rsidRDefault="002952AB" w:rsidP="002C29C0">
      <w:pPr>
        <w:spacing w:after="240" w:line="360" w:lineRule="auto"/>
        <w:jc w:val="both"/>
        <w:rPr>
          <w:color w:val="000000" w:themeColor="text1"/>
        </w:rPr>
      </w:pPr>
    </w:p>
    <w:p w14:paraId="68B1A5B4" w14:textId="54F6AAC2" w:rsidR="00C53874" w:rsidRPr="002563ED" w:rsidRDefault="00C53874" w:rsidP="00BB21B4">
      <w:pPr>
        <w:pStyle w:val="Heading2"/>
        <w:numPr>
          <w:ilvl w:val="1"/>
          <w:numId w:val="18"/>
        </w:numPr>
        <w:rPr>
          <w:color w:val="000000" w:themeColor="text1"/>
        </w:rPr>
      </w:pPr>
      <w:bookmarkStart w:id="18" w:name="_Toc227484305"/>
      <w:r w:rsidRPr="002563ED">
        <w:rPr>
          <w:color w:val="000000" w:themeColor="text1"/>
        </w:rPr>
        <w:t>Boundaries and Limitations</w:t>
      </w:r>
      <w:bookmarkEnd w:id="18"/>
    </w:p>
    <w:p w14:paraId="022ECA14" w14:textId="77777777" w:rsidR="00C53874" w:rsidRDefault="00C53874" w:rsidP="002C29C0">
      <w:pPr>
        <w:spacing w:after="240" w:line="360" w:lineRule="auto"/>
        <w:jc w:val="both"/>
        <w:rPr>
          <w:color w:val="000000" w:themeColor="text1"/>
        </w:rPr>
      </w:pPr>
      <w:r w:rsidRPr="002563ED">
        <w:rPr>
          <w:color w:val="000000" w:themeColor="text1"/>
        </w:rPr>
        <w:t>The study is bounded by its qualitative design and small purposive sample, which preclude statistical generalisation. Findings reflect participant perceptions at a single time point and are subject to retrospective recall bias. The study addresses the relational and institutional conditions of digital engagement rather than specific technologies, duration, or device type.</w:t>
      </w:r>
    </w:p>
    <w:p w14:paraId="2E3E0FC8" w14:textId="77777777" w:rsidR="002952AB" w:rsidRPr="002563ED" w:rsidRDefault="002952AB" w:rsidP="002C29C0">
      <w:pPr>
        <w:spacing w:after="240" w:line="360" w:lineRule="auto"/>
        <w:jc w:val="both"/>
        <w:rPr>
          <w:color w:val="000000" w:themeColor="text1"/>
        </w:rPr>
      </w:pPr>
    </w:p>
    <w:p w14:paraId="580B1304" w14:textId="529886F7" w:rsidR="00C53874" w:rsidRPr="002563ED" w:rsidRDefault="00C53874" w:rsidP="00BB21B4">
      <w:pPr>
        <w:pStyle w:val="Heading2"/>
        <w:numPr>
          <w:ilvl w:val="1"/>
          <w:numId w:val="18"/>
        </w:numPr>
        <w:rPr>
          <w:color w:val="000000" w:themeColor="text1"/>
          <w:sz w:val="28"/>
          <w:szCs w:val="28"/>
        </w:rPr>
      </w:pPr>
      <w:bookmarkStart w:id="19" w:name="_Toc227484306"/>
      <w:r w:rsidRPr="002563ED">
        <w:rPr>
          <w:color w:val="000000" w:themeColor="text1"/>
        </w:rPr>
        <w:t>Dissertation Structure</w:t>
      </w:r>
      <w:bookmarkEnd w:id="19"/>
    </w:p>
    <w:p w14:paraId="3BE571AC" w14:textId="77777777" w:rsidR="00C53874" w:rsidRPr="002563ED" w:rsidRDefault="00C53874" w:rsidP="002C29C0">
      <w:pPr>
        <w:spacing w:after="240" w:line="360" w:lineRule="auto"/>
        <w:jc w:val="both"/>
        <w:rPr>
          <w:color w:val="000000" w:themeColor="text1"/>
        </w:rPr>
      </w:pPr>
      <w:r w:rsidRPr="002563ED">
        <w:rPr>
          <w:color w:val="000000" w:themeColor="text1"/>
        </w:rPr>
        <w:t>The dissertation proceeds as follows. Chapter 2 reviews the relevant literature across three themes: early childhood technology exposure and development, technology and employability skills, and sustainable integration frameworks. Chapter 3 outlines the research methodology. Chapter 4 presents the primary findings. Chapter 5 discusses those findings in relation to the reviewed literature and offers recommendations. Chapter 6 draws conclusions and identifies directions for future research.</w:t>
      </w:r>
    </w:p>
    <w:p w14:paraId="73E7C108" w14:textId="6C46AF92" w:rsidR="00485748" w:rsidRPr="002563ED" w:rsidRDefault="00485748" w:rsidP="002C29C0">
      <w:pPr>
        <w:spacing w:line="360" w:lineRule="auto"/>
        <w:jc w:val="both"/>
        <w:rPr>
          <w:color w:val="000000" w:themeColor="text1"/>
        </w:rPr>
      </w:pPr>
    </w:p>
    <w:p w14:paraId="4504EB0E" w14:textId="77777777" w:rsidR="00984383" w:rsidRPr="002563ED" w:rsidRDefault="00984383" w:rsidP="002C29C0">
      <w:pPr>
        <w:spacing w:line="360" w:lineRule="auto"/>
        <w:jc w:val="both"/>
        <w:rPr>
          <w:rFonts w:eastAsiaTheme="minorHAnsi"/>
          <w:b/>
          <w:bCs/>
          <w:color w:val="000000" w:themeColor="text1"/>
          <w:kern w:val="2"/>
          <w:sz w:val="36"/>
          <w:szCs w:val="36"/>
          <w:lang w:eastAsia="en-US"/>
          <w14:ligatures w14:val="standardContextual"/>
        </w:rPr>
      </w:pPr>
      <w:r w:rsidRPr="002563ED">
        <w:rPr>
          <w:b/>
          <w:bCs/>
          <w:color w:val="000000" w:themeColor="text1"/>
          <w:sz w:val="36"/>
          <w:szCs w:val="36"/>
        </w:rPr>
        <w:br w:type="page"/>
      </w:r>
    </w:p>
    <w:p w14:paraId="23CF7DC2" w14:textId="04CDC2F0" w:rsidR="003A0712" w:rsidRPr="002563ED" w:rsidRDefault="00485748" w:rsidP="00EE4C74">
      <w:pPr>
        <w:pStyle w:val="Heading1"/>
        <w:numPr>
          <w:ilvl w:val="0"/>
          <w:numId w:val="17"/>
        </w:numPr>
        <w:jc w:val="center"/>
        <w:rPr>
          <w:color w:val="000000" w:themeColor="text1"/>
        </w:rPr>
      </w:pPr>
      <w:bookmarkStart w:id="20" w:name="_Toc227484307"/>
      <w:r w:rsidRPr="002563ED">
        <w:rPr>
          <w:color w:val="000000" w:themeColor="text1"/>
        </w:rPr>
        <w:lastRenderedPageBreak/>
        <w:t>Literature Review</w:t>
      </w:r>
      <w:bookmarkEnd w:id="20"/>
    </w:p>
    <w:p w14:paraId="44625308" w14:textId="77777777" w:rsidR="00EE4C74" w:rsidRPr="002563ED" w:rsidRDefault="00EE4C74" w:rsidP="002C29C0">
      <w:pPr>
        <w:pStyle w:val="NormalWeb"/>
        <w:spacing w:before="0" w:beforeAutospacing="0" w:after="0" w:afterAutospacing="0" w:line="360" w:lineRule="auto"/>
        <w:jc w:val="both"/>
        <w:rPr>
          <w:color w:val="000000" w:themeColor="text1"/>
        </w:rPr>
      </w:pPr>
    </w:p>
    <w:p w14:paraId="0263F34F" w14:textId="014B64B0" w:rsidR="00323208" w:rsidRPr="002563ED" w:rsidRDefault="00323208" w:rsidP="002C29C0">
      <w:pPr>
        <w:pStyle w:val="NormalWeb"/>
        <w:spacing w:before="0" w:beforeAutospacing="0" w:after="0" w:afterAutospacing="0" w:line="360" w:lineRule="auto"/>
        <w:jc w:val="both"/>
        <w:rPr>
          <w:color w:val="000000" w:themeColor="text1"/>
        </w:rPr>
      </w:pPr>
      <w:r w:rsidRPr="002563ED">
        <w:rPr>
          <w:color w:val="000000" w:themeColor="text1"/>
        </w:rPr>
        <w:t>The integration of digital technology into early childhood represents one of the most significant societal transformations of the 21st century, with major implications for workforce development and sustainable business practices. This literature review examines the relationship between early childhood exposure to technology and the development of employability skills essential for contemporary workplaces.</w:t>
      </w:r>
    </w:p>
    <w:p w14:paraId="4F871D5A" w14:textId="77777777" w:rsidR="00323208" w:rsidRPr="002563ED" w:rsidRDefault="00323208" w:rsidP="002C29C0">
      <w:pPr>
        <w:spacing w:line="360" w:lineRule="auto"/>
        <w:jc w:val="both"/>
        <w:outlineLvl w:val="0"/>
        <w:rPr>
          <w:color w:val="000000" w:themeColor="text1"/>
        </w:rPr>
      </w:pPr>
    </w:p>
    <w:p w14:paraId="1E6B07C1" w14:textId="631D69F0" w:rsidR="00323208" w:rsidRPr="002563ED" w:rsidRDefault="00323208" w:rsidP="00BB21B4">
      <w:pPr>
        <w:pStyle w:val="Heading2"/>
        <w:numPr>
          <w:ilvl w:val="1"/>
          <w:numId w:val="19"/>
        </w:numPr>
        <w:rPr>
          <w:color w:val="000000" w:themeColor="text1"/>
        </w:rPr>
      </w:pPr>
      <w:bookmarkStart w:id="21" w:name="_Toc227484308"/>
      <w:r w:rsidRPr="002563ED">
        <w:rPr>
          <w:color w:val="000000" w:themeColor="text1"/>
        </w:rPr>
        <w:t>Early Childhood Technology Exposure and Development</w:t>
      </w:r>
      <w:bookmarkEnd w:id="21"/>
    </w:p>
    <w:p w14:paraId="58CA1DBF" w14:textId="77777777" w:rsidR="00323208" w:rsidRPr="002563ED" w:rsidRDefault="00323208" w:rsidP="002C29C0">
      <w:pPr>
        <w:pStyle w:val="NormalWeb"/>
        <w:spacing w:before="0" w:beforeAutospacing="0" w:after="0" w:afterAutospacing="0" w:line="360" w:lineRule="auto"/>
        <w:jc w:val="both"/>
        <w:rPr>
          <w:color w:val="000000" w:themeColor="text1"/>
        </w:rPr>
      </w:pPr>
      <w:r w:rsidRPr="002563ED">
        <w:rPr>
          <w:color w:val="000000" w:themeColor="text1"/>
        </w:rPr>
        <w:t>The discussion around early childhood technology exposure uncovers conflict between positive and cautionary perspectives. The effects of technology on child development are dependent on various factors, including content quality, interaction patterns, and adult involvement (Radesky et al., 2015). Christakis et al. (2004) provided evidence linking early television viewing to later cognitive outcomes. Their longitudinal study found that each hour of daily TV viewing at ages 1 to 3 was associated with a 10% increase in attention problems by age 7. As the screen supplied rapid, passive images, the child's brain received intense unrelenting signals and later struggled to pay attention. These cognitive difficulties might extend into adulthood, raising concerns about workplace performance in technologically demanding environments.</w:t>
      </w:r>
    </w:p>
    <w:p w14:paraId="5CE41D59" w14:textId="77777777" w:rsidR="00323208" w:rsidRPr="002563ED" w:rsidRDefault="00323208" w:rsidP="002C29C0">
      <w:pPr>
        <w:pStyle w:val="NormalWeb"/>
        <w:spacing w:before="0" w:beforeAutospacing="0" w:after="0" w:afterAutospacing="0" w:line="360" w:lineRule="auto"/>
        <w:jc w:val="both"/>
        <w:rPr>
          <w:color w:val="000000" w:themeColor="text1"/>
        </w:rPr>
      </w:pPr>
    </w:p>
    <w:p w14:paraId="5556DAD5" w14:textId="2015C1BD" w:rsidR="00323208" w:rsidRPr="002563ED" w:rsidRDefault="00323208" w:rsidP="002C29C0">
      <w:pPr>
        <w:pStyle w:val="NormalWeb"/>
        <w:spacing w:before="0" w:beforeAutospacing="0" w:after="0" w:afterAutospacing="0" w:line="360" w:lineRule="auto"/>
        <w:jc w:val="both"/>
        <w:rPr>
          <w:color w:val="000000" w:themeColor="text1"/>
        </w:rPr>
      </w:pPr>
      <w:r w:rsidRPr="002563ED">
        <w:rPr>
          <w:color w:val="000000" w:themeColor="text1"/>
        </w:rPr>
        <w:t>However, not all screen interactions produce similar developmental results. Courage and Setliff (2010) noted a difference between superficial attention and meaningful learning, showing that infants respond strongly to video features without necessarily understanding or learning from them. The "video deficit effect" (Courage and Setliff, 2010) demonstrates that infants engage with screens reflexively rather than through active cognitive processing. The research emphasises that co-viewing with adults can help overcome learning deficits, highlighting the quality of engagement as more important than the quantity of exposure. A large-scale study has addressed developmental concerns while recognising their complexity. Madigan et al. (2019) followed 2,441 children and found relationships between screen time and developmental outcomes. Higher screen time at the age of two to three years was predicted to lead to worse performance on developmental tests, while developmental delays also led to increased screen time. Children with more screen exposure scored lower in communication, problem-solving, and social skills—all essential workplace skills.</w:t>
      </w:r>
    </w:p>
    <w:p w14:paraId="00160023" w14:textId="77777777" w:rsidR="00323208" w:rsidRPr="002563ED" w:rsidRDefault="00323208" w:rsidP="002C29C0">
      <w:pPr>
        <w:pStyle w:val="NormalWeb"/>
        <w:spacing w:before="0" w:beforeAutospacing="0" w:after="0" w:afterAutospacing="0" w:line="360" w:lineRule="auto"/>
        <w:jc w:val="both"/>
        <w:rPr>
          <w:color w:val="000000" w:themeColor="text1"/>
        </w:rPr>
      </w:pPr>
      <w:r w:rsidRPr="002563ED">
        <w:rPr>
          <w:color w:val="000000" w:themeColor="text1"/>
        </w:rPr>
        <w:lastRenderedPageBreak/>
        <w:t>Neurobiological research illustrates the mechanisms behind these developmental patterns. Hutton et al. (2020) used brain imaging to reveal that screen use, exceeding recommended limits, was linked to lower white matter integrity in brain areas supporting language and literacy. Children with screens in their bedrooms and minimal parental co-viewing showed the most significant adverse effects, indicating the situational neurological impact of technology. These results reveal biological effects of early exposure to technology to the brain structures responsible for workplace skills such as communication and information processing. Content quality and interaction design emerge as major influencing factors; Barr et al. (2010) compared adult-directed and child-directed programming, finding that children exposed to developmentally appropriate educational content demonstrated better executive function, visual memory, and expressive language skills at the age of four. Adult-directed content had adverse or negligible effects. This specificity challenges broad screen time guidelines, suggesting that content matters more than duration. The study found that even background television (passive screen presence) can have a negative impact on attention and cognitive development.</w:t>
      </w:r>
    </w:p>
    <w:p w14:paraId="671001A0" w14:textId="77777777" w:rsidR="00323208" w:rsidRPr="002563ED" w:rsidRDefault="00323208" w:rsidP="002C29C0">
      <w:pPr>
        <w:pStyle w:val="NormalWeb"/>
        <w:spacing w:before="0" w:beforeAutospacing="0" w:after="0" w:afterAutospacing="0" w:line="360" w:lineRule="auto"/>
        <w:jc w:val="both"/>
        <w:rPr>
          <w:color w:val="000000" w:themeColor="text1"/>
        </w:rPr>
      </w:pPr>
    </w:p>
    <w:p w14:paraId="7D363945" w14:textId="7A99207D" w:rsidR="00323208" w:rsidRPr="002563ED" w:rsidRDefault="00323208" w:rsidP="00EE4C74">
      <w:pPr>
        <w:pStyle w:val="NormalWeb"/>
        <w:spacing w:before="0" w:beforeAutospacing="0" w:after="0" w:afterAutospacing="0" w:line="360" w:lineRule="auto"/>
        <w:jc w:val="both"/>
        <w:rPr>
          <w:color w:val="000000" w:themeColor="text1"/>
        </w:rPr>
      </w:pPr>
      <w:r w:rsidRPr="002563ED">
        <w:rPr>
          <w:color w:val="000000" w:themeColor="text1"/>
        </w:rPr>
        <w:t>Parental attitudes and practices significantly shape how technology influences child development. Papadakis et al. (2019) studied Greek parents' approaches to their young children's mobile device use, finding that most parents recognised both educational potential and risks. The research highlighted parental decision-making as a central factor in the relationship between technology and cognitive development. The distinction between interactive and passive technologies adds a layer of complexity to this relationship. Radesky et al. (2015) noted that interactive mobile devices provide a different function than passive television. While touchscreen interactions can support education, concerns remain about reduced human interaction, sleep disruption, and unknown impacts on executive function. The review stressed that many apps lack evidence-based design despite educational claims and emphasised that a parents’ role in media use is instrumental to shaping a child's learning outcomes.</w:t>
      </w:r>
    </w:p>
    <w:p w14:paraId="5B91F8D5" w14:textId="77777777" w:rsidR="00EE4C74" w:rsidRPr="002563ED" w:rsidRDefault="00EE4C74" w:rsidP="00EE4C74">
      <w:pPr>
        <w:pStyle w:val="NormalWeb"/>
        <w:spacing w:before="0" w:beforeAutospacing="0" w:after="0" w:afterAutospacing="0" w:line="360" w:lineRule="auto"/>
        <w:jc w:val="both"/>
        <w:rPr>
          <w:color w:val="000000" w:themeColor="text1"/>
        </w:rPr>
      </w:pPr>
    </w:p>
    <w:p w14:paraId="7DE68A63" w14:textId="660753EE" w:rsidR="00323208" w:rsidRPr="002563ED" w:rsidRDefault="00323208" w:rsidP="00BB21B4">
      <w:pPr>
        <w:pStyle w:val="Heading2"/>
        <w:numPr>
          <w:ilvl w:val="1"/>
          <w:numId w:val="19"/>
        </w:numPr>
        <w:rPr>
          <w:color w:val="000000" w:themeColor="text1"/>
        </w:rPr>
      </w:pPr>
      <w:bookmarkStart w:id="22" w:name="_Toc227484309"/>
      <w:r w:rsidRPr="002563ED">
        <w:rPr>
          <w:color w:val="000000" w:themeColor="text1"/>
        </w:rPr>
        <w:t>Technology Exposure and Employability Skills</w:t>
      </w:r>
      <w:bookmarkEnd w:id="22"/>
    </w:p>
    <w:p w14:paraId="620E6699" w14:textId="77777777" w:rsidR="00323208" w:rsidRPr="002563ED" w:rsidRDefault="00323208" w:rsidP="002C29C0">
      <w:pPr>
        <w:pStyle w:val="NormalWeb"/>
        <w:spacing w:before="0" w:beforeAutospacing="0" w:after="0" w:afterAutospacing="0" w:line="360" w:lineRule="auto"/>
        <w:jc w:val="both"/>
        <w:rPr>
          <w:color w:val="000000" w:themeColor="text1"/>
        </w:rPr>
      </w:pPr>
      <w:r w:rsidRPr="002563ED">
        <w:rPr>
          <w:color w:val="000000" w:themeColor="text1"/>
        </w:rPr>
        <w:t xml:space="preserve">The concept of "digital natives" suggests that young people who grew up with technology possess inherent digital fluency. However, this idea faces significant challenges. Bennett and Maton (2010) found minimal evidence that young people are universally skilled with </w:t>
      </w:r>
      <w:r w:rsidRPr="002563ED">
        <w:rPr>
          <w:color w:val="000000" w:themeColor="text1"/>
        </w:rPr>
        <w:lastRenderedPageBreak/>
        <w:t>technology or learn differently from earlier generations, as variation exists within generational groups based on access, education, and socioeconomic factors. Descriptions of digital natives often rely on anecdotal or self-reported evidence rather than systematic research, and these findings question assumptions about Digital Natives' employability. Large-scale studies also challenge the idea that exposure to technology automatically develops skills. Helsper and Eynon (2010) analysed survey data and found that age poorly predicts digital skills compared to experience and education. Digital skills vary widely within age groups, with socioeconomic background and education serving as stronger predictors than age. This suggests that childhood technology exposure alone does not guarantee workplace readiness, and that the situational context of technology exposure must be examined further.</w:t>
      </w:r>
    </w:p>
    <w:p w14:paraId="5D82DA11" w14:textId="77777777" w:rsidR="00323208" w:rsidRPr="002563ED" w:rsidRDefault="00323208" w:rsidP="002C29C0">
      <w:pPr>
        <w:pStyle w:val="NormalWeb"/>
        <w:spacing w:before="0" w:beforeAutospacing="0" w:after="0" w:afterAutospacing="0" w:line="360" w:lineRule="auto"/>
        <w:jc w:val="both"/>
        <w:rPr>
          <w:color w:val="000000" w:themeColor="text1"/>
        </w:rPr>
      </w:pPr>
    </w:p>
    <w:p w14:paraId="7FF499E2" w14:textId="77777777" w:rsidR="00323208" w:rsidRPr="002563ED" w:rsidRDefault="00323208" w:rsidP="002C29C0">
      <w:pPr>
        <w:pStyle w:val="NormalWeb"/>
        <w:spacing w:before="0" w:beforeAutospacing="0" w:after="0" w:afterAutospacing="0" w:line="360" w:lineRule="auto"/>
        <w:jc w:val="both"/>
        <w:rPr>
          <w:color w:val="000000" w:themeColor="text1"/>
        </w:rPr>
      </w:pPr>
      <w:r w:rsidRPr="002563ED">
        <w:rPr>
          <w:color w:val="000000" w:themeColor="text1"/>
        </w:rPr>
        <w:t>The gap between recreational and professional digital skills is significant. Ng (2012) investigated whether digital natives inherently possess digital literacy or require explicit instruction, finding that many young people lacked these skills despite frequent use of digital technology. Consumer technology aptitude does not automatically extend to academic or professional environments, as most students need direct instruction to develop these skills. Without structured guidance, transferring skills from personal to professional settings remains limited. These findings suggest that childhood technology experiences do not sufficiently prepare individuals for workplace skill requirements. Kirschner and De Bruyckere (2017) reviewed claims that young people multitask effectively, finding no evidence that younger generations excel at multitasking. The research shows that the digital native concept lacks scientific support and perpetuates harmful educational myths, suggesting that young people need explicit instruction on effective technology use.</w:t>
      </w:r>
    </w:p>
    <w:p w14:paraId="65C07FE4" w14:textId="52BE17DD" w:rsidR="00323208" w:rsidRPr="002563ED" w:rsidRDefault="00323208" w:rsidP="002C29C0">
      <w:pPr>
        <w:pStyle w:val="NormalWeb"/>
        <w:spacing w:before="0" w:beforeAutospacing="0" w:after="0" w:afterAutospacing="0" w:line="360" w:lineRule="auto"/>
        <w:jc w:val="both"/>
        <w:rPr>
          <w:color w:val="000000" w:themeColor="text1"/>
        </w:rPr>
      </w:pPr>
    </w:p>
    <w:p w14:paraId="24F7335C" w14:textId="77777777" w:rsidR="00323208" w:rsidRPr="002563ED" w:rsidRDefault="00323208" w:rsidP="002C29C0">
      <w:pPr>
        <w:pStyle w:val="NormalWeb"/>
        <w:spacing w:before="0" w:beforeAutospacing="0" w:after="0" w:afterAutospacing="0" w:line="360" w:lineRule="auto"/>
        <w:jc w:val="both"/>
        <w:rPr>
          <w:color w:val="000000" w:themeColor="text1"/>
        </w:rPr>
      </w:pPr>
      <w:r w:rsidRPr="002563ED">
        <w:rPr>
          <w:color w:val="000000" w:themeColor="text1"/>
        </w:rPr>
        <w:t xml:space="preserve">Socioeconomic factors in digital skill development demonstrate that access to technology alone is insufficient. Gui and Argentin (2011) evaluated digital skills of "internet natives," discovering significant differences in theoretical and practical skills. Family socioeconomic status has a significant impact on skill development, while school-based technology education shows limited success in bridging these gaps. This indicates that childhood technology exposure does not guarantee digital skill acquisition, emphasising the need to consider educational quality, family resources, and targeted learning opportunities. The shift in digital equality - originally limited by access, now limited by usage - complicates the relationship between exposure and capability. Van Deursen and Van Dijk (2014) noted that, while technology access approaches ubiquity in developed countries, usage quality and sophistication </w:t>
      </w:r>
      <w:r w:rsidRPr="002563ED">
        <w:rPr>
          <w:color w:val="000000" w:themeColor="text1"/>
        </w:rPr>
        <w:lastRenderedPageBreak/>
        <w:t>differ substantially, affected by educational background, social networks, and learning support. Basic operational skills are common, but strategic skills—necessary for applying practical knowledge—remain unevenly distributed. This usage disparity impacts employment opportunities and career progression despite widespread access.</w:t>
      </w:r>
    </w:p>
    <w:p w14:paraId="3A7A089E" w14:textId="77777777" w:rsidR="00323208" w:rsidRPr="002563ED" w:rsidRDefault="00323208" w:rsidP="002C29C0">
      <w:pPr>
        <w:pStyle w:val="NormalWeb"/>
        <w:spacing w:before="0" w:beforeAutospacing="0" w:after="0" w:afterAutospacing="0" w:line="360" w:lineRule="auto"/>
        <w:jc w:val="both"/>
        <w:rPr>
          <w:color w:val="000000" w:themeColor="text1"/>
        </w:rPr>
      </w:pPr>
    </w:p>
    <w:p w14:paraId="0E18E56D" w14:textId="516E189B" w:rsidR="00323208" w:rsidRPr="002563ED" w:rsidRDefault="00323208" w:rsidP="002C29C0">
      <w:pPr>
        <w:pStyle w:val="NormalWeb"/>
        <w:spacing w:before="0" w:beforeAutospacing="0" w:after="0" w:afterAutospacing="0" w:line="360" w:lineRule="auto"/>
        <w:jc w:val="both"/>
        <w:rPr>
          <w:color w:val="000000" w:themeColor="text1"/>
        </w:rPr>
      </w:pPr>
      <w:r w:rsidRPr="002563ED">
        <w:rPr>
          <w:color w:val="000000" w:themeColor="text1"/>
        </w:rPr>
        <w:t>Employer perspectives on graduate employability reveal ongoing gaps between the skills graduates possess and the needs of the workplace. Osmani et al. (2019) examined workplace skills in relation to market demands, finding that employers consistently prioritise communication, teamwork, problem-solving, and critical thinking. Technical skills alone are insufficient for employability; integration with soft skills is essential. Compulsory education often fails to develop necessary employability skills. The employer's perspective is vital for understanding workforce readiness as it reflects actual professional needs rather than theoretical frameworks. The divide between graduate skill levels and employer expectations suggests that even if early technology exposure contributes to digital skill development, it may not cover the full spectrum of professional abilities required.</w:t>
      </w:r>
    </w:p>
    <w:p w14:paraId="71881CE3" w14:textId="77777777" w:rsidR="006E6CA5" w:rsidRPr="002563ED" w:rsidRDefault="006E6CA5" w:rsidP="002C29C0">
      <w:pPr>
        <w:spacing w:line="360" w:lineRule="auto"/>
        <w:jc w:val="both"/>
        <w:outlineLvl w:val="0"/>
        <w:rPr>
          <w:color w:val="000000" w:themeColor="text1"/>
        </w:rPr>
      </w:pPr>
    </w:p>
    <w:p w14:paraId="404E1133" w14:textId="555AC7F4" w:rsidR="00323208" w:rsidRPr="002563ED" w:rsidRDefault="00323208" w:rsidP="00BB21B4">
      <w:pPr>
        <w:pStyle w:val="Heading2"/>
        <w:numPr>
          <w:ilvl w:val="1"/>
          <w:numId w:val="19"/>
        </w:numPr>
        <w:rPr>
          <w:color w:val="000000" w:themeColor="text1"/>
        </w:rPr>
      </w:pPr>
      <w:bookmarkStart w:id="23" w:name="_Toc227484310"/>
      <w:r w:rsidRPr="002563ED">
        <w:rPr>
          <w:color w:val="000000" w:themeColor="text1"/>
        </w:rPr>
        <w:t>Sustainable Technology Integration Approaches</w:t>
      </w:r>
      <w:bookmarkEnd w:id="23"/>
    </w:p>
    <w:p w14:paraId="6A71D47C" w14:textId="77777777" w:rsidR="00323208" w:rsidRPr="002563ED" w:rsidRDefault="00323208" w:rsidP="002C29C0">
      <w:pPr>
        <w:pStyle w:val="NormalWeb"/>
        <w:spacing w:before="0" w:beforeAutospacing="0" w:after="0" w:afterAutospacing="0" w:line="360" w:lineRule="auto"/>
        <w:jc w:val="both"/>
        <w:rPr>
          <w:color w:val="000000" w:themeColor="text1"/>
        </w:rPr>
      </w:pPr>
      <w:r w:rsidRPr="002563ED">
        <w:rPr>
          <w:color w:val="000000" w:themeColor="text1"/>
        </w:rPr>
        <w:t>Research on effective technology integration emphasises the importance of guided engagement within supportive social contexts, prioritising intentional interaction over unmonitored access or complete restriction. Plowman et al. (2010) noted that children learn technology within social and cultural settings rather than through isolated skill acquisition. Guided interaction promotes deeper learning than unsupervised access, with parents and teachers playing key roles in shaping technology experiences. The study showed that playful, purposeful engagement is more beneficial than passive consumption. Takeuchi and Stevens (2011) investigated co-viewing and co-using technology with adults, demonstrating that this form of engagement improves learning outcomes compared to solitary use. Adult guidance enables children to make connections, ask questions, and apply their learning in different contexts, shifting screen time from a passive activity to an engaging social experience. Technology integration is most effective when it supports existing learning goals rather than replacing other developmental activities, and the way that children engage with technology—whether alone or with supportive adults—may prove as important as content itself.</w:t>
      </w:r>
    </w:p>
    <w:p w14:paraId="2BF1829F" w14:textId="77777777" w:rsidR="00323208" w:rsidRPr="002563ED" w:rsidRDefault="00323208" w:rsidP="002C29C0">
      <w:pPr>
        <w:pStyle w:val="NormalWeb"/>
        <w:spacing w:before="0" w:beforeAutospacing="0" w:after="0" w:afterAutospacing="0" w:line="360" w:lineRule="auto"/>
        <w:jc w:val="both"/>
        <w:rPr>
          <w:color w:val="000000" w:themeColor="text1"/>
        </w:rPr>
      </w:pPr>
    </w:p>
    <w:p w14:paraId="6B2CE4FA" w14:textId="00A914D9" w:rsidR="00323208" w:rsidRPr="002563ED" w:rsidRDefault="00323208" w:rsidP="002C29C0">
      <w:pPr>
        <w:pStyle w:val="NormalWeb"/>
        <w:spacing w:before="0" w:beforeAutospacing="0" w:after="0" w:afterAutospacing="0" w:line="360" w:lineRule="auto"/>
        <w:jc w:val="both"/>
        <w:rPr>
          <w:color w:val="000000" w:themeColor="text1"/>
        </w:rPr>
      </w:pPr>
      <w:r w:rsidRPr="002563ED">
        <w:rPr>
          <w:color w:val="000000" w:themeColor="text1"/>
        </w:rPr>
        <w:lastRenderedPageBreak/>
        <w:t>Guidance from early childhood education organisations promotes of balanced educational approaches. The National Association for the Education of Young Children and the Fred Rogers Centre (2012) stated that “technology should support learning rather than replace hands-on experiences or human interaction.” Intentional, purposeful, and developmentally appropriate usage proves more valuable than passive consumption. The NAEY</w:t>
      </w:r>
      <w:r w:rsidR="002D0C07" w:rsidRPr="002563ED">
        <w:rPr>
          <w:color w:val="000000" w:themeColor="text1"/>
        </w:rPr>
        <w:t>C</w:t>
      </w:r>
      <w:r w:rsidRPr="002563ED">
        <w:rPr>
          <w:color w:val="000000" w:themeColor="text1"/>
        </w:rPr>
        <w:t xml:space="preserve"> emphasises balance between screen time and other activities, alongside continual professional development for educators to integrate technology effectively. The connection between children's technology use and sustainable business practices provides a foundation for exploring workforce implications. Ehnert et al. (2016) noted that sustainability reporting is increasingly incorporating human capital aspects, although reporting varies across organisations. Most companies focus on environmental issues with less emphasis on human resource sustainability. With widespread awareness of adult mental health issues, organisations are beginning to recognise that training, development, and employee well-being can help alleviate sustainability concerns. The gap between ideation and practice in sustainable human resource management indicates that organisations have not fully integrated long-term human capital into sustainability strategies.</w:t>
      </w:r>
    </w:p>
    <w:p w14:paraId="34593525" w14:textId="77777777" w:rsidR="00323208" w:rsidRPr="002563ED" w:rsidRDefault="00323208" w:rsidP="002C29C0">
      <w:pPr>
        <w:pStyle w:val="NormalWeb"/>
        <w:spacing w:before="0" w:beforeAutospacing="0" w:after="0" w:afterAutospacing="0" w:line="360" w:lineRule="auto"/>
        <w:jc w:val="both"/>
        <w:rPr>
          <w:color w:val="000000" w:themeColor="text1"/>
        </w:rPr>
      </w:pPr>
    </w:p>
    <w:p w14:paraId="5D589CB0" w14:textId="77777777" w:rsidR="00323208" w:rsidRPr="002563ED" w:rsidRDefault="00323208" w:rsidP="002C29C0">
      <w:pPr>
        <w:pStyle w:val="NormalWeb"/>
        <w:spacing w:before="0" w:beforeAutospacing="0" w:after="0" w:afterAutospacing="0" w:line="360" w:lineRule="auto"/>
        <w:jc w:val="both"/>
        <w:rPr>
          <w:color w:val="000000" w:themeColor="text1"/>
        </w:rPr>
      </w:pPr>
      <w:r w:rsidRPr="002563ED">
        <w:rPr>
          <w:color w:val="000000" w:themeColor="text1"/>
        </w:rPr>
        <w:t>Human resource management's evolution towards sustainability offers frameworks connecting childhood development with organisational practice. Kramar (2014) argued that sustainable HRM extends beyond traditional strategies to include environmental and social factors, requiring human capital development that balances organisational needs with employee well-being. This perspective positions workforce skill development as a sustainability issue, supporting research on how childhood experiences shape later workplace abilities and well-being. Pfeffer (2010) reinforced connections between employee well-being and organisational sustainability, arguing that workplace practices impact employee health, well-being, and long-term productivity. Sustainable organisations must consider the human costs and benefits of management practices, as evidence shows a connection between employee well-being and organisational performance and resilience. This perspective suggests that childhood technology experiences may influence not just skill development but also psychological health and workplace well-being, highlighting that sustainable strategies must account for both productivity and wellbeing.</w:t>
      </w:r>
    </w:p>
    <w:p w14:paraId="2B7FFA62" w14:textId="77777777" w:rsidR="00323208" w:rsidRPr="002563ED" w:rsidRDefault="00323208" w:rsidP="002C29C0">
      <w:pPr>
        <w:pStyle w:val="NormalWeb"/>
        <w:spacing w:before="0" w:beforeAutospacing="0" w:after="0" w:afterAutospacing="0" w:line="360" w:lineRule="auto"/>
        <w:jc w:val="both"/>
        <w:rPr>
          <w:color w:val="000000" w:themeColor="text1"/>
        </w:rPr>
      </w:pPr>
    </w:p>
    <w:p w14:paraId="4FCCCBFA" w14:textId="1ED54863" w:rsidR="00323208" w:rsidRPr="002563ED" w:rsidRDefault="00323208" w:rsidP="00AC5451">
      <w:pPr>
        <w:pStyle w:val="NormalWeb"/>
        <w:spacing w:before="0" w:beforeAutospacing="0" w:after="0" w:afterAutospacing="0" w:line="360" w:lineRule="auto"/>
        <w:jc w:val="both"/>
        <w:rPr>
          <w:color w:val="000000" w:themeColor="text1"/>
        </w:rPr>
      </w:pPr>
      <w:r w:rsidRPr="002563ED">
        <w:rPr>
          <w:color w:val="000000" w:themeColor="text1"/>
        </w:rPr>
        <w:t xml:space="preserve">The Well-being of Future Generations Act (2015) provides legislative context that demonstrates policy recognition of long-term sustainability considerations. The Act establishes </w:t>
      </w:r>
      <w:r w:rsidRPr="002563ED">
        <w:rPr>
          <w:color w:val="000000" w:themeColor="text1"/>
        </w:rPr>
        <w:lastRenderedPageBreak/>
        <w:t>seven well-being goals for Wales and requires public bodies to consider the long-term effects of their decisions on future generations. This holistic view of sustainable development includes childhood technology integration, as decisions about early technology exposure impact future workforce capabilities, health, and well-being.</w:t>
      </w:r>
    </w:p>
    <w:p w14:paraId="6C7E9330" w14:textId="77777777" w:rsidR="00323208" w:rsidRPr="002563ED" w:rsidRDefault="00323208" w:rsidP="002C29C0">
      <w:pPr>
        <w:spacing w:line="360" w:lineRule="auto"/>
        <w:jc w:val="both"/>
        <w:outlineLvl w:val="0"/>
        <w:rPr>
          <w:color w:val="000000" w:themeColor="text1"/>
        </w:rPr>
      </w:pPr>
    </w:p>
    <w:p w14:paraId="49769578" w14:textId="15597ECC" w:rsidR="00497C2A" w:rsidRPr="002563ED" w:rsidRDefault="00323208" w:rsidP="00BB21B4">
      <w:pPr>
        <w:pStyle w:val="Heading2"/>
        <w:numPr>
          <w:ilvl w:val="1"/>
          <w:numId w:val="19"/>
        </w:numPr>
        <w:rPr>
          <w:color w:val="000000" w:themeColor="text1"/>
        </w:rPr>
      </w:pPr>
      <w:bookmarkStart w:id="24" w:name="_Toc227484311"/>
      <w:r w:rsidRPr="002563ED">
        <w:rPr>
          <w:color w:val="000000" w:themeColor="text1"/>
        </w:rPr>
        <w:t>Literature Gaps and Research Justification</w:t>
      </w:r>
      <w:bookmarkEnd w:id="24"/>
    </w:p>
    <w:p w14:paraId="225537A2" w14:textId="058C269F" w:rsidR="00323208" w:rsidRPr="002563ED" w:rsidRDefault="00323208" w:rsidP="002C29C0">
      <w:pPr>
        <w:spacing w:line="360" w:lineRule="auto"/>
        <w:jc w:val="both"/>
        <w:rPr>
          <w:color w:val="000000" w:themeColor="text1"/>
        </w:rPr>
      </w:pPr>
      <w:r w:rsidRPr="002563ED">
        <w:rPr>
          <w:color w:val="000000" w:themeColor="text1"/>
        </w:rPr>
        <w:t xml:space="preserve">Despite extensive research on childhood development and separate studies on digital skills and employability, literature directly examining the connection between early technology exposure and sustainable employability is limited. Existing studies primarily focus on the immediate developmental effects during childhood or evaluate digital skills at a single time point. Phenomenological analysis of stakeholder perspectives - parents making daily technology decisions, employers observing workplace performance, and young professionals reflecting on their development – have not been thoroughly examined to understand the impact of technology on social sustainability. </w:t>
      </w:r>
    </w:p>
    <w:p w14:paraId="3A440E0E" w14:textId="77777777" w:rsidR="00323208" w:rsidRPr="002563ED" w:rsidRDefault="00323208" w:rsidP="002C29C0">
      <w:pPr>
        <w:spacing w:line="360" w:lineRule="auto"/>
        <w:jc w:val="both"/>
        <w:rPr>
          <w:color w:val="000000" w:themeColor="text1"/>
        </w:rPr>
      </w:pPr>
    </w:p>
    <w:p w14:paraId="5FDBFE82" w14:textId="77777777" w:rsidR="00323208" w:rsidRPr="002563ED" w:rsidRDefault="00323208" w:rsidP="002C29C0">
      <w:pPr>
        <w:spacing w:line="360" w:lineRule="auto"/>
        <w:jc w:val="both"/>
        <w:rPr>
          <w:color w:val="000000" w:themeColor="text1"/>
        </w:rPr>
      </w:pPr>
      <w:r w:rsidRPr="002563ED">
        <w:rPr>
          <w:color w:val="000000" w:themeColor="text1"/>
        </w:rPr>
        <w:t>The research examined is largely from the period 2010-2020 due to the rapid evolution of technology since 2020. The emergence of generative artificial intelligence, advanced language and facial recognition software and other sophisticated technologies has outpaced academic research timelines. Traditional peer-reviewed publications typically take 18-24 months to be published, meaning that studies examining these recent technologies are only now beginning to be released – and are likely outdated by the time they are. Consequently, there is a gap in the literature as developmental research cannot catch up with these technological changes.</w:t>
      </w:r>
    </w:p>
    <w:p w14:paraId="15BFAFC0" w14:textId="77777777" w:rsidR="00323208" w:rsidRPr="002563ED" w:rsidRDefault="00323208" w:rsidP="002C29C0">
      <w:pPr>
        <w:spacing w:line="360" w:lineRule="auto"/>
        <w:jc w:val="both"/>
        <w:rPr>
          <w:color w:val="000000" w:themeColor="text1"/>
        </w:rPr>
      </w:pPr>
    </w:p>
    <w:p w14:paraId="75C60927" w14:textId="43904CAF" w:rsidR="00323208" w:rsidRPr="002563ED" w:rsidRDefault="00323208" w:rsidP="002C29C0">
      <w:pPr>
        <w:spacing w:line="360" w:lineRule="auto"/>
        <w:jc w:val="both"/>
        <w:rPr>
          <w:color w:val="000000" w:themeColor="text1"/>
        </w:rPr>
      </w:pPr>
      <w:r w:rsidRPr="002563ED">
        <w:rPr>
          <w:color w:val="000000" w:themeColor="text1"/>
        </w:rPr>
        <w:t>While evidence shows both benefits and risks of early technology exposure, these findings have not been compiled into practical frameworks for sustainable integration that balance developmental needs with workforce sustainability. The connection between childhood technology experiences and the full range of employability skills, encompassing both technical and soft skills, warrants further exploration. Stakeholder perspectives on technology's role in skill development and workplace preparation remain underexplored, particularly regarding the experiences of Digital Natives and how early exposure has shaped their professional growth.</w:t>
      </w:r>
    </w:p>
    <w:p w14:paraId="495A040B" w14:textId="77777777" w:rsidR="00323208" w:rsidRPr="002563ED" w:rsidRDefault="00323208" w:rsidP="002C29C0">
      <w:pPr>
        <w:spacing w:line="360" w:lineRule="auto"/>
        <w:jc w:val="both"/>
        <w:rPr>
          <w:color w:val="000000" w:themeColor="text1"/>
        </w:rPr>
      </w:pPr>
      <w:bookmarkStart w:id="25" w:name="_Toc213160068"/>
      <w:bookmarkStart w:id="26" w:name="_Toc224813804"/>
      <w:bookmarkStart w:id="27" w:name="_Toc224813926"/>
      <w:bookmarkStart w:id="28" w:name="_Toc224818797"/>
      <w:bookmarkStart w:id="29" w:name="_Toc224820185"/>
      <w:r w:rsidRPr="002563ED">
        <w:rPr>
          <w:color w:val="000000" w:themeColor="text1"/>
        </w:rPr>
        <w:t xml:space="preserve">By examining these gaps through a qualitative approach that involves parents, employers, and young professionals themselves, this research contributes to the sustainability discourse by linking digital literacy development to the social sustainability of future employment systems. </w:t>
      </w:r>
      <w:r w:rsidRPr="002563ED">
        <w:rPr>
          <w:color w:val="000000" w:themeColor="text1"/>
        </w:rPr>
        <w:lastRenderedPageBreak/>
        <w:t>The study emphasises the integration of balanced, equitable, and health-conscious technology in early life, addressing both workplace skill development and psychological well-being, which are essential for sustainable workforces.</w:t>
      </w:r>
      <w:bookmarkEnd w:id="25"/>
      <w:bookmarkEnd w:id="26"/>
      <w:bookmarkEnd w:id="27"/>
      <w:bookmarkEnd w:id="28"/>
      <w:bookmarkEnd w:id="29"/>
    </w:p>
    <w:p w14:paraId="06529648" w14:textId="77777777" w:rsidR="00323208" w:rsidRPr="002563ED" w:rsidRDefault="00323208" w:rsidP="002C29C0">
      <w:pPr>
        <w:spacing w:line="360" w:lineRule="auto"/>
        <w:jc w:val="both"/>
        <w:rPr>
          <w:color w:val="000000" w:themeColor="text1"/>
        </w:rPr>
      </w:pPr>
    </w:p>
    <w:p w14:paraId="4961010F" w14:textId="77777777" w:rsidR="00323208" w:rsidRPr="002563ED" w:rsidRDefault="00323208" w:rsidP="002C29C0">
      <w:pPr>
        <w:spacing w:line="360" w:lineRule="auto"/>
        <w:jc w:val="both"/>
        <w:outlineLvl w:val="0"/>
        <w:rPr>
          <w:color w:val="000000" w:themeColor="text1"/>
        </w:rPr>
      </w:pPr>
    </w:p>
    <w:p w14:paraId="24FD5FE8" w14:textId="77777777" w:rsidR="00323208" w:rsidRPr="002563ED" w:rsidRDefault="00323208" w:rsidP="002C29C0">
      <w:pPr>
        <w:spacing w:line="360" w:lineRule="auto"/>
        <w:jc w:val="both"/>
        <w:outlineLvl w:val="0"/>
        <w:rPr>
          <w:color w:val="000000" w:themeColor="text1"/>
        </w:rPr>
      </w:pPr>
    </w:p>
    <w:p w14:paraId="78B857F7" w14:textId="77777777" w:rsidR="00323208" w:rsidRPr="002563ED" w:rsidRDefault="00323208" w:rsidP="002C29C0">
      <w:pPr>
        <w:pStyle w:val="ListParagraph"/>
        <w:spacing w:line="360" w:lineRule="auto"/>
        <w:ind w:left="360"/>
        <w:jc w:val="both"/>
        <w:outlineLvl w:val="0"/>
        <w:rPr>
          <w:color w:val="000000" w:themeColor="text1"/>
        </w:rPr>
      </w:pPr>
    </w:p>
    <w:p w14:paraId="547C5696" w14:textId="4F8EC2B4" w:rsidR="00485748" w:rsidRPr="002563ED" w:rsidRDefault="00401024" w:rsidP="002C29C0">
      <w:pPr>
        <w:spacing w:line="360" w:lineRule="auto"/>
        <w:jc w:val="both"/>
        <w:rPr>
          <w:color w:val="000000" w:themeColor="text1"/>
        </w:rPr>
      </w:pPr>
      <w:r w:rsidRPr="002563ED">
        <w:rPr>
          <w:color w:val="000000" w:themeColor="text1"/>
        </w:rPr>
        <w:br w:type="page"/>
      </w:r>
    </w:p>
    <w:p w14:paraId="3CB2480A" w14:textId="77777777" w:rsidR="00A529C6" w:rsidRPr="002563ED" w:rsidRDefault="00485748" w:rsidP="00EE4C74">
      <w:pPr>
        <w:pStyle w:val="Heading1"/>
        <w:numPr>
          <w:ilvl w:val="0"/>
          <w:numId w:val="17"/>
        </w:numPr>
        <w:jc w:val="center"/>
        <w:rPr>
          <w:color w:val="000000" w:themeColor="text1"/>
          <w:sz w:val="36"/>
          <w:szCs w:val="36"/>
        </w:rPr>
      </w:pPr>
      <w:bookmarkStart w:id="30" w:name="_Toc227484312"/>
      <w:r w:rsidRPr="002563ED">
        <w:rPr>
          <w:color w:val="000000" w:themeColor="text1"/>
        </w:rPr>
        <w:lastRenderedPageBreak/>
        <w:t>Methodology</w:t>
      </w:r>
      <w:bookmarkEnd w:id="30"/>
    </w:p>
    <w:p w14:paraId="21A881ED" w14:textId="3068629C" w:rsidR="00FE53CE" w:rsidRPr="002563ED" w:rsidRDefault="00FE53CE" w:rsidP="00EE4C74">
      <w:pPr>
        <w:pStyle w:val="Heading2"/>
        <w:numPr>
          <w:ilvl w:val="1"/>
          <w:numId w:val="34"/>
        </w:numPr>
        <w:rPr>
          <w:color w:val="000000" w:themeColor="text1"/>
          <w:sz w:val="36"/>
          <w:szCs w:val="36"/>
        </w:rPr>
      </w:pPr>
      <w:bookmarkStart w:id="31" w:name="_Toc227484313"/>
      <w:r w:rsidRPr="002563ED">
        <w:rPr>
          <w:color w:val="000000" w:themeColor="text1"/>
        </w:rPr>
        <w:t>Research Design and Philosophical Foundations</w:t>
      </w:r>
      <w:bookmarkEnd w:id="31"/>
    </w:p>
    <w:p w14:paraId="75E4B70C" w14:textId="77777777" w:rsidR="00F94A1D" w:rsidRPr="002563ED" w:rsidRDefault="00F94A1D" w:rsidP="002C29C0">
      <w:pPr>
        <w:spacing w:line="360" w:lineRule="auto"/>
        <w:jc w:val="both"/>
        <w:rPr>
          <w:color w:val="000000" w:themeColor="text1"/>
        </w:rPr>
      </w:pPr>
      <w:r w:rsidRPr="002563ED">
        <w:rPr>
          <w:color w:val="000000" w:themeColor="text1"/>
        </w:rPr>
        <w:t>This study employed a qualitative phenomenological approach to investigate how early childhood technology exposure influences workplace skill development as experienced by parents and young professionals. Phenomenology, rooted in the philosophical traditions of Husserl (1970) and Heidegger (1962), provides a framework for examining how individuals experience and make sense of phenomena in their lives. This methodology proved appropriate for exploring the subjective meanings that parents and young professionals attach to early childhood technology exposure and its long-term implications for professional development.</w:t>
      </w:r>
    </w:p>
    <w:p w14:paraId="624F2EFC" w14:textId="77777777" w:rsidR="00F94A1D" w:rsidRPr="002563ED" w:rsidRDefault="00F94A1D" w:rsidP="002C29C0">
      <w:pPr>
        <w:spacing w:line="360" w:lineRule="auto"/>
        <w:jc w:val="both"/>
        <w:rPr>
          <w:color w:val="000000" w:themeColor="text1"/>
        </w:rPr>
      </w:pPr>
    </w:p>
    <w:p w14:paraId="12CA5B7B" w14:textId="77777777" w:rsidR="00F94A1D" w:rsidRPr="002563ED" w:rsidRDefault="00F94A1D" w:rsidP="002C29C0">
      <w:pPr>
        <w:spacing w:line="360" w:lineRule="auto"/>
        <w:jc w:val="both"/>
        <w:rPr>
          <w:color w:val="000000" w:themeColor="text1"/>
        </w:rPr>
      </w:pPr>
      <w:r w:rsidRPr="002563ED">
        <w:rPr>
          <w:color w:val="000000" w:themeColor="text1"/>
        </w:rPr>
        <w:t>The research employed a dual phenomenological framework, drawing on both Moustakas's (1994) transcendental phenomenology and Smith et al.'s (2022) Interpretative Phenomenological Analysis (IPA). Moustakas's approach emphasises describing the essence of lived experiences through systematic reduction, bracketing the researcher's preconceptions to allow participants' experiences to emerge authentically. This proved valuable for capturing the fundamental nature of technology's role in childhood development. Concurrently, IPA's interpretative dimension (Smith et al., 2022) acknowledges that understanding lived experience requires interpretation—recognising that participants themselves interpret their experiences, whilst the researcher decodes these interpretations through a "double hermeneutic" (Smith &amp; Osborn, 2015). This dual approach enabled both the description of experiences and the interpretation of their meanings across stakeholder perspectives.</w:t>
      </w:r>
    </w:p>
    <w:p w14:paraId="782440AB" w14:textId="49637D92" w:rsidR="00F94A1D" w:rsidRPr="002563ED" w:rsidRDefault="00F94A1D" w:rsidP="002C29C0">
      <w:pPr>
        <w:spacing w:line="360" w:lineRule="auto"/>
        <w:jc w:val="both"/>
        <w:rPr>
          <w:color w:val="000000" w:themeColor="text1"/>
        </w:rPr>
      </w:pPr>
    </w:p>
    <w:p w14:paraId="21D1C8CC" w14:textId="1C13659B" w:rsidR="00F94A1D" w:rsidRPr="002563ED" w:rsidRDefault="00F94A1D" w:rsidP="002C29C0">
      <w:pPr>
        <w:spacing w:line="360" w:lineRule="auto"/>
        <w:jc w:val="both"/>
        <w:rPr>
          <w:color w:val="000000" w:themeColor="text1"/>
        </w:rPr>
      </w:pPr>
      <w:r w:rsidRPr="002563ED">
        <w:rPr>
          <w:color w:val="000000" w:themeColor="text1"/>
        </w:rPr>
        <w:t>The study's ontological position recognised that multiple realities exist based on individual experiences and interpretations (Braun &amp; Clarke, 2021). The study used a constructivist–interpretivist approach, based in epistemology, recognising that knowledge is created through interactions between the researcher and the participants (Creswell &amp; Poth, 2018).</w:t>
      </w:r>
      <w:r w:rsidR="00DB683B" w:rsidRPr="002563ED">
        <w:rPr>
          <w:color w:val="000000" w:themeColor="text1"/>
        </w:rPr>
        <w:t xml:space="preserve"> </w:t>
      </w:r>
      <w:r w:rsidRPr="002563ED">
        <w:rPr>
          <w:color w:val="000000" w:themeColor="text1"/>
        </w:rPr>
        <w:t>This philosophical positioning recognised that understanding the impact of childhood technology exposure requires examining how different stakeholders construct meaning from their experiences rather than seeking objective, universal truths.</w:t>
      </w:r>
    </w:p>
    <w:p w14:paraId="08110A83" w14:textId="3B00E0CA" w:rsidR="00F94A1D" w:rsidRPr="002563ED" w:rsidRDefault="00F94A1D" w:rsidP="002C29C0">
      <w:pPr>
        <w:spacing w:line="360" w:lineRule="auto"/>
        <w:jc w:val="both"/>
        <w:rPr>
          <w:color w:val="000000" w:themeColor="text1"/>
        </w:rPr>
      </w:pPr>
    </w:p>
    <w:p w14:paraId="52E179C0" w14:textId="5205EAE0" w:rsidR="00303F0D" w:rsidRPr="002563ED" w:rsidRDefault="00303F0D" w:rsidP="002C29C0">
      <w:pPr>
        <w:spacing w:line="360" w:lineRule="auto"/>
        <w:jc w:val="both"/>
        <w:rPr>
          <w:color w:val="000000" w:themeColor="text1"/>
        </w:rPr>
      </w:pPr>
    </w:p>
    <w:p w14:paraId="2F0895F0" w14:textId="2BBC842B" w:rsidR="00303F0D" w:rsidRPr="002563ED" w:rsidRDefault="009824B1" w:rsidP="002C29C0">
      <w:pPr>
        <w:spacing w:line="360" w:lineRule="auto"/>
        <w:jc w:val="both"/>
        <w:rPr>
          <w:b/>
          <w:bCs/>
          <w:color w:val="000000" w:themeColor="text1"/>
        </w:rPr>
      </w:pPr>
      <w:r w:rsidRPr="002563ED">
        <w:rPr>
          <w:noProof/>
          <w:color w:val="000000" w:themeColor="text1"/>
          <w14:ligatures w14:val="standardContextual"/>
        </w:rPr>
        <w:lastRenderedPageBreak/>
        <w:drawing>
          <wp:anchor distT="0" distB="0" distL="114300" distR="114300" simplePos="0" relativeHeight="251665408" behindDoc="0" locked="0" layoutInCell="1" allowOverlap="1" wp14:anchorId="7CD799F6" wp14:editId="2D44E665">
            <wp:simplePos x="0" y="0"/>
            <wp:positionH relativeFrom="column">
              <wp:posOffset>1296035</wp:posOffset>
            </wp:positionH>
            <wp:positionV relativeFrom="paragraph">
              <wp:posOffset>404495</wp:posOffset>
            </wp:positionV>
            <wp:extent cx="3258185" cy="3231515"/>
            <wp:effectExtent l="0" t="0" r="5715" b="0"/>
            <wp:wrapTopAndBottom/>
            <wp:docPr id="1226518422" name="Picture 4"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518422" name="Picture 4" descr="A diagram of a diagra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58185" cy="3231515"/>
                    </a:xfrm>
                    <a:prstGeom prst="rect">
                      <a:avLst/>
                    </a:prstGeom>
                  </pic:spPr>
                </pic:pic>
              </a:graphicData>
            </a:graphic>
            <wp14:sizeRelH relativeFrom="page">
              <wp14:pctWidth>0</wp14:pctWidth>
            </wp14:sizeRelH>
            <wp14:sizeRelV relativeFrom="page">
              <wp14:pctHeight>0</wp14:pctHeight>
            </wp14:sizeRelV>
          </wp:anchor>
        </w:drawing>
      </w:r>
      <w:r w:rsidR="00303F0D" w:rsidRPr="002563ED">
        <w:rPr>
          <w:b/>
          <w:bCs/>
          <w:color w:val="000000" w:themeColor="text1"/>
        </w:rPr>
        <w:t xml:space="preserve">Figure 1. </w:t>
      </w:r>
      <w:r w:rsidR="00303F0D" w:rsidRPr="002563ED">
        <w:rPr>
          <w:b/>
          <w:bCs/>
          <w:i/>
          <w:iCs/>
          <w:color w:val="000000" w:themeColor="text1"/>
        </w:rPr>
        <w:t>Saunders’ Research Onion (2007)</w:t>
      </w:r>
    </w:p>
    <w:p w14:paraId="3D40BE46" w14:textId="77777777" w:rsidR="00303F0D" w:rsidRPr="002563ED" w:rsidRDefault="00303F0D" w:rsidP="002C29C0">
      <w:pPr>
        <w:spacing w:line="360" w:lineRule="auto"/>
        <w:jc w:val="both"/>
        <w:rPr>
          <w:color w:val="000000" w:themeColor="text1"/>
        </w:rPr>
      </w:pPr>
    </w:p>
    <w:p w14:paraId="10CCF33F" w14:textId="29E12477" w:rsidR="00F94A1D" w:rsidRPr="002563ED" w:rsidRDefault="00F94A1D" w:rsidP="002C29C0">
      <w:pPr>
        <w:spacing w:line="360" w:lineRule="auto"/>
        <w:jc w:val="both"/>
        <w:rPr>
          <w:color w:val="000000" w:themeColor="text1"/>
        </w:rPr>
      </w:pPr>
      <w:r w:rsidRPr="002563ED">
        <w:rPr>
          <w:color w:val="000000" w:themeColor="text1"/>
        </w:rPr>
        <w:t>The phenomenological method addressed the research questions by centring on subjective experience, perception, and meaning making. Given the polarised public discourse surrounding childhood technology use, bracketing (epoché) became essential to suspend preconceived judgments and allow participants' authentic voices to emerge (Moustakas, 1994; Finlay, 2022). This approach proved appropriate for examining a phenomenon in which individual experiences vary substantially, and understanding these variations illuminates broader patterns in technology's developmental and professional impacts.</w:t>
      </w:r>
    </w:p>
    <w:p w14:paraId="320FB484" w14:textId="77777777" w:rsidR="009F1116" w:rsidRPr="002563ED" w:rsidRDefault="009F1116" w:rsidP="002C29C0">
      <w:pPr>
        <w:spacing w:line="360" w:lineRule="auto"/>
        <w:jc w:val="both"/>
        <w:rPr>
          <w:color w:val="000000" w:themeColor="text1"/>
        </w:rPr>
      </w:pPr>
    </w:p>
    <w:p w14:paraId="156FFC39" w14:textId="1C6F3180" w:rsidR="009F1116" w:rsidRPr="002563ED" w:rsidRDefault="00BB2B91" w:rsidP="002C29C0">
      <w:pPr>
        <w:spacing w:line="360" w:lineRule="auto"/>
        <w:jc w:val="both"/>
        <w:rPr>
          <w:color w:val="000000" w:themeColor="text1"/>
        </w:rPr>
      </w:pPr>
      <w:r w:rsidRPr="002563ED">
        <w:rPr>
          <w:color w:val="000000" w:themeColor="text1"/>
        </w:rPr>
        <w:t xml:space="preserve">This study is positioned within an </w:t>
      </w:r>
      <w:r w:rsidRPr="002563ED">
        <w:rPr>
          <w:rStyle w:val="Strong"/>
          <w:rFonts w:eastAsiaTheme="majorEastAsia"/>
          <w:b w:val="0"/>
          <w:bCs w:val="0"/>
          <w:color w:val="000000" w:themeColor="text1"/>
        </w:rPr>
        <w:t>interpretivist</w:t>
      </w:r>
      <w:r w:rsidRPr="002563ED">
        <w:rPr>
          <w:color w:val="000000" w:themeColor="text1"/>
        </w:rPr>
        <w:t xml:space="preserve"> philosophy, recognising that knowledge of how childhood technology</w:t>
      </w:r>
      <w:r w:rsidR="00FE1F72" w:rsidRPr="002563ED">
        <w:rPr>
          <w:color w:val="000000" w:themeColor="text1"/>
        </w:rPr>
        <w:t xml:space="preserve"> exposure</w:t>
      </w:r>
      <w:r w:rsidRPr="002563ED">
        <w:rPr>
          <w:color w:val="000000" w:themeColor="text1"/>
        </w:rPr>
        <w:t xml:space="preserve"> shapes professional identity is constructed through individual lived experience rather than objective measurement (Creswell &amp; Poth, 2018). An </w:t>
      </w:r>
      <w:r w:rsidRPr="002563ED">
        <w:rPr>
          <w:rStyle w:val="Strong"/>
          <w:rFonts w:eastAsiaTheme="majorEastAsia"/>
          <w:b w:val="0"/>
          <w:bCs w:val="0"/>
          <w:color w:val="000000" w:themeColor="text1"/>
        </w:rPr>
        <w:t>inductive</w:t>
      </w:r>
      <w:r w:rsidRPr="002563ED">
        <w:rPr>
          <w:color w:val="000000" w:themeColor="text1"/>
        </w:rPr>
        <w:t xml:space="preserve"> approach was adopted, allowing themes to emerge from participant accounts without imposing a predetermined theoretical framework, which is consistent with phenomenology (Braun &amp; Clarke, 2021). At the strategy layer, grounded theory guided the systematic construction of themes from raw data, whilst an ethnographic sensitivity to social and cultural context shaped how participants' digital environments were interpreted. A </w:t>
      </w:r>
      <w:r w:rsidRPr="002563ED">
        <w:rPr>
          <w:rStyle w:val="Strong"/>
          <w:rFonts w:eastAsiaTheme="majorEastAsia"/>
          <w:b w:val="0"/>
          <w:bCs w:val="0"/>
          <w:color w:val="000000" w:themeColor="text1"/>
        </w:rPr>
        <w:t>mono method</w:t>
      </w:r>
      <w:r w:rsidRPr="002563ED">
        <w:rPr>
          <w:color w:val="000000" w:themeColor="text1"/>
        </w:rPr>
        <w:t xml:space="preserve"> qualitative design was selected, as the research questions concern subjective meaning rather than statistical patterns, making a single qualitative instrument the most coherent choice. The study is </w:t>
      </w:r>
      <w:r w:rsidRPr="002563ED">
        <w:rPr>
          <w:rStyle w:val="Strong"/>
          <w:rFonts w:eastAsiaTheme="majorEastAsia"/>
          <w:b w:val="0"/>
          <w:bCs w:val="0"/>
          <w:color w:val="000000" w:themeColor="text1"/>
        </w:rPr>
        <w:t>cross-sectional</w:t>
      </w:r>
      <w:r w:rsidRPr="002563ED">
        <w:rPr>
          <w:color w:val="000000" w:themeColor="text1"/>
        </w:rPr>
        <w:t>, capturing participant perceptions at a single point in time.</w:t>
      </w:r>
      <w:r w:rsidR="00C34C11" w:rsidRPr="002563ED">
        <w:rPr>
          <w:color w:val="000000" w:themeColor="text1"/>
        </w:rPr>
        <w:t xml:space="preserve"> Th</w:t>
      </w:r>
      <w:r w:rsidRPr="002563ED">
        <w:rPr>
          <w:rStyle w:val="Strong"/>
          <w:rFonts w:eastAsiaTheme="majorEastAsia"/>
          <w:b w:val="0"/>
          <w:bCs w:val="0"/>
          <w:color w:val="000000" w:themeColor="text1"/>
        </w:rPr>
        <w:t>ematic analysis</w:t>
      </w:r>
      <w:r w:rsidRPr="002563ED">
        <w:rPr>
          <w:color w:val="000000" w:themeColor="text1"/>
        </w:rPr>
        <w:t xml:space="preserve"> following Braun </w:t>
      </w:r>
      <w:r w:rsidRPr="002563ED">
        <w:rPr>
          <w:color w:val="000000" w:themeColor="text1"/>
        </w:rPr>
        <w:lastRenderedPageBreak/>
        <w:t>and Clarke's (2021) reflexive framework, integrated with Interpretative Phenomenological Analysis (Smith et al., 2022</w:t>
      </w:r>
      <w:r w:rsidR="00C34C11" w:rsidRPr="002563ED">
        <w:rPr>
          <w:color w:val="000000" w:themeColor="text1"/>
        </w:rPr>
        <w:t>)</w:t>
      </w:r>
      <w:r w:rsidRPr="002563ED">
        <w:rPr>
          <w:color w:val="000000" w:themeColor="text1"/>
        </w:rPr>
        <w:t xml:space="preserve"> provided the analytical technique through which seven superordinate themes were identified across the dataset.</w:t>
      </w:r>
    </w:p>
    <w:p w14:paraId="7DE08794" w14:textId="01DB9100" w:rsidR="00EE4C74" w:rsidRPr="002563ED" w:rsidRDefault="00BB2B91" w:rsidP="002C29C0">
      <w:pPr>
        <w:pStyle w:val="font-claude-response-body"/>
        <w:spacing w:line="360" w:lineRule="auto"/>
        <w:jc w:val="both"/>
        <w:rPr>
          <w:color w:val="000000" w:themeColor="text1"/>
        </w:rPr>
      </w:pPr>
      <w:r w:rsidRPr="002563ED">
        <w:rPr>
          <w:color w:val="000000" w:themeColor="text1"/>
        </w:rPr>
        <w:t>A limitation of this approach is that it relies on retrospective recall; participants reflected on childhood experiences from the vantage point of adulthood, meaning accounts may be subject to memory reconstruction over time (Schacter &amp; Addis, 2020)</w:t>
      </w:r>
      <w:r w:rsidR="00B969D5" w:rsidRPr="002563ED">
        <w:rPr>
          <w:color w:val="000000" w:themeColor="text1"/>
        </w:rPr>
        <w:t>.</w:t>
      </w:r>
    </w:p>
    <w:p w14:paraId="0EA366CD" w14:textId="77777777" w:rsidR="00EE4C74" w:rsidRPr="002563ED" w:rsidRDefault="00EE4C74" w:rsidP="002C29C0">
      <w:pPr>
        <w:pStyle w:val="font-claude-response-body"/>
        <w:spacing w:line="360" w:lineRule="auto"/>
        <w:jc w:val="both"/>
        <w:rPr>
          <w:color w:val="000000" w:themeColor="text1"/>
        </w:rPr>
      </w:pPr>
    </w:p>
    <w:p w14:paraId="0BD1FDCD" w14:textId="67736359" w:rsidR="00F94A1D" w:rsidRPr="002563ED" w:rsidRDefault="00F94A1D" w:rsidP="00EE4C74">
      <w:pPr>
        <w:pStyle w:val="Heading2"/>
        <w:numPr>
          <w:ilvl w:val="1"/>
          <w:numId w:val="34"/>
        </w:numPr>
        <w:rPr>
          <w:color w:val="000000" w:themeColor="text1"/>
        </w:rPr>
      </w:pPr>
      <w:bookmarkStart w:id="32" w:name="_Toc227484314"/>
      <w:r w:rsidRPr="002563ED">
        <w:rPr>
          <w:color w:val="000000" w:themeColor="text1"/>
        </w:rPr>
        <w:t>Participants and Sampling</w:t>
      </w:r>
      <w:bookmarkEnd w:id="32"/>
    </w:p>
    <w:p w14:paraId="3B47B11B" w14:textId="53AFFD80" w:rsidR="00F94A1D" w:rsidRPr="002563ED" w:rsidRDefault="00F94A1D" w:rsidP="002C29C0">
      <w:pPr>
        <w:spacing w:line="360" w:lineRule="auto"/>
        <w:jc w:val="both"/>
        <w:rPr>
          <w:color w:val="000000" w:themeColor="text1"/>
        </w:rPr>
      </w:pPr>
      <w:r w:rsidRPr="002563ED">
        <w:rPr>
          <w:color w:val="000000" w:themeColor="text1"/>
        </w:rPr>
        <w:t xml:space="preserve">The study recruited </w:t>
      </w:r>
      <w:r w:rsidR="00EC33BD" w:rsidRPr="002563ED">
        <w:rPr>
          <w:color w:val="000000" w:themeColor="text1"/>
        </w:rPr>
        <w:t>3</w:t>
      </w:r>
      <w:r w:rsidRPr="002563ED">
        <w:rPr>
          <w:color w:val="000000" w:themeColor="text1"/>
        </w:rPr>
        <w:t xml:space="preserve"> participants across two stakeholder groups through purposive sampling </w:t>
      </w:r>
      <w:r w:rsidR="001A7141" w:rsidRPr="002563ED">
        <w:rPr>
          <w:color w:val="000000" w:themeColor="text1"/>
        </w:rPr>
        <w:t xml:space="preserve">, which </w:t>
      </w:r>
      <w:r w:rsidRPr="002563ED">
        <w:rPr>
          <w:color w:val="000000" w:themeColor="text1"/>
        </w:rPr>
        <w:t>deliberately select</w:t>
      </w:r>
      <w:r w:rsidR="001A7141" w:rsidRPr="002563ED">
        <w:rPr>
          <w:color w:val="000000" w:themeColor="text1"/>
        </w:rPr>
        <w:t>s</w:t>
      </w:r>
      <w:r w:rsidRPr="002563ED">
        <w:rPr>
          <w:color w:val="000000" w:themeColor="text1"/>
        </w:rPr>
        <w:t xml:space="preserve"> information-rich cases </w:t>
      </w:r>
      <w:r w:rsidR="001A7141" w:rsidRPr="002563ED">
        <w:rPr>
          <w:color w:val="000000" w:themeColor="text1"/>
        </w:rPr>
        <w:t>capable of providing</w:t>
      </w:r>
      <w:r w:rsidRPr="002563ED">
        <w:rPr>
          <w:color w:val="000000" w:themeColor="text1"/>
        </w:rPr>
        <w:t xml:space="preserve"> deep insight into the phenomenon under investigation (</w:t>
      </w:r>
      <w:r w:rsidR="001A7141" w:rsidRPr="002563ED">
        <w:rPr>
          <w:color w:val="000000" w:themeColor="text1"/>
        </w:rPr>
        <w:t xml:space="preserve">Palinkas et al., 2015; </w:t>
      </w:r>
      <w:r w:rsidRPr="002563ED">
        <w:rPr>
          <w:color w:val="000000" w:themeColor="text1"/>
        </w:rPr>
        <w:t xml:space="preserve">Patton, 2015). The sample comprised </w:t>
      </w:r>
      <w:r w:rsidR="00F8366A" w:rsidRPr="002563ED">
        <w:rPr>
          <w:color w:val="000000" w:themeColor="text1"/>
        </w:rPr>
        <w:t>one</w:t>
      </w:r>
      <w:r w:rsidRPr="002563ED">
        <w:rPr>
          <w:color w:val="000000" w:themeColor="text1"/>
        </w:rPr>
        <w:t xml:space="preserve"> parent of children aged </w:t>
      </w:r>
      <w:r w:rsidR="00F8366A" w:rsidRPr="002563ED">
        <w:rPr>
          <w:color w:val="000000" w:themeColor="text1"/>
        </w:rPr>
        <w:t>five to twelve</w:t>
      </w:r>
      <w:r w:rsidRPr="002563ED">
        <w:rPr>
          <w:color w:val="000000" w:themeColor="text1"/>
        </w:rPr>
        <w:t xml:space="preserve"> who made active decisions about technology integration during early childhood and </w:t>
      </w:r>
      <w:r w:rsidR="00F8366A" w:rsidRPr="002563ED">
        <w:rPr>
          <w:color w:val="000000" w:themeColor="text1"/>
        </w:rPr>
        <w:t>two</w:t>
      </w:r>
      <w:r w:rsidRPr="002563ED">
        <w:rPr>
          <w:color w:val="000000" w:themeColor="text1"/>
        </w:rPr>
        <w:t xml:space="preserve"> young professionals aged 18-25 representing varied levels of childhood technology exposure.</w:t>
      </w:r>
      <w:r w:rsidR="00223DFA" w:rsidRPr="002563ED">
        <w:rPr>
          <w:color w:val="000000" w:themeColor="text1"/>
        </w:rPr>
        <w:t xml:space="preserve"> </w:t>
      </w:r>
      <w:r w:rsidRPr="002563ED">
        <w:rPr>
          <w:color w:val="000000" w:themeColor="text1"/>
        </w:rPr>
        <w:t xml:space="preserve">The reduction from the initially planned 15 participants to </w:t>
      </w:r>
      <w:r w:rsidR="00AB4C4C" w:rsidRPr="002563ED">
        <w:rPr>
          <w:color w:val="000000" w:themeColor="text1"/>
        </w:rPr>
        <w:t>3</w:t>
      </w:r>
      <w:r w:rsidRPr="002563ED">
        <w:rPr>
          <w:color w:val="000000" w:themeColor="text1"/>
        </w:rPr>
        <w:t xml:space="preserve"> reflected the point of saturation, as well as pragmatic constraints on time, budget, and access to recruitment. </w:t>
      </w:r>
      <w:r w:rsidR="00F8366A" w:rsidRPr="002563ED">
        <w:rPr>
          <w:color w:val="000000" w:themeColor="text1"/>
        </w:rPr>
        <w:t>This</w:t>
      </w:r>
      <w:r w:rsidRPr="002563ED">
        <w:rPr>
          <w:color w:val="000000" w:themeColor="text1"/>
        </w:rPr>
        <w:t xml:space="preserve"> sample size aligned with IPA recommendations that prioritise depth over breadth, with Smith et al. (2022) suggesting that samples of </w:t>
      </w:r>
      <w:r w:rsidR="00F8366A" w:rsidRPr="002563ED">
        <w:rPr>
          <w:color w:val="000000" w:themeColor="text1"/>
        </w:rPr>
        <w:t>3</w:t>
      </w:r>
      <w:r w:rsidRPr="002563ED">
        <w:rPr>
          <w:color w:val="000000" w:themeColor="text1"/>
        </w:rPr>
        <w:t xml:space="preserve">-10 participants enable detailed idiographic analysis while still identifying convergent and divergent patterns. </w:t>
      </w:r>
    </w:p>
    <w:p w14:paraId="48621D98" w14:textId="77777777" w:rsidR="00F94A1D" w:rsidRPr="002563ED" w:rsidRDefault="00F94A1D" w:rsidP="002C29C0">
      <w:pPr>
        <w:spacing w:line="360" w:lineRule="auto"/>
        <w:jc w:val="both"/>
        <w:rPr>
          <w:color w:val="000000" w:themeColor="text1"/>
        </w:rPr>
      </w:pPr>
    </w:p>
    <w:p w14:paraId="142D115A" w14:textId="1E5F0642" w:rsidR="00223DFA" w:rsidRPr="002563ED" w:rsidRDefault="00F94A1D" w:rsidP="002C29C0">
      <w:pPr>
        <w:spacing w:line="360" w:lineRule="auto"/>
        <w:jc w:val="both"/>
        <w:rPr>
          <w:color w:val="000000" w:themeColor="text1"/>
        </w:rPr>
      </w:pPr>
      <w:r w:rsidRPr="002563ED">
        <w:rPr>
          <w:color w:val="000000" w:themeColor="text1"/>
        </w:rPr>
        <w:t>Purposive sampling enabled maximum variation within groups (Saunders &amp; Townsend, 2016), capturing diversity in socioeconomic backgrounds, childhood technology exposure levels, and professional sectors. This variation proved essential for understanding how different contexts and circumstances shape the relationship between early technology experiences and workplace outcomes. Young professional participants represented varying degrees of childhood technology exposure, from those raised with minimal digital access to those immersed in technology from infancy</w:t>
      </w:r>
      <w:r w:rsidR="00223DFA" w:rsidRPr="002563ED">
        <w:rPr>
          <w:color w:val="000000" w:themeColor="text1"/>
        </w:rPr>
        <w:t>. The parent participant introduced technology to each of their neurodiverse children to varying degrees.</w:t>
      </w:r>
    </w:p>
    <w:p w14:paraId="26E2A3EF" w14:textId="77777777" w:rsidR="00F94A1D" w:rsidRPr="002563ED" w:rsidRDefault="00F94A1D" w:rsidP="002C29C0">
      <w:pPr>
        <w:spacing w:line="360" w:lineRule="auto"/>
        <w:jc w:val="both"/>
        <w:rPr>
          <w:color w:val="000000" w:themeColor="text1"/>
        </w:rPr>
      </w:pPr>
    </w:p>
    <w:p w14:paraId="2C140B89" w14:textId="29BE3A9E" w:rsidR="00F94A1D" w:rsidRPr="002563ED" w:rsidRDefault="00F94A1D" w:rsidP="002C29C0">
      <w:pPr>
        <w:spacing w:line="360" w:lineRule="auto"/>
        <w:jc w:val="both"/>
        <w:rPr>
          <w:color w:val="000000" w:themeColor="text1"/>
        </w:rPr>
      </w:pPr>
      <w:r w:rsidRPr="002563ED">
        <w:rPr>
          <w:color w:val="000000" w:themeColor="text1"/>
        </w:rPr>
        <w:t xml:space="preserve">Recruitment occurred through local organisations and supplementary snowball sampling (Noy, 2008). This approach proved effective for recruiting young professionals, where workers of </w:t>
      </w:r>
      <w:r w:rsidRPr="002563ED">
        <w:rPr>
          <w:color w:val="000000" w:themeColor="text1"/>
        </w:rPr>
        <w:lastRenderedPageBreak/>
        <w:t>similar ages were familiar with one another. Informed consent was obtained through recorded verbal consent which adhered to the University of Wales Trinity Saint David's ethical guidelines</w:t>
      </w:r>
      <w:r w:rsidR="00223DFA" w:rsidRPr="002563ED">
        <w:rPr>
          <w:color w:val="000000" w:themeColor="text1"/>
        </w:rPr>
        <w:t>.</w:t>
      </w:r>
    </w:p>
    <w:p w14:paraId="41035E75" w14:textId="77777777" w:rsidR="006E6CA5" w:rsidRPr="002563ED" w:rsidRDefault="006E6CA5" w:rsidP="002C29C0">
      <w:pPr>
        <w:spacing w:line="360" w:lineRule="auto"/>
        <w:jc w:val="both"/>
        <w:rPr>
          <w:color w:val="000000" w:themeColor="text1"/>
        </w:rPr>
      </w:pPr>
    </w:p>
    <w:p w14:paraId="180B4FFA" w14:textId="19AEB890" w:rsidR="00F94A1D" w:rsidRPr="002563ED" w:rsidRDefault="00F94A1D" w:rsidP="00EE4C74">
      <w:pPr>
        <w:pStyle w:val="Heading2"/>
        <w:numPr>
          <w:ilvl w:val="1"/>
          <w:numId w:val="34"/>
        </w:numPr>
        <w:rPr>
          <w:color w:val="000000" w:themeColor="text1"/>
        </w:rPr>
      </w:pPr>
      <w:bookmarkStart w:id="33" w:name="_Toc227484315"/>
      <w:r w:rsidRPr="002563ED">
        <w:rPr>
          <w:color w:val="000000" w:themeColor="text1"/>
        </w:rPr>
        <w:t>Data Collection</w:t>
      </w:r>
      <w:r w:rsidR="00362438" w:rsidRPr="002563ED">
        <w:rPr>
          <w:color w:val="000000" w:themeColor="text1"/>
        </w:rPr>
        <w:t xml:space="preserve"> and Epoché</w:t>
      </w:r>
      <w:bookmarkEnd w:id="33"/>
    </w:p>
    <w:p w14:paraId="1C6ABFA2" w14:textId="75A28395" w:rsidR="00F94A1D" w:rsidRPr="002563ED" w:rsidRDefault="00F94A1D" w:rsidP="002C29C0">
      <w:pPr>
        <w:spacing w:line="360" w:lineRule="auto"/>
        <w:jc w:val="both"/>
        <w:rPr>
          <w:color w:val="000000" w:themeColor="text1"/>
        </w:rPr>
      </w:pPr>
      <w:r w:rsidRPr="002563ED">
        <w:rPr>
          <w:color w:val="000000" w:themeColor="text1"/>
        </w:rPr>
        <w:t xml:space="preserve">Data collection occurred through </w:t>
      </w:r>
      <w:r w:rsidR="00AF2C89" w:rsidRPr="002563ED">
        <w:rPr>
          <w:color w:val="000000" w:themeColor="text1"/>
        </w:rPr>
        <w:t xml:space="preserve">online </w:t>
      </w:r>
      <w:r w:rsidRPr="002563ED">
        <w:rPr>
          <w:color w:val="000000" w:themeColor="text1"/>
        </w:rPr>
        <w:t>semi-structured interviews lasting approximately 30-40 minutes each. This interview format provided structure through predetermined questions while maintaining flexibility to explore participant-introduced themes and follow unexpected but relevant directions (Kallio et al., 2016). Semi-structured interviews proved particularly appropriate for phenomenological research, enabling participants to describe their experiences in their own words while ensuring coverage of key topics relevant to the research questions (Brinkmann &amp; Kvale, 2018).</w:t>
      </w:r>
    </w:p>
    <w:p w14:paraId="464671A2" w14:textId="77777777" w:rsidR="00F94A1D" w:rsidRPr="002563ED" w:rsidRDefault="00F94A1D" w:rsidP="002C29C0">
      <w:pPr>
        <w:spacing w:line="360" w:lineRule="auto"/>
        <w:jc w:val="both"/>
        <w:rPr>
          <w:color w:val="000000" w:themeColor="text1"/>
        </w:rPr>
      </w:pPr>
    </w:p>
    <w:p w14:paraId="5A683932" w14:textId="30FDBC42" w:rsidR="00F94A1D" w:rsidRPr="002563ED" w:rsidRDefault="00F94A1D" w:rsidP="002C29C0">
      <w:pPr>
        <w:spacing w:line="360" w:lineRule="auto"/>
        <w:jc w:val="both"/>
        <w:rPr>
          <w:color w:val="000000" w:themeColor="text1"/>
        </w:rPr>
      </w:pPr>
      <w:r w:rsidRPr="002563ED">
        <w:rPr>
          <w:color w:val="000000" w:themeColor="text1"/>
        </w:rPr>
        <w:t>Two interview guides were developed for each stakeholder group, tailored to their specific perspectives and experiences while maintaining thematic consistency across groups. The parent interview guide explored decision-making processes regarding childhood technology use, observed developmental outcomes, perceived benefits and concerns, and recommendations for other families. The young professional guide invited participants to reflect on their childhood technology experiences, perceived influences on their skill development and workplace confidence, and retrospective evaluations of how technology shaped their professional trajectories.</w:t>
      </w:r>
    </w:p>
    <w:p w14:paraId="476568AE" w14:textId="14482D37" w:rsidR="00AF2C89" w:rsidRPr="002563ED" w:rsidRDefault="00AF2C89" w:rsidP="002C29C0">
      <w:pPr>
        <w:pStyle w:val="font-claude-response-body"/>
        <w:spacing w:line="360" w:lineRule="auto"/>
        <w:jc w:val="both"/>
        <w:rPr>
          <w:color w:val="000000" w:themeColor="text1"/>
        </w:rPr>
      </w:pPr>
      <w:r w:rsidRPr="002563ED">
        <w:rPr>
          <w:color w:val="000000" w:themeColor="text1"/>
        </w:rPr>
        <w:t>Bracketing was achieved through three position statements created prior to data collection, documenting the researcher's assumptions, values, and expectations in relation to the phenomenon under investigation (Tufford &amp; Newman, 2012). These statements identified three preconceptions: a personal belief that meaningful early technology engagement produces developmental benefit; an assumption that unmediated screen time is inherently harmful; and a structural bias toward formal education as the primary mechanism of digital skill transfer. Writing these statements before any data was collected required the researcher to treat their own prior experience not as analytical insight but as a potential source of distortion requiring conscious suspension — the process Moustakas (1994) calls ‘epoché’.</w:t>
      </w:r>
    </w:p>
    <w:p w14:paraId="186DAF49" w14:textId="691EBCE4" w:rsidR="00AF2C89" w:rsidRPr="002563ED" w:rsidRDefault="00AF2C89" w:rsidP="002C29C0">
      <w:pPr>
        <w:pStyle w:val="font-claude-response-body"/>
        <w:spacing w:line="360" w:lineRule="auto"/>
        <w:jc w:val="both"/>
        <w:rPr>
          <w:color w:val="000000" w:themeColor="text1"/>
        </w:rPr>
      </w:pPr>
      <w:r w:rsidRPr="002563ED">
        <w:rPr>
          <w:color w:val="000000" w:themeColor="text1"/>
        </w:rPr>
        <w:lastRenderedPageBreak/>
        <w:t xml:space="preserve">Iterative reflexivity extended this process across the full duration of data collection and analysis. Before each interview, the position statements were re-read and a brief reflective entry was recorded noting any shift in assumptions or any anticipation about what a particular participant might say (Finlay, 2022). During interviews, open-ended questioning and active listening were employed specifically to prevent position statement assumptions from directing participant responses (Bevan, 2014). </w:t>
      </w:r>
    </w:p>
    <w:p w14:paraId="6B671FA9" w14:textId="10AD589E" w:rsidR="00F94A1D" w:rsidRPr="002563ED" w:rsidRDefault="00AF2C89" w:rsidP="002C29C0">
      <w:pPr>
        <w:pStyle w:val="font-claude-response-body"/>
        <w:spacing w:line="360" w:lineRule="auto"/>
        <w:jc w:val="both"/>
        <w:rPr>
          <w:color w:val="000000" w:themeColor="text1"/>
        </w:rPr>
      </w:pPr>
      <w:r w:rsidRPr="002563ED">
        <w:rPr>
          <w:color w:val="000000" w:themeColor="text1"/>
        </w:rPr>
        <w:t xml:space="preserve">Throughout the analysis, the position statements functioned as a reflexive anchor. When assigning codes or grouping themes, the researcher checked emerging interpretations against the documented assumptions to assess whether a pattern reflected the data or the position statements (Starks &amp; Trinidad, 2007). This iterative cycle — position statement, data encounter, reflexive memo, analytical check — ensured that the superordinate themes identified in Chapter 4 arose from participant experience rather than from the researcher's prior theoretical </w:t>
      </w:r>
      <w:r w:rsidR="00E5553A" w:rsidRPr="002563ED">
        <w:rPr>
          <w:color w:val="000000" w:themeColor="text1"/>
        </w:rPr>
        <w:t>assumptions</w:t>
      </w:r>
      <w:r w:rsidRPr="002563ED">
        <w:rPr>
          <w:color w:val="000000" w:themeColor="text1"/>
        </w:rPr>
        <w:t>, upholding the confirmability criteri</w:t>
      </w:r>
      <w:r w:rsidR="00E5553A" w:rsidRPr="002563ED">
        <w:rPr>
          <w:color w:val="000000" w:themeColor="text1"/>
        </w:rPr>
        <w:t>a</w:t>
      </w:r>
      <w:r w:rsidRPr="002563ED">
        <w:rPr>
          <w:color w:val="000000" w:themeColor="text1"/>
        </w:rPr>
        <w:t xml:space="preserve"> of Lincoln and Guba's (1985) trustworthiness framework.</w:t>
      </w:r>
    </w:p>
    <w:p w14:paraId="40825455" w14:textId="77777777" w:rsidR="00620701" w:rsidRPr="002563ED" w:rsidRDefault="00620701" w:rsidP="002C29C0">
      <w:pPr>
        <w:pStyle w:val="font-claude-response-body"/>
        <w:spacing w:line="360" w:lineRule="auto"/>
        <w:jc w:val="both"/>
        <w:rPr>
          <w:color w:val="000000" w:themeColor="text1"/>
        </w:rPr>
      </w:pPr>
    </w:p>
    <w:p w14:paraId="3BBB65AE" w14:textId="7B1B2B31" w:rsidR="00F94A1D" w:rsidRPr="002563ED" w:rsidRDefault="00F94A1D" w:rsidP="00EE4C74">
      <w:pPr>
        <w:pStyle w:val="Heading2"/>
        <w:numPr>
          <w:ilvl w:val="1"/>
          <w:numId w:val="34"/>
        </w:numPr>
        <w:rPr>
          <w:color w:val="000000" w:themeColor="text1"/>
        </w:rPr>
      </w:pPr>
      <w:bookmarkStart w:id="34" w:name="_Toc227484316"/>
      <w:r w:rsidRPr="002563ED">
        <w:rPr>
          <w:color w:val="000000" w:themeColor="text1"/>
        </w:rPr>
        <w:t>Data Analysis</w:t>
      </w:r>
      <w:bookmarkEnd w:id="34"/>
    </w:p>
    <w:p w14:paraId="1F389210" w14:textId="77777777" w:rsidR="00F94A1D" w:rsidRPr="002563ED" w:rsidRDefault="00F94A1D" w:rsidP="002C29C0">
      <w:pPr>
        <w:pStyle w:val="NormalWeb"/>
        <w:spacing w:line="360" w:lineRule="auto"/>
        <w:jc w:val="both"/>
        <w:rPr>
          <w:color w:val="000000" w:themeColor="text1"/>
        </w:rPr>
      </w:pPr>
      <w:r w:rsidRPr="002563ED">
        <w:rPr>
          <w:color w:val="000000" w:themeColor="text1"/>
        </w:rPr>
        <w:t>To improve the accuracy and efficiency of data analysis, an artificial intelligence tool was used to sort and group the raw interview data before review. This reduced the likelihood of patterns being missed during the initial organisation of responses due to human error. All groupings produced by the AI were then checked and adjusted by the researcher to ensure the final themes accurately reflected the participant responses.</w:t>
      </w:r>
    </w:p>
    <w:p w14:paraId="58483F16" w14:textId="77777777" w:rsidR="00F94A1D" w:rsidRPr="002563ED" w:rsidRDefault="00F94A1D" w:rsidP="002C29C0">
      <w:pPr>
        <w:spacing w:line="360" w:lineRule="auto"/>
        <w:jc w:val="both"/>
        <w:rPr>
          <w:color w:val="000000" w:themeColor="text1"/>
        </w:rPr>
      </w:pPr>
      <w:r w:rsidRPr="002563ED">
        <w:rPr>
          <w:color w:val="000000" w:themeColor="text1"/>
        </w:rPr>
        <w:t>Data analysis employed a dual analytical framework combining thematic analysis with phenomenological analysis methods. This combination enabled both the identification of patterns across participants and stakeholder groups while preserving the depth and essence of individual lived experiences central to phenomenological inquiry.</w:t>
      </w:r>
    </w:p>
    <w:p w14:paraId="66A90F93" w14:textId="363F7EC2" w:rsidR="00F94A1D" w:rsidRPr="002563ED" w:rsidRDefault="00F94A1D" w:rsidP="002C29C0">
      <w:pPr>
        <w:spacing w:line="360" w:lineRule="auto"/>
        <w:jc w:val="both"/>
        <w:rPr>
          <w:color w:val="000000" w:themeColor="text1"/>
        </w:rPr>
      </w:pPr>
      <w:r w:rsidRPr="002563ED">
        <w:rPr>
          <w:color w:val="000000" w:themeColor="text1"/>
        </w:rPr>
        <w:t xml:space="preserve">Following the transcription of audio recordings, the analysis began with Moustakas's (1994) phenomenological reduction. </w:t>
      </w:r>
    </w:p>
    <w:p w14:paraId="7EC75968" w14:textId="77777777" w:rsidR="00F94A1D" w:rsidRPr="002563ED" w:rsidRDefault="00F94A1D" w:rsidP="002C29C0">
      <w:pPr>
        <w:spacing w:line="360" w:lineRule="auto"/>
        <w:jc w:val="both"/>
        <w:rPr>
          <w:color w:val="000000" w:themeColor="text1"/>
        </w:rPr>
      </w:pPr>
    </w:p>
    <w:p w14:paraId="40BDF746" w14:textId="35F83033" w:rsidR="00F94A1D" w:rsidRPr="002563ED" w:rsidRDefault="00F94A1D" w:rsidP="002C29C0">
      <w:pPr>
        <w:spacing w:line="360" w:lineRule="auto"/>
        <w:jc w:val="both"/>
        <w:rPr>
          <w:color w:val="000000" w:themeColor="text1"/>
        </w:rPr>
      </w:pPr>
      <w:r w:rsidRPr="002563ED">
        <w:rPr>
          <w:color w:val="000000" w:themeColor="text1"/>
        </w:rPr>
        <w:t xml:space="preserve">The first phase involved immersive, repeated reading of each transcript to develop familiarity with participants' experiences and identify preliminary patterns (Smith et al., 2022). During </w:t>
      </w:r>
      <w:r w:rsidRPr="002563ED">
        <w:rPr>
          <w:color w:val="000000" w:themeColor="text1"/>
        </w:rPr>
        <w:lastRenderedPageBreak/>
        <w:t xml:space="preserve">this phase, </w:t>
      </w:r>
      <w:r w:rsidR="00C37163" w:rsidRPr="002563ED">
        <w:rPr>
          <w:color w:val="000000" w:themeColor="text1"/>
        </w:rPr>
        <w:t>colour</w:t>
      </w:r>
      <w:r w:rsidRPr="002563ED">
        <w:rPr>
          <w:color w:val="000000" w:themeColor="text1"/>
        </w:rPr>
        <w:t xml:space="preserve">-coding with </w:t>
      </w:r>
      <w:r w:rsidR="00AE7249" w:rsidRPr="002563ED">
        <w:rPr>
          <w:color w:val="000000" w:themeColor="text1"/>
        </w:rPr>
        <w:t>cell-highlighting</w:t>
      </w:r>
      <w:r w:rsidRPr="002563ED">
        <w:rPr>
          <w:color w:val="000000" w:themeColor="text1"/>
        </w:rPr>
        <w:t xml:space="preserve"> on </w:t>
      </w:r>
      <w:r w:rsidR="00C37163" w:rsidRPr="002563ED">
        <w:rPr>
          <w:color w:val="000000" w:themeColor="text1"/>
        </w:rPr>
        <w:t>digital</w:t>
      </w:r>
      <w:r w:rsidRPr="002563ED">
        <w:rPr>
          <w:color w:val="000000" w:themeColor="text1"/>
        </w:rPr>
        <w:t xml:space="preserve"> transcripts enabled close engagement with the data. Different coloured </w:t>
      </w:r>
      <w:r w:rsidR="00AE7249" w:rsidRPr="002563ED">
        <w:rPr>
          <w:color w:val="000000" w:themeColor="text1"/>
        </w:rPr>
        <w:t>cells</w:t>
      </w:r>
      <w:r w:rsidRPr="002563ED">
        <w:rPr>
          <w:color w:val="000000" w:themeColor="text1"/>
        </w:rPr>
        <w:t xml:space="preserve"> distinguished between descriptive codes (what participants said), interpretative codes (what this might mean), and conceptual codes (connections to broader themes). This manual approach, while more time-intensive than </w:t>
      </w:r>
      <w:r w:rsidR="00C37163" w:rsidRPr="002563ED">
        <w:rPr>
          <w:color w:val="000000" w:themeColor="text1"/>
        </w:rPr>
        <w:t>analog theme-discovery</w:t>
      </w:r>
      <w:r w:rsidRPr="002563ED">
        <w:rPr>
          <w:color w:val="000000" w:themeColor="text1"/>
        </w:rPr>
        <w:t>, facilitated deep engagement with the data and encouraged analytical thinking through the physical, tactile process of working with texts (Saldaña, 2021).</w:t>
      </w:r>
    </w:p>
    <w:p w14:paraId="52C40215" w14:textId="77777777" w:rsidR="00F94A1D" w:rsidRPr="002563ED" w:rsidRDefault="00F94A1D" w:rsidP="002C29C0">
      <w:pPr>
        <w:spacing w:line="360" w:lineRule="auto"/>
        <w:jc w:val="both"/>
        <w:rPr>
          <w:color w:val="000000" w:themeColor="text1"/>
        </w:rPr>
      </w:pPr>
    </w:p>
    <w:p w14:paraId="4490CEAC" w14:textId="38BF0A56" w:rsidR="00F94A1D" w:rsidRPr="002563ED" w:rsidRDefault="00F94A1D" w:rsidP="002C29C0">
      <w:pPr>
        <w:spacing w:line="360" w:lineRule="auto"/>
        <w:jc w:val="both"/>
        <w:rPr>
          <w:color w:val="000000" w:themeColor="text1"/>
        </w:rPr>
      </w:pPr>
      <w:r w:rsidRPr="002563ED">
        <w:rPr>
          <w:color w:val="000000" w:themeColor="text1"/>
        </w:rPr>
        <w:t xml:space="preserve">Following IPA's idiographic approach, each transcript was analysed individually before cross-case analysis started (Smith et al., 2022). For each transcript, initial noting captured descriptive comments (describing content), linguistic comments (exploring language use), and conceptual comments (interrogating meaning). These notes were written in </w:t>
      </w:r>
      <w:r w:rsidR="00F31B4C" w:rsidRPr="002563ED">
        <w:rPr>
          <w:color w:val="000000" w:themeColor="text1"/>
        </w:rPr>
        <w:t>cells</w:t>
      </w:r>
      <w:r w:rsidRPr="002563ED">
        <w:rPr>
          <w:color w:val="000000" w:themeColor="text1"/>
        </w:rPr>
        <w:t xml:space="preserve"> of </w:t>
      </w:r>
      <w:r w:rsidR="00F31B4C" w:rsidRPr="002563ED">
        <w:rPr>
          <w:color w:val="000000" w:themeColor="text1"/>
        </w:rPr>
        <w:t>an interpretation table</w:t>
      </w:r>
      <w:r w:rsidRPr="002563ED">
        <w:rPr>
          <w:color w:val="000000" w:themeColor="text1"/>
        </w:rPr>
        <w:t xml:space="preserve">, creating a detailed record of emerging interpretations. </w:t>
      </w:r>
      <w:r w:rsidR="00261CBC" w:rsidRPr="002563ED">
        <w:rPr>
          <w:color w:val="000000" w:themeColor="text1"/>
        </w:rPr>
        <w:t>E</w:t>
      </w:r>
      <w:r w:rsidRPr="002563ED">
        <w:rPr>
          <w:color w:val="000000" w:themeColor="text1"/>
        </w:rPr>
        <w:t>mergent themes were identified by transforming initial notes into concise phrases that captured the psychological essence. These themes were listed separately for each participant, creating an initial thematic framework grounded in individual experiences.</w:t>
      </w:r>
    </w:p>
    <w:p w14:paraId="4317BED8" w14:textId="77777777" w:rsidR="00EF6437" w:rsidRPr="002563ED" w:rsidRDefault="00EF6437" w:rsidP="002C29C0">
      <w:pPr>
        <w:pStyle w:val="NormalWeb"/>
        <w:spacing w:line="360" w:lineRule="auto"/>
        <w:jc w:val="both"/>
        <w:rPr>
          <w:color w:val="000000" w:themeColor="text1"/>
        </w:rPr>
      </w:pPr>
      <w:r w:rsidRPr="002563ED">
        <w:rPr>
          <w:color w:val="000000" w:themeColor="text1"/>
        </w:rPr>
        <w:t>Thematic analysis was conducted following Braun and Clarke's (2019; 2021) reflexive framework, applied in four sequential stages that moved from individual participant accounts toward superordinate conclusions across the dataset.</w:t>
      </w:r>
    </w:p>
    <w:p w14:paraId="15172199" w14:textId="6730525A" w:rsidR="00EF6437" w:rsidRPr="002563ED" w:rsidRDefault="00EF6437" w:rsidP="002C29C0">
      <w:pPr>
        <w:pStyle w:val="NormalWeb"/>
        <w:spacing w:line="360" w:lineRule="auto"/>
        <w:jc w:val="both"/>
        <w:rPr>
          <w:color w:val="000000" w:themeColor="text1"/>
        </w:rPr>
      </w:pPr>
      <w:r w:rsidRPr="002563ED">
        <w:rPr>
          <w:color w:val="000000" w:themeColor="text1"/>
        </w:rPr>
        <w:t>Quotes and passages in which a new or distinct theme appeared were identified and marked directly on the transcript. This was not a search for confirming instances of anticipated themes but an inductive process in which the data itself indicated where something analytically significant was occurring (Braun &amp; Clarke, 2019). Quotes sharing a common experiential or conceptual thread were grouped together under a subordinate theme, capturing what the grouped quotes collectively expressed (Smith et al., 2022). This produced a structured record in which each subordinate theme was populated by supporting quotes drawn directly from participant language, enabling the analytical reasoning behind each theme to be traced back to the raw data (Saldaña, 2021).</w:t>
      </w:r>
      <w:r w:rsidR="006349B6" w:rsidRPr="002563ED">
        <w:rPr>
          <w:color w:val="000000" w:themeColor="text1"/>
        </w:rPr>
        <w:t xml:space="preserve"> </w:t>
      </w:r>
      <w:r w:rsidRPr="002563ED">
        <w:rPr>
          <w:color w:val="000000" w:themeColor="text1"/>
        </w:rPr>
        <w:t xml:space="preserve">Then, the subordinate themes within each grouping were examined together to identify the overarching conclusion that the subordinate themes supported. </w:t>
      </w:r>
    </w:p>
    <w:p w14:paraId="4F7E1A75" w14:textId="77777777" w:rsidR="00A42590" w:rsidRPr="002563ED" w:rsidRDefault="00F94A1D" w:rsidP="002C29C0">
      <w:pPr>
        <w:spacing w:line="360" w:lineRule="auto"/>
        <w:jc w:val="both"/>
        <w:rPr>
          <w:color w:val="000000" w:themeColor="text1"/>
        </w:rPr>
      </w:pPr>
      <w:r w:rsidRPr="002563ED">
        <w:rPr>
          <w:color w:val="000000" w:themeColor="text1"/>
        </w:rPr>
        <w:t xml:space="preserve">Moustakas's (1994) modification of the van Kaam method provided systematic steps for phenomenological analysis: </w:t>
      </w:r>
    </w:p>
    <w:p w14:paraId="2C2201BA" w14:textId="7F109ECA" w:rsidR="003A00B1" w:rsidRPr="002563ED" w:rsidRDefault="003A00B1" w:rsidP="002C29C0">
      <w:pPr>
        <w:spacing w:line="360" w:lineRule="auto"/>
        <w:jc w:val="both"/>
        <w:rPr>
          <w:color w:val="000000" w:themeColor="text1"/>
        </w:rPr>
      </w:pPr>
    </w:p>
    <w:p w14:paraId="2F53A645" w14:textId="6A312941" w:rsidR="00EE4C74" w:rsidRPr="009824B1" w:rsidRDefault="00EE4C74" w:rsidP="002C29C0">
      <w:pPr>
        <w:spacing w:line="360" w:lineRule="auto"/>
        <w:jc w:val="both"/>
        <w:rPr>
          <w:b/>
          <w:bCs/>
          <w:i/>
          <w:iCs/>
          <w:color w:val="000000" w:themeColor="text1"/>
        </w:rPr>
      </w:pPr>
      <w:r w:rsidRPr="002563ED">
        <w:rPr>
          <w:noProof/>
          <w:color w:val="000000" w:themeColor="text1"/>
          <w14:ligatures w14:val="standardContextual"/>
        </w:rPr>
        <w:lastRenderedPageBreak/>
        <w:drawing>
          <wp:anchor distT="0" distB="0" distL="114300" distR="114300" simplePos="0" relativeHeight="251666432" behindDoc="1" locked="0" layoutInCell="1" allowOverlap="1" wp14:anchorId="600DDDF2" wp14:editId="7AF4195E">
            <wp:simplePos x="0" y="0"/>
            <wp:positionH relativeFrom="column">
              <wp:posOffset>1733550</wp:posOffset>
            </wp:positionH>
            <wp:positionV relativeFrom="paragraph">
              <wp:posOffset>453390</wp:posOffset>
            </wp:positionV>
            <wp:extent cx="2209800" cy="5626100"/>
            <wp:effectExtent l="0" t="0" r="0" b="0"/>
            <wp:wrapTopAndBottom/>
            <wp:docPr id="204636385" name="Picture 5"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36385" name="Picture 5" descr="A close-up of a dia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209800" cy="5626100"/>
                    </a:xfrm>
                    <a:prstGeom prst="rect">
                      <a:avLst/>
                    </a:prstGeom>
                  </pic:spPr>
                </pic:pic>
              </a:graphicData>
            </a:graphic>
            <wp14:sizeRelH relativeFrom="page">
              <wp14:pctWidth>0</wp14:pctWidth>
            </wp14:sizeRelH>
            <wp14:sizeRelV relativeFrom="page">
              <wp14:pctHeight>0</wp14:pctHeight>
            </wp14:sizeRelV>
          </wp:anchor>
        </w:drawing>
      </w:r>
      <w:r w:rsidR="003A00B1" w:rsidRPr="002563ED">
        <w:rPr>
          <w:b/>
          <w:bCs/>
          <w:color w:val="000000" w:themeColor="text1"/>
        </w:rPr>
        <w:t>Figure 2.</w:t>
      </w:r>
      <w:r w:rsidR="003A00B1" w:rsidRPr="002563ED">
        <w:rPr>
          <w:color w:val="000000" w:themeColor="text1"/>
        </w:rPr>
        <w:t xml:space="preserve"> </w:t>
      </w:r>
      <w:r w:rsidR="003A00B1" w:rsidRPr="009824B1">
        <w:rPr>
          <w:b/>
          <w:bCs/>
          <w:i/>
          <w:iCs/>
          <w:color w:val="000000" w:themeColor="text1"/>
        </w:rPr>
        <w:t>van Kaam method according to Moustakas (1994)</w:t>
      </w:r>
    </w:p>
    <w:p w14:paraId="1241A14B" w14:textId="77777777" w:rsidR="00EE4C74" w:rsidRPr="002563ED" w:rsidRDefault="00EE4C74" w:rsidP="002C29C0">
      <w:pPr>
        <w:spacing w:line="360" w:lineRule="auto"/>
        <w:jc w:val="both"/>
        <w:rPr>
          <w:b/>
          <w:bCs/>
          <w:color w:val="000000" w:themeColor="text1"/>
        </w:rPr>
      </w:pPr>
    </w:p>
    <w:p w14:paraId="6C8839B7" w14:textId="77777777" w:rsidR="00EE4C74" w:rsidRPr="002563ED" w:rsidRDefault="00EE4C74" w:rsidP="002C29C0">
      <w:pPr>
        <w:spacing w:line="360" w:lineRule="auto"/>
        <w:jc w:val="both"/>
        <w:rPr>
          <w:color w:val="000000" w:themeColor="text1"/>
        </w:rPr>
      </w:pPr>
    </w:p>
    <w:p w14:paraId="0DD8F7F7" w14:textId="3A7C9DBB" w:rsidR="00F94A1D" w:rsidRPr="002563ED" w:rsidRDefault="00F94A1D" w:rsidP="00EE4C74">
      <w:pPr>
        <w:pStyle w:val="Heading2"/>
        <w:numPr>
          <w:ilvl w:val="1"/>
          <w:numId w:val="34"/>
        </w:numPr>
        <w:rPr>
          <w:color w:val="000000" w:themeColor="text1"/>
        </w:rPr>
      </w:pPr>
      <w:bookmarkStart w:id="35" w:name="_Toc227484317"/>
      <w:r w:rsidRPr="002563ED">
        <w:rPr>
          <w:color w:val="000000" w:themeColor="text1"/>
        </w:rPr>
        <w:t>Reliability and Limitations</w:t>
      </w:r>
      <w:bookmarkEnd w:id="35"/>
    </w:p>
    <w:p w14:paraId="32F21936" w14:textId="2AC42163" w:rsidR="00F94A1D" w:rsidRPr="002563ED" w:rsidRDefault="00F94A1D" w:rsidP="002C29C0">
      <w:pPr>
        <w:spacing w:line="360" w:lineRule="auto"/>
        <w:jc w:val="both"/>
        <w:rPr>
          <w:color w:val="000000" w:themeColor="text1"/>
        </w:rPr>
      </w:pPr>
      <w:r w:rsidRPr="002563ED">
        <w:rPr>
          <w:color w:val="000000" w:themeColor="text1"/>
        </w:rPr>
        <w:t xml:space="preserve">To ensure quality research, reference was made to reliability criteria appropriate for qualitative phenomenological research. Lincoln and Guba's (1985) framework, updated by Nowell et al. (2017), suggests four criteria: credibility, transferability, dependability, and confirmability. Credibility was enhanced through multiple data sources (two stakeholder groups), systematic analytical procedures, and member checking where feasible. Transferability was supported by a substantial description of the context, participants, and procedures, enabling readers to assess its relevance to other settings. Dependability was established through detailed documentation of methodological decisions and analytical processes. Confirmability was pursued through </w:t>
      </w:r>
      <w:r w:rsidRPr="002563ED">
        <w:rPr>
          <w:color w:val="000000" w:themeColor="text1"/>
        </w:rPr>
        <w:lastRenderedPageBreak/>
        <w:t>reflexive practices and audit trails documenting the research journey from data collection through interpretation.</w:t>
      </w:r>
    </w:p>
    <w:p w14:paraId="05BF8FB4" w14:textId="77777777" w:rsidR="00197163" w:rsidRPr="002563ED" w:rsidRDefault="00197163" w:rsidP="002C29C0">
      <w:pPr>
        <w:spacing w:line="360" w:lineRule="auto"/>
        <w:jc w:val="both"/>
        <w:rPr>
          <w:color w:val="000000" w:themeColor="text1"/>
        </w:rPr>
      </w:pPr>
    </w:p>
    <w:p w14:paraId="0CBE0DE1" w14:textId="1FAC23D4" w:rsidR="00F94A1D" w:rsidRPr="002563ED" w:rsidRDefault="00F94A1D" w:rsidP="002C29C0">
      <w:pPr>
        <w:spacing w:line="360" w:lineRule="auto"/>
        <w:jc w:val="both"/>
        <w:rPr>
          <w:color w:val="000000" w:themeColor="text1"/>
        </w:rPr>
      </w:pPr>
      <w:r w:rsidRPr="002563ED">
        <w:rPr>
          <w:color w:val="000000" w:themeColor="text1"/>
        </w:rPr>
        <w:t xml:space="preserve">Several limitations constrained the research. The sample size of </w:t>
      </w:r>
      <w:r w:rsidR="00B47572" w:rsidRPr="002563ED">
        <w:rPr>
          <w:color w:val="000000" w:themeColor="text1"/>
        </w:rPr>
        <w:t>3</w:t>
      </w:r>
      <w:r w:rsidRPr="002563ED">
        <w:rPr>
          <w:color w:val="000000" w:themeColor="text1"/>
        </w:rPr>
        <w:t xml:space="preserve"> participants, while appropriate for phenomenological inquiry, limited the generalisability of findings. The study captured perceptions at a single time point rather than tracking developmental trajectories longitudinally, and relied on retrospective recall, which may be subject to memory bias. Self-selection bias posed risks, as participants interested in technology topics might not accurately reflect the broader population. The study's geographic focus on Wales and England may limit transferability to other cultural and educational contexts. Additionally, the rapid evolution of technology means findings reflect specific technologies and may not apply to future innovations.</w:t>
      </w:r>
    </w:p>
    <w:p w14:paraId="72271B5F" w14:textId="77777777" w:rsidR="00F94A1D" w:rsidRPr="002563ED" w:rsidRDefault="00F94A1D" w:rsidP="002C29C0">
      <w:pPr>
        <w:spacing w:line="360" w:lineRule="auto"/>
        <w:jc w:val="both"/>
        <w:rPr>
          <w:color w:val="000000" w:themeColor="text1"/>
        </w:rPr>
      </w:pPr>
    </w:p>
    <w:p w14:paraId="3A5B1A18" w14:textId="4852A7AF" w:rsidR="00177895" w:rsidRPr="002563ED" w:rsidRDefault="00F94A1D" w:rsidP="002C29C0">
      <w:pPr>
        <w:spacing w:line="360" w:lineRule="auto"/>
        <w:jc w:val="both"/>
        <w:rPr>
          <w:color w:val="000000" w:themeColor="text1"/>
        </w:rPr>
      </w:pPr>
      <w:r w:rsidRPr="002563ED">
        <w:rPr>
          <w:color w:val="000000" w:themeColor="text1"/>
        </w:rPr>
        <w:t>Reliance on interview data alone, without observational or documentary evidence, meant the study captured perceptions rather than objective behavioural measures. Young professionals' retrospective accounts of childhood technology exposure depended on memory, which research shows can be reconstructed over time (Schacter &amp; Addis, 2020). These limitations were acknowledged throughout the research process, informing appropriate claims and recommendations.</w:t>
      </w:r>
    </w:p>
    <w:p w14:paraId="37D2B02E" w14:textId="77777777" w:rsidR="00127188" w:rsidRPr="002563ED" w:rsidRDefault="00127188" w:rsidP="002C29C0">
      <w:pPr>
        <w:spacing w:line="360" w:lineRule="auto"/>
        <w:jc w:val="both"/>
        <w:rPr>
          <w:color w:val="000000" w:themeColor="text1"/>
        </w:rPr>
      </w:pPr>
    </w:p>
    <w:p w14:paraId="45A93B71" w14:textId="3B99C9AF" w:rsidR="00D44297" w:rsidRPr="002563ED" w:rsidRDefault="00127188" w:rsidP="00EE4C74">
      <w:pPr>
        <w:pStyle w:val="Heading2"/>
        <w:numPr>
          <w:ilvl w:val="1"/>
          <w:numId w:val="34"/>
        </w:numPr>
        <w:rPr>
          <w:color w:val="000000" w:themeColor="text1"/>
        </w:rPr>
      </w:pPr>
      <w:bookmarkStart w:id="36" w:name="_Toc227484318"/>
      <w:r w:rsidRPr="002563ED">
        <w:rPr>
          <w:color w:val="000000" w:themeColor="text1"/>
        </w:rPr>
        <w:t>Ethics</w:t>
      </w:r>
      <w:bookmarkEnd w:id="36"/>
    </w:p>
    <w:p w14:paraId="7646A940" w14:textId="77777777" w:rsidR="00177895" w:rsidRPr="002563ED" w:rsidRDefault="00177895" w:rsidP="002C29C0">
      <w:pPr>
        <w:pStyle w:val="font-claude-response-body"/>
        <w:spacing w:line="360" w:lineRule="auto"/>
        <w:jc w:val="both"/>
        <w:rPr>
          <w:color w:val="000000" w:themeColor="text1"/>
        </w:rPr>
      </w:pPr>
      <w:r w:rsidRPr="002563ED">
        <w:rPr>
          <w:color w:val="000000" w:themeColor="text1"/>
        </w:rPr>
        <w:t>Ethical approval was obtained from the University of Wales Trinity Saint David prior to data collection, as documented in the research proposal. All participants received a Participant Information Sheet (see Appendix) outlining the study's purpose, procedures, their right to withdraw at any time without consequence, and how their data would be stored and used. Informed consent was obtained through recorded verbal agreement before each interview commenced.</w:t>
      </w:r>
    </w:p>
    <w:p w14:paraId="0FD7ECA5" w14:textId="2433AF35" w:rsidR="00177895" w:rsidRPr="002563ED" w:rsidRDefault="00177895" w:rsidP="002C29C0">
      <w:pPr>
        <w:pStyle w:val="font-claude-response-body"/>
        <w:spacing w:line="360" w:lineRule="auto"/>
        <w:jc w:val="both"/>
        <w:rPr>
          <w:color w:val="000000" w:themeColor="text1"/>
        </w:rPr>
      </w:pPr>
      <w:r w:rsidRPr="002563ED">
        <w:rPr>
          <w:color w:val="000000" w:themeColor="text1"/>
        </w:rPr>
        <w:t xml:space="preserve">To protect participant confidentiality, anonymity was maintained throughout the research process and in all reported findings. Participants are referred to by pseudonyms — P1 (parent), P2 and P3 (young professionals) — rather than by name or any identifying detail. No </w:t>
      </w:r>
      <w:r w:rsidRPr="002563ED">
        <w:rPr>
          <w:color w:val="000000" w:themeColor="text1"/>
        </w:rPr>
        <w:lastRenderedPageBreak/>
        <w:t>information capable of identifying individual participants has been disclosed in this dissertation.</w:t>
      </w:r>
    </w:p>
    <w:p w14:paraId="2BB343B4" w14:textId="35A50E37" w:rsidR="00EE4C74" w:rsidRPr="002563ED" w:rsidRDefault="00177895" w:rsidP="002C29C0">
      <w:pPr>
        <w:pStyle w:val="font-claude-response-body"/>
        <w:spacing w:line="360" w:lineRule="auto"/>
        <w:jc w:val="both"/>
        <w:rPr>
          <w:color w:val="000000" w:themeColor="text1"/>
        </w:rPr>
      </w:pPr>
      <w:r w:rsidRPr="002563ED">
        <w:rPr>
          <w:color w:val="000000" w:themeColor="text1"/>
        </w:rPr>
        <w:t>Data was stored securely in password-protected files in accordance with GDPR and the University's data management policies and will be retained only for the period required under those guidelines.</w:t>
      </w:r>
    </w:p>
    <w:p w14:paraId="181F286D" w14:textId="77777777" w:rsidR="00EE4C74" w:rsidRPr="002563ED" w:rsidRDefault="00EE4C74">
      <w:pPr>
        <w:rPr>
          <w:color w:val="000000" w:themeColor="text1"/>
        </w:rPr>
      </w:pPr>
      <w:r w:rsidRPr="002563ED">
        <w:rPr>
          <w:color w:val="000000" w:themeColor="text1"/>
        </w:rPr>
        <w:br w:type="page"/>
      </w:r>
    </w:p>
    <w:p w14:paraId="27E79ABE" w14:textId="201F310C" w:rsidR="00943083" w:rsidRPr="002563ED" w:rsidRDefault="00943083" w:rsidP="00EE4C74">
      <w:pPr>
        <w:pStyle w:val="Heading1"/>
        <w:numPr>
          <w:ilvl w:val="1"/>
          <w:numId w:val="29"/>
        </w:numPr>
        <w:jc w:val="center"/>
        <w:rPr>
          <w:color w:val="000000" w:themeColor="text1"/>
        </w:rPr>
      </w:pPr>
      <w:bookmarkStart w:id="37" w:name="_Toc227484319"/>
      <w:r w:rsidRPr="002563ED">
        <w:rPr>
          <w:color w:val="000000" w:themeColor="text1"/>
        </w:rPr>
        <w:lastRenderedPageBreak/>
        <w:t>Presentation of Findings</w:t>
      </w:r>
      <w:bookmarkEnd w:id="37"/>
    </w:p>
    <w:p w14:paraId="7B2830DA" w14:textId="77777777" w:rsidR="00943083" w:rsidRPr="002563ED" w:rsidRDefault="00943083" w:rsidP="00943083">
      <w:pPr>
        <w:pStyle w:val="Heading2"/>
        <w:numPr>
          <w:ilvl w:val="1"/>
          <w:numId w:val="29"/>
        </w:numPr>
        <w:rPr>
          <w:color w:val="000000" w:themeColor="text1"/>
        </w:rPr>
      </w:pPr>
      <w:bookmarkStart w:id="38" w:name="_Toc227484320"/>
      <w:r w:rsidRPr="002563ED">
        <w:rPr>
          <w:color w:val="000000" w:themeColor="text1"/>
        </w:rPr>
        <w:t>Overview</w:t>
      </w:r>
      <w:bookmarkEnd w:id="38"/>
    </w:p>
    <w:p w14:paraId="2832D51A" w14:textId="64AD12A5" w:rsidR="00943083" w:rsidRPr="002563ED" w:rsidRDefault="00943083" w:rsidP="009824B1">
      <w:pPr>
        <w:spacing w:before="180" w:after="60" w:line="360" w:lineRule="auto"/>
        <w:jc w:val="both"/>
        <w:rPr>
          <w:color w:val="000000" w:themeColor="text1"/>
          <w:shd w:val="clear" w:color="auto" w:fill="FFFFFF"/>
        </w:rPr>
      </w:pPr>
      <w:r w:rsidRPr="002563ED">
        <w:rPr>
          <w:color w:val="000000" w:themeColor="text1"/>
          <w:shd w:val="clear" w:color="auto" w:fill="FFFFFF"/>
        </w:rPr>
        <w:t xml:space="preserve">This chapter presents findings from primary research conducted with P1 (parent), P2, and P3 (young professionals). From the data, seven main themes and 28 sub-themes were identified using an analytical approach that combines Moustakas’s (1994) phenomenological reduction with Braun and Clarke’s (2021) reflexive thematic analysis, along with Interpretative Phenomenological Analysis (Smith et al., 2022). </w:t>
      </w:r>
    </w:p>
    <w:p w14:paraId="5363C30C" w14:textId="1AEFC79D" w:rsidR="00943083" w:rsidRPr="009824B1" w:rsidRDefault="00943083" w:rsidP="00943083">
      <w:pPr>
        <w:spacing w:before="180" w:after="60" w:line="360" w:lineRule="auto"/>
        <w:jc w:val="both"/>
        <w:rPr>
          <w:b/>
          <w:bCs/>
          <w:i/>
          <w:iCs/>
          <w:color w:val="000000" w:themeColor="text1"/>
          <w:shd w:val="clear" w:color="auto" w:fill="FFFFFF"/>
        </w:rPr>
      </w:pPr>
      <w:r w:rsidRPr="002563ED">
        <w:rPr>
          <w:noProof/>
          <w:color w:val="000000" w:themeColor="text1"/>
        </w:rPr>
        <w:drawing>
          <wp:anchor distT="0" distB="0" distL="114300" distR="114300" simplePos="0" relativeHeight="251674624" behindDoc="0" locked="0" layoutInCell="1" allowOverlap="1" wp14:anchorId="52142C3B" wp14:editId="7C081C75">
            <wp:simplePos x="0" y="0"/>
            <wp:positionH relativeFrom="column">
              <wp:posOffset>-49530</wp:posOffset>
            </wp:positionH>
            <wp:positionV relativeFrom="paragraph">
              <wp:posOffset>532765</wp:posOffset>
            </wp:positionV>
            <wp:extent cx="5731510" cy="2673350"/>
            <wp:effectExtent l="0" t="0" r="0" b="6350"/>
            <wp:wrapNone/>
            <wp:docPr id="1757413293" name="Picture 2" descr="A graph of blue bar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413293" name="Picture 2" descr="A graph of blue bars  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73350"/>
                    </a:xfrm>
                    <a:prstGeom prst="rect">
                      <a:avLst/>
                    </a:prstGeom>
                  </pic:spPr>
                </pic:pic>
              </a:graphicData>
            </a:graphic>
            <wp14:sizeRelH relativeFrom="page">
              <wp14:pctWidth>0</wp14:pctWidth>
            </wp14:sizeRelH>
            <wp14:sizeRelV relativeFrom="page">
              <wp14:pctHeight>0</wp14:pctHeight>
            </wp14:sizeRelV>
          </wp:anchor>
        </w:drawing>
      </w:r>
      <w:r w:rsidRPr="002563ED">
        <w:rPr>
          <w:b/>
          <w:bCs/>
          <w:color w:val="000000" w:themeColor="text1"/>
          <w:shd w:val="clear" w:color="auto" w:fill="FFFFFF"/>
        </w:rPr>
        <w:t>Figure 1.</w:t>
      </w:r>
      <w:r w:rsidRPr="002563ED">
        <w:rPr>
          <w:color w:val="000000" w:themeColor="text1"/>
          <w:shd w:val="clear" w:color="auto" w:fill="FFFFFF"/>
        </w:rPr>
        <w:t xml:space="preserve"> </w:t>
      </w:r>
      <w:r w:rsidRPr="009824B1">
        <w:rPr>
          <w:b/>
          <w:bCs/>
          <w:i/>
          <w:iCs/>
          <w:color w:val="000000" w:themeColor="text1"/>
        </w:rPr>
        <w:t>Distribution of subordinate theme references by participant and superordinate theme</w:t>
      </w:r>
    </w:p>
    <w:p w14:paraId="615575A6" w14:textId="5B2E513F" w:rsidR="00943083" w:rsidRPr="002563ED" w:rsidRDefault="00943083" w:rsidP="00943083">
      <w:pPr>
        <w:spacing w:before="180" w:after="60" w:line="360" w:lineRule="auto"/>
        <w:jc w:val="both"/>
        <w:rPr>
          <w:b/>
          <w:bCs/>
          <w:color w:val="000000" w:themeColor="text1"/>
          <w:shd w:val="clear" w:color="auto" w:fill="FFFFFF"/>
        </w:rPr>
      </w:pPr>
    </w:p>
    <w:p w14:paraId="268F3C7F" w14:textId="77777777" w:rsidR="00943083" w:rsidRPr="002563ED" w:rsidRDefault="00943083" w:rsidP="00943083">
      <w:pPr>
        <w:spacing w:before="180" w:after="60" w:line="360" w:lineRule="auto"/>
        <w:jc w:val="both"/>
        <w:rPr>
          <w:color w:val="000000" w:themeColor="text1"/>
        </w:rPr>
      </w:pPr>
    </w:p>
    <w:p w14:paraId="601089C9" w14:textId="77777777" w:rsidR="00943083" w:rsidRPr="002563ED" w:rsidRDefault="00943083" w:rsidP="00943083">
      <w:pPr>
        <w:spacing w:before="180" w:after="60" w:line="360" w:lineRule="auto"/>
        <w:jc w:val="both"/>
        <w:rPr>
          <w:color w:val="000000" w:themeColor="text1"/>
        </w:rPr>
      </w:pPr>
    </w:p>
    <w:p w14:paraId="7582BFF4" w14:textId="77777777" w:rsidR="00943083" w:rsidRPr="002563ED" w:rsidRDefault="00943083" w:rsidP="00943083">
      <w:pPr>
        <w:spacing w:before="180" w:after="60" w:line="360" w:lineRule="auto"/>
        <w:jc w:val="both"/>
        <w:rPr>
          <w:color w:val="000000" w:themeColor="text1"/>
        </w:rPr>
      </w:pPr>
    </w:p>
    <w:p w14:paraId="340AEEF9" w14:textId="77777777" w:rsidR="00943083" w:rsidRPr="002563ED" w:rsidRDefault="00943083" w:rsidP="00943083">
      <w:pPr>
        <w:spacing w:before="180" w:after="60" w:line="360" w:lineRule="auto"/>
        <w:jc w:val="both"/>
        <w:rPr>
          <w:color w:val="000000" w:themeColor="text1"/>
        </w:rPr>
      </w:pPr>
    </w:p>
    <w:p w14:paraId="227E9F8D" w14:textId="77777777" w:rsidR="00943083" w:rsidRPr="002563ED" w:rsidRDefault="00943083" w:rsidP="00943083">
      <w:pPr>
        <w:spacing w:before="180" w:after="60" w:line="360" w:lineRule="auto"/>
        <w:jc w:val="both"/>
        <w:rPr>
          <w:color w:val="000000" w:themeColor="text1"/>
        </w:rPr>
      </w:pPr>
    </w:p>
    <w:p w14:paraId="7D8A9B21" w14:textId="77777777" w:rsidR="00943083" w:rsidRPr="002563ED" w:rsidRDefault="00943083" w:rsidP="00943083">
      <w:pPr>
        <w:spacing w:before="180" w:after="60" w:line="360" w:lineRule="auto"/>
        <w:jc w:val="both"/>
        <w:rPr>
          <w:color w:val="000000" w:themeColor="text1"/>
        </w:rPr>
      </w:pPr>
    </w:p>
    <w:p w14:paraId="496E36ED" w14:textId="77777777" w:rsidR="00943083" w:rsidRPr="002563ED" w:rsidRDefault="00943083" w:rsidP="00943083">
      <w:pPr>
        <w:spacing w:after="220" w:line="360" w:lineRule="auto"/>
        <w:jc w:val="both"/>
        <w:rPr>
          <w:color w:val="000000" w:themeColor="text1"/>
        </w:rPr>
      </w:pPr>
    </w:p>
    <w:p w14:paraId="78673E53" w14:textId="1E9485F6" w:rsidR="00943083" w:rsidRPr="002563ED" w:rsidRDefault="00943083" w:rsidP="00EE4C74">
      <w:pPr>
        <w:spacing w:after="220" w:line="360" w:lineRule="auto"/>
        <w:jc w:val="both"/>
        <w:rPr>
          <w:i/>
          <w:iCs/>
          <w:color w:val="000000" w:themeColor="text1"/>
        </w:rPr>
      </w:pPr>
      <w:r w:rsidRPr="002563ED">
        <w:rPr>
          <w:i/>
          <w:iCs/>
          <w:color w:val="000000" w:themeColor="text1"/>
        </w:rPr>
        <w:t>Note: Values indicate the number of subordinate themes contributed by each participant within each superordinate theme.</w:t>
      </w:r>
    </w:p>
    <w:p w14:paraId="3E052E7E" w14:textId="77777777" w:rsidR="00EE4C74" w:rsidRPr="002563ED" w:rsidRDefault="00EE4C74" w:rsidP="00EE4C74">
      <w:pPr>
        <w:spacing w:after="220" w:line="360" w:lineRule="auto"/>
        <w:jc w:val="both"/>
        <w:rPr>
          <w:color w:val="000000" w:themeColor="text1"/>
        </w:rPr>
      </w:pPr>
    </w:p>
    <w:p w14:paraId="2BCEDDC8" w14:textId="29C94A0B" w:rsidR="00943083" w:rsidRPr="002563ED" w:rsidRDefault="00943083" w:rsidP="000A283D">
      <w:pPr>
        <w:pStyle w:val="Heading2"/>
        <w:numPr>
          <w:ilvl w:val="1"/>
          <w:numId w:val="29"/>
        </w:numPr>
        <w:rPr>
          <w:color w:val="000000" w:themeColor="text1"/>
        </w:rPr>
      </w:pPr>
      <w:bookmarkStart w:id="39" w:name="_Toc227484321"/>
      <w:r w:rsidRPr="002563ED">
        <w:rPr>
          <w:color w:val="000000" w:themeColor="text1"/>
        </w:rPr>
        <w:t>Technology as a Developmental and Professional Resource</w:t>
      </w:r>
      <w:bookmarkEnd w:id="39"/>
    </w:p>
    <w:p w14:paraId="3A1EFD3A" w14:textId="77777777" w:rsidR="00943083" w:rsidRPr="002563ED" w:rsidRDefault="00943083" w:rsidP="00943083">
      <w:pPr>
        <w:spacing w:after="200" w:line="360" w:lineRule="auto"/>
        <w:jc w:val="both"/>
        <w:rPr>
          <w:color w:val="000000" w:themeColor="text1"/>
        </w:rPr>
      </w:pPr>
      <w:r w:rsidRPr="002563ED">
        <w:rPr>
          <w:color w:val="000000" w:themeColor="text1"/>
        </w:rPr>
        <w:t xml:space="preserve">Early childhood technology exposure, when contextually rich and adult-mediated, produced durable and transferable professional skills across all three participants. P2 and P3 traced discrete workplace competencies to specific informal digital experiences — a pattern that challenges Bennett and Maton’s (2010) finding that unmediated exposure cannot reliably </w:t>
      </w:r>
      <w:r w:rsidRPr="002563ED">
        <w:rPr>
          <w:color w:val="000000" w:themeColor="text1"/>
        </w:rPr>
        <w:lastRenderedPageBreak/>
        <w:t>produce professional skill, and extends Helsper and Eynon’s (2010) finding that contextual richness predicts digital capability more reliably than age or generational cohort membership.</w:t>
      </w:r>
    </w:p>
    <w:p w14:paraId="51E55D0E" w14:textId="77777777" w:rsidR="00943083" w:rsidRPr="002563ED" w:rsidRDefault="00943083" w:rsidP="00943083">
      <w:pPr>
        <w:spacing w:after="200" w:line="360" w:lineRule="auto"/>
        <w:jc w:val="both"/>
        <w:rPr>
          <w:color w:val="000000" w:themeColor="text1"/>
        </w:rPr>
      </w:pPr>
      <w:r w:rsidRPr="002563ED">
        <w:rPr>
          <w:color w:val="000000" w:themeColor="text1"/>
        </w:rPr>
        <w:t>P2 stated: “I completely passed one of my secondary school geography exams, surely because I played a lot of Sim City when I was younger… I knew what a residential zone and a commercial zone was… I knew how to do waste management.” This situated, context-embedded learning reflects Plowman et al.’s (2010) argument that guided technological interaction produces deeper outcomes than passive consumption. P3 attributed direct labour market advantage to skills developed through formal education: “From school, not necessarily college, but we used Excel a lot — so doing invoices and adding up money… it’s pretty good on a CV because that’s what a lot of jobs need.” P2 further described how informal technical learning alongside their father — “I would often sit with him for hours as he was solving problems… I learned about things like accessing the registry and doing file scanning and opening folders within folders — skills that I still use on a daily basis now” — demonstrates Takeuchi and Stevens’ (2011) co-mediated engagement model, in which adult involvement shifts technology use from a passive activity to an interactional one with measurable developmental outcomes.</w:t>
      </w:r>
    </w:p>
    <w:p w14:paraId="3D8A1C74" w14:textId="77777777" w:rsidR="00EE4C74" w:rsidRPr="002563ED" w:rsidRDefault="00EE4C74" w:rsidP="00943083">
      <w:pPr>
        <w:spacing w:after="200" w:line="360" w:lineRule="auto"/>
        <w:jc w:val="both"/>
        <w:rPr>
          <w:color w:val="000000" w:themeColor="text1"/>
        </w:rPr>
      </w:pPr>
    </w:p>
    <w:p w14:paraId="672FCAC2" w14:textId="77777777" w:rsidR="00943083" w:rsidRPr="002563ED" w:rsidRDefault="00943083" w:rsidP="00943083">
      <w:pPr>
        <w:pStyle w:val="Heading2"/>
        <w:numPr>
          <w:ilvl w:val="1"/>
          <w:numId w:val="29"/>
        </w:numPr>
        <w:rPr>
          <w:color w:val="000000" w:themeColor="text1"/>
        </w:rPr>
      </w:pPr>
      <w:bookmarkStart w:id="40" w:name="_Toc227484322"/>
      <w:r w:rsidRPr="002563ED">
        <w:rPr>
          <w:color w:val="000000" w:themeColor="text1"/>
        </w:rPr>
        <w:t>Technology, Neurodiversity and Adaptive Inclusion</w:t>
      </w:r>
      <w:bookmarkEnd w:id="40"/>
    </w:p>
    <w:p w14:paraId="2F826B2A" w14:textId="77777777" w:rsidR="00943083" w:rsidRPr="002563ED" w:rsidRDefault="00943083" w:rsidP="00943083">
      <w:pPr>
        <w:spacing w:after="200" w:line="360" w:lineRule="auto"/>
        <w:jc w:val="both"/>
        <w:rPr>
          <w:color w:val="000000" w:themeColor="text1"/>
        </w:rPr>
      </w:pPr>
      <w:r w:rsidRPr="002563ED">
        <w:rPr>
          <w:color w:val="000000" w:themeColor="text1"/>
        </w:rPr>
        <w:t>For all three of P1’s children, technology was the sole viable educational mechanism rather than a supplement, operating across profoundly different neurological profiles. Traditional schooling’s structural rigidity was incompatible with each child’s needs, and digital homeschooling resolved constraints no reviewed study had previously examined at this depth.</w:t>
      </w:r>
    </w:p>
    <w:p w14:paraId="3955F94F" w14:textId="77777777" w:rsidR="00943083" w:rsidRPr="002563ED" w:rsidRDefault="00943083" w:rsidP="00943083">
      <w:pPr>
        <w:spacing w:after="200" w:line="360" w:lineRule="auto"/>
        <w:jc w:val="both"/>
        <w:rPr>
          <w:color w:val="000000" w:themeColor="text1"/>
        </w:rPr>
      </w:pPr>
      <w:r w:rsidRPr="002563ED">
        <w:rPr>
          <w:color w:val="000000" w:themeColor="text1"/>
        </w:rPr>
        <w:t xml:space="preserve">P1 described how technology supported ADHD co-regulation: “Having the thing that gives [their child] instant gratification for that need for attention and dopamine really did help calm [them] down… if you sat [them] in a quiet room with something [they] could focus on, [they] would then re-regulate and calm down really quickly.” Temporal flexibility was equally significant: “Because of [child]’s sleep schedule because of the ADHD, some nights [they] won’t sleep at all. So [they]’ll knock 6 or 7 hours of schooling out in one night… at home [they] can do all the same amount of work, just in whatever time suits [their] brain best.” For an autistic child, self-directed hyperfocus through technology produced unexpected expertise: “At 5 years old, that kid could name pretty much every shark on the face of the planet, just </w:t>
      </w:r>
      <w:r w:rsidRPr="002563ED">
        <w:rPr>
          <w:color w:val="000000" w:themeColor="text1"/>
        </w:rPr>
        <w:lastRenderedPageBreak/>
        <w:t>through obsessively watching videos of sharks on YouTube for hours on end. And that calmed [them].”</w:t>
      </w:r>
    </w:p>
    <w:p w14:paraId="1C7223E6" w14:textId="77777777" w:rsidR="00EE4C74" w:rsidRPr="002563ED" w:rsidRDefault="00EE4C74" w:rsidP="00943083">
      <w:pPr>
        <w:spacing w:after="200" w:line="360" w:lineRule="auto"/>
        <w:jc w:val="both"/>
        <w:rPr>
          <w:color w:val="000000" w:themeColor="text1"/>
        </w:rPr>
      </w:pPr>
    </w:p>
    <w:p w14:paraId="324A1761" w14:textId="21B22355" w:rsidR="00943083" w:rsidRPr="002563ED" w:rsidRDefault="00943083" w:rsidP="000A283D">
      <w:pPr>
        <w:pStyle w:val="Heading2"/>
        <w:numPr>
          <w:ilvl w:val="1"/>
          <w:numId w:val="29"/>
        </w:numPr>
        <w:rPr>
          <w:color w:val="000000" w:themeColor="text1"/>
        </w:rPr>
      </w:pPr>
      <w:bookmarkStart w:id="41" w:name="_Toc227484323"/>
      <w:r w:rsidRPr="002563ED">
        <w:rPr>
          <w:color w:val="000000" w:themeColor="text1"/>
        </w:rPr>
        <w:t>Social Capital and the Costs of Unmediated Access</w:t>
      </w:r>
      <w:bookmarkEnd w:id="41"/>
    </w:p>
    <w:p w14:paraId="5F6FA93F" w14:textId="77777777" w:rsidR="00943083" w:rsidRPr="002563ED" w:rsidRDefault="00943083" w:rsidP="00943083">
      <w:pPr>
        <w:spacing w:after="200" w:line="360" w:lineRule="auto"/>
        <w:jc w:val="both"/>
        <w:rPr>
          <w:color w:val="000000" w:themeColor="text1"/>
        </w:rPr>
      </w:pPr>
      <w:r w:rsidRPr="002563ED">
        <w:rPr>
          <w:color w:val="000000" w:themeColor="text1"/>
        </w:rPr>
        <w:t>The risks of unmediated digital access and the social consequences of digital exclusion operated simultaneously across the participant accounts, and both were governed by the same variable: the presence or absence of adult mediation. P1 and P3 experienced harm not solely through access to digital environments, but through the absence of interpretive frameworks and active adult involvement within them.</w:t>
      </w:r>
    </w:p>
    <w:p w14:paraId="59BCBAE4" w14:textId="77777777" w:rsidR="00943083" w:rsidRPr="002563ED" w:rsidRDefault="00943083" w:rsidP="00943083">
      <w:pPr>
        <w:spacing w:after="200" w:line="360" w:lineRule="auto"/>
        <w:jc w:val="both"/>
        <w:rPr>
          <w:color w:val="000000" w:themeColor="text1"/>
        </w:rPr>
      </w:pPr>
      <w:r w:rsidRPr="002563ED">
        <w:rPr>
          <w:color w:val="000000" w:themeColor="text1"/>
        </w:rPr>
        <w:t>On the social dimension, P1 observed: “Because the kids were, at that age, brought up with technology, it did seem to help their social interaction when they were able to chat with their friends about the games that they were playing.” Institutional withdrawal of access produced the inverse effect: “Having them putting a blanket ban, saying no, you’re not allowed to bring these things into school, actually made it harder for parents and their children, for those who didn’t have those restrictions put on.” P3 confirmed the lived consequence of this asymmetry: “I would feel left out sometimes because also being in group chats and things like that and then I would miss out on things that they were laughing about which then they would laugh about in school.”</w:t>
      </w:r>
    </w:p>
    <w:p w14:paraId="385A90F9" w14:textId="77777777" w:rsidR="00943083" w:rsidRPr="002563ED" w:rsidRDefault="00943083" w:rsidP="00943083">
      <w:pPr>
        <w:spacing w:after="200" w:line="360" w:lineRule="auto"/>
        <w:jc w:val="both"/>
        <w:rPr>
          <w:color w:val="000000" w:themeColor="text1"/>
        </w:rPr>
      </w:pPr>
      <w:r w:rsidRPr="002563ED">
        <w:rPr>
          <w:color w:val="000000" w:themeColor="text1"/>
        </w:rPr>
        <w:t>On the risk dimension, P3’s account of online grooming — “Basically, being groomed at some point — that happened. I feel like that happens to most people” — revealed the normalisation of harmful behaviour that retrospective survey instruments are structurally unable to detect. P1 identified the qualitative shift in cyberbullying: “In the old days, when I got bullied, you’d be face to face with the person who was bullying you, whereas these days, it can be completely nameless and faceless — and there’s no way of switching that off.”</w:t>
      </w:r>
    </w:p>
    <w:p w14:paraId="078C0BAD" w14:textId="77777777" w:rsidR="00EE4C74" w:rsidRPr="002563ED" w:rsidRDefault="00EE4C74" w:rsidP="00943083">
      <w:pPr>
        <w:spacing w:after="200" w:line="360" w:lineRule="auto"/>
        <w:jc w:val="both"/>
        <w:rPr>
          <w:color w:val="000000" w:themeColor="text1"/>
        </w:rPr>
      </w:pPr>
    </w:p>
    <w:p w14:paraId="057879A0" w14:textId="0317E896" w:rsidR="00943083" w:rsidRPr="002563ED" w:rsidRDefault="00943083" w:rsidP="000A283D">
      <w:pPr>
        <w:pStyle w:val="Heading2"/>
        <w:numPr>
          <w:ilvl w:val="1"/>
          <w:numId w:val="29"/>
        </w:numPr>
        <w:rPr>
          <w:color w:val="000000" w:themeColor="text1"/>
        </w:rPr>
      </w:pPr>
      <w:bookmarkStart w:id="42" w:name="_Toc227484324"/>
      <w:r w:rsidRPr="002563ED">
        <w:rPr>
          <w:color w:val="000000" w:themeColor="text1"/>
        </w:rPr>
        <w:t>Professional Identity, Artificial Intelligence and Institutional Gaps</w:t>
      </w:r>
      <w:bookmarkEnd w:id="42"/>
    </w:p>
    <w:p w14:paraId="79DEA871" w14:textId="77777777" w:rsidR="00943083" w:rsidRPr="002563ED" w:rsidRDefault="00943083" w:rsidP="00943083">
      <w:pPr>
        <w:spacing w:after="200" w:line="360" w:lineRule="auto"/>
        <w:jc w:val="both"/>
        <w:rPr>
          <w:color w:val="000000" w:themeColor="text1"/>
        </w:rPr>
      </w:pPr>
      <w:r w:rsidRPr="002563ED">
        <w:rPr>
          <w:color w:val="000000" w:themeColor="text1"/>
        </w:rPr>
        <w:t xml:space="preserve">The construction of professional identity through technology, and the institutional failures that shaped the conditions in which it developed, emerged as a composite theme across P2, P3, and </w:t>
      </w:r>
      <w:r w:rsidRPr="002563ED">
        <w:rPr>
          <w:color w:val="000000" w:themeColor="text1"/>
        </w:rPr>
        <w:lastRenderedPageBreak/>
        <w:t>P1. Both young professionals used the research interview itself as a site of reflexive identity reconstruction (Smith et al., 2022), articulating the developmental origins of their workplace competencies formally for the first time.</w:t>
      </w:r>
    </w:p>
    <w:p w14:paraId="53AE6603" w14:textId="2F8BBBD0" w:rsidR="002126A7" w:rsidRPr="002563ED" w:rsidRDefault="00943083" w:rsidP="000A283D">
      <w:pPr>
        <w:spacing w:after="200" w:line="360" w:lineRule="auto"/>
        <w:jc w:val="both"/>
        <w:rPr>
          <w:color w:val="000000" w:themeColor="text1"/>
        </w:rPr>
      </w:pPr>
      <w:r w:rsidRPr="002563ED">
        <w:rPr>
          <w:color w:val="000000" w:themeColor="text1"/>
        </w:rPr>
        <w:t>Rather than describing AI as a skill to be acquired, P2 characterised it as scaffolding that enables existing creative capability: “When AI came out, for example, it wasn’t like a complete game changer in terms of how do I use this thing? Like, I was able to slip into it quite quickly… my baseline IT literacy has allowed me to just deal with computers quite smoothly, no matter what’s come out.” This technological adaptability corroborates Helsper and Eynon’s (2010) finding that breadth of experience predicts digital capability more reliably than age. Against this, P3 identified a persistent institutional failure: “A lot of the information that we needed to know about how to set out certain essays and things like that — it was all along the exam board’s website, so they didn’t really need to teach anything.”</w:t>
      </w:r>
    </w:p>
    <w:p w14:paraId="54DCA3FB" w14:textId="64F05BF1" w:rsidR="00943083" w:rsidRPr="002563ED" w:rsidRDefault="002126A7" w:rsidP="00EE4C74">
      <w:pPr>
        <w:rPr>
          <w:color w:val="000000" w:themeColor="text1"/>
        </w:rPr>
      </w:pPr>
      <w:r w:rsidRPr="002563ED">
        <w:rPr>
          <w:color w:val="000000" w:themeColor="text1"/>
        </w:rPr>
        <w:br w:type="page"/>
      </w:r>
    </w:p>
    <w:p w14:paraId="4E7F3E6A" w14:textId="57EE316C" w:rsidR="00943083" w:rsidRPr="002563ED" w:rsidRDefault="00943083" w:rsidP="00EE4C74">
      <w:pPr>
        <w:pStyle w:val="Heading1"/>
        <w:numPr>
          <w:ilvl w:val="0"/>
          <w:numId w:val="29"/>
        </w:numPr>
        <w:jc w:val="center"/>
        <w:rPr>
          <w:color w:val="000000" w:themeColor="text1"/>
        </w:rPr>
      </w:pPr>
      <w:bookmarkStart w:id="43" w:name="_Toc227484325"/>
      <w:r w:rsidRPr="002563ED">
        <w:rPr>
          <w:color w:val="000000" w:themeColor="text1"/>
        </w:rPr>
        <w:lastRenderedPageBreak/>
        <w:t>Discussion and Analysis</w:t>
      </w:r>
      <w:bookmarkEnd w:id="43"/>
    </w:p>
    <w:p w14:paraId="028A371D" w14:textId="7675A6EB" w:rsidR="00943083" w:rsidRPr="002563ED" w:rsidRDefault="00943083" w:rsidP="00943083">
      <w:pPr>
        <w:spacing w:after="200" w:line="360" w:lineRule="auto"/>
        <w:jc w:val="both"/>
        <w:rPr>
          <w:color w:val="000000" w:themeColor="text1"/>
        </w:rPr>
      </w:pPr>
      <w:r w:rsidRPr="002563ED">
        <w:rPr>
          <w:color w:val="000000" w:themeColor="text1"/>
        </w:rPr>
        <w:t>These findings address RQ1 by confirming that co-mediated informal digital engagement generates professionally significant competencies. The tension with Ng (2012) and Bennett and Maton (2010) is methodological rather than substantive: both studies examined population-level institutional literacy rather than the developmental origins of individual competencies, and neither instrument was designed to capture the specificity of guided domestic engagement. Where Plowman et al. (2010) and Takeuchi and Stevens (2011) identify adult involvement as the mechanism through which technology becomes educationally productive, the participant accounts confirm that mechanism at the level of individual professional development. Van Laar et al. (2020) found that access to more experienced technology users consistently predicts digital skill acquisition across working professionals; the childhood co-mediation described by P2 and P3 constitutes an early form of that same relational condition. The findings therefore agree with the mediation literature and disagree, on methodological grounds, with the digital native critique</w:t>
      </w:r>
      <w:r w:rsidR="007658DB" w:rsidRPr="002563ED">
        <w:rPr>
          <w:color w:val="000000" w:themeColor="text1"/>
        </w:rPr>
        <w:t>.</w:t>
      </w:r>
    </w:p>
    <w:p w14:paraId="5B650E15" w14:textId="77777777" w:rsidR="007658DB" w:rsidRPr="002563ED" w:rsidRDefault="007658DB" w:rsidP="00943083">
      <w:pPr>
        <w:spacing w:after="200" w:line="360" w:lineRule="auto"/>
        <w:jc w:val="both"/>
        <w:rPr>
          <w:color w:val="000000" w:themeColor="text1"/>
        </w:rPr>
      </w:pPr>
    </w:p>
    <w:p w14:paraId="0B70F568" w14:textId="55DF55B1" w:rsidR="00943083" w:rsidRPr="002563ED" w:rsidRDefault="002126A7" w:rsidP="00EE4C74">
      <w:pPr>
        <w:pStyle w:val="Heading2"/>
        <w:numPr>
          <w:ilvl w:val="1"/>
          <w:numId w:val="35"/>
        </w:numPr>
        <w:rPr>
          <w:color w:val="000000" w:themeColor="text1"/>
        </w:rPr>
      </w:pPr>
      <w:bookmarkStart w:id="44" w:name="_Toc227484326"/>
      <w:r w:rsidRPr="002563ED">
        <w:rPr>
          <w:color w:val="000000" w:themeColor="text1"/>
        </w:rPr>
        <w:t>Neurodivers</w:t>
      </w:r>
      <w:bookmarkEnd w:id="44"/>
      <w:r w:rsidR="00D44D91">
        <w:rPr>
          <w:color w:val="000000" w:themeColor="text1"/>
        </w:rPr>
        <w:t>e Populations’ Use of Technology</w:t>
      </w:r>
    </w:p>
    <w:p w14:paraId="07834E29" w14:textId="23DB56AB" w:rsidR="00943083" w:rsidRPr="002563ED" w:rsidRDefault="00943083" w:rsidP="00943083">
      <w:pPr>
        <w:spacing w:after="200" w:line="360" w:lineRule="auto"/>
        <w:jc w:val="both"/>
        <w:rPr>
          <w:color w:val="000000" w:themeColor="text1"/>
        </w:rPr>
      </w:pPr>
      <w:r w:rsidRPr="002563ED">
        <w:rPr>
          <w:color w:val="000000" w:themeColor="text1"/>
        </w:rPr>
        <w:t xml:space="preserve">These findings extend Kramar’s (2014) sustainable HRM framework into a developmental register: accommodation of cognitive diversity must begin in educational provision if it is to generate the human capital sustainable HRM aims to develop. Ehnert et al. (2016) observed that corporate sustainability reporting underweights human resource factors; the educational exclusion of neurodivergent learners constitutes an upstream, unmeasured human capital risk generated in classrooms before it reaches the workplace. The findings disagree with Courage and Setliff’s (2010) video deficit framework, which was developed using neurotypical samples and is methodologically inapplicable to neurodivergent populations. Applying neurotypical screen time guidelines to neurodivergent learners without an equivalent evidence base is not a precautionary act; it is an evidence-free one. Under the Well-being of Future Generations (Wales) Act 2015, public bodies bear a statutory duty to consider the long-term impact of their decisions on health and equality (Welsh Government, 2015); technology policies that restrict adaptive digital access for neurodivergent learners without evidence-based review are incongruent with that duty. For RQ3, sustainable technology integration must be </w:t>
      </w:r>
      <w:r w:rsidR="002126A7" w:rsidRPr="002563ED">
        <w:rPr>
          <w:color w:val="000000" w:themeColor="text1"/>
        </w:rPr>
        <w:t>population specific</w:t>
      </w:r>
      <w:r w:rsidRPr="002563ED">
        <w:rPr>
          <w:color w:val="000000" w:themeColor="text1"/>
        </w:rPr>
        <w:t>.</w:t>
      </w:r>
    </w:p>
    <w:p w14:paraId="535A27EB" w14:textId="22885226" w:rsidR="00943083" w:rsidRPr="002563ED" w:rsidRDefault="002126A7" w:rsidP="00EE4C74">
      <w:pPr>
        <w:pStyle w:val="Heading2"/>
        <w:numPr>
          <w:ilvl w:val="1"/>
          <w:numId w:val="35"/>
        </w:numPr>
        <w:rPr>
          <w:color w:val="000000" w:themeColor="text1"/>
        </w:rPr>
      </w:pPr>
      <w:bookmarkStart w:id="45" w:name="_Toc227484327"/>
      <w:r w:rsidRPr="002563ED">
        <w:rPr>
          <w:color w:val="000000" w:themeColor="text1"/>
        </w:rPr>
        <w:lastRenderedPageBreak/>
        <w:t>Digital Peer Culture</w:t>
      </w:r>
      <w:bookmarkEnd w:id="45"/>
      <w:r w:rsidR="00D44D91">
        <w:rPr>
          <w:color w:val="000000" w:themeColor="text1"/>
        </w:rPr>
        <w:t xml:space="preserve"> and Social Capital</w:t>
      </w:r>
    </w:p>
    <w:p w14:paraId="44BA3352" w14:textId="77777777" w:rsidR="00943083" w:rsidRPr="002563ED" w:rsidRDefault="00943083" w:rsidP="00943083">
      <w:pPr>
        <w:spacing w:after="200" w:line="360" w:lineRule="auto"/>
        <w:jc w:val="both"/>
        <w:rPr>
          <w:color w:val="000000" w:themeColor="text1"/>
        </w:rPr>
      </w:pPr>
      <w:r w:rsidRPr="002563ED">
        <w:rPr>
          <w:color w:val="000000" w:themeColor="text1"/>
        </w:rPr>
        <w:t>These findings corroborate Van Deursen and Van Dijk’s (2014) argument that the digital divide has shifted from access to usage quality, and add a social dimension not previously examined in the literature: exclusion from digital peer culture imposes social costs that precede and compound professional ones. They also constitute a methodological critique of harm-reduction frameworks: Papadakis et al. (2019) identified parental mediation as the primary protective factor, but P3’s account demonstrates that physical presence is not equivalent to active mediation, and that the absence of interpretive frameworks for processing harmful content may be as damaging as the exposure itself. Hirsh-Pasek et al. (2015) established that engagement quality determines developmental outcome and that poorly designed prohibition, like poorly designed access, can produce the harms that purposeful integration would have prevented. Blanket institutional bans are inconsistent with this evidence base: Gui and Argentin (2011) found that socioeconomic status, not school provision, is the dominant mediator of digital skill development, meaning prohibition concentrates disadvantage among children whose home environments lack equivalent digital engagement. For RQ2, the determining variable is not exposure level but relational and interpretive context.</w:t>
      </w:r>
    </w:p>
    <w:p w14:paraId="214AF930" w14:textId="77777777" w:rsidR="007658DB" w:rsidRPr="002563ED" w:rsidRDefault="007658DB" w:rsidP="00943083">
      <w:pPr>
        <w:spacing w:after="200" w:line="360" w:lineRule="auto"/>
        <w:jc w:val="both"/>
        <w:rPr>
          <w:color w:val="000000" w:themeColor="text1"/>
        </w:rPr>
      </w:pPr>
    </w:p>
    <w:p w14:paraId="364FB8A4" w14:textId="0E6171DD" w:rsidR="00943083" w:rsidRPr="002563ED" w:rsidRDefault="00F17F1E" w:rsidP="00EE4C74">
      <w:pPr>
        <w:pStyle w:val="Heading2"/>
        <w:numPr>
          <w:ilvl w:val="1"/>
          <w:numId w:val="35"/>
        </w:numPr>
        <w:rPr>
          <w:color w:val="000000" w:themeColor="text1"/>
        </w:rPr>
      </w:pPr>
      <w:r>
        <w:rPr>
          <w:color w:val="000000" w:themeColor="text1"/>
        </w:rPr>
        <w:t>Passive Versus Active Technological Engagement</w:t>
      </w:r>
    </w:p>
    <w:p w14:paraId="4BE8BBD6" w14:textId="54466C45" w:rsidR="00943083" w:rsidRPr="002563ED" w:rsidRDefault="00943083" w:rsidP="00943083">
      <w:pPr>
        <w:spacing w:after="200" w:line="360" w:lineRule="auto"/>
        <w:jc w:val="both"/>
        <w:rPr>
          <w:color w:val="000000" w:themeColor="text1"/>
        </w:rPr>
      </w:pPr>
      <w:r w:rsidRPr="002563ED">
        <w:rPr>
          <w:color w:val="000000" w:themeColor="text1"/>
        </w:rPr>
        <w:t>The reviewed literature does not theorise generative AI as a professional tool, and P2’s account constitutes empirical evidence – through IPA (Smith et al., 2022) – of a human–tool relationship the existing employability literature has not yet theorised. The institutional failures identified by P1 and P3 agree with Ng’s (2012) finding that resource access is not equivalent to structured guidance, and with Osmani et al.’s (2019) finding that the communication and problem-solving competencies employers consistently prioritise require active pedagogical engagement rather than passive digital provision. Barr et al. (2010) established that content quality, not duration, determines developmental outcome; the same logic applies to institutional provision: a curriculum that substitutes curated digital resources for active instruction replicates the same passive consumption dynamic that produces developmental deficits in early childhood. Ehnert et al.’s (2016) observation that organisations treat long-term human capital development as a residual function is reproduced in schools before the workforce ever encounters it.</w:t>
      </w:r>
    </w:p>
    <w:p w14:paraId="3A7AEEAA" w14:textId="62B4C105" w:rsidR="00943083" w:rsidRPr="002563ED" w:rsidRDefault="00943083" w:rsidP="00EE4C74">
      <w:pPr>
        <w:pStyle w:val="Heading2"/>
        <w:numPr>
          <w:ilvl w:val="1"/>
          <w:numId w:val="35"/>
        </w:numPr>
        <w:rPr>
          <w:color w:val="000000" w:themeColor="text1"/>
        </w:rPr>
      </w:pPr>
      <w:bookmarkStart w:id="46" w:name="_Toc227484329"/>
      <w:r w:rsidRPr="002563ED">
        <w:rPr>
          <w:color w:val="000000" w:themeColor="text1"/>
        </w:rPr>
        <w:lastRenderedPageBreak/>
        <w:t>Discussion and Synthesis</w:t>
      </w:r>
      <w:bookmarkEnd w:id="46"/>
    </w:p>
    <w:p w14:paraId="1922B525" w14:textId="77777777" w:rsidR="00943083" w:rsidRPr="002563ED" w:rsidRDefault="00943083" w:rsidP="00943083">
      <w:pPr>
        <w:spacing w:after="200" w:line="360" w:lineRule="auto"/>
        <w:jc w:val="both"/>
        <w:rPr>
          <w:color w:val="000000" w:themeColor="text1"/>
        </w:rPr>
      </w:pPr>
      <w:r w:rsidRPr="002563ED">
        <w:rPr>
          <w:color w:val="000000" w:themeColor="text1"/>
        </w:rPr>
        <w:t>Across all four themes, a single analytical finding emerges: the consequences of early technology exposure are determined by the quality, relational context, and intentionality of engagement, not by access alone. Mediation — parental, educational, and institutional — was the operative variable in every dimension examined. Where co-mediated engagement was present, technology produced durable professional competencies, adaptive educational inclusion, and social integration; where it was absent, it produced attentional fragmentation, normalised harm, and compounded social disadvantage.</w:t>
      </w:r>
    </w:p>
    <w:p w14:paraId="638C078F" w14:textId="77777777" w:rsidR="00943083" w:rsidRPr="002563ED" w:rsidRDefault="00943083" w:rsidP="00A529C6">
      <w:pPr>
        <w:spacing w:after="200" w:line="360" w:lineRule="auto"/>
        <w:jc w:val="both"/>
        <w:rPr>
          <w:color w:val="000000" w:themeColor="text1"/>
        </w:rPr>
      </w:pPr>
      <w:r w:rsidRPr="002563ED">
        <w:rPr>
          <w:color w:val="000000" w:themeColor="text1"/>
        </w:rPr>
        <w:t>This finding both corroborates and extends the reviewed literature. Plowman et al. (2010) and Takeuchi and Stevens (2011) established adult involvement as the mechanism through which technology becomes educationally productive; this study confirms that mechanism at the level of individual professional development and identifies its absence as the specific cause of harm. The confirmation resolves the apparent contradiction between studies showing that informal learning produces professional skills (themes 4.1 and 4.4) and those arguing it cannot (Bennett and Maton, 2010; Ng, 2012), by locating the distinction in relational conditions rather than in exposure per se. Kramar’s (2014) sustainable HRM framework is necessary but insufficient if talent strategy does not account for the developmental diversity of employee profiles. The upstream human capital risks generated by exclusionary educational provision and unmediated domestic digital access are inherited by organisations that neither created them nor, under existing reporting frameworks, systematically measure them — a finding consistent with Ehnert et al.’s (2016) observation that sustainability reporting underweights human resource factors. Van Laar et al. (2020) identified communication, collaboration, and problem-solving digital skills as the specific areas where workforce gaps are most acute; this study traces those gaps to childhood conditions, suggesting the intervention point lies earlier in the pipeline than employer-level training programmes can reach.</w:t>
      </w:r>
    </w:p>
    <w:p w14:paraId="12377B36" w14:textId="63FA905D" w:rsidR="00260A2C" w:rsidRPr="002563ED" w:rsidRDefault="00943083" w:rsidP="00260A2C">
      <w:pPr>
        <w:spacing w:after="200" w:line="360" w:lineRule="auto"/>
        <w:jc w:val="both"/>
        <w:rPr>
          <w:color w:val="000000" w:themeColor="text1"/>
        </w:rPr>
      </w:pPr>
      <w:r w:rsidRPr="002563ED">
        <w:rPr>
          <w:color w:val="000000" w:themeColor="text1"/>
        </w:rPr>
        <w:t xml:space="preserve">For RQ1, digital capability is more reliably predicted by contextual richness and relational quality than by age or cohort membership. The digital native framework causes organisations to misattribute skill gaps — treating developmental failures as training failures — and to overlook genuine competencies that co-mediated childhood engagement has produced; competency-based recruitment grounded in actual task performance is a more evidence-consistent approach than inference from educational background or age. For RQ2, the most analytically significant risk is not harm’s prevalence but its mechanism: gradual normalisation </w:t>
      </w:r>
      <w:r w:rsidRPr="002563ED">
        <w:rPr>
          <w:color w:val="000000" w:themeColor="text1"/>
        </w:rPr>
        <w:lastRenderedPageBreak/>
        <w:t>through unmediated exposure generates false negatives in survey-based instruments, meaning harm-reduction frameworks built on prevalence data fail the populations most at risk. For RQ3, sustainable technology integration must engage with how early developmental experience shapes each individual’s relationship with digital tools. Pfeffer’s (2010) argument that sustainable organisations must account for human costs and benefits across the full span of employment is extended upstream by this study’s findings: the human capital a sustainable organisation requires is shaped by decisions made in classrooms and homes years before employment begins, and sustainable workforce strategy that does not account for those decisions is, at best, incomplete.</w:t>
      </w:r>
    </w:p>
    <w:p w14:paraId="1E8135CD" w14:textId="77777777" w:rsidR="00260A2C" w:rsidRPr="002563ED" w:rsidRDefault="00260A2C">
      <w:pPr>
        <w:rPr>
          <w:color w:val="000000" w:themeColor="text1"/>
        </w:rPr>
      </w:pPr>
      <w:r w:rsidRPr="002563ED">
        <w:rPr>
          <w:color w:val="000000" w:themeColor="text1"/>
        </w:rPr>
        <w:br w:type="page"/>
      </w:r>
    </w:p>
    <w:p w14:paraId="6EC86344" w14:textId="537443AD" w:rsidR="00A529C6" w:rsidRPr="00377B49" w:rsidRDefault="00A529C6" w:rsidP="00377B49">
      <w:pPr>
        <w:pStyle w:val="Heading1"/>
        <w:numPr>
          <w:ilvl w:val="0"/>
          <w:numId w:val="40"/>
        </w:numPr>
        <w:jc w:val="center"/>
        <w:rPr>
          <w:color w:val="000000" w:themeColor="text1"/>
        </w:rPr>
      </w:pPr>
      <w:bookmarkStart w:id="47" w:name="_Toc227484330"/>
      <w:r w:rsidRPr="002563ED">
        <w:rPr>
          <w:color w:val="000000" w:themeColor="text1"/>
        </w:rPr>
        <w:lastRenderedPageBreak/>
        <w:t>Conclusion and Recommendations</w:t>
      </w:r>
      <w:bookmarkEnd w:id="47"/>
    </w:p>
    <w:p w14:paraId="189509B6" w14:textId="1C1EEF94" w:rsidR="00A529C6" w:rsidRPr="002563ED" w:rsidRDefault="006B6B6F" w:rsidP="006B6B6F">
      <w:pPr>
        <w:pStyle w:val="Heading2"/>
        <w:numPr>
          <w:ilvl w:val="0"/>
          <w:numId w:val="0"/>
        </w:numPr>
        <w:rPr>
          <w:color w:val="000000" w:themeColor="text1"/>
        </w:rPr>
      </w:pPr>
      <w:bookmarkStart w:id="48" w:name="_Toc227484331"/>
      <w:r w:rsidRPr="002563ED">
        <w:rPr>
          <w:color w:val="000000" w:themeColor="text1"/>
        </w:rPr>
        <w:t xml:space="preserve">6.1 </w:t>
      </w:r>
      <w:r w:rsidRPr="002563ED">
        <w:rPr>
          <w:color w:val="000000" w:themeColor="text1"/>
        </w:rPr>
        <w:t>Evaluation</w:t>
      </w:r>
      <w:r w:rsidRPr="002563ED">
        <w:rPr>
          <w:color w:val="000000" w:themeColor="text1"/>
        </w:rPr>
        <w:t xml:space="preserve"> of Research Objectives</w:t>
      </w:r>
      <w:r w:rsidRPr="002563ED">
        <w:rPr>
          <w:color w:val="000000" w:themeColor="text1"/>
        </w:rPr>
        <w:t xml:space="preserve"> and Questions</w:t>
      </w:r>
      <w:bookmarkEnd w:id="48"/>
    </w:p>
    <w:p w14:paraId="28A25513" w14:textId="77777777" w:rsidR="00A529C6" w:rsidRPr="002563ED" w:rsidRDefault="00A529C6" w:rsidP="00A529C6">
      <w:pPr>
        <w:pStyle w:val="NormalWeb"/>
        <w:spacing w:line="360" w:lineRule="auto"/>
        <w:jc w:val="both"/>
        <w:rPr>
          <w:color w:val="000000" w:themeColor="text1"/>
        </w:rPr>
      </w:pPr>
      <w:r w:rsidRPr="002563ED">
        <w:rPr>
          <w:color w:val="000000" w:themeColor="text1"/>
        </w:rPr>
        <w:t>This study set out to examine how early childhood technology exposure influences workplace skill development through the research questions. Through a qualitative phenomenological methodology combining Moustakas (1994) transcendental phenomenology with Smith et al. (2022) Interpretative Phenomenological Analysis, the research engaged three participants across two stakeholder groups to explore the lived experiences behind these questions.</w:t>
      </w:r>
    </w:p>
    <w:p w14:paraId="76A67817" w14:textId="5A49AF78" w:rsidR="00A529C6" w:rsidRPr="002563ED" w:rsidRDefault="007658DB" w:rsidP="00A529C6">
      <w:pPr>
        <w:spacing w:line="360" w:lineRule="auto"/>
        <w:jc w:val="both"/>
        <w:rPr>
          <w:color w:val="000000" w:themeColor="text1"/>
        </w:rPr>
      </w:pPr>
      <w:r w:rsidRPr="002563ED">
        <w:rPr>
          <w:color w:val="000000" w:themeColor="text1"/>
        </w:rPr>
        <w:t xml:space="preserve">RO1 </w:t>
      </w:r>
      <w:r w:rsidR="00A529C6" w:rsidRPr="002563ED">
        <w:rPr>
          <w:color w:val="000000" w:themeColor="text1"/>
        </w:rPr>
        <w:t xml:space="preserve"> was achieved comprehensively. The literature review identified substantial evidence that technology's developmental impact depends on relational and contextual factors rather than exposure alone, revealed persistent challenges to the digital native assumption, and established that sustainable integration requires purposeful adult mediation. The review successfully positioned the research within existing scholarly debates whilst identifying gaps, particularly the absence of phenomenological investigation into how multiple stakeholders experience and interpret the relationship between childhood technology exposure and professional capability.</w:t>
      </w:r>
    </w:p>
    <w:p w14:paraId="6B5A016A" w14:textId="287E77E2" w:rsidR="00A529C6" w:rsidRPr="002563ED" w:rsidRDefault="007658DB" w:rsidP="00A529C6">
      <w:pPr>
        <w:pStyle w:val="NormalWeb"/>
        <w:spacing w:line="360" w:lineRule="auto"/>
        <w:jc w:val="both"/>
        <w:rPr>
          <w:color w:val="000000" w:themeColor="text1"/>
        </w:rPr>
      </w:pPr>
      <w:r w:rsidRPr="002563ED">
        <w:rPr>
          <w:color w:val="000000" w:themeColor="text1"/>
        </w:rPr>
        <w:t xml:space="preserve">RO2 </w:t>
      </w:r>
      <w:r w:rsidR="00A529C6" w:rsidRPr="002563ED">
        <w:rPr>
          <w:color w:val="000000" w:themeColor="text1"/>
        </w:rPr>
        <w:t xml:space="preserve"> was partially achieved. The original research design anticipated fifteen participants across three stakeholder groups, including employers. Resource constraints, time limitations, and recruitment challenges reduced participation to three individuals across two groups, with the employer perspective notably absent. This represents a significant deviation from the intended scope. However, the depth of insight obtained from the participating parent and two young professionals proved substantial. The phenomenological approach enabled rich, detailed accounts that revealed seven superordinate themes demonstrating how technology functions simultaneously as developmental scaffold, adaptive educational resource, social capital, site of harm, and constitutive influence on professional identity. The quality of data obtained, whilst limited in breadth, achieved the depth characteristic of rigorous phenomenological inquiry.</w:t>
      </w:r>
    </w:p>
    <w:p w14:paraId="1D58A5B7" w14:textId="299C2EAF" w:rsidR="006B6B6F" w:rsidRPr="002563ED" w:rsidRDefault="007658DB" w:rsidP="00A529C6">
      <w:pPr>
        <w:pStyle w:val="NormalWeb"/>
        <w:spacing w:line="360" w:lineRule="auto"/>
        <w:jc w:val="both"/>
        <w:rPr>
          <w:color w:val="000000" w:themeColor="text1"/>
        </w:rPr>
      </w:pPr>
      <w:r w:rsidRPr="002563ED">
        <w:rPr>
          <w:color w:val="000000" w:themeColor="text1"/>
        </w:rPr>
        <w:t xml:space="preserve">RO3 </w:t>
      </w:r>
      <w:r w:rsidR="00A529C6" w:rsidRPr="002563ED">
        <w:rPr>
          <w:color w:val="000000" w:themeColor="text1"/>
        </w:rPr>
        <w:t>was achieved through synthesis of primary and secondary findings. The recommendations presented below demonstrate how stakeholder-specific guidance emerges directly from the convergence of participant experiences and theoretical frameworks established in the literature review.</w:t>
      </w:r>
    </w:p>
    <w:p w14:paraId="3777D370" w14:textId="77777777" w:rsidR="00A529C6" w:rsidRPr="002563ED" w:rsidRDefault="00A529C6" w:rsidP="00A529C6">
      <w:pPr>
        <w:pStyle w:val="NormalWeb"/>
        <w:spacing w:line="360" w:lineRule="auto"/>
        <w:jc w:val="both"/>
        <w:rPr>
          <w:color w:val="000000" w:themeColor="text1"/>
        </w:rPr>
      </w:pPr>
      <w:r w:rsidRPr="002563ED">
        <w:rPr>
          <w:color w:val="000000" w:themeColor="text1"/>
        </w:rPr>
        <w:lastRenderedPageBreak/>
        <w:t>Across all research questions, the central finding emerged with clarity: the consequences of early technology exposure are determined by mediation quality, relational context, and intentionality rather than access or duration alone. This finding directly answers RQ1 by establishing that employability skills develop through co-mediated engagement where adults provide educational interpretations, model professional use, and transform passive consumption into active learning. RQ2 is addressed through evidence that workplace skill discrepancies stem not from exposure levels but from the presence or absence of adult guidance, structured learning contexts, and purposeful engagement. Young professionals who experienced co-mediated technology use demonstrated adaptive digital capability and professional confidence, whilst those with unmediated access reported normalised harm, attention fragmentation, and skill gaps. RQ3’s most significant contribution is the finding that sustainable integration cannot follow universal laws but must adapt to individual developmental profiles, with particular attention to neurodivergent learners for whom technology enables educational inclusion that conventional provision cannot replicate.</w:t>
      </w:r>
    </w:p>
    <w:p w14:paraId="119BC07C" w14:textId="77777777" w:rsidR="00EE4C74" w:rsidRPr="002563ED" w:rsidRDefault="00EE4C74" w:rsidP="00A529C6">
      <w:pPr>
        <w:pStyle w:val="NormalWeb"/>
        <w:spacing w:line="360" w:lineRule="auto"/>
        <w:jc w:val="both"/>
        <w:rPr>
          <w:color w:val="000000" w:themeColor="text1"/>
        </w:rPr>
      </w:pPr>
    </w:p>
    <w:p w14:paraId="0AF7397F" w14:textId="77777777" w:rsidR="00A529C6" w:rsidRPr="002563ED" w:rsidRDefault="00A529C6" w:rsidP="00A529C6">
      <w:pPr>
        <w:pStyle w:val="Heading2"/>
        <w:numPr>
          <w:ilvl w:val="0"/>
          <w:numId w:val="0"/>
        </w:numPr>
        <w:ind w:left="720" w:hanging="720"/>
        <w:rPr>
          <w:color w:val="000000" w:themeColor="text1"/>
        </w:rPr>
      </w:pPr>
      <w:bookmarkStart w:id="49" w:name="_Toc227484332"/>
      <w:r w:rsidRPr="002563ED">
        <w:rPr>
          <w:color w:val="000000" w:themeColor="text1"/>
        </w:rPr>
        <w:t>6.2 Evaluation of Research Strengths and Limitations</w:t>
      </w:r>
      <w:bookmarkEnd w:id="49"/>
    </w:p>
    <w:p w14:paraId="49656D64" w14:textId="77777777" w:rsidR="00A529C6" w:rsidRPr="002563ED" w:rsidRDefault="00A529C6" w:rsidP="00A529C6">
      <w:pPr>
        <w:pStyle w:val="NormalWeb"/>
        <w:spacing w:line="360" w:lineRule="auto"/>
        <w:jc w:val="both"/>
        <w:rPr>
          <w:color w:val="000000" w:themeColor="text1"/>
        </w:rPr>
      </w:pPr>
      <w:r w:rsidRPr="002563ED">
        <w:rPr>
          <w:color w:val="000000" w:themeColor="text1"/>
        </w:rPr>
        <w:t>The research demonstrates several methodological strengths. The phenomenological approach successfully captured dimensions of experience that quantitative instruments would miss, revealing how childhood technology experiences become woven into professional identity in ways participants themselves had not previously articulated. The dual analytical framework combining Moustakas's phenomenological reduction with IPA enabled both description of lived experience and interpretation of its meanings, producing findings with theoretical and practical implications. The epoché process, implemented through position statements and iterative reflexivity, strengthened the credibility of interpretations by making the researcher's assumptions visible and subject to conscious suspension.</w:t>
      </w:r>
    </w:p>
    <w:p w14:paraId="53226E44" w14:textId="77777777" w:rsidR="00A529C6" w:rsidRPr="002563ED" w:rsidRDefault="00A529C6" w:rsidP="00A529C6">
      <w:pPr>
        <w:pStyle w:val="NormalWeb"/>
        <w:spacing w:line="360" w:lineRule="auto"/>
        <w:jc w:val="both"/>
        <w:rPr>
          <w:color w:val="000000" w:themeColor="text1"/>
        </w:rPr>
      </w:pPr>
      <w:r w:rsidRPr="002563ED">
        <w:rPr>
          <w:color w:val="000000" w:themeColor="text1"/>
        </w:rPr>
        <w:t xml:space="preserve">However, substantial limitations constrain the study's contributions. The sample size of three participants severely limits transferability, preventing confident generalisation beyond this specific context. The absence of employer perspectives represents a substantial gap, as employers provide observational data on workplace performance that neither parents nor young professionals can offer from their positions. The cross-sectional design captures perceptions at a single moment rather than tracking developmental trajectories longitudinally, preventing </w:t>
      </w:r>
      <w:r w:rsidRPr="002563ED">
        <w:rPr>
          <w:color w:val="000000" w:themeColor="text1"/>
        </w:rPr>
        <w:lastRenderedPageBreak/>
        <w:t>examination of how childhood technology experiences manifest across career stages. Reliance on retrospective recall introduces memory reconstruction bias, particularly for young professionals describing childhood experiences that occurred years earlier. The geographic focus on Wales and England, whilst appropriate for a bounded case study, limits applicability to contexts with different educational systems, cultural attitudes toward technology, or socioeconomic conditions.</w:t>
      </w:r>
    </w:p>
    <w:p w14:paraId="24B89DF3" w14:textId="60B4A746" w:rsidR="00A529C6" w:rsidRPr="002563ED" w:rsidRDefault="00A529C6" w:rsidP="00A529C6">
      <w:pPr>
        <w:pStyle w:val="NormalWeb"/>
        <w:spacing w:line="360" w:lineRule="auto"/>
        <w:jc w:val="both"/>
        <w:rPr>
          <w:color w:val="000000" w:themeColor="text1"/>
        </w:rPr>
      </w:pPr>
      <w:r w:rsidRPr="002563ED">
        <w:rPr>
          <w:color w:val="000000" w:themeColor="text1"/>
        </w:rPr>
        <w:t>The phenomenological methodology itself introduces epistemological constraints. By prioritising subjective meaning over objective measurement, the study cannot establish causal relationships or quantify effect sizes. The findings represent how participants experience and interpret technology's influence, not necessarily how technology objectively affects development independent of perception. Additionally, self-selection bias likely shaped participation, as individuals with strong opinions about technology—either positive or negative—may have been more willing to volunteer than those with neutral views.</w:t>
      </w:r>
      <w:r w:rsidR="007658DB" w:rsidRPr="002563ED">
        <w:rPr>
          <w:color w:val="000000" w:themeColor="text1"/>
        </w:rPr>
        <w:t xml:space="preserve"> </w:t>
      </w:r>
      <w:r w:rsidRPr="002563ED">
        <w:rPr>
          <w:color w:val="000000" w:themeColor="text1"/>
        </w:rPr>
        <w:t>The research design's most significant weakness lies in the misalignment between original ambitions and achieved scope. The reduction from fifteen to three participants, necessitated by recruitment challenges and time constraints, fundamentally altered the study's capacity to achieve its stated objectives. This discrepancy between intended and actual methodology represents a research design limitation that future investigations must address through more realistic planning aligned with available resources.</w:t>
      </w:r>
    </w:p>
    <w:p w14:paraId="2AC4A804" w14:textId="77777777" w:rsidR="00EE4C74" w:rsidRPr="002563ED" w:rsidRDefault="00EE4C74" w:rsidP="00A529C6">
      <w:pPr>
        <w:pStyle w:val="NormalWeb"/>
        <w:spacing w:line="360" w:lineRule="auto"/>
        <w:jc w:val="both"/>
        <w:rPr>
          <w:color w:val="000000" w:themeColor="text1"/>
        </w:rPr>
      </w:pPr>
    </w:p>
    <w:p w14:paraId="59903D15" w14:textId="77777777" w:rsidR="00A529C6" w:rsidRPr="002563ED" w:rsidRDefault="00A529C6" w:rsidP="00A529C6">
      <w:pPr>
        <w:pStyle w:val="Heading2"/>
        <w:numPr>
          <w:ilvl w:val="0"/>
          <w:numId w:val="0"/>
        </w:numPr>
        <w:ind w:left="720" w:hanging="720"/>
        <w:rPr>
          <w:color w:val="000000" w:themeColor="text1"/>
        </w:rPr>
      </w:pPr>
      <w:bookmarkStart w:id="50" w:name="_Toc227484333"/>
      <w:r w:rsidRPr="002563ED">
        <w:rPr>
          <w:color w:val="000000" w:themeColor="text1"/>
        </w:rPr>
        <w:t>6.3 Recommendations for Parents</w:t>
      </w:r>
      <w:bookmarkEnd w:id="50"/>
    </w:p>
    <w:p w14:paraId="082D21CC" w14:textId="07EF4296" w:rsidR="00A529C6" w:rsidRPr="002563ED" w:rsidRDefault="00A529C6" w:rsidP="00A529C6">
      <w:pPr>
        <w:pStyle w:val="NormalWeb"/>
        <w:spacing w:line="360" w:lineRule="auto"/>
        <w:jc w:val="both"/>
        <w:rPr>
          <w:color w:val="000000" w:themeColor="text1"/>
        </w:rPr>
      </w:pPr>
      <w:r w:rsidRPr="002563ED">
        <w:rPr>
          <w:color w:val="000000" w:themeColor="text1"/>
        </w:rPr>
        <w:t>Parents are recommended to prioritise active co-engagement over screen time restriction as the primary mechanism for shaping beneficial technology experiences. The evidence demonstrates that sitting with children during digital activities, discussing content, asking questions that develop critical thinking, and modelling professional technology use produces durable competencies that passive supervision or blanket prohibition cannot replicate. Co-viewing transforms screen time from a passive to an interactive, social experience where adults provide interpretive frameworks that children use to process content and transfer learning to other contexts.</w:t>
      </w:r>
      <w:r w:rsidR="00D12C2F" w:rsidRPr="002563ED">
        <w:rPr>
          <w:color w:val="000000" w:themeColor="text1"/>
        </w:rPr>
        <w:t xml:space="preserve"> </w:t>
      </w:r>
      <w:r w:rsidRPr="002563ED">
        <w:rPr>
          <w:color w:val="000000" w:themeColor="text1"/>
        </w:rPr>
        <w:t xml:space="preserve">Digital safety literacy requires explicit, age-appropriate instruction equivalent in priority to traditional literacy and numeracy. The normalisation of online grooming and harmful content exposure revealed in this research indicates that hoping children will navigate </w:t>
      </w:r>
      <w:r w:rsidRPr="002563ED">
        <w:rPr>
          <w:color w:val="000000" w:themeColor="text1"/>
        </w:rPr>
        <w:lastRenderedPageBreak/>
        <w:t>digital risks independently constitutes neglect rather than trust. Parents must establish ongoing conversations about privacy, consent, manipulation tactics, and appropriate responses to harmful content, treating these discussions as developmental necessities rather than occasional interventions.</w:t>
      </w:r>
      <w:r w:rsidR="007658DB" w:rsidRPr="002563ED">
        <w:rPr>
          <w:color w:val="000000" w:themeColor="text1"/>
        </w:rPr>
        <w:t xml:space="preserve"> </w:t>
      </w:r>
      <w:r w:rsidRPr="002563ED">
        <w:rPr>
          <w:color w:val="000000" w:themeColor="text1"/>
        </w:rPr>
        <w:t>Technology selection should prioritise interactive, purposeful applications over passive consumption. Educational applications designed according to evidence-based learning principles—requiring active engagement, providing meaningful context, enabling social interaction, and establishing clear learning goals—produce measurably different outcomes than entertainment-focused content marketed with educational claims. Parents should evaluate applications against these criteria rather than accepting commercial educational branding universally.</w:t>
      </w:r>
    </w:p>
    <w:p w14:paraId="46764D3A" w14:textId="77777777" w:rsidR="00A529C6" w:rsidRPr="002563ED" w:rsidRDefault="00A529C6" w:rsidP="00A529C6">
      <w:pPr>
        <w:pStyle w:val="NormalWeb"/>
        <w:spacing w:line="360" w:lineRule="auto"/>
        <w:jc w:val="both"/>
        <w:rPr>
          <w:color w:val="000000" w:themeColor="text1"/>
        </w:rPr>
      </w:pPr>
      <w:r w:rsidRPr="002563ED">
        <w:rPr>
          <w:color w:val="000000" w:themeColor="text1"/>
        </w:rPr>
        <w:t>Social exclusion from peer digital culture imposes real costs that well-intentioned restriction may inadvertently create. Parents navigating decisions about social media access and gaming must weigh developmental protection against social marginalisation, recognising that complete withdrawal from shared digital spaces can isolate children from peer groups in ways that compound rather than mitigate risk. Graduated, supervised access with clear boundaries often serves development better than absolute prohibition.</w:t>
      </w:r>
    </w:p>
    <w:p w14:paraId="7D693CE5" w14:textId="77777777" w:rsidR="00EE4C74" w:rsidRPr="002563ED" w:rsidRDefault="00EE4C74" w:rsidP="00A529C6">
      <w:pPr>
        <w:pStyle w:val="NormalWeb"/>
        <w:spacing w:line="360" w:lineRule="auto"/>
        <w:jc w:val="both"/>
        <w:rPr>
          <w:color w:val="000000" w:themeColor="text1"/>
        </w:rPr>
      </w:pPr>
    </w:p>
    <w:p w14:paraId="437D73CD" w14:textId="77777777" w:rsidR="00A529C6" w:rsidRPr="002563ED" w:rsidRDefault="00A529C6" w:rsidP="00A529C6">
      <w:pPr>
        <w:pStyle w:val="Heading2"/>
        <w:numPr>
          <w:ilvl w:val="0"/>
          <w:numId w:val="0"/>
        </w:numPr>
        <w:ind w:left="720" w:hanging="720"/>
        <w:rPr>
          <w:color w:val="000000" w:themeColor="text1"/>
        </w:rPr>
      </w:pPr>
      <w:bookmarkStart w:id="51" w:name="_Toc227484334"/>
      <w:r w:rsidRPr="002563ED">
        <w:rPr>
          <w:color w:val="000000" w:themeColor="text1"/>
        </w:rPr>
        <w:t>6.4 Recommendations for Educational Institutions</w:t>
      </w:r>
      <w:bookmarkEnd w:id="51"/>
    </w:p>
    <w:p w14:paraId="3ED04F1F" w14:textId="77777777" w:rsidR="00A529C6" w:rsidRPr="002563ED" w:rsidRDefault="00A529C6" w:rsidP="00A529C6">
      <w:pPr>
        <w:pStyle w:val="NormalWeb"/>
        <w:spacing w:line="360" w:lineRule="auto"/>
        <w:jc w:val="both"/>
        <w:rPr>
          <w:color w:val="000000" w:themeColor="text1"/>
        </w:rPr>
      </w:pPr>
      <w:r w:rsidRPr="002563ED">
        <w:rPr>
          <w:color w:val="000000" w:themeColor="text1"/>
        </w:rPr>
        <w:t>Educational institutions must replace reactive technology policies with structured, pedagogically guided digital literacy provision integrated throughout curricula. The evidence demonstrates that blanket institutional bans concentrate disadvantage among students whose home environments lack equivalent digital engagement, whilst poorly designed access without pedagogical intentionality produces the same passive consumption patterns that generate developmental deficits. Schools should embed professional communication, creative software proficiency, data management, and digital literacy as core competencies developed across all subject areas.</w:t>
      </w:r>
    </w:p>
    <w:p w14:paraId="16A27B8F" w14:textId="4A399DEA" w:rsidR="00A529C6" w:rsidRPr="002563ED" w:rsidRDefault="00A529C6" w:rsidP="00A529C6">
      <w:pPr>
        <w:pStyle w:val="NormalWeb"/>
        <w:spacing w:line="360" w:lineRule="auto"/>
        <w:jc w:val="both"/>
        <w:rPr>
          <w:color w:val="000000" w:themeColor="text1"/>
        </w:rPr>
      </w:pPr>
      <w:r w:rsidRPr="002563ED">
        <w:rPr>
          <w:color w:val="000000" w:themeColor="text1"/>
        </w:rPr>
        <w:t xml:space="preserve">Educator professional development in technology integration requires substantial institutional investment. The findings confirm that technology's educational value depends entirely on how adults mediate its use, yet most educators receive minimal training in evidence-based digital pedagogy. Schools must provide ongoing professional learning opportunities that develop </w:t>
      </w:r>
      <w:r w:rsidRPr="002563ED">
        <w:rPr>
          <w:color w:val="000000" w:themeColor="text1"/>
        </w:rPr>
        <w:lastRenderedPageBreak/>
        <w:t>teachers' capacity to use technology as a tool supporting existing learning goals rather than as a replacement for active instruction.</w:t>
      </w:r>
      <w:r w:rsidR="00D12C2F" w:rsidRPr="002563ED">
        <w:rPr>
          <w:color w:val="000000" w:themeColor="text1"/>
        </w:rPr>
        <w:t xml:space="preserve"> </w:t>
      </w:r>
      <w:r w:rsidRPr="002563ED">
        <w:rPr>
          <w:color w:val="000000" w:themeColor="text1"/>
        </w:rPr>
        <w:t>Neurodivergent learners require particular attention in technology policy development. The research revealed that for some neurodivergent students, technology enables educational access that conventional fixed-schedule provision cannot accommodate. Policies designed for neurotypical populations may inadvertently exclude students for whom digital tools provide essential adaptive supports. Schools should develop flexible, individualised approaches that recognise technology's role in enabling rather than impeding neurodivergent inclusion.</w:t>
      </w:r>
    </w:p>
    <w:p w14:paraId="726ADE95" w14:textId="77777777" w:rsidR="00A529C6" w:rsidRPr="002563ED" w:rsidRDefault="00A529C6" w:rsidP="00A529C6">
      <w:pPr>
        <w:pStyle w:val="NormalWeb"/>
        <w:spacing w:line="360" w:lineRule="auto"/>
        <w:jc w:val="both"/>
        <w:rPr>
          <w:color w:val="000000" w:themeColor="text1"/>
        </w:rPr>
      </w:pPr>
      <w:r w:rsidRPr="002563ED">
        <w:rPr>
          <w:color w:val="000000" w:themeColor="text1"/>
        </w:rPr>
        <w:t>Assessment of digital competency must distinguish between consumer-level familiarity and professional capability. Schools should implement competency-based evaluation that tests strategic, adaptive digital skills rather than assuming that frequent recreational technology use develops workplace-ready capabilities.</w:t>
      </w:r>
    </w:p>
    <w:p w14:paraId="369027B6" w14:textId="77777777" w:rsidR="00EE4C74" w:rsidRPr="002563ED" w:rsidRDefault="00EE4C74" w:rsidP="00A529C6">
      <w:pPr>
        <w:pStyle w:val="NormalWeb"/>
        <w:spacing w:line="360" w:lineRule="auto"/>
        <w:jc w:val="both"/>
        <w:rPr>
          <w:color w:val="000000" w:themeColor="text1"/>
        </w:rPr>
      </w:pPr>
    </w:p>
    <w:p w14:paraId="08E9FED5" w14:textId="77777777" w:rsidR="00A529C6" w:rsidRPr="002563ED" w:rsidRDefault="00A529C6" w:rsidP="00A529C6">
      <w:pPr>
        <w:pStyle w:val="Heading2"/>
        <w:numPr>
          <w:ilvl w:val="0"/>
          <w:numId w:val="0"/>
        </w:numPr>
        <w:ind w:left="720" w:hanging="720"/>
        <w:rPr>
          <w:color w:val="000000" w:themeColor="text1"/>
        </w:rPr>
      </w:pPr>
      <w:bookmarkStart w:id="52" w:name="_Toc227484335"/>
      <w:r w:rsidRPr="002563ED">
        <w:rPr>
          <w:color w:val="000000" w:themeColor="text1"/>
        </w:rPr>
        <w:t>6.5 Recommendations for Business and Practice</w:t>
      </w:r>
      <w:bookmarkEnd w:id="52"/>
    </w:p>
    <w:p w14:paraId="13E1D8DE" w14:textId="77777777" w:rsidR="00A529C6" w:rsidRPr="002563ED" w:rsidRDefault="00A529C6" w:rsidP="00A529C6">
      <w:pPr>
        <w:pStyle w:val="NormalWeb"/>
        <w:spacing w:line="360" w:lineRule="auto"/>
        <w:jc w:val="both"/>
        <w:rPr>
          <w:color w:val="000000" w:themeColor="text1"/>
        </w:rPr>
      </w:pPr>
      <w:r w:rsidRPr="002563ED">
        <w:rPr>
          <w:color w:val="000000" w:themeColor="text1"/>
        </w:rPr>
        <w:t>Employers should abandon generational digital native assumptions in favour of competency-based assessment grounded in demonstrated task performance. The research confirms that age predicts digital capability poorly compared to quality of prior engagement, breadth of experience, and access to guided learning. Recruitment and onboarding processes should investigate the developmental contexts that shaped candidates' digital skills rather than inferring capability from age cohorts.</w:t>
      </w:r>
    </w:p>
    <w:p w14:paraId="5289BD51" w14:textId="0CB5BA9E" w:rsidR="00A529C6" w:rsidRPr="002563ED" w:rsidRDefault="00A529C6" w:rsidP="00A529C6">
      <w:pPr>
        <w:pStyle w:val="NormalWeb"/>
        <w:spacing w:line="360" w:lineRule="auto"/>
        <w:jc w:val="both"/>
        <w:rPr>
          <w:color w:val="000000" w:themeColor="text1"/>
        </w:rPr>
      </w:pPr>
      <w:r w:rsidRPr="002563ED">
        <w:rPr>
          <w:color w:val="000000" w:themeColor="text1"/>
        </w:rPr>
        <w:t>Workforce development strategies must account for the diverse developmental histories employees bring to work. Some young professionals possess adaptive, strategic digital capabilities developed through rich co-mediated childhood engagement; others demonstrate consumer-level familiarity masking fundamental skill gaps. Training programmes should assess baseline capabilities individually rather than designing one-size-fits-all interventions based on demographic assumptions.</w:t>
      </w:r>
      <w:r w:rsidR="00D12C2F" w:rsidRPr="002563ED">
        <w:rPr>
          <w:color w:val="000000" w:themeColor="text1"/>
        </w:rPr>
        <w:t xml:space="preserve"> </w:t>
      </w:r>
      <w:r w:rsidRPr="002563ED">
        <w:rPr>
          <w:color w:val="000000" w:themeColor="text1"/>
        </w:rPr>
        <w:t xml:space="preserve">Sustainable human resource management frameworks should begin to recognise childhood digital environment quality as an upstream determinant of organisational capability. Current reporting emphasises employee wellbeing within employment relationships but ignores the developmental conditions that shape workforce competencies before individuals enter professional contexts. Organisations concerned with </w:t>
      </w:r>
      <w:r w:rsidRPr="002563ED">
        <w:rPr>
          <w:color w:val="000000" w:themeColor="text1"/>
        </w:rPr>
        <w:lastRenderedPageBreak/>
        <w:t>long-term human capital sustainability should consider how educational partnerships, community technology access programmes, and advocacy for evidence-based digital literacy standards might address capability gaps at their developmental origins.</w:t>
      </w:r>
    </w:p>
    <w:p w14:paraId="3F9C4C05" w14:textId="77777777" w:rsidR="00EE4C74" w:rsidRPr="002563ED" w:rsidRDefault="00EE4C74" w:rsidP="00A529C6">
      <w:pPr>
        <w:pStyle w:val="NormalWeb"/>
        <w:spacing w:line="360" w:lineRule="auto"/>
        <w:jc w:val="both"/>
        <w:rPr>
          <w:color w:val="000000" w:themeColor="text1"/>
        </w:rPr>
      </w:pPr>
    </w:p>
    <w:p w14:paraId="0930AB70" w14:textId="77777777" w:rsidR="00A529C6" w:rsidRPr="002563ED" w:rsidRDefault="00A529C6" w:rsidP="00A529C6">
      <w:pPr>
        <w:pStyle w:val="Heading2"/>
        <w:numPr>
          <w:ilvl w:val="0"/>
          <w:numId w:val="0"/>
        </w:numPr>
        <w:ind w:left="720" w:hanging="720"/>
        <w:rPr>
          <w:color w:val="000000" w:themeColor="text1"/>
        </w:rPr>
      </w:pPr>
      <w:bookmarkStart w:id="53" w:name="_Toc227484336"/>
      <w:r w:rsidRPr="002563ED">
        <w:rPr>
          <w:color w:val="000000" w:themeColor="text1"/>
        </w:rPr>
        <w:t>6.6 Directions for Future Research and Concluding Thoughts</w:t>
      </w:r>
      <w:bookmarkEnd w:id="53"/>
    </w:p>
    <w:p w14:paraId="2B2DA774" w14:textId="77777777" w:rsidR="00A529C6" w:rsidRPr="002563ED" w:rsidRDefault="00A529C6" w:rsidP="00A529C6">
      <w:pPr>
        <w:pStyle w:val="NormalWeb"/>
        <w:spacing w:line="360" w:lineRule="auto"/>
        <w:jc w:val="both"/>
        <w:rPr>
          <w:color w:val="000000" w:themeColor="text1"/>
        </w:rPr>
      </w:pPr>
      <w:r w:rsidRPr="002563ED">
        <w:rPr>
          <w:color w:val="000000" w:themeColor="text1"/>
        </w:rPr>
        <w:t>From this research, three research directions are recommended. Longitudinal designs tracking engagement quality through to professional outcomes would provide empirical grounding for the developmental pathways suggested here. This cross-sectional study captures perceptions at a single moment; following participants across career stages would reveal how childhood technology experiences manifest in workplace performance over time.</w:t>
      </w:r>
    </w:p>
    <w:p w14:paraId="117DD6B9" w14:textId="77777777" w:rsidR="00A529C6" w:rsidRPr="002563ED" w:rsidRDefault="00A529C6" w:rsidP="00A529C6">
      <w:pPr>
        <w:pStyle w:val="NormalWeb"/>
        <w:spacing w:line="360" w:lineRule="auto"/>
        <w:jc w:val="both"/>
        <w:rPr>
          <w:color w:val="000000" w:themeColor="text1"/>
        </w:rPr>
      </w:pPr>
      <w:r w:rsidRPr="002563ED">
        <w:rPr>
          <w:color w:val="000000" w:themeColor="text1"/>
        </w:rPr>
        <w:t>Research examining digital technology as a developmental and educational resource specifically for neurodivergent populations represents an urgent knowledge gap. No equivalent study was identified in the literature review, yet the findings suggest that technology may enable neurodivergent inclusion in ways conventional provision cannot replicate. Understanding these mechanisms rigorously could transform educational practice.</w:t>
      </w:r>
    </w:p>
    <w:p w14:paraId="23A338EC" w14:textId="77777777" w:rsidR="00A529C6" w:rsidRPr="002563ED" w:rsidRDefault="00A529C6" w:rsidP="00A529C6">
      <w:pPr>
        <w:pStyle w:val="NormalWeb"/>
        <w:spacing w:line="360" w:lineRule="auto"/>
        <w:jc w:val="both"/>
        <w:rPr>
          <w:color w:val="000000" w:themeColor="text1"/>
        </w:rPr>
      </w:pPr>
      <w:r w:rsidRPr="002563ED">
        <w:rPr>
          <w:color w:val="000000" w:themeColor="text1"/>
        </w:rPr>
        <w:t>The implications of generative artificial intelligence exposure during early childhood for professional skill formation constitute an emerging research frontier requiring dedicated inquiry. The technologies shaping current children's development differ fundamentally from those examined in existing literature, necessitating new empirical investigation.</w:t>
      </w:r>
    </w:p>
    <w:p w14:paraId="36F7095E" w14:textId="73234523" w:rsidR="00EE4C74" w:rsidRPr="002563ED" w:rsidRDefault="00A529C6" w:rsidP="00EE4C74">
      <w:pPr>
        <w:pStyle w:val="NormalWeb"/>
        <w:spacing w:line="360" w:lineRule="auto"/>
        <w:jc w:val="both"/>
        <w:rPr>
          <w:color w:val="000000" w:themeColor="text1"/>
        </w:rPr>
      </w:pPr>
      <w:r w:rsidRPr="002563ED">
        <w:rPr>
          <w:color w:val="000000" w:themeColor="text1"/>
        </w:rPr>
        <w:t xml:space="preserve">Early childhood technology exposure, when purposefully mediated, constitutes a </w:t>
      </w:r>
      <w:r w:rsidR="00377B49">
        <w:rPr>
          <w:color w:val="000000" w:themeColor="text1"/>
        </w:rPr>
        <w:t>valuable</w:t>
      </w:r>
      <w:r w:rsidRPr="002563ED">
        <w:rPr>
          <w:color w:val="000000" w:themeColor="text1"/>
        </w:rPr>
        <w:t xml:space="preserve"> developmental resource with measurable long-term professional value. The participants in this study traced discrete, durable competencies directly to specific childhood digital experiences shaped by knowledgeable adults. That these connections had not been consciously articulated before the research interview reflects both the depth at which such learning operates and the extent to which workforces already contain human capital shaped by childhood digital environments that organisations have not begun to measure systematically. The challenge for parents, institutions, and employers is not to resolve a binary debate between access and restriction, but to invest in the relational and interpretive conditions that make engagement </w:t>
      </w:r>
      <w:r w:rsidR="009824B1" w:rsidRPr="002563ED">
        <w:rPr>
          <w:color w:val="000000" w:themeColor="text1"/>
        </w:rPr>
        <w:t>productive conditions</w:t>
      </w:r>
      <w:r w:rsidRPr="002563ED">
        <w:rPr>
          <w:color w:val="000000" w:themeColor="text1"/>
        </w:rPr>
        <w:t xml:space="preserve"> whose quality, the evidence indicates, constitutes among the most </w:t>
      </w:r>
      <w:r w:rsidRPr="002563ED">
        <w:rPr>
          <w:color w:val="000000" w:themeColor="text1"/>
        </w:rPr>
        <w:lastRenderedPageBreak/>
        <w:t>consequential determinants of workforce capability. In recognising technology neither as solution nor threat but as a tool whose developmental impact depends entirely on the social contexts of its use, this research contributes one small piece to the larger project of understanding how childhood experiences shape the professional skills contemporary workplaces require.</w:t>
      </w:r>
    </w:p>
    <w:p w14:paraId="59A6E29C" w14:textId="77777777" w:rsidR="00EE4C74" w:rsidRPr="002563ED" w:rsidRDefault="00EE4C74">
      <w:pPr>
        <w:rPr>
          <w:color w:val="000000" w:themeColor="text1"/>
        </w:rPr>
      </w:pPr>
      <w:r w:rsidRPr="002563ED">
        <w:rPr>
          <w:color w:val="000000" w:themeColor="text1"/>
        </w:rPr>
        <w:br w:type="page"/>
      </w:r>
    </w:p>
    <w:p w14:paraId="76D7E1FD" w14:textId="2DFB60D1" w:rsidR="00323208" w:rsidRPr="002563ED" w:rsidRDefault="00485748" w:rsidP="00EE4C74">
      <w:pPr>
        <w:pStyle w:val="ListParagraph"/>
        <w:numPr>
          <w:ilvl w:val="0"/>
          <w:numId w:val="38"/>
        </w:numPr>
        <w:jc w:val="center"/>
        <w:outlineLvl w:val="0"/>
        <w:rPr>
          <w:b/>
          <w:bCs/>
          <w:color w:val="000000" w:themeColor="text1"/>
          <w:sz w:val="40"/>
          <w:szCs w:val="40"/>
        </w:rPr>
      </w:pPr>
      <w:bookmarkStart w:id="54" w:name="_Toc227484337"/>
      <w:r w:rsidRPr="002563ED">
        <w:rPr>
          <w:b/>
          <w:bCs/>
          <w:color w:val="000000" w:themeColor="text1"/>
          <w:sz w:val="40"/>
          <w:szCs w:val="40"/>
        </w:rPr>
        <w:lastRenderedPageBreak/>
        <w:t>References</w:t>
      </w:r>
      <w:bookmarkEnd w:id="54"/>
    </w:p>
    <w:p w14:paraId="6581D7CA" w14:textId="77777777" w:rsidR="008B0CF4" w:rsidRPr="002563ED" w:rsidRDefault="008B0CF4" w:rsidP="008B0CF4">
      <w:pPr>
        <w:jc w:val="center"/>
        <w:outlineLvl w:val="0"/>
        <w:rPr>
          <w:b/>
          <w:bCs/>
          <w:color w:val="000000" w:themeColor="text1"/>
          <w:sz w:val="40"/>
          <w:szCs w:val="40"/>
        </w:rPr>
      </w:pPr>
    </w:p>
    <w:p w14:paraId="2C7CF405"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Barr, R., Lauricella, A., Zack, E., &amp; Calvert, S. L. (2010). Infant and early childhood exposure to adult-directed and child-directed television programming: Relations with cognitive skills at age four. </w:t>
      </w:r>
      <w:r w:rsidRPr="002563ED">
        <w:rPr>
          <w:i/>
          <w:iCs/>
          <w:color w:val="000000" w:themeColor="text1"/>
          <w:sz w:val="22"/>
          <w:szCs w:val="22"/>
        </w:rPr>
        <w:t>Merrill-Palmer Quarterly, 56</w:t>
      </w:r>
      <w:r w:rsidRPr="002563ED">
        <w:rPr>
          <w:color w:val="000000" w:themeColor="text1"/>
          <w:sz w:val="22"/>
          <w:szCs w:val="22"/>
        </w:rPr>
        <w:t xml:space="preserve">(1), 21–48. </w:t>
      </w:r>
      <w:hyperlink r:id="rId11" w:history="1">
        <w:r w:rsidRPr="002563ED">
          <w:rPr>
            <w:rStyle w:val="Hyperlink"/>
            <w:i/>
            <w:iCs/>
            <w:color w:val="000000" w:themeColor="text1"/>
            <w:sz w:val="22"/>
            <w:szCs w:val="22"/>
          </w:rPr>
          <w:t>https://doi.org/10.1353/mpq.0.0038</w:t>
        </w:r>
      </w:hyperlink>
    </w:p>
    <w:p w14:paraId="50AA3DA8"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Bennett, S., &amp; Maton, K. (2010). Beyond the 'digital natives' debate: Towards a more nuanced understanding of students' technology experiences. </w:t>
      </w:r>
      <w:r w:rsidRPr="002563ED">
        <w:rPr>
          <w:i/>
          <w:iCs/>
          <w:color w:val="000000" w:themeColor="text1"/>
          <w:sz w:val="22"/>
          <w:szCs w:val="22"/>
        </w:rPr>
        <w:t>Journal of Computer Assisted Learning, 26</w:t>
      </w:r>
      <w:r w:rsidRPr="002563ED">
        <w:rPr>
          <w:color w:val="000000" w:themeColor="text1"/>
          <w:sz w:val="22"/>
          <w:szCs w:val="22"/>
        </w:rPr>
        <w:t xml:space="preserve">(5), 321–331. </w:t>
      </w:r>
      <w:hyperlink r:id="rId12" w:history="1">
        <w:r w:rsidRPr="002563ED">
          <w:rPr>
            <w:rStyle w:val="Hyperlink"/>
            <w:i/>
            <w:iCs/>
            <w:color w:val="000000" w:themeColor="text1"/>
            <w:sz w:val="22"/>
            <w:szCs w:val="22"/>
          </w:rPr>
          <w:t>https://doi.org/10.1111/j.1365-2729.2010.00360.x</w:t>
        </w:r>
      </w:hyperlink>
    </w:p>
    <w:p w14:paraId="2E0C27B4"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Bevan, M. T. (2014). A method of phenomenological interviewing. </w:t>
      </w:r>
      <w:r w:rsidRPr="002563ED">
        <w:rPr>
          <w:i/>
          <w:iCs/>
          <w:color w:val="000000" w:themeColor="text1"/>
          <w:sz w:val="22"/>
          <w:szCs w:val="22"/>
        </w:rPr>
        <w:t>Qualitative Health Research, 24</w:t>
      </w:r>
      <w:r w:rsidRPr="002563ED">
        <w:rPr>
          <w:color w:val="000000" w:themeColor="text1"/>
          <w:sz w:val="22"/>
          <w:szCs w:val="22"/>
        </w:rPr>
        <w:t xml:space="preserve">(1), 136–144. </w:t>
      </w:r>
      <w:hyperlink r:id="rId13" w:history="1">
        <w:r w:rsidRPr="002563ED">
          <w:rPr>
            <w:rStyle w:val="Hyperlink"/>
            <w:i/>
            <w:iCs/>
            <w:color w:val="000000" w:themeColor="text1"/>
            <w:sz w:val="22"/>
            <w:szCs w:val="22"/>
          </w:rPr>
          <w:t>https://doi.org/10.1177/1049732313519710</w:t>
        </w:r>
      </w:hyperlink>
    </w:p>
    <w:p w14:paraId="235BFDC8"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Braun, V., &amp; Clarke, V. (2019). Reflecting on reflexive thematic analysis. </w:t>
      </w:r>
      <w:r w:rsidRPr="002563ED">
        <w:rPr>
          <w:i/>
          <w:iCs/>
          <w:color w:val="000000" w:themeColor="text1"/>
          <w:sz w:val="22"/>
          <w:szCs w:val="22"/>
        </w:rPr>
        <w:t>Qualitative Research in Sport, Exercise and Health, 11</w:t>
      </w:r>
      <w:r w:rsidRPr="002563ED">
        <w:rPr>
          <w:color w:val="000000" w:themeColor="text1"/>
          <w:sz w:val="22"/>
          <w:szCs w:val="22"/>
        </w:rPr>
        <w:t xml:space="preserve">(4), 589–597. </w:t>
      </w:r>
      <w:hyperlink r:id="rId14" w:history="1">
        <w:r w:rsidRPr="002563ED">
          <w:rPr>
            <w:rStyle w:val="Hyperlink"/>
            <w:i/>
            <w:iCs/>
            <w:color w:val="000000" w:themeColor="text1"/>
            <w:sz w:val="22"/>
            <w:szCs w:val="22"/>
          </w:rPr>
          <w:t>https://doi.org/10.1080/2159676X.2019.1628806</w:t>
        </w:r>
      </w:hyperlink>
    </w:p>
    <w:p w14:paraId="1B23AFE2"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Braun, V., &amp; Clarke, V. (2021). </w:t>
      </w:r>
      <w:r w:rsidRPr="002563ED">
        <w:rPr>
          <w:i/>
          <w:iCs/>
          <w:color w:val="000000" w:themeColor="text1"/>
          <w:sz w:val="22"/>
          <w:szCs w:val="22"/>
        </w:rPr>
        <w:t>Thematic analysis: A practical guide.</w:t>
      </w:r>
      <w:r w:rsidRPr="002563ED">
        <w:rPr>
          <w:color w:val="000000" w:themeColor="text1"/>
          <w:sz w:val="22"/>
          <w:szCs w:val="22"/>
        </w:rPr>
        <w:t xml:space="preserve"> SAGE Publications.</w:t>
      </w:r>
    </w:p>
    <w:p w14:paraId="431F3CDB"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Brinkmann, S., &amp; Kvale, S. (2018). </w:t>
      </w:r>
      <w:r w:rsidRPr="002563ED">
        <w:rPr>
          <w:i/>
          <w:iCs/>
          <w:color w:val="000000" w:themeColor="text1"/>
          <w:sz w:val="22"/>
          <w:szCs w:val="22"/>
        </w:rPr>
        <w:t>Doing interviews</w:t>
      </w:r>
      <w:r w:rsidRPr="002563ED">
        <w:rPr>
          <w:color w:val="000000" w:themeColor="text1"/>
          <w:sz w:val="22"/>
          <w:szCs w:val="22"/>
        </w:rPr>
        <w:t xml:space="preserve"> (2nd ed.). SAGE Publications.</w:t>
      </w:r>
    </w:p>
    <w:p w14:paraId="206E698A"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Christakis, D. A., Zimmerman, F. J., DiGiuseppe, D. L., &amp; McCarty, C. A. (2004). Early television exposure and subsequent attentional problems in children. </w:t>
      </w:r>
      <w:r w:rsidRPr="002563ED">
        <w:rPr>
          <w:i/>
          <w:iCs/>
          <w:color w:val="000000" w:themeColor="text1"/>
          <w:sz w:val="22"/>
          <w:szCs w:val="22"/>
        </w:rPr>
        <w:t>Pediatrics, 113</w:t>
      </w:r>
      <w:r w:rsidRPr="002563ED">
        <w:rPr>
          <w:color w:val="000000" w:themeColor="text1"/>
          <w:sz w:val="22"/>
          <w:szCs w:val="22"/>
        </w:rPr>
        <w:t xml:space="preserve">(4), 708–713. </w:t>
      </w:r>
      <w:hyperlink r:id="rId15" w:history="1">
        <w:r w:rsidRPr="002563ED">
          <w:rPr>
            <w:rStyle w:val="Hyperlink"/>
            <w:i/>
            <w:iCs/>
            <w:color w:val="000000" w:themeColor="text1"/>
            <w:sz w:val="22"/>
            <w:szCs w:val="22"/>
          </w:rPr>
          <w:t>https://doi.org/10.1542/peds.113.4.708</w:t>
        </w:r>
      </w:hyperlink>
    </w:p>
    <w:p w14:paraId="46D38DA7"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Courage, M. L., &amp; Setliff, A. E. (2010). When babies watch television: Attention-getting, attention-holding, and the implications for learning from video material. </w:t>
      </w:r>
      <w:r w:rsidRPr="002563ED">
        <w:rPr>
          <w:i/>
          <w:iCs/>
          <w:color w:val="000000" w:themeColor="text1"/>
          <w:sz w:val="22"/>
          <w:szCs w:val="22"/>
        </w:rPr>
        <w:t>Developmental Review, 30</w:t>
      </w:r>
      <w:r w:rsidRPr="002563ED">
        <w:rPr>
          <w:color w:val="000000" w:themeColor="text1"/>
          <w:sz w:val="22"/>
          <w:szCs w:val="22"/>
        </w:rPr>
        <w:t xml:space="preserve">(2), 220–238. </w:t>
      </w:r>
      <w:hyperlink r:id="rId16" w:history="1">
        <w:r w:rsidRPr="002563ED">
          <w:rPr>
            <w:rStyle w:val="Hyperlink"/>
            <w:i/>
            <w:iCs/>
            <w:color w:val="000000" w:themeColor="text1"/>
            <w:sz w:val="22"/>
            <w:szCs w:val="22"/>
          </w:rPr>
          <w:t>https://doi.org/10.1016/j.dr.2010.03.003</w:t>
        </w:r>
      </w:hyperlink>
    </w:p>
    <w:p w14:paraId="3CEE1430"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Creswell, J. W., &amp; Poth, C. N. (2018). </w:t>
      </w:r>
      <w:r w:rsidRPr="002563ED">
        <w:rPr>
          <w:i/>
          <w:iCs/>
          <w:color w:val="000000" w:themeColor="text1"/>
          <w:sz w:val="22"/>
          <w:szCs w:val="22"/>
        </w:rPr>
        <w:t>Qualitative inquiry and research design: Choosing among five approaches</w:t>
      </w:r>
      <w:r w:rsidRPr="002563ED">
        <w:rPr>
          <w:color w:val="000000" w:themeColor="text1"/>
          <w:sz w:val="22"/>
          <w:szCs w:val="22"/>
        </w:rPr>
        <w:t xml:space="preserve"> (4th ed.). SAGE Publications.</w:t>
      </w:r>
    </w:p>
    <w:p w14:paraId="14894B15"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Ehnert, I., Parsa, S., Roper, I., Wagner, M., &amp; Muller-Camen, M. (2016). Reporting on sustainability and HRM: A comparative study of sustainability reporting practices by the world's largest companies. </w:t>
      </w:r>
      <w:r w:rsidRPr="002563ED">
        <w:rPr>
          <w:i/>
          <w:iCs/>
          <w:color w:val="000000" w:themeColor="text1"/>
          <w:sz w:val="22"/>
          <w:szCs w:val="22"/>
        </w:rPr>
        <w:t>The International Journal of Human Resource Management, 27</w:t>
      </w:r>
      <w:r w:rsidRPr="002563ED">
        <w:rPr>
          <w:color w:val="000000" w:themeColor="text1"/>
          <w:sz w:val="22"/>
          <w:szCs w:val="22"/>
        </w:rPr>
        <w:t xml:space="preserve">(1), 88–108. </w:t>
      </w:r>
      <w:hyperlink r:id="rId17" w:history="1">
        <w:r w:rsidRPr="002563ED">
          <w:rPr>
            <w:rStyle w:val="Hyperlink"/>
            <w:i/>
            <w:iCs/>
            <w:color w:val="000000" w:themeColor="text1"/>
            <w:sz w:val="22"/>
            <w:szCs w:val="22"/>
          </w:rPr>
          <w:t>https://doi.org/10.1080/09585192.2015.1024157</w:t>
        </w:r>
      </w:hyperlink>
    </w:p>
    <w:p w14:paraId="72122FB4"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Finlay, L. (2022). </w:t>
      </w:r>
      <w:r w:rsidRPr="002563ED">
        <w:rPr>
          <w:i/>
          <w:iCs/>
          <w:color w:val="000000" w:themeColor="text1"/>
          <w:sz w:val="22"/>
          <w:szCs w:val="22"/>
        </w:rPr>
        <w:t>Phenomenology for therapists: Researching the lived world</w:t>
      </w:r>
      <w:r w:rsidRPr="002563ED">
        <w:rPr>
          <w:color w:val="000000" w:themeColor="text1"/>
          <w:sz w:val="22"/>
          <w:szCs w:val="22"/>
        </w:rPr>
        <w:t xml:space="preserve"> (2nd ed.). Wiley-Blackwell.</w:t>
      </w:r>
    </w:p>
    <w:p w14:paraId="3EBD0CBE"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Gui, M., &amp; Argentin, G. (2011). Digital skills of internet natives: Different forms of digital literacy in a random sample of northern Italian high school students. </w:t>
      </w:r>
      <w:r w:rsidRPr="002563ED">
        <w:rPr>
          <w:i/>
          <w:iCs/>
          <w:color w:val="000000" w:themeColor="text1"/>
          <w:sz w:val="22"/>
          <w:szCs w:val="22"/>
        </w:rPr>
        <w:t>New Media &amp; Society, 13</w:t>
      </w:r>
      <w:r w:rsidRPr="002563ED">
        <w:rPr>
          <w:color w:val="000000" w:themeColor="text1"/>
          <w:sz w:val="22"/>
          <w:szCs w:val="22"/>
        </w:rPr>
        <w:t xml:space="preserve">(6), 963–980. </w:t>
      </w:r>
      <w:hyperlink r:id="rId18" w:history="1">
        <w:r w:rsidRPr="002563ED">
          <w:rPr>
            <w:rStyle w:val="Hyperlink"/>
            <w:i/>
            <w:iCs/>
            <w:color w:val="000000" w:themeColor="text1"/>
            <w:sz w:val="22"/>
            <w:szCs w:val="22"/>
          </w:rPr>
          <w:t>https://doi.org/10.1177/1461444810389751</w:t>
        </w:r>
      </w:hyperlink>
    </w:p>
    <w:p w14:paraId="759EB4B4"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Heidegger, M. (1962). </w:t>
      </w:r>
      <w:r w:rsidRPr="002563ED">
        <w:rPr>
          <w:i/>
          <w:iCs/>
          <w:color w:val="000000" w:themeColor="text1"/>
          <w:sz w:val="22"/>
          <w:szCs w:val="22"/>
        </w:rPr>
        <w:t>Being and time</w:t>
      </w:r>
      <w:r w:rsidRPr="002563ED">
        <w:rPr>
          <w:color w:val="000000" w:themeColor="text1"/>
          <w:sz w:val="22"/>
          <w:szCs w:val="22"/>
        </w:rPr>
        <w:t xml:space="preserve"> (J. Macquarrie &amp; E. Robinson, Trans.). Harper &amp; Row. (Original work published 1927)</w:t>
      </w:r>
    </w:p>
    <w:p w14:paraId="64875BDE"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Helsper, E. J., &amp; Eynon, R. (2010). Digital natives: Where is the evidence? </w:t>
      </w:r>
      <w:r w:rsidRPr="002563ED">
        <w:rPr>
          <w:i/>
          <w:iCs/>
          <w:color w:val="000000" w:themeColor="text1"/>
          <w:sz w:val="22"/>
          <w:szCs w:val="22"/>
        </w:rPr>
        <w:t>British Educational Research Journal, 36</w:t>
      </w:r>
      <w:r w:rsidRPr="002563ED">
        <w:rPr>
          <w:color w:val="000000" w:themeColor="text1"/>
          <w:sz w:val="22"/>
          <w:szCs w:val="22"/>
        </w:rPr>
        <w:t xml:space="preserve">(3), 503–520. </w:t>
      </w:r>
      <w:hyperlink r:id="rId19" w:history="1">
        <w:r w:rsidRPr="002563ED">
          <w:rPr>
            <w:rStyle w:val="Hyperlink"/>
            <w:i/>
            <w:iCs/>
            <w:color w:val="000000" w:themeColor="text1"/>
            <w:sz w:val="22"/>
            <w:szCs w:val="22"/>
          </w:rPr>
          <w:t>https://doi.org/10.1080/01411920902989227</w:t>
        </w:r>
      </w:hyperlink>
    </w:p>
    <w:p w14:paraId="37DC44DE"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Hirsh-Pasek, K., Zosh, J. M., Golinkoff, R. M., Gray, J. H., Robb, M. B., &amp; Kaufman, J. (2015). Putting education in "educational" apps: Lessons from the science of learning. </w:t>
      </w:r>
      <w:r w:rsidRPr="002563ED">
        <w:rPr>
          <w:i/>
          <w:iCs/>
          <w:color w:val="000000" w:themeColor="text1"/>
          <w:sz w:val="22"/>
          <w:szCs w:val="22"/>
        </w:rPr>
        <w:t>Psychological Science in the Public Interest, 16</w:t>
      </w:r>
      <w:r w:rsidRPr="002563ED">
        <w:rPr>
          <w:color w:val="000000" w:themeColor="text1"/>
          <w:sz w:val="22"/>
          <w:szCs w:val="22"/>
        </w:rPr>
        <w:t xml:space="preserve">(1), 3–34. </w:t>
      </w:r>
      <w:hyperlink r:id="rId20" w:history="1">
        <w:r w:rsidRPr="002563ED">
          <w:rPr>
            <w:rStyle w:val="Hyperlink"/>
            <w:i/>
            <w:iCs/>
            <w:color w:val="000000" w:themeColor="text1"/>
            <w:sz w:val="22"/>
            <w:szCs w:val="22"/>
          </w:rPr>
          <w:t>https://doi.org/10.1177/1529100615569721</w:t>
        </w:r>
      </w:hyperlink>
    </w:p>
    <w:p w14:paraId="184ABDBC"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Husserl, E. (1970). </w:t>
      </w:r>
      <w:r w:rsidRPr="002563ED">
        <w:rPr>
          <w:i/>
          <w:iCs/>
          <w:color w:val="000000" w:themeColor="text1"/>
          <w:sz w:val="22"/>
          <w:szCs w:val="22"/>
        </w:rPr>
        <w:t>The crisis of European sciences and transcendental phenomenology</w:t>
      </w:r>
      <w:r w:rsidRPr="002563ED">
        <w:rPr>
          <w:color w:val="000000" w:themeColor="text1"/>
          <w:sz w:val="22"/>
          <w:szCs w:val="22"/>
        </w:rPr>
        <w:t xml:space="preserve"> (D. Carr, Trans.). Northwestern University Press. (Original work published 1936)</w:t>
      </w:r>
    </w:p>
    <w:p w14:paraId="065D9AE9" w14:textId="77777777" w:rsidR="008B0CF4" w:rsidRPr="002563ED" w:rsidRDefault="008B0CF4" w:rsidP="008B0CF4">
      <w:pPr>
        <w:spacing w:after="200"/>
        <w:ind w:left="720" w:hanging="720"/>
        <w:rPr>
          <w:color w:val="000000" w:themeColor="text1"/>
        </w:rPr>
      </w:pPr>
      <w:r w:rsidRPr="002563ED">
        <w:rPr>
          <w:color w:val="000000" w:themeColor="text1"/>
          <w:sz w:val="22"/>
          <w:szCs w:val="22"/>
        </w:rPr>
        <w:lastRenderedPageBreak/>
        <w:t xml:space="preserve">Hutton, J. S., Dudley, J., Horowitz-Kraus, T., DeWitt, T., &amp; Holland, S. K. (2020). Associations between screen-based media use and brain white matter integrity in preschool-aged children. </w:t>
      </w:r>
      <w:r w:rsidRPr="002563ED">
        <w:rPr>
          <w:i/>
          <w:iCs/>
          <w:color w:val="000000" w:themeColor="text1"/>
          <w:sz w:val="22"/>
          <w:szCs w:val="22"/>
        </w:rPr>
        <w:t>JAMA Pediatrics, 174</w:t>
      </w:r>
      <w:r w:rsidRPr="002563ED">
        <w:rPr>
          <w:color w:val="000000" w:themeColor="text1"/>
          <w:sz w:val="22"/>
          <w:szCs w:val="22"/>
        </w:rPr>
        <w:t xml:space="preserve">(1), e193869. </w:t>
      </w:r>
      <w:hyperlink r:id="rId21" w:history="1">
        <w:r w:rsidRPr="002563ED">
          <w:rPr>
            <w:rStyle w:val="Hyperlink"/>
            <w:i/>
            <w:iCs/>
            <w:color w:val="000000" w:themeColor="text1"/>
            <w:sz w:val="22"/>
            <w:szCs w:val="22"/>
          </w:rPr>
          <w:t>https://doi.org/10.1001/jamapediatrics.2019.3869</w:t>
        </w:r>
      </w:hyperlink>
    </w:p>
    <w:p w14:paraId="500C864E"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Kallio, H., Pietilä, A. M., Johnson, M., &amp; Kangasniemi, M. (2016). Systematic methodological review: Developing a framework for a qualitative semi-structured interview guide. </w:t>
      </w:r>
      <w:r w:rsidRPr="002563ED">
        <w:rPr>
          <w:i/>
          <w:iCs/>
          <w:color w:val="000000" w:themeColor="text1"/>
          <w:sz w:val="22"/>
          <w:szCs w:val="22"/>
        </w:rPr>
        <w:t>Journal of Advanced Nursing, 72</w:t>
      </w:r>
      <w:r w:rsidRPr="002563ED">
        <w:rPr>
          <w:color w:val="000000" w:themeColor="text1"/>
          <w:sz w:val="22"/>
          <w:szCs w:val="22"/>
        </w:rPr>
        <w:t xml:space="preserve">(12), 2954–2965. </w:t>
      </w:r>
      <w:hyperlink r:id="rId22" w:history="1">
        <w:r w:rsidRPr="002563ED">
          <w:rPr>
            <w:rStyle w:val="Hyperlink"/>
            <w:i/>
            <w:iCs/>
            <w:color w:val="000000" w:themeColor="text1"/>
            <w:sz w:val="22"/>
            <w:szCs w:val="22"/>
          </w:rPr>
          <w:t>https://doi.org/10.1111/jan.13031</w:t>
        </w:r>
      </w:hyperlink>
    </w:p>
    <w:p w14:paraId="0B8937E1"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Kirschner, P. A., &amp; De Bruyckere, P. (2017). The myths of the digital native and the multitasker. </w:t>
      </w:r>
      <w:r w:rsidRPr="002563ED">
        <w:rPr>
          <w:i/>
          <w:iCs/>
          <w:color w:val="000000" w:themeColor="text1"/>
          <w:sz w:val="22"/>
          <w:szCs w:val="22"/>
        </w:rPr>
        <w:t>Teaching and Teacher Education, 67</w:t>
      </w:r>
      <w:r w:rsidRPr="002563ED">
        <w:rPr>
          <w:color w:val="000000" w:themeColor="text1"/>
          <w:sz w:val="22"/>
          <w:szCs w:val="22"/>
        </w:rPr>
        <w:t xml:space="preserve">, 135–142. </w:t>
      </w:r>
      <w:hyperlink r:id="rId23" w:history="1">
        <w:r w:rsidRPr="002563ED">
          <w:rPr>
            <w:rStyle w:val="Hyperlink"/>
            <w:i/>
            <w:iCs/>
            <w:color w:val="000000" w:themeColor="text1"/>
            <w:sz w:val="22"/>
            <w:szCs w:val="22"/>
          </w:rPr>
          <w:t>https://doi.org/10.1016/j.tate.2017.06.001</w:t>
        </w:r>
      </w:hyperlink>
    </w:p>
    <w:p w14:paraId="2A31688A"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Kramar, R. (2014). Beyond strategic human resource management: Is sustainable human resource management the next approach? </w:t>
      </w:r>
      <w:r w:rsidRPr="002563ED">
        <w:rPr>
          <w:i/>
          <w:iCs/>
          <w:color w:val="000000" w:themeColor="text1"/>
          <w:sz w:val="22"/>
          <w:szCs w:val="22"/>
        </w:rPr>
        <w:t>The International Journal of Human Resource Management, 25</w:t>
      </w:r>
      <w:r w:rsidRPr="002563ED">
        <w:rPr>
          <w:color w:val="000000" w:themeColor="text1"/>
          <w:sz w:val="22"/>
          <w:szCs w:val="22"/>
        </w:rPr>
        <w:t xml:space="preserve">(8), 1069–1089. </w:t>
      </w:r>
      <w:hyperlink r:id="rId24" w:history="1">
        <w:r w:rsidRPr="002563ED">
          <w:rPr>
            <w:rStyle w:val="Hyperlink"/>
            <w:i/>
            <w:iCs/>
            <w:color w:val="000000" w:themeColor="text1"/>
            <w:sz w:val="22"/>
            <w:szCs w:val="22"/>
          </w:rPr>
          <w:t>https://doi.org/10.1080/09585192.2013.816863</w:t>
        </w:r>
      </w:hyperlink>
    </w:p>
    <w:p w14:paraId="448439A5"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Lincoln, Y. S., &amp; Guba, E. G. (1985). </w:t>
      </w:r>
      <w:r w:rsidRPr="002563ED">
        <w:rPr>
          <w:i/>
          <w:iCs/>
          <w:color w:val="000000" w:themeColor="text1"/>
          <w:sz w:val="22"/>
          <w:szCs w:val="22"/>
        </w:rPr>
        <w:t>Naturalistic inquiry.</w:t>
      </w:r>
      <w:r w:rsidRPr="002563ED">
        <w:rPr>
          <w:color w:val="000000" w:themeColor="text1"/>
          <w:sz w:val="22"/>
          <w:szCs w:val="22"/>
        </w:rPr>
        <w:t xml:space="preserve"> SAGE Publications.</w:t>
      </w:r>
    </w:p>
    <w:p w14:paraId="1FA43BAC"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Madigan, S., Browne, D., Racine, N., Mori, C., &amp; Tough, S. (2019). Association between screen time and children's performance on a developmental screening test. </w:t>
      </w:r>
      <w:r w:rsidRPr="002563ED">
        <w:rPr>
          <w:i/>
          <w:iCs/>
          <w:color w:val="000000" w:themeColor="text1"/>
          <w:sz w:val="22"/>
          <w:szCs w:val="22"/>
        </w:rPr>
        <w:t>JAMA Pediatrics, 173</w:t>
      </w:r>
      <w:r w:rsidRPr="002563ED">
        <w:rPr>
          <w:color w:val="000000" w:themeColor="text1"/>
          <w:sz w:val="22"/>
          <w:szCs w:val="22"/>
        </w:rPr>
        <w:t xml:space="preserve">(3), 244–250. </w:t>
      </w:r>
      <w:hyperlink r:id="rId25" w:history="1">
        <w:r w:rsidRPr="002563ED">
          <w:rPr>
            <w:rStyle w:val="Hyperlink"/>
            <w:i/>
            <w:iCs/>
            <w:color w:val="000000" w:themeColor="text1"/>
            <w:sz w:val="22"/>
            <w:szCs w:val="22"/>
          </w:rPr>
          <w:t>https://doi.org/10.1001/jamapediatrics.2018.5056</w:t>
        </w:r>
      </w:hyperlink>
    </w:p>
    <w:p w14:paraId="7A91E8F5"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Moustakas, C. (1994). </w:t>
      </w:r>
      <w:r w:rsidRPr="002563ED">
        <w:rPr>
          <w:i/>
          <w:iCs/>
          <w:color w:val="000000" w:themeColor="text1"/>
          <w:sz w:val="22"/>
          <w:szCs w:val="22"/>
        </w:rPr>
        <w:t>Phenomenological research methods.</w:t>
      </w:r>
      <w:r w:rsidRPr="002563ED">
        <w:rPr>
          <w:color w:val="000000" w:themeColor="text1"/>
          <w:sz w:val="22"/>
          <w:szCs w:val="22"/>
        </w:rPr>
        <w:t xml:space="preserve"> SAGE Publications.</w:t>
      </w:r>
    </w:p>
    <w:p w14:paraId="4AA2F70A"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National Association for the Education of Young Children &amp; Fred Rogers Center. (2012). </w:t>
      </w:r>
      <w:r w:rsidRPr="002563ED">
        <w:rPr>
          <w:i/>
          <w:iCs/>
          <w:color w:val="000000" w:themeColor="text1"/>
          <w:sz w:val="22"/>
          <w:szCs w:val="22"/>
        </w:rPr>
        <w:t>Technology and interactive media as tools in early childhood programs serving children from birth through age 8.</w:t>
      </w:r>
      <w:r w:rsidRPr="002563ED">
        <w:rPr>
          <w:color w:val="000000" w:themeColor="text1"/>
          <w:sz w:val="22"/>
          <w:szCs w:val="22"/>
        </w:rPr>
        <w:t xml:space="preserve"> NAEYC. </w:t>
      </w:r>
      <w:hyperlink r:id="rId26" w:history="1">
        <w:r w:rsidRPr="002563ED">
          <w:rPr>
            <w:rStyle w:val="Hyperlink"/>
            <w:i/>
            <w:iCs/>
            <w:color w:val="000000" w:themeColor="text1"/>
            <w:sz w:val="22"/>
            <w:szCs w:val="22"/>
          </w:rPr>
          <w:t>https://www.naeyc.org/sites/default/files/globally-shared/downloads/PDFs/resources/position-statements/ps_technology.pdf</w:t>
        </w:r>
      </w:hyperlink>
    </w:p>
    <w:p w14:paraId="68EC1405"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Ng, W. (2012). Can we teach digital natives digital literacy? </w:t>
      </w:r>
      <w:r w:rsidRPr="002563ED">
        <w:rPr>
          <w:i/>
          <w:iCs/>
          <w:color w:val="000000" w:themeColor="text1"/>
          <w:sz w:val="22"/>
          <w:szCs w:val="22"/>
        </w:rPr>
        <w:t>Computers &amp; Education, 59</w:t>
      </w:r>
      <w:r w:rsidRPr="002563ED">
        <w:rPr>
          <w:color w:val="000000" w:themeColor="text1"/>
          <w:sz w:val="22"/>
          <w:szCs w:val="22"/>
        </w:rPr>
        <w:t xml:space="preserve">(3), 1065–1078. </w:t>
      </w:r>
      <w:hyperlink r:id="rId27" w:history="1">
        <w:r w:rsidRPr="002563ED">
          <w:rPr>
            <w:rStyle w:val="Hyperlink"/>
            <w:i/>
            <w:iCs/>
            <w:color w:val="000000" w:themeColor="text1"/>
            <w:sz w:val="22"/>
            <w:szCs w:val="22"/>
          </w:rPr>
          <w:t>https://doi.org/10.1016/j.compedu.2012.04.016</w:t>
        </w:r>
      </w:hyperlink>
    </w:p>
    <w:p w14:paraId="43C8F868"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Nowell, L. S., Norris, J. M., White, D. E., &amp; Moules, N. J. (2017). Thematic analysis: Striving to meet the trustworthiness criteria. </w:t>
      </w:r>
      <w:r w:rsidRPr="002563ED">
        <w:rPr>
          <w:i/>
          <w:iCs/>
          <w:color w:val="000000" w:themeColor="text1"/>
          <w:sz w:val="22"/>
          <w:szCs w:val="22"/>
        </w:rPr>
        <w:t>International Journal of Qualitative Methods, 16</w:t>
      </w:r>
      <w:r w:rsidRPr="002563ED">
        <w:rPr>
          <w:color w:val="000000" w:themeColor="text1"/>
          <w:sz w:val="22"/>
          <w:szCs w:val="22"/>
        </w:rPr>
        <w:t xml:space="preserve">(1), 1–13. </w:t>
      </w:r>
      <w:hyperlink r:id="rId28" w:history="1">
        <w:r w:rsidRPr="002563ED">
          <w:rPr>
            <w:rStyle w:val="Hyperlink"/>
            <w:i/>
            <w:iCs/>
            <w:color w:val="000000" w:themeColor="text1"/>
            <w:sz w:val="22"/>
            <w:szCs w:val="22"/>
          </w:rPr>
          <w:t>https://doi.org/10.1177/1609406917733847</w:t>
        </w:r>
      </w:hyperlink>
    </w:p>
    <w:p w14:paraId="0FEE7989"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Noy, C. (2008). Sampling knowledge: The hermeneutics of snowball sampling in qualitative research. </w:t>
      </w:r>
      <w:r w:rsidRPr="002563ED">
        <w:rPr>
          <w:i/>
          <w:iCs/>
          <w:color w:val="000000" w:themeColor="text1"/>
          <w:sz w:val="22"/>
          <w:szCs w:val="22"/>
        </w:rPr>
        <w:t>International Journal of Social Research Methodology, 11</w:t>
      </w:r>
      <w:r w:rsidRPr="002563ED">
        <w:rPr>
          <w:color w:val="000000" w:themeColor="text1"/>
          <w:sz w:val="22"/>
          <w:szCs w:val="22"/>
        </w:rPr>
        <w:t xml:space="preserve">(4), 327–344. </w:t>
      </w:r>
      <w:hyperlink r:id="rId29" w:history="1">
        <w:r w:rsidRPr="002563ED">
          <w:rPr>
            <w:rStyle w:val="Hyperlink"/>
            <w:i/>
            <w:iCs/>
            <w:color w:val="000000" w:themeColor="text1"/>
            <w:sz w:val="22"/>
            <w:szCs w:val="22"/>
          </w:rPr>
          <w:t>https://doi.org/10.1080/13645570701401305</w:t>
        </w:r>
      </w:hyperlink>
    </w:p>
    <w:p w14:paraId="4AB948BF"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Osmani, M., Weerakkody, V., Hindi, N., &amp; Eldabi, T. (2019). Graduates' employability skills: A review of literature against market demand. </w:t>
      </w:r>
      <w:r w:rsidRPr="002563ED">
        <w:rPr>
          <w:i/>
          <w:iCs/>
          <w:color w:val="000000" w:themeColor="text1"/>
          <w:sz w:val="22"/>
          <w:szCs w:val="22"/>
        </w:rPr>
        <w:t>Journal of Education for Business, 94</w:t>
      </w:r>
      <w:r w:rsidRPr="002563ED">
        <w:rPr>
          <w:color w:val="000000" w:themeColor="text1"/>
          <w:sz w:val="22"/>
          <w:szCs w:val="22"/>
        </w:rPr>
        <w:t xml:space="preserve">(7), 423–432. </w:t>
      </w:r>
      <w:hyperlink r:id="rId30" w:history="1">
        <w:r w:rsidRPr="002563ED">
          <w:rPr>
            <w:rStyle w:val="Hyperlink"/>
            <w:i/>
            <w:iCs/>
            <w:color w:val="000000" w:themeColor="text1"/>
            <w:sz w:val="22"/>
            <w:szCs w:val="22"/>
          </w:rPr>
          <w:t>https://doi.org/10.1080/08832323.2018.1545629</w:t>
        </w:r>
      </w:hyperlink>
    </w:p>
    <w:p w14:paraId="4128A845"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Palinkas, L. A., Horwitz, S. M., Green, C. A., Wisdom, J. P., Duan, N., &amp; Hoagwood, K. (2015). Purposeful sampling for qualitative data collection and analysis in mixed method implementation research. </w:t>
      </w:r>
      <w:r w:rsidRPr="002563ED">
        <w:rPr>
          <w:i/>
          <w:iCs/>
          <w:color w:val="000000" w:themeColor="text1"/>
          <w:sz w:val="22"/>
          <w:szCs w:val="22"/>
        </w:rPr>
        <w:t>Administration and Policy in Mental Health, 42</w:t>
      </w:r>
      <w:r w:rsidRPr="002563ED">
        <w:rPr>
          <w:color w:val="000000" w:themeColor="text1"/>
          <w:sz w:val="22"/>
          <w:szCs w:val="22"/>
        </w:rPr>
        <w:t xml:space="preserve">(5), 533–544. </w:t>
      </w:r>
      <w:hyperlink r:id="rId31" w:history="1">
        <w:r w:rsidRPr="002563ED">
          <w:rPr>
            <w:rStyle w:val="Hyperlink"/>
            <w:i/>
            <w:iCs/>
            <w:color w:val="000000" w:themeColor="text1"/>
            <w:sz w:val="22"/>
            <w:szCs w:val="22"/>
          </w:rPr>
          <w:t>https://doi.org/10.1007/s10488-013-0528-y</w:t>
        </w:r>
      </w:hyperlink>
    </w:p>
    <w:p w14:paraId="4FCC3396"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Papadakis, S., Zaranis, N., &amp; Kalogiannakis, M. (2019). Parental involvement and attitudes towards young Greek children's mobile usage. </w:t>
      </w:r>
      <w:r w:rsidRPr="002563ED">
        <w:rPr>
          <w:i/>
          <w:iCs/>
          <w:color w:val="000000" w:themeColor="text1"/>
          <w:sz w:val="22"/>
          <w:szCs w:val="22"/>
        </w:rPr>
        <w:t>International Journal of Child-Computer Interaction, 22</w:t>
      </w:r>
      <w:r w:rsidRPr="002563ED">
        <w:rPr>
          <w:color w:val="000000" w:themeColor="text1"/>
          <w:sz w:val="22"/>
          <w:szCs w:val="22"/>
        </w:rPr>
        <w:t xml:space="preserve">, 100144. </w:t>
      </w:r>
      <w:hyperlink r:id="rId32" w:history="1">
        <w:r w:rsidRPr="002563ED">
          <w:rPr>
            <w:rStyle w:val="Hyperlink"/>
            <w:i/>
            <w:iCs/>
            <w:color w:val="000000" w:themeColor="text1"/>
            <w:sz w:val="22"/>
            <w:szCs w:val="22"/>
          </w:rPr>
          <w:t>https://doi.org/10.1016/j.ijcci.2019.100144</w:t>
        </w:r>
      </w:hyperlink>
    </w:p>
    <w:p w14:paraId="67E3D722"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Patton, M. Q. (2015). </w:t>
      </w:r>
      <w:r w:rsidRPr="002563ED">
        <w:rPr>
          <w:i/>
          <w:iCs/>
          <w:color w:val="000000" w:themeColor="text1"/>
          <w:sz w:val="22"/>
          <w:szCs w:val="22"/>
        </w:rPr>
        <w:t>Qualitative research &amp; evaluation methods: Integrating theory and practice</w:t>
      </w:r>
      <w:r w:rsidRPr="002563ED">
        <w:rPr>
          <w:color w:val="000000" w:themeColor="text1"/>
          <w:sz w:val="22"/>
          <w:szCs w:val="22"/>
        </w:rPr>
        <w:t xml:space="preserve"> (4th ed.). SAGE Publications.</w:t>
      </w:r>
    </w:p>
    <w:p w14:paraId="2AC124CB"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Pfeffer, J. (2010). Building sustainable organisations: The human factor. </w:t>
      </w:r>
      <w:r w:rsidRPr="002563ED">
        <w:rPr>
          <w:i/>
          <w:iCs/>
          <w:color w:val="000000" w:themeColor="text1"/>
          <w:sz w:val="22"/>
          <w:szCs w:val="22"/>
        </w:rPr>
        <w:t>Academy of Management Perspectives, 24</w:t>
      </w:r>
      <w:r w:rsidRPr="002563ED">
        <w:rPr>
          <w:color w:val="000000" w:themeColor="text1"/>
          <w:sz w:val="22"/>
          <w:szCs w:val="22"/>
        </w:rPr>
        <w:t xml:space="preserve">(1), 34–45. </w:t>
      </w:r>
      <w:hyperlink r:id="rId33" w:history="1">
        <w:r w:rsidRPr="002563ED">
          <w:rPr>
            <w:rStyle w:val="Hyperlink"/>
            <w:i/>
            <w:iCs/>
            <w:color w:val="000000" w:themeColor="text1"/>
            <w:sz w:val="22"/>
            <w:szCs w:val="22"/>
          </w:rPr>
          <w:t>https://doi.org/10.5465/amp.24.1.34</w:t>
        </w:r>
      </w:hyperlink>
    </w:p>
    <w:p w14:paraId="4EAD59BC" w14:textId="77777777" w:rsidR="008B0CF4" w:rsidRPr="002563ED" w:rsidRDefault="008B0CF4" w:rsidP="008B0CF4">
      <w:pPr>
        <w:spacing w:after="200"/>
        <w:ind w:left="720" w:hanging="720"/>
        <w:rPr>
          <w:color w:val="000000" w:themeColor="text1"/>
        </w:rPr>
      </w:pPr>
      <w:r w:rsidRPr="002563ED">
        <w:rPr>
          <w:color w:val="000000" w:themeColor="text1"/>
          <w:sz w:val="22"/>
          <w:szCs w:val="22"/>
        </w:rPr>
        <w:lastRenderedPageBreak/>
        <w:t xml:space="preserve">Plowman, L., Stephen, C., &amp; McPake, J. (2010). </w:t>
      </w:r>
      <w:r w:rsidRPr="002563ED">
        <w:rPr>
          <w:i/>
          <w:iCs/>
          <w:color w:val="000000" w:themeColor="text1"/>
          <w:sz w:val="22"/>
          <w:szCs w:val="22"/>
        </w:rPr>
        <w:t>Growing up with technology: Young children learning in a digital world.</w:t>
      </w:r>
      <w:r w:rsidRPr="002563ED">
        <w:rPr>
          <w:color w:val="000000" w:themeColor="text1"/>
          <w:sz w:val="22"/>
          <w:szCs w:val="22"/>
        </w:rPr>
        <w:t xml:space="preserve"> Routledge. </w:t>
      </w:r>
      <w:hyperlink r:id="rId34" w:history="1">
        <w:r w:rsidRPr="002563ED">
          <w:rPr>
            <w:rStyle w:val="Hyperlink"/>
            <w:i/>
            <w:iCs/>
            <w:color w:val="000000" w:themeColor="text1"/>
            <w:sz w:val="22"/>
            <w:szCs w:val="22"/>
          </w:rPr>
          <w:t>https://doi.org/10.4324/9780203863619</w:t>
        </w:r>
      </w:hyperlink>
    </w:p>
    <w:p w14:paraId="6B5860E7"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Radesky, J. S., Schumacher, J., &amp; Zuckerman, B. (2015). Mobile and interactive media use by young children: The good, the bad, and the unknown. </w:t>
      </w:r>
      <w:r w:rsidRPr="002563ED">
        <w:rPr>
          <w:i/>
          <w:iCs/>
          <w:color w:val="000000" w:themeColor="text1"/>
          <w:sz w:val="22"/>
          <w:szCs w:val="22"/>
        </w:rPr>
        <w:t>Pediatrics, 135</w:t>
      </w:r>
      <w:r w:rsidRPr="002563ED">
        <w:rPr>
          <w:color w:val="000000" w:themeColor="text1"/>
          <w:sz w:val="22"/>
          <w:szCs w:val="22"/>
        </w:rPr>
        <w:t xml:space="preserve">(1), 1–3. </w:t>
      </w:r>
      <w:hyperlink r:id="rId35" w:history="1">
        <w:r w:rsidRPr="002563ED">
          <w:rPr>
            <w:rStyle w:val="Hyperlink"/>
            <w:i/>
            <w:iCs/>
            <w:color w:val="000000" w:themeColor="text1"/>
            <w:sz w:val="22"/>
            <w:szCs w:val="22"/>
          </w:rPr>
          <w:t>https://doi.org/10.1542/peds.2014-2251</w:t>
        </w:r>
      </w:hyperlink>
    </w:p>
    <w:p w14:paraId="388A756E"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Saldaña, J. (2021). </w:t>
      </w:r>
      <w:r w:rsidRPr="002563ED">
        <w:rPr>
          <w:i/>
          <w:iCs/>
          <w:color w:val="000000" w:themeColor="text1"/>
          <w:sz w:val="22"/>
          <w:szCs w:val="22"/>
        </w:rPr>
        <w:t>The coding manual for qualitative researchers</w:t>
      </w:r>
      <w:r w:rsidRPr="002563ED">
        <w:rPr>
          <w:color w:val="000000" w:themeColor="text1"/>
          <w:sz w:val="22"/>
          <w:szCs w:val="22"/>
        </w:rPr>
        <w:t xml:space="preserve"> (4th ed.). SAGE Publications.</w:t>
      </w:r>
    </w:p>
    <w:p w14:paraId="32C7CC03"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Saunders, B., &amp; Townsend, K. (2016). Reporting and justifying the number of interview participants in organization and workplace research. </w:t>
      </w:r>
      <w:r w:rsidRPr="002563ED">
        <w:rPr>
          <w:i/>
          <w:iCs/>
          <w:color w:val="000000" w:themeColor="text1"/>
          <w:sz w:val="22"/>
          <w:szCs w:val="22"/>
        </w:rPr>
        <w:t>British Journal of Management, 27</w:t>
      </w:r>
      <w:r w:rsidRPr="002563ED">
        <w:rPr>
          <w:color w:val="000000" w:themeColor="text1"/>
          <w:sz w:val="22"/>
          <w:szCs w:val="22"/>
        </w:rPr>
        <w:t xml:space="preserve">(4), 836–852. </w:t>
      </w:r>
      <w:hyperlink r:id="rId36" w:history="1">
        <w:r w:rsidRPr="002563ED">
          <w:rPr>
            <w:rStyle w:val="Hyperlink"/>
            <w:i/>
            <w:iCs/>
            <w:color w:val="000000" w:themeColor="text1"/>
            <w:sz w:val="22"/>
            <w:szCs w:val="22"/>
          </w:rPr>
          <w:t>https://doi.org/10.1111/1467-8551.12182</w:t>
        </w:r>
      </w:hyperlink>
    </w:p>
    <w:p w14:paraId="35EA5AC5"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Schacter, D. L., &amp; Addis, D. R. (2020). Memory and imagination: Perspectives on constructive episodic simulation. In A. Abraham (Ed.), </w:t>
      </w:r>
      <w:r w:rsidRPr="002563ED">
        <w:rPr>
          <w:i/>
          <w:iCs/>
          <w:color w:val="000000" w:themeColor="text1"/>
          <w:sz w:val="22"/>
          <w:szCs w:val="22"/>
        </w:rPr>
        <w:t>The Cambridge handbook of the imagination</w:t>
      </w:r>
      <w:r w:rsidRPr="002563ED">
        <w:rPr>
          <w:color w:val="000000" w:themeColor="text1"/>
          <w:sz w:val="22"/>
          <w:szCs w:val="22"/>
        </w:rPr>
        <w:t xml:space="preserve"> (pp. 111–131). Cambridge University Press.</w:t>
      </w:r>
    </w:p>
    <w:p w14:paraId="7AA8FC92"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Smith, J. A., &amp; Osborn, M. (2015). Interpretative phenomenological analysis. In J. A. Smith (Ed.), </w:t>
      </w:r>
      <w:r w:rsidRPr="002563ED">
        <w:rPr>
          <w:i/>
          <w:iCs/>
          <w:color w:val="000000" w:themeColor="text1"/>
          <w:sz w:val="22"/>
          <w:szCs w:val="22"/>
        </w:rPr>
        <w:t>Qualitative psychology: A practical guide to research methods</w:t>
      </w:r>
      <w:r w:rsidRPr="002563ED">
        <w:rPr>
          <w:color w:val="000000" w:themeColor="text1"/>
          <w:sz w:val="22"/>
          <w:szCs w:val="22"/>
        </w:rPr>
        <w:t xml:space="preserve"> (3rd ed., pp. 25–52). SAGE Publications.</w:t>
      </w:r>
    </w:p>
    <w:p w14:paraId="3FEE7868"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Smith, J. A., Flowers, P., &amp; Larkin, M. (2022). </w:t>
      </w:r>
      <w:r w:rsidRPr="002563ED">
        <w:rPr>
          <w:i/>
          <w:iCs/>
          <w:color w:val="000000" w:themeColor="text1"/>
          <w:sz w:val="22"/>
          <w:szCs w:val="22"/>
        </w:rPr>
        <w:t>Interpretative phenomenological analysis: Theory, method and research</w:t>
      </w:r>
      <w:r w:rsidRPr="002563ED">
        <w:rPr>
          <w:color w:val="000000" w:themeColor="text1"/>
          <w:sz w:val="22"/>
          <w:szCs w:val="22"/>
        </w:rPr>
        <w:t xml:space="preserve"> (2nd ed.). SAGE Publications.</w:t>
      </w:r>
    </w:p>
    <w:p w14:paraId="3A8E01ED"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Starks, H., &amp; Trinidad, S. B. (2007). Choose your method: A comparison of phenomenology, discourse analysis, and grounded theory. </w:t>
      </w:r>
      <w:r w:rsidRPr="002563ED">
        <w:rPr>
          <w:i/>
          <w:iCs/>
          <w:color w:val="000000" w:themeColor="text1"/>
          <w:sz w:val="22"/>
          <w:szCs w:val="22"/>
        </w:rPr>
        <w:t>Qualitative Health Research, 17</w:t>
      </w:r>
      <w:r w:rsidRPr="002563ED">
        <w:rPr>
          <w:color w:val="000000" w:themeColor="text1"/>
          <w:sz w:val="22"/>
          <w:szCs w:val="22"/>
        </w:rPr>
        <w:t xml:space="preserve">(10), 1372–1380. </w:t>
      </w:r>
      <w:hyperlink r:id="rId37" w:history="1">
        <w:r w:rsidRPr="002563ED">
          <w:rPr>
            <w:rStyle w:val="Hyperlink"/>
            <w:i/>
            <w:iCs/>
            <w:color w:val="000000" w:themeColor="text1"/>
            <w:sz w:val="22"/>
            <w:szCs w:val="22"/>
          </w:rPr>
          <w:t>https://doi.org/10.1177/1049732307307031</w:t>
        </w:r>
      </w:hyperlink>
    </w:p>
    <w:p w14:paraId="74ECBA42"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Takeuchi, L., &amp; Stevens, R. (2011). </w:t>
      </w:r>
      <w:r w:rsidRPr="002563ED">
        <w:rPr>
          <w:i/>
          <w:iCs/>
          <w:color w:val="000000" w:themeColor="text1"/>
          <w:sz w:val="22"/>
          <w:szCs w:val="22"/>
        </w:rPr>
        <w:t>The new coviewing: Designing for learning through joint media engagement.</w:t>
      </w:r>
      <w:r w:rsidRPr="002563ED">
        <w:rPr>
          <w:color w:val="000000" w:themeColor="text1"/>
          <w:sz w:val="22"/>
          <w:szCs w:val="22"/>
        </w:rPr>
        <w:t xml:space="preserve"> Joan Ganz Cooney Center. </w:t>
      </w:r>
      <w:hyperlink r:id="rId38" w:history="1">
        <w:r w:rsidRPr="002563ED">
          <w:rPr>
            <w:rStyle w:val="Hyperlink"/>
            <w:i/>
            <w:iCs/>
            <w:color w:val="000000" w:themeColor="text1"/>
            <w:sz w:val="22"/>
            <w:szCs w:val="22"/>
          </w:rPr>
          <w:t>https://joanganzcooneycenter.org/wp-content/uploads/2011/12/jgcc_coviewing_desktop.pdf</w:t>
        </w:r>
      </w:hyperlink>
    </w:p>
    <w:p w14:paraId="38B27C06"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Tracy, S. J. (2020). </w:t>
      </w:r>
      <w:r w:rsidRPr="002563ED">
        <w:rPr>
          <w:i/>
          <w:iCs/>
          <w:color w:val="000000" w:themeColor="text1"/>
          <w:sz w:val="22"/>
          <w:szCs w:val="22"/>
        </w:rPr>
        <w:t>Qualitative research methods: Collecting evidence, crafting analysis, communicating impact</w:t>
      </w:r>
      <w:r w:rsidRPr="002563ED">
        <w:rPr>
          <w:color w:val="000000" w:themeColor="text1"/>
          <w:sz w:val="22"/>
          <w:szCs w:val="22"/>
        </w:rPr>
        <w:t xml:space="preserve"> (2nd ed.). Wiley-Blackwell.</w:t>
      </w:r>
    </w:p>
    <w:p w14:paraId="324CCA5F"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Tufford, L., &amp; Newman, P. (2012). Bracketing in qualitative research. </w:t>
      </w:r>
      <w:r w:rsidRPr="002563ED">
        <w:rPr>
          <w:i/>
          <w:iCs/>
          <w:color w:val="000000" w:themeColor="text1"/>
          <w:sz w:val="22"/>
          <w:szCs w:val="22"/>
        </w:rPr>
        <w:t>Qualitative Social Work, 11</w:t>
      </w:r>
      <w:r w:rsidRPr="002563ED">
        <w:rPr>
          <w:color w:val="000000" w:themeColor="text1"/>
          <w:sz w:val="22"/>
          <w:szCs w:val="22"/>
        </w:rPr>
        <w:t xml:space="preserve">(1), 80–96. </w:t>
      </w:r>
      <w:hyperlink r:id="rId39" w:history="1">
        <w:r w:rsidRPr="002563ED">
          <w:rPr>
            <w:rStyle w:val="Hyperlink"/>
            <w:i/>
            <w:iCs/>
            <w:color w:val="000000" w:themeColor="text1"/>
            <w:sz w:val="22"/>
            <w:szCs w:val="22"/>
          </w:rPr>
          <w:t>https://doi.org/10.1177/1473325010368316</w:t>
        </w:r>
      </w:hyperlink>
    </w:p>
    <w:p w14:paraId="46FC7055"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Van Deursen, A. J., &amp; Van Dijk, J. A. (2014). The digital divide shifts to differences in usage. </w:t>
      </w:r>
      <w:r w:rsidRPr="002563ED">
        <w:rPr>
          <w:i/>
          <w:iCs/>
          <w:color w:val="000000" w:themeColor="text1"/>
          <w:sz w:val="22"/>
          <w:szCs w:val="22"/>
        </w:rPr>
        <w:t>New Media &amp; Society, 16</w:t>
      </w:r>
      <w:r w:rsidRPr="002563ED">
        <w:rPr>
          <w:color w:val="000000" w:themeColor="text1"/>
          <w:sz w:val="22"/>
          <w:szCs w:val="22"/>
        </w:rPr>
        <w:t xml:space="preserve">(3), 507–526. </w:t>
      </w:r>
      <w:hyperlink r:id="rId40" w:history="1">
        <w:r w:rsidRPr="002563ED">
          <w:rPr>
            <w:rStyle w:val="Hyperlink"/>
            <w:i/>
            <w:iCs/>
            <w:color w:val="000000" w:themeColor="text1"/>
            <w:sz w:val="22"/>
            <w:szCs w:val="22"/>
          </w:rPr>
          <w:t>https://doi.org/10.1177/1461444813487959</w:t>
        </w:r>
      </w:hyperlink>
    </w:p>
    <w:p w14:paraId="5D6E5434" w14:textId="77777777" w:rsidR="008B0CF4" w:rsidRPr="002563ED" w:rsidRDefault="008B0CF4" w:rsidP="008B0CF4">
      <w:pPr>
        <w:spacing w:after="200"/>
        <w:ind w:left="720" w:hanging="720"/>
        <w:rPr>
          <w:color w:val="000000" w:themeColor="text1"/>
        </w:rPr>
      </w:pPr>
      <w:r w:rsidRPr="002563ED">
        <w:rPr>
          <w:color w:val="000000" w:themeColor="text1"/>
          <w:sz w:val="22"/>
          <w:szCs w:val="22"/>
        </w:rPr>
        <w:t xml:space="preserve">Vasileiou, K., Barnett, J., Thorpe, S., &amp; Young, T. (2018). Characterising and justifying sample size sufficiency in interview-based studies: Systematic analysis of qualitative health research over a 15-year period. </w:t>
      </w:r>
      <w:r w:rsidRPr="002563ED">
        <w:rPr>
          <w:i/>
          <w:iCs/>
          <w:color w:val="000000" w:themeColor="text1"/>
          <w:sz w:val="22"/>
          <w:szCs w:val="22"/>
        </w:rPr>
        <w:t>BMC Medical Research Methodology, 18</w:t>
      </w:r>
      <w:r w:rsidRPr="002563ED">
        <w:rPr>
          <w:color w:val="000000" w:themeColor="text1"/>
          <w:sz w:val="22"/>
          <w:szCs w:val="22"/>
        </w:rPr>
        <w:t xml:space="preserve">(1), 148. </w:t>
      </w:r>
      <w:hyperlink r:id="rId41" w:history="1">
        <w:r w:rsidRPr="002563ED">
          <w:rPr>
            <w:rStyle w:val="Hyperlink"/>
            <w:i/>
            <w:iCs/>
            <w:color w:val="000000" w:themeColor="text1"/>
            <w:sz w:val="22"/>
            <w:szCs w:val="22"/>
          </w:rPr>
          <w:t>https://doi.org/10.1186/s12874-018-0594-7</w:t>
        </w:r>
      </w:hyperlink>
    </w:p>
    <w:p w14:paraId="3D3218E5" w14:textId="1306A1E3" w:rsidR="00C156DE" w:rsidRPr="002563ED" w:rsidRDefault="00C156DE" w:rsidP="00C156DE">
      <w:pPr>
        <w:spacing w:after="180"/>
        <w:ind w:left="720" w:hanging="720"/>
        <w:rPr>
          <w:color w:val="000000" w:themeColor="text1"/>
        </w:rPr>
      </w:pPr>
      <w:r w:rsidRPr="002563ED">
        <w:rPr>
          <w:color w:val="000000" w:themeColor="text1"/>
          <w:sz w:val="22"/>
          <w:szCs w:val="22"/>
        </w:rPr>
        <w:t xml:space="preserve">Welsh Government. (2015). </w:t>
      </w:r>
      <w:r w:rsidRPr="002563ED">
        <w:rPr>
          <w:i/>
          <w:iCs/>
          <w:color w:val="000000" w:themeColor="text1"/>
          <w:sz w:val="22"/>
          <w:szCs w:val="22"/>
        </w:rPr>
        <w:t>Well-being of Future Generations (Wales) Act 2015: The essentials.</w:t>
      </w:r>
      <w:r w:rsidRPr="002563ED">
        <w:rPr>
          <w:color w:val="000000" w:themeColor="text1"/>
          <w:sz w:val="22"/>
          <w:szCs w:val="22"/>
        </w:rPr>
        <w:t xml:space="preserve"> </w:t>
      </w:r>
      <w:hyperlink r:id="rId42" w:history="1">
        <w:r w:rsidRPr="002563ED">
          <w:rPr>
            <w:rStyle w:val="Hyperlink"/>
            <w:i/>
            <w:iCs/>
            <w:color w:val="000000" w:themeColor="text1"/>
            <w:sz w:val="22"/>
            <w:szCs w:val="22"/>
          </w:rPr>
          <w:t>https://www.gov.wales/well-being-future-generations-act-essentials-html</w:t>
        </w:r>
      </w:hyperlink>
    </w:p>
    <w:p w14:paraId="350577CA" w14:textId="312B351B" w:rsidR="00E52E07" w:rsidRPr="002563ED" w:rsidRDefault="00C156DE" w:rsidP="00E91D13">
      <w:pPr>
        <w:rPr>
          <w:color w:val="000000" w:themeColor="text1"/>
          <w:sz w:val="22"/>
          <w:szCs w:val="22"/>
        </w:rPr>
      </w:pPr>
      <w:r w:rsidRPr="002563ED">
        <w:rPr>
          <w:color w:val="000000" w:themeColor="text1"/>
          <w:sz w:val="22"/>
          <w:szCs w:val="22"/>
        </w:rPr>
        <w:br w:type="page"/>
      </w:r>
    </w:p>
    <w:p w14:paraId="35DEA9F6" w14:textId="0AE6B9A7" w:rsidR="00D276B2" w:rsidRPr="00190A96" w:rsidRDefault="00485748" w:rsidP="00EE4C74">
      <w:pPr>
        <w:pStyle w:val="ListParagraph"/>
        <w:numPr>
          <w:ilvl w:val="0"/>
          <w:numId w:val="39"/>
        </w:numPr>
        <w:jc w:val="center"/>
        <w:outlineLvl w:val="0"/>
        <w:rPr>
          <w:b/>
          <w:bCs/>
          <w:color w:val="000000" w:themeColor="text1"/>
          <w:sz w:val="40"/>
          <w:szCs w:val="40"/>
        </w:rPr>
      </w:pPr>
      <w:bookmarkStart w:id="55" w:name="_Toc227484338"/>
      <w:r w:rsidRPr="00190A96">
        <w:rPr>
          <w:b/>
          <w:bCs/>
          <w:color w:val="000000" w:themeColor="text1"/>
          <w:sz w:val="40"/>
          <w:szCs w:val="40"/>
        </w:rPr>
        <w:lastRenderedPageBreak/>
        <w:t>Appendi</w:t>
      </w:r>
      <w:r w:rsidR="00A82A00" w:rsidRPr="00190A96">
        <w:rPr>
          <w:b/>
          <w:bCs/>
          <w:color w:val="000000" w:themeColor="text1"/>
          <w:sz w:val="40"/>
          <w:szCs w:val="40"/>
        </w:rPr>
        <w:t>x</w:t>
      </w:r>
      <w:bookmarkEnd w:id="55"/>
    </w:p>
    <w:p w14:paraId="2C36DB40" w14:textId="77777777" w:rsidR="00C42CDB" w:rsidRPr="00190A96" w:rsidRDefault="00C42CDB">
      <w:pPr>
        <w:rPr>
          <w:b/>
          <w:bCs/>
          <w:color w:val="000000" w:themeColor="text1"/>
          <w:sz w:val="36"/>
          <w:szCs w:val="36"/>
        </w:rPr>
      </w:pPr>
    </w:p>
    <w:p w14:paraId="0E12F200" w14:textId="611752FE" w:rsidR="00915D3E" w:rsidRPr="00190A96" w:rsidRDefault="00A82A00" w:rsidP="00A82A00">
      <w:pPr>
        <w:rPr>
          <w:b/>
          <w:bCs/>
          <w:color w:val="000000" w:themeColor="text1"/>
          <w:sz w:val="28"/>
          <w:szCs w:val="28"/>
        </w:rPr>
      </w:pPr>
      <w:r w:rsidRPr="00190A96">
        <w:rPr>
          <w:b/>
          <w:bCs/>
          <w:color w:val="000000" w:themeColor="text1"/>
          <w:sz w:val="28"/>
          <w:szCs w:val="28"/>
        </w:rPr>
        <w:t>Appendice I -</w:t>
      </w:r>
      <w:r w:rsidR="00915D3E" w:rsidRPr="00190A96">
        <w:rPr>
          <w:b/>
          <w:bCs/>
          <w:color w:val="000000" w:themeColor="text1"/>
          <w:sz w:val="28"/>
          <w:szCs w:val="28"/>
        </w:rPr>
        <w:t xml:space="preserve">Themes </w:t>
      </w:r>
      <w:r w:rsidR="00A30F0F" w:rsidRPr="00190A96">
        <w:rPr>
          <w:b/>
          <w:bCs/>
          <w:color w:val="000000" w:themeColor="text1"/>
          <w:sz w:val="28"/>
          <w:szCs w:val="28"/>
        </w:rPr>
        <w:t xml:space="preserve">and </w:t>
      </w:r>
      <w:r w:rsidR="00915D3E" w:rsidRPr="00190A96">
        <w:rPr>
          <w:b/>
          <w:bCs/>
          <w:color w:val="000000" w:themeColor="text1"/>
          <w:sz w:val="28"/>
          <w:szCs w:val="28"/>
        </w:rPr>
        <w:t>Analysis Table</w:t>
      </w:r>
    </w:p>
    <w:p w14:paraId="50EDAF02" w14:textId="77777777" w:rsidR="008F7AA0" w:rsidRPr="00190A96" w:rsidRDefault="008F7AA0" w:rsidP="00A82A00">
      <w:pPr>
        <w:rPr>
          <w:b/>
          <w:bCs/>
          <w:color w:val="000000" w:themeColor="text1"/>
          <w:sz w:val="28"/>
          <w:szCs w:val="28"/>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95"/>
        <w:gridCol w:w="1323"/>
        <w:gridCol w:w="2386"/>
        <w:gridCol w:w="5244"/>
      </w:tblGrid>
      <w:tr w:rsidR="00190A96" w:rsidRPr="00190A96" w14:paraId="10AB3824" w14:textId="77777777" w:rsidTr="002012ED">
        <w:trPr>
          <w:tblHeader/>
        </w:trPr>
        <w:tc>
          <w:tcPr>
            <w:tcW w:w="1395" w:type="dxa"/>
            <w:tcBorders>
              <w:top w:val="single" w:sz="4" w:space="0" w:color="1F4E79"/>
              <w:left w:val="single" w:sz="4" w:space="0" w:color="1F4E79"/>
              <w:bottom w:val="single" w:sz="4" w:space="0" w:color="1F4E79"/>
              <w:right w:val="single" w:sz="4" w:space="0" w:color="1F4E79"/>
            </w:tcBorders>
            <w:shd w:val="clear" w:color="auto" w:fill="EBC3F2"/>
            <w:tcMar>
              <w:top w:w="80" w:type="dxa"/>
              <w:left w:w="100" w:type="dxa"/>
              <w:bottom w:w="80" w:type="dxa"/>
              <w:right w:w="100" w:type="dxa"/>
            </w:tcMar>
            <w:vAlign w:val="center"/>
          </w:tcPr>
          <w:p w14:paraId="6671D7E7" w14:textId="77777777" w:rsidR="002012ED" w:rsidRPr="00190A96" w:rsidRDefault="002012ED" w:rsidP="00DB4C98">
            <w:pPr>
              <w:jc w:val="center"/>
              <w:rPr>
                <w:color w:val="000000" w:themeColor="text1"/>
                <w:sz w:val="16"/>
                <w:szCs w:val="16"/>
              </w:rPr>
            </w:pPr>
            <w:r w:rsidRPr="00190A96">
              <w:rPr>
                <w:b/>
                <w:bCs/>
                <w:color w:val="000000" w:themeColor="text1"/>
                <w:sz w:val="16"/>
                <w:szCs w:val="16"/>
              </w:rPr>
              <w:t>Research Objective</w:t>
            </w:r>
          </w:p>
        </w:tc>
        <w:tc>
          <w:tcPr>
            <w:tcW w:w="1323" w:type="dxa"/>
            <w:tcBorders>
              <w:top w:val="single" w:sz="4" w:space="0" w:color="1F4E79"/>
              <w:left w:val="single" w:sz="4" w:space="0" w:color="1F4E79"/>
              <w:bottom w:val="single" w:sz="4" w:space="0" w:color="1F4E79"/>
              <w:right w:val="single" w:sz="4" w:space="0" w:color="1F4E79"/>
            </w:tcBorders>
            <w:shd w:val="clear" w:color="auto" w:fill="EBC3F2"/>
            <w:tcMar>
              <w:top w:w="80" w:type="dxa"/>
              <w:left w:w="100" w:type="dxa"/>
              <w:bottom w:w="80" w:type="dxa"/>
              <w:right w:w="100" w:type="dxa"/>
            </w:tcMar>
            <w:vAlign w:val="center"/>
          </w:tcPr>
          <w:p w14:paraId="3874AFD4" w14:textId="77777777" w:rsidR="002012ED" w:rsidRPr="00190A96" w:rsidRDefault="002012ED" w:rsidP="00DB4C98">
            <w:pPr>
              <w:jc w:val="center"/>
              <w:rPr>
                <w:color w:val="000000" w:themeColor="text1"/>
                <w:sz w:val="16"/>
                <w:szCs w:val="16"/>
              </w:rPr>
            </w:pPr>
            <w:r w:rsidRPr="00190A96">
              <w:rPr>
                <w:b/>
                <w:bCs/>
                <w:color w:val="000000" w:themeColor="text1"/>
                <w:sz w:val="16"/>
                <w:szCs w:val="16"/>
              </w:rPr>
              <w:t>Theme / Concept</w:t>
            </w:r>
          </w:p>
        </w:tc>
        <w:tc>
          <w:tcPr>
            <w:tcW w:w="2386" w:type="dxa"/>
            <w:tcBorders>
              <w:top w:val="single" w:sz="4" w:space="0" w:color="1F4E79"/>
              <w:left w:val="single" w:sz="4" w:space="0" w:color="1F4E79"/>
              <w:bottom w:val="single" w:sz="4" w:space="0" w:color="1F4E79"/>
              <w:right w:val="single" w:sz="4" w:space="0" w:color="1F4E79"/>
            </w:tcBorders>
            <w:shd w:val="clear" w:color="auto" w:fill="EBC3F2"/>
            <w:tcMar>
              <w:top w:w="80" w:type="dxa"/>
              <w:left w:w="100" w:type="dxa"/>
              <w:bottom w:w="80" w:type="dxa"/>
              <w:right w:w="100" w:type="dxa"/>
            </w:tcMar>
            <w:vAlign w:val="center"/>
          </w:tcPr>
          <w:p w14:paraId="6F8A3BF8" w14:textId="77777777" w:rsidR="002012ED" w:rsidRPr="00190A96" w:rsidRDefault="002012ED" w:rsidP="00DB4C98">
            <w:pPr>
              <w:jc w:val="center"/>
              <w:rPr>
                <w:color w:val="000000" w:themeColor="text1"/>
                <w:sz w:val="16"/>
                <w:szCs w:val="16"/>
              </w:rPr>
            </w:pPr>
            <w:r w:rsidRPr="00190A96">
              <w:rPr>
                <w:b/>
                <w:bCs/>
                <w:color w:val="000000" w:themeColor="text1"/>
                <w:sz w:val="16"/>
                <w:szCs w:val="16"/>
              </w:rPr>
              <w:t>Participant Quote</w:t>
            </w:r>
          </w:p>
        </w:tc>
        <w:tc>
          <w:tcPr>
            <w:tcW w:w="5244" w:type="dxa"/>
            <w:tcBorders>
              <w:top w:val="single" w:sz="4" w:space="0" w:color="1F4E79"/>
              <w:left w:val="single" w:sz="4" w:space="0" w:color="1F4E79"/>
              <w:bottom w:val="single" w:sz="4" w:space="0" w:color="1F4E79"/>
              <w:right w:val="single" w:sz="4" w:space="0" w:color="1F4E79"/>
            </w:tcBorders>
            <w:shd w:val="clear" w:color="auto" w:fill="EBC3F2"/>
            <w:tcMar>
              <w:top w:w="80" w:type="dxa"/>
              <w:left w:w="100" w:type="dxa"/>
              <w:bottom w:w="80" w:type="dxa"/>
              <w:right w:w="100" w:type="dxa"/>
            </w:tcMar>
            <w:vAlign w:val="center"/>
          </w:tcPr>
          <w:p w14:paraId="252B7EC6" w14:textId="77777777" w:rsidR="002012ED" w:rsidRPr="00190A96" w:rsidRDefault="002012ED" w:rsidP="00DB4C98">
            <w:pPr>
              <w:jc w:val="center"/>
              <w:rPr>
                <w:color w:val="000000" w:themeColor="text1"/>
                <w:sz w:val="16"/>
                <w:szCs w:val="16"/>
              </w:rPr>
            </w:pPr>
            <w:r w:rsidRPr="00190A96">
              <w:rPr>
                <w:b/>
                <w:bCs/>
                <w:color w:val="000000" w:themeColor="text1"/>
                <w:sz w:val="16"/>
                <w:szCs w:val="16"/>
              </w:rPr>
              <w:t>Interpretation of Meaning</w:t>
            </w:r>
          </w:p>
        </w:tc>
      </w:tr>
      <w:tr w:rsidR="00190A96" w:rsidRPr="00190A96" w14:paraId="682E1C32" w14:textId="77777777" w:rsidTr="002012ED">
        <w:tc>
          <w:tcPr>
            <w:tcW w:w="10348" w:type="dxa"/>
            <w:gridSpan w:val="4"/>
            <w:tcBorders>
              <w:top w:val="single" w:sz="4" w:space="0" w:color="1F4E79"/>
              <w:left w:val="single" w:sz="4" w:space="0" w:color="1F4E79"/>
              <w:bottom w:val="single" w:sz="4" w:space="0" w:color="1F4E79"/>
              <w:right w:val="single" w:sz="4" w:space="0" w:color="1F4E79"/>
            </w:tcBorders>
            <w:shd w:val="clear" w:color="auto" w:fill="F78FB5"/>
            <w:tcMar>
              <w:top w:w="80" w:type="dxa"/>
              <w:left w:w="120" w:type="dxa"/>
              <w:bottom w:w="80" w:type="dxa"/>
              <w:right w:w="120" w:type="dxa"/>
            </w:tcMar>
          </w:tcPr>
          <w:p w14:paraId="13957820" w14:textId="77777777" w:rsidR="002012ED" w:rsidRPr="00190A96" w:rsidRDefault="002012ED" w:rsidP="00DB4C98">
            <w:pPr>
              <w:rPr>
                <w:color w:val="000000" w:themeColor="text1"/>
                <w:sz w:val="16"/>
                <w:szCs w:val="16"/>
              </w:rPr>
            </w:pPr>
            <w:r w:rsidRPr="00190A96">
              <w:rPr>
                <w:b/>
                <w:bCs/>
                <w:color w:val="000000" w:themeColor="text1"/>
                <w:sz w:val="16"/>
                <w:szCs w:val="16"/>
              </w:rPr>
              <w:t>SUPERORDINATE THEME: Technology as a Developmental Resource</w:t>
            </w:r>
          </w:p>
        </w:tc>
      </w:tr>
      <w:tr w:rsidR="00190A96" w:rsidRPr="00190A96" w14:paraId="31D435B7"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4BFC8953" w14:textId="77777777" w:rsidR="002012ED" w:rsidRPr="00190A96" w:rsidRDefault="002012ED" w:rsidP="00DB4C98">
            <w:pPr>
              <w:rPr>
                <w:color w:val="000000" w:themeColor="text1"/>
                <w:sz w:val="16"/>
                <w:szCs w:val="16"/>
              </w:rPr>
            </w:pPr>
            <w:r w:rsidRPr="00190A96">
              <w:rPr>
                <w:color w:val="000000" w:themeColor="text1"/>
                <w:sz w:val="16"/>
                <w:szCs w:val="16"/>
              </w:rPr>
              <w:t>RQ1: How does early technology exposure influence skill development?</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322D02DB" w14:textId="77777777" w:rsidR="002012ED" w:rsidRPr="00190A96" w:rsidRDefault="002012ED" w:rsidP="00DB4C98">
            <w:pPr>
              <w:rPr>
                <w:b/>
                <w:bCs/>
                <w:color w:val="000000" w:themeColor="text1"/>
                <w:sz w:val="16"/>
                <w:szCs w:val="16"/>
              </w:rPr>
            </w:pPr>
            <w:r w:rsidRPr="00190A96">
              <w:rPr>
                <w:b/>
                <w:bCs/>
                <w:color w:val="000000" w:themeColor="text1"/>
                <w:sz w:val="16"/>
                <w:szCs w:val="16"/>
              </w:rPr>
              <w:t>Technology as an educational resource</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03D34CE6" w14:textId="77777777" w:rsidR="002012ED" w:rsidRPr="00190A96" w:rsidRDefault="002012ED" w:rsidP="00DB4C98">
            <w:pPr>
              <w:rPr>
                <w:color w:val="000000" w:themeColor="text1"/>
                <w:sz w:val="16"/>
                <w:szCs w:val="16"/>
              </w:rPr>
            </w:pPr>
            <w:r w:rsidRPr="00190A96">
              <w:rPr>
                <w:i/>
                <w:iCs/>
                <w:color w:val="000000" w:themeColor="text1"/>
                <w:sz w:val="16"/>
                <w:szCs w:val="16"/>
              </w:rPr>
              <w:t>"I got them for the interactive educational aspect, so I downloaded a load of ABC-123 sort of games. And because they're interactive, they involve a lot more attention span than just putting a piece of paper in front of them."</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5C39D604"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P1 deliberately chose interactive content instead of passive materials. This choice reflects the findings of Plowman et al. (2010), which state that guided technological interaction leads to deeper learning than passive consumption. The interactive features of touchscreen applications kept attention focused longer than static materials. This aligns with the distinction made by Radesky et al. (2015) between interactive and passive technologies and their different developmental roles.</w:t>
            </w:r>
          </w:p>
        </w:tc>
      </w:tr>
      <w:tr w:rsidR="00190A96" w:rsidRPr="00190A96" w14:paraId="0E8C16EC"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351D744A" w14:textId="77777777" w:rsidR="002012ED" w:rsidRPr="00190A96" w:rsidRDefault="002012ED" w:rsidP="00DB4C98">
            <w:pPr>
              <w:rPr>
                <w:color w:val="000000" w:themeColor="text1"/>
                <w:sz w:val="16"/>
                <w:szCs w:val="16"/>
              </w:rPr>
            </w:pPr>
            <w:r w:rsidRPr="00190A96">
              <w:rPr>
                <w:color w:val="000000" w:themeColor="text1"/>
                <w:sz w:val="16"/>
                <w:szCs w:val="16"/>
              </w:rPr>
              <w:t>RQ1</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4603074F" w14:textId="77777777" w:rsidR="002012ED" w:rsidRPr="00190A96" w:rsidRDefault="002012ED" w:rsidP="00DB4C98">
            <w:pPr>
              <w:rPr>
                <w:color w:val="000000" w:themeColor="text1"/>
                <w:sz w:val="16"/>
                <w:szCs w:val="16"/>
              </w:rPr>
            </w:pPr>
            <w:r w:rsidRPr="00190A96">
              <w:rPr>
                <w:b/>
                <w:bCs/>
                <w:color w:val="000000" w:themeColor="text1"/>
                <w:sz w:val="16"/>
                <w:szCs w:val="16"/>
              </w:rPr>
              <w:t>Learning through computer gaming</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7D3C4606" w14:textId="77777777" w:rsidR="002012ED" w:rsidRPr="00190A96" w:rsidRDefault="002012ED" w:rsidP="00DB4C98">
            <w:pPr>
              <w:rPr>
                <w:color w:val="000000" w:themeColor="text1"/>
                <w:sz w:val="16"/>
                <w:szCs w:val="16"/>
              </w:rPr>
            </w:pPr>
            <w:r w:rsidRPr="00190A96">
              <w:rPr>
                <w:i/>
                <w:iCs/>
                <w:color w:val="000000" w:themeColor="text1"/>
                <w:sz w:val="16"/>
                <w:szCs w:val="16"/>
              </w:rPr>
              <w:t>"I completely passed one of my secondary school geography exams, surely because I played a lot of Sim City when I was younger... I knew what a residential zone and a commercial zone was... I knew how to do waste management."</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0C575CB4"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P2's account shows situated, context-embedded learning (Plowman et al., 2010). He gained lasting geographic and civic knowledge through problem-solving gameplay instead of traditional instruction. This challenges Bennett and Maton (2010), who warn against overestimating the skills of digital natives. It highlights that important, transferable knowledge can arise from informal digital experiences even without clear teaching plans.</w:t>
            </w:r>
          </w:p>
        </w:tc>
      </w:tr>
      <w:tr w:rsidR="00190A96" w:rsidRPr="00190A96" w14:paraId="21D336F6"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2F5811AF" w14:textId="77777777" w:rsidR="002012ED" w:rsidRPr="00190A96" w:rsidRDefault="002012ED" w:rsidP="00DB4C98">
            <w:pPr>
              <w:rPr>
                <w:color w:val="000000" w:themeColor="text1"/>
                <w:sz w:val="16"/>
                <w:szCs w:val="16"/>
              </w:rPr>
            </w:pPr>
            <w:r w:rsidRPr="00190A96">
              <w:rPr>
                <w:color w:val="000000" w:themeColor="text1"/>
                <w:sz w:val="16"/>
                <w:szCs w:val="16"/>
              </w:rPr>
              <w:t>RQ1</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60AB3805" w14:textId="77777777" w:rsidR="002012ED" w:rsidRPr="00190A96" w:rsidRDefault="002012ED" w:rsidP="00DB4C98">
            <w:pPr>
              <w:rPr>
                <w:color w:val="000000" w:themeColor="text1"/>
                <w:sz w:val="16"/>
                <w:szCs w:val="16"/>
              </w:rPr>
            </w:pPr>
            <w:r w:rsidRPr="00190A96">
              <w:rPr>
                <w:b/>
                <w:bCs/>
                <w:color w:val="000000" w:themeColor="text1"/>
                <w:sz w:val="16"/>
                <w:szCs w:val="16"/>
              </w:rPr>
              <w:t>Financial Literacy Through Computer Gaming</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239102AB" w14:textId="77777777" w:rsidR="002012ED" w:rsidRPr="00190A96" w:rsidRDefault="002012ED" w:rsidP="00DB4C98">
            <w:pPr>
              <w:rPr>
                <w:color w:val="000000" w:themeColor="text1"/>
                <w:sz w:val="16"/>
                <w:szCs w:val="16"/>
              </w:rPr>
            </w:pPr>
            <w:r w:rsidRPr="00190A96">
              <w:rPr>
                <w:i/>
                <w:iCs/>
                <w:color w:val="000000" w:themeColor="text1"/>
                <w:sz w:val="16"/>
                <w:szCs w:val="16"/>
              </w:rPr>
              <w:t>"I learned very quickly what it meant to take out a loan and how quickly it damages your finances because of the interest rate... that taught me about finances and taP3g out loans."</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0D200E59"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P2's hands-on experience with financial concepts in Theme Park World shows Takeuchi and Stevens' (2011) argument that intentional digital interaction builds practical knowledge. The lack of direct instruction backs up Ng's (2012) finding that meaningful digital skill development relies on rich context rather than just formal teaching. This challenges common ideas about how professional financial skills grow.</w:t>
            </w:r>
          </w:p>
        </w:tc>
      </w:tr>
      <w:tr w:rsidR="00190A96" w:rsidRPr="00190A96" w14:paraId="4A4D2DBB"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3EF051E9" w14:textId="77777777" w:rsidR="002012ED" w:rsidRPr="00190A96" w:rsidRDefault="002012ED" w:rsidP="00DB4C98">
            <w:pPr>
              <w:rPr>
                <w:color w:val="000000" w:themeColor="text1"/>
                <w:sz w:val="16"/>
                <w:szCs w:val="16"/>
              </w:rPr>
            </w:pPr>
            <w:r w:rsidRPr="00190A96">
              <w:rPr>
                <w:color w:val="000000" w:themeColor="text1"/>
                <w:sz w:val="16"/>
                <w:szCs w:val="16"/>
              </w:rPr>
              <w:t>RQ1 / RQ3: Sustainable integration approaches</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2483299E" w14:textId="77777777" w:rsidR="002012ED" w:rsidRPr="00190A96" w:rsidRDefault="002012ED" w:rsidP="00DB4C98">
            <w:pPr>
              <w:rPr>
                <w:color w:val="000000" w:themeColor="text1"/>
                <w:sz w:val="16"/>
                <w:szCs w:val="16"/>
              </w:rPr>
            </w:pPr>
            <w:r w:rsidRPr="00190A96">
              <w:rPr>
                <w:b/>
                <w:bCs/>
                <w:color w:val="000000" w:themeColor="text1"/>
                <w:sz w:val="16"/>
                <w:szCs w:val="16"/>
              </w:rPr>
              <w:t>Passive vs. shared technology use</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56E0614C" w14:textId="77777777" w:rsidR="002012ED" w:rsidRPr="00190A96" w:rsidRDefault="002012ED" w:rsidP="00DB4C98">
            <w:pPr>
              <w:rPr>
                <w:color w:val="000000" w:themeColor="text1"/>
                <w:sz w:val="16"/>
                <w:szCs w:val="16"/>
              </w:rPr>
            </w:pPr>
            <w:r w:rsidRPr="00190A96">
              <w:rPr>
                <w:i/>
                <w:iCs/>
                <w:color w:val="000000" w:themeColor="text1"/>
                <w:sz w:val="16"/>
                <w:szCs w:val="16"/>
              </w:rPr>
              <w:t>"Half and half — some of the time we play games together and then other times, obviously when I was busy worP3g and such, it gave them something to occupy themselves safely on their own."</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790184B6"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P1's dual mode mirrors the distinction made by Takeuchi and Stevens (2011) between solitary and co-mediated screen engagement. Joint use led to richer interaction, while independent use focused on safety. Plowman et al. (2010) also found that adult involvement influences the quality of technology experiences. This suggests that sustainable integration needs active co-engagement instead of just passive provision.</w:t>
            </w:r>
          </w:p>
        </w:tc>
      </w:tr>
      <w:tr w:rsidR="00190A96" w:rsidRPr="00190A96" w14:paraId="56F2F9E0" w14:textId="77777777" w:rsidTr="002012ED">
        <w:tc>
          <w:tcPr>
            <w:tcW w:w="1395" w:type="dxa"/>
            <w:tcBorders>
              <w:top w:val="single" w:sz="2" w:space="0" w:color="AAAAAA"/>
              <w:left w:val="single" w:sz="2" w:space="0" w:color="AAAAAA"/>
              <w:bottom w:val="single" w:sz="4" w:space="0" w:color="1F4E79"/>
              <w:right w:val="single" w:sz="2" w:space="0" w:color="AAAAAA"/>
            </w:tcBorders>
            <w:shd w:val="clear" w:color="auto" w:fill="FFE7FF"/>
            <w:tcMar>
              <w:top w:w="70" w:type="dxa"/>
              <w:left w:w="90" w:type="dxa"/>
              <w:bottom w:w="70" w:type="dxa"/>
              <w:right w:w="90" w:type="dxa"/>
            </w:tcMar>
          </w:tcPr>
          <w:p w14:paraId="0DE04344" w14:textId="77777777" w:rsidR="002012ED" w:rsidRPr="00190A96" w:rsidRDefault="002012ED" w:rsidP="00DB4C98">
            <w:pPr>
              <w:rPr>
                <w:color w:val="000000" w:themeColor="text1"/>
                <w:sz w:val="16"/>
                <w:szCs w:val="16"/>
              </w:rPr>
            </w:pPr>
            <w:r w:rsidRPr="00190A96">
              <w:rPr>
                <w:color w:val="000000" w:themeColor="text1"/>
                <w:sz w:val="16"/>
                <w:szCs w:val="16"/>
              </w:rPr>
              <w:t>RQ1:</w:t>
            </w:r>
          </w:p>
        </w:tc>
        <w:tc>
          <w:tcPr>
            <w:tcW w:w="1323" w:type="dxa"/>
            <w:tcBorders>
              <w:top w:val="single" w:sz="2" w:space="0" w:color="AAAAAA"/>
              <w:left w:val="single" w:sz="2" w:space="0" w:color="AAAAAA"/>
              <w:bottom w:val="single" w:sz="4" w:space="0" w:color="1F4E79"/>
              <w:right w:val="single" w:sz="2" w:space="0" w:color="AAAAAA"/>
            </w:tcBorders>
            <w:shd w:val="clear" w:color="auto" w:fill="FFE7FF"/>
            <w:tcMar>
              <w:top w:w="70" w:type="dxa"/>
              <w:left w:w="90" w:type="dxa"/>
              <w:bottom w:w="70" w:type="dxa"/>
              <w:right w:w="90" w:type="dxa"/>
            </w:tcMar>
          </w:tcPr>
          <w:p w14:paraId="6F81437E" w14:textId="77777777" w:rsidR="002012ED" w:rsidRPr="00190A96" w:rsidRDefault="002012ED" w:rsidP="00DB4C98">
            <w:pPr>
              <w:rPr>
                <w:color w:val="000000" w:themeColor="text1"/>
                <w:sz w:val="16"/>
                <w:szCs w:val="16"/>
              </w:rPr>
            </w:pPr>
            <w:r w:rsidRPr="00190A96">
              <w:rPr>
                <w:b/>
                <w:bCs/>
                <w:color w:val="000000" w:themeColor="text1"/>
                <w:sz w:val="16"/>
                <w:szCs w:val="16"/>
              </w:rPr>
              <w:t>Puzzle and strategy gaming as cognitive exercise</w:t>
            </w:r>
          </w:p>
        </w:tc>
        <w:tc>
          <w:tcPr>
            <w:tcW w:w="2386" w:type="dxa"/>
            <w:tcBorders>
              <w:top w:val="single" w:sz="2" w:space="0" w:color="AAAAAA"/>
              <w:left w:val="single" w:sz="2" w:space="0" w:color="AAAAAA"/>
              <w:bottom w:val="single" w:sz="4" w:space="0" w:color="1F4E79"/>
              <w:right w:val="single" w:sz="2" w:space="0" w:color="AAAAAA"/>
            </w:tcBorders>
            <w:shd w:val="clear" w:color="auto" w:fill="FAFAFA"/>
            <w:tcMar>
              <w:top w:w="70" w:type="dxa"/>
              <w:left w:w="90" w:type="dxa"/>
              <w:bottom w:w="70" w:type="dxa"/>
              <w:right w:w="90" w:type="dxa"/>
            </w:tcMar>
          </w:tcPr>
          <w:p w14:paraId="4D073707" w14:textId="77777777" w:rsidR="002012ED" w:rsidRPr="00190A96" w:rsidRDefault="002012ED" w:rsidP="00DB4C98">
            <w:pPr>
              <w:rPr>
                <w:color w:val="000000" w:themeColor="text1"/>
                <w:sz w:val="16"/>
                <w:szCs w:val="16"/>
              </w:rPr>
            </w:pPr>
            <w:r w:rsidRPr="00190A96">
              <w:rPr>
                <w:i/>
                <w:iCs/>
                <w:color w:val="000000" w:themeColor="text1"/>
                <w:sz w:val="16"/>
                <w:szCs w:val="16"/>
              </w:rPr>
              <w:t>"I had quite a few educational games like Brain Training... Professor Layton games which are like puzzle solving games — you'd either have to memorise patterns or certain words."</w:t>
            </w:r>
          </w:p>
        </w:tc>
        <w:tc>
          <w:tcPr>
            <w:tcW w:w="5244" w:type="dxa"/>
            <w:tcBorders>
              <w:top w:val="single" w:sz="2" w:space="0" w:color="AAAAAA"/>
              <w:left w:val="single" w:sz="2" w:space="0" w:color="AAAAAA"/>
              <w:bottom w:val="single" w:sz="4" w:space="0" w:color="1F4E79"/>
              <w:right w:val="single" w:sz="2" w:space="0" w:color="AAAAAA"/>
            </w:tcBorders>
            <w:shd w:val="clear" w:color="auto" w:fill="FFFFFF"/>
            <w:tcMar>
              <w:top w:w="70" w:type="dxa"/>
              <w:left w:w="90" w:type="dxa"/>
              <w:bottom w:w="70" w:type="dxa"/>
              <w:right w:w="90" w:type="dxa"/>
            </w:tcMar>
          </w:tcPr>
          <w:p w14:paraId="28D6E3EE"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P3's use of puzzle-based games improved pattern recognition and working memory. Barr et al. (2010) found that content suited for development helps with executive function and visual memory. P3's later use of these skills in administrative and creative work shows the long-term professional transfer ability that Osmani et al. (2019) highlight as key to graduate employability.</w:t>
            </w:r>
          </w:p>
        </w:tc>
      </w:tr>
      <w:tr w:rsidR="00190A96" w:rsidRPr="00190A96" w14:paraId="4E5CD968" w14:textId="77777777" w:rsidTr="002012ED">
        <w:tc>
          <w:tcPr>
            <w:tcW w:w="10348" w:type="dxa"/>
            <w:gridSpan w:val="4"/>
            <w:tcBorders>
              <w:top w:val="single" w:sz="4" w:space="0" w:color="1F4E79"/>
              <w:left w:val="single" w:sz="4" w:space="0" w:color="1F4E79"/>
              <w:bottom w:val="single" w:sz="4" w:space="0" w:color="1F4E79"/>
              <w:right w:val="single" w:sz="4" w:space="0" w:color="1F4E79"/>
            </w:tcBorders>
            <w:shd w:val="clear" w:color="auto" w:fill="F78FB5"/>
            <w:tcMar>
              <w:top w:w="80" w:type="dxa"/>
              <w:left w:w="120" w:type="dxa"/>
              <w:bottom w:w="80" w:type="dxa"/>
              <w:right w:w="120" w:type="dxa"/>
            </w:tcMar>
          </w:tcPr>
          <w:p w14:paraId="4268ED1A"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b/>
                <w:bCs/>
                <w:color w:val="000000" w:themeColor="text1"/>
                <w:sz w:val="16"/>
                <w:szCs w:val="16"/>
              </w:rPr>
              <w:t>SUPERORDINATE THEME: Technology, Neurodiversity and Adaptive Learning</w:t>
            </w:r>
            <w:r w:rsidRPr="00190A96">
              <w:rPr>
                <w:rFonts w:asciiTheme="minorHAnsi" w:hAnsiTheme="minorHAnsi"/>
                <w:color w:val="000000" w:themeColor="text1"/>
                <w:sz w:val="16"/>
                <w:szCs w:val="16"/>
              </w:rPr>
              <w:t xml:space="preserve"> </w:t>
            </w:r>
          </w:p>
        </w:tc>
      </w:tr>
      <w:tr w:rsidR="00190A96" w:rsidRPr="00190A96" w14:paraId="60C1B82E"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5B0D5840" w14:textId="77777777" w:rsidR="002012ED" w:rsidRPr="00190A96" w:rsidRDefault="002012ED" w:rsidP="00DB4C98">
            <w:pPr>
              <w:rPr>
                <w:color w:val="000000" w:themeColor="text1"/>
                <w:sz w:val="16"/>
                <w:szCs w:val="16"/>
              </w:rPr>
            </w:pPr>
            <w:r w:rsidRPr="00190A96">
              <w:rPr>
                <w:color w:val="000000" w:themeColor="text1"/>
                <w:sz w:val="16"/>
                <w:szCs w:val="16"/>
              </w:rPr>
              <w:t>RQ3: Sustainable technology integration in childhood</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29FF778D" w14:textId="77777777" w:rsidR="002012ED" w:rsidRPr="00190A96" w:rsidRDefault="002012ED" w:rsidP="00DB4C98">
            <w:pPr>
              <w:rPr>
                <w:color w:val="000000" w:themeColor="text1"/>
                <w:sz w:val="16"/>
                <w:szCs w:val="16"/>
              </w:rPr>
            </w:pPr>
            <w:r w:rsidRPr="00190A96">
              <w:rPr>
                <w:b/>
                <w:bCs/>
                <w:color w:val="000000" w:themeColor="text1"/>
                <w:sz w:val="16"/>
                <w:szCs w:val="16"/>
              </w:rPr>
              <w:t>Using technology for ADHD regulation</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489A3011" w14:textId="77777777" w:rsidR="002012ED" w:rsidRPr="00190A96" w:rsidRDefault="002012ED" w:rsidP="00DB4C98">
            <w:pPr>
              <w:rPr>
                <w:color w:val="000000" w:themeColor="text1"/>
                <w:sz w:val="16"/>
                <w:szCs w:val="16"/>
              </w:rPr>
            </w:pPr>
            <w:r w:rsidRPr="00190A96">
              <w:rPr>
                <w:i/>
                <w:iCs/>
                <w:color w:val="000000" w:themeColor="text1"/>
                <w:sz w:val="16"/>
                <w:szCs w:val="16"/>
              </w:rPr>
              <w:t>"Having the thing that gives her instant gratification for that need for attention and dopamine really did help calm her down... if you sat her in a quiet room with something she could focus on, she would then re-regulate and calm down really quickly."</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5E32DFD4"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P1 describes how technology helps with co-regulation for P1 (child) ADHD. It allows for affect regulation that the school environment could not provide. This aligns with Radesky et al. (2015), which found that interactive mobile devices serve various developmental functions for different child profiles. From a sustainable integration viewpoint (Kramar, 2014), this shows how technology can be used to support long-term wellbeing and development of human capital.</w:t>
            </w:r>
          </w:p>
        </w:tc>
      </w:tr>
      <w:tr w:rsidR="00190A96" w:rsidRPr="00190A96" w14:paraId="0BD1FB2C"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02C3B9B2" w14:textId="77777777" w:rsidR="002012ED" w:rsidRPr="00190A96" w:rsidRDefault="002012ED" w:rsidP="00DB4C98">
            <w:pPr>
              <w:rPr>
                <w:color w:val="000000" w:themeColor="text1"/>
                <w:sz w:val="16"/>
                <w:szCs w:val="16"/>
              </w:rPr>
            </w:pPr>
            <w:r w:rsidRPr="00190A96">
              <w:rPr>
                <w:color w:val="000000" w:themeColor="text1"/>
                <w:sz w:val="16"/>
                <w:szCs w:val="16"/>
              </w:rPr>
              <w:t>RQ3</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29B7943E" w14:textId="77777777" w:rsidR="002012ED" w:rsidRPr="00190A96" w:rsidRDefault="002012ED" w:rsidP="00DB4C98">
            <w:pPr>
              <w:rPr>
                <w:b/>
                <w:bCs/>
                <w:color w:val="000000" w:themeColor="text1"/>
                <w:sz w:val="16"/>
                <w:szCs w:val="16"/>
              </w:rPr>
            </w:pPr>
            <w:r w:rsidRPr="00190A96">
              <w:rPr>
                <w:b/>
                <w:bCs/>
                <w:color w:val="000000" w:themeColor="text1"/>
                <w:sz w:val="16"/>
                <w:szCs w:val="16"/>
              </w:rPr>
              <w:t>Flexible learning for neurodivergent students</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02BED94F" w14:textId="77777777" w:rsidR="002012ED" w:rsidRPr="00190A96" w:rsidRDefault="002012ED" w:rsidP="00DB4C98">
            <w:pPr>
              <w:rPr>
                <w:color w:val="000000" w:themeColor="text1"/>
                <w:sz w:val="16"/>
                <w:szCs w:val="16"/>
              </w:rPr>
            </w:pPr>
            <w:r w:rsidRPr="00190A96">
              <w:rPr>
                <w:i/>
                <w:iCs/>
                <w:color w:val="000000" w:themeColor="text1"/>
                <w:sz w:val="16"/>
                <w:szCs w:val="16"/>
              </w:rPr>
              <w:t>"Because of P1 (child)'s sleep schedule because of the ADHD, some nights she won't sleep at all. So she'll knock 6 or 7 hours of schooling out in one night... at home she can do all the same amount of work, just in whatever time suits her brain best."</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6EA35A74"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Technology-enabled temporal flexibility allowed P1 (child)'s ADHD-aligned circadian pattern to be accepted rather than seen as a problem. This connects with the Well-being of Future Generations (Wales) Act (2015), which focuses on overall wellbeing. It also reflects Kramar's (2014) principle of sustainable human resource management, which states that developing human capital should prioritise individual wellbeing over just the needs of the organisation.</w:t>
            </w:r>
          </w:p>
        </w:tc>
      </w:tr>
      <w:tr w:rsidR="00190A96" w:rsidRPr="00190A96" w14:paraId="2E43E031"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119D881A" w14:textId="77777777" w:rsidR="002012ED" w:rsidRPr="00190A96" w:rsidRDefault="002012ED" w:rsidP="00DB4C98">
            <w:pPr>
              <w:rPr>
                <w:color w:val="000000" w:themeColor="text1"/>
                <w:sz w:val="16"/>
                <w:szCs w:val="16"/>
              </w:rPr>
            </w:pPr>
            <w:r w:rsidRPr="00190A96">
              <w:rPr>
                <w:color w:val="000000" w:themeColor="text1"/>
                <w:sz w:val="16"/>
                <w:szCs w:val="16"/>
              </w:rPr>
              <w:t>RQ3</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637AFB00" w14:textId="77777777" w:rsidR="002012ED" w:rsidRPr="00190A96" w:rsidRDefault="002012ED" w:rsidP="00DB4C98">
            <w:pPr>
              <w:rPr>
                <w:color w:val="000000" w:themeColor="text1"/>
                <w:sz w:val="16"/>
                <w:szCs w:val="16"/>
              </w:rPr>
            </w:pPr>
            <w:r w:rsidRPr="00190A96">
              <w:rPr>
                <w:b/>
                <w:bCs/>
                <w:color w:val="000000" w:themeColor="text1"/>
                <w:sz w:val="16"/>
                <w:szCs w:val="16"/>
              </w:rPr>
              <w:t>Technology as a tool for non-</w:t>
            </w:r>
            <w:r w:rsidRPr="00190A96">
              <w:rPr>
                <w:b/>
                <w:bCs/>
                <w:color w:val="000000" w:themeColor="text1"/>
                <w:sz w:val="16"/>
                <w:szCs w:val="16"/>
              </w:rPr>
              <w:lastRenderedPageBreak/>
              <w:t>conformative learning</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7FFC199F" w14:textId="77777777" w:rsidR="002012ED" w:rsidRPr="00190A96" w:rsidRDefault="002012ED" w:rsidP="00DB4C98">
            <w:pPr>
              <w:rPr>
                <w:color w:val="000000" w:themeColor="text1"/>
                <w:sz w:val="16"/>
                <w:szCs w:val="16"/>
              </w:rPr>
            </w:pPr>
            <w:r w:rsidRPr="00190A96">
              <w:rPr>
                <w:i/>
                <w:iCs/>
                <w:color w:val="000000" w:themeColor="text1"/>
                <w:sz w:val="16"/>
                <w:szCs w:val="16"/>
              </w:rPr>
              <w:lastRenderedPageBreak/>
              <w:t xml:space="preserve">"I think the main benefit for children of today's society where technology is concerned is that it </w:t>
            </w:r>
            <w:r w:rsidRPr="00190A96">
              <w:rPr>
                <w:i/>
                <w:iCs/>
                <w:color w:val="000000" w:themeColor="text1"/>
                <w:sz w:val="16"/>
                <w:szCs w:val="16"/>
              </w:rPr>
              <w:lastRenderedPageBreak/>
              <w:t>is facilitating our ability to be more lenient towards neurodiversity... technologies' increases in the way that we teach our children has allowed us to take them out of that box."</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056FD4D0"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lastRenderedPageBreak/>
              <w:t xml:space="preserve">P1's broad reflection sees technology as a way to support inclusivity for neurodivergent learners. This perspective has clear effects on sustainable workforce development (Kramar, 2014). Digital learning </w:t>
            </w:r>
            <w:r w:rsidRPr="00190A96">
              <w:rPr>
                <w:rFonts w:asciiTheme="minorHAnsi" w:hAnsiTheme="minorHAnsi" w:cs="Segoe UI"/>
                <w:color w:val="000000" w:themeColor="text1"/>
                <w:sz w:val="16"/>
                <w:szCs w:val="16"/>
                <w:shd w:val="clear" w:color="auto" w:fill="FFFFFF"/>
              </w:rPr>
              <w:lastRenderedPageBreak/>
              <w:t>environments that cater to different cognitive profiles—those that traditional schools often neglect—expand the talent pool for organisations. This helps to promote sociability in future job markets (Ehnert et al., 2016).</w:t>
            </w:r>
          </w:p>
        </w:tc>
      </w:tr>
      <w:tr w:rsidR="00190A96" w:rsidRPr="00190A96" w14:paraId="16D7D895"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7CFC8D37" w14:textId="77777777" w:rsidR="002012ED" w:rsidRPr="00190A96" w:rsidRDefault="002012ED" w:rsidP="00DB4C98">
            <w:pPr>
              <w:rPr>
                <w:color w:val="000000" w:themeColor="text1"/>
                <w:sz w:val="16"/>
                <w:szCs w:val="16"/>
              </w:rPr>
            </w:pPr>
            <w:r w:rsidRPr="00190A96">
              <w:rPr>
                <w:color w:val="000000" w:themeColor="text1"/>
                <w:sz w:val="16"/>
                <w:szCs w:val="16"/>
              </w:rPr>
              <w:t>RQ1/RQ3</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7FC279E0" w14:textId="77777777" w:rsidR="002012ED" w:rsidRPr="00190A96" w:rsidRDefault="002012ED" w:rsidP="00DB4C98">
            <w:pPr>
              <w:rPr>
                <w:color w:val="000000" w:themeColor="text1"/>
                <w:sz w:val="16"/>
                <w:szCs w:val="16"/>
              </w:rPr>
            </w:pPr>
            <w:r w:rsidRPr="00190A96">
              <w:rPr>
                <w:b/>
                <w:bCs/>
                <w:color w:val="000000" w:themeColor="text1"/>
                <w:sz w:val="16"/>
                <w:szCs w:val="16"/>
              </w:rPr>
              <w:t>Technology as a learning resource for Autistic students who want to learn about their hyperfocus</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62CA932A" w14:textId="77777777" w:rsidR="002012ED" w:rsidRPr="00190A96" w:rsidRDefault="002012ED" w:rsidP="00DB4C98">
            <w:pPr>
              <w:rPr>
                <w:color w:val="000000" w:themeColor="text1"/>
                <w:sz w:val="16"/>
                <w:szCs w:val="16"/>
              </w:rPr>
            </w:pPr>
            <w:r w:rsidRPr="00190A96">
              <w:rPr>
                <w:i/>
                <w:iCs/>
                <w:color w:val="000000" w:themeColor="text1"/>
                <w:sz w:val="16"/>
                <w:szCs w:val="16"/>
              </w:rPr>
              <w:t>"At 5 years old, that kid could name pretty much every shark on the face of the planet, just through obsessively watching videos of sharks on YouTube for hours on end. And that calmed her."</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107C97CA"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P1 (child)'s focused, self-directed use of YouTube led to specialized knowledge while also helping with sensory regulation. Barr et al. (2010) found that content quality influences development; in this case, algorithmically curated video content matched an autistic learning style, resulting in knowledge gain and self-regulation at the same time. These outcomes have long-term effects on human capital development (Pfeffer, 2010).</w:t>
            </w:r>
          </w:p>
        </w:tc>
      </w:tr>
      <w:tr w:rsidR="00190A96" w:rsidRPr="00190A96" w14:paraId="2F731EC9" w14:textId="77777777" w:rsidTr="002012ED">
        <w:tc>
          <w:tcPr>
            <w:tcW w:w="1395" w:type="dxa"/>
            <w:tcBorders>
              <w:top w:val="single" w:sz="2" w:space="0" w:color="AAAAAA"/>
              <w:left w:val="single" w:sz="2" w:space="0" w:color="AAAAAA"/>
              <w:bottom w:val="single" w:sz="4" w:space="0" w:color="1F4E79"/>
              <w:right w:val="single" w:sz="2" w:space="0" w:color="AAAAAA"/>
            </w:tcBorders>
            <w:shd w:val="clear" w:color="auto" w:fill="FFE7FF"/>
            <w:tcMar>
              <w:top w:w="70" w:type="dxa"/>
              <w:left w:w="90" w:type="dxa"/>
              <w:bottom w:w="70" w:type="dxa"/>
              <w:right w:w="90" w:type="dxa"/>
            </w:tcMar>
          </w:tcPr>
          <w:p w14:paraId="719C8872" w14:textId="77777777" w:rsidR="002012ED" w:rsidRPr="00190A96" w:rsidRDefault="002012ED" w:rsidP="00DB4C98">
            <w:pPr>
              <w:rPr>
                <w:color w:val="000000" w:themeColor="text1"/>
                <w:sz w:val="16"/>
                <w:szCs w:val="16"/>
              </w:rPr>
            </w:pPr>
            <w:r w:rsidRPr="00190A96">
              <w:rPr>
                <w:color w:val="000000" w:themeColor="text1"/>
                <w:sz w:val="16"/>
                <w:szCs w:val="16"/>
              </w:rPr>
              <w:t>RQ1</w:t>
            </w:r>
          </w:p>
        </w:tc>
        <w:tc>
          <w:tcPr>
            <w:tcW w:w="1323" w:type="dxa"/>
            <w:tcBorders>
              <w:top w:val="single" w:sz="2" w:space="0" w:color="AAAAAA"/>
              <w:left w:val="single" w:sz="2" w:space="0" w:color="AAAAAA"/>
              <w:bottom w:val="single" w:sz="4" w:space="0" w:color="1F4E79"/>
              <w:right w:val="single" w:sz="2" w:space="0" w:color="AAAAAA"/>
            </w:tcBorders>
            <w:shd w:val="clear" w:color="auto" w:fill="FFE7FF"/>
            <w:tcMar>
              <w:top w:w="70" w:type="dxa"/>
              <w:left w:w="90" w:type="dxa"/>
              <w:bottom w:w="70" w:type="dxa"/>
              <w:right w:w="90" w:type="dxa"/>
            </w:tcMar>
          </w:tcPr>
          <w:p w14:paraId="1D2B5FB9" w14:textId="77777777" w:rsidR="002012ED" w:rsidRPr="00190A96" w:rsidRDefault="002012ED" w:rsidP="00DB4C98">
            <w:pPr>
              <w:rPr>
                <w:color w:val="000000" w:themeColor="text1"/>
                <w:sz w:val="16"/>
                <w:szCs w:val="16"/>
              </w:rPr>
            </w:pPr>
            <w:r w:rsidRPr="00190A96">
              <w:rPr>
                <w:b/>
                <w:bCs/>
                <w:color w:val="000000" w:themeColor="text1"/>
                <w:sz w:val="16"/>
                <w:szCs w:val="16"/>
              </w:rPr>
              <w:t>Echolalia and media-influenced communication</w:t>
            </w:r>
          </w:p>
        </w:tc>
        <w:tc>
          <w:tcPr>
            <w:tcW w:w="2386" w:type="dxa"/>
            <w:tcBorders>
              <w:top w:val="single" w:sz="2" w:space="0" w:color="AAAAAA"/>
              <w:left w:val="single" w:sz="2" w:space="0" w:color="AAAAAA"/>
              <w:bottom w:val="single" w:sz="4" w:space="0" w:color="1F4E79"/>
              <w:right w:val="single" w:sz="2" w:space="0" w:color="AAAAAA"/>
            </w:tcBorders>
            <w:shd w:val="clear" w:color="auto" w:fill="FAFAFA"/>
            <w:tcMar>
              <w:top w:w="70" w:type="dxa"/>
              <w:left w:w="90" w:type="dxa"/>
              <w:bottom w:w="70" w:type="dxa"/>
              <w:right w:w="90" w:type="dxa"/>
            </w:tcMar>
          </w:tcPr>
          <w:p w14:paraId="2403FBAC" w14:textId="77777777" w:rsidR="002012ED" w:rsidRPr="00190A96" w:rsidRDefault="002012ED" w:rsidP="00DB4C98">
            <w:pPr>
              <w:rPr>
                <w:color w:val="000000" w:themeColor="text1"/>
                <w:sz w:val="16"/>
                <w:szCs w:val="16"/>
              </w:rPr>
            </w:pPr>
            <w:r w:rsidRPr="00190A96">
              <w:rPr>
                <w:i/>
                <w:iCs/>
                <w:color w:val="000000" w:themeColor="text1"/>
                <w:sz w:val="16"/>
                <w:szCs w:val="16"/>
              </w:rPr>
              <w:t>"She would communicate by repeating a certain phrase that she'd heard on TV... she was using that as a way to tell people to get back from the car — she obviously had an understanding of the meaning of that phrase."</w:t>
            </w:r>
          </w:p>
        </w:tc>
        <w:tc>
          <w:tcPr>
            <w:tcW w:w="5244" w:type="dxa"/>
            <w:tcBorders>
              <w:top w:val="single" w:sz="2" w:space="0" w:color="AAAAAA"/>
              <w:left w:val="single" w:sz="2" w:space="0" w:color="AAAAAA"/>
              <w:bottom w:val="single" w:sz="4" w:space="0" w:color="1F4E79"/>
              <w:right w:val="single" w:sz="2" w:space="0" w:color="AAAAAA"/>
            </w:tcBorders>
            <w:shd w:val="clear" w:color="auto" w:fill="FFFFFF"/>
            <w:tcMar>
              <w:top w:w="70" w:type="dxa"/>
              <w:left w:w="90" w:type="dxa"/>
              <w:bottom w:w="70" w:type="dxa"/>
              <w:right w:w="90" w:type="dxa"/>
            </w:tcMar>
          </w:tcPr>
          <w:p w14:paraId="47DAC98E"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P1 (child)'s focused, self-directed use of YouTube led to specialized knowledge while also helping with sensory regulation. Barr et al. (2010) found that content quality influences development; in this case, algorithmically curated video content matched an autistic learning style, resulting in knowledge gain and self-regulation at the same time. These outcomes have long-term effects on human capital development (Pfeffer, 2010).</w:t>
            </w:r>
          </w:p>
        </w:tc>
      </w:tr>
      <w:tr w:rsidR="00190A96" w:rsidRPr="00190A96" w14:paraId="76E1009B" w14:textId="77777777" w:rsidTr="002012ED">
        <w:tc>
          <w:tcPr>
            <w:tcW w:w="10348" w:type="dxa"/>
            <w:gridSpan w:val="4"/>
            <w:tcBorders>
              <w:top w:val="single" w:sz="4" w:space="0" w:color="1F4E79"/>
              <w:left w:val="single" w:sz="4" w:space="0" w:color="1F4E79"/>
              <w:bottom w:val="single" w:sz="4" w:space="0" w:color="1F4E79"/>
              <w:right w:val="single" w:sz="4" w:space="0" w:color="1F4E79"/>
            </w:tcBorders>
            <w:shd w:val="clear" w:color="auto" w:fill="F78FB5"/>
            <w:tcMar>
              <w:top w:w="80" w:type="dxa"/>
              <w:left w:w="120" w:type="dxa"/>
              <w:bottom w:w="80" w:type="dxa"/>
              <w:right w:w="120" w:type="dxa"/>
            </w:tcMar>
          </w:tcPr>
          <w:p w14:paraId="6E70C275"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b/>
                <w:bCs/>
                <w:color w:val="000000" w:themeColor="text1"/>
                <w:sz w:val="16"/>
                <w:szCs w:val="16"/>
              </w:rPr>
              <w:t>SUPERORDINATE THEME: Technology, Social Capital and Peer Identity</w:t>
            </w:r>
            <w:r w:rsidRPr="00190A96">
              <w:rPr>
                <w:rFonts w:asciiTheme="minorHAnsi" w:hAnsiTheme="minorHAnsi"/>
                <w:color w:val="000000" w:themeColor="text1"/>
                <w:sz w:val="16"/>
                <w:szCs w:val="16"/>
              </w:rPr>
              <w:t xml:space="preserve">  </w:t>
            </w:r>
          </w:p>
        </w:tc>
      </w:tr>
      <w:tr w:rsidR="00190A96" w:rsidRPr="00190A96" w14:paraId="146C38C4"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30E12F20" w14:textId="77777777" w:rsidR="002012ED" w:rsidRPr="00190A96" w:rsidRDefault="002012ED" w:rsidP="00DB4C98">
            <w:pPr>
              <w:rPr>
                <w:color w:val="000000" w:themeColor="text1"/>
                <w:sz w:val="16"/>
                <w:szCs w:val="16"/>
              </w:rPr>
            </w:pPr>
            <w:r w:rsidRPr="00190A96">
              <w:rPr>
                <w:color w:val="000000" w:themeColor="text1"/>
                <w:sz w:val="16"/>
                <w:szCs w:val="16"/>
              </w:rPr>
              <w:t>RQ2: Risks and benefits of technology exposure</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49D998FE" w14:textId="77777777" w:rsidR="002012ED" w:rsidRPr="00190A96" w:rsidRDefault="002012ED" w:rsidP="00DB4C98">
            <w:pPr>
              <w:rPr>
                <w:color w:val="000000" w:themeColor="text1"/>
                <w:sz w:val="16"/>
                <w:szCs w:val="16"/>
              </w:rPr>
            </w:pPr>
            <w:r w:rsidRPr="00190A96">
              <w:rPr>
                <w:b/>
                <w:bCs/>
                <w:color w:val="000000" w:themeColor="text1"/>
                <w:sz w:val="16"/>
                <w:szCs w:val="16"/>
              </w:rPr>
              <w:t>Digital culture and social currency</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3BCF3538" w14:textId="77777777" w:rsidR="002012ED" w:rsidRPr="00190A96" w:rsidRDefault="002012ED" w:rsidP="00DB4C98">
            <w:pPr>
              <w:rPr>
                <w:color w:val="000000" w:themeColor="text1"/>
                <w:sz w:val="16"/>
                <w:szCs w:val="16"/>
              </w:rPr>
            </w:pPr>
            <w:r w:rsidRPr="00190A96">
              <w:rPr>
                <w:i/>
                <w:iCs/>
                <w:color w:val="000000" w:themeColor="text1"/>
                <w:sz w:val="16"/>
                <w:szCs w:val="16"/>
              </w:rPr>
              <w:t>"Because kids were all that age brought up with technology, it did seem to help their social interaction when they were able to chat with their friends about the games that they were playing."</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1739833B"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P1 sees a shared digital culture as essential for peer group access. This aligns with Van Deursen and Van Dijk's 2014 observation that the digital divide now depends on the quality and type of use, not just access alone. Children who are left out of common digital activities face social disadvantages, not just informational ones. This has consequences for the social sustainability of childhood development.</w:t>
            </w:r>
          </w:p>
        </w:tc>
      </w:tr>
      <w:tr w:rsidR="00190A96" w:rsidRPr="00190A96" w14:paraId="25950C0C"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16CA71E0" w14:textId="77777777" w:rsidR="002012ED" w:rsidRPr="00190A96" w:rsidRDefault="002012ED" w:rsidP="00DB4C98">
            <w:pPr>
              <w:rPr>
                <w:color w:val="000000" w:themeColor="text1"/>
                <w:sz w:val="16"/>
                <w:szCs w:val="16"/>
              </w:rPr>
            </w:pPr>
            <w:r w:rsidRPr="00190A96">
              <w:rPr>
                <w:color w:val="000000" w:themeColor="text1"/>
                <w:sz w:val="16"/>
                <w:szCs w:val="16"/>
              </w:rPr>
              <w:t>RQ2</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6F7F5A77" w14:textId="77777777" w:rsidR="002012ED" w:rsidRPr="00190A96" w:rsidRDefault="002012ED" w:rsidP="00DB4C98">
            <w:pPr>
              <w:rPr>
                <w:color w:val="000000" w:themeColor="text1"/>
                <w:sz w:val="16"/>
                <w:szCs w:val="16"/>
              </w:rPr>
            </w:pPr>
            <w:r w:rsidRPr="00190A96">
              <w:rPr>
                <w:b/>
                <w:bCs/>
                <w:color w:val="000000" w:themeColor="text1"/>
                <w:sz w:val="16"/>
                <w:szCs w:val="16"/>
              </w:rPr>
              <w:t>Digital exclusion and social marginalisation</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03BE7B00" w14:textId="77777777" w:rsidR="002012ED" w:rsidRPr="00190A96" w:rsidRDefault="002012ED" w:rsidP="00DB4C98">
            <w:pPr>
              <w:rPr>
                <w:color w:val="000000" w:themeColor="text1"/>
                <w:sz w:val="16"/>
                <w:szCs w:val="16"/>
              </w:rPr>
            </w:pPr>
            <w:r w:rsidRPr="00190A96">
              <w:rPr>
                <w:i/>
                <w:iCs/>
                <w:color w:val="000000" w:themeColor="text1"/>
                <w:sz w:val="16"/>
                <w:szCs w:val="16"/>
              </w:rPr>
              <w:t>"I have noticed that those ones are the ones that seem to be lacP3g in social groups because they're being denied something that the rest of their peers are all very heavily integrated in. So it's almost like singling them out."</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3D81548A"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P1's observation highlights the usage gap identified by Van Deursen and Van Dijk (2014): limiting access, meant to be protective, leads to social exclusion. This matches Helsper and Eynon's (2010) finding that socioeconomic and contextual factors, rather than just exposure, influence digital outcomes. This raises questions about the long-term effectiveness of broad restrictions as a parenting or institutional strategy.</w:t>
            </w:r>
          </w:p>
        </w:tc>
      </w:tr>
      <w:tr w:rsidR="00190A96" w:rsidRPr="00190A96" w14:paraId="41C7296E"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61FC00FF" w14:textId="77777777" w:rsidR="002012ED" w:rsidRPr="00190A96" w:rsidRDefault="002012ED" w:rsidP="00DB4C98">
            <w:pPr>
              <w:rPr>
                <w:color w:val="000000" w:themeColor="text1"/>
                <w:sz w:val="16"/>
                <w:szCs w:val="16"/>
              </w:rPr>
            </w:pPr>
            <w:r w:rsidRPr="00190A96">
              <w:rPr>
                <w:color w:val="000000" w:themeColor="text1"/>
                <w:sz w:val="16"/>
                <w:szCs w:val="16"/>
              </w:rPr>
              <w:t>RQ2/RQ3</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1BBF3245" w14:textId="77777777" w:rsidR="002012ED" w:rsidRPr="00190A96" w:rsidRDefault="002012ED" w:rsidP="00DB4C98">
            <w:pPr>
              <w:rPr>
                <w:color w:val="000000" w:themeColor="text1"/>
                <w:sz w:val="16"/>
                <w:szCs w:val="16"/>
              </w:rPr>
            </w:pPr>
            <w:r w:rsidRPr="00190A96">
              <w:rPr>
                <w:b/>
                <w:bCs/>
                <w:color w:val="000000" w:themeColor="text1"/>
                <w:sz w:val="16"/>
                <w:szCs w:val="16"/>
              </w:rPr>
              <w:t>Institutional technology bans and social harm</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10F84FAB" w14:textId="77777777" w:rsidR="002012ED" w:rsidRPr="00190A96" w:rsidRDefault="002012ED" w:rsidP="00DB4C98">
            <w:pPr>
              <w:rPr>
                <w:color w:val="000000" w:themeColor="text1"/>
                <w:sz w:val="16"/>
                <w:szCs w:val="16"/>
              </w:rPr>
            </w:pPr>
            <w:r w:rsidRPr="00190A96">
              <w:rPr>
                <w:i/>
                <w:iCs/>
                <w:color w:val="000000" w:themeColor="text1"/>
                <w:sz w:val="16"/>
                <w:szCs w:val="16"/>
              </w:rPr>
              <w:t>"Having them putting a blanket ban, saying no, you're not allowed to bring these things into school, actually made it harder for parents and their children, for those who didn't have those restrictions put on."</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21151B5B"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P1's critique of school technology bans reveals an unintended consequence: the prohibition did not eliminate digital social culture but instead shifted disadvantages onto compliant children. Tensions between managing institutional risks and achieving sustainable, fair social development are clear here. This concern is noted by Ehnert et al. (2016) in corporate sustainability practices, where short-term protective measures can harm long-term human capital outcomes.</w:t>
            </w:r>
          </w:p>
        </w:tc>
      </w:tr>
      <w:tr w:rsidR="00190A96" w:rsidRPr="00190A96" w14:paraId="032DE7FA" w14:textId="77777777" w:rsidTr="002012ED">
        <w:tc>
          <w:tcPr>
            <w:tcW w:w="1395" w:type="dxa"/>
            <w:tcBorders>
              <w:top w:val="single" w:sz="2" w:space="0" w:color="AAAAAA"/>
              <w:left w:val="single" w:sz="2" w:space="0" w:color="AAAAAA"/>
              <w:bottom w:val="single" w:sz="4" w:space="0" w:color="1F4E79"/>
              <w:right w:val="single" w:sz="2" w:space="0" w:color="AAAAAA"/>
            </w:tcBorders>
            <w:shd w:val="clear" w:color="auto" w:fill="FFE7FF"/>
            <w:tcMar>
              <w:top w:w="70" w:type="dxa"/>
              <w:left w:w="90" w:type="dxa"/>
              <w:bottom w:w="70" w:type="dxa"/>
              <w:right w:w="90" w:type="dxa"/>
            </w:tcMar>
          </w:tcPr>
          <w:p w14:paraId="108D43B8" w14:textId="77777777" w:rsidR="002012ED" w:rsidRPr="00190A96" w:rsidRDefault="002012ED" w:rsidP="00DB4C98">
            <w:pPr>
              <w:rPr>
                <w:color w:val="000000" w:themeColor="text1"/>
                <w:sz w:val="16"/>
                <w:szCs w:val="16"/>
              </w:rPr>
            </w:pPr>
            <w:r w:rsidRPr="00190A96">
              <w:rPr>
                <w:color w:val="000000" w:themeColor="text1"/>
                <w:sz w:val="16"/>
                <w:szCs w:val="16"/>
              </w:rPr>
              <w:t>RQ2</w:t>
            </w:r>
          </w:p>
        </w:tc>
        <w:tc>
          <w:tcPr>
            <w:tcW w:w="1323" w:type="dxa"/>
            <w:tcBorders>
              <w:top w:val="single" w:sz="2" w:space="0" w:color="AAAAAA"/>
              <w:left w:val="single" w:sz="2" w:space="0" w:color="AAAAAA"/>
              <w:bottom w:val="single" w:sz="4" w:space="0" w:color="1F4E79"/>
              <w:right w:val="single" w:sz="2" w:space="0" w:color="AAAAAA"/>
            </w:tcBorders>
            <w:shd w:val="clear" w:color="auto" w:fill="FFE7FF"/>
            <w:tcMar>
              <w:top w:w="70" w:type="dxa"/>
              <w:left w:w="90" w:type="dxa"/>
              <w:bottom w:w="70" w:type="dxa"/>
              <w:right w:w="90" w:type="dxa"/>
            </w:tcMar>
          </w:tcPr>
          <w:p w14:paraId="166BACC2" w14:textId="77777777" w:rsidR="002012ED" w:rsidRPr="00190A96" w:rsidRDefault="002012ED" w:rsidP="00DB4C98">
            <w:pPr>
              <w:rPr>
                <w:color w:val="000000" w:themeColor="text1"/>
                <w:sz w:val="16"/>
                <w:szCs w:val="16"/>
              </w:rPr>
            </w:pPr>
            <w:r w:rsidRPr="00190A96">
              <w:rPr>
                <w:b/>
                <w:bCs/>
                <w:color w:val="000000" w:themeColor="text1"/>
                <w:sz w:val="16"/>
                <w:szCs w:val="16"/>
              </w:rPr>
              <w:t>Social media withdrawal and community exclusion</w:t>
            </w:r>
          </w:p>
        </w:tc>
        <w:tc>
          <w:tcPr>
            <w:tcW w:w="2386" w:type="dxa"/>
            <w:tcBorders>
              <w:top w:val="single" w:sz="2" w:space="0" w:color="AAAAAA"/>
              <w:left w:val="single" w:sz="2" w:space="0" w:color="AAAAAA"/>
              <w:bottom w:val="single" w:sz="4" w:space="0" w:color="1F4E79"/>
              <w:right w:val="single" w:sz="2" w:space="0" w:color="AAAAAA"/>
            </w:tcBorders>
            <w:shd w:val="clear" w:color="auto" w:fill="FAFAFA"/>
            <w:tcMar>
              <w:top w:w="70" w:type="dxa"/>
              <w:left w:w="90" w:type="dxa"/>
              <w:bottom w:w="70" w:type="dxa"/>
              <w:right w:w="90" w:type="dxa"/>
            </w:tcMar>
          </w:tcPr>
          <w:p w14:paraId="3BCF49D2" w14:textId="77777777" w:rsidR="002012ED" w:rsidRPr="00190A96" w:rsidRDefault="002012ED" w:rsidP="00DB4C98">
            <w:pPr>
              <w:rPr>
                <w:color w:val="000000" w:themeColor="text1"/>
                <w:sz w:val="16"/>
                <w:szCs w:val="16"/>
              </w:rPr>
            </w:pPr>
            <w:r w:rsidRPr="00190A96">
              <w:rPr>
                <w:i/>
                <w:iCs/>
                <w:color w:val="000000" w:themeColor="text1"/>
                <w:sz w:val="16"/>
                <w:szCs w:val="16"/>
              </w:rPr>
              <w:t>"I would feel left out sometimes because also being in group chats and things like that and then I would miss out on things that they were laughing about which then they would laugh about in school."</w:t>
            </w:r>
          </w:p>
        </w:tc>
        <w:tc>
          <w:tcPr>
            <w:tcW w:w="5244" w:type="dxa"/>
            <w:tcBorders>
              <w:top w:val="single" w:sz="2" w:space="0" w:color="AAAAAA"/>
              <w:left w:val="single" w:sz="2" w:space="0" w:color="AAAAAA"/>
              <w:bottom w:val="single" w:sz="4" w:space="0" w:color="1F4E79"/>
              <w:right w:val="single" w:sz="2" w:space="0" w:color="AAAAAA"/>
            </w:tcBorders>
            <w:shd w:val="clear" w:color="auto" w:fill="FFFFFF"/>
            <w:tcMar>
              <w:top w:w="70" w:type="dxa"/>
              <w:left w:w="90" w:type="dxa"/>
              <w:bottom w:w="70" w:type="dxa"/>
              <w:right w:w="90" w:type="dxa"/>
            </w:tcMar>
          </w:tcPr>
          <w:p w14:paraId="1A4FD1BC"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P3’s experience of exclusion during breaks from social media shows that digital platforms are a key place for teenagers to build social connections. When these platforms are removed, it creates a clear feeling of social isolation. This ties into the Well-being of Future Generations (Wales) Act (2015), which highlights the importance of social ties for lasting well-being. It also suggests that being active online is no longer just a choice but has become a fundamental social necessity.</w:t>
            </w:r>
          </w:p>
        </w:tc>
      </w:tr>
      <w:tr w:rsidR="00190A96" w:rsidRPr="00190A96" w14:paraId="288AA8A6" w14:textId="77777777" w:rsidTr="002012ED">
        <w:tc>
          <w:tcPr>
            <w:tcW w:w="10348" w:type="dxa"/>
            <w:gridSpan w:val="4"/>
            <w:tcBorders>
              <w:top w:val="single" w:sz="4" w:space="0" w:color="1F4E79"/>
              <w:left w:val="single" w:sz="4" w:space="0" w:color="1F4E79"/>
              <w:bottom w:val="single" w:sz="4" w:space="0" w:color="1F4E79"/>
              <w:right w:val="single" w:sz="4" w:space="0" w:color="1F4E79"/>
            </w:tcBorders>
            <w:shd w:val="clear" w:color="auto" w:fill="F78FB5"/>
            <w:tcMar>
              <w:top w:w="80" w:type="dxa"/>
              <w:left w:w="120" w:type="dxa"/>
              <w:bottom w:w="80" w:type="dxa"/>
              <w:right w:w="120" w:type="dxa"/>
            </w:tcMar>
          </w:tcPr>
          <w:p w14:paraId="13290AA9"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b/>
                <w:bCs/>
                <w:color w:val="000000" w:themeColor="text1"/>
                <w:sz w:val="16"/>
                <w:szCs w:val="16"/>
              </w:rPr>
              <w:t>SUPERORDINATE THEME: Risks of Unmediated Digital Access</w:t>
            </w:r>
          </w:p>
        </w:tc>
      </w:tr>
      <w:tr w:rsidR="00190A96" w:rsidRPr="00190A96" w14:paraId="39FF8D04"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6A74BC12" w14:textId="77777777" w:rsidR="002012ED" w:rsidRPr="00190A96" w:rsidRDefault="002012ED" w:rsidP="00DB4C98">
            <w:pPr>
              <w:rPr>
                <w:color w:val="000000" w:themeColor="text1"/>
                <w:sz w:val="16"/>
                <w:szCs w:val="16"/>
              </w:rPr>
            </w:pPr>
            <w:r w:rsidRPr="00190A96">
              <w:rPr>
                <w:color w:val="000000" w:themeColor="text1"/>
                <w:sz w:val="16"/>
                <w:szCs w:val="16"/>
              </w:rPr>
              <w:t>RQ2:</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1B600197" w14:textId="77777777" w:rsidR="002012ED" w:rsidRPr="00190A96" w:rsidRDefault="002012ED" w:rsidP="00DB4C98">
            <w:pPr>
              <w:rPr>
                <w:color w:val="000000" w:themeColor="text1"/>
                <w:sz w:val="16"/>
                <w:szCs w:val="16"/>
              </w:rPr>
            </w:pPr>
            <w:r w:rsidRPr="00190A96">
              <w:rPr>
                <w:b/>
                <w:bCs/>
                <w:color w:val="000000" w:themeColor="text1"/>
                <w:sz w:val="16"/>
                <w:szCs w:val="16"/>
              </w:rPr>
              <w:t>Attention degeneration</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4D29CBC8" w14:textId="77777777" w:rsidR="002012ED" w:rsidRPr="00190A96" w:rsidRDefault="002012ED" w:rsidP="00DB4C98">
            <w:pPr>
              <w:rPr>
                <w:color w:val="000000" w:themeColor="text1"/>
                <w:sz w:val="16"/>
                <w:szCs w:val="16"/>
              </w:rPr>
            </w:pPr>
            <w:r w:rsidRPr="00190A96">
              <w:rPr>
                <w:i/>
                <w:iCs/>
                <w:color w:val="000000" w:themeColor="text1"/>
                <w:sz w:val="16"/>
                <w:szCs w:val="16"/>
              </w:rPr>
              <w:t>"The attention span has greatly diminished... everything has to happen within like 5 or 6 seconds. Otherwise, they're bored and they move on to the next thing."</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577B8DE6"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P1's observation aligns with Christakis et al. (2004) finding that early exposure to television relates to later attention issues. The quick consumption style of short-form social media platforms adds to this trend. This has clear impacts on the sustained attention needed for complex work tasks (Osmani et al., 2019).</w:t>
            </w:r>
          </w:p>
        </w:tc>
      </w:tr>
      <w:tr w:rsidR="00190A96" w:rsidRPr="00190A96" w14:paraId="5432663C"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1BD1B1D7" w14:textId="77777777" w:rsidR="002012ED" w:rsidRPr="00190A96" w:rsidRDefault="002012ED" w:rsidP="00DB4C98">
            <w:pPr>
              <w:rPr>
                <w:color w:val="000000" w:themeColor="text1"/>
                <w:sz w:val="16"/>
                <w:szCs w:val="16"/>
              </w:rPr>
            </w:pPr>
            <w:r w:rsidRPr="00190A96">
              <w:rPr>
                <w:color w:val="000000" w:themeColor="text1"/>
                <w:sz w:val="16"/>
                <w:szCs w:val="16"/>
              </w:rPr>
              <w:t>RQ2</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56A04159" w14:textId="77777777" w:rsidR="002012ED" w:rsidRPr="00190A96" w:rsidRDefault="002012ED" w:rsidP="00DB4C98">
            <w:pPr>
              <w:rPr>
                <w:color w:val="000000" w:themeColor="text1"/>
                <w:sz w:val="16"/>
                <w:szCs w:val="16"/>
              </w:rPr>
            </w:pPr>
            <w:r w:rsidRPr="00190A96">
              <w:rPr>
                <w:b/>
                <w:bCs/>
                <w:color w:val="000000" w:themeColor="text1"/>
                <w:sz w:val="16"/>
                <w:szCs w:val="16"/>
              </w:rPr>
              <w:t>Multi-stimuli dependency</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5CF7CEAB" w14:textId="77777777" w:rsidR="002012ED" w:rsidRPr="00190A96" w:rsidRDefault="002012ED" w:rsidP="00DB4C98">
            <w:pPr>
              <w:rPr>
                <w:color w:val="000000" w:themeColor="text1"/>
                <w:sz w:val="16"/>
                <w:szCs w:val="16"/>
              </w:rPr>
            </w:pPr>
            <w:r w:rsidRPr="00190A96">
              <w:rPr>
                <w:i/>
                <w:iCs/>
                <w:color w:val="000000" w:themeColor="text1"/>
                <w:sz w:val="16"/>
                <w:szCs w:val="16"/>
              </w:rPr>
              <w:t>"She can watch [a movie] if she's also playing a game on her phone and listening to music in her headphones... But if you take those other 2 stimuli away, she'll be bored in 2 minutes flat."</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29C06012"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 xml:space="preserve">P1 (child)'s need for simultaneous, layered stimulation shows the idea presented by Christakis et al. (2004). They found that long-term exposure to fast, intense screen stimuli raises the level needed for consistent engagement. Kirschner and De Bruyckere (2017) argue against the notion that younger generations can multitask well. They suggest that the </w:t>
            </w:r>
            <w:r w:rsidRPr="00190A96">
              <w:rPr>
                <w:rFonts w:asciiTheme="minorHAnsi" w:hAnsiTheme="minorHAnsi" w:cs="Segoe UI"/>
                <w:color w:val="000000" w:themeColor="text1"/>
                <w:sz w:val="16"/>
                <w:szCs w:val="16"/>
                <w:shd w:val="clear" w:color="auto" w:fill="FFFFFF"/>
              </w:rPr>
              <w:lastRenderedPageBreak/>
              <w:t>familiarity with multi-stimulation reflects a learned attention pattern, not a real cognitive benefit.</w:t>
            </w:r>
          </w:p>
        </w:tc>
      </w:tr>
      <w:tr w:rsidR="00190A96" w:rsidRPr="00190A96" w14:paraId="71CE1879"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2C88E184" w14:textId="77777777" w:rsidR="002012ED" w:rsidRPr="00190A96" w:rsidRDefault="002012ED" w:rsidP="00DB4C98">
            <w:pPr>
              <w:rPr>
                <w:color w:val="000000" w:themeColor="text1"/>
                <w:sz w:val="16"/>
                <w:szCs w:val="16"/>
              </w:rPr>
            </w:pPr>
            <w:r w:rsidRPr="00190A96">
              <w:rPr>
                <w:color w:val="000000" w:themeColor="text1"/>
                <w:sz w:val="16"/>
                <w:szCs w:val="16"/>
              </w:rPr>
              <w:t>RQ2</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1A405701" w14:textId="77777777" w:rsidR="002012ED" w:rsidRPr="00190A96" w:rsidRDefault="002012ED" w:rsidP="00DB4C98">
            <w:pPr>
              <w:rPr>
                <w:color w:val="000000" w:themeColor="text1"/>
                <w:sz w:val="16"/>
                <w:szCs w:val="16"/>
              </w:rPr>
            </w:pPr>
            <w:r w:rsidRPr="00190A96">
              <w:rPr>
                <w:b/>
                <w:bCs/>
                <w:color w:val="000000" w:themeColor="text1"/>
                <w:sz w:val="16"/>
                <w:szCs w:val="16"/>
              </w:rPr>
              <w:t>Cyberbullying and online anonymity</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315670DE" w14:textId="77777777" w:rsidR="002012ED" w:rsidRPr="00190A96" w:rsidRDefault="002012ED" w:rsidP="00DB4C98">
            <w:pPr>
              <w:rPr>
                <w:color w:val="000000" w:themeColor="text1"/>
                <w:sz w:val="16"/>
                <w:szCs w:val="16"/>
              </w:rPr>
            </w:pPr>
            <w:r w:rsidRPr="00190A96">
              <w:rPr>
                <w:i/>
                <w:iCs/>
                <w:color w:val="000000" w:themeColor="text1"/>
                <w:sz w:val="16"/>
                <w:szCs w:val="16"/>
              </w:rPr>
              <w:t>"In the old days, when I got bullied, you'd be face to face with the person who was bullying you, whereas these days, it can be completely nameless and faceless — and there's no way of switching that off."</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5C34D4A1"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P1 makes a clear difference between analogue and digital bullying. The anonymity, persistence, and inescapability of cyberbullying take away protective measures like physical distance and time to recover that traditional bullying allowed. Radesky et al. (2015) point out that we still don’t fully understand the long-term effects of mobile technology on development, which can include social and psychological harm. P1's account shows this as a real, ongoing risk for development, affecting workforce wellbeing (Pfeffer, 2010).</w:t>
            </w:r>
          </w:p>
        </w:tc>
      </w:tr>
      <w:tr w:rsidR="00190A96" w:rsidRPr="00190A96" w14:paraId="67A39F52"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0A8DE10E" w14:textId="77777777" w:rsidR="002012ED" w:rsidRPr="00190A96" w:rsidRDefault="002012ED" w:rsidP="00DB4C98">
            <w:pPr>
              <w:rPr>
                <w:color w:val="000000" w:themeColor="text1"/>
                <w:sz w:val="16"/>
                <w:szCs w:val="16"/>
              </w:rPr>
            </w:pPr>
            <w:r w:rsidRPr="00190A96">
              <w:rPr>
                <w:color w:val="000000" w:themeColor="text1"/>
                <w:sz w:val="16"/>
                <w:szCs w:val="16"/>
              </w:rPr>
              <w:t>RQ2</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7FFF9CBD" w14:textId="77777777" w:rsidR="002012ED" w:rsidRPr="00190A96" w:rsidRDefault="002012ED" w:rsidP="00DB4C98">
            <w:pPr>
              <w:rPr>
                <w:color w:val="000000" w:themeColor="text1"/>
                <w:sz w:val="16"/>
                <w:szCs w:val="16"/>
              </w:rPr>
            </w:pPr>
            <w:r w:rsidRPr="00190A96">
              <w:rPr>
                <w:b/>
                <w:bCs/>
                <w:color w:val="000000" w:themeColor="text1"/>
                <w:sz w:val="16"/>
                <w:szCs w:val="16"/>
              </w:rPr>
              <w:t>Exposure to graphic peer-circulated content</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0C2D09E1" w14:textId="77777777" w:rsidR="002012ED" w:rsidRPr="00190A96" w:rsidRDefault="002012ED" w:rsidP="00DB4C98">
            <w:pPr>
              <w:rPr>
                <w:color w:val="000000" w:themeColor="text1"/>
                <w:sz w:val="16"/>
                <w:szCs w:val="16"/>
              </w:rPr>
            </w:pPr>
            <w:r w:rsidRPr="00190A96">
              <w:rPr>
                <w:i/>
                <w:iCs/>
                <w:color w:val="000000" w:themeColor="text1"/>
                <w:sz w:val="16"/>
                <w:szCs w:val="16"/>
              </w:rPr>
              <w:t>"The main thing that was, especially going around my school was like videos of really like distressing things like people being killed and stuff like that or harming themselves."</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36E0C2F2"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P3's account of graphic content circulating on school social networks reflects Madigan et al. (2019) finding that more screen time is linked to worse outcomes in social and communication skills. Seeing violent and self-harm content through peer networks, normalised in P3’s account, poses an unmanaged risk that can have lasting effects on mental health and workforce sustainability (Pfeffer, 2010).</w:t>
            </w:r>
          </w:p>
        </w:tc>
      </w:tr>
      <w:tr w:rsidR="00190A96" w:rsidRPr="00190A96" w14:paraId="29CA741A"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0B23EBBA" w14:textId="77777777" w:rsidR="002012ED" w:rsidRPr="00190A96" w:rsidRDefault="002012ED" w:rsidP="00DB4C98">
            <w:pPr>
              <w:rPr>
                <w:color w:val="000000" w:themeColor="text1"/>
                <w:sz w:val="16"/>
                <w:szCs w:val="16"/>
              </w:rPr>
            </w:pPr>
            <w:r w:rsidRPr="00190A96">
              <w:rPr>
                <w:color w:val="000000" w:themeColor="text1"/>
                <w:sz w:val="16"/>
                <w:szCs w:val="16"/>
              </w:rPr>
              <w:t>RQ2</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7C16F75D" w14:textId="77777777" w:rsidR="002012ED" w:rsidRPr="00190A96" w:rsidRDefault="002012ED" w:rsidP="00DB4C98">
            <w:pPr>
              <w:rPr>
                <w:color w:val="000000" w:themeColor="text1"/>
                <w:sz w:val="16"/>
                <w:szCs w:val="16"/>
              </w:rPr>
            </w:pPr>
            <w:r w:rsidRPr="00190A96">
              <w:rPr>
                <w:b/>
                <w:bCs/>
                <w:color w:val="000000" w:themeColor="text1"/>
                <w:sz w:val="16"/>
                <w:szCs w:val="16"/>
              </w:rPr>
              <w:t>Grooming and online normalisation</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181C9EDA" w14:textId="77777777" w:rsidR="002012ED" w:rsidRPr="00190A96" w:rsidRDefault="002012ED" w:rsidP="00DB4C98">
            <w:pPr>
              <w:rPr>
                <w:color w:val="000000" w:themeColor="text1"/>
                <w:sz w:val="16"/>
                <w:szCs w:val="16"/>
              </w:rPr>
            </w:pPr>
            <w:r w:rsidRPr="00190A96">
              <w:rPr>
                <w:i/>
                <w:iCs/>
                <w:color w:val="000000" w:themeColor="text1"/>
                <w:sz w:val="16"/>
                <w:szCs w:val="16"/>
              </w:rPr>
              <w:t>"Basically, like low-key being groomed at like some point — that happened. I feel like that happens to most people."</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1D06D29C"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P3’s casual approach to a grooming experience is an important finding. The lack of perceived violation shows a gap in digital safety understanding during formative years. Papadakis et al. (2019) found that parental awareness of digital risks greatly affects protective outcomes. P3's account suggests that this awareness was lacP3g. The long-term psychological effects of normalized boundary violations relate directly to Pfeffer’s (2010) concern for employee well-being as a lasting priority for organisations.</w:t>
            </w:r>
          </w:p>
        </w:tc>
      </w:tr>
      <w:tr w:rsidR="00190A96" w:rsidRPr="00190A96" w14:paraId="2BB799C6"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56D4E395" w14:textId="77777777" w:rsidR="002012ED" w:rsidRPr="00190A96" w:rsidRDefault="002012ED" w:rsidP="00DB4C98">
            <w:pPr>
              <w:rPr>
                <w:color w:val="000000" w:themeColor="text1"/>
                <w:sz w:val="16"/>
                <w:szCs w:val="16"/>
              </w:rPr>
            </w:pPr>
            <w:r w:rsidRPr="00190A96">
              <w:rPr>
                <w:color w:val="000000" w:themeColor="text1"/>
                <w:sz w:val="16"/>
                <w:szCs w:val="16"/>
              </w:rPr>
              <w:t>RQ2</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402BB8AD" w14:textId="77777777" w:rsidR="002012ED" w:rsidRPr="00190A96" w:rsidRDefault="002012ED" w:rsidP="00DB4C98">
            <w:pPr>
              <w:rPr>
                <w:color w:val="000000" w:themeColor="text1"/>
                <w:sz w:val="16"/>
                <w:szCs w:val="16"/>
              </w:rPr>
            </w:pPr>
            <w:r w:rsidRPr="00190A96">
              <w:rPr>
                <w:b/>
                <w:bCs/>
                <w:color w:val="000000" w:themeColor="text1"/>
                <w:sz w:val="16"/>
                <w:szCs w:val="16"/>
              </w:rPr>
              <w:t>Online radicalisation biased political influence</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68588DC0" w14:textId="77777777" w:rsidR="002012ED" w:rsidRPr="00190A96" w:rsidRDefault="002012ED" w:rsidP="00DB4C98">
            <w:pPr>
              <w:rPr>
                <w:color w:val="000000" w:themeColor="text1"/>
                <w:sz w:val="16"/>
                <w:szCs w:val="16"/>
              </w:rPr>
            </w:pPr>
            <w:r w:rsidRPr="00190A96">
              <w:rPr>
                <w:i/>
                <w:iCs/>
                <w:color w:val="000000" w:themeColor="text1"/>
                <w:sz w:val="16"/>
                <w:szCs w:val="16"/>
              </w:rPr>
              <w:t>"When she was between like 12 and 15, she was very politically charged and just wanted to be part of whatever the big movement... she would get very ideological about it."</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2842F4D7"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P1's account of algorithmically mediated ideological influence during adolescence connects to Madigan et al. (2019) finding that higher screen time at critical developmental stages is linked to worse social and emotional outcomes. Recommendation systems that promote identity-seeP3g in vulnerable adolescents raise questions about digital sustainability frameworks that do not consider content architecture and platform design.</w:t>
            </w:r>
          </w:p>
        </w:tc>
      </w:tr>
      <w:tr w:rsidR="00190A96" w:rsidRPr="00190A96" w14:paraId="0656D93A" w14:textId="77777777" w:rsidTr="002012ED">
        <w:trPr>
          <w:trHeight w:val="884"/>
        </w:trPr>
        <w:tc>
          <w:tcPr>
            <w:tcW w:w="1395" w:type="dxa"/>
            <w:tcBorders>
              <w:top w:val="single" w:sz="2" w:space="0" w:color="AAAAAA"/>
              <w:left w:val="single" w:sz="2" w:space="0" w:color="AAAAAA"/>
              <w:bottom w:val="single" w:sz="4" w:space="0" w:color="1F4E79"/>
              <w:right w:val="single" w:sz="2" w:space="0" w:color="AAAAAA"/>
            </w:tcBorders>
            <w:shd w:val="clear" w:color="auto" w:fill="FFE7FF"/>
            <w:tcMar>
              <w:top w:w="70" w:type="dxa"/>
              <w:left w:w="90" w:type="dxa"/>
              <w:bottom w:w="70" w:type="dxa"/>
              <w:right w:w="90" w:type="dxa"/>
            </w:tcMar>
          </w:tcPr>
          <w:p w14:paraId="3D930737" w14:textId="77777777" w:rsidR="002012ED" w:rsidRPr="00190A96" w:rsidRDefault="002012ED" w:rsidP="00DB4C98">
            <w:pPr>
              <w:rPr>
                <w:color w:val="000000" w:themeColor="text1"/>
                <w:sz w:val="16"/>
                <w:szCs w:val="16"/>
              </w:rPr>
            </w:pPr>
            <w:r w:rsidRPr="00190A96">
              <w:rPr>
                <w:color w:val="000000" w:themeColor="text1"/>
                <w:sz w:val="16"/>
                <w:szCs w:val="16"/>
              </w:rPr>
              <w:t>RQ2</w:t>
            </w:r>
          </w:p>
        </w:tc>
        <w:tc>
          <w:tcPr>
            <w:tcW w:w="1323" w:type="dxa"/>
            <w:tcBorders>
              <w:top w:val="single" w:sz="2" w:space="0" w:color="AAAAAA"/>
              <w:left w:val="single" w:sz="2" w:space="0" w:color="AAAAAA"/>
              <w:bottom w:val="single" w:sz="4" w:space="0" w:color="1F4E79"/>
              <w:right w:val="single" w:sz="2" w:space="0" w:color="AAAAAA"/>
            </w:tcBorders>
            <w:shd w:val="clear" w:color="auto" w:fill="FFE7FF"/>
            <w:tcMar>
              <w:top w:w="70" w:type="dxa"/>
              <w:left w:w="90" w:type="dxa"/>
              <w:bottom w:w="70" w:type="dxa"/>
              <w:right w:w="90" w:type="dxa"/>
            </w:tcMar>
          </w:tcPr>
          <w:p w14:paraId="4C888AFE" w14:textId="77777777" w:rsidR="002012ED" w:rsidRPr="00190A96" w:rsidRDefault="002012ED" w:rsidP="00DB4C98">
            <w:pPr>
              <w:rPr>
                <w:color w:val="000000" w:themeColor="text1"/>
                <w:sz w:val="16"/>
                <w:szCs w:val="16"/>
              </w:rPr>
            </w:pPr>
            <w:r w:rsidRPr="00190A96">
              <w:rPr>
                <w:b/>
                <w:bCs/>
                <w:color w:val="000000" w:themeColor="text1"/>
                <w:sz w:val="16"/>
                <w:szCs w:val="16"/>
              </w:rPr>
              <w:t>Early exposure to pornographic content</w:t>
            </w:r>
          </w:p>
        </w:tc>
        <w:tc>
          <w:tcPr>
            <w:tcW w:w="2386" w:type="dxa"/>
            <w:tcBorders>
              <w:top w:val="single" w:sz="2" w:space="0" w:color="AAAAAA"/>
              <w:left w:val="single" w:sz="2" w:space="0" w:color="AAAAAA"/>
              <w:bottom w:val="single" w:sz="4" w:space="0" w:color="1F4E79"/>
              <w:right w:val="single" w:sz="2" w:space="0" w:color="AAAAAA"/>
            </w:tcBorders>
            <w:shd w:val="clear" w:color="auto" w:fill="FAFAFA"/>
            <w:tcMar>
              <w:top w:w="70" w:type="dxa"/>
              <w:left w:w="90" w:type="dxa"/>
              <w:bottom w:w="70" w:type="dxa"/>
              <w:right w:w="90" w:type="dxa"/>
            </w:tcMar>
          </w:tcPr>
          <w:p w14:paraId="2D490D17" w14:textId="77777777" w:rsidR="002012ED" w:rsidRPr="00190A96" w:rsidRDefault="002012ED" w:rsidP="00DB4C98">
            <w:pPr>
              <w:rPr>
                <w:color w:val="000000" w:themeColor="text1"/>
                <w:sz w:val="16"/>
                <w:szCs w:val="16"/>
              </w:rPr>
            </w:pPr>
            <w:r w:rsidRPr="00190A96">
              <w:rPr>
                <w:i/>
                <w:iCs/>
                <w:color w:val="000000" w:themeColor="text1"/>
                <w:sz w:val="16"/>
                <w:szCs w:val="16"/>
              </w:rPr>
              <w:t>"I'd seen stuff like that [pornography] from the first time on the internet, by the age of 10... That stuff should not be seen by children."</w:t>
            </w:r>
          </w:p>
        </w:tc>
        <w:tc>
          <w:tcPr>
            <w:tcW w:w="5244" w:type="dxa"/>
            <w:tcBorders>
              <w:top w:val="single" w:sz="2" w:space="0" w:color="AAAAAA"/>
              <w:left w:val="single" w:sz="2" w:space="0" w:color="AAAAAA"/>
              <w:bottom w:val="single" w:sz="4" w:space="0" w:color="1F4E79"/>
              <w:right w:val="single" w:sz="2" w:space="0" w:color="AAAAAA"/>
            </w:tcBorders>
            <w:shd w:val="clear" w:color="auto" w:fill="FFFFFF"/>
            <w:tcMar>
              <w:top w:w="70" w:type="dxa"/>
              <w:left w:w="90" w:type="dxa"/>
              <w:bottom w:w="70" w:type="dxa"/>
              <w:right w:w="90" w:type="dxa"/>
            </w:tcMar>
          </w:tcPr>
          <w:p w14:paraId="6687E486"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P2's disclosure of unsupervised early exposure to pornographic content and the retrospective identification of likely negative developmental effects align with Hutton et al. (2020) neuroimaging findings that connect excessive screen use to harmful developmental outcomes. It also supports Papadakis et al. (2019) finding that parental awareness and active mediation are key factors in achieving protective outcomes. This conclusion has direct policy implications for sustainable technology integration.</w:t>
            </w:r>
          </w:p>
        </w:tc>
      </w:tr>
      <w:tr w:rsidR="00190A96" w:rsidRPr="00190A96" w14:paraId="1D21CD2C" w14:textId="77777777" w:rsidTr="002012ED">
        <w:tc>
          <w:tcPr>
            <w:tcW w:w="10348" w:type="dxa"/>
            <w:gridSpan w:val="4"/>
            <w:tcBorders>
              <w:top w:val="single" w:sz="4" w:space="0" w:color="1F4E79"/>
              <w:left w:val="single" w:sz="4" w:space="0" w:color="1F4E79"/>
              <w:bottom w:val="single" w:sz="4" w:space="0" w:color="1F4E79"/>
              <w:right w:val="single" w:sz="4" w:space="0" w:color="1F4E79"/>
            </w:tcBorders>
            <w:shd w:val="clear" w:color="auto" w:fill="F78FB5"/>
            <w:tcMar>
              <w:top w:w="80" w:type="dxa"/>
              <w:left w:w="120" w:type="dxa"/>
              <w:bottom w:w="80" w:type="dxa"/>
              <w:right w:w="120" w:type="dxa"/>
            </w:tcMar>
          </w:tcPr>
          <w:p w14:paraId="4CD832CD"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b/>
                <w:bCs/>
                <w:color w:val="000000" w:themeColor="text1"/>
                <w:sz w:val="16"/>
                <w:szCs w:val="16"/>
              </w:rPr>
              <w:t>SUPERORDINATE THEME: Technology and Professional Skill Development</w:t>
            </w:r>
          </w:p>
        </w:tc>
      </w:tr>
      <w:tr w:rsidR="00190A96" w:rsidRPr="00190A96" w14:paraId="0C22D905"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34C8DDA3" w14:textId="77777777" w:rsidR="002012ED" w:rsidRPr="00190A96" w:rsidRDefault="002012ED" w:rsidP="00DB4C98">
            <w:pPr>
              <w:rPr>
                <w:color w:val="000000" w:themeColor="text1"/>
                <w:sz w:val="16"/>
                <w:szCs w:val="16"/>
              </w:rPr>
            </w:pPr>
            <w:r w:rsidRPr="00190A96">
              <w:rPr>
                <w:color w:val="000000" w:themeColor="text1"/>
                <w:sz w:val="16"/>
                <w:szCs w:val="16"/>
              </w:rPr>
              <w:t>RQ1:</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18EB8917" w14:textId="77777777" w:rsidR="002012ED" w:rsidRPr="00190A96" w:rsidRDefault="002012ED" w:rsidP="00DB4C98">
            <w:pPr>
              <w:rPr>
                <w:color w:val="000000" w:themeColor="text1"/>
                <w:sz w:val="16"/>
                <w:szCs w:val="16"/>
              </w:rPr>
            </w:pPr>
            <w:r w:rsidRPr="00190A96">
              <w:rPr>
                <w:b/>
                <w:bCs/>
                <w:color w:val="000000" w:themeColor="text1"/>
                <w:sz w:val="16"/>
                <w:szCs w:val="16"/>
              </w:rPr>
              <w:t>IT proficiency as baseline workplace competency</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1EF6E6CA" w14:textId="77777777" w:rsidR="002012ED" w:rsidRPr="00190A96" w:rsidRDefault="002012ED" w:rsidP="00DB4C98">
            <w:pPr>
              <w:rPr>
                <w:color w:val="000000" w:themeColor="text1"/>
                <w:sz w:val="16"/>
                <w:szCs w:val="16"/>
              </w:rPr>
            </w:pPr>
            <w:r w:rsidRPr="00190A96">
              <w:rPr>
                <w:i/>
                <w:iCs/>
                <w:color w:val="000000" w:themeColor="text1"/>
                <w:sz w:val="16"/>
                <w:szCs w:val="16"/>
              </w:rPr>
              <w:t>"Professional skills were much better as a result — there's no doubt about it — just because so much workplace requires IT proficiency."</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0100860A"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P2's clear statement reflects the findings of Osmani et al. (2019) that employers prioritise digital skills alongside soft skills. Notably, P2's foundation was built through informal childhood experiences instead of formal education. This aligns with Ng's (2012) observation that digital literacy needs context for development, rather than just formal instruction. This challenges the belief that professional digital competency develops automatically from early exposure.</w:t>
            </w:r>
          </w:p>
        </w:tc>
      </w:tr>
      <w:tr w:rsidR="00190A96" w:rsidRPr="00190A96" w14:paraId="031CC932"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2FEC4ED0" w14:textId="77777777" w:rsidR="002012ED" w:rsidRPr="00190A96" w:rsidRDefault="002012ED" w:rsidP="00DB4C98">
            <w:pPr>
              <w:rPr>
                <w:color w:val="000000" w:themeColor="text1"/>
                <w:sz w:val="16"/>
                <w:szCs w:val="16"/>
              </w:rPr>
            </w:pPr>
            <w:r w:rsidRPr="00190A96">
              <w:rPr>
                <w:color w:val="000000" w:themeColor="text1"/>
                <w:sz w:val="16"/>
                <w:szCs w:val="16"/>
              </w:rPr>
              <w:t>RQ1</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1798572C" w14:textId="77777777" w:rsidR="002012ED" w:rsidRPr="00190A96" w:rsidRDefault="002012ED" w:rsidP="00DB4C98">
            <w:pPr>
              <w:rPr>
                <w:color w:val="000000" w:themeColor="text1"/>
                <w:sz w:val="16"/>
                <w:szCs w:val="16"/>
              </w:rPr>
            </w:pPr>
            <w:r w:rsidRPr="00190A96">
              <w:rPr>
                <w:b/>
                <w:bCs/>
                <w:color w:val="000000" w:themeColor="text1"/>
                <w:sz w:val="16"/>
                <w:szCs w:val="16"/>
              </w:rPr>
              <w:t>Informal technical Learning and file management</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4A54E765" w14:textId="77777777" w:rsidR="002012ED" w:rsidRPr="00190A96" w:rsidRDefault="002012ED" w:rsidP="00DB4C98">
            <w:pPr>
              <w:rPr>
                <w:color w:val="000000" w:themeColor="text1"/>
                <w:sz w:val="16"/>
                <w:szCs w:val="16"/>
              </w:rPr>
            </w:pPr>
            <w:r w:rsidRPr="00190A96">
              <w:rPr>
                <w:i/>
                <w:iCs/>
                <w:color w:val="000000" w:themeColor="text1"/>
                <w:sz w:val="16"/>
                <w:szCs w:val="16"/>
              </w:rPr>
              <w:t>"I would often sit with him for hours as he was solving problems... I learned about things like accessing the registry and doing file scanning and opening like folders within folders — skills that I still use on a daily basis now."</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363DFCEC"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P2's involvement, along with his skilled father, shows shared learning. Takeuchi and Stevens (2011) point out that this type of learning is very effective for development. The lasting nature of these skills throughout two decades of work demonstrates the long-term benefits of childhood technology use. This supports the idea of sustainable human capital growth (Kramar, 2014) that quality engagement with technology can generate.</w:t>
            </w:r>
          </w:p>
        </w:tc>
      </w:tr>
      <w:tr w:rsidR="00190A96" w:rsidRPr="00190A96" w14:paraId="0D089DFF"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025F4661" w14:textId="77777777" w:rsidR="002012ED" w:rsidRPr="00190A96" w:rsidRDefault="002012ED" w:rsidP="00DB4C98">
            <w:pPr>
              <w:rPr>
                <w:color w:val="000000" w:themeColor="text1"/>
                <w:sz w:val="16"/>
                <w:szCs w:val="16"/>
              </w:rPr>
            </w:pPr>
            <w:r w:rsidRPr="00190A96">
              <w:rPr>
                <w:color w:val="000000" w:themeColor="text1"/>
                <w:sz w:val="16"/>
                <w:szCs w:val="16"/>
              </w:rPr>
              <w:t>RQ1</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1C1BA819" w14:textId="77777777" w:rsidR="002012ED" w:rsidRPr="00190A96" w:rsidRDefault="002012ED" w:rsidP="00DB4C98">
            <w:pPr>
              <w:rPr>
                <w:color w:val="000000" w:themeColor="text1"/>
                <w:sz w:val="16"/>
                <w:szCs w:val="16"/>
              </w:rPr>
            </w:pPr>
            <w:r w:rsidRPr="00190A96">
              <w:rPr>
                <w:b/>
                <w:bCs/>
                <w:color w:val="000000" w:themeColor="text1"/>
                <w:sz w:val="16"/>
                <w:szCs w:val="16"/>
              </w:rPr>
              <w:t>Microsoft Office skills and employP1 (child)lity</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6C0C7BAD" w14:textId="77777777" w:rsidR="002012ED" w:rsidRPr="00190A96" w:rsidRDefault="002012ED" w:rsidP="00DB4C98">
            <w:pPr>
              <w:rPr>
                <w:color w:val="000000" w:themeColor="text1"/>
                <w:sz w:val="16"/>
                <w:szCs w:val="16"/>
              </w:rPr>
            </w:pPr>
            <w:r w:rsidRPr="00190A96">
              <w:rPr>
                <w:i/>
                <w:iCs/>
                <w:color w:val="000000" w:themeColor="text1"/>
                <w:sz w:val="16"/>
                <w:szCs w:val="16"/>
              </w:rPr>
              <w:t>"That's where, from school, not necessarily college, but we used Excel a lot — so doing invoices and adding up money... it's pretty good on a CV because that's what a lot of jobs need."</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35F181AD"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P3 clearly links the Office skills learned in school to competitiveness in the job market. This supports the finding by Osmani et al. (2019) that employers often mention digital and technical skills as key hiring factors. Plowman et al. (2010) support organized and purposeful technology use in education. P3's experience shows the professional benefits that such integration can bring.</w:t>
            </w:r>
          </w:p>
        </w:tc>
      </w:tr>
      <w:tr w:rsidR="00190A96" w:rsidRPr="00190A96" w14:paraId="39D4E20E"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1EA1F271" w14:textId="77777777" w:rsidR="002012ED" w:rsidRPr="00190A96" w:rsidRDefault="002012ED" w:rsidP="00DB4C98">
            <w:pPr>
              <w:rPr>
                <w:color w:val="000000" w:themeColor="text1"/>
                <w:sz w:val="16"/>
                <w:szCs w:val="16"/>
              </w:rPr>
            </w:pPr>
            <w:r w:rsidRPr="00190A96">
              <w:rPr>
                <w:color w:val="000000" w:themeColor="text1"/>
                <w:sz w:val="16"/>
                <w:szCs w:val="16"/>
              </w:rPr>
              <w:lastRenderedPageBreak/>
              <w:t>RQ1</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45DE925F" w14:textId="77777777" w:rsidR="002012ED" w:rsidRPr="00190A96" w:rsidRDefault="002012ED" w:rsidP="00DB4C98">
            <w:pPr>
              <w:rPr>
                <w:color w:val="000000" w:themeColor="text1"/>
                <w:sz w:val="16"/>
                <w:szCs w:val="16"/>
              </w:rPr>
            </w:pPr>
            <w:r w:rsidRPr="00190A96">
              <w:rPr>
                <w:b/>
                <w:bCs/>
                <w:color w:val="000000" w:themeColor="text1"/>
                <w:sz w:val="16"/>
                <w:szCs w:val="16"/>
              </w:rPr>
              <w:t>Email Etiquette</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06A21EA2" w14:textId="77777777" w:rsidR="002012ED" w:rsidRPr="00190A96" w:rsidRDefault="002012ED" w:rsidP="00DB4C98">
            <w:pPr>
              <w:rPr>
                <w:color w:val="000000" w:themeColor="text1"/>
                <w:sz w:val="16"/>
                <w:szCs w:val="16"/>
              </w:rPr>
            </w:pPr>
            <w:r w:rsidRPr="00190A96">
              <w:rPr>
                <w:i/>
                <w:iCs/>
                <w:color w:val="000000" w:themeColor="text1"/>
                <w:sz w:val="16"/>
                <w:szCs w:val="16"/>
              </w:rPr>
              <w:t>"My mum... I remember her talP3g me through the basic principles of writing a polite email. I've always just kept the same format. In fact, I've kept that for so long that I now teach it to students."</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147DD158"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P2's understanding of email etiquette shows how home technology influences lasting communication standards in the workplace. This aligns with Takeuchi and Stevens' (2011) co-use framework and Osmani et al.'s (2019) focus on communication as a key job skill. P2's role in teaching this norm highlights how childhood technology experiences help create ongoing human capital.</w:t>
            </w:r>
          </w:p>
        </w:tc>
      </w:tr>
      <w:tr w:rsidR="00190A96" w:rsidRPr="00190A96" w14:paraId="45D0118F"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36F0F8B2" w14:textId="77777777" w:rsidR="002012ED" w:rsidRPr="00190A96" w:rsidRDefault="002012ED" w:rsidP="00DB4C98">
            <w:pPr>
              <w:rPr>
                <w:color w:val="000000" w:themeColor="text1"/>
                <w:sz w:val="16"/>
                <w:szCs w:val="16"/>
              </w:rPr>
            </w:pPr>
            <w:r w:rsidRPr="00190A96">
              <w:rPr>
                <w:color w:val="000000" w:themeColor="text1"/>
                <w:sz w:val="16"/>
                <w:szCs w:val="16"/>
              </w:rPr>
              <w:t>RQ1</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558194B0" w14:textId="77777777" w:rsidR="002012ED" w:rsidRPr="00190A96" w:rsidRDefault="002012ED" w:rsidP="00DB4C98">
            <w:pPr>
              <w:rPr>
                <w:color w:val="000000" w:themeColor="text1"/>
                <w:sz w:val="16"/>
                <w:szCs w:val="16"/>
              </w:rPr>
            </w:pPr>
            <w:r w:rsidRPr="00190A96">
              <w:rPr>
                <w:b/>
                <w:bCs/>
                <w:color w:val="000000" w:themeColor="text1"/>
                <w:sz w:val="16"/>
                <w:szCs w:val="16"/>
              </w:rPr>
              <w:t>Creative software and entrepreneurial skills</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6731FD7A" w14:textId="77777777" w:rsidR="002012ED" w:rsidRPr="00190A96" w:rsidRDefault="002012ED" w:rsidP="00DB4C98">
            <w:pPr>
              <w:rPr>
                <w:color w:val="000000" w:themeColor="text1"/>
                <w:sz w:val="16"/>
                <w:szCs w:val="16"/>
              </w:rPr>
            </w:pPr>
            <w:r w:rsidRPr="00190A96">
              <w:rPr>
                <w:i/>
                <w:iCs/>
                <w:color w:val="000000" w:themeColor="text1"/>
                <w:sz w:val="16"/>
                <w:szCs w:val="16"/>
              </w:rPr>
              <w:t>"With using Adobe Illustrator — when I was in school and in college, it was the fact that I knew how to use that I could then use that to benefit myself when doing advertising and things like that."</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03D60D7C"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P3's translation of school-acquired Adobe skills into freelance income supports Van Deursen and Van Dijk's (2014) argument that strategic digital skills, rather than operational ones, lead to different economic results. The creative software skills gained through education became a direct factor in self-employability. This illustrates Kramar's (2014) point that sustainable human resource management should focus on transferable, life-long digital skills.</w:t>
            </w:r>
          </w:p>
        </w:tc>
      </w:tr>
      <w:tr w:rsidR="00190A96" w:rsidRPr="00190A96" w14:paraId="549BB41D" w14:textId="77777777" w:rsidTr="002012ED">
        <w:tc>
          <w:tcPr>
            <w:tcW w:w="1395" w:type="dxa"/>
            <w:tcBorders>
              <w:top w:val="single" w:sz="2" w:space="0" w:color="AAAAAA"/>
              <w:left w:val="single" w:sz="2" w:space="0" w:color="AAAAAA"/>
              <w:bottom w:val="single" w:sz="4" w:space="0" w:color="1F4E79"/>
              <w:right w:val="single" w:sz="2" w:space="0" w:color="AAAAAA"/>
            </w:tcBorders>
            <w:shd w:val="clear" w:color="auto" w:fill="FFE7FF"/>
            <w:tcMar>
              <w:top w:w="70" w:type="dxa"/>
              <w:left w:w="90" w:type="dxa"/>
              <w:bottom w:w="70" w:type="dxa"/>
              <w:right w:w="90" w:type="dxa"/>
            </w:tcMar>
          </w:tcPr>
          <w:p w14:paraId="5A3E67AD" w14:textId="77777777" w:rsidR="002012ED" w:rsidRPr="00190A96" w:rsidRDefault="002012ED" w:rsidP="00DB4C98">
            <w:pPr>
              <w:rPr>
                <w:color w:val="000000" w:themeColor="text1"/>
                <w:sz w:val="16"/>
                <w:szCs w:val="16"/>
              </w:rPr>
            </w:pPr>
            <w:r w:rsidRPr="00190A96">
              <w:rPr>
                <w:color w:val="000000" w:themeColor="text1"/>
                <w:sz w:val="16"/>
                <w:szCs w:val="16"/>
              </w:rPr>
              <w:t>RQ1</w:t>
            </w:r>
          </w:p>
        </w:tc>
        <w:tc>
          <w:tcPr>
            <w:tcW w:w="1323" w:type="dxa"/>
            <w:tcBorders>
              <w:top w:val="single" w:sz="2" w:space="0" w:color="AAAAAA"/>
              <w:left w:val="single" w:sz="2" w:space="0" w:color="AAAAAA"/>
              <w:bottom w:val="single" w:sz="4" w:space="0" w:color="1F4E79"/>
              <w:right w:val="single" w:sz="2" w:space="0" w:color="AAAAAA"/>
            </w:tcBorders>
            <w:shd w:val="clear" w:color="auto" w:fill="FFE7FF"/>
            <w:tcMar>
              <w:top w:w="70" w:type="dxa"/>
              <w:left w:w="90" w:type="dxa"/>
              <w:bottom w:w="70" w:type="dxa"/>
              <w:right w:w="90" w:type="dxa"/>
            </w:tcMar>
          </w:tcPr>
          <w:p w14:paraId="271C31B0" w14:textId="77777777" w:rsidR="002012ED" w:rsidRPr="00190A96" w:rsidRDefault="002012ED" w:rsidP="00DB4C98">
            <w:pPr>
              <w:rPr>
                <w:color w:val="000000" w:themeColor="text1"/>
                <w:sz w:val="16"/>
                <w:szCs w:val="16"/>
              </w:rPr>
            </w:pPr>
            <w:r w:rsidRPr="00190A96">
              <w:rPr>
                <w:b/>
                <w:bCs/>
                <w:color w:val="000000" w:themeColor="text1"/>
                <w:sz w:val="16"/>
                <w:szCs w:val="16"/>
              </w:rPr>
              <w:t>Digital competency as a fundamental skill</w:t>
            </w:r>
          </w:p>
        </w:tc>
        <w:tc>
          <w:tcPr>
            <w:tcW w:w="2386" w:type="dxa"/>
            <w:tcBorders>
              <w:top w:val="single" w:sz="2" w:space="0" w:color="AAAAAA"/>
              <w:left w:val="single" w:sz="2" w:space="0" w:color="AAAAAA"/>
              <w:bottom w:val="single" w:sz="4" w:space="0" w:color="1F4E79"/>
              <w:right w:val="single" w:sz="2" w:space="0" w:color="AAAAAA"/>
            </w:tcBorders>
            <w:shd w:val="clear" w:color="auto" w:fill="FAFAFA"/>
            <w:tcMar>
              <w:top w:w="70" w:type="dxa"/>
              <w:left w:w="90" w:type="dxa"/>
              <w:bottom w:w="70" w:type="dxa"/>
              <w:right w:w="90" w:type="dxa"/>
            </w:tcMar>
          </w:tcPr>
          <w:p w14:paraId="7FAAFE9B" w14:textId="77777777" w:rsidR="002012ED" w:rsidRPr="00190A96" w:rsidRDefault="002012ED" w:rsidP="00DB4C98">
            <w:pPr>
              <w:rPr>
                <w:color w:val="000000" w:themeColor="text1"/>
                <w:sz w:val="16"/>
                <w:szCs w:val="16"/>
              </w:rPr>
            </w:pPr>
            <w:r w:rsidRPr="00190A96">
              <w:rPr>
                <w:i/>
                <w:iCs/>
                <w:color w:val="000000" w:themeColor="text1"/>
                <w:sz w:val="16"/>
                <w:szCs w:val="16"/>
              </w:rPr>
              <w:t>"When AI came out, for example, it wasn't like a complete game changer in terms of how do I use this thing? Like, I was able to slip into it quite quickly... my baseline IT literacy has allowed me to just deal with computers quite smoothly, no matter what's come out."</w:t>
            </w:r>
          </w:p>
        </w:tc>
        <w:tc>
          <w:tcPr>
            <w:tcW w:w="5244" w:type="dxa"/>
            <w:tcBorders>
              <w:top w:val="single" w:sz="2" w:space="0" w:color="AAAAAA"/>
              <w:left w:val="single" w:sz="2" w:space="0" w:color="AAAAAA"/>
              <w:bottom w:val="single" w:sz="4" w:space="0" w:color="1F4E79"/>
              <w:right w:val="single" w:sz="2" w:space="0" w:color="AAAAAA"/>
            </w:tcBorders>
            <w:shd w:val="clear" w:color="auto" w:fill="FFFFFF"/>
            <w:tcMar>
              <w:top w:w="70" w:type="dxa"/>
              <w:left w:w="90" w:type="dxa"/>
              <w:bottom w:w="70" w:type="dxa"/>
              <w:right w:w="90" w:type="dxa"/>
            </w:tcMar>
          </w:tcPr>
          <w:p w14:paraId="5DF6800F"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P2 explains a key skill, technological adaptability, that Helsper and Eynon (2010) find is a better predictor of digital capability than age alone. This aligns with Bennett and Maton's (2010) discovery that differences within a generation are more important than generational status. P2's ability to adapt comes from the quality of his early engagement and represents a form of sustainable digital capital (Van Deursen &amp; Van Dijk, 2014) that builds over his worP3g life.</w:t>
            </w:r>
          </w:p>
        </w:tc>
      </w:tr>
      <w:tr w:rsidR="00190A96" w:rsidRPr="00190A96" w14:paraId="2AD99ED6" w14:textId="77777777" w:rsidTr="002012ED">
        <w:tc>
          <w:tcPr>
            <w:tcW w:w="10348" w:type="dxa"/>
            <w:gridSpan w:val="4"/>
            <w:tcBorders>
              <w:top w:val="single" w:sz="4" w:space="0" w:color="1F4E79"/>
              <w:left w:val="single" w:sz="4" w:space="0" w:color="1F4E79"/>
              <w:bottom w:val="single" w:sz="4" w:space="0" w:color="1F4E79"/>
              <w:right w:val="single" w:sz="4" w:space="0" w:color="1F4E79"/>
            </w:tcBorders>
            <w:shd w:val="clear" w:color="auto" w:fill="F78FB5"/>
            <w:tcMar>
              <w:top w:w="80" w:type="dxa"/>
              <w:left w:w="120" w:type="dxa"/>
              <w:bottom w:w="80" w:type="dxa"/>
              <w:right w:w="120" w:type="dxa"/>
            </w:tcMar>
          </w:tcPr>
          <w:p w14:paraId="74598F41"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b/>
                <w:bCs/>
                <w:color w:val="000000" w:themeColor="text1"/>
                <w:sz w:val="16"/>
                <w:szCs w:val="16"/>
              </w:rPr>
              <w:t>SUPERORDINATE THEME: Gaps in Formal Education and Institutional Technology Policy</w:t>
            </w:r>
          </w:p>
        </w:tc>
      </w:tr>
      <w:tr w:rsidR="00190A96" w:rsidRPr="00190A96" w14:paraId="4C8E4051"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79AF32B5" w14:textId="77777777" w:rsidR="002012ED" w:rsidRPr="00190A96" w:rsidRDefault="002012ED" w:rsidP="00DB4C98">
            <w:pPr>
              <w:rPr>
                <w:color w:val="000000" w:themeColor="text1"/>
                <w:sz w:val="16"/>
                <w:szCs w:val="16"/>
              </w:rPr>
            </w:pPr>
            <w:r w:rsidRPr="00190A96">
              <w:rPr>
                <w:color w:val="000000" w:themeColor="text1"/>
                <w:sz w:val="16"/>
                <w:szCs w:val="16"/>
              </w:rPr>
              <w:t>RQ3:</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51394815" w14:textId="77777777" w:rsidR="002012ED" w:rsidRPr="00190A96" w:rsidRDefault="002012ED" w:rsidP="00DB4C98">
            <w:pPr>
              <w:rPr>
                <w:color w:val="000000" w:themeColor="text1"/>
                <w:sz w:val="16"/>
                <w:szCs w:val="16"/>
              </w:rPr>
            </w:pPr>
            <w:r w:rsidRPr="00190A96">
              <w:rPr>
                <w:b/>
                <w:bCs/>
                <w:color w:val="000000" w:themeColor="text1"/>
                <w:sz w:val="16"/>
                <w:szCs w:val="16"/>
              </w:rPr>
              <w:t>Teacher dependency on digital resources</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1D8F30E9" w14:textId="77777777" w:rsidR="002012ED" w:rsidRPr="00190A96" w:rsidRDefault="002012ED" w:rsidP="00DB4C98">
            <w:pPr>
              <w:rPr>
                <w:color w:val="000000" w:themeColor="text1"/>
                <w:sz w:val="16"/>
                <w:szCs w:val="16"/>
              </w:rPr>
            </w:pPr>
            <w:r w:rsidRPr="00190A96">
              <w:rPr>
                <w:i/>
                <w:iCs/>
                <w:color w:val="000000" w:themeColor="text1"/>
                <w:sz w:val="16"/>
                <w:szCs w:val="16"/>
              </w:rPr>
              <w:t>"A lot of the information that we needed to know about how to set out certain essays and things like that — it was all along the exam board's website, so they didn't really need to teach anything."</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195427F9"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P3's observation that teachers replaced active instruction with pre-produced digital exam resources supports Ng's (2012) finding. Young people need clear guidance to turn their digital exposure into academic and professional skills. Reducing teaching to content facilitation lowers the quality of skill development and raises concerns about sustainable educational practices in technology-rich environments.</w:t>
            </w:r>
          </w:p>
        </w:tc>
      </w:tr>
      <w:tr w:rsidR="00190A96" w:rsidRPr="00190A96" w14:paraId="59938E8F"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08463A7F" w14:textId="77777777" w:rsidR="002012ED" w:rsidRPr="00190A96" w:rsidRDefault="002012ED" w:rsidP="00DB4C98">
            <w:pPr>
              <w:rPr>
                <w:color w:val="000000" w:themeColor="text1"/>
                <w:sz w:val="16"/>
                <w:szCs w:val="16"/>
              </w:rPr>
            </w:pPr>
            <w:r w:rsidRPr="00190A96">
              <w:rPr>
                <w:color w:val="000000" w:themeColor="text1"/>
                <w:sz w:val="16"/>
                <w:szCs w:val="16"/>
              </w:rPr>
              <w:t>RQ3</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093ED02A" w14:textId="77777777" w:rsidR="002012ED" w:rsidRPr="00190A96" w:rsidRDefault="002012ED" w:rsidP="00DB4C98">
            <w:pPr>
              <w:rPr>
                <w:color w:val="000000" w:themeColor="text1"/>
                <w:sz w:val="16"/>
                <w:szCs w:val="16"/>
              </w:rPr>
            </w:pPr>
            <w:r w:rsidRPr="00190A96">
              <w:rPr>
                <w:b/>
                <w:bCs/>
                <w:color w:val="000000" w:themeColor="text1"/>
                <w:sz w:val="16"/>
                <w:szCs w:val="16"/>
              </w:rPr>
              <w:t>Absence of financial and life skills education</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49C48D4F" w14:textId="77777777" w:rsidR="002012ED" w:rsidRPr="00190A96" w:rsidRDefault="002012ED" w:rsidP="00DB4C98">
            <w:pPr>
              <w:rPr>
                <w:color w:val="000000" w:themeColor="text1"/>
                <w:sz w:val="16"/>
                <w:szCs w:val="16"/>
              </w:rPr>
            </w:pPr>
            <w:r w:rsidRPr="00190A96">
              <w:rPr>
                <w:i/>
                <w:iCs/>
                <w:color w:val="000000" w:themeColor="text1"/>
                <w:sz w:val="16"/>
                <w:szCs w:val="16"/>
              </w:rPr>
              <w:t>"No one really tells you the importance of doing things a certain way and setting things out a certain way... I would rather know how to do taxes than work out the area of a triangle."</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146DF66E"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P3's critique shows a gap between what students learn in school and the life skills that Osmani et al. (2019) say are vital for getting jobs. The lack of focus on financial literacy highlights the disconnection between how technology is taught in schools and the preparation needed for a sustainable workforce, as outlined in the Well-being of Future Generations (Wales) Act (2015).</w:t>
            </w:r>
          </w:p>
        </w:tc>
      </w:tr>
      <w:tr w:rsidR="00190A96" w:rsidRPr="00190A96" w14:paraId="76F21149"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0CD0F16C" w14:textId="77777777" w:rsidR="002012ED" w:rsidRPr="00190A96" w:rsidRDefault="002012ED" w:rsidP="00DB4C98">
            <w:pPr>
              <w:rPr>
                <w:color w:val="000000" w:themeColor="text1"/>
                <w:sz w:val="16"/>
                <w:szCs w:val="16"/>
              </w:rPr>
            </w:pPr>
            <w:r w:rsidRPr="00190A96">
              <w:rPr>
                <w:color w:val="000000" w:themeColor="text1"/>
                <w:sz w:val="16"/>
                <w:szCs w:val="16"/>
              </w:rPr>
              <w:t>RQ3</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46CA7E2C" w14:textId="77777777" w:rsidR="002012ED" w:rsidRPr="00190A96" w:rsidRDefault="002012ED" w:rsidP="00DB4C98">
            <w:pPr>
              <w:rPr>
                <w:color w:val="000000" w:themeColor="text1"/>
                <w:sz w:val="16"/>
                <w:szCs w:val="16"/>
              </w:rPr>
            </w:pPr>
            <w:r w:rsidRPr="00190A96">
              <w:rPr>
                <w:b/>
                <w:bCs/>
                <w:color w:val="000000" w:themeColor="text1"/>
                <w:sz w:val="16"/>
                <w:szCs w:val="16"/>
              </w:rPr>
              <w:t>Technology-enabled homeschooling as an educational alternative</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615731D4" w14:textId="77777777" w:rsidR="002012ED" w:rsidRPr="00190A96" w:rsidRDefault="002012ED" w:rsidP="00DB4C98">
            <w:pPr>
              <w:rPr>
                <w:color w:val="000000" w:themeColor="text1"/>
                <w:sz w:val="16"/>
                <w:szCs w:val="16"/>
              </w:rPr>
            </w:pPr>
            <w:r w:rsidRPr="00190A96">
              <w:rPr>
                <w:i/>
                <w:iCs/>
                <w:color w:val="000000" w:themeColor="text1"/>
                <w:sz w:val="16"/>
                <w:szCs w:val="16"/>
              </w:rPr>
              <w:t>"If it weren't for technology allowing her to bridge the gap and be able to learn effectively at home, she wouldn't be able to continue her education at this stage."</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691F75AB"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P1 sees digital homeschooling as the only practical educational option for her children. She views technology as a way to protect them from being excluded in education. This reflects Kramar’s (2014) idea that sustainable human resource development should go beyond traditional paths to include those left out by standard institutions. It also aligns with Ehnert et al.'s (2016) point that sustainable organisations need to actively acknowledge human diversity.</w:t>
            </w:r>
          </w:p>
        </w:tc>
      </w:tr>
      <w:tr w:rsidR="00190A96" w:rsidRPr="00190A96" w14:paraId="7FEBD4F0" w14:textId="77777777" w:rsidTr="002012ED">
        <w:tc>
          <w:tcPr>
            <w:tcW w:w="1395" w:type="dxa"/>
            <w:tcBorders>
              <w:top w:val="single" w:sz="2" w:space="0" w:color="AAAAAA"/>
              <w:left w:val="single" w:sz="2" w:space="0" w:color="AAAAAA"/>
              <w:bottom w:val="single" w:sz="4" w:space="0" w:color="1F4E79"/>
              <w:right w:val="single" w:sz="2" w:space="0" w:color="AAAAAA"/>
            </w:tcBorders>
            <w:shd w:val="clear" w:color="auto" w:fill="FFE7FF"/>
            <w:tcMar>
              <w:top w:w="70" w:type="dxa"/>
              <w:left w:w="90" w:type="dxa"/>
              <w:bottom w:w="70" w:type="dxa"/>
              <w:right w:w="90" w:type="dxa"/>
            </w:tcMar>
          </w:tcPr>
          <w:p w14:paraId="3F8E1A80" w14:textId="77777777" w:rsidR="002012ED" w:rsidRPr="00190A96" w:rsidRDefault="002012ED" w:rsidP="00DB4C98">
            <w:pPr>
              <w:rPr>
                <w:color w:val="000000" w:themeColor="text1"/>
                <w:sz w:val="16"/>
                <w:szCs w:val="16"/>
              </w:rPr>
            </w:pPr>
            <w:r w:rsidRPr="00190A96">
              <w:rPr>
                <w:color w:val="000000" w:themeColor="text1"/>
                <w:sz w:val="16"/>
                <w:szCs w:val="16"/>
              </w:rPr>
              <w:t>RQ3</w:t>
            </w:r>
          </w:p>
        </w:tc>
        <w:tc>
          <w:tcPr>
            <w:tcW w:w="1323" w:type="dxa"/>
            <w:tcBorders>
              <w:top w:val="single" w:sz="2" w:space="0" w:color="AAAAAA"/>
              <w:left w:val="single" w:sz="2" w:space="0" w:color="AAAAAA"/>
              <w:bottom w:val="single" w:sz="4" w:space="0" w:color="1F4E79"/>
              <w:right w:val="single" w:sz="2" w:space="0" w:color="AAAAAA"/>
            </w:tcBorders>
            <w:shd w:val="clear" w:color="auto" w:fill="FFE7FF"/>
            <w:tcMar>
              <w:top w:w="70" w:type="dxa"/>
              <w:left w:w="90" w:type="dxa"/>
              <w:bottom w:w="70" w:type="dxa"/>
              <w:right w:w="90" w:type="dxa"/>
            </w:tcMar>
          </w:tcPr>
          <w:p w14:paraId="499B7971" w14:textId="77777777" w:rsidR="002012ED" w:rsidRPr="00190A96" w:rsidRDefault="002012ED" w:rsidP="00DB4C98">
            <w:pPr>
              <w:rPr>
                <w:color w:val="000000" w:themeColor="text1"/>
                <w:sz w:val="16"/>
                <w:szCs w:val="16"/>
              </w:rPr>
            </w:pPr>
            <w:r w:rsidRPr="00190A96">
              <w:rPr>
                <w:b/>
                <w:bCs/>
                <w:color w:val="000000" w:themeColor="text1"/>
                <w:sz w:val="16"/>
                <w:szCs w:val="16"/>
              </w:rPr>
              <w:t>Self-directed learning and intrinsic motivation</w:t>
            </w:r>
          </w:p>
        </w:tc>
        <w:tc>
          <w:tcPr>
            <w:tcW w:w="2386" w:type="dxa"/>
            <w:tcBorders>
              <w:top w:val="single" w:sz="2" w:space="0" w:color="AAAAAA"/>
              <w:left w:val="single" w:sz="2" w:space="0" w:color="AAAAAA"/>
              <w:bottom w:val="single" w:sz="4" w:space="0" w:color="1F4E79"/>
              <w:right w:val="single" w:sz="2" w:space="0" w:color="AAAAAA"/>
            </w:tcBorders>
            <w:shd w:val="clear" w:color="auto" w:fill="FAFAFA"/>
            <w:tcMar>
              <w:top w:w="70" w:type="dxa"/>
              <w:left w:w="90" w:type="dxa"/>
              <w:bottom w:w="70" w:type="dxa"/>
              <w:right w:w="90" w:type="dxa"/>
            </w:tcMar>
          </w:tcPr>
          <w:p w14:paraId="6C8EAED4" w14:textId="77777777" w:rsidR="002012ED" w:rsidRPr="00190A96" w:rsidRDefault="002012ED" w:rsidP="00DB4C98">
            <w:pPr>
              <w:rPr>
                <w:color w:val="000000" w:themeColor="text1"/>
                <w:sz w:val="16"/>
                <w:szCs w:val="16"/>
              </w:rPr>
            </w:pPr>
            <w:r w:rsidRPr="00190A96">
              <w:rPr>
                <w:i/>
                <w:iCs/>
                <w:color w:val="000000" w:themeColor="text1"/>
                <w:sz w:val="16"/>
                <w:szCs w:val="16"/>
              </w:rPr>
              <w:t>"I actually think for some children, especially Jess, the lack of force is what makes it easier for them to progress. Because they don't feel like they're being made to do it. It's their choice and therefore their decision."</w:t>
            </w:r>
          </w:p>
        </w:tc>
        <w:tc>
          <w:tcPr>
            <w:tcW w:w="5244" w:type="dxa"/>
            <w:tcBorders>
              <w:top w:val="single" w:sz="2" w:space="0" w:color="AAAAAA"/>
              <w:left w:val="single" w:sz="2" w:space="0" w:color="AAAAAA"/>
              <w:bottom w:val="single" w:sz="4" w:space="0" w:color="1F4E79"/>
              <w:right w:val="single" w:sz="2" w:space="0" w:color="AAAAAA"/>
            </w:tcBorders>
            <w:shd w:val="clear" w:color="auto" w:fill="FFFFFF"/>
            <w:tcMar>
              <w:top w:w="70" w:type="dxa"/>
              <w:left w:w="90" w:type="dxa"/>
              <w:bottom w:w="70" w:type="dxa"/>
              <w:right w:w="90" w:type="dxa"/>
            </w:tcMar>
          </w:tcPr>
          <w:p w14:paraId="38D5DF7F"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P1’s observation that removing compulsion leads to greater engagement and persistence matches Plowman et al. (2010) finding that playful, purposeful engagement is more effective than passive consumption. The technology-mediated homeschooling model puts into practice a sustainable educational philosophy. In this model, intrinsic motivation and self-regulation are developed instead of being stifled. Osmani et al. (2019) identify these competencies as vital for long-term professional success.</w:t>
            </w:r>
          </w:p>
        </w:tc>
      </w:tr>
      <w:tr w:rsidR="00190A96" w:rsidRPr="00190A96" w14:paraId="77C1628F" w14:textId="77777777" w:rsidTr="002012ED">
        <w:tc>
          <w:tcPr>
            <w:tcW w:w="10348" w:type="dxa"/>
            <w:gridSpan w:val="4"/>
            <w:tcBorders>
              <w:top w:val="single" w:sz="4" w:space="0" w:color="1F4E79"/>
              <w:left w:val="single" w:sz="4" w:space="0" w:color="1F4E79"/>
              <w:bottom w:val="single" w:sz="4" w:space="0" w:color="1F4E79"/>
              <w:right w:val="single" w:sz="4" w:space="0" w:color="1F4E79"/>
            </w:tcBorders>
            <w:shd w:val="clear" w:color="auto" w:fill="F78FB5"/>
            <w:tcMar>
              <w:top w:w="80" w:type="dxa"/>
              <w:left w:w="120" w:type="dxa"/>
              <w:bottom w:w="80" w:type="dxa"/>
              <w:right w:w="120" w:type="dxa"/>
            </w:tcMar>
          </w:tcPr>
          <w:p w14:paraId="1554F82C"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b/>
                <w:bCs/>
                <w:color w:val="000000" w:themeColor="text1"/>
                <w:sz w:val="16"/>
                <w:szCs w:val="16"/>
              </w:rPr>
              <w:t>SUPERORDINATE THEME: Technology, Identity and the Construction of the Professional Self</w:t>
            </w:r>
            <w:r w:rsidRPr="00190A96">
              <w:rPr>
                <w:rFonts w:asciiTheme="minorHAnsi" w:hAnsiTheme="minorHAnsi"/>
                <w:color w:val="000000" w:themeColor="text1"/>
                <w:sz w:val="16"/>
                <w:szCs w:val="16"/>
              </w:rPr>
              <w:t xml:space="preserve"> </w:t>
            </w:r>
          </w:p>
        </w:tc>
      </w:tr>
      <w:tr w:rsidR="00190A96" w:rsidRPr="00190A96" w14:paraId="6BD88E5E"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50EEF917" w14:textId="77777777" w:rsidR="002012ED" w:rsidRPr="00190A96" w:rsidRDefault="002012ED" w:rsidP="00DB4C98">
            <w:pPr>
              <w:rPr>
                <w:color w:val="000000" w:themeColor="text1"/>
                <w:sz w:val="16"/>
                <w:szCs w:val="16"/>
              </w:rPr>
            </w:pPr>
            <w:r w:rsidRPr="00190A96">
              <w:rPr>
                <w:color w:val="000000" w:themeColor="text1"/>
                <w:sz w:val="16"/>
                <w:szCs w:val="16"/>
              </w:rPr>
              <w:t>RQ1 / RQ3</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7AD6CBD5" w14:textId="77777777" w:rsidR="002012ED" w:rsidRPr="00190A96" w:rsidRDefault="002012ED" w:rsidP="00DB4C98">
            <w:pPr>
              <w:rPr>
                <w:color w:val="000000" w:themeColor="text1"/>
                <w:sz w:val="16"/>
                <w:szCs w:val="16"/>
              </w:rPr>
            </w:pPr>
            <w:r w:rsidRPr="00190A96">
              <w:rPr>
                <w:b/>
                <w:bCs/>
                <w:color w:val="000000" w:themeColor="text1"/>
                <w:sz w:val="16"/>
                <w:szCs w:val="16"/>
              </w:rPr>
              <w:t>Technology enabling professional autonomy</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1D569A79" w14:textId="77777777" w:rsidR="002012ED" w:rsidRPr="00190A96" w:rsidRDefault="002012ED" w:rsidP="00DB4C98">
            <w:pPr>
              <w:rPr>
                <w:color w:val="000000" w:themeColor="text1"/>
                <w:sz w:val="16"/>
                <w:szCs w:val="16"/>
              </w:rPr>
            </w:pPr>
            <w:r w:rsidRPr="00190A96">
              <w:rPr>
                <w:i/>
                <w:iCs/>
                <w:color w:val="000000" w:themeColor="text1"/>
                <w:sz w:val="16"/>
                <w:szCs w:val="16"/>
              </w:rPr>
              <w:t>"I'm an entrepreneur who can run my own business and I can do it internationally... the only thing I need to do to live and work is to have a semi-decent computer or laptop and a good internet connection."</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1E70E39C"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P2's experience with location-independent entrepreneurship shows the practical realization of Kramar's 2014 vision for sustainable human resource management. He has built his human capital through digital engagement from a young age. This has given him professional agency and resilience. Van Deursen and Van Dijk (2014) point out that strategic digital skills lead to different levels of career mobility. P2's journey illustrates this concept at its highest level.</w:t>
            </w:r>
          </w:p>
        </w:tc>
      </w:tr>
      <w:tr w:rsidR="00190A96" w:rsidRPr="00190A96" w14:paraId="0F9B8621"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6DDA9CEA" w14:textId="77777777" w:rsidR="002012ED" w:rsidRPr="00190A96" w:rsidRDefault="002012ED" w:rsidP="00DB4C98">
            <w:pPr>
              <w:rPr>
                <w:color w:val="000000" w:themeColor="text1"/>
                <w:sz w:val="16"/>
                <w:szCs w:val="16"/>
              </w:rPr>
            </w:pPr>
            <w:r w:rsidRPr="00190A96">
              <w:rPr>
                <w:color w:val="000000" w:themeColor="text1"/>
                <w:sz w:val="16"/>
                <w:szCs w:val="16"/>
              </w:rPr>
              <w:t>RQ1</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76C2A515" w14:textId="77777777" w:rsidR="002012ED" w:rsidRPr="00190A96" w:rsidRDefault="002012ED" w:rsidP="00DB4C98">
            <w:pPr>
              <w:rPr>
                <w:color w:val="000000" w:themeColor="text1"/>
                <w:sz w:val="16"/>
                <w:szCs w:val="16"/>
              </w:rPr>
            </w:pPr>
            <w:r w:rsidRPr="00190A96">
              <w:rPr>
                <w:b/>
                <w:bCs/>
                <w:color w:val="000000" w:themeColor="text1"/>
                <w:sz w:val="16"/>
                <w:szCs w:val="16"/>
              </w:rPr>
              <w:t>AI as a creative facilitator</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2443FC02" w14:textId="77777777" w:rsidR="002012ED" w:rsidRPr="00190A96" w:rsidRDefault="002012ED" w:rsidP="00DB4C98">
            <w:pPr>
              <w:rPr>
                <w:color w:val="000000" w:themeColor="text1"/>
                <w:sz w:val="16"/>
                <w:szCs w:val="16"/>
              </w:rPr>
            </w:pPr>
            <w:r w:rsidRPr="00190A96">
              <w:rPr>
                <w:i/>
                <w:iCs/>
                <w:color w:val="000000" w:themeColor="text1"/>
                <w:sz w:val="16"/>
                <w:szCs w:val="16"/>
              </w:rPr>
              <w:t xml:space="preserve">"For me, the gap between my intention and imagination and the </w:t>
            </w:r>
            <w:r w:rsidRPr="00190A96">
              <w:rPr>
                <w:i/>
                <w:iCs/>
                <w:color w:val="000000" w:themeColor="text1"/>
                <w:sz w:val="16"/>
                <w:szCs w:val="16"/>
              </w:rPr>
              <w:lastRenderedPageBreak/>
              <w:t>thing I can produce has been shrunken now... that's great as far as I'm concerned."</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5F27A96C"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lastRenderedPageBreak/>
              <w:t xml:space="preserve">P2's description of AI as shortening the gap between creative ideas and professional results relates directly to the research gap found in the </w:t>
            </w:r>
            <w:r w:rsidRPr="00190A96">
              <w:rPr>
                <w:rFonts w:asciiTheme="minorHAnsi" w:hAnsiTheme="minorHAnsi" w:cs="Segoe UI"/>
                <w:color w:val="000000" w:themeColor="text1"/>
                <w:sz w:val="16"/>
                <w:szCs w:val="16"/>
                <w:shd w:val="clear" w:color="auto" w:fill="FFFFFF"/>
              </w:rPr>
              <w:lastRenderedPageBreak/>
              <w:t>literature review. Rapid AI development has moved faster than academic research can keep up with. This participant's lived experience is a real example of how new technology is integrated. The existing literature cannot fully explain this yet, which highlights the importance and urgency of the study.</w:t>
            </w:r>
          </w:p>
        </w:tc>
      </w:tr>
      <w:tr w:rsidR="00190A96" w:rsidRPr="00190A96" w14:paraId="613AB58F"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5C75570F" w14:textId="77777777" w:rsidR="002012ED" w:rsidRPr="00190A96" w:rsidRDefault="002012ED" w:rsidP="00DB4C98">
            <w:pPr>
              <w:rPr>
                <w:color w:val="000000" w:themeColor="text1"/>
                <w:sz w:val="16"/>
                <w:szCs w:val="16"/>
              </w:rPr>
            </w:pPr>
            <w:r w:rsidRPr="00190A96">
              <w:rPr>
                <w:color w:val="000000" w:themeColor="text1"/>
                <w:sz w:val="16"/>
                <w:szCs w:val="16"/>
              </w:rPr>
              <w:t>RQ1</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1C99C7B2" w14:textId="77777777" w:rsidR="002012ED" w:rsidRPr="00190A96" w:rsidRDefault="002012ED" w:rsidP="00DB4C98">
            <w:pPr>
              <w:rPr>
                <w:color w:val="000000" w:themeColor="text1"/>
                <w:sz w:val="16"/>
                <w:szCs w:val="16"/>
              </w:rPr>
            </w:pPr>
            <w:r w:rsidRPr="00190A96">
              <w:rPr>
                <w:b/>
                <w:bCs/>
                <w:color w:val="000000" w:themeColor="text1"/>
                <w:sz w:val="16"/>
                <w:szCs w:val="16"/>
              </w:rPr>
              <w:t>Typing fluency</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528ECB0F" w14:textId="77777777" w:rsidR="002012ED" w:rsidRPr="00190A96" w:rsidRDefault="002012ED" w:rsidP="00DB4C98">
            <w:pPr>
              <w:rPr>
                <w:color w:val="000000" w:themeColor="text1"/>
                <w:sz w:val="16"/>
                <w:szCs w:val="16"/>
              </w:rPr>
            </w:pPr>
            <w:r w:rsidRPr="00190A96">
              <w:rPr>
                <w:i/>
                <w:iCs/>
                <w:color w:val="000000" w:themeColor="text1"/>
                <w:sz w:val="16"/>
                <w:szCs w:val="16"/>
              </w:rPr>
              <w:t>"It was mainly just for like games and things. But then, as years went on... it helped with teaching myself how to type quite quickly and within reasonable timely manner."</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4B10DEA8"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P3’s experience of gaining typing skills while playing games shows Van Deursen and Van Dijk's (2014) argument that basic digital skills, which are essential for knowledge work, can be learned through casual activities without formal teaching. The lasting nature of this skill supports Osmani et al.'s (2019) point about digital literacy being a key requirement for jobs in various fields.</w:t>
            </w:r>
          </w:p>
        </w:tc>
      </w:tr>
      <w:tr w:rsidR="00190A96" w:rsidRPr="00190A96" w14:paraId="648A149A" w14:textId="77777777" w:rsidTr="002012ED">
        <w:tc>
          <w:tcPr>
            <w:tcW w:w="1395"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245429AF" w14:textId="77777777" w:rsidR="002012ED" w:rsidRPr="00190A96" w:rsidRDefault="002012ED" w:rsidP="00DB4C98">
            <w:pPr>
              <w:rPr>
                <w:color w:val="000000" w:themeColor="text1"/>
                <w:sz w:val="16"/>
                <w:szCs w:val="16"/>
              </w:rPr>
            </w:pPr>
            <w:r w:rsidRPr="00190A96">
              <w:rPr>
                <w:color w:val="000000" w:themeColor="text1"/>
                <w:sz w:val="16"/>
                <w:szCs w:val="16"/>
              </w:rPr>
              <w:t>RQ1</w:t>
            </w:r>
          </w:p>
        </w:tc>
        <w:tc>
          <w:tcPr>
            <w:tcW w:w="1323" w:type="dxa"/>
            <w:tcBorders>
              <w:top w:val="single" w:sz="2" w:space="0" w:color="AAAAAA"/>
              <w:left w:val="single" w:sz="2" w:space="0" w:color="AAAAAA"/>
              <w:bottom w:val="single" w:sz="2" w:space="0" w:color="AAAAAA"/>
              <w:right w:val="single" w:sz="2" w:space="0" w:color="AAAAAA"/>
            </w:tcBorders>
            <w:shd w:val="clear" w:color="auto" w:fill="FFE7FF"/>
            <w:tcMar>
              <w:top w:w="70" w:type="dxa"/>
              <w:left w:w="90" w:type="dxa"/>
              <w:bottom w:w="70" w:type="dxa"/>
              <w:right w:w="90" w:type="dxa"/>
            </w:tcMar>
          </w:tcPr>
          <w:p w14:paraId="4BCFE648" w14:textId="77777777" w:rsidR="002012ED" w:rsidRPr="00190A96" w:rsidRDefault="002012ED" w:rsidP="00DB4C98">
            <w:pPr>
              <w:rPr>
                <w:color w:val="000000" w:themeColor="text1"/>
                <w:sz w:val="16"/>
                <w:szCs w:val="16"/>
              </w:rPr>
            </w:pPr>
            <w:r w:rsidRPr="00190A96">
              <w:rPr>
                <w:b/>
                <w:bCs/>
                <w:color w:val="000000" w:themeColor="text1"/>
                <w:sz w:val="16"/>
                <w:szCs w:val="16"/>
              </w:rPr>
              <w:t>Reflective Identity Reconstruction Through Research</w:t>
            </w:r>
          </w:p>
        </w:tc>
        <w:tc>
          <w:tcPr>
            <w:tcW w:w="2386" w:type="dxa"/>
            <w:tcBorders>
              <w:top w:val="single" w:sz="2" w:space="0" w:color="AAAAAA"/>
              <w:left w:val="single" w:sz="2" w:space="0" w:color="AAAAAA"/>
              <w:bottom w:val="single" w:sz="2" w:space="0" w:color="AAAAAA"/>
              <w:right w:val="single" w:sz="2" w:space="0" w:color="AAAAAA"/>
            </w:tcBorders>
            <w:shd w:val="clear" w:color="auto" w:fill="FAFAFA"/>
            <w:tcMar>
              <w:top w:w="70" w:type="dxa"/>
              <w:left w:w="90" w:type="dxa"/>
              <w:bottom w:w="70" w:type="dxa"/>
              <w:right w:w="90" w:type="dxa"/>
            </w:tcMar>
          </w:tcPr>
          <w:p w14:paraId="01C22B7B" w14:textId="77777777" w:rsidR="002012ED" w:rsidRPr="00190A96" w:rsidRDefault="002012ED" w:rsidP="00DB4C98">
            <w:pPr>
              <w:rPr>
                <w:color w:val="000000" w:themeColor="text1"/>
                <w:sz w:val="16"/>
                <w:szCs w:val="16"/>
              </w:rPr>
            </w:pPr>
            <w:r w:rsidRPr="00190A96">
              <w:rPr>
                <w:i/>
                <w:iCs/>
                <w:color w:val="000000" w:themeColor="text1"/>
                <w:sz w:val="16"/>
                <w:szCs w:val="16"/>
              </w:rPr>
              <w:t>"It hadn't really occurred to me until we had this conversation... I think that's where I originally got it from."</w:t>
            </w:r>
          </w:p>
        </w:tc>
        <w:tc>
          <w:tcPr>
            <w:tcW w:w="5244" w:type="dxa"/>
            <w:tcBorders>
              <w:top w:val="single" w:sz="2" w:space="0" w:color="AAAAAA"/>
              <w:left w:val="single" w:sz="2" w:space="0" w:color="AAAAAA"/>
              <w:bottom w:val="single" w:sz="2" w:space="0" w:color="AAAAAA"/>
              <w:right w:val="single" w:sz="2" w:space="0" w:color="AAAAAA"/>
            </w:tcBorders>
            <w:shd w:val="clear" w:color="auto" w:fill="FFFFFF"/>
            <w:tcMar>
              <w:top w:w="70" w:type="dxa"/>
              <w:left w:w="90" w:type="dxa"/>
              <w:bottom w:w="70" w:type="dxa"/>
              <w:right w:w="90" w:type="dxa"/>
            </w:tcMar>
          </w:tcPr>
          <w:p w14:paraId="110AC090" w14:textId="77777777" w:rsidR="002012ED" w:rsidRPr="00190A96" w:rsidRDefault="002012ED" w:rsidP="00DB4C98">
            <w:pPr>
              <w:rPr>
                <w:rFonts w:asciiTheme="minorHAnsi" w:hAnsiTheme="minorHAnsi"/>
                <w:color w:val="000000" w:themeColor="text1"/>
                <w:sz w:val="16"/>
                <w:szCs w:val="16"/>
              </w:rPr>
            </w:pPr>
            <w:r w:rsidRPr="00190A96">
              <w:rPr>
                <w:rFonts w:asciiTheme="minorHAnsi" w:hAnsiTheme="minorHAnsi" w:cs="Segoe UI"/>
                <w:color w:val="000000" w:themeColor="text1"/>
                <w:sz w:val="16"/>
                <w:szCs w:val="16"/>
                <w:shd w:val="clear" w:color="auto" w:fill="FFFFFF"/>
              </w:rPr>
              <w:t>P2's realization during the interview about how his professional email etiquette came from his mother is methodologically significant. It shows the IPA principle (Smith et al., 2022), which states that qualitative research interviews are places for creating meaning. It also shows how the long-term effects of early exposure to technology can be deeply ingrained and only brought to light through careful reflection. This finding supports the phenomenological approach used in this study.</w:t>
            </w:r>
          </w:p>
        </w:tc>
      </w:tr>
    </w:tbl>
    <w:p w14:paraId="02A72EB6" w14:textId="77777777" w:rsidR="002012ED" w:rsidRPr="00190A96" w:rsidRDefault="002012ED">
      <w:pPr>
        <w:rPr>
          <w:b/>
          <w:bCs/>
          <w:color w:val="000000" w:themeColor="text1"/>
          <w:sz w:val="16"/>
          <w:szCs w:val="16"/>
        </w:rPr>
      </w:pPr>
    </w:p>
    <w:p w14:paraId="642B1F38" w14:textId="77777777" w:rsidR="007A0C5A" w:rsidRPr="00190A96" w:rsidRDefault="007A0C5A">
      <w:pPr>
        <w:rPr>
          <w:b/>
          <w:bCs/>
          <w:color w:val="000000" w:themeColor="text1"/>
          <w:sz w:val="16"/>
          <w:szCs w:val="16"/>
        </w:rPr>
      </w:pPr>
    </w:p>
    <w:p w14:paraId="37E5A0EB" w14:textId="77777777" w:rsidR="007A0C5A" w:rsidRPr="00190A96" w:rsidRDefault="007A0C5A">
      <w:pPr>
        <w:rPr>
          <w:b/>
          <w:bCs/>
          <w:color w:val="000000" w:themeColor="text1"/>
          <w:sz w:val="16"/>
          <w:szCs w:val="16"/>
        </w:rPr>
      </w:pPr>
    </w:p>
    <w:p w14:paraId="64D2A073" w14:textId="77777777" w:rsidR="007A0C5A" w:rsidRPr="00190A96" w:rsidRDefault="007A0C5A">
      <w:pPr>
        <w:rPr>
          <w:b/>
          <w:bCs/>
          <w:color w:val="000000" w:themeColor="text1"/>
          <w:sz w:val="16"/>
          <w:szCs w:val="16"/>
        </w:rPr>
      </w:pPr>
    </w:p>
    <w:p w14:paraId="75BB3F8D" w14:textId="77777777" w:rsidR="007A0C5A" w:rsidRPr="00190A96" w:rsidRDefault="007A0C5A">
      <w:pPr>
        <w:rPr>
          <w:b/>
          <w:bCs/>
          <w:color w:val="000000" w:themeColor="text1"/>
          <w:sz w:val="16"/>
          <w:szCs w:val="16"/>
        </w:rPr>
      </w:pPr>
    </w:p>
    <w:p w14:paraId="3366F893" w14:textId="77777777" w:rsidR="007A0C5A" w:rsidRPr="00190A96" w:rsidRDefault="007A0C5A">
      <w:pPr>
        <w:rPr>
          <w:b/>
          <w:bCs/>
          <w:color w:val="000000" w:themeColor="text1"/>
          <w:sz w:val="16"/>
          <w:szCs w:val="16"/>
        </w:rPr>
      </w:pPr>
    </w:p>
    <w:p w14:paraId="09EB15CC" w14:textId="77777777" w:rsidR="007A0C5A" w:rsidRPr="00190A96" w:rsidRDefault="007A0C5A">
      <w:pPr>
        <w:rPr>
          <w:b/>
          <w:bCs/>
          <w:color w:val="000000" w:themeColor="text1"/>
          <w:sz w:val="16"/>
          <w:szCs w:val="16"/>
        </w:rPr>
      </w:pPr>
    </w:p>
    <w:p w14:paraId="6B69E06D" w14:textId="77777777" w:rsidR="007A0C5A" w:rsidRPr="00190A96" w:rsidRDefault="007A0C5A">
      <w:pPr>
        <w:rPr>
          <w:b/>
          <w:bCs/>
          <w:color w:val="000000" w:themeColor="text1"/>
          <w:sz w:val="16"/>
          <w:szCs w:val="16"/>
        </w:rPr>
      </w:pPr>
    </w:p>
    <w:p w14:paraId="6DB644E1" w14:textId="77777777" w:rsidR="007A0C5A" w:rsidRPr="00190A96" w:rsidRDefault="007A0C5A">
      <w:pPr>
        <w:rPr>
          <w:b/>
          <w:bCs/>
          <w:color w:val="000000" w:themeColor="text1"/>
          <w:sz w:val="16"/>
          <w:szCs w:val="16"/>
        </w:rPr>
      </w:pPr>
    </w:p>
    <w:p w14:paraId="56FC9841" w14:textId="77777777" w:rsidR="007A0C5A" w:rsidRPr="00190A96" w:rsidRDefault="007A0C5A">
      <w:pPr>
        <w:rPr>
          <w:b/>
          <w:bCs/>
          <w:color w:val="000000" w:themeColor="text1"/>
          <w:sz w:val="16"/>
          <w:szCs w:val="16"/>
        </w:rPr>
      </w:pPr>
    </w:p>
    <w:p w14:paraId="7CB5CD68" w14:textId="77777777" w:rsidR="007A0C5A" w:rsidRPr="00190A96" w:rsidRDefault="007A0C5A">
      <w:pPr>
        <w:rPr>
          <w:b/>
          <w:bCs/>
          <w:color w:val="000000" w:themeColor="text1"/>
          <w:sz w:val="16"/>
          <w:szCs w:val="16"/>
        </w:rPr>
      </w:pPr>
    </w:p>
    <w:p w14:paraId="45B8EE86" w14:textId="77777777" w:rsidR="007A0C5A" w:rsidRPr="00190A96" w:rsidRDefault="007A0C5A">
      <w:pPr>
        <w:rPr>
          <w:b/>
          <w:bCs/>
          <w:color w:val="000000" w:themeColor="text1"/>
          <w:sz w:val="16"/>
          <w:szCs w:val="16"/>
        </w:rPr>
      </w:pPr>
    </w:p>
    <w:p w14:paraId="3322DF2B" w14:textId="77777777" w:rsidR="007A0C5A" w:rsidRPr="00190A96" w:rsidRDefault="007A0C5A">
      <w:pPr>
        <w:rPr>
          <w:b/>
          <w:bCs/>
          <w:color w:val="000000" w:themeColor="text1"/>
          <w:sz w:val="16"/>
          <w:szCs w:val="16"/>
        </w:rPr>
      </w:pPr>
    </w:p>
    <w:p w14:paraId="12838AD9" w14:textId="77777777" w:rsidR="007A0C5A" w:rsidRPr="00190A96" w:rsidRDefault="007A0C5A">
      <w:pPr>
        <w:rPr>
          <w:b/>
          <w:bCs/>
          <w:color w:val="000000" w:themeColor="text1"/>
          <w:sz w:val="16"/>
          <w:szCs w:val="16"/>
        </w:rPr>
      </w:pPr>
    </w:p>
    <w:p w14:paraId="4C27C412" w14:textId="77777777" w:rsidR="007A0C5A" w:rsidRPr="00190A96" w:rsidRDefault="007A0C5A">
      <w:pPr>
        <w:rPr>
          <w:b/>
          <w:bCs/>
          <w:color w:val="000000" w:themeColor="text1"/>
          <w:sz w:val="16"/>
          <w:szCs w:val="16"/>
        </w:rPr>
      </w:pPr>
    </w:p>
    <w:p w14:paraId="21B837F0" w14:textId="77777777" w:rsidR="007A0C5A" w:rsidRPr="00190A96" w:rsidRDefault="007A0C5A">
      <w:pPr>
        <w:rPr>
          <w:b/>
          <w:bCs/>
          <w:color w:val="000000" w:themeColor="text1"/>
          <w:sz w:val="16"/>
          <w:szCs w:val="16"/>
        </w:rPr>
      </w:pPr>
    </w:p>
    <w:p w14:paraId="3B47FA29" w14:textId="77777777" w:rsidR="007A0C5A" w:rsidRPr="00190A96" w:rsidRDefault="007A0C5A">
      <w:pPr>
        <w:rPr>
          <w:b/>
          <w:bCs/>
          <w:color w:val="000000" w:themeColor="text1"/>
          <w:sz w:val="16"/>
          <w:szCs w:val="16"/>
        </w:rPr>
      </w:pPr>
    </w:p>
    <w:p w14:paraId="75184DA7" w14:textId="77777777" w:rsidR="007A0C5A" w:rsidRPr="00190A96" w:rsidRDefault="007A0C5A">
      <w:pPr>
        <w:rPr>
          <w:b/>
          <w:bCs/>
          <w:color w:val="000000" w:themeColor="text1"/>
          <w:sz w:val="16"/>
          <w:szCs w:val="16"/>
        </w:rPr>
      </w:pPr>
    </w:p>
    <w:p w14:paraId="6CD36D98" w14:textId="77777777" w:rsidR="007A0C5A" w:rsidRPr="00190A96" w:rsidRDefault="007A0C5A">
      <w:pPr>
        <w:rPr>
          <w:b/>
          <w:bCs/>
          <w:color w:val="000000" w:themeColor="text1"/>
          <w:sz w:val="16"/>
          <w:szCs w:val="16"/>
        </w:rPr>
      </w:pPr>
    </w:p>
    <w:p w14:paraId="1E153AFA" w14:textId="77777777" w:rsidR="007A0C5A" w:rsidRPr="00190A96" w:rsidRDefault="007A0C5A">
      <w:pPr>
        <w:rPr>
          <w:b/>
          <w:bCs/>
          <w:color w:val="000000" w:themeColor="text1"/>
          <w:sz w:val="16"/>
          <w:szCs w:val="16"/>
        </w:rPr>
      </w:pPr>
    </w:p>
    <w:p w14:paraId="004ED2AC" w14:textId="77777777" w:rsidR="007A0C5A" w:rsidRPr="00190A96" w:rsidRDefault="007A0C5A">
      <w:pPr>
        <w:rPr>
          <w:b/>
          <w:bCs/>
          <w:color w:val="000000" w:themeColor="text1"/>
          <w:sz w:val="16"/>
          <w:szCs w:val="16"/>
        </w:rPr>
      </w:pPr>
    </w:p>
    <w:p w14:paraId="4A313000" w14:textId="77777777" w:rsidR="007A0C5A" w:rsidRPr="00190A96" w:rsidRDefault="007A0C5A">
      <w:pPr>
        <w:rPr>
          <w:b/>
          <w:bCs/>
          <w:color w:val="000000" w:themeColor="text1"/>
          <w:sz w:val="16"/>
          <w:szCs w:val="16"/>
        </w:rPr>
      </w:pPr>
    </w:p>
    <w:p w14:paraId="36002717" w14:textId="77777777" w:rsidR="007A0C5A" w:rsidRPr="00190A96" w:rsidRDefault="007A0C5A">
      <w:pPr>
        <w:rPr>
          <w:b/>
          <w:bCs/>
          <w:color w:val="000000" w:themeColor="text1"/>
          <w:sz w:val="16"/>
          <w:szCs w:val="16"/>
        </w:rPr>
      </w:pPr>
    </w:p>
    <w:p w14:paraId="783FBEAD" w14:textId="77777777" w:rsidR="007A0C5A" w:rsidRPr="00190A96" w:rsidRDefault="007A0C5A">
      <w:pPr>
        <w:rPr>
          <w:b/>
          <w:bCs/>
          <w:color w:val="000000" w:themeColor="text1"/>
          <w:sz w:val="16"/>
          <w:szCs w:val="16"/>
        </w:rPr>
      </w:pPr>
    </w:p>
    <w:p w14:paraId="7A1212B5" w14:textId="77777777" w:rsidR="007A0C5A" w:rsidRPr="00190A96" w:rsidRDefault="007A0C5A">
      <w:pPr>
        <w:rPr>
          <w:b/>
          <w:bCs/>
          <w:color w:val="000000" w:themeColor="text1"/>
          <w:sz w:val="16"/>
          <w:szCs w:val="16"/>
        </w:rPr>
      </w:pPr>
    </w:p>
    <w:p w14:paraId="0BEA0165" w14:textId="77777777" w:rsidR="007A0C5A" w:rsidRPr="00190A96" w:rsidRDefault="007A0C5A">
      <w:pPr>
        <w:rPr>
          <w:b/>
          <w:bCs/>
          <w:color w:val="000000" w:themeColor="text1"/>
          <w:sz w:val="16"/>
          <w:szCs w:val="16"/>
        </w:rPr>
      </w:pPr>
    </w:p>
    <w:p w14:paraId="712CB8A5" w14:textId="77777777" w:rsidR="007A0C5A" w:rsidRPr="00190A96" w:rsidRDefault="007A0C5A">
      <w:pPr>
        <w:rPr>
          <w:b/>
          <w:bCs/>
          <w:color w:val="000000" w:themeColor="text1"/>
          <w:sz w:val="16"/>
          <w:szCs w:val="16"/>
        </w:rPr>
      </w:pPr>
    </w:p>
    <w:p w14:paraId="38D60CEF" w14:textId="77777777" w:rsidR="007A0C5A" w:rsidRPr="00190A96" w:rsidRDefault="007A0C5A">
      <w:pPr>
        <w:rPr>
          <w:b/>
          <w:bCs/>
          <w:color w:val="000000" w:themeColor="text1"/>
          <w:sz w:val="16"/>
          <w:szCs w:val="16"/>
        </w:rPr>
      </w:pPr>
    </w:p>
    <w:p w14:paraId="4EF5E533" w14:textId="77777777" w:rsidR="007A0C5A" w:rsidRPr="00190A96" w:rsidRDefault="007A0C5A">
      <w:pPr>
        <w:rPr>
          <w:b/>
          <w:bCs/>
          <w:color w:val="000000" w:themeColor="text1"/>
          <w:sz w:val="16"/>
          <w:szCs w:val="16"/>
        </w:rPr>
      </w:pPr>
    </w:p>
    <w:p w14:paraId="5F06AA78" w14:textId="77777777" w:rsidR="007A0C5A" w:rsidRPr="00190A96" w:rsidRDefault="007A0C5A">
      <w:pPr>
        <w:rPr>
          <w:b/>
          <w:bCs/>
          <w:color w:val="000000" w:themeColor="text1"/>
          <w:sz w:val="16"/>
          <w:szCs w:val="16"/>
        </w:rPr>
      </w:pPr>
    </w:p>
    <w:p w14:paraId="66982FE6" w14:textId="77777777" w:rsidR="007A0C5A" w:rsidRPr="00190A96" w:rsidRDefault="007A0C5A">
      <w:pPr>
        <w:rPr>
          <w:b/>
          <w:bCs/>
          <w:color w:val="000000" w:themeColor="text1"/>
          <w:sz w:val="16"/>
          <w:szCs w:val="16"/>
        </w:rPr>
      </w:pPr>
    </w:p>
    <w:p w14:paraId="7EC3B758" w14:textId="77777777" w:rsidR="007A0C5A" w:rsidRPr="00190A96" w:rsidRDefault="007A0C5A">
      <w:pPr>
        <w:rPr>
          <w:b/>
          <w:bCs/>
          <w:color w:val="000000" w:themeColor="text1"/>
          <w:sz w:val="16"/>
          <w:szCs w:val="16"/>
        </w:rPr>
      </w:pPr>
    </w:p>
    <w:p w14:paraId="6714B65D" w14:textId="77777777" w:rsidR="007A0C5A" w:rsidRPr="00190A96" w:rsidRDefault="007A0C5A">
      <w:pPr>
        <w:rPr>
          <w:b/>
          <w:bCs/>
          <w:color w:val="000000" w:themeColor="text1"/>
          <w:sz w:val="16"/>
          <w:szCs w:val="16"/>
        </w:rPr>
      </w:pPr>
    </w:p>
    <w:p w14:paraId="769ADA24" w14:textId="77777777" w:rsidR="007A0C5A" w:rsidRPr="00190A96" w:rsidRDefault="007A0C5A">
      <w:pPr>
        <w:rPr>
          <w:b/>
          <w:bCs/>
          <w:color w:val="000000" w:themeColor="text1"/>
          <w:sz w:val="16"/>
          <w:szCs w:val="16"/>
        </w:rPr>
      </w:pPr>
    </w:p>
    <w:p w14:paraId="4209B0D3" w14:textId="77777777" w:rsidR="007A0C5A" w:rsidRPr="00190A96" w:rsidRDefault="007A0C5A">
      <w:pPr>
        <w:rPr>
          <w:b/>
          <w:bCs/>
          <w:color w:val="000000" w:themeColor="text1"/>
          <w:sz w:val="16"/>
          <w:szCs w:val="16"/>
        </w:rPr>
      </w:pPr>
    </w:p>
    <w:p w14:paraId="62387740" w14:textId="77777777" w:rsidR="007A0C5A" w:rsidRPr="00190A96" w:rsidRDefault="007A0C5A">
      <w:pPr>
        <w:rPr>
          <w:b/>
          <w:bCs/>
          <w:color w:val="000000" w:themeColor="text1"/>
          <w:sz w:val="16"/>
          <w:szCs w:val="16"/>
        </w:rPr>
      </w:pPr>
    </w:p>
    <w:p w14:paraId="5EA95A77" w14:textId="77777777" w:rsidR="007A0C5A" w:rsidRPr="00190A96" w:rsidRDefault="007A0C5A">
      <w:pPr>
        <w:rPr>
          <w:b/>
          <w:bCs/>
          <w:color w:val="000000" w:themeColor="text1"/>
          <w:sz w:val="16"/>
          <w:szCs w:val="16"/>
        </w:rPr>
      </w:pPr>
    </w:p>
    <w:p w14:paraId="05B808C6" w14:textId="77777777" w:rsidR="007A0C5A" w:rsidRPr="00190A96" w:rsidRDefault="007A0C5A">
      <w:pPr>
        <w:rPr>
          <w:b/>
          <w:bCs/>
          <w:color w:val="000000" w:themeColor="text1"/>
          <w:sz w:val="16"/>
          <w:szCs w:val="16"/>
        </w:rPr>
      </w:pPr>
    </w:p>
    <w:p w14:paraId="15326747" w14:textId="77777777" w:rsidR="007A0C5A" w:rsidRPr="00190A96" w:rsidRDefault="007A0C5A">
      <w:pPr>
        <w:rPr>
          <w:b/>
          <w:bCs/>
          <w:color w:val="000000" w:themeColor="text1"/>
          <w:sz w:val="16"/>
          <w:szCs w:val="16"/>
        </w:rPr>
      </w:pPr>
    </w:p>
    <w:p w14:paraId="1EBA7E5B" w14:textId="77777777" w:rsidR="007A0C5A" w:rsidRPr="00190A96" w:rsidRDefault="007A0C5A">
      <w:pPr>
        <w:rPr>
          <w:b/>
          <w:bCs/>
          <w:color w:val="000000" w:themeColor="text1"/>
          <w:sz w:val="16"/>
          <w:szCs w:val="16"/>
        </w:rPr>
      </w:pPr>
    </w:p>
    <w:p w14:paraId="30BDE4DA" w14:textId="77777777" w:rsidR="007A0C5A" w:rsidRPr="00190A96" w:rsidRDefault="007A0C5A">
      <w:pPr>
        <w:rPr>
          <w:b/>
          <w:bCs/>
          <w:color w:val="000000" w:themeColor="text1"/>
          <w:sz w:val="16"/>
          <w:szCs w:val="16"/>
        </w:rPr>
      </w:pPr>
    </w:p>
    <w:p w14:paraId="4E48C55F" w14:textId="77777777" w:rsidR="007A0C5A" w:rsidRPr="00190A96" w:rsidRDefault="007A0C5A">
      <w:pPr>
        <w:rPr>
          <w:b/>
          <w:bCs/>
          <w:color w:val="000000" w:themeColor="text1"/>
          <w:sz w:val="16"/>
          <w:szCs w:val="16"/>
        </w:rPr>
      </w:pPr>
    </w:p>
    <w:p w14:paraId="27A8E620" w14:textId="77777777" w:rsidR="007A0C5A" w:rsidRPr="00190A96" w:rsidRDefault="007A0C5A">
      <w:pPr>
        <w:rPr>
          <w:b/>
          <w:bCs/>
          <w:color w:val="000000" w:themeColor="text1"/>
          <w:sz w:val="16"/>
          <w:szCs w:val="16"/>
        </w:rPr>
      </w:pPr>
    </w:p>
    <w:p w14:paraId="79378A09" w14:textId="77777777" w:rsidR="007A0C5A" w:rsidRPr="00190A96" w:rsidRDefault="007A0C5A">
      <w:pPr>
        <w:rPr>
          <w:b/>
          <w:bCs/>
          <w:color w:val="000000" w:themeColor="text1"/>
          <w:sz w:val="16"/>
          <w:szCs w:val="16"/>
        </w:rPr>
      </w:pPr>
    </w:p>
    <w:p w14:paraId="33AF86A4" w14:textId="77777777" w:rsidR="007A0C5A" w:rsidRPr="00190A96" w:rsidRDefault="007A0C5A">
      <w:pPr>
        <w:rPr>
          <w:b/>
          <w:bCs/>
          <w:color w:val="000000" w:themeColor="text1"/>
          <w:sz w:val="16"/>
          <w:szCs w:val="16"/>
        </w:rPr>
      </w:pPr>
    </w:p>
    <w:p w14:paraId="26B676AE" w14:textId="77777777" w:rsidR="007A0C5A" w:rsidRPr="00190A96" w:rsidRDefault="007A0C5A">
      <w:pPr>
        <w:rPr>
          <w:b/>
          <w:bCs/>
          <w:color w:val="000000" w:themeColor="text1"/>
          <w:sz w:val="16"/>
          <w:szCs w:val="16"/>
        </w:rPr>
      </w:pPr>
    </w:p>
    <w:p w14:paraId="60C4E5CB" w14:textId="77777777" w:rsidR="007A0C5A" w:rsidRPr="00190A96" w:rsidRDefault="007A0C5A">
      <w:pPr>
        <w:rPr>
          <w:b/>
          <w:bCs/>
          <w:color w:val="000000" w:themeColor="text1"/>
          <w:sz w:val="16"/>
          <w:szCs w:val="16"/>
        </w:rPr>
      </w:pPr>
    </w:p>
    <w:p w14:paraId="1BFE04EC" w14:textId="77777777" w:rsidR="007A0C5A" w:rsidRPr="00190A96" w:rsidRDefault="007A0C5A">
      <w:pPr>
        <w:rPr>
          <w:b/>
          <w:bCs/>
          <w:color w:val="000000" w:themeColor="text1"/>
          <w:sz w:val="16"/>
          <w:szCs w:val="16"/>
        </w:rPr>
      </w:pPr>
    </w:p>
    <w:p w14:paraId="1DC0F6EE" w14:textId="77777777" w:rsidR="007A0C5A" w:rsidRPr="00190A96" w:rsidRDefault="007A0C5A">
      <w:pPr>
        <w:rPr>
          <w:b/>
          <w:bCs/>
          <w:color w:val="000000" w:themeColor="text1"/>
          <w:sz w:val="16"/>
          <w:szCs w:val="16"/>
        </w:rPr>
      </w:pPr>
    </w:p>
    <w:p w14:paraId="06CF2AEE" w14:textId="77777777" w:rsidR="007A0C5A" w:rsidRPr="00190A96" w:rsidRDefault="007A0C5A">
      <w:pPr>
        <w:rPr>
          <w:b/>
          <w:bCs/>
          <w:color w:val="000000" w:themeColor="text1"/>
          <w:sz w:val="16"/>
          <w:szCs w:val="16"/>
        </w:rPr>
      </w:pPr>
    </w:p>
    <w:p w14:paraId="06E8FFAD" w14:textId="77777777" w:rsidR="007A0C5A" w:rsidRPr="00190A96" w:rsidRDefault="007A0C5A">
      <w:pPr>
        <w:rPr>
          <w:b/>
          <w:bCs/>
          <w:color w:val="000000" w:themeColor="text1"/>
          <w:sz w:val="16"/>
          <w:szCs w:val="16"/>
        </w:rPr>
      </w:pPr>
    </w:p>
    <w:p w14:paraId="690A22DD" w14:textId="67DFD493" w:rsidR="00640F57" w:rsidRPr="00190A96" w:rsidRDefault="00F0163B">
      <w:pPr>
        <w:rPr>
          <w:b/>
          <w:bCs/>
          <w:color w:val="000000" w:themeColor="text1"/>
          <w:sz w:val="32"/>
          <w:szCs w:val="32"/>
        </w:rPr>
      </w:pPr>
      <w:r>
        <w:rPr>
          <w:b/>
          <w:bCs/>
          <w:noProof/>
          <w:color w:val="7030A0"/>
          <w:sz w:val="16"/>
          <w:szCs w:val="16"/>
        </w:rPr>
        <w:lastRenderedPageBreak/>
        <w:object w:dxaOrig="1440" w:dyaOrig="1440" w14:anchorId="697CF1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2" type="#_x0000_t75" alt="" style="position:absolute;margin-left:-1.5pt;margin-top:31.3pt;width:379pt;height:742pt;z-index:251672576;mso-wrap-edited:f;mso-width-percent:0;mso-height-percent:0;mso-position-horizontal-relative:text;mso-position-vertical-relative:text;mso-width-percent:0;mso-height-percent:0">
            <v:imagedata r:id="rId43" o:title=""/>
            <w10:wrap type="topAndBottom"/>
          </v:shape>
          <o:OLEObject Type="Embed" ProgID="Word.Document.12" ShapeID="_x0000_s2052" DrawAspect="Content" ObjectID="_1838098409" r:id="rId44">
            <o:FieldCodes>\s</o:FieldCodes>
          </o:OLEObject>
        </w:object>
      </w:r>
      <w:r w:rsidR="007A0C5A" w:rsidRPr="00190A96">
        <w:rPr>
          <w:b/>
          <w:bCs/>
          <w:color w:val="000000" w:themeColor="text1"/>
          <w:sz w:val="32"/>
          <w:szCs w:val="32"/>
        </w:rPr>
        <w:t>Appendice ii – Ethics Form</w:t>
      </w:r>
    </w:p>
    <w:p w14:paraId="5D50C0BA" w14:textId="0072BFA0" w:rsidR="00A15476" w:rsidRPr="00190A96" w:rsidRDefault="00A15476" w:rsidP="00D276B2">
      <w:pPr>
        <w:rPr>
          <w:b/>
          <w:bCs/>
          <w:color w:val="000000" w:themeColor="text1"/>
          <w:sz w:val="16"/>
          <w:szCs w:val="16"/>
        </w:rPr>
      </w:pPr>
      <w:bookmarkStart w:id="56" w:name="_Toc224818828"/>
      <w:bookmarkEnd w:id="56"/>
      <w:r w:rsidRPr="00190A96">
        <w:rPr>
          <w:b/>
          <w:bCs/>
          <w:color w:val="000000" w:themeColor="text1"/>
          <w:sz w:val="32"/>
          <w:szCs w:val="32"/>
        </w:rPr>
        <w:lastRenderedPageBreak/>
        <w:t>Appendice iii – Participant Information Sheet + Consent</w:t>
      </w:r>
    </w:p>
    <w:p w14:paraId="274AF0E6" w14:textId="0F6530D2" w:rsidR="00A15476" w:rsidRPr="00190A96" w:rsidRDefault="00F0163B">
      <w:pPr>
        <w:rPr>
          <w:b/>
          <w:bCs/>
          <w:color w:val="000000" w:themeColor="text1"/>
          <w:sz w:val="16"/>
          <w:szCs w:val="16"/>
        </w:rPr>
      </w:pPr>
      <w:r w:rsidRPr="00F0163B">
        <w:rPr>
          <w:b/>
          <w:bCs/>
          <w:noProof/>
          <w:color w:val="000000" w:themeColor="text1"/>
          <w:sz w:val="16"/>
          <w:szCs w:val="16"/>
          <w14:ligatures w14:val="standardContextual"/>
        </w:rPr>
        <w:pict w14:anchorId="7D3D3AC6">
          <v:shape id="_x0000_i1027" type="#_x0000_t75" alt="" style="width:374.9pt;height:562.7pt;mso-width-percent:0;mso-height-percent:0;mso-width-percent:0;mso-height-percent:0">
            <v:imagedata r:id="rId45" o:title=""/>
          </v:shape>
        </w:pict>
      </w:r>
      <w:r w:rsidR="00A15476" w:rsidRPr="00190A96">
        <w:rPr>
          <w:b/>
          <w:bCs/>
          <w:color w:val="000000" w:themeColor="text1"/>
          <w:sz w:val="16"/>
          <w:szCs w:val="16"/>
        </w:rPr>
        <w:br w:type="page"/>
      </w:r>
    </w:p>
    <w:p w14:paraId="28B0C666" w14:textId="7B476F8C" w:rsidR="00D276B2" w:rsidRPr="00190A96" w:rsidRDefault="00A15476" w:rsidP="00D276B2">
      <w:pPr>
        <w:rPr>
          <w:b/>
          <w:bCs/>
          <w:color w:val="000000" w:themeColor="text1"/>
          <w:sz w:val="16"/>
          <w:szCs w:val="16"/>
        </w:rPr>
      </w:pPr>
      <w:r w:rsidRPr="00190A96">
        <w:rPr>
          <w:b/>
          <w:bCs/>
          <w:color w:val="000000" w:themeColor="text1"/>
          <w:sz w:val="32"/>
          <w:szCs w:val="32"/>
        </w:rPr>
        <w:lastRenderedPageBreak/>
        <w:t xml:space="preserve">Appendice iv – </w:t>
      </w:r>
      <w:r w:rsidR="00F0163B">
        <w:rPr>
          <w:b/>
          <w:bCs/>
          <w:noProof/>
          <w:color w:val="7030A0"/>
          <w:sz w:val="16"/>
          <w:szCs w:val="16"/>
        </w:rPr>
        <w:object w:dxaOrig="1440" w:dyaOrig="1440" w14:anchorId="2FD7C3D7">
          <v:shape id="_x0000_s2051" type="#_x0000_t75" alt="" style="position:absolute;margin-left:0;margin-top:367.75pt;width:451.65pt;height:329.9pt;z-index:251670528;mso-wrap-edited:f;mso-width-percent:0;mso-height-percent:0;mso-position-horizontal-relative:text;mso-position-vertical-relative:text;mso-width-percent:0;mso-height-percent:0">
            <v:imagedata r:id="rId46" o:title=""/>
            <w10:wrap type="topAndBottom"/>
          </v:shape>
          <o:OLEObject Type="Embed" ProgID="Word.Document.12" ShapeID="_x0000_s2051" DrawAspect="Content" ObjectID="_1838098408" r:id="rId47">
            <o:FieldCodes>\s</o:FieldCodes>
          </o:OLEObject>
        </w:object>
      </w:r>
      <w:r w:rsidR="00F0163B">
        <w:rPr>
          <w:b/>
          <w:bCs/>
          <w:noProof/>
          <w:color w:val="7030A0"/>
          <w:sz w:val="16"/>
          <w:szCs w:val="16"/>
        </w:rPr>
        <w:object w:dxaOrig="1440" w:dyaOrig="1440" w14:anchorId="1B5EB683">
          <v:shape id="_x0000_s2050" type="#_x0000_t75" alt="" style="position:absolute;margin-left:0;margin-top:26.15pt;width:455.55pt;height:328.6pt;z-index:251668480;mso-wrap-edited:f;mso-width-percent:0;mso-height-percent:0;mso-position-horizontal-relative:text;mso-position-vertical-relative:text;mso-width-percent:0;mso-height-percent:0">
            <v:imagedata r:id="rId48" o:title=""/>
            <w10:wrap type="topAndBottom"/>
          </v:shape>
          <o:OLEObject Type="Embed" ProgID="Word.Document.12" ShapeID="_x0000_s2050" DrawAspect="Content" ObjectID="_1838098407" r:id="rId49">
            <o:FieldCodes>\s</o:FieldCodes>
          </o:OLEObject>
        </w:object>
      </w:r>
      <w:r w:rsidRPr="00190A96">
        <w:rPr>
          <w:b/>
          <w:bCs/>
          <w:color w:val="000000" w:themeColor="text1"/>
          <w:sz w:val="32"/>
          <w:szCs w:val="32"/>
        </w:rPr>
        <w:t>Interview Questions</w:t>
      </w:r>
      <w:bookmarkStart w:id="57" w:name="_MON_1836045768"/>
      <w:bookmarkEnd w:id="57"/>
    </w:p>
    <w:sectPr w:rsidR="00D276B2" w:rsidRPr="00190A96" w:rsidSect="002012ED">
      <w:footerReference w:type="even" r:id="rId50"/>
      <w:foot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FC7A7E" w14:textId="77777777" w:rsidR="00F0163B" w:rsidRDefault="00F0163B" w:rsidP="00BF2960">
      <w:r>
        <w:separator/>
      </w:r>
    </w:p>
  </w:endnote>
  <w:endnote w:type="continuationSeparator" w:id="0">
    <w:p w14:paraId="339B7321" w14:textId="77777777" w:rsidR="00F0163B" w:rsidRDefault="00F0163B" w:rsidP="00BF2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75610310"/>
      <w:docPartObj>
        <w:docPartGallery w:val="Page Numbers (Bottom of Page)"/>
        <w:docPartUnique/>
      </w:docPartObj>
    </w:sdtPr>
    <w:sdtContent>
      <w:p w14:paraId="6B16F90D" w14:textId="760A67A4" w:rsidR="00BF2960" w:rsidRDefault="00BF2960" w:rsidP="000F1F4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EAE9856" w14:textId="77777777" w:rsidR="00BF2960" w:rsidRDefault="00BF29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82002534"/>
      <w:docPartObj>
        <w:docPartGallery w:val="Page Numbers (Bottom of Page)"/>
        <w:docPartUnique/>
      </w:docPartObj>
    </w:sdtPr>
    <w:sdtContent>
      <w:p w14:paraId="7C85FA87" w14:textId="600EAFE8" w:rsidR="00BF2960" w:rsidRDefault="00BF2960" w:rsidP="000F1F4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32</w:t>
        </w:r>
        <w:r>
          <w:rPr>
            <w:rStyle w:val="PageNumber"/>
          </w:rPr>
          <w:fldChar w:fldCharType="end"/>
        </w:r>
      </w:p>
    </w:sdtContent>
  </w:sdt>
  <w:p w14:paraId="4B9A60F2" w14:textId="77777777" w:rsidR="00BF2960" w:rsidRDefault="00BF29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FC4FA" w14:textId="77777777" w:rsidR="00F0163B" w:rsidRDefault="00F0163B" w:rsidP="00BF2960">
      <w:r>
        <w:separator/>
      </w:r>
    </w:p>
  </w:footnote>
  <w:footnote w:type="continuationSeparator" w:id="0">
    <w:p w14:paraId="56F88A30" w14:textId="77777777" w:rsidR="00F0163B" w:rsidRDefault="00F0163B" w:rsidP="00BF29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42C46"/>
    <w:multiLevelType w:val="hybridMultilevel"/>
    <w:tmpl w:val="8CB6A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92C9E"/>
    <w:multiLevelType w:val="multilevel"/>
    <w:tmpl w:val="B1F82B3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 w15:restartNumberingAfterBreak="0">
    <w:nsid w:val="062609CB"/>
    <w:multiLevelType w:val="multilevel"/>
    <w:tmpl w:val="C2FE1AE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0B1D03DE"/>
    <w:multiLevelType w:val="multilevel"/>
    <w:tmpl w:val="23583BC8"/>
    <w:lvl w:ilvl="0">
      <w:start w:val="4"/>
      <w:numFmt w:val="decimal"/>
      <w:lvlText w:val="%1"/>
      <w:lvlJc w:val="left"/>
      <w:pPr>
        <w:ind w:left="360" w:hanging="360"/>
      </w:pPr>
      <w:rPr>
        <w:rFonts w:ascii="Times New Roman" w:eastAsia="Times New Roman" w:hAnsi="Times New Roman" w:cs="Times New Roman" w:hint="default"/>
        <w:b/>
        <w:sz w:val="32"/>
      </w:rPr>
    </w:lvl>
    <w:lvl w:ilvl="1">
      <w:start w:val="5"/>
      <w:numFmt w:val="decimal"/>
      <w:lvlText w:val="%1.%2"/>
      <w:lvlJc w:val="left"/>
      <w:pPr>
        <w:ind w:left="720" w:hanging="720"/>
      </w:pPr>
      <w:rPr>
        <w:rFonts w:ascii="Times New Roman" w:eastAsia="Times New Roman" w:hAnsi="Times New Roman" w:cs="Times New Roman" w:hint="default"/>
        <w:b/>
        <w:sz w:val="32"/>
      </w:rPr>
    </w:lvl>
    <w:lvl w:ilvl="2">
      <w:start w:val="1"/>
      <w:numFmt w:val="decimal"/>
      <w:lvlText w:val="%1.%2.%3"/>
      <w:lvlJc w:val="left"/>
      <w:pPr>
        <w:ind w:left="1080" w:hanging="1080"/>
      </w:pPr>
      <w:rPr>
        <w:rFonts w:ascii="Times New Roman" w:eastAsia="Times New Roman" w:hAnsi="Times New Roman" w:cs="Times New Roman" w:hint="default"/>
        <w:b/>
        <w:sz w:val="32"/>
      </w:rPr>
    </w:lvl>
    <w:lvl w:ilvl="3">
      <w:start w:val="1"/>
      <w:numFmt w:val="decimal"/>
      <w:lvlText w:val="%1.%2.%3.%4"/>
      <w:lvlJc w:val="left"/>
      <w:pPr>
        <w:ind w:left="1440" w:hanging="1440"/>
      </w:pPr>
      <w:rPr>
        <w:rFonts w:ascii="Times New Roman" w:eastAsia="Times New Roman" w:hAnsi="Times New Roman" w:cs="Times New Roman" w:hint="default"/>
        <w:b/>
        <w:sz w:val="32"/>
      </w:rPr>
    </w:lvl>
    <w:lvl w:ilvl="4">
      <w:start w:val="1"/>
      <w:numFmt w:val="decimal"/>
      <w:lvlText w:val="%1.%2.%3.%4.%5"/>
      <w:lvlJc w:val="left"/>
      <w:pPr>
        <w:ind w:left="1440" w:hanging="1440"/>
      </w:pPr>
      <w:rPr>
        <w:rFonts w:ascii="Times New Roman" w:eastAsia="Times New Roman" w:hAnsi="Times New Roman" w:cs="Times New Roman" w:hint="default"/>
        <w:b/>
        <w:sz w:val="32"/>
      </w:rPr>
    </w:lvl>
    <w:lvl w:ilvl="5">
      <w:start w:val="1"/>
      <w:numFmt w:val="decimal"/>
      <w:lvlText w:val="%1.%2.%3.%4.%5.%6"/>
      <w:lvlJc w:val="left"/>
      <w:pPr>
        <w:ind w:left="1800" w:hanging="1800"/>
      </w:pPr>
      <w:rPr>
        <w:rFonts w:ascii="Times New Roman" w:eastAsia="Times New Roman" w:hAnsi="Times New Roman" w:cs="Times New Roman" w:hint="default"/>
        <w:b/>
        <w:sz w:val="32"/>
      </w:rPr>
    </w:lvl>
    <w:lvl w:ilvl="6">
      <w:start w:val="1"/>
      <w:numFmt w:val="decimal"/>
      <w:lvlText w:val="%1.%2.%3.%4.%5.%6.%7"/>
      <w:lvlJc w:val="left"/>
      <w:pPr>
        <w:ind w:left="2160" w:hanging="2160"/>
      </w:pPr>
      <w:rPr>
        <w:rFonts w:ascii="Times New Roman" w:eastAsia="Times New Roman" w:hAnsi="Times New Roman" w:cs="Times New Roman" w:hint="default"/>
        <w:b/>
        <w:sz w:val="32"/>
      </w:rPr>
    </w:lvl>
    <w:lvl w:ilvl="7">
      <w:start w:val="1"/>
      <w:numFmt w:val="decimal"/>
      <w:lvlText w:val="%1.%2.%3.%4.%5.%6.%7.%8"/>
      <w:lvlJc w:val="left"/>
      <w:pPr>
        <w:ind w:left="2520" w:hanging="2520"/>
      </w:pPr>
      <w:rPr>
        <w:rFonts w:ascii="Times New Roman" w:eastAsia="Times New Roman" w:hAnsi="Times New Roman" w:cs="Times New Roman" w:hint="default"/>
        <w:b/>
        <w:sz w:val="32"/>
      </w:rPr>
    </w:lvl>
    <w:lvl w:ilvl="8">
      <w:start w:val="1"/>
      <w:numFmt w:val="decimal"/>
      <w:lvlText w:val="%1.%2.%3.%4.%5.%6.%7.%8.%9"/>
      <w:lvlJc w:val="left"/>
      <w:pPr>
        <w:ind w:left="2880" w:hanging="2880"/>
      </w:pPr>
      <w:rPr>
        <w:rFonts w:ascii="Times New Roman" w:eastAsia="Times New Roman" w:hAnsi="Times New Roman" w:cs="Times New Roman" w:hint="default"/>
        <w:b/>
        <w:sz w:val="32"/>
      </w:rPr>
    </w:lvl>
  </w:abstractNum>
  <w:abstractNum w:abstractNumId="4" w15:restartNumberingAfterBreak="0">
    <w:nsid w:val="0BE91A04"/>
    <w:multiLevelType w:val="multilevel"/>
    <w:tmpl w:val="8712593A"/>
    <w:lvl w:ilvl="0">
      <w:start w:val="5"/>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0CEA25A0"/>
    <w:multiLevelType w:val="hybridMultilevel"/>
    <w:tmpl w:val="CE12134A"/>
    <w:lvl w:ilvl="0" w:tplc="FFA60BD2">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4B60DC"/>
    <w:multiLevelType w:val="multilevel"/>
    <w:tmpl w:val="453EBFA4"/>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7" w15:restartNumberingAfterBreak="0">
    <w:nsid w:val="10AA724A"/>
    <w:multiLevelType w:val="multilevel"/>
    <w:tmpl w:val="B2F05882"/>
    <w:lvl w:ilvl="0">
      <w:start w:val="7"/>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8" w15:restartNumberingAfterBreak="0">
    <w:nsid w:val="12876628"/>
    <w:multiLevelType w:val="hybridMultilevel"/>
    <w:tmpl w:val="58BCA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2C53F78"/>
    <w:multiLevelType w:val="multilevel"/>
    <w:tmpl w:val="640A6202"/>
    <w:styleLink w:val="CurrentList1"/>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147C7FC3"/>
    <w:multiLevelType w:val="multilevel"/>
    <w:tmpl w:val="1C3209B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14C33CD5"/>
    <w:multiLevelType w:val="multilevel"/>
    <w:tmpl w:val="5C627654"/>
    <w:lvl w:ilvl="0">
      <w:start w:val="1"/>
      <w:numFmt w:val="decimal"/>
      <w:lvlText w:val="%1."/>
      <w:lvlJc w:val="left"/>
      <w:pPr>
        <w:ind w:left="720" w:hanging="360"/>
      </w:pPr>
      <w:rPr>
        <w:b w:val="0"/>
        <w:bCs w:val="0"/>
      </w:rPr>
    </w:lvl>
    <w:lvl w:ilvl="1">
      <w:start w:val="2"/>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17C76689"/>
    <w:multiLevelType w:val="hybridMultilevel"/>
    <w:tmpl w:val="8A22BB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8494E78"/>
    <w:multiLevelType w:val="multilevel"/>
    <w:tmpl w:val="C2FE1AE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4" w15:restartNumberingAfterBreak="0">
    <w:nsid w:val="1AFF6114"/>
    <w:multiLevelType w:val="multilevel"/>
    <w:tmpl w:val="FCCE37B8"/>
    <w:lvl w:ilvl="0">
      <w:start w:val="8"/>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5" w15:restartNumberingAfterBreak="0">
    <w:nsid w:val="1BE725F2"/>
    <w:multiLevelType w:val="multilevel"/>
    <w:tmpl w:val="F5AC75B6"/>
    <w:lvl w:ilvl="0">
      <w:start w:val="5"/>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1F2D3AAD"/>
    <w:multiLevelType w:val="multilevel"/>
    <w:tmpl w:val="8106676E"/>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7" w15:restartNumberingAfterBreak="0">
    <w:nsid w:val="23B51270"/>
    <w:multiLevelType w:val="multilevel"/>
    <w:tmpl w:val="4CC69E22"/>
    <w:lvl w:ilvl="0">
      <w:start w:val="4"/>
      <w:numFmt w:val="decimal"/>
      <w:lvlText w:val="%1.0"/>
      <w:lvlJc w:val="left"/>
      <w:pPr>
        <w:ind w:left="720" w:hanging="720"/>
      </w:pPr>
      <w:rPr>
        <w:rFonts w:hint="default"/>
      </w:rPr>
    </w:lvl>
    <w:lvl w:ilvl="1">
      <w:numFmt w:val="decimal"/>
      <w:lvlText w:val="%1.%2"/>
      <w:lvlJc w:val="left"/>
      <w:pPr>
        <w:ind w:left="72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8" w15:restartNumberingAfterBreak="0">
    <w:nsid w:val="24F62216"/>
    <w:multiLevelType w:val="hybridMultilevel"/>
    <w:tmpl w:val="1D8CCFDE"/>
    <w:lvl w:ilvl="0" w:tplc="F960987A">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5C237D4"/>
    <w:multiLevelType w:val="multilevel"/>
    <w:tmpl w:val="418E6C62"/>
    <w:lvl w:ilvl="0">
      <w:start w:val="1"/>
      <w:numFmt w:val="decimal"/>
      <w:lvlText w:val="%1."/>
      <w:lvlJc w:val="left"/>
      <w:pPr>
        <w:ind w:left="720" w:hanging="360"/>
      </w:pPr>
      <w:rPr>
        <w:rFonts w:hint="default"/>
      </w:rPr>
    </w:lvl>
    <w:lvl w:ilv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20" w15:restartNumberingAfterBreak="0">
    <w:nsid w:val="2D8B5C76"/>
    <w:multiLevelType w:val="hybridMultilevel"/>
    <w:tmpl w:val="8BDE49BE"/>
    <w:lvl w:ilvl="0" w:tplc="6DB096BE">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CF0701"/>
    <w:multiLevelType w:val="multilevel"/>
    <w:tmpl w:val="A2A64FDE"/>
    <w:lvl w:ilvl="0">
      <w:start w:val="3"/>
      <w:numFmt w:val="decimal"/>
      <w:lvlText w:val="%1"/>
      <w:lvlJc w:val="left"/>
      <w:pPr>
        <w:ind w:left="400" w:hanging="400"/>
      </w:pPr>
      <w:rPr>
        <w:rFonts w:hint="default"/>
        <w:sz w:val="32"/>
      </w:rPr>
    </w:lvl>
    <w:lvl w:ilvl="1">
      <w:start w:val="1"/>
      <w:numFmt w:val="decimal"/>
      <w:lvlText w:val="%1.%2"/>
      <w:lvlJc w:val="left"/>
      <w:pPr>
        <w:ind w:left="720" w:hanging="720"/>
      </w:pPr>
      <w:rPr>
        <w:rFonts w:hint="default"/>
        <w:sz w:val="32"/>
      </w:rPr>
    </w:lvl>
    <w:lvl w:ilvl="2">
      <w:start w:val="1"/>
      <w:numFmt w:val="decimal"/>
      <w:lvlText w:val="%1.%2.%3"/>
      <w:lvlJc w:val="left"/>
      <w:pPr>
        <w:ind w:left="720" w:hanging="720"/>
      </w:pPr>
      <w:rPr>
        <w:rFonts w:hint="default"/>
        <w:sz w:val="32"/>
      </w:rPr>
    </w:lvl>
    <w:lvl w:ilvl="3">
      <w:start w:val="1"/>
      <w:numFmt w:val="decimal"/>
      <w:lvlText w:val="%1.%2.%3.%4"/>
      <w:lvlJc w:val="left"/>
      <w:pPr>
        <w:ind w:left="1080" w:hanging="1080"/>
      </w:pPr>
      <w:rPr>
        <w:rFonts w:hint="default"/>
        <w:sz w:val="32"/>
      </w:rPr>
    </w:lvl>
    <w:lvl w:ilvl="4">
      <w:start w:val="1"/>
      <w:numFmt w:val="decimal"/>
      <w:lvlText w:val="%1.%2.%3.%4.%5"/>
      <w:lvlJc w:val="left"/>
      <w:pPr>
        <w:ind w:left="1440" w:hanging="1440"/>
      </w:pPr>
      <w:rPr>
        <w:rFonts w:hint="default"/>
        <w:sz w:val="32"/>
      </w:rPr>
    </w:lvl>
    <w:lvl w:ilvl="5">
      <w:start w:val="1"/>
      <w:numFmt w:val="decimal"/>
      <w:lvlText w:val="%1.%2.%3.%4.%5.%6"/>
      <w:lvlJc w:val="left"/>
      <w:pPr>
        <w:ind w:left="1800" w:hanging="1800"/>
      </w:pPr>
      <w:rPr>
        <w:rFonts w:hint="default"/>
        <w:sz w:val="32"/>
      </w:rPr>
    </w:lvl>
    <w:lvl w:ilvl="6">
      <w:start w:val="1"/>
      <w:numFmt w:val="decimal"/>
      <w:lvlText w:val="%1.%2.%3.%4.%5.%6.%7"/>
      <w:lvlJc w:val="left"/>
      <w:pPr>
        <w:ind w:left="1800" w:hanging="1800"/>
      </w:pPr>
      <w:rPr>
        <w:rFonts w:hint="default"/>
        <w:sz w:val="32"/>
      </w:rPr>
    </w:lvl>
    <w:lvl w:ilvl="7">
      <w:start w:val="1"/>
      <w:numFmt w:val="decimal"/>
      <w:lvlText w:val="%1.%2.%3.%4.%5.%6.%7.%8"/>
      <w:lvlJc w:val="left"/>
      <w:pPr>
        <w:ind w:left="2160" w:hanging="2160"/>
      </w:pPr>
      <w:rPr>
        <w:rFonts w:hint="default"/>
        <w:sz w:val="32"/>
      </w:rPr>
    </w:lvl>
    <w:lvl w:ilvl="8">
      <w:start w:val="1"/>
      <w:numFmt w:val="decimal"/>
      <w:lvlText w:val="%1.%2.%3.%4.%5.%6.%7.%8.%9"/>
      <w:lvlJc w:val="left"/>
      <w:pPr>
        <w:ind w:left="2520" w:hanging="2520"/>
      </w:pPr>
      <w:rPr>
        <w:rFonts w:hint="default"/>
        <w:sz w:val="32"/>
      </w:rPr>
    </w:lvl>
  </w:abstractNum>
  <w:abstractNum w:abstractNumId="22" w15:restartNumberingAfterBreak="0">
    <w:nsid w:val="2F080E3B"/>
    <w:multiLevelType w:val="multilevel"/>
    <w:tmpl w:val="9828DD4C"/>
    <w:lvl w:ilvl="0">
      <w:start w:val="1"/>
      <w:numFmt w:val="decimal"/>
      <w:lvlText w:val="%1."/>
      <w:lvlJc w:val="left"/>
      <w:pPr>
        <w:ind w:left="720" w:hanging="360"/>
      </w:pPr>
      <w:rPr>
        <w:rFonts w:hint="default"/>
      </w:rPr>
    </w:lvl>
    <w:lvl w:ilv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23" w15:restartNumberingAfterBreak="0">
    <w:nsid w:val="309A3CA4"/>
    <w:multiLevelType w:val="hybridMultilevel"/>
    <w:tmpl w:val="320E983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0C80440"/>
    <w:multiLevelType w:val="multilevel"/>
    <w:tmpl w:val="8C7C0B48"/>
    <w:lvl w:ilvl="0">
      <w:start w:val="4"/>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5" w15:restartNumberingAfterBreak="0">
    <w:nsid w:val="45DB186B"/>
    <w:multiLevelType w:val="multilevel"/>
    <w:tmpl w:val="0144C9F6"/>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4C5D4134"/>
    <w:multiLevelType w:val="hybridMultilevel"/>
    <w:tmpl w:val="87763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D1A22C7"/>
    <w:multiLevelType w:val="multilevel"/>
    <w:tmpl w:val="B1F82B3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8" w15:restartNumberingAfterBreak="0">
    <w:nsid w:val="4F135D85"/>
    <w:multiLevelType w:val="multilevel"/>
    <w:tmpl w:val="EAF44D6E"/>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52B00214"/>
    <w:multiLevelType w:val="hybridMultilevel"/>
    <w:tmpl w:val="0F28BC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9874F6C"/>
    <w:multiLevelType w:val="hybridMultilevel"/>
    <w:tmpl w:val="363E59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BFC1850"/>
    <w:multiLevelType w:val="multilevel"/>
    <w:tmpl w:val="D848CE7A"/>
    <w:lvl w:ilvl="0">
      <w:start w:val="1"/>
      <w:numFmt w:val="decimal"/>
      <w:lvlText w:val="%1."/>
      <w:lvlJc w:val="left"/>
      <w:pPr>
        <w:ind w:left="72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2" w15:restartNumberingAfterBreak="0">
    <w:nsid w:val="62470490"/>
    <w:multiLevelType w:val="hybridMultilevel"/>
    <w:tmpl w:val="5F5E199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64527D2D"/>
    <w:multiLevelType w:val="multilevel"/>
    <w:tmpl w:val="1354FDFC"/>
    <w:lvl w:ilvl="0">
      <w:start w:val="7"/>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4" w15:restartNumberingAfterBreak="0">
    <w:nsid w:val="65814357"/>
    <w:multiLevelType w:val="hybridMultilevel"/>
    <w:tmpl w:val="4B1619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F10850"/>
    <w:multiLevelType w:val="multilevel"/>
    <w:tmpl w:val="1C3209B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6" w15:restartNumberingAfterBreak="0">
    <w:nsid w:val="72654ADD"/>
    <w:multiLevelType w:val="multilevel"/>
    <w:tmpl w:val="C178BC1A"/>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sz w:val="32"/>
        <w:szCs w:val="32"/>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7" w15:restartNumberingAfterBreak="0">
    <w:nsid w:val="779E45B7"/>
    <w:multiLevelType w:val="multilevel"/>
    <w:tmpl w:val="5C627654"/>
    <w:lvl w:ilvl="0">
      <w:start w:val="1"/>
      <w:numFmt w:val="decimal"/>
      <w:lvlText w:val="%1."/>
      <w:lvlJc w:val="left"/>
      <w:pPr>
        <w:ind w:left="720" w:hanging="360"/>
      </w:pPr>
      <w:rPr>
        <w:b w:val="0"/>
        <w:bCs w:val="0"/>
      </w:rPr>
    </w:lvl>
    <w:lvl w:ilvl="1">
      <w:start w:val="2"/>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8" w15:restartNumberingAfterBreak="0">
    <w:nsid w:val="77AA023C"/>
    <w:multiLevelType w:val="hybridMultilevel"/>
    <w:tmpl w:val="D172BF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C04956"/>
    <w:multiLevelType w:val="multilevel"/>
    <w:tmpl w:val="37C6F648"/>
    <w:lvl w:ilvl="0">
      <w:start w:val="3"/>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1077168313">
    <w:abstractNumId w:val="35"/>
  </w:num>
  <w:num w:numId="2" w16cid:durableId="1605650695">
    <w:abstractNumId w:val="12"/>
  </w:num>
  <w:num w:numId="3" w16cid:durableId="329866695">
    <w:abstractNumId w:val="20"/>
  </w:num>
  <w:num w:numId="4" w16cid:durableId="780030844">
    <w:abstractNumId w:val="10"/>
  </w:num>
  <w:num w:numId="5" w16cid:durableId="147789300">
    <w:abstractNumId w:val="19"/>
  </w:num>
  <w:num w:numId="6" w16cid:durableId="707681979">
    <w:abstractNumId w:val="5"/>
  </w:num>
  <w:num w:numId="7" w16cid:durableId="46493513">
    <w:abstractNumId w:val="29"/>
  </w:num>
  <w:num w:numId="8" w16cid:durableId="1234319564">
    <w:abstractNumId w:val="8"/>
  </w:num>
  <w:num w:numId="9" w16cid:durableId="719791532">
    <w:abstractNumId w:val="18"/>
  </w:num>
  <w:num w:numId="10" w16cid:durableId="1394087268">
    <w:abstractNumId w:val="26"/>
  </w:num>
  <w:num w:numId="11" w16cid:durableId="278729165">
    <w:abstractNumId w:val="23"/>
  </w:num>
  <w:num w:numId="12" w16cid:durableId="1553419402">
    <w:abstractNumId w:val="11"/>
  </w:num>
  <w:num w:numId="13" w16cid:durableId="989485410">
    <w:abstractNumId w:val="31"/>
  </w:num>
  <w:num w:numId="14" w16cid:durableId="1283462491">
    <w:abstractNumId w:val="3"/>
  </w:num>
  <w:num w:numId="15" w16cid:durableId="221602621">
    <w:abstractNumId w:val="1"/>
  </w:num>
  <w:num w:numId="16" w16cid:durableId="543056884">
    <w:abstractNumId w:val="27"/>
  </w:num>
  <w:num w:numId="17" w16cid:durableId="1366177197">
    <w:abstractNumId w:val="2"/>
  </w:num>
  <w:num w:numId="18" w16cid:durableId="1841695205">
    <w:abstractNumId w:val="28"/>
  </w:num>
  <w:num w:numId="19" w16cid:durableId="1054961858">
    <w:abstractNumId w:val="25"/>
  </w:num>
  <w:num w:numId="20" w16cid:durableId="1574774553">
    <w:abstractNumId w:val="13"/>
  </w:num>
  <w:num w:numId="21" w16cid:durableId="1328361159">
    <w:abstractNumId w:val="24"/>
  </w:num>
  <w:num w:numId="22" w16cid:durableId="2026201589">
    <w:abstractNumId w:val="22"/>
  </w:num>
  <w:num w:numId="23" w16cid:durableId="573660335">
    <w:abstractNumId w:val="32"/>
  </w:num>
  <w:num w:numId="24" w16cid:durableId="1512529174">
    <w:abstractNumId w:val="34"/>
  </w:num>
  <w:num w:numId="25" w16cid:durableId="478571873">
    <w:abstractNumId w:val="38"/>
  </w:num>
  <w:num w:numId="26" w16cid:durableId="644623484">
    <w:abstractNumId w:val="30"/>
  </w:num>
  <w:num w:numId="27" w16cid:durableId="992564739">
    <w:abstractNumId w:val="37"/>
  </w:num>
  <w:num w:numId="28" w16cid:durableId="1709798478">
    <w:abstractNumId w:val="39"/>
  </w:num>
  <w:num w:numId="29" w16cid:durableId="14042127">
    <w:abstractNumId w:val="17"/>
  </w:num>
  <w:num w:numId="30" w16cid:durableId="1719009595">
    <w:abstractNumId w:val="36"/>
  </w:num>
  <w:num w:numId="31" w16cid:durableId="628901018">
    <w:abstractNumId w:val="0"/>
  </w:num>
  <w:num w:numId="32" w16cid:durableId="917128693">
    <w:abstractNumId w:val="16"/>
  </w:num>
  <w:num w:numId="33" w16cid:durableId="688682818">
    <w:abstractNumId w:val="9"/>
  </w:num>
  <w:num w:numId="34" w16cid:durableId="714737063">
    <w:abstractNumId w:val="21"/>
  </w:num>
  <w:num w:numId="35" w16cid:durableId="1055204081">
    <w:abstractNumId w:val="4"/>
  </w:num>
  <w:num w:numId="36" w16cid:durableId="410735678">
    <w:abstractNumId w:val="15"/>
  </w:num>
  <w:num w:numId="37" w16cid:durableId="2048984075">
    <w:abstractNumId w:val="7"/>
  </w:num>
  <w:num w:numId="38" w16cid:durableId="482043473">
    <w:abstractNumId w:val="33"/>
  </w:num>
  <w:num w:numId="39" w16cid:durableId="163473163">
    <w:abstractNumId w:val="14"/>
  </w:num>
  <w:num w:numId="40" w16cid:durableId="14281138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8DA"/>
    <w:rsid w:val="00023E87"/>
    <w:rsid w:val="00031829"/>
    <w:rsid w:val="0004205F"/>
    <w:rsid w:val="000420EF"/>
    <w:rsid w:val="00045C28"/>
    <w:rsid w:val="00050FE1"/>
    <w:rsid w:val="000514FC"/>
    <w:rsid w:val="00054201"/>
    <w:rsid w:val="000807B0"/>
    <w:rsid w:val="00080DFF"/>
    <w:rsid w:val="00095FA4"/>
    <w:rsid w:val="000A283D"/>
    <w:rsid w:val="000A792D"/>
    <w:rsid w:val="000B04DD"/>
    <w:rsid w:val="000B5AB9"/>
    <w:rsid w:val="000C5A80"/>
    <w:rsid w:val="000C632C"/>
    <w:rsid w:val="000D5707"/>
    <w:rsid w:val="000F29D9"/>
    <w:rsid w:val="00101F2D"/>
    <w:rsid w:val="00103553"/>
    <w:rsid w:val="00111F69"/>
    <w:rsid w:val="00117B23"/>
    <w:rsid w:val="00127188"/>
    <w:rsid w:val="00130DE5"/>
    <w:rsid w:val="00160B24"/>
    <w:rsid w:val="0017358B"/>
    <w:rsid w:val="0017585A"/>
    <w:rsid w:val="00177895"/>
    <w:rsid w:val="00177F6E"/>
    <w:rsid w:val="00181B93"/>
    <w:rsid w:val="00190A96"/>
    <w:rsid w:val="00190FBA"/>
    <w:rsid w:val="00193F81"/>
    <w:rsid w:val="00195F21"/>
    <w:rsid w:val="00197163"/>
    <w:rsid w:val="001A2CFD"/>
    <w:rsid w:val="001A5E73"/>
    <w:rsid w:val="001A6CD7"/>
    <w:rsid w:val="001A7141"/>
    <w:rsid w:val="001B4ED7"/>
    <w:rsid w:val="001B5895"/>
    <w:rsid w:val="001C3D47"/>
    <w:rsid w:val="001C796B"/>
    <w:rsid w:val="001D1D0D"/>
    <w:rsid w:val="001F0E38"/>
    <w:rsid w:val="002012ED"/>
    <w:rsid w:val="00205920"/>
    <w:rsid w:val="00205D3C"/>
    <w:rsid w:val="002126A7"/>
    <w:rsid w:val="0021497D"/>
    <w:rsid w:val="002227A1"/>
    <w:rsid w:val="00223DFA"/>
    <w:rsid w:val="00230306"/>
    <w:rsid w:val="00230AF0"/>
    <w:rsid w:val="00231A96"/>
    <w:rsid w:val="0023379B"/>
    <w:rsid w:val="00241208"/>
    <w:rsid w:val="0024253A"/>
    <w:rsid w:val="002563ED"/>
    <w:rsid w:val="00260A2C"/>
    <w:rsid w:val="00261CBC"/>
    <w:rsid w:val="00267406"/>
    <w:rsid w:val="002952AB"/>
    <w:rsid w:val="00296885"/>
    <w:rsid w:val="002B4EC1"/>
    <w:rsid w:val="002B6BD7"/>
    <w:rsid w:val="002C29C0"/>
    <w:rsid w:val="002C42F5"/>
    <w:rsid w:val="002D0C07"/>
    <w:rsid w:val="002D1A78"/>
    <w:rsid w:val="002E22CB"/>
    <w:rsid w:val="002E45B9"/>
    <w:rsid w:val="002E6ED8"/>
    <w:rsid w:val="00303F0D"/>
    <w:rsid w:val="0031427E"/>
    <w:rsid w:val="00316AB9"/>
    <w:rsid w:val="00323208"/>
    <w:rsid w:val="003436B9"/>
    <w:rsid w:val="00362438"/>
    <w:rsid w:val="003628DA"/>
    <w:rsid w:val="00370642"/>
    <w:rsid w:val="00374753"/>
    <w:rsid w:val="00377B49"/>
    <w:rsid w:val="00384BB8"/>
    <w:rsid w:val="003A00B1"/>
    <w:rsid w:val="003A0712"/>
    <w:rsid w:val="003A09D0"/>
    <w:rsid w:val="003B469A"/>
    <w:rsid w:val="003F4DC9"/>
    <w:rsid w:val="003F7326"/>
    <w:rsid w:val="003F7733"/>
    <w:rsid w:val="00401024"/>
    <w:rsid w:val="00402828"/>
    <w:rsid w:val="00407704"/>
    <w:rsid w:val="00410FCC"/>
    <w:rsid w:val="00420EC3"/>
    <w:rsid w:val="004355D6"/>
    <w:rsid w:val="00470527"/>
    <w:rsid w:val="00472953"/>
    <w:rsid w:val="00472A39"/>
    <w:rsid w:val="00472D06"/>
    <w:rsid w:val="00482E33"/>
    <w:rsid w:val="0048539C"/>
    <w:rsid w:val="00485748"/>
    <w:rsid w:val="00485C80"/>
    <w:rsid w:val="00497C2A"/>
    <w:rsid w:val="004B454D"/>
    <w:rsid w:val="004F6B78"/>
    <w:rsid w:val="00527B30"/>
    <w:rsid w:val="00545656"/>
    <w:rsid w:val="00550577"/>
    <w:rsid w:val="00555189"/>
    <w:rsid w:val="00555EBA"/>
    <w:rsid w:val="0055675F"/>
    <w:rsid w:val="00563DA5"/>
    <w:rsid w:val="005665A0"/>
    <w:rsid w:val="0058316A"/>
    <w:rsid w:val="00590867"/>
    <w:rsid w:val="00592134"/>
    <w:rsid w:val="005B30CB"/>
    <w:rsid w:val="005C5D12"/>
    <w:rsid w:val="005D6709"/>
    <w:rsid w:val="005D7BD0"/>
    <w:rsid w:val="005E04CD"/>
    <w:rsid w:val="005F39E9"/>
    <w:rsid w:val="00600B86"/>
    <w:rsid w:val="00602E8C"/>
    <w:rsid w:val="00604589"/>
    <w:rsid w:val="00620701"/>
    <w:rsid w:val="0063096A"/>
    <w:rsid w:val="006349B6"/>
    <w:rsid w:val="00640F57"/>
    <w:rsid w:val="00643895"/>
    <w:rsid w:val="00670222"/>
    <w:rsid w:val="00695717"/>
    <w:rsid w:val="006972EA"/>
    <w:rsid w:val="006A0738"/>
    <w:rsid w:val="006B0C6A"/>
    <w:rsid w:val="006B206E"/>
    <w:rsid w:val="006B44D3"/>
    <w:rsid w:val="006B6B6F"/>
    <w:rsid w:val="006E4327"/>
    <w:rsid w:val="006E6CA5"/>
    <w:rsid w:val="006F7FEF"/>
    <w:rsid w:val="00700931"/>
    <w:rsid w:val="007269D2"/>
    <w:rsid w:val="00727881"/>
    <w:rsid w:val="00754DC9"/>
    <w:rsid w:val="00763394"/>
    <w:rsid w:val="00764A2D"/>
    <w:rsid w:val="00764F37"/>
    <w:rsid w:val="007658DB"/>
    <w:rsid w:val="00774830"/>
    <w:rsid w:val="007831D4"/>
    <w:rsid w:val="00783D4E"/>
    <w:rsid w:val="00787155"/>
    <w:rsid w:val="007939EE"/>
    <w:rsid w:val="007A0C5A"/>
    <w:rsid w:val="008003C1"/>
    <w:rsid w:val="008053DA"/>
    <w:rsid w:val="00806E1C"/>
    <w:rsid w:val="00824DF7"/>
    <w:rsid w:val="00864E93"/>
    <w:rsid w:val="008666D9"/>
    <w:rsid w:val="00866A1A"/>
    <w:rsid w:val="00877C98"/>
    <w:rsid w:val="0088153F"/>
    <w:rsid w:val="008A092F"/>
    <w:rsid w:val="008A10AB"/>
    <w:rsid w:val="008A4397"/>
    <w:rsid w:val="008B04FD"/>
    <w:rsid w:val="008B0CF4"/>
    <w:rsid w:val="008C2B9C"/>
    <w:rsid w:val="008C6564"/>
    <w:rsid w:val="008D3033"/>
    <w:rsid w:val="008E02B2"/>
    <w:rsid w:val="008E28E1"/>
    <w:rsid w:val="008E5664"/>
    <w:rsid w:val="008F579B"/>
    <w:rsid w:val="008F7AA0"/>
    <w:rsid w:val="00910865"/>
    <w:rsid w:val="00915D3E"/>
    <w:rsid w:val="00917224"/>
    <w:rsid w:val="00943083"/>
    <w:rsid w:val="009441EC"/>
    <w:rsid w:val="00975105"/>
    <w:rsid w:val="009824B1"/>
    <w:rsid w:val="00984383"/>
    <w:rsid w:val="00987F86"/>
    <w:rsid w:val="009B1AF0"/>
    <w:rsid w:val="009D4490"/>
    <w:rsid w:val="009F1116"/>
    <w:rsid w:val="00A15476"/>
    <w:rsid w:val="00A16449"/>
    <w:rsid w:val="00A24700"/>
    <w:rsid w:val="00A27BE4"/>
    <w:rsid w:val="00A30F0F"/>
    <w:rsid w:val="00A42590"/>
    <w:rsid w:val="00A45B62"/>
    <w:rsid w:val="00A529C6"/>
    <w:rsid w:val="00A54F08"/>
    <w:rsid w:val="00A57C52"/>
    <w:rsid w:val="00A82A00"/>
    <w:rsid w:val="00A83821"/>
    <w:rsid w:val="00A8412D"/>
    <w:rsid w:val="00AA1F36"/>
    <w:rsid w:val="00AB03F6"/>
    <w:rsid w:val="00AB0AC6"/>
    <w:rsid w:val="00AB1E6B"/>
    <w:rsid w:val="00AB4C4C"/>
    <w:rsid w:val="00AC5451"/>
    <w:rsid w:val="00AD4C81"/>
    <w:rsid w:val="00AE04B4"/>
    <w:rsid w:val="00AE1F68"/>
    <w:rsid w:val="00AE7249"/>
    <w:rsid w:val="00AF2C89"/>
    <w:rsid w:val="00AF49FF"/>
    <w:rsid w:val="00B223C7"/>
    <w:rsid w:val="00B47572"/>
    <w:rsid w:val="00B53FA1"/>
    <w:rsid w:val="00B574DE"/>
    <w:rsid w:val="00B804CF"/>
    <w:rsid w:val="00B82900"/>
    <w:rsid w:val="00B84656"/>
    <w:rsid w:val="00B969D5"/>
    <w:rsid w:val="00BB21B4"/>
    <w:rsid w:val="00BB2B91"/>
    <w:rsid w:val="00BB2D03"/>
    <w:rsid w:val="00BC6CFC"/>
    <w:rsid w:val="00BE0025"/>
    <w:rsid w:val="00BE096A"/>
    <w:rsid w:val="00BE33F0"/>
    <w:rsid w:val="00BE6508"/>
    <w:rsid w:val="00BF2960"/>
    <w:rsid w:val="00BF3DB5"/>
    <w:rsid w:val="00C003CF"/>
    <w:rsid w:val="00C06C3E"/>
    <w:rsid w:val="00C07C49"/>
    <w:rsid w:val="00C156DE"/>
    <w:rsid w:val="00C1648C"/>
    <w:rsid w:val="00C2082C"/>
    <w:rsid w:val="00C34C11"/>
    <w:rsid w:val="00C352E6"/>
    <w:rsid w:val="00C37163"/>
    <w:rsid w:val="00C42CDB"/>
    <w:rsid w:val="00C53874"/>
    <w:rsid w:val="00C57633"/>
    <w:rsid w:val="00C60452"/>
    <w:rsid w:val="00C70228"/>
    <w:rsid w:val="00C708B5"/>
    <w:rsid w:val="00CC204C"/>
    <w:rsid w:val="00CD3350"/>
    <w:rsid w:val="00CF3DC7"/>
    <w:rsid w:val="00D02E14"/>
    <w:rsid w:val="00D04495"/>
    <w:rsid w:val="00D12C2F"/>
    <w:rsid w:val="00D1579D"/>
    <w:rsid w:val="00D2667A"/>
    <w:rsid w:val="00D27485"/>
    <w:rsid w:val="00D276B2"/>
    <w:rsid w:val="00D304F3"/>
    <w:rsid w:val="00D44297"/>
    <w:rsid w:val="00D44D91"/>
    <w:rsid w:val="00D56464"/>
    <w:rsid w:val="00D64641"/>
    <w:rsid w:val="00D80E02"/>
    <w:rsid w:val="00DA1E50"/>
    <w:rsid w:val="00DA49AE"/>
    <w:rsid w:val="00DA6EA7"/>
    <w:rsid w:val="00DB29C6"/>
    <w:rsid w:val="00DB34E6"/>
    <w:rsid w:val="00DB683B"/>
    <w:rsid w:val="00DD1E81"/>
    <w:rsid w:val="00DE2542"/>
    <w:rsid w:val="00DE6FBF"/>
    <w:rsid w:val="00DF383E"/>
    <w:rsid w:val="00E0139E"/>
    <w:rsid w:val="00E045C1"/>
    <w:rsid w:val="00E0549B"/>
    <w:rsid w:val="00E23B8C"/>
    <w:rsid w:val="00E34C97"/>
    <w:rsid w:val="00E365C6"/>
    <w:rsid w:val="00E42753"/>
    <w:rsid w:val="00E5115C"/>
    <w:rsid w:val="00E52E07"/>
    <w:rsid w:val="00E53AE8"/>
    <w:rsid w:val="00E5553A"/>
    <w:rsid w:val="00E73EC6"/>
    <w:rsid w:val="00E74496"/>
    <w:rsid w:val="00E86EB6"/>
    <w:rsid w:val="00E90811"/>
    <w:rsid w:val="00E918A5"/>
    <w:rsid w:val="00E91D13"/>
    <w:rsid w:val="00E921C7"/>
    <w:rsid w:val="00E96B54"/>
    <w:rsid w:val="00EB7315"/>
    <w:rsid w:val="00EC1765"/>
    <w:rsid w:val="00EC1C8B"/>
    <w:rsid w:val="00EC33BD"/>
    <w:rsid w:val="00ED2A15"/>
    <w:rsid w:val="00EE4C74"/>
    <w:rsid w:val="00EF438B"/>
    <w:rsid w:val="00EF6437"/>
    <w:rsid w:val="00F0163B"/>
    <w:rsid w:val="00F12649"/>
    <w:rsid w:val="00F147E2"/>
    <w:rsid w:val="00F17F1E"/>
    <w:rsid w:val="00F21A1B"/>
    <w:rsid w:val="00F31B4C"/>
    <w:rsid w:val="00F3440E"/>
    <w:rsid w:val="00F5313F"/>
    <w:rsid w:val="00F54B32"/>
    <w:rsid w:val="00F72170"/>
    <w:rsid w:val="00F82344"/>
    <w:rsid w:val="00F8366A"/>
    <w:rsid w:val="00F92CBE"/>
    <w:rsid w:val="00F9322C"/>
    <w:rsid w:val="00F94A1D"/>
    <w:rsid w:val="00FC0415"/>
    <w:rsid w:val="00FC35EB"/>
    <w:rsid w:val="00FC5E11"/>
    <w:rsid w:val="00FC62B1"/>
    <w:rsid w:val="00FD48A7"/>
    <w:rsid w:val="00FD5D3C"/>
    <w:rsid w:val="00FE1F72"/>
    <w:rsid w:val="00FE5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3373F6E9"/>
  <w15:chartTrackingRefBased/>
  <w15:docId w15:val="{6C7805F5-0DB6-DE48-9097-DDD9F7E1E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437"/>
    <w:rPr>
      <w:rFonts w:ascii="Times New Roman" w:eastAsia="Times New Roman" w:hAnsi="Times New Roman" w:cs="Times New Roman"/>
      <w:kern w:val="0"/>
      <w:lang w:eastAsia="en-GB"/>
      <w14:ligatures w14:val="none"/>
    </w:rPr>
  </w:style>
  <w:style w:type="paragraph" w:styleId="Heading1">
    <w:name w:val="heading 1"/>
    <w:basedOn w:val="ListParagraph"/>
    <w:next w:val="Normal"/>
    <w:link w:val="Heading1Char"/>
    <w:uiPriority w:val="9"/>
    <w:qFormat/>
    <w:rsid w:val="00101F2D"/>
    <w:pPr>
      <w:numPr>
        <w:numId w:val="30"/>
      </w:numPr>
      <w:spacing w:line="360" w:lineRule="auto"/>
      <w:jc w:val="both"/>
      <w:outlineLvl w:val="0"/>
    </w:pPr>
    <w:rPr>
      <w:b/>
      <w:bCs/>
      <w:color w:val="7030A0"/>
      <w:sz w:val="40"/>
      <w:szCs w:val="40"/>
    </w:rPr>
  </w:style>
  <w:style w:type="paragraph" w:styleId="Heading2">
    <w:name w:val="heading 2"/>
    <w:basedOn w:val="Normal"/>
    <w:next w:val="Normal"/>
    <w:link w:val="Heading2Char"/>
    <w:uiPriority w:val="9"/>
    <w:unhideWhenUsed/>
    <w:qFormat/>
    <w:rsid w:val="00BB21B4"/>
    <w:pPr>
      <w:keepNext/>
      <w:keepLines/>
      <w:numPr>
        <w:ilvl w:val="1"/>
        <w:numId w:val="30"/>
      </w:numPr>
      <w:spacing w:before="160" w:after="80" w:line="360" w:lineRule="auto"/>
      <w:jc w:val="both"/>
      <w:outlineLvl w:val="1"/>
    </w:pPr>
    <w:rPr>
      <w:b/>
      <w:bCs/>
      <w:color w:val="7030A0"/>
      <w:sz w:val="32"/>
      <w:szCs w:val="32"/>
    </w:rPr>
  </w:style>
  <w:style w:type="paragraph" w:styleId="Heading3">
    <w:name w:val="heading 3"/>
    <w:basedOn w:val="Normal"/>
    <w:next w:val="Normal"/>
    <w:link w:val="Heading3Char"/>
    <w:uiPriority w:val="9"/>
    <w:unhideWhenUsed/>
    <w:qFormat/>
    <w:rsid w:val="003628DA"/>
    <w:pPr>
      <w:keepNext/>
      <w:keepLines/>
      <w:numPr>
        <w:ilvl w:val="2"/>
        <w:numId w:val="30"/>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28DA"/>
    <w:pPr>
      <w:keepNext/>
      <w:keepLines/>
      <w:numPr>
        <w:ilvl w:val="3"/>
        <w:numId w:val="30"/>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28DA"/>
    <w:pPr>
      <w:keepNext/>
      <w:keepLines/>
      <w:numPr>
        <w:ilvl w:val="4"/>
        <w:numId w:val="30"/>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28DA"/>
    <w:pPr>
      <w:keepNext/>
      <w:keepLines/>
      <w:numPr>
        <w:ilvl w:val="5"/>
        <w:numId w:val="30"/>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8DA"/>
    <w:pPr>
      <w:keepNext/>
      <w:keepLines/>
      <w:numPr>
        <w:ilvl w:val="6"/>
        <w:numId w:val="30"/>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8DA"/>
    <w:pPr>
      <w:keepNext/>
      <w:keepLines/>
      <w:numPr>
        <w:ilvl w:val="7"/>
        <w:numId w:val="30"/>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8DA"/>
    <w:pPr>
      <w:keepNext/>
      <w:keepLines/>
      <w:numPr>
        <w:ilvl w:val="8"/>
        <w:numId w:val="30"/>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F2D"/>
    <w:rPr>
      <w:rFonts w:ascii="Times New Roman" w:eastAsia="Times New Roman" w:hAnsi="Times New Roman" w:cs="Times New Roman"/>
      <w:b/>
      <w:bCs/>
      <w:color w:val="7030A0"/>
      <w:kern w:val="0"/>
      <w:sz w:val="40"/>
      <w:szCs w:val="40"/>
      <w:lang w:eastAsia="en-GB"/>
      <w14:ligatures w14:val="none"/>
    </w:rPr>
  </w:style>
  <w:style w:type="character" w:customStyle="1" w:styleId="Heading2Char">
    <w:name w:val="Heading 2 Char"/>
    <w:basedOn w:val="DefaultParagraphFont"/>
    <w:link w:val="Heading2"/>
    <w:uiPriority w:val="9"/>
    <w:rsid w:val="00BB21B4"/>
    <w:rPr>
      <w:rFonts w:ascii="Times New Roman" w:eastAsia="Times New Roman" w:hAnsi="Times New Roman" w:cs="Times New Roman"/>
      <w:b/>
      <w:bCs/>
      <w:color w:val="7030A0"/>
      <w:kern w:val="0"/>
      <w:sz w:val="32"/>
      <w:szCs w:val="32"/>
      <w:lang w:eastAsia="en-GB"/>
      <w14:ligatures w14:val="none"/>
    </w:rPr>
  </w:style>
  <w:style w:type="character" w:customStyle="1" w:styleId="Heading3Char">
    <w:name w:val="Heading 3 Char"/>
    <w:basedOn w:val="DefaultParagraphFont"/>
    <w:link w:val="Heading3"/>
    <w:uiPriority w:val="9"/>
    <w:rsid w:val="003628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28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28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28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28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28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28DA"/>
    <w:rPr>
      <w:rFonts w:eastAsiaTheme="majorEastAsia" w:cstheme="majorBidi"/>
      <w:color w:val="272727" w:themeColor="text1" w:themeTint="D8"/>
    </w:rPr>
  </w:style>
  <w:style w:type="paragraph" w:styleId="Title">
    <w:name w:val="Title"/>
    <w:basedOn w:val="Normal"/>
    <w:next w:val="Normal"/>
    <w:link w:val="TitleChar"/>
    <w:uiPriority w:val="10"/>
    <w:qFormat/>
    <w:rsid w:val="003628D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28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28D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28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8D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628DA"/>
    <w:rPr>
      <w:i/>
      <w:iCs/>
      <w:color w:val="404040" w:themeColor="text1" w:themeTint="BF"/>
    </w:rPr>
  </w:style>
  <w:style w:type="paragraph" w:styleId="ListParagraph">
    <w:name w:val="List Paragraph"/>
    <w:basedOn w:val="Normal"/>
    <w:uiPriority w:val="34"/>
    <w:qFormat/>
    <w:rsid w:val="003628DA"/>
    <w:pPr>
      <w:ind w:left="720"/>
      <w:contextualSpacing/>
    </w:pPr>
  </w:style>
  <w:style w:type="character" w:styleId="IntenseEmphasis">
    <w:name w:val="Intense Emphasis"/>
    <w:basedOn w:val="DefaultParagraphFont"/>
    <w:uiPriority w:val="21"/>
    <w:qFormat/>
    <w:rsid w:val="003628DA"/>
    <w:rPr>
      <w:i/>
      <w:iCs/>
      <w:color w:val="0F4761" w:themeColor="accent1" w:themeShade="BF"/>
    </w:rPr>
  </w:style>
  <w:style w:type="paragraph" w:styleId="IntenseQuote">
    <w:name w:val="Intense Quote"/>
    <w:basedOn w:val="Normal"/>
    <w:next w:val="Normal"/>
    <w:link w:val="IntenseQuoteChar"/>
    <w:uiPriority w:val="30"/>
    <w:qFormat/>
    <w:rsid w:val="003628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28DA"/>
    <w:rPr>
      <w:i/>
      <w:iCs/>
      <w:color w:val="0F4761" w:themeColor="accent1" w:themeShade="BF"/>
    </w:rPr>
  </w:style>
  <w:style w:type="character" w:styleId="IntenseReference">
    <w:name w:val="Intense Reference"/>
    <w:basedOn w:val="DefaultParagraphFont"/>
    <w:uiPriority w:val="32"/>
    <w:qFormat/>
    <w:rsid w:val="003628DA"/>
    <w:rPr>
      <w:b/>
      <w:bCs/>
      <w:smallCaps/>
      <w:color w:val="0F4761" w:themeColor="accent1" w:themeShade="BF"/>
      <w:spacing w:val="5"/>
    </w:rPr>
  </w:style>
  <w:style w:type="paragraph" w:styleId="TOCHeading">
    <w:name w:val="TOC Heading"/>
    <w:basedOn w:val="Heading1"/>
    <w:next w:val="Normal"/>
    <w:uiPriority w:val="39"/>
    <w:unhideWhenUsed/>
    <w:qFormat/>
    <w:rsid w:val="000C632C"/>
    <w:pPr>
      <w:spacing w:before="480" w:line="276" w:lineRule="auto"/>
      <w:outlineLvl w:val="9"/>
    </w:pPr>
    <w:rPr>
      <w:b w:val="0"/>
      <w:bCs w:val="0"/>
      <w:sz w:val="28"/>
      <w:szCs w:val="28"/>
      <w:lang w:val="en-US"/>
    </w:rPr>
  </w:style>
  <w:style w:type="paragraph" w:styleId="TOC1">
    <w:name w:val="toc 1"/>
    <w:basedOn w:val="Normal"/>
    <w:next w:val="Normal"/>
    <w:autoRedefine/>
    <w:uiPriority w:val="39"/>
    <w:unhideWhenUsed/>
    <w:rsid w:val="000C632C"/>
    <w:pPr>
      <w:spacing w:before="120"/>
    </w:pPr>
    <w:rPr>
      <w:b/>
      <w:bCs/>
      <w:i/>
      <w:iCs/>
    </w:rPr>
  </w:style>
  <w:style w:type="paragraph" w:styleId="TOC2">
    <w:name w:val="toc 2"/>
    <w:basedOn w:val="Normal"/>
    <w:next w:val="Normal"/>
    <w:autoRedefine/>
    <w:uiPriority w:val="39"/>
    <w:unhideWhenUsed/>
    <w:rsid w:val="000C632C"/>
    <w:pPr>
      <w:spacing w:before="120"/>
      <w:ind w:left="240"/>
    </w:pPr>
    <w:rPr>
      <w:b/>
      <w:bCs/>
      <w:sz w:val="22"/>
      <w:szCs w:val="22"/>
    </w:rPr>
  </w:style>
  <w:style w:type="character" w:styleId="Hyperlink">
    <w:name w:val="Hyperlink"/>
    <w:basedOn w:val="DefaultParagraphFont"/>
    <w:uiPriority w:val="99"/>
    <w:unhideWhenUsed/>
    <w:rsid w:val="000C632C"/>
    <w:rPr>
      <w:color w:val="467886" w:themeColor="hyperlink"/>
      <w:u w:val="single"/>
    </w:rPr>
  </w:style>
  <w:style w:type="paragraph" w:styleId="TOC3">
    <w:name w:val="toc 3"/>
    <w:basedOn w:val="Normal"/>
    <w:next w:val="Normal"/>
    <w:autoRedefine/>
    <w:uiPriority w:val="39"/>
    <w:semiHidden/>
    <w:unhideWhenUsed/>
    <w:rsid w:val="000C632C"/>
    <w:pPr>
      <w:ind w:left="480"/>
    </w:pPr>
    <w:rPr>
      <w:sz w:val="20"/>
      <w:szCs w:val="20"/>
    </w:rPr>
  </w:style>
  <w:style w:type="paragraph" w:styleId="TOC4">
    <w:name w:val="toc 4"/>
    <w:basedOn w:val="Normal"/>
    <w:next w:val="Normal"/>
    <w:autoRedefine/>
    <w:uiPriority w:val="39"/>
    <w:semiHidden/>
    <w:unhideWhenUsed/>
    <w:rsid w:val="000C632C"/>
    <w:pPr>
      <w:ind w:left="720"/>
    </w:pPr>
    <w:rPr>
      <w:sz w:val="20"/>
      <w:szCs w:val="20"/>
    </w:rPr>
  </w:style>
  <w:style w:type="paragraph" w:styleId="TOC5">
    <w:name w:val="toc 5"/>
    <w:basedOn w:val="Normal"/>
    <w:next w:val="Normal"/>
    <w:autoRedefine/>
    <w:uiPriority w:val="39"/>
    <w:semiHidden/>
    <w:unhideWhenUsed/>
    <w:rsid w:val="000C632C"/>
    <w:pPr>
      <w:ind w:left="960"/>
    </w:pPr>
    <w:rPr>
      <w:sz w:val="20"/>
      <w:szCs w:val="20"/>
    </w:rPr>
  </w:style>
  <w:style w:type="paragraph" w:styleId="TOC6">
    <w:name w:val="toc 6"/>
    <w:basedOn w:val="Normal"/>
    <w:next w:val="Normal"/>
    <w:autoRedefine/>
    <w:uiPriority w:val="39"/>
    <w:semiHidden/>
    <w:unhideWhenUsed/>
    <w:rsid w:val="000C632C"/>
    <w:pPr>
      <w:ind w:left="1200"/>
    </w:pPr>
    <w:rPr>
      <w:sz w:val="20"/>
      <w:szCs w:val="20"/>
    </w:rPr>
  </w:style>
  <w:style w:type="paragraph" w:styleId="TOC7">
    <w:name w:val="toc 7"/>
    <w:basedOn w:val="Normal"/>
    <w:next w:val="Normal"/>
    <w:autoRedefine/>
    <w:uiPriority w:val="39"/>
    <w:semiHidden/>
    <w:unhideWhenUsed/>
    <w:rsid w:val="000C632C"/>
    <w:pPr>
      <w:ind w:left="1440"/>
    </w:pPr>
    <w:rPr>
      <w:sz w:val="20"/>
      <w:szCs w:val="20"/>
    </w:rPr>
  </w:style>
  <w:style w:type="paragraph" w:styleId="TOC8">
    <w:name w:val="toc 8"/>
    <w:basedOn w:val="Normal"/>
    <w:next w:val="Normal"/>
    <w:autoRedefine/>
    <w:uiPriority w:val="39"/>
    <w:semiHidden/>
    <w:unhideWhenUsed/>
    <w:rsid w:val="000C632C"/>
    <w:pPr>
      <w:ind w:left="1680"/>
    </w:pPr>
    <w:rPr>
      <w:sz w:val="20"/>
      <w:szCs w:val="20"/>
    </w:rPr>
  </w:style>
  <w:style w:type="paragraph" w:styleId="TOC9">
    <w:name w:val="toc 9"/>
    <w:basedOn w:val="Normal"/>
    <w:next w:val="Normal"/>
    <w:autoRedefine/>
    <w:uiPriority w:val="39"/>
    <w:semiHidden/>
    <w:unhideWhenUsed/>
    <w:rsid w:val="000C632C"/>
    <w:pPr>
      <w:ind w:left="1920"/>
    </w:pPr>
    <w:rPr>
      <w:sz w:val="20"/>
      <w:szCs w:val="20"/>
    </w:rPr>
  </w:style>
  <w:style w:type="paragraph" w:styleId="Revision">
    <w:name w:val="Revision"/>
    <w:hidden/>
    <w:uiPriority w:val="99"/>
    <w:semiHidden/>
    <w:rsid w:val="000C632C"/>
  </w:style>
  <w:style w:type="paragraph" w:styleId="NoSpacing">
    <w:name w:val="No Spacing"/>
    <w:link w:val="NoSpacingChar"/>
    <w:uiPriority w:val="1"/>
    <w:qFormat/>
    <w:rsid w:val="0023379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3379B"/>
    <w:rPr>
      <w:rFonts w:eastAsiaTheme="minorEastAsia"/>
      <w:kern w:val="0"/>
      <w:sz w:val="22"/>
      <w:szCs w:val="22"/>
      <w:lang w:val="en-US" w:eastAsia="zh-CN"/>
      <w14:ligatures w14:val="none"/>
    </w:rPr>
  </w:style>
  <w:style w:type="table" w:styleId="TableGrid">
    <w:name w:val="Table Grid"/>
    <w:basedOn w:val="TableNormal"/>
    <w:uiPriority w:val="39"/>
    <w:rsid w:val="00472A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472A39"/>
    <w:rPr>
      <w:rFonts w:ascii="Times" w:hAnsi="Times"/>
      <w:color w:val="000000"/>
      <w:sz w:val="18"/>
      <w:szCs w:val="18"/>
    </w:rPr>
  </w:style>
  <w:style w:type="character" w:customStyle="1" w:styleId="apple-converted-space">
    <w:name w:val="apple-converted-space"/>
    <w:basedOn w:val="DefaultParagraphFont"/>
    <w:rsid w:val="00472A39"/>
  </w:style>
  <w:style w:type="character" w:customStyle="1" w:styleId="relative">
    <w:name w:val="relative"/>
    <w:basedOn w:val="DefaultParagraphFont"/>
    <w:rsid w:val="00472953"/>
  </w:style>
  <w:style w:type="paragraph" w:styleId="NormalWeb">
    <w:name w:val="Normal (Web)"/>
    <w:basedOn w:val="Normal"/>
    <w:uiPriority w:val="99"/>
    <w:unhideWhenUsed/>
    <w:rsid w:val="00323208"/>
    <w:pPr>
      <w:spacing w:before="100" w:beforeAutospacing="1" w:after="100" w:afterAutospacing="1"/>
    </w:pPr>
  </w:style>
  <w:style w:type="character" w:styleId="Emphasis">
    <w:name w:val="Emphasis"/>
    <w:basedOn w:val="DefaultParagraphFont"/>
    <w:uiPriority w:val="20"/>
    <w:qFormat/>
    <w:rsid w:val="00323208"/>
    <w:rPr>
      <w:i/>
      <w:iCs/>
    </w:rPr>
  </w:style>
  <w:style w:type="paragraph" w:customStyle="1" w:styleId="font-claude-response-body">
    <w:name w:val="font-claude-response-body"/>
    <w:basedOn w:val="Normal"/>
    <w:rsid w:val="00BE0025"/>
    <w:pPr>
      <w:spacing w:before="100" w:beforeAutospacing="1" w:after="100" w:afterAutospacing="1"/>
    </w:pPr>
  </w:style>
  <w:style w:type="character" w:styleId="Strong">
    <w:name w:val="Strong"/>
    <w:basedOn w:val="DefaultParagraphFont"/>
    <w:uiPriority w:val="22"/>
    <w:qFormat/>
    <w:rsid w:val="00BE0025"/>
    <w:rPr>
      <w:b/>
      <w:bCs/>
    </w:rPr>
  </w:style>
  <w:style w:type="paragraph" w:customStyle="1" w:styleId="is-empty">
    <w:name w:val="is-empty"/>
    <w:basedOn w:val="Normal"/>
    <w:rsid w:val="00BE0025"/>
    <w:pPr>
      <w:spacing w:before="100" w:beforeAutospacing="1" w:after="100" w:afterAutospacing="1"/>
    </w:pPr>
  </w:style>
  <w:style w:type="paragraph" w:styleId="Footer">
    <w:name w:val="footer"/>
    <w:basedOn w:val="Normal"/>
    <w:link w:val="FooterChar"/>
    <w:uiPriority w:val="99"/>
    <w:unhideWhenUsed/>
    <w:rsid w:val="00BF2960"/>
    <w:pPr>
      <w:tabs>
        <w:tab w:val="center" w:pos="4513"/>
        <w:tab w:val="right" w:pos="9026"/>
      </w:tabs>
    </w:pPr>
  </w:style>
  <w:style w:type="character" w:customStyle="1" w:styleId="FooterChar">
    <w:name w:val="Footer Char"/>
    <w:basedOn w:val="DefaultParagraphFont"/>
    <w:link w:val="Footer"/>
    <w:uiPriority w:val="99"/>
    <w:rsid w:val="00BF2960"/>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BF2960"/>
  </w:style>
  <w:style w:type="character" w:styleId="FollowedHyperlink">
    <w:name w:val="FollowedHyperlink"/>
    <w:basedOn w:val="DefaultParagraphFont"/>
    <w:uiPriority w:val="99"/>
    <w:semiHidden/>
    <w:unhideWhenUsed/>
    <w:rsid w:val="007939EE"/>
    <w:rPr>
      <w:color w:val="96607D" w:themeColor="followedHyperlink"/>
      <w:u w:val="single"/>
    </w:rPr>
  </w:style>
  <w:style w:type="numbering" w:customStyle="1" w:styleId="CurrentList1">
    <w:name w:val="Current List1"/>
    <w:uiPriority w:val="99"/>
    <w:rsid w:val="00A529C6"/>
    <w:pPr>
      <w:numPr>
        <w:numId w:val="33"/>
      </w:numPr>
    </w:pPr>
  </w:style>
  <w:style w:type="character" w:styleId="UnresolvedMention">
    <w:name w:val="Unresolved Mention"/>
    <w:basedOn w:val="DefaultParagraphFont"/>
    <w:uiPriority w:val="99"/>
    <w:semiHidden/>
    <w:unhideWhenUsed/>
    <w:rsid w:val="00410F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049732313519710" TargetMode="External"/><Relationship Id="rId18" Type="http://schemas.openxmlformats.org/officeDocument/2006/relationships/hyperlink" Target="https://doi.org/10.1177/1461444810389751" TargetMode="External"/><Relationship Id="rId26" Type="http://schemas.openxmlformats.org/officeDocument/2006/relationships/hyperlink" Target="https://www.naeyc.org/sites/default/files/globally-shared/downloads/PDFs/resources/position-statements/ps_technology.pdf" TargetMode="External"/><Relationship Id="rId39" Type="http://schemas.openxmlformats.org/officeDocument/2006/relationships/hyperlink" Target="https://doi.org/10.1177/1473325010368316" TargetMode="External"/><Relationship Id="rId21" Type="http://schemas.openxmlformats.org/officeDocument/2006/relationships/hyperlink" Target="https://doi.org/10.1001/jamapediatrics.2019.3869" TargetMode="External"/><Relationship Id="rId34" Type="http://schemas.openxmlformats.org/officeDocument/2006/relationships/hyperlink" Target="https://doi.org/10.4324/9780203863619" TargetMode="External"/><Relationship Id="rId42" Type="http://schemas.openxmlformats.org/officeDocument/2006/relationships/hyperlink" Target="https://www.gov.wales/well-being-future-generations-act-essentials-html" TargetMode="External"/><Relationship Id="rId47" Type="http://schemas.openxmlformats.org/officeDocument/2006/relationships/package" Target="embeddings/Microsoft_Word_Document1.docx"/><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dr.2010.03.003" TargetMode="External"/><Relationship Id="rId29" Type="http://schemas.openxmlformats.org/officeDocument/2006/relationships/hyperlink" Target="https://doi.org/10.1080/13645570701401305" TargetMode="External"/><Relationship Id="rId11" Type="http://schemas.openxmlformats.org/officeDocument/2006/relationships/hyperlink" Target="https://doi.org/10.1353/mpq.0.0038" TargetMode="External"/><Relationship Id="rId24" Type="http://schemas.openxmlformats.org/officeDocument/2006/relationships/hyperlink" Target="https://doi.org/10.1080/09585192.2013.816863" TargetMode="External"/><Relationship Id="rId32" Type="http://schemas.openxmlformats.org/officeDocument/2006/relationships/hyperlink" Target="https://doi.org/10.1016/j.ijcci.2019.100144" TargetMode="External"/><Relationship Id="rId37" Type="http://schemas.openxmlformats.org/officeDocument/2006/relationships/hyperlink" Target="https://doi.org/10.1177/1049732307307031" TargetMode="External"/><Relationship Id="rId40" Type="http://schemas.openxmlformats.org/officeDocument/2006/relationships/hyperlink" Target="https://doi.org/10.1177/1461444813487959" TargetMode="External"/><Relationship Id="rId45" Type="http://schemas.openxmlformats.org/officeDocument/2006/relationships/image" Target="media/image5.emf"/><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doi.org/10.1080/01411920902989227" TargetMode="External"/><Relationship Id="rId31" Type="http://schemas.openxmlformats.org/officeDocument/2006/relationships/hyperlink" Target="https://doi.org/10.1007/s10488-013-0528-y" TargetMode="External"/><Relationship Id="rId44" Type="http://schemas.openxmlformats.org/officeDocument/2006/relationships/package" Target="embeddings/Microsoft_Word_Document.docx"/><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2159676X.2019.1628806" TargetMode="External"/><Relationship Id="rId22" Type="http://schemas.openxmlformats.org/officeDocument/2006/relationships/hyperlink" Target="https://doi.org/10.1111/jan.13031" TargetMode="External"/><Relationship Id="rId27" Type="http://schemas.openxmlformats.org/officeDocument/2006/relationships/hyperlink" Target="https://doi.org/10.1016/j.compedu.2012.04.016" TargetMode="External"/><Relationship Id="rId30" Type="http://schemas.openxmlformats.org/officeDocument/2006/relationships/hyperlink" Target="https://doi.org/10.1080/08832323.2018.1545629" TargetMode="External"/><Relationship Id="rId35" Type="http://schemas.openxmlformats.org/officeDocument/2006/relationships/hyperlink" Target="https://doi.org/10.1542/peds.2014-2251" TargetMode="External"/><Relationship Id="rId43" Type="http://schemas.openxmlformats.org/officeDocument/2006/relationships/image" Target="media/image4.emf"/><Relationship Id="rId48" Type="http://schemas.openxmlformats.org/officeDocument/2006/relationships/image" Target="media/image7.emf"/><Relationship Id="rId8" Type="http://schemas.openxmlformats.org/officeDocument/2006/relationships/image" Target="media/image1.pn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hyperlink" Target="https://doi.org/10.1111/j.1365-2729.2010.00360.x" TargetMode="External"/><Relationship Id="rId17" Type="http://schemas.openxmlformats.org/officeDocument/2006/relationships/hyperlink" Target="https://doi.org/10.1080/09585192.2015.1024157" TargetMode="External"/><Relationship Id="rId25" Type="http://schemas.openxmlformats.org/officeDocument/2006/relationships/hyperlink" Target="https://doi.org/10.1001/jamapediatrics.2018.5056" TargetMode="External"/><Relationship Id="rId33" Type="http://schemas.openxmlformats.org/officeDocument/2006/relationships/hyperlink" Target="https://doi.org/10.5465/amp.24.1.34" TargetMode="External"/><Relationship Id="rId38" Type="http://schemas.openxmlformats.org/officeDocument/2006/relationships/hyperlink" Target="https://joanganzcooneycenter.org/wp-content/uploads/2011/12/jgcc_coviewing_desktop.pdf" TargetMode="External"/><Relationship Id="rId46" Type="http://schemas.openxmlformats.org/officeDocument/2006/relationships/image" Target="media/image6.emf"/><Relationship Id="rId20" Type="http://schemas.openxmlformats.org/officeDocument/2006/relationships/hyperlink" Target="https://doi.org/10.1177/1529100615569721" TargetMode="External"/><Relationship Id="rId41" Type="http://schemas.openxmlformats.org/officeDocument/2006/relationships/hyperlink" Target="https://doi.org/10.1186/s12874-018-0594-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542/peds.113.4.708" TargetMode="External"/><Relationship Id="rId23" Type="http://schemas.openxmlformats.org/officeDocument/2006/relationships/hyperlink" Target="https://doi.org/10.1016/j.tate.2017.06.001" TargetMode="External"/><Relationship Id="rId28" Type="http://schemas.openxmlformats.org/officeDocument/2006/relationships/hyperlink" Target="https://doi.org/10.1177/1609406917733847" TargetMode="External"/><Relationship Id="rId36" Type="http://schemas.openxmlformats.org/officeDocument/2006/relationships/hyperlink" Target="https://doi.org/10.1111/1467-8551.12182" TargetMode="External"/><Relationship Id="rId49" Type="http://schemas.openxmlformats.org/officeDocument/2006/relationships/package" Target="embeddings/Microsoft_Word_Document2.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C7DE6B-C834-8748-881E-274EC4C56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455</TotalTime>
  <Pages>51</Pages>
  <Words>16919</Words>
  <Characters>96443</Characters>
  <Application>Microsoft Office Word</Application>
  <DocSecurity>0</DocSecurity>
  <Lines>803</Lines>
  <Paragraphs>226</Paragraphs>
  <ScaleCrop>false</ScaleCrop>
  <HeadingPairs>
    <vt:vector size="2" baseType="variant">
      <vt:variant>
        <vt:lpstr>Title</vt:lpstr>
      </vt:variant>
      <vt:variant>
        <vt:i4>1</vt:i4>
      </vt:variant>
    </vt:vector>
  </HeadingPairs>
  <TitlesOfParts>
    <vt:vector size="1" baseType="lpstr">
      <vt:lpstr>Analysing the Effects of Technology on Tomorrow’s Workforce</vt:lpstr>
    </vt:vector>
  </TitlesOfParts>
  <Company/>
  <LinksUpToDate>false</LinksUpToDate>
  <CharactersWithSpaces>113136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the Effects of Technology on Tomorrow’s Workforce</dc:title>
  <dc:subject/>
  <dc:creator>Taylor-Jayne Rowe</dc:creator>
  <cp:keywords/>
  <dc:description/>
  <cp:lastModifiedBy>Taylor-Jayne Rowe (2507302)</cp:lastModifiedBy>
  <cp:revision>314</cp:revision>
  <dcterms:created xsi:type="dcterms:W3CDTF">2025-09-30T10:57:00Z</dcterms:created>
  <dcterms:modified xsi:type="dcterms:W3CDTF">2026-04-19T09:06:00Z</dcterms:modified>
</cp:coreProperties>
</file>