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89423" w14:textId="1E725A4A" w:rsidR="00423093" w:rsidRPr="002A3382" w:rsidRDefault="00AC6735" w:rsidP="002A3382">
      <w:pPr>
        <w:pStyle w:val="Heading1"/>
        <w:spacing w:line="360" w:lineRule="auto"/>
        <w:rPr>
          <w:rStyle w:val="Emphasis"/>
        </w:rPr>
      </w:pPr>
      <w:r w:rsidRPr="002A3382">
        <w:rPr>
          <w:rStyle w:val="Emphasis"/>
        </w:rPr>
        <w:t>“Discuss and critically evaluate project management processes and assess their suitability in the context of the workplace”</w:t>
      </w:r>
    </w:p>
    <w:p w14:paraId="1755D3B1" w14:textId="250E7D45" w:rsidR="00846695" w:rsidRPr="002A3382" w:rsidRDefault="00522BC5" w:rsidP="002A3382">
      <w:pPr>
        <w:pStyle w:val="Heading1"/>
        <w:spacing w:line="360" w:lineRule="auto"/>
      </w:pPr>
      <w:r w:rsidRPr="002A3382">
        <w:t>Introduction</w:t>
      </w:r>
    </w:p>
    <w:p w14:paraId="199357DB" w14:textId="11CD06AF" w:rsidR="00522BC5" w:rsidRPr="00D44299" w:rsidRDefault="004733B4" w:rsidP="002A3382">
      <w:pPr>
        <w:spacing w:line="360" w:lineRule="auto"/>
        <w:jc w:val="both"/>
        <w:rPr>
          <w:rFonts w:ascii="Arial" w:hAnsi="Arial" w:cs="Arial"/>
        </w:rPr>
      </w:pPr>
      <w:r w:rsidRPr="00D44299">
        <w:rPr>
          <w:rFonts w:ascii="Arial" w:hAnsi="Arial" w:cs="Arial"/>
        </w:rPr>
        <w:t xml:space="preserve">Wysocki indicates how the project environment has changed, such that ‘the contemporary project environment is characterized by high speed, high change, lower costs, complexity, uncertainty, and a host of other factors’ (Wysocki, 2019, p.20). </w:t>
      </w:r>
      <w:r w:rsidR="00EE5A43" w:rsidRPr="00D44299">
        <w:rPr>
          <w:rFonts w:ascii="Arial" w:hAnsi="Arial" w:cs="Arial"/>
        </w:rPr>
        <w:t>Consequently, in this essay</w:t>
      </w:r>
      <w:r w:rsidR="00522BC5" w:rsidRPr="00D44299">
        <w:rPr>
          <w:rFonts w:ascii="Arial" w:hAnsi="Arial" w:cs="Arial"/>
        </w:rPr>
        <w:t xml:space="preserve"> I will explore a variety of project management approaches and assess their suitability in the context of my role and workplace</w:t>
      </w:r>
      <w:r w:rsidR="003613BE" w:rsidRPr="00D44299">
        <w:rPr>
          <w:rFonts w:ascii="Arial" w:hAnsi="Arial" w:cs="Arial"/>
        </w:rPr>
        <w:t xml:space="preserve">, whilst also using the above factors to help </w:t>
      </w:r>
      <w:r w:rsidR="009E5977" w:rsidRPr="00D44299">
        <w:rPr>
          <w:rFonts w:ascii="Arial" w:hAnsi="Arial" w:cs="Arial"/>
        </w:rPr>
        <w:t>remind me of the pressures in the project environment of today</w:t>
      </w:r>
      <w:r w:rsidR="00522BC5" w:rsidRPr="00D44299">
        <w:rPr>
          <w:rFonts w:ascii="Arial" w:hAnsi="Arial" w:cs="Arial"/>
        </w:rPr>
        <w:t xml:space="preserve">. </w:t>
      </w:r>
    </w:p>
    <w:p w14:paraId="3645BAA0" w14:textId="44AF6F05" w:rsidR="00EB23B0" w:rsidRPr="00D44299" w:rsidRDefault="00522BC5" w:rsidP="008B48BB">
      <w:pPr>
        <w:spacing w:line="360" w:lineRule="auto"/>
        <w:jc w:val="both"/>
        <w:rPr>
          <w:rFonts w:ascii="Arial" w:hAnsi="Arial" w:cs="Arial"/>
        </w:rPr>
      </w:pPr>
      <w:r w:rsidRPr="00D44299">
        <w:rPr>
          <w:rFonts w:ascii="Arial" w:hAnsi="Arial" w:cs="Arial"/>
        </w:rPr>
        <w:t xml:space="preserve">Specifically, I will focus on </w:t>
      </w:r>
      <w:r w:rsidR="00686941" w:rsidRPr="00D44299">
        <w:rPr>
          <w:rFonts w:ascii="Arial" w:hAnsi="Arial" w:cs="Arial"/>
        </w:rPr>
        <w:t xml:space="preserve">a number of </w:t>
      </w:r>
      <w:r w:rsidR="001A7BF1" w:rsidRPr="00D44299">
        <w:rPr>
          <w:rFonts w:ascii="Arial" w:hAnsi="Arial" w:cs="Arial"/>
        </w:rPr>
        <w:t xml:space="preserve">key </w:t>
      </w:r>
      <w:r w:rsidR="00686941" w:rsidRPr="00D44299">
        <w:rPr>
          <w:rFonts w:ascii="Arial" w:hAnsi="Arial" w:cs="Arial"/>
        </w:rPr>
        <w:t xml:space="preserve">project management </w:t>
      </w:r>
      <w:r w:rsidR="001A7BF1" w:rsidRPr="00D44299">
        <w:rPr>
          <w:rFonts w:ascii="Arial" w:hAnsi="Arial" w:cs="Arial"/>
        </w:rPr>
        <w:t>methodologies and consider which, if any, could be applied to future projects within my specific context</w:t>
      </w:r>
      <w:r w:rsidR="007F5204" w:rsidRPr="00D44299">
        <w:rPr>
          <w:rFonts w:ascii="Arial" w:hAnsi="Arial" w:cs="Arial"/>
        </w:rPr>
        <w:t>, by taking the most suitable</w:t>
      </w:r>
      <w:r w:rsidR="007F5204" w:rsidRPr="00D44299">
        <w:rPr>
          <w:rFonts w:ascii="Arial" w:hAnsi="Arial" w:cs="Arial"/>
          <w:b/>
          <w:bCs/>
        </w:rPr>
        <w:t xml:space="preserve"> </w:t>
      </w:r>
      <w:r w:rsidR="007F5204" w:rsidRPr="00D44299">
        <w:rPr>
          <w:rFonts w:ascii="Arial" w:hAnsi="Arial" w:cs="Arial"/>
        </w:rPr>
        <w:t>elements of each approach and combining these to</w:t>
      </w:r>
      <w:r w:rsidR="00EA57C7" w:rsidRPr="00D44299">
        <w:rPr>
          <w:rFonts w:ascii="Arial" w:hAnsi="Arial" w:cs="Arial"/>
        </w:rPr>
        <w:t xml:space="preserve"> propose</w:t>
      </w:r>
      <w:r w:rsidR="00EA57C7" w:rsidRPr="00D44299">
        <w:rPr>
          <w:rFonts w:ascii="Arial" w:hAnsi="Arial" w:cs="Arial"/>
          <w:b/>
          <w:bCs/>
        </w:rPr>
        <w:t xml:space="preserve"> </w:t>
      </w:r>
      <w:r w:rsidR="00EA57C7" w:rsidRPr="00D44299">
        <w:rPr>
          <w:rFonts w:ascii="Arial" w:hAnsi="Arial" w:cs="Arial"/>
        </w:rPr>
        <w:t xml:space="preserve">a bespoke version </w:t>
      </w:r>
      <w:r w:rsidR="00E63902" w:rsidRPr="00D44299">
        <w:rPr>
          <w:rFonts w:ascii="Arial" w:hAnsi="Arial" w:cs="Arial"/>
        </w:rPr>
        <w:t xml:space="preserve">which fulfils </w:t>
      </w:r>
      <w:r w:rsidR="007D34FD" w:rsidRPr="00D44299">
        <w:rPr>
          <w:rFonts w:ascii="Arial" w:hAnsi="Arial" w:cs="Arial"/>
        </w:rPr>
        <w:t xml:space="preserve">the </w:t>
      </w:r>
      <w:r w:rsidR="00E63902" w:rsidRPr="00D44299">
        <w:rPr>
          <w:rFonts w:ascii="Arial" w:hAnsi="Arial" w:cs="Arial"/>
        </w:rPr>
        <w:t>requirem</w:t>
      </w:r>
      <w:r w:rsidR="00B76419" w:rsidRPr="00D44299">
        <w:rPr>
          <w:rFonts w:ascii="Arial" w:hAnsi="Arial" w:cs="Arial"/>
        </w:rPr>
        <w:t>ent</w:t>
      </w:r>
      <w:r w:rsidR="00ED7A65" w:rsidRPr="00D44299">
        <w:rPr>
          <w:rFonts w:ascii="Arial" w:hAnsi="Arial" w:cs="Arial"/>
        </w:rPr>
        <w:t>s within my working context</w:t>
      </w:r>
      <w:r w:rsidR="00E63902" w:rsidRPr="00D44299">
        <w:rPr>
          <w:rFonts w:ascii="Arial" w:hAnsi="Arial" w:cs="Arial"/>
        </w:rPr>
        <w:t>.</w:t>
      </w:r>
      <w:r w:rsidR="00686941" w:rsidRPr="00D44299">
        <w:rPr>
          <w:rFonts w:ascii="Arial" w:hAnsi="Arial" w:cs="Arial"/>
        </w:rPr>
        <w:t xml:space="preserve"> </w:t>
      </w:r>
      <w:r w:rsidR="00E67829" w:rsidRPr="00D44299">
        <w:rPr>
          <w:rFonts w:ascii="Arial" w:hAnsi="Arial" w:cs="Arial"/>
        </w:rPr>
        <w:t>For this purpose, t</w:t>
      </w:r>
      <w:r w:rsidR="00686941" w:rsidRPr="00D44299">
        <w:rPr>
          <w:rFonts w:ascii="Arial" w:hAnsi="Arial" w:cs="Arial"/>
        </w:rPr>
        <w:t>he</w:t>
      </w:r>
      <w:r w:rsidR="00E67829" w:rsidRPr="00D44299">
        <w:rPr>
          <w:rFonts w:ascii="Arial" w:hAnsi="Arial" w:cs="Arial"/>
        </w:rPr>
        <w:t xml:space="preserve"> following</w:t>
      </w:r>
      <w:r w:rsidR="00686941" w:rsidRPr="00D44299">
        <w:rPr>
          <w:rFonts w:ascii="Arial" w:hAnsi="Arial" w:cs="Arial"/>
        </w:rPr>
        <w:t xml:space="preserve"> project management approaches</w:t>
      </w:r>
      <w:r w:rsidR="00E67829" w:rsidRPr="00D44299">
        <w:rPr>
          <w:rFonts w:ascii="Arial" w:hAnsi="Arial" w:cs="Arial"/>
        </w:rPr>
        <w:t xml:space="preserve"> have been selected</w:t>
      </w:r>
      <w:r w:rsidR="00EB23B0" w:rsidRPr="00D44299">
        <w:rPr>
          <w:rFonts w:ascii="Arial" w:hAnsi="Arial" w:cs="Arial"/>
        </w:rPr>
        <w:t>:</w:t>
      </w:r>
      <w:r w:rsidR="008B48BB">
        <w:rPr>
          <w:rFonts w:ascii="Arial" w:hAnsi="Arial" w:cs="Arial"/>
        </w:rPr>
        <w:t xml:space="preserve"> </w:t>
      </w:r>
      <w:r w:rsidR="00EB23B0" w:rsidRPr="008B48BB">
        <w:rPr>
          <w:rFonts w:ascii="Arial" w:hAnsi="Arial" w:cs="Arial"/>
        </w:rPr>
        <w:t>Waterfall</w:t>
      </w:r>
      <w:r w:rsidR="008B48BB">
        <w:rPr>
          <w:rFonts w:ascii="Arial" w:hAnsi="Arial" w:cs="Arial"/>
        </w:rPr>
        <w:t>, agile, PRINCE2.</w:t>
      </w:r>
    </w:p>
    <w:p w14:paraId="3BD385A0" w14:textId="6A9E8AE6" w:rsidR="00B560B7" w:rsidRPr="00D44299" w:rsidRDefault="008771A5" w:rsidP="002A3382">
      <w:pPr>
        <w:spacing w:line="360" w:lineRule="auto"/>
        <w:jc w:val="both"/>
        <w:rPr>
          <w:rFonts w:ascii="Arial" w:hAnsi="Arial" w:cs="Arial"/>
        </w:rPr>
      </w:pPr>
      <w:r w:rsidRPr="00D44299">
        <w:rPr>
          <w:rFonts w:ascii="Arial" w:hAnsi="Arial" w:cs="Arial"/>
        </w:rPr>
        <w:t xml:space="preserve">Primarily, I will provide </w:t>
      </w:r>
      <w:r w:rsidR="000A5197">
        <w:rPr>
          <w:rFonts w:ascii="Arial" w:hAnsi="Arial" w:cs="Arial"/>
        </w:rPr>
        <w:t>some context around my role and team. I will then conduct a</w:t>
      </w:r>
      <w:r w:rsidR="00B560B7" w:rsidRPr="00D44299">
        <w:rPr>
          <w:rFonts w:ascii="Arial" w:hAnsi="Arial" w:cs="Arial"/>
        </w:rPr>
        <w:t xml:space="preserve"> </w:t>
      </w:r>
      <w:r w:rsidR="004328C0" w:rsidRPr="00D44299">
        <w:rPr>
          <w:rFonts w:ascii="Arial" w:hAnsi="Arial" w:cs="Arial"/>
        </w:rPr>
        <w:t>high-level</w:t>
      </w:r>
      <w:r w:rsidR="00B560B7" w:rsidRPr="00D44299">
        <w:rPr>
          <w:rFonts w:ascii="Arial" w:hAnsi="Arial" w:cs="Arial"/>
        </w:rPr>
        <w:t xml:space="preserve"> analysis of each project management </w:t>
      </w:r>
      <w:r w:rsidR="000A5197">
        <w:rPr>
          <w:rFonts w:ascii="Arial" w:hAnsi="Arial" w:cs="Arial"/>
        </w:rPr>
        <w:t>approach</w:t>
      </w:r>
      <w:r w:rsidR="007B5ED0" w:rsidRPr="00D44299">
        <w:rPr>
          <w:rFonts w:ascii="Arial" w:hAnsi="Arial" w:cs="Arial"/>
        </w:rPr>
        <w:t xml:space="preserve">, </w:t>
      </w:r>
      <w:r w:rsidR="00A73ACD">
        <w:rPr>
          <w:rFonts w:ascii="Arial" w:hAnsi="Arial" w:cs="Arial"/>
        </w:rPr>
        <w:t>firstly by consi</w:t>
      </w:r>
      <w:r w:rsidR="000171E7" w:rsidRPr="00D44299">
        <w:rPr>
          <w:rFonts w:ascii="Arial" w:hAnsi="Arial" w:cs="Arial"/>
        </w:rPr>
        <w:t xml:space="preserve">dering </w:t>
      </w:r>
      <w:r w:rsidR="00C51B56" w:rsidRPr="00D44299">
        <w:rPr>
          <w:rFonts w:ascii="Arial" w:hAnsi="Arial" w:cs="Arial"/>
        </w:rPr>
        <w:t xml:space="preserve">it’s </w:t>
      </w:r>
      <w:r w:rsidR="000171E7" w:rsidRPr="00D44299">
        <w:rPr>
          <w:rFonts w:ascii="Arial" w:hAnsi="Arial" w:cs="Arial"/>
        </w:rPr>
        <w:t>key affordances and limitations</w:t>
      </w:r>
      <w:r w:rsidR="00C51B56" w:rsidRPr="00D44299">
        <w:rPr>
          <w:rFonts w:ascii="Arial" w:hAnsi="Arial" w:cs="Arial"/>
        </w:rPr>
        <w:t>,</w:t>
      </w:r>
      <w:r w:rsidR="00A73ACD">
        <w:rPr>
          <w:rFonts w:ascii="Arial" w:hAnsi="Arial" w:cs="Arial"/>
        </w:rPr>
        <w:t xml:space="preserve"> and then</w:t>
      </w:r>
      <w:r w:rsidR="00C51B56" w:rsidRPr="00D44299">
        <w:rPr>
          <w:rFonts w:ascii="Arial" w:hAnsi="Arial" w:cs="Arial"/>
        </w:rPr>
        <w:t xml:space="preserve"> providing conclusions and recommendations</w:t>
      </w:r>
      <w:r w:rsidR="00C041F2" w:rsidRPr="00D44299">
        <w:rPr>
          <w:rFonts w:ascii="Arial" w:hAnsi="Arial" w:cs="Arial"/>
        </w:rPr>
        <w:t xml:space="preserve"> </w:t>
      </w:r>
      <w:r w:rsidR="00474CED" w:rsidRPr="00D44299">
        <w:rPr>
          <w:rFonts w:ascii="Arial" w:hAnsi="Arial" w:cs="Arial"/>
        </w:rPr>
        <w:t>based on the</w:t>
      </w:r>
      <w:r w:rsidR="00C041F2" w:rsidRPr="00D44299">
        <w:rPr>
          <w:rFonts w:ascii="Arial" w:hAnsi="Arial" w:cs="Arial"/>
        </w:rPr>
        <w:t xml:space="preserve"> context</w:t>
      </w:r>
      <w:r w:rsidR="00474CED" w:rsidRPr="00D44299">
        <w:rPr>
          <w:rFonts w:ascii="Arial" w:hAnsi="Arial" w:cs="Arial"/>
        </w:rPr>
        <w:t xml:space="preserve"> of my workplace</w:t>
      </w:r>
      <w:r w:rsidR="00D15F8B" w:rsidRPr="00D44299">
        <w:rPr>
          <w:rFonts w:ascii="Arial" w:hAnsi="Arial" w:cs="Arial"/>
        </w:rPr>
        <w:t>.</w:t>
      </w:r>
      <w:r w:rsidR="001B1F81" w:rsidRPr="00D44299">
        <w:rPr>
          <w:rFonts w:ascii="Arial" w:hAnsi="Arial" w:cs="Arial"/>
        </w:rPr>
        <w:t xml:space="preserve"> </w:t>
      </w:r>
    </w:p>
    <w:p w14:paraId="39E5CF96" w14:textId="77777777" w:rsidR="00160383" w:rsidRDefault="00160383" w:rsidP="002A3382">
      <w:pPr>
        <w:spacing w:line="360" w:lineRule="auto"/>
        <w:rPr>
          <w:rFonts w:asciiTheme="majorHAnsi" w:eastAsiaTheme="majorEastAsia" w:hAnsiTheme="majorHAnsi" w:cstheme="majorBidi"/>
          <w:color w:val="2F5496" w:themeColor="accent1" w:themeShade="BF"/>
          <w:sz w:val="32"/>
          <w:szCs w:val="32"/>
        </w:rPr>
      </w:pPr>
      <w:r>
        <w:br w:type="page"/>
      </w:r>
    </w:p>
    <w:p w14:paraId="2539C070" w14:textId="77777777" w:rsidR="00571065" w:rsidRPr="00C14535" w:rsidRDefault="00571065" w:rsidP="002A3382">
      <w:pPr>
        <w:pStyle w:val="Heading1"/>
        <w:spacing w:line="360" w:lineRule="auto"/>
        <w:rPr>
          <w:rFonts w:cs="Arial"/>
        </w:rPr>
      </w:pPr>
      <w:r w:rsidRPr="00C14535">
        <w:rPr>
          <w:rFonts w:cs="Arial"/>
        </w:rPr>
        <w:lastRenderedPageBreak/>
        <w:t>Context</w:t>
      </w:r>
    </w:p>
    <w:p w14:paraId="33985F75" w14:textId="77777777" w:rsidR="00571065" w:rsidRPr="00C14535" w:rsidRDefault="00571065" w:rsidP="002A3382">
      <w:pPr>
        <w:pStyle w:val="Heading2"/>
        <w:spacing w:line="360" w:lineRule="auto"/>
        <w:rPr>
          <w:rFonts w:cs="Arial"/>
        </w:rPr>
      </w:pPr>
      <w:r w:rsidRPr="00C14535">
        <w:rPr>
          <w:rFonts w:cs="Arial"/>
        </w:rPr>
        <w:t>Digital Learning Team</w:t>
      </w:r>
    </w:p>
    <w:p w14:paraId="7792CC04" w14:textId="7BE86675" w:rsidR="00571065" w:rsidRPr="00C14535" w:rsidRDefault="00571065" w:rsidP="002A3382">
      <w:pPr>
        <w:spacing w:line="360" w:lineRule="auto"/>
        <w:jc w:val="both"/>
        <w:rPr>
          <w:rFonts w:ascii="Arial" w:hAnsi="Arial" w:cs="Arial"/>
        </w:rPr>
      </w:pPr>
      <w:r w:rsidRPr="00C14535">
        <w:rPr>
          <w:rFonts w:ascii="Arial" w:hAnsi="Arial" w:cs="Arial"/>
        </w:rPr>
        <w:t xml:space="preserve">I manage the Digital Learning Team within a Higher Education Institution (HEI) in South Wales. </w:t>
      </w:r>
    </w:p>
    <w:p w14:paraId="55A99E5A" w14:textId="6B05C42B" w:rsidR="00571065" w:rsidRPr="00C14535" w:rsidRDefault="00571065" w:rsidP="002A3382">
      <w:pPr>
        <w:spacing w:line="360" w:lineRule="auto"/>
        <w:jc w:val="both"/>
        <w:rPr>
          <w:rFonts w:ascii="Arial" w:hAnsi="Arial" w:cs="Arial"/>
        </w:rPr>
      </w:pPr>
      <w:r w:rsidRPr="00C14535">
        <w:rPr>
          <w:rFonts w:ascii="Arial" w:hAnsi="Arial" w:cs="Arial"/>
          <w:noProof/>
        </w:rPr>
        <w:drawing>
          <wp:anchor distT="0" distB="0" distL="114300" distR="114300" simplePos="0" relativeHeight="251659264" behindDoc="0" locked="0" layoutInCell="1" allowOverlap="1" wp14:anchorId="78B63D17" wp14:editId="02529B1D">
            <wp:simplePos x="0" y="0"/>
            <wp:positionH relativeFrom="margin">
              <wp:align>center</wp:align>
            </wp:positionH>
            <wp:positionV relativeFrom="paragraph">
              <wp:posOffset>650240</wp:posOffset>
            </wp:positionV>
            <wp:extent cx="3600450" cy="1949450"/>
            <wp:effectExtent l="0" t="0" r="19050" b="0"/>
            <wp:wrapTopAndBottom/>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Pr="00C14535">
        <w:rPr>
          <w:rFonts w:ascii="Arial" w:hAnsi="Arial" w:cs="Arial"/>
        </w:rPr>
        <w:t xml:space="preserve">The Digital Learning Team </w:t>
      </w:r>
      <w:r w:rsidR="00AD0CC9">
        <w:rPr>
          <w:rFonts w:ascii="Arial" w:hAnsi="Arial" w:cs="Arial"/>
        </w:rPr>
        <w:t xml:space="preserve">sits </w:t>
      </w:r>
      <w:r w:rsidRPr="00C14535">
        <w:rPr>
          <w:rFonts w:ascii="Arial" w:hAnsi="Arial" w:cs="Arial"/>
        </w:rPr>
        <w:t xml:space="preserve">within the Digital Creativity and Learning (DCL) unit, alongside two other teams: Graphics, Multimedia and Print, and the Web team (see </w:t>
      </w:r>
      <w:r w:rsidRPr="00C14535">
        <w:rPr>
          <w:rFonts w:ascii="Arial" w:hAnsi="Arial" w:cs="Arial"/>
          <w:i/>
          <w:iCs/>
        </w:rPr>
        <w:t xml:space="preserve">Figure 1 </w:t>
      </w:r>
      <w:r w:rsidRPr="00C14535">
        <w:rPr>
          <w:rFonts w:ascii="Arial" w:hAnsi="Arial" w:cs="Arial"/>
        </w:rPr>
        <w:t xml:space="preserve">below). </w:t>
      </w:r>
    </w:p>
    <w:p w14:paraId="672CC7EC" w14:textId="77777777" w:rsidR="00571065" w:rsidRPr="00C14535" w:rsidRDefault="00571065" w:rsidP="002A3382">
      <w:pPr>
        <w:keepNext/>
        <w:spacing w:line="360" w:lineRule="auto"/>
        <w:rPr>
          <w:rFonts w:ascii="Arial" w:hAnsi="Arial" w:cs="Arial"/>
        </w:rPr>
      </w:pPr>
    </w:p>
    <w:p w14:paraId="3BFE91C9" w14:textId="4C72F1C9" w:rsidR="00571065" w:rsidRPr="00C14535" w:rsidRDefault="00571065" w:rsidP="002A3382">
      <w:pPr>
        <w:pStyle w:val="Caption"/>
        <w:spacing w:line="360" w:lineRule="auto"/>
        <w:rPr>
          <w:rFonts w:ascii="Arial" w:hAnsi="Arial" w:cs="Arial"/>
        </w:rPr>
      </w:pPr>
      <w:r w:rsidRPr="00C14535">
        <w:rPr>
          <w:rFonts w:ascii="Arial" w:hAnsi="Arial" w:cs="Arial"/>
        </w:rPr>
        <w:t xml:space="preserve">Figure </w:t>
      </w:r>
      <w:r w:rsidRPr="00C14535">
        <w:rPr>
          <w:rFonts w:ascii="Arial" w:hAnsi="Arial" w:cs="Arial"/>
        </w:rPr>
        <w:fldChar w:fldCharType="begin"/>
      </w:r>
      <w:r w:rsidRPr="00C14535">
        <w:rPr>
          <w:rFonts w:ascii="Arial" w:hAnsi="Arial" w:cs="Arial"/>
        </w:rPr>
        <w:instrText xml:space="preserve"> SEQ Figure \* ARABIC </w:instrText>
      </w:r>
      <w:r w:rsidRPr="00C14535">
        <w:rPr>
          <w:rFonts w:ascii="Arial" w:hAnsi="Arial" w:cs="Arial"/>
        </w:rPr>
        <w:fldChar w:fldCharType="separate"/>
      </w:r>
      <w:r w:rsidR="00D04EE8">
        <w:rPr>
          <w:rFonts w:ascii="Arial" w:hAnsi="Arial" w:cs="Arial"/>
          <w:noProof/>
        </w:rPr>
        <w:t>1</w:t>
      </w:r>
      <w:r w:rsidRPr="00C14535">
        <w:rPr>
          <w:rFonts w:ascii="Arial" w:hAnsi="Arial" w:cs="Arial"/>
          <w:noProof/>
        </w:rPr>
        <w:fldChar w:fldCharType="end"/>
      </w:r>
      <w:r w:rsidRPr="00C14535">
        <w:rPr>
          <w:rFonts w:ascii="Arial" w:hAnsi="Arial" w:cs="Arial"/>
        </w:rPr>
        <w:t xml:space="preserve"> - DCL Team Structure</w:t>
      </w:r>
    </w:p>
    <w:p w14:paraId="302B98D3" w14:textId="77777777" w:rsidR="00571065" w:rsidRPr="00C14535" w:rsidRDefault="00571065" w:rsidP="002A3382">
      <w:pPr>
        <w:spacing w:line="360" w:lineRule="auto"/>
        <w:jc w:val="both"/>
        <w:rPr>
          <w:rFonts w:ascii="Arial" w:hAnsi="Arial" w:cs="Arial"/>
        </w:rPr>
      </w:pPr>
      <w:r w:rsidRPr="00C14535">
        <w:rPr>
          <w:rFonts w:ascii="Arial" w:hAnsi="Arial" w:cs="Arial"/>
        </w:rPr>
        <w:t>The position of the Digital Learning Team within DCL is key to understanding the collaboration which frequently occurs within DCL to achieve specific outcomes; certain projects require us to draw on the expertise of colleagues within other DCL teams and these colleagues consequently become key stakeholders in our project plans. In such cases, it is necessary to consider the capacity of colleagues both within our team and the collaborating team(s) to fulfil the required task(s).</w:t>
      </w:r>
    </w:p>
    <w:p w14:paraId="13929119" w14:textId="77777777" w:rsidR="00571065" w:rsidRPr="00C14535" w:rsidRDefault="00571065" w:rsidP="002A3382">
      <w:pPr>
        <w:spacing w:line="360" w:lineRule="auto"/>
        <w:jc w:val="both"/>
        <w:rPr>
          <w:rFonts w:ascii="Arial" w:hAnsi="Arial" w:cs="Arial"/>
        </w:rPr>
      </w:pPr>
      <w:r w:rsidRPr="00C14535">
        <w:rPr>
          <w:rFonts w:ascii="Arial" w:hAnsi="Arial" w:cs="Arial"/>
        </w:rPr>
        <w:t xml:space="preserve">In my role as Digital Learning Manager, I oversee a team of five Learning Designers (one of whom is a Senior Learning Designer) and one Digital Learning Technologist (see </w:t>
      </w:r>
      <w:r w:rsidRPr="00C14535">
        <w:rPr>
          <w:rFonts w:ascii="Arial" w:hAnsi="Arial" w:cs="Arial"/>
          <w:i/>
          <w:iCs/>
        </w:rPr>
        <w:t xml:space="preserve">Figure </w:t>
      </w:r>
      <w:r w:rsidRPr="00C14535">
        <w:rPr>
          <w:rFonts w:ascii="Arial" w:hAnsi="Arial" w:cs="Arial"/>
        </w:rPr>
        <w:t xml:space="preserve">2 below). </w:t>
      </w:r>
    </w:p>
    <w:p w14:paraId="78D539A1" w14:textId="7234FEDE" w:rsidR="00571065" w:rsidRPr="00C14535" w:rsidRDefault="00571065" w:rsidP="002A3382">
      <w:pPr>
        <w:keepNext/>
        <w:spacing w:line="360" w:lineRule="auto"/>
        <w:rPr>
          <w:rFonts w:ascii="Arial" w:hAnsi="Arial" w:cs="Arial"/>
        </w:rPr>
      </w:pPr>
      <w:r w:rsidRPr="00C14535">
        <w:rPr>
          <w:rFonts w:ascii="Arial" w:hAnsi="Arial" w:cs="Arial"/>
          <w:noProof/>
        </w:rPr>
        <w:lastRenderedPageBreak/>
        <w:drawing>
          <wp:anchor distT="0" distB="0" distL="114300" distR="114300" simplePos="0" relativeHeight="251660288" behindDoc="0" locked="0" layoutInCell="1" allowOverlap="1" wp14:anchorId="36154F79" wp14:editId="41D7239F">
            <wp:simplePos x="0" y="0"/>
            <wp:positionH relativeFrom="margin">
              <wp:align>center</wp:align>
            </wp:positionH>
            <wp:positionV relativeFrom="paragraph">
              <wp:posOffset>0</wp:posOffset>
            </wp:positionV>
            <wp:extent cx="3276600" cy="2711450"/>
            <wp:effectExtent l="0" t="0" r="0" b="1270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2710D59E" w14:textId="33C8B973" w:rsidR="00571065" w:rsidRPr="00C14535" w:rsidRDefault="00571065" w:rsidP="002A3382">
      <w:pPr>
        <w:pStyle w:val="Caption"/>
        <w:spacing w:line="360" w:lineRule="auto"/>
        <w:rPr>
          <w:rFonts w:ascii="Arial" w:hAnsi="Arial" w:cs="Arial"/>
        </w:rPr>
      </w:pPr>
      <w:r w:rsidRPr="00C14535">
        <w:rPr>
          <w:rFonts w:ascii="Arial" w:hAnsi="Arial" w:cs="Arial"/>
        </w:rPr>
        <w:t xml:space="preserve">Figure </w:t>
      </w:r>
      <w:r w:rsidRPr="00C14535">
        <w:rPr>
          <w:rFonts w:ascii="Arial" w:hAnsi="Arial" w:cs="Arial"/>
        </w:rPr>
        <w:fldChar w:fldCharType="begin"/>
      </w:r>
      <w:r w:rsidRPr="00C14535">
        <w:rPr>
          <w:rFonts w:ascii="Arial" w:hAnsi="Arial" w:cs="Arial"/>
        </w:rPr>
        <w:instrText xml:space="preserve"> SEQ Figure \* ARABIC </w:instrText>
      </w:r>
      <w:r w:rsidRPr="00C14535">
        <w:rPr>
          <w:rFonts w:ascii="Arial" w:hAnsi="Arial" w:cs="Arial"/>
        </w:rPr>
        <w:fldChar w:fldCharType="separate"/>
      </w:r>
      <w:r w:rsidR="00D04EE8">
        <w:rPr>
          <w:rFonts w:ascii="Arial" w:hAnsi="Arial" w:cs="Arial"/>
          <w:noProof/>
        </w:rPr>
        <w:t>2</w:t>
      </w:r>
      <w:r w:rsidRPr="00C14535">
        <w:rPr>
          <w:rFonts w:ascii="Arial" w:hAnsi="Arial" w:cs="Arial"/>
          <w:noProof/>
        </w:rPr>
        <w:fldChar w:fldCharType="end"/>
      </w:r>
      <w:r w:rsidRPr="00C14535">
        <w:rPr>
          <w:rFonts w:ascii="Arial" w:hAnsi="Arial" w:cs="Arial"/>
        </w:rPr>
        <w:t xml:space="preserve"> - Digital Learning Team Structure</w:t>
      </w:r>
    </w:p>
    <w:p w14:paraId="4BDFD940" w14:textId="31807FB7" w:rsidR="00571065" w:rsidRPr="00C14535" w:rsidRDefault="00571065" w:rsidP="002A3382">
      <w:pPr>
        <w:spacing w:line="360" w:lineRule="auto"/>
        <w:rPr>
          <w:rFonts w:ascii="Arial" w:hAnsi="Arial" w:cs="Arial"/>
        </w:rPr>
      </w:pPr>
      <w:r w:rsidRPr="00C14535">
        <w:rPr>
          <w:rFonts w:ascii="Arial" w:hAnsi="Arial" w:cs="Arial"/>
        </w:rPr>
        <w:t>The team has two main functions: Learning Design and Digital Pedagogy.</w:t>
      </w:r>
    </w:p>
    <w:p w14:paraId="659E57B2" w14:textId="37A7A321" w:rsidR="00571065" w:rsidRPr="00C14535" w:rsidRDefault="00571065" w:rsidP="002A3382">
      <w:pPr>
        <w:spacing w:line="360" w:lineRule="auto"/>
        <w:jc w:val="both"/>
        <w:rPr>
          <w:rFonts w:ascii="Arial" w:hAnsi="Arial" w:cs="Arial"/>
        </w:rPr>
      </w:pPr>
      <w:r w:rsidRPr="00C14535">
        <w:rPr>
          <w:rStyle w:val="normaltextrun"/>
          <w:rFonts w:ascii="Arial" w:hAnsi="Arial" w:cs="Arial"/>
          <w:color w:val="000000"/>
          <w:shd w:val="clear" w:color="auto" w:fill="FFFFFF"/>
        </w:rPr>
        <w:t xml:space="preserve">Together we provide support to academic staff with the development of asynchronous and synchronous resources within different contexts and </w:t>
      </w:r>
      <w:r w:rsidR="00E1497D" w:rsidRPr="00C14535">
        <w:rPr>
          <w:rStyle w:val="normaltextrun"/>
          <w:rFonts w:ascii="Arial" w:hAnsi="Arial" w:cs="Arial"/>
          <w:color w:val="000000"/>
          <w:shd w:val="clear" w:color="auto" w:fill="FFFFFF"/>
        </w:rPr>
        <w:t>to suit different</w:t>
      </w:r>
      <w:r w:rsidRPr="00C14535">
        <w:rPr>
          <w:rStyle w:val="normaltextrun"/>
          <w:rFonts w:ascii="Arial" w:hAnsi="Arial" w:cs="Arial"/>
          <w:color w:val="000000"/>
          <w:shd w:val="clear" w:color="auto" w:fill="FFFFFF"/>
        </w:rPr>
        <w:t xml:space="preserve"> delivery methods.</w:t>
      </w:r>
    </w:p>
    <w:p w14:paraId="069733A4" w14:textId="7F500CA4" w:rsidR="00571065" w:rsidRPr="00C14535" w:rsidRDefault="00571065" w:rsidP="002A3382">
      <w:pPr>
        <w:pStyle w:val="Heading2"/>
        <w:spacing w:line="360" w:lineRule="auto"/>
      </w:pPr>
      <w:r w:rsidRPr="00C14535">
        <w:t xml:space="preserve">Learning Design </w:t>
      </w:r>
    </w:p>
    <w:p w14:paraId="0ED1B56D" w14:textId="3B7289FE" w:rsidR="00194658" w:rsidRDefault="00E1497D" w:rsidP="002A3382">
      <w:pPr>
        <w:spacing w:line="360" w:lineRule="auto"/>
        <w:jc w:val="both"/>
        <w:rPr>
          <w:rFonts w:ascii="Arial" w:hAnsi="Arial" w:cs="Arial"/>
        </w:rPr>
      </w:pPr>
      <w:r w:rsidRPr="00C14535">
        <w:rPr>
          <w:rFonts w:ascii="Arial" w:hAnsi="Arial" w:cs="Arial"/>
        </w:rPr>
        <w:t>The Learning Design function of the team is to develop</w:t>
      </w:r>
      <w:r w:rsidR="00903FE9" w:rsidRPr="00C14535">
        <w:rPr>
          <w:rFonts w:ascii="Arial" w:hAnsi="Arial" w:cs="Arial"/>
        </w:rPr>
        <w:t xml:space="preserve"> and build engaging, interactive, accessible, high quality eLearning materials. The Learning Designers </w:t>
      </w:r>
      <w:r w:rsidR="00A03634">
        <w:rPr>
          <w:rFonts w:ascii="Arial" w:hAnsi="Arial" w:cs="Arial"/>
        </w:rPr>
        <w:t xml:space="preserve">largely </w:t>
      </w:r>
      <w:r w:rsidR="00A03634" w:rsidRPr="00C14535">
        <w:rPr>
          <w:rFonts w:ascii="Arial" w:hAnsi="Arial" w:cs="Arial"/>
        </w:rPr>
        <w:t>deal</w:t>
      </w:r>
      <w:r w:rsidR="00903FE9" w:rsidRPr="00C14535">
        <w:rPr>
          <w:rFonts w:ascii="Arial" w:hAnsi="Arial" w:cs="Arial"/>
        </w:rPr>
        <w:t xml:space="preserve"> with asynchronous content, which is presented to them by academic colleagues or content authors in a basic storyboard (</w:t>
      </w:r>
      <w:r w:rsidR="00C14535" w:rsidRPr="00C14535">
        <w:rPr>
          <w:rFonts w:ascii="Arial" w:hAnsi="Arial" w:cs="Arial"/>
        </w:rPr>
        <w:t>often as in</w:t>
      </w:r>
      <w:r w:rsidR="00903FE9" w:rsidRPr="00C14535">
        <w:rPr>
          <w:rFonts w:ascii="Arial" w:hAnsi="Arial" w:cs="Arial"/>
        </w:rPr>
        <w:t xml:space="preserve"> Microsoft PowerPoint</w:t>
      </w:r>
      <w:r w:rsidR="00C14535" w:rsidRPr="00C14535">
        <w:rPr>
          <w:rFonts w:ascii="Arial" w:hAnsi="Arial" w:cs="Arial"/>
        </w:rPr>
        <w:t xml:space="preserve"> or equivalent</w:t>
      </w:r>
      <w:r w:rsidR="00903FE9" w:rsidRPr="00C14535">
        <w:rPr>
          <w:rFonts w:ascii="Arial" w:hAnsi="Arial" w:cs="Arial"/>
        </w:rPr>
        <w:t>)</w:t>
      </w:r>
      <w:r w:rsidR="00C14535" w:rsidRPr="00C14535">
        <w:rPr>
          <w:rFonts w:ascii="Arial" w:hAnsi="Arial" w:cs="Arial"/>
        </w:rPr>
        <w:t>, which is then transformed using Articulate, dedicated eLearning software</w:t>
      </w:r>
      <w:r w:rsidR="00903FE9" w:rsidRPr="00C14535">
        <w:rPr>
          <w:rFonts w:ascii="Arial" w:hAnsi="Arial" w:cs="Arial"/>
        </w:rPr>
        <w:t xml:space="preserve">. </w:t>
      </w:r>
    </w:p>
    <w:p w14:paraId="2F681CCF" w14:textId="7E47BE3D" w:rsidR="002A3382" w:rsidRPr="00DF3B61" w:rsidRDefault="00DF3B61" w:rsidP="002A3382">
      <w:pPr>
        <w:spacing w:line="360" w:lineRule="auto"/>
        <w:jc w:val="both"/>
        <w:rPr>
          <w:rFonts w:ascii="Arial" w:hAnsi="Arial" w:cs="Arial"/>
        </w:rPr>
      </w:pPr>
      <w:r w:rsidRPr="00DF3B61">
        <w:rPr>
          <w:rFonts w:ascii="Arial" w:hAnsi="Arial" w:cs="Arial"/>
          <w:noProof/>
        </w:rPr>
        <mc:AlternateContent>
          <mc:Choice Requires="wps">
            <w:drawing>
              <wp:anchor distT="0" distB="0" distL="114300" distR="114300" simplePos="0" relativeHeight="251664384" behindDoc="0" locked="0" layoutInCell="1" allowOverlap="1" wp14:anchorId="4646BF95" wp14:editId="607075AD">
                <wp:simplePos x="0" y="0"/>
                <wp:positionH relativeFrom="column">
                  <wp:posOffset>1360805</wp:posOffset>
                </wp:positionH>
                <wp:positionV relativeFrom="paragraph">
                  <wp:posOffset>2661920</wp:posOffset>
                </wp:positionV>
                <wp:extent cx="2992755"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2992755" cy="635"/>
                        </a:xfrm>
                        <a:prstGeom prst="rect">
                          <a:avLst/>
                        </a:prstGeom>
                        <a:solidFill>
                          <a:prstClr val="white"/>
                        </a:solidFill>
                        <a:ln>
                          <a:noFill/>
                        </a:ln>
                      </wps:spPr>
                      <wps:txbx>
                        <w:txbxContent>
                          <w:p w14:paraId="7146DAD1" w14:textId="70E20DEF" w:rsidR="00DF3B61" w:rsidRPr="00DF3B61" w:rsidRDefault="00DF3B61" w:rsidP="00DF3B61">
                            <w:pPr>
                              <w:pStyle w:val="Caption"/>
                              <w:rPr>
                                <w:rFonts w:ascii="Arial" w:hAnsi="Arial" w:cs="Arial"/>
                              </w:rPr>
                            </w:pPr>
                            <w:r w:rsidRPr="00DF3B61">
                              <w:rPr>
                                <w:rFonts w:ascii="Arial" w:hAnsi="Arial" w:cs="Arial"/>
                              </w:rPr>
                              <w:t xml:space="preserve">Figure </w:t>
                            </w:r>
                            <w:r w:rsidRPr="00DF3B61">
                              <w:rPr>
                                <w:rFonts w:ascii="Arial" w:hAnsi="Arial" w:cs="Arial"/>
                              </w:rPr>
                              <w:fldChar w:fldCharType="begin"/>
                            </w:r>
                            <w:r w:rsidRPr="00DF3B61">
                              <w:rPr>
                                <w:rFonts w:ascii="Arial" w:hAnsi="Arial" w:cs="Arial"/>
                              </w:rPr>
                              <w:instrText xml:space="preserve"> SEQ Figure \* ARABIC </w:instrText>
                            </w:r>
                            <w:r w:rsidRPr="00DF3B61">
                              <w:rPr>
                                <w:rFonts w:ascii="Arial" w:hAnsi="Arial" w:cs="Arial"/>
                              </w:rPr>
                              <w:fldChar w:fldCharType="separate"/>
                            </w:r>
                            <w:r w:rsidR="00D04EE8">
                              <w:rPr>
                                <w:rFonts w:ascii="Arial" w:hAnsi="Arial" w:cs="Arial"/>
                                <w:noProof/>
                              </w:rPr>
                              <w:t>3</w:t>
                            </w:r>
                            <w:r w:rsidRPr="00DF3B61">
                              <w:rPr>
                                <w:rFonts w:ascii="Arial" w:hAnsi="Arial" w:cs="Arial"/>
                              </w:rPr>
                              <w:fldChar w:fldCharType="end"/>
                            </w:r>
                            <w:r w:rsidRPr="00DF3B61">
                              <w:rPr>
                                <w:rFonts w:ascii="Arial" w:hAnsi="Arial" w:cs="Arial"/>
                              </w:rPr>
                              <w:t xml:space="preserve"> - Typical Learning Design process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646BF95" id="_x0000_t202" coordsize="21600,21600" o:spt="202" path="m,l,21600r21600,l21600,xe">
                <v:stroke joinstyle="miter"/>
                <v:path gradientshapeok="t" o:connecttype="rect"/>
              </v:shapetype>
              <v:shape id="Text Box 6" o:spid="_x0000_s1026" type="#_x0000_t202" style="position:absolute;left:0;text-align:left;margin-left:107.15pt;margin-top:209.6pt;width:235.6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" stroked="f">
                <v:textbox style="mso-fit-shape-to-text:t" inset="0,0,0,0">
                  <w:txbxContent>
                    <w:p w14:paraId="7146DAD1" w14:textId="70E20DEF" w:rsidR="00DF3B61" w:rsidRPr="00DF3B61" w:rsidRDefault="00DF3B61" w:rsidP="00DF3B61">
                      <w:pPr>
                        <w:pStyle w:val="Caption"/>
                        <w:rPr>
                          <w:rFonts w:ascii="Arial" w:hAnsi="Arial" w:cs="Arial"/>
                        </w:rPr>
                      </w:pPr>
                      <w:r w:rsidRPr="00DF3B61">
                        <w:rPr>
                          <w:rFonts w:ascii="Arial" w:hAnsi="Arial" w:cs="Arial"/>
                        </w:rPr>
                        <w:t xml:space="preserve">Figure </w:t>
                      </w:r>
                      <w:r w:rsidRPr="00DF3B61">
                        <w:rPr>
                          <w:rFonts w:ascii="Arial" w:hAnsi="Arial" w:cs="Arial"/>
                        </w:rPr>
                        <w:fldChar w:fldCharType="begin"/>
                      </w:r>
                      <w:r w:rsidRPr="00DF3B61">
                        <w:rPr>
                          <w:rFonts w:ascii="Arial" w:hAnsi="Arial" w:cs="Arial"/>
                        </w:rPr>
                        <w:instrText xml:space="preserve"> SEQ Figure \* ARABIC </w:instrText>
                      </w:r>
                      <w:r w:rsidRPr="00DF3B61">
                        <w:rPr>
                          <w:rFonts w:ascii="Arial" w:hAnsi="Arial" w:cs="Arial"/>
                        </w:rPr>
                        <w:fldChar w:fldCharType="separate"/>
                      </w:r>
                      <w:r w:rsidR="00D04EE8">
                        <w:rPr>
                          <w:rFonts w:ascii="Arial" w:hAnsi="Arial" w:cs="Arial"/>
                          <w:noProof/>
                        </w:rPr>
                        <w:t>3</w:t>
                      </w:r>
                      <w:r w:rsidRPr="00DF3B61">
                        <w:rPr>
                          <w:rFonts w:ascii="Arial" w:hAnsi="Arial" w:cs="Arial"/>
                        </w:rPr>
                        <w:fldChar w:fldCharType="end"/>
                      </w:r>
                      <w:r w:rsidRPr="00DF3B61">
                        <w:rPr>
                          <w:rFonts w:ascii="Arial" w:hAnsi="Arial" w:cs="Arial"/>
                        </w:rPr>
                        <w:t xml:space="preserve"> - Typical Learning Design process</w:t>
                      </w:r>
                    </w:p>
                  </w:txbxContent>
                </v:textbox>
                <w10:wrap type="topAndBottom"/>
              </v:shape>
            </w:pict>
          </mc:Fallback>
        </mc:AlternateContent>
      </w:r>
      <w:r w:rsidRPr="00DF3B61">
        <w:rPr>
          <w:rFonts w:ascii="Arial" w:hAnsi="Arial" w:cs="Arial"/>
        </w:rPr>
        <w:drawing>
          <wp:anchor distT="0" distB="0" distL="114300" distR="114300" simplePos="0" relativeHeight="251662336" behindDoc="0" locked="0" layoutInCell="1" allowOverlap="1" wp14:anchorId="32513CAC" wp14:editId="23DE0422">
            <wp:simplePos x="0" y="0"/>
            <wp:positionH relativeFrom="margin">
              <wp:align>center</wp:align>
            </wp:positionH>
            <wp:positionV relativeFrom="paragraph">
              <wp:posOffset>656446</wp:posOffset>
            </wp:positionV>
            <wp:extent cx="2992755" cy="1948815"/>
            <wp:effectExtent l="0" t="0" r="17145" b="13335"/>
            <wp:wrapTopAndBottom/>
            <wp:docPr id="5" name="Diagram 5">
              <a:extLst xmlns:a="http://schemas.openxmlformats.org/drawingml/2006/main">
                <a:ext uri="{FF2B5EF4-FFF2-40B4-BE49-F238E27FC236}">
                  <a16:creationId xmlns:a16="http://schemas.microsoft.com/office/drawing/2014/main" id="{018B4174-32B7-83E4-0324-1822509A29CC}"/>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r w:rsidR="00C14535" w:rsidRPr="00DF3B61">
        <w:rPr>
          <w:rFonts w:ascii="Arial" w:hAnsi="Arial" w:cs="Arial"/>
        </w:rPr>
        <w:t xml:space="preserve">The </w:t>
      </w:r>
      <w:r w:rsidR="006C1836" w:rsidRPr="00DF3B61">
        <w:rPr>
          <w:rFonts w:ascii="Arial" w:hAnsi="Arial" w:cs="Arial"/>
        </w:rPr>
        <w:t>approach for the development of materials</w:t>
      </w:r>
      <w:r w:rsidR="00C14535" w:rsidRPr="00DF3B61">
        <w:rPr>
          <w:rFonts w:ascii="Arial" w:hAnsi="Arial" w:cs="Arial"/>
        </w:rPr>
        <w:t xml:space="preserve"> is </w:t>
      </w:r>
      <w:r w:rsidR="00A03634" w:rsidRPr="00DF3B61">
        <w:rPr>
          <w:rFonts w:ascii="Arial" w:hAnsi="Arial" w:cs="Arial"/>
        </w:rPr>
        <w:t>standardized</w:t>
      </w:r>
      <w:r w:rsidR="00C14535" w:rsidRPr="00DF3B61">
        <w:rPr>
          <w:rFonts w:ascii="Arial" w:hAnsi="Arial" w:cs="Arial"/>
        </w:rPr>
        <w:t>, such that we follow a dedicated learning design model and process</w:t>
      </w:r>
      <w:r w:rsidR="002A3382" w:rsidRPr="00DF3B61">
        <w:rPr>
          <w:rFonts w:ascii="Arial" w:hAnsi="Arial" w:cs="Arial"/>
        </w:rPr>
        <w:t xml:space="preserve"> (see </w:t>
      </w:r>
      <w:r w:rsidRPr="00DF3B61">
        <w:rPr>
          <w:rFonts w:ascii="Arial" w:hAnsi="Arial" w:cs="Arial"/>
          <w:i/>
          <w:iCs/>
        </w:rPr>
        <w:t>Figure 3</w:t>
      </w:r>
      <w:r w:rsidRPr="00DF3B61">
        <w:rPr>
          <w:rFonts w:ascii="Arial" w:hAnsi="Arial" w:cs="Arial"/>
        </w:rPr>
        <w:t>).</w:t>
      </w:r>
      <w:r w:rsidR="00C14535" w:rsidRPr="00DF3B61">
        <w:rPr>
          <w:rFonts w:ascii="Arial" w:hAnsi="Arial" w:cs="Arial"/>
        </w:rPr>
        <w:t xml:space="preserve"> </w:t>
      </w:r>
    </w:p>
    <w:p w14:paraId="71A4C43C" w14:textId="0F973729" w:rsidR="00571065" w:rsidRPr="00DF3B61" w:rsidRDefault="006C1836" w:rsidP="002A3382">
      <w:pPr>
        <w:spacing w:line="360" w:lineRule="auto"/>
        <w:jc w:val="both"/>
        <w:rPr>
          <w:rFonts w:ascii="Arial" w:hAnsi="Arial" w:cs="Arial"/>
        </w:rPr>
      </w:pPr>
      <w:r w:rsidRPr="00DF3B61">
        <w:rPr>
          <w:rFonts w:ascii="Arial" w:hAnsi="Arial" w:cs="Arial"/>
        </w:rPr>
        <w:lastRenderedPageBreak/>
        <w:t xml:space="preserve">Within this process, there are certain </w:t>
      </w:r>
      <w:r w:rsidR="000D6CA6" w:rsidRPr="00DF3B61">
        <w:rPr>
          <w:rFonts w:ascii="Arial" w:hAnsi="Arial" w:cs="Arial"/>
        </w:rPr>
        <w:t xml:space="preserve">expectations and </w:t>
      </w:r>
      <w:r w:rsidRPr="00DF3B61">
        <w:rPr>
          <w:rFonts w:ascii="Arial" w:hAnsi="Arial" w:cs="Arial"/>
        </w:rPr>
        <w:t xml:space="preserve">best practices that </w:t>
      </w:r>
      <w:r w:rsidR="000D6CA6" w:rsidRPr="00DF3B61">
        <w:rPr>
          <w:rFonts w:ascii="Arial" w:hAnsi="Arial" w:cs="Arial"/>
        </w:rPr>
        <w:t>guide us</w:t>
      </w:r>
      <w:r w:rsidR="001F2379" w:rsidRPr="00DF3B61">
        <w:rPr>
          <w:rFonts w:ascii="Arial" w:hAnsi="Arial" w:cs="Arial"/>
        </w:rPr>
        <w:t xml:space="preserve"> throughout every project, and these are captured in</w:t>
      </w:r>
      <w:r w:rsidR="000D6CA6" w:rsidRPr="00DF3B61">
        <w:rPr>
          <w:rFonts w:ascii="Arial" w:hAnsi="Arial" w:cs="Arial"/>
        </w:rPr>
        <w:t xml:space="preserve"> specific guidance document</w:t>
      </w:r>
      <w:r w:rsidR="00194658" w:rsidRPr="00DF3B61">
        <w:rPr>
          <w:rFonts w:ascii="Arial" w:hAnsi="Arial" w:cs="Arial"/>
        </w:rPr>
        <w:t xml:space="preserve">ation for exclusive use within the institution. The </w:t>
      </w:r>
      <w:r w:rsidR="004A4319" w:rsidRPr="00DF3B61">
        <w:rPr>
          <w:rFonts w:ascii="Arial" w:hAnsi="Arial" w:cs="Arial"/>
        </w:rPr>
        <w:t>‘</w:t>
      </w:r>
      <w:r w:rsidR="00194658" w:rsidRPr="00DF3B61">
        <w:rPr>
          <w:rFonts w:ascii="Arial" w:hAnsi="Arial" w:cs="Arial"/>
        </w:rPr>
        <w:t>Guide for Con</w:t>
      </w:r>
      <w:r w:rsidR="000D6CA6" w:rsidRPr="00DF3B61">
        <w:rPr>
          <w:rFonts w:ascii="Arial" w:hAnsi="Arial" w:cs="Arial"/>
        </w:rPr>
        <w:t>tent Authors</w:t>
      </w:r>
      <w:r w:rsidR="004A4319" w:rsidRPr="00DF3B61">
        <w:rPr>
          <w:rFonts w:ascii="Arial" w:hAnsi="Arial" w:cs="Arial"/>
        </w:rPr>
        <w:t>’</w:t>
      </w:r>
      <w:r w:rsidR="00194658" w:rsidRPr="00DF3B61">
        <w:rPr>
          <w:rFonts w:ascii="Arial" w:hAnsi="Arial" w:cs="Arial"/>
        </w:rPr>
        <w:t xml:space="preserve"> outlines what academic staff and other project</w:t>
      </w:r>
      <w:r w:rsidR="004A4319" w:rsidRPr="00DF3B61">
        <w:rPr>
          <w:rFonts w:ascii="Arial" w:hAnsi="Arial" w:cs="Arial"/>
        </w:rPr>
        <w:t xml:space="preserve"> stakeholders can expect from the Learning Design process </w:t>
      </w:r>
      <w:r w:rsidR="005E4B8E" w:rsidRPr="00DF3B61">
        <w:rPr>
          <w:rFonts w:ascii="Arial" w:hAnsi="Arial" w:cs="Arial"/>
        </w:rPr>
        <w:t>and</w:t>
      </w:r>
      <w:r w:rsidR="004A4319" w:rsidRPr="00DF3B61">
        <w:rPr>
          <w:rFonts w:ascii="Arial" w:hAnsi="Arial" w:cs="Arial"/>
        </w:rPr>
        <w:t xml:space="preserve"> what is expected of them in terms of provision of content. There is also a Style Guide which is used by the Learning Designers to ensure consistency across project</w:t>
      </w:r>
      <w:r w:rsidR="00A75E2B" w:rsidRPr="00DF3B61">
        <w:rPr>
          <w:rFonts w:ascii="Arial" w:hAnsi="Arial" w:cs="Arial"/>
        </w:rPr>
        <w:t xml:space="preserve">. </w:t>
      </w:r>
    </w:p>
    <w:p w14:paraId="4A0B6BCF" w14:textId="42D983E2" w:rsidR="000B2E71" w:rsidRPr="00C14535" w:rsidRDefault="000B2E71" w:rsidP="002A3382">
      <w:pPr>
        <w:spacing w:line="360" w:lineRule="auto"/>
        <w:jc w:val="both"/>
        <w:rPr>
          <w:rFonts w:ascii="Arial" w:hAnsi="Arial" w:cs="Arial"/>
        </w:rPr>
      </w:pPr>
      <w:r w:rsidRPr="00C14535">
        <w:rPr>
          <w:rFonts w:ascii="Arial" w:hAnsi="Arial" w:cs="Arial"/>
        </w:rPr>
        <w:t xml:space="preserve">Whilst projects vary </w:t>
      </w:r>
      <w:r w:rsidR="00F0543D" w:rsidRPr="00C14535">
        <w:rPr>
          <w:rFonts w:ascii="Arial" w:hAnsi="Arial" w:cs="Arial"/>
        </w:rPr>
        <w:t xml:space="preserve">according to a number of different factors, </w:t>
      </w:r>
      <w:r w:rsidR="000918F2" w:rsidRPr="00C14535">
        <w:rPr>
          <w:rFonts w:ascii="Arial" w:hAnsi="Arial" w:cs="Arial"/>
        </w:rPr>
        <w:t xml:space="preserve">including type of content, project size/scale and target audience, they </w:t>
      </w:r>
      <w:r w:rsidR="00F0543D" w:rsidRPr="00C14535">
        <w:rPr>
          <w:rFonts w:ascii="Arial" w:hAnsi="Arial" w:cs="Arial"/>
        </w:rPr>
        <w:t xml:space="preserve">all share a common </w:t>
      </w:r>
      <w:r w:rsidR="00C14535" w:rsidRPr="00C14535">
        <w:rPr>
          <w:rFonts w:ascii="Arial" w:hAnsi="Arial" w:cs="Arial"/>
        </w:rPr>
        <w:t>purpose: learning.</w:t>
      </w:r>
      <w:r w:rsidR="00F0543D" w:rsidRPr="00C14535">
        <w:rPr>
          <w:rFonts w:ascii="Arial" w:hAnsi="Arial" w:cs="Arial"/>
        </w:rPr>
        <w:t xml:space="preserve"> </w:t>
      </w:r>
    </w:p>
    <w:p w14:paraId="1CE0072F" w14:textId="1E62D582" w:rsidR="00571065" w:rsidRPr="00E80577" w:rsidRDefault="00571065" w:rsidP="002A3382">
      <w:pPr>
        <w:pStyle w:val="Heading2"/>
        <w:spacing w:line="360" w:lineRule="auto"/>
      </w:pPr>
      <w:r w:rsidRPr="00E80577">
        <w:t>Digital Pedagogy</w:t>
      </w:r>
    </w:p>
    <w:p w14:paraId="59805EAE" w14:textId="0F742F78" w:rsidR="00571065" w:rsidRPr="00E80577" w:rsidRDefault="00E80577" w:rsidP="002A3382">
      <w:pPr>
        <w:spacing w:line="360" w:lineRule="auto"/>
        <w:jc w:val="both"/>
        <w:rPr>
          <w:rFonts w:ascii="Arial" w:hAnsi="Arial" w:cs="Arial"/>
        </w:rPr>
      </w:pPr>
      <w:r>
        <w:rPr>
          <w:rFonts w:ascii="Arial" w:hAnsi="Arial" w:cs="Arial"/>
        </w:rPr>
        <w:t>The main purpose of the D</w:t>
      </w:r>
      <w:r w:rsidR="00571065" w:rsidRPr="00E80577">
        <w:rPr>
          <w:rFonts w:ascii="Arial" w:hAnsi="Arial" w:cs="Arial"/>
        </w:rPr>
        <w:t>igital Pedagogy arm of the Digital Learning Team</w:t>
      </w:r>
      <w:r>
        <w:rPr>
          <w:rFonts w:ascii="Arial" w:hAnsi="Arial" w:cs="Arial"/>
        </w:rPr>
        <w:t xml:space="preserve"> is to provide digital pedagogy support to academic colleagues, in which we develop training and resources to disseminate good practice from across the EdTech sector</w:t>
      </w:r>
      <w:r w:rsidR="00A75E2B">
        <w:rPr>
          <w:rFonts w:ascii="Arial" w:hAnsi="Arial" w:cs="Arial"/>
        </w:rPr>
        <w:t xml:space="preserve">. </w:t>
      </w:r>
    </w:p>
    <w:p w14:paraId="4CF55404" w14:textId="77777777" w:rsidR="00571065" w:rsidRPr="00E80577" w:rsidRDefault="00571065" w:rsidP="002A3382">
      <w:pPr>
        <w:spacing w:line="360" w:lineRule="auto"/>
        <w:jc w:val="both"/>
        <w:rPr>
          <w:rFonts w:ascii="Arial" w:hAnsi="Arial" w:cs="Arial"/>
        </w:rPr>
      </w:pPr>
      <w:r w:rsidRPr="00E80577">
        <w:rPr>
          <w:rFonts w:ascii="Arial" w:hAnsi="Arial" w:cs="Arial"/>
        </w:rPr>
        <w:t xml:space="preserve">This has been outlined in a three tiered support structure (see </w:t>
      </w:r>
      <w:r w:rsidRPr="00E80577">
        <w:rPr>
          <w:rFonts w:ascii="Arial" w:hAnsi="Arial" w:cs="Arial"/>
          <w:i/>
          <w:iCs/>
        </w:rPr>
        <w:t>Figure 3</w:t>
      </w:r>
      <w:r w:rsidRPr="00E80577">
        <w:rPr>
          <w:rFonts w:ascii="Arial" w:hAnsi="Arial" w:cs="Arial"/>
        </w:rPr>
        <w:t xml:space="preserve"> below), which has been established </w:t>
      </w:r>
      <w:r w:rsidRPr="00E80577">
        <w:rPr>
          <w:rStyle w:val="normaltextrun"/>
          <w:rFonts w:ascii="Arial" w:hAnsi="Arial" w:cs="Arial"/>
          <w:shd w:val="clear" w:color="auto" w:fill="FFFFFF"/>
        </w:rPr>
        <w:t>to signpost resources to staff.</w:t>
      </w:r>
    </w:p>
    <w:p w14:paraId="7AA50BE5" w14:textId="77777777" w:rsidR="00571065" w:rsidRPr="00E80577" w:rsidRDefault="00571065" w:rsidP="002A3382">
      <w:pPr>
        <w:spacing w:line="360" w:lineRule="auto"/>
        <w:rPr>
          <w:rFonts w:ascii="Arial" w:hAnsi="Arial" w:cs="Arial"/>
        </w:rPr>
      </w:pPr>
      <w:r w:rsidRPr="00E80577">
        <w:rPr>
          <w:rFonts w:ascii="Arial" w:hAnsi="Arial" w:cs="Arial"/>
          <w:noProof/>
        </w:rPr>
        <mc:AlternateContent>
          <mc:Choice Requires="wps">
            <w:drawing>
              <wp:inline distT="0" distB="0" distL="0" distR="0" wp14:anchorId="30AB9D12" wp14:editId="42B593BB">
                <wp:extent cx="2946400" cy="635"/>
                <wp:effectExtent l="0" t="0" r="6350" b="0"/>
                <wp:docPr id="4" name="Text Box 4"/>
                <wp:cNvGraphicFramePr/>
                <a:graphic xmlns:a="http://schemas.openxmlformats.org/drawingml/2006/main">
                  <a:graphicData uri="http://schemas.microsoft.com/office/word/2010/wordprocessingShape">
                    <wps:wsp>
                      <wps:cNvSpPr txBox="1"/>
                      <wps:spPr>
                        <a:xfrm>
                          <a:off x="0" y="0"/>
                          <a:ext cx="2946400" cy="635"/>
                        </a:xfrm>
                        <a:prstGeom prst="rect">
                          <a:avLst/>
                        </a:prstGeom>
                        <a:solidFill>
                          <a:prstClr val="white"/>
                        </a:solidFill>
                        <a:ln>
                          <a:noFill/>
                        </a:ln>
                      </wps:spPr>
                      <wps:txbx>
                        <w:txbxContent>
                          <w:p w14:paraId="5B531DB6" w14:textId="55604264" w:rsidR="00571065" w:rsidRDefault="00571065" w:rsidP="00571065">
                            <w:pPr>
                              <w:pStyle w:val="Caption"/>
                              <w:rPr>
                                <w:noProof/>
                              </w:rPr>
                            </w:pPr>
                            <w:r>
                              <w:t xml:space="preserve">Figure </w:t>
                            </w:r>
                            <w:r>
                              <w:fldChar w:fldCharType="begin"/>
                            </w:r>
                            <w:r>
                              <w:instrText xml:space="preserve"> SEQ Figure \* ARABIC </w:instrText>
                            </w:r>
                            <w:r>
                              <w:fldChar w:fldCharType="separate"/>
                            </w:r>
                            <w:r w:rsidR="00D04EE8">
                              <w:rPr>
                                <w:noProof/>
                              </w:rPr>
                              <w:t>4</w:t>
                            </w:r>
                            <w:r>
                              <w:rPr>
                                <w:noProof/>
                              </w:rPr>
                              <w:fldChar w:fldCharType="end"/>
                            </w:r>
                            <w:r>
                              <w:t xml:space="preserve"> - Digital Pedagogy Support Structure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30AB9D12" id="Text Box 4" o:spid="_x0000_s1027" type="#_x0000_t202" style="width:23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mPTGAIAAD8EAAAOAAAAZHJzL2Uyb0RvYy54bWysU8Fu2zAMvQ/YPwi6L06yLli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" stroked="f">
                <v:textbox style="mso-fit-shape-to-text:t" inset="0,0,0,0">
                  <w:txbxContent>
                    <w:p w14:paraId="5B531DB6" w14:textId="55604264" w:rsidR="00571065" w:rsidRDefault="00571065" w:rsidP="00571065">
                      <w:pPr>
                        <w:pStyle w:val="Caption"/>
                        <w:rPr>
                          <w:noProof/>
                        </w:rPr>
                      </w:pPr>
                      <w:r>
                        <w:t xml:space="preserve">Figure </w:t>
                      </w:r>
                      <w:r>
                        <w:fldChar w:fldCharType="begin"/>
                      </w:r>
                      <w:r>
                        <w:instrText xml:space="preserve"> SEQ Figure \* ARABIC </w:instrText>
                      </w:r>
                      <w:r>
                        <w:fldChar w:fldCharType="separate"/>
                      </w:r>
                      <w:r w:rsidR="00D04EE8">
                        <w:rPr>
                          <w:noProof/>
                        </w:rPr>
                        <w:t>4</w:t>
                      </w:r>
                      <w:r>
                        <w:rPr>
                          <w:noProof/>
                        </w:rPr>
                        <w:fldChar w:fldCharType="end"/>
                      </w:r>
                      <w:r>
                        <w:t xml:space="preserve"> - Digital Pedagogy Support Structure</w:t>
                      </w:r>
                    </w:p>
                  </w:txbxContent>
                </v:textbox>
                <w10:anchorlock/>
              </v:shape>
            </w:pict>
          </mc:Fallback>
        </mc:AlternateContent>
      </w:r>
      <w:r w:rsidRPr="00E80577">
        <w:rPr>
          <w:rFonts w:ascii="Arial" w:hAnsi="Arial" w:cs="Arial"/>
          <w:noProof/>
        </w:rPr>
        <w:drawing>
          <wp:anchor distT="0" distB="0" distL="114300" distR="114300" simplePos="0" relativeHeight="251661312" behindDoc="0" locked="0" layoutInCell="1" allowOverlap="1" wp14:anchorId="4AF13EC1" wp14:editId="24015971">
            <wp:simplePos x="0" y="0"/>
            <wp:positionH relativeFrom="margin">
              <wp:align>center</wp:align>
            </wp:positionH>
            <wp:positionV relativeFrom="paragraph">
              <wp:posOffset>217805</wp:posOffset>
            </wp:positionV>
            <wp:extent cx="2946400" cy="2286000"/>
            <wp:effectExtent l="19050" t="0" r="44450" b="38100"/>
            <wp:wrapTopAndBottom/>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anchor>
        </w:drawing>
      </w:r>
    </w:p>
    <w:p w14:paraId="28C6465B" w14:textId="473F3A79" w:rsidR="00571065" w:rsidRPr="00E80577" w:rsidRDefault="00571065" w:rsidP="002A3382">
      <w:pPr>
        <w:spacing w:line="360" w:lineRule="auto"/>
        <w:jc w:val="both"/>
        <w:rPr>
          <w:rFonts w:ascii="Arial" w:hAnsi="Arial" w:cs="Arial"/>
          <w:shd w:val="clear" w:color="auto" w:fill="FFFFFF"/>
        </w:rPr>
      </w:pPr>
      <w:r w:rsidRPr="00E80577">
        <w:rPr>
          <w:rStyle w:val="normaltextrun"/>
          <w:rFonts w:ascii="Arial" w:hAnsi="Arial" w:cs="Arial"/>
          <w:shd w:val="clear" w:color="auto" w:fill="FFFFFF"/>
        </w:rPr>
        <w:t>At level 3, staff can access self-help resources and support, and access scheduled training sessions</w:t>
      </w:r>
      <w:r w:rsidR="002C6530">
        <w:rPr>
          <w:rStyle w:val="normaltextrun"/>
          <w:rFonts w:ascii="Arial" w:hAnsi="Arial" w:cs="Arial"/>
          <w:shd w:val="clear" w:color="auto" w:fill="FFFFFF"/>
        </w:rPr>
        <w:t>; at</w:t>
      </w:r>
      <w:r w:rsidRPr="00E80577">
        <w:rPr>
          <w:rStyle w:val="eop"/>
          <w:rFonts w:ascii="Arial" w:hAnsi="Arial" w:cs="Arial"/>
          <w:shd w:val="clear" w:color="auto" w:fill="FFFFFF"/>
        </w:rPr>
        <w:t xml:space="preserve"> </w:t>
      </w:r>
      <w:r w:rsidRPr="00E80577">
        <w:rPr>
          <w:rStyle w:val="normaltextrun"/>
          <w:rFonts w:ascii="Arial" w:hAnsi="Arial" w:cs="Arial"/>
          <w:shd w:val="clear" w:color="auto" w:fill="FFFFFF"/>
        </w:rPr>
        <w:t>level 2, staff can access ad hoc support and suggestions for digital tools from the Digital Learning team</w:t>
      </w:r>
      <w:r w:rsidR="002C6530">
        <w:rPr>
          <w:rStyle w:val="normaltextrun"/>
          <w:rFonts w:ascii="Arial" w:hAnsi="Arial" w:cs="Arial"/>
          <w:shd w:val="clear" w:color="auto" w:fill="FFFFFF"/>
        </w:rPr>
        <w:t xml:space="preserve">; </w:t>
      </w:r>
      <w:r w:rsidRPr="00E80577">
        <w:rPr>
          <w:rStyle w:val="eop"/>
          <w:rFonts w:ascii="Arial" w:hAnsi="Arial" w:cs="Arial"/>
          <w:shd w:val="clear" w:color="auto" w:fill="FFFFFF"/>
        </w:rPr>
        <w:t xml:space="preserve">at </w:t>
      </w:r>
      <w:r w:rsidRPr="00E80577">
        <w:rPr>
          <w:rStyle w:val="normaltextrun"/>
          <w:rFonts w:ascii="Arial" w:hAnsi="Arial" w:cs="Arial"/>
          <w:shd w:val="clear" w:color="auto" w:fill="FFFFFF"/>
        </w:rPr>
        <w:t xml:space="preserve">level 1, more bespoke support is provided, including on-demand training. </w:t>
      </w:r>
    </w:p>
    <w:p w14:paraId="43EAB8E8" w14:textId="4FF4247D" w:rsidR="00C72C19" w:rsidRDefault="00571065" w:rsidP="002A3382">
      <w:pPr>
        <w:spacing w:line="360" w:lineRule="auto"/>
        <w:jc w:val="both"/>
        <w:rPr>
          <w:rFonts w:ascii="Arial" w:hAnsi="Arial" w:cs="Arial"/>
        </w:rPr>
      </w:pPr>
      <w:r w:rsidRPr="00E80577">
        <w:rPr>
          <w:rFonts w:ascii="Arial" w:hAnsi="Arial" w:cs="Arial"/>
        </w:rPr>
        <w:t>Ultimately, we try to be as proactive</w:t>
      </w:r>
      <w:r w:rsidR="00903FE9" w:rsidRPr="00903FE9">
        <w:rPr>
          <w:rFonts w:ascii="Arial" w:hAnsi="Arial" w:cs="Arial"/>
        </w:rPr>
        <w:t xml:space="preserve"> </w:t>
      </w:r>
      <w:r w:rsidR="00903FE9" w:rsidRPr="00E80577">
        <w:rPr>
          <w:rFonts w:ascii="Arial" w:hAnsi="Arial" w:cs="Arial"/>
        </w:rPr>
        <w:t>as possible</w:t>
      </w:r>
      <w:r w:rsidR="00A40549">
        <w:rPr>
          <w:rFonts w:ascii="Arial" w:hAnsi="Arial" w:cs="Arial"/>
        </w:rPr>
        <w:t xml:space="preserve"> by keeping abreast of sector changes and conducting research,</w:t>
      </w:r>
      <w:r w:rsidRPr="00E80577">
        <w:rPr>
          <w:rFonts w:ascii="Arial" w:hAnsi="Arial" w:cs="Arial"/>
        </w:rPr>
        <w:t xml:space="preserve"> but naturally </w:t>
      </w:r>
      <w:r w:rsidR="00E80577">
        <w:rPr>
          <w:rFonts w:ascii="Arial" w:hAnsi="Arial" w:cs="Arial"/>
        </w:rPr>
        <w:t xml:space="preserve">there </w:t>
      </w:r>
      <w:r w:rsidRPr="00E80577">
        <w:rPr>
          <w:rFonts w:ascii="Arial" w:hAnsi="Arial" w:cs="Arial"/>
        </w:rPr>
        <w:t xml:space="preserve">are occasions in which we have to be reactive the needs of staff and students within our organisation and from our partner institutions. </w:t>
      </w:r>
    </w:p>
    <w:p w14:paraId="718CD996" w14:textId="149F771B" w:rsidR="00C72C19" w:rsidRPr="00E80577" w:rsidRDefault="00246B19" w:rsidP="002A3382">
      <w:pPr>
        <w:pStyle w:val="Heading2"/>
        <w:spacing w:line="360" w:lineRule="auto"/>
      </w:pPr>
      <w:r w:rsidRPr="00E80577">
        <w:lastRenderedPageBreak/>
        <w:t>Research focus</w:t>
      </w:r>
      <w:r w:rsidR="00C72C19" w:rsidRPr="00E80577">
        <w:t xml:space="preserve"> </w:t>
      </w:r>
    </w:p>
    <w:p w14:paraId="700374A0" w14:textId="2FA55F52" w:rsidR="007C2B0F" w:rsidRPr="00C72C19" w:rsidRDefault="00E1497D" w:rsidP="002A3382">
      <w:pPr>
        <w:spacing w:line="360" w:lineRule="auto"/>
        <w:jc w:val="both"/>
        <w:rPr>
          <w:rFonts w:ascii="Arial" w:hAnsi="Arial" w:cs="Arial"/>
        </w:rPr>
      </w:pPr>
      <w:r w:rsidRPr="00246B19">
        <w:rPr>
          <w:rFonts w:ascii="Arial" w:hAnsi="Arial" w:cs="Arial"/>
        </w:rPr>
        <w:t xml:space="preserve">For the purposes of this essay, I am going to focus </w:t>
      </w:r>
      <w:r w:rsidR="00EF4EC3" w:rsidRPr="00246B19">
        <w:rPr>
          <w:rFonts w:ascii="Arial" w:hAnsi="Arial" w:cs="Arial"/>
        </w:rPr>
        <w:t xml:space="preserve">on Learning Design and developing an approach which satisfies the needs of this </w:t>
      </w:r>
      <w:r w:rsidR="00E4600A" w:rsidRPr="00246B19">
        <w:rPr>
          <w:rFonts w:ascii="Arial" w:hAnsi="Arial" w:cs="Arial"/>
        </w:rPr>
        <w:t xml:space="preserve">function of the team. </w:t>
      </w:r>
      <w:r w:rsidR="00246B19" w:rsidRPr="00246B19">
        <w:rPr>
          <w:rFonts w:ascii="Arial" w:hAnsi="Arial" w:cs="Arial"/>
        </w:rPr>
        <w:t xml:space="preserve">This is </w:t>
      </w:r>
      <w:r w:rsidR="00E4600A" w:rsidRPr="00246B19">
        <w:rPr>
          <w:rFonts w:ascii="Arial" w:hAnsi="Arial" w:cs="Arial"/>
        </w:rPr>
        <w:t xml:space="preserve">However, I am keen to </w:t>
      </w:r>
      <w:r w:rsidR="005E4B8E" w:rsidRPr="00246B19">
        <w:rPr>
          <w:rFonts w:ascii="Arial" w:hAnsi="Arial" w:cs="Arial"/>
        </w:rPr>
        <w:t>use</w:t>
      </w:r>
      <w:r w:rsidR="00E4600A" w:rsidRPr="00246B19">
        <w:rPr>
          <w:rFonts w:ascii="Arial" w:hAnsi="Arial" w:cs="Arial"/>
        </w:rPr>
        <w:t xml:space="preserve"> my developing knowledge and understanding of project management approaches in the future to</w:t>
      </w:r>
      <w:r w:rsidR="00C72C19" w:rsidRPr="00246B19">
        <w:rPr>
          <w:rFonts w:ascii="Arial" w:hAnsi="Arial" w:cs="Arial"/>
        </w:rPr>
        <w:t xml:space="preserve"> develop an equally suitable approach for the Digital Pedagogy function of the team.</w:t>
      </w:r>
      <w:r w:rsidR="007C2B0F" w:rsidRPr="00C72C19">
        <w:rPr>
          <w:rFonts w:ascii="Arial" w:hAnsi="Arial" w:cs="Arial"/>
        </w:rPr>
        <w:br w:type="page"/>
      </w:r>
    </w:p>
    <w:p w14:paraId="2A1B6BFD" w14:textId="77777777" w:rsidR="00045660" w:rsidRPr="002A3382" w:rsidRDefault="00045660" w:rsidP="002A3382">
      <w:pPr>
        <w:pStyle w:val="Heading1"/>
        <w:spacing w:line="360" w:lineRule="auto"/>
      </w:pPr>
      <w:r w:rsidRPr="002A3382">
        <w:lastRenderedPageBreak/>
        <w:t>Approach 1 – Waterfall</w:t>
      </w:r>
    </w:p>
    <w:p w14:paraId="790A8693" w14:textId="77777777" w:rsidR="00045660" w:rsidRPr="004F2831" w:rsidRDefault="00045660" w:rsidP="002A3382">
      <w:pPr>
        <w:spacing w:line="360" w:lineRule="auto"/>
        <w:jc w:val="both"/>
        <w:rPr>
          <w:rFonts w:ascii="Arial" w:hAnsi="Arial" w:cs="Arial"/>
        </w:rPr>
      </w:pPr>
      <w:r w:rsidRPr="004F2831">
        <w:rPr>
          <w:rFonts w:ascii="Arial" w:hAnsi="Arial" w:cs="Arial"/>
        </w:rPr>
        <w:t xml:space="preserve">In each section, an overview will be provided of the key characteristics of each respective project management approach, as well as a consideration of the key affordances and limitations of each approach, according to key literature. Subsequently, these considerations will be used to present recommendations for a project management approach in the context of the workplace. </w:t>
      </w:r>
    </w:p>
    <w:p w14:paraId="23D9A20D" w14:textId="77777777" w:rsidR="00045660" w:rsidRPr="002A3382" w:rsidRDefault="00045660" w:rsidP="002A3382">
      <w:pPr>
        <w:pStyle w:val="Heading2"/>
        <w:spacing w:line="360" w:lineRule="auto"/>
      </w:pPr>
      <w:r w:rsidRPr="002A3382">
        <w:t>Overview of waterfall approach</w:t>
      </w:r>
    </w:p>
    <w:p w14:paraId="6F2A8EE2" w14:textId="77777777" w:rsidR="00045660" w:rsidRPr="004F2831" w:rsidRDefault="00045660" w:rsidP="002A3382">
      <w:pPr>
        <w:spacing w:line="360" w:lineRule="auto"/>
        <w:jc w:val="both"/>
        <w:rPr>
          <w:rFonts w:ascii="Arial" w:hAnsi="Arial" w:cs="Arial"/>
        </w:rPr>
      </w:pPr>
      <w:r w:rsidRPr="004F2831">
        <w:rPr>
          <w:rFonts w:ascii="Arial" w:hAnsi="Arial" w:cs="Arial"/>
        </w:rPr>
        <w:t xml:space="preserve">Verzuh denotes that ‘the term </w:t>
      </w:r>
      <w:r w:rsidRPr="004F2831">
        <w:rPr>
          <w:rFonts w:ascii="Arial" w:hAnsi="Arial" w:cs="Arial"/>
          <w:i/>
          <w:iCs/>
        </w:rPr>
        <w:t>waterfall</w:t>
      </w:r>
      <w:r w:rsidRPr="004F2831">
        <w:rPr>
          <w:rFonts w:ascii="Arial" w:hAnsi="Arial" w:cs="Arial"/>
        </w:rPr>
        <w:t xml:space="preserve"> emerged to emphasize that this is a one-way process: requirements are gathered, and design is based upon the requirements’ (2021, p.59). Furthermore, ‘the waterfall method features a series of logical phases in which progress flows from one phase to the next’ (Larson et al., 2014, p.592)</w:t>
      </w:r>
    </w:p>
    <w:p w14:paraId="4EB85CDA" w14:textId="77777777" w:rsidR="00045660" w:rsidRPr="004F2831" w:rsidRDefault="00045660" w:rsidP="002A3382">
      <w:pPr>
        <w:spacing w:line="360" w:lineRule="auto"/>
        <w:jc w:val="both"/>
        <w:rPr>
          <w:rStyle w:val="markedcontent"/>
          <w:rFonts w:ascii="Arial" w:hAnsi="Arial" w:cs="Arial"/>
        </w:rPr>
      </w:pPr>
      <w:r w:rsidRPr="004F2831">
        <w:rPr>
          <w:rFonts w:ascii="Arial" w:hAnsi="Arial" w:cs="Arial"/>
        </w:rPr>
        <w:t>It is well publicised in project management literature that at a high level, ‘s</w:t>
      </w:r>
      <w:r w:rsidRPr="004F2831">
        <w:rPr>
          <w:rStyle w:val="markedcontent"/>
          <w:rFonts w:ascii="Arial" w:hAnsi="Arial" w:cs="Arial"/>
        </w:rPr>
        <w:t xml:space="preserve">tandard project cycles involve five phases, including initiation, planning, execution, control, and closing’ (Gablas et al., 2018, p.3). This linear structure often takes the form of a diagram in much of the literature. </w:t>
      </w:r>
    </w:p>
    <w:p w14:paraId="11CEEEA4" w14:textId="77777777" w:rsidR="00045660" w:rsidRPr="004F2831" w:rsidRDefault="00045660" w:rsidP="002A3382">
      <w:pPr>
        <w:spacing w:line="360" w:lineRule="auto"/>
        <w:jc w:val="both"/>
        <w:rPr>
          <w:rFonts w:ascii="Arial" w:hAnsi="Arial" w:cs="Arial"/>
        </w:rPr>
      </w:pPr>
      <w:r w:rsidRPr="004F2831">
        <w:rPr>
          <w:rStyle w:val="markedcontent"/>
          <w:rFonts w:ascii="Arial" w:hAnsi="Arial" w:cs="Arial"/>
        </w:rPr>
        <w:t>According to Thesing et al., ‘c</w:t>
      </w:r>
      <w:r w:rsidRPr="004F2831">
        <w:rPr>
          <w:rFonts w:ascii="Arial" w:hAnsi="Arial" w:cs="Arial"/>
        </w:rPr>
        <w:t>lassical project management is characterized by holistic planning in advance, stability, a long-term perspective (…); the scope of a classical project is clear, possibly with a foreseeable evolution’ (2021, p.749).</w:t>
      </w:r>
    </w:p>
    <w:p w14:paraId="4AA5BC14" w14:textId="77777777" w:rsidR="00045660" w:rsidRPr="004F2831" w:rsidRDefault="00045660" w:rsidP="002A3382">
      <w:pPr>
        <w:spacing w:line="360" w:lineRule="auto"/>
        <w:jc w:val="both"/>
        <w:rPr>
          <w:rFonts w:ascii="Arial" w:hAnsi="Arial" w:cs="Arial"/>
        </w:rPr>
      </w:pPr>
      <w:r w:rsidRPr="004F2831">
        <w:rPr>
          <w:rFonts w:ascii="Arial" w:hAnsi="Arial" w:cs="Arial"/>
        </w:rPr>
        <w:t>More specifically, projects that fall into the traditional project management approach have several distinguishing features: low complexity, few scope change requests, well-understood technology infrastructure, low risk, and experienced and skilled project teams. (Wysocki et al., 2014, pp.43-45)</w:t>
      </w:r>
    </w:p>
    <w:p w14:paraId="532D3570" w14:textId="77777777" w:rsidR="00045660" w:rsidRPr="002A3382" w:rsidRDefault="00045660" w:rsidP="002A3382">
      <w:pPr>
        <w:pStyle w:val="Heading2"/>
        <w:spacing w:line="360" w:lineRule="auto"/>
      </w:pPr>
      <w:r w:rsidRPr="002A3382">
        <w:t>Affordances</w:t>
      </w:r>
    </w:p>
    <w:p w14:paraId="0867F24B" w14:textId="4DACF864" w:rsidR="00045660" w:rsidRPr="002A3382" w:rsidRDefault="008F3D36" w:rsidP="002A3382">
      <w:pPr>
        <w:pStyle w:val="Heading3"/>
        <w:spacing w:line="360" w:lineRule="auto"/>
      </w:pPr>
      <w:r w:rsidRPr="002A3382">
        <w:t>Rigid structure</w:t>
      </w:r>
      <w:r w:rsidR="00045660" w:rsidRPr="002A3382">
        <w:t xml:space="preserve"> </w:t>
      </w:r>
    </w:p>
    <w:p w14:paraId="16C6CA3E" w14:textId="77777777" w:rsidR="00045660" w:rsidRPr="004F2831" w:rsidRDefault="00045660" w:rsidP="002A3382">
      <w:pPr>
        <w:spacing w:line="360" w:lineRule="auto"/>
        <w:jc w:val="both"/>
        <w:rPr>
          <w:rFonts w:ascii="Arial" w:hAnsi="Arial" w:cs="Arial"/>
        </w:rPr>
      </w:pPr>
      <w:r w:rsidRPr="004F2831">
        <w:rPr>
          <w:rFonts w:ascii="Arial" w:hAnsi="Arial" w:cs="Arial"/>
        </w:rPr>
        <w:t>The literature indicates that there are numerous affordances offered by the waterfall approach. Thesing et al. (2021, p.750) suggest that ‘the key advantages of classical project management are the fixed processes with clear roles and responsibilities, and stable, systematic, and documented planning’. This is an indication that waterfall is structured and rigid in its approach.</w:t>
      </w:r>
    </w:p>
    <w:p w14:paraId="63495954" w14:textId="77777777" w:rsidR="00045660" w:rsidRPr="002A3382" w:rsidRDefault="00045660" w:rsidP="002A3382">
      <w:pPr>
        <w:pStyle w:val="Heading3"/>
        <w:spacing w:line="360" w:lineRule="auto"/>
      </w:pPr>
      <w:r w:rsidRPr="002A3382">
        <w:t>Low risk and low uncertainty</w:t>
      </w:r>
    </w:p>
    <w:p w14:paraId="0FF4DD2F" w14:textId="77777777" w:rsidR="00045660" w:rsidRPr="004F2831" w:rsidRDefault="00045660" w:rsidP="002A3382">
      <w:pPr>
        <w:spacing w:line="360" w:lineRule="auto"/>
        <w:jc w:val="both"/>
        <w:rPr>
          <w:rFonts w:ascii="Arial" w:hAnsi="Arial" w:cs="Arial"/>
        </w:rPr>
      </w:pPr>
      <w:r w:rsidRPr="004F2831">
        <w:rPr>
          <w:rFonts w:ascii="Arial" w:hAnsi="Arial" w:cs="Arial"/>
        </w:rPr>
        <w:t xml:space="preserve">There is also an element of predictability to this approach, thus contributing to lower levels of risk and uncertainty. </w:t>
      </w:r>
    </w:p>
    <w:p w14:paraId="3FD61C9B" w14:textId="77777777" w:rsidR="00045660" w:rsidRPr="004F2831" w:rsidRDefault="00045660" w:rsidP="002A3382">
      <w:pPr>
        <w:spacing w:line="360" w:lineRule="auto"/>
        <w:jc w:val="both"/>
        <w:rPr>
          <w:rFonts w:ascii="Arial" w:hAnsi="Arial" w:cs="Arial"/>
        </w:rPr>
      </w:pPr>
      <w:r w:rsidRPr="004F2831">
        <w:rPr>
          <w:rFonts w:ascii="Arial" w:hAnsi="Arial" w:cs="Arial"/>
        </w:rPr>
        <w:lastRenderedPageBreak/>
        <w:t xml:space="preserve">Firstly, in waterfall projects ‘the business environ is stable and foreseeable’ (Muhammad et al., 2021, p.5) and so too are the demands of the client throughout the process. This demonstrates a low risk attitude within the approach. </w:t>
      </w:r>
    </w:p>
    <w:p w14:paraId="1414398F" w14:textId="77777777" w:rsidR="00045660" w:rsidRPr="004F2831" w:rsidRDefault="00045660" w:rsidP="002A3382">
      <w:pPr>
        <w:spacing w:line="360" w:lineRule="auto"/>
        <w:jc w:val="both"/>
        <w:rPr>
          <w:rFonts w:ascii="Arial" w:hAnsi="Arial" w:cs="Arial"/>
        </w:rPr>
      </w:pPr>
      <w:r w:rsidRPr="004F2831">
        <w:rPr>
          <w:rFonts w:ascii="Arial" w:hAnsi="Arial" w:cs="Arial"/>
        </w:rPr>
        <w:t>Additionally, Larson et al. highlight that ‘traditional project management requires a fairly high degree of predictability to be effective’ (2014, p.592). This is further supported by Thesing et al. (2021, p.750) such that ‘the ability to predict the capacities of the team members (based on the planning) and the measurability of the project progress (by planned milestones) are perceived as beneficial’. These imply how these key characteristics are perceived to be beneficial.</w:t>
      </w:r>
    </w:p>
    <w:p w14:paraId="66F0CEDB" w14:textId="77777777" w:rsidR="00045660" w:rsidRPr="002A3382" w:rsidRDefault="00045660" w:rsidP="002A3382">
      <w:pPr>
        <w:pStyle w:val="Heading3"/>
        <w:spacing w:line="360" w:lineRule="auto"/>
      </w:pPr>
      <w:r w:rsidRPr="002A3382">
        <w:t xml:space="preserve">Low complexity </w:t>
      </w:r>
    </w:p>
    <w:p w14:paraId="3F3C9255" w14:textId="77777777" w:rsidR="00045660" w:rsidRPr="004F2831" w:rsidRDefault="00045660" w:rsidP="002A3382">
      <w:pPr>
        <w:spacing w:line="360" w:lineRule="auto"/>
        <w:jc w:val="both"/>
        <w:rPr>
          <w:rFonts w:ascii="Arial" w:hAnsi="Arial" w:cs="Arial"/>
        </w:rPr>
      </w:pPr>
      <w:r w:rsidRPr="004F2831">
        <w:rPr>
          <w:rFonts w:ascii="Arial" w:hAnsi="Arial" w:cs="Arial"/>
        </w:rPr>
        <w:t xml:space="preserve">Another fundamental trait of the waterfall approach appears to be simplicity. </w:t>
      </w:r>
    </w:p>
    <w:p w14:paraId="11C69A81" w14:textId="77777777" w:rsidR="00045660" w:rsidRPr="004F2831" w:rsidRDefault="00045660" w:rsidP="002A3382">
      <w:pPr>
        <w:spacing w:line="360" w:lineRule="auto"/>
        <w:jc w:val="both"/>
        <w:rPr>
          <w:rFonts w:ascii="Arial" w:hAnsi="Arial" w:cs="Arial"/>
        </w:rPr>
      </w:pPr>
      <w:r w:rsidRPr="004F2831">
        <w:rPr>
          <w:rFonts w:ascii="Arial" w:hAnsi="Arial" w:cs="Arial"/>
        </w:rPr>
        <w:t xml:space="preserve">Firstly, Wysocki et al. indicate that ‘because these projects have been done many times, they will often depend on a relatively complete set of templates for their execution’ (2014, p.43), signifying that there is a low level of complexity involved in waterfall managed projects due to repeated use of the same, linear model. </w:t>
      </w:r>
    </w:p>
    <w:p w14:paraId="0B21EF41" w14:textId="77777777" w:rsidR="00045660" w:rsidRPr="004F2831" w:rsidRDefault="00045660" w:rsidP="002A3382">
      <w:pPr>
        <w:spacing w:line="360" w:lineRule="auto"/>
        <w:jc w:val="both"/>
        <w:rPr>
          <w:rFonts w:ascii="Arial" w:hAnsi="Arial" w:cs="Arial"/>
        </w:rPr>
      </w:pPr>
      <w:r w:rsidRPr="004F2831">
        <w:rPr>
          <w:rFonts w:ascii="Arial" w:hAnsi="Arial" w:cs="Arial"/>
        </w:rPr>
        <w:t xml:space="preserve">Secondly, Muhammad et al. (2021, p.5) suggests that in this approach, ‘solutions are clear’, namely ‘detailed plans along with the project’s specifications are available to proceed with’, and Lal (2018, p.50) purports that ‘the project documents in the Waterfall methodology try to bring out the single version of the truth in a project’. This indicates that in the waterfall approach there is less scope for misinterpretation and therefore, potentially, less complexity. This transparency in documentation also facilitates the swift integration of additional stakeholders at any point during the process, such that in the eventuality of additional stakeholders becoming part of the project at a later stage, they can readily be brought up to speed on progress to date. </w:t>
      </w:r>
    </w:p>
    <w:p w14:paraId="2FE4406B" w14:textId="77777777" w:rsidR="00045660" w:rsidRPr="004F2831" w:rsidRDefault="00045660" w:rsidP="002A3382">
      <w:pPr>
        <w:spacing w:line="360" w:lineRule="auto"/>
        <w:jc w:val="both"/>
        <w:rPr>
          <w:rFonts w:ascii="Arial" w:hAnsi="Arial" w:cs="Arial"/>
        </w:rPr>
      </w:pPr>
      <w:r w:rsidRPr="004F2831">
        <w:rPr>
          <w:rFonts w:ascii="Arial" w:hAnsi="Arial" w:cs="Arial"/>
        </w:rPr>
        <w:t>Moreover, in a study conducted by Thesing et al. (2021, p.749), ‘interviewees all shared the opinion that the requirements for documentation and the compilation of high-quality documentation are very important for a successful project’. This demonstrates the significance of documentation in a project, both in terms of reducing levels of complexity throughout the process, and also as an indicator of project success.</w:t>
      </w:r>
    </w:p>
    <w:p w14:paraId="62881E5D" w14:textId="77777777" w:rsidR="00045660" w:rsidRPr="002A3382" w:rsidRDefault="00045660" w:rsidP="002A3382">
      <w:pPr>
        <w:pStyle w:val="Heading2"/>
        <w:spacing w:line="360" w:lineRule="auto"/>
      </w:pPr>
      <w:r w:rsidRPr="002A3382">
        <w:t>Limitations</w:t>
      </w:r>
    </w:p>
    <w:p w14:paraId="1B01B94B" w14:textId="77777777" w:rsidR="00045660" w:rsidRPr="002A3382" w:rsidRDefault="00045660" w:rsidP="002A3382">
      <w:pPr>
        <w:pStyle w:val="Heading3"/>
        <w:spacing w:line="360" w:lineRule="auto"/>
      </w:pPr>
      <w:r w:rsidRPr="002A3382">
        <w:t xml:space="preserve">Increased risk and uncertainty </w:t>
      </w:r>
    </w:p>
    <w:p w14:paraId="2C2E2E1E" w14:textId="77777777" w:rsidR="00045660" w:rsidRPr="004F2831" w:rsidRDefault="00045660" w:rsidP="002A3382">
      <w:pPr>
        <w:spacing w:after="0" w:line="360" w:lineRule="auto"/>
        <w:jc w:val="both"/>
        <w:rPr>
          <w:rFonts w:ascii="Arial" w:hAnsi="Arial" w:cs="Arial"/>
        </w:rPr>
      </w:pPr>
      <w:r w:rsidRPr="004F2831">
        <w:rPr>
          <w:rFonts w:ascii="Arial" w:hAnsi="Arial" w:cs="Arial"/>
        </w:rPr>
        <w:t xml:space="preserve">One limitation of the approach seems to be the requirement of the client to provide all necessary information at the outset of the process. As such, ‘customers are often overburdened with the need to specify all requirements clearly and in detail at the very </w:t>
      </w:r>
      <w:r w:rsidRPr="004F2831">
        <w:rPr>
          <w:rFonts w:ascii="Arial" w:hAnsi="Arial" w:cs="Arial"/>
        </w:rPr>
        <w:lastRenderedPageBreak/>
        <w:t>beginning of the project, which means that planning is fraught with uncertainty’ (Thesing et al, 2021, p.751). Additionally, Larson at al. (2014) imply that these requirements can change and that customers frequently find it difficult to articulate exactly what they want. Specifically, ‘in many cases, customers only begin to understand what they actually desire when they are provided with someone’s impression of what they want’ (Larson et al., 2014, p.592)</w:t>
      </w:r>
    </w:p>
    <w:p w14:paraId="02ABED66" w14:textId="77777777" w:rsidR="00045660" w:rsidRPr="004F2831" w:rsidRDefault="00045660" w:rsidP="002A3382">
      <w:pPr>
        <w:spacing w:after="0" w:line="360" w:lineRule="auto"/>
        <w:jc w:val="both"/>
        <w:rPr>
          <w:rFonts w:ascii="Arial" w:hAnsi="Arial" w:cs="Arial"/>
        </w:rPr>
      </w:pPr>
    </w:p>
    <w:p w14:paraId="18BF13E2" w14:textId="77777777" w:rsidR="00045660" w:rsidRPr="002A3382" w:rsidRDefault="00045660" w:rsidP="002A3382">
      <w:pPr>
        <w:pStyle w:val="Heading3"/>
        <w:spacing w:line="360" w:lineRule="auto"/>
      </w:pPr>
      <w:r w:rsidRPr="002A3382">
        <w:t>Increased complexity</w:t>
      </w:r>
    </w:p>
    <w:p w14:paraId="756A96EC" w14:textId="77777777" w:rsidR="00045660" w:rsidRPr="004F2831" w:rsidRDefault="00045660" w:rsidP="002A3382">
      <w:pPr>
        <w:spacing w:line="360" w:lineRule="auto"/>
        <w:jc w:val="both"/>
        <w:rPr>
          <w:rFonts w:ascii="Arial" w:hAnsi="Arial" w:cs="Arial"/>
        </w:rPr>
      </w:pPr>
      <w:r w:rsidRPr="004F2831">
        <w:rPr>
          <w:rFonts w:ascii="Arial" w:hAnsi="Arial" w:cs="Arial"/>
        </w:rPr>
        <w:t xml:space="preserve">In addition to increased risk and uncertainty, there is also the potential of increased complexity. Verzuh (2021, p.60) highlights that ‘a frequent obstacle for those who followed the predictive waterfall process was the difficulty of fully grasping the systems requirements during the early requirements phase’. </w:t>
      </w:r>
    </w:p>
    <w:p w14:paraId="152CDA11" w14:textId="77777777" w:rsidR="00045660" w:rsidRPr="004F2831" w:rsidRDefault="00045660" w:rsidP="002A3382">
      <w:pPr>
        <w:spacing w:line="360" w:lineRule="auto"/>
        <w:jc w:val="both"/>
        <w:rPr>
          <w:rFonts w:ascii="Arial" w:hAnsi="Arial" w:cs="Arial"/>
        </w:rPr>
      </w:pPr>
      <w:r w:rsidRPr="004F2831">
        <w:rPr>
          <w:rFonts w:ascii="Arial" w:hAnsi="Arial" w:cs="Arial"/>
        </w:rPr>
        <w:t xml:space="preserve">Not only does this juxtapose the idea that predictability is an advantage of the waterfall approach, but it indicates potential layers of complexity at the project initiation stage. </w:t>
      </w:r>
    </w:p>
    <w:p w14:paraId="74B67B3D" w14:textId="77777777" w:rsidR="00045660" w:rsidRPr="004F2831" w:rsidRDefault="00045660" w:rsidP="002A3382">
      <w:pPr>
        <w:spacing w:line="360" w:lineRule="auto"/>
        <w:jc w:val="both"/>
        <w:rPr>
          <w:rFonts w:ascii="Arial" w:hAnsi="Arial" w:cs="Arial"/>
        </w:rPr>
      </w:pPr>
      <w:r w:rsidRPr="004F2831">
        <w:rPr>
          <w:rFonts w:ascii="Arial" w:hAnsi="Arial" w:cs="Arial"/>
        </w:rPr>
        <w:t>Moreover, according to Thesing et al. (2021, p.751), ‘the largest disadvantages of classical project management are abstract and misinterpreted initial requirements which lead to mistaken assumptions in the planning process, as these can have a great impact on future project process’.</w:t>
      </w:r>
    </w:p>
    <w:p w14:paraId="17A2D4CA" w14:textId="77777777" w:rsidR="00045660" w:rsidRPr="004F2831" w:rsidRDefault="00045660" w:rsidP="002A3382">
      <w:pPr>
        <w:spacing w:line="360" w:lineRule="auto"/>
        <w:jc w:val="both"/>
        <w:rPr>
          <w:rFonts w:ascii="Arial" w:hAnsi="Arial" w:cs="Arial"/>
        </w:rPr>
      </w:pPr>
      <w:r w:rsidRPr="004F2831">
        <w:rPr>
          <w:rFonts w:ascii="Arial" w:hAnsi="Arial" w:cs="Arial"/>
        </w:rPr>
        <w:t xml:space="preserve">Whilst the use of documentation intends to reduce levels of complexity within the project, by providing clarity to all stakeholders, it appears that potential ambiguity in client requirements and expectations could lead to increased complexity. It also underlines the lack of client involvement throughout the process, given the provision of requirements at the initiation stage. </w:t>
      </w:r>
    </w:p>
    <w:p w14:paraId="5CCA0626" w14:textId="77777777" w:rsidR="00045660" w:rsidRPr="002A3382" w:rsidRDefault="00045660" w:rsidP="002A3382">
      <w:pPr>
        <w:pStyle w:val="Heading3"/>
        <w:spacing w:line="360" w:lineRule="auto"/>
      </w:pPr>
      <w:r w:rsidRPr="002A3382">
        <w:t>Change (or lack thereof)</w:t>
      </w:r>
    </w:p>
    <w:p w14:paraId="4D5AC58F" w14:textId="77777777" w:rsidR="00045660" w:rsidRPr="004F2831" w:rsidRDefault="00045660" w:rsidP="002A3382">
      <w:pPr>
        <w:spacing w:line="360" w:lineRule="auto"/>
        <w:jc w:val="both"/>
        <w:rPr>
          <w:rFonts w:ascii="Arial" w:hAnsi="Arial" w:cs="Arial"/>
        </w:rPr>
      </w:pPr>
      <w:r w:rsidRPr="004F2831">
        <w:rPr>
          <w:rFonts w:ascii="Arial" w:hAnsi="Arial" w:cs="Arial"/>
        </w:rPr>
        <w:t xml:space="preserve">Leading on from limited customer involvement, another common theme and constraint of the waterfall approach appears to be it’s failure to adapt to change. </w:t>
      </w:r>
    </w:p>
    <w:p w14:paraId="2E59CC0D" w14:textId="77777777" w:rsidR="00045660" w:rsidRPr="004F2831" w:rsidRDefault="00045660" w:rsidP="002A3382">
      <w:pPr>
        <w:spacing w:line="360" w:lineRule="auto"/>
        <w:jc w:val="both"/>
        <w:rPr>
          <w:rFonts w:ascii="Arial" w:hAnsi="Arial" w:cs="Arial"/>
        </w:rPr>
      </w:pPr>
      <w:r w:rsidRPr="004F2831">
        <w:rPr>
          <w:rFonts w:ascii="Arial" w:hAnsi="Arial" w:cs="Arial"/>
        </w:rPr>
        <w:t>Muhammad et al. specify that ‘late alterations to the project can either be very expansive or impossible to accommodate’ (2021, p.5) and Gablas et al. suggest that ‘</w:t>
      </w:r>
      <w:r w:rsidRPr="004F2831">
        <w:rPr>
          <w:rStyle w:val="markedcontent"/>
          <w:rFonts w:ascii="Arial" w:hAnsi="Arial" w:cs="Arial"/>
        </w:rPr>
        <w:t xml:space="preserve">in classical project management, changes introduce a negative element that will require additional administrative efforts and usually also extra costs’ </w:t>
      </w:r>
      <w:r w:rsidRPr="004F2831">
        <w:rPr>
          <w:rFonts w:ascii="Arial" w:hAnsi="Arial" w:cs="Arial"/>
        </w:rPr>
        <w:t xml:space="preserve">(2018, p.4). This truly displays how change is not built into this approach, despite Wysocki maintaining that ‘the best-fit project management approach must recognize the realities of frequent change, accommodate it, and embrace it’ (2019, p.21), as this is indicative of the modern day project environment. </w:t>
      </w:r>
    </w:p>
    <w:p w14:paraId="45F5E50A" w14:textId="339B1C0B" w:rsidR="00045660" w:rsidRPr="002A3382" w:rsidRDefault="00045660" w:rsidP="002A3382">
      <w:pPr>
        <w:pStyle w:val="Heading2"/>
        <w:spacing w:line="360" w:lineRule="auto"/>
      </w:pPr>
      <w:r w:rsidRPr="0085103F">
        <w:lastRenderedPageBreak/>
        <w:t>Conclusion</w:t>
      </w:r>
      <w:r w:rsidRPr="0085103F">
        <w:t>s and recommendations</w:t>
      </w:r>
    </w:p>
    <w:p w14:paraId="1C4320B6" w14:textId="427A3596" w:rsidR="0047312C" w:rsidRDefault="00045660" w:rsidP="002A3382">
      <w:pPr>
        <w:spacing w:line="360" w:lineRule="auto"/>
        <w:jc w:val="both"/>
        <w:rPr>
          <w:rFonts w:ascii="Arial" w:hAnsi="Arial" w:cs="Arial"/>
        </w:rPr>
      </w:pPr>
      <w:r w:rsidRPr="004F2831">
        <w:rPr>
          <w:rFonts w:ascii="Arial" w:hAnsi="Arial" w:cs="Arial"/>
        </w:rPr>
        <w:t xml:space="preserve">According to the literature, it is the linear nature of the waterfall approach which enables projects to be completed on schedule and within budget. </w:t>
      </w:r>
      <w:r w:rsidR="0047312C">
        <w:rPr>
          <w:rFonts w:ascii="Arial" w:hAnsi="Arial" w:cs="Arial"/>
        </w:rPr>
        <w:t>It</w:t>
      </w:r>
      <w:r w:rsidR="00D643AF">
        <w:rPr>
          <w:rFonts w:ascii="Arial" w:hAnsi="Arial" w:cs="Arial"/>
        </w:rPr>
        <w:t>’</w:t>
      </w:r>
      <w:r w:rsidR="0047312C">
        <w:rPr>
          <w:rFonts w:ascii="Arial" w:hAnsi="Arial" w:cs="Arial"/>
        </w:rPr>
        <w:t xml:space="preserve">s rigid structure and predictable nature allow waterfall to offer a </w:t>
      </w:r>
      <w:r w:rsidR="00DC62B9">
        <w:rPr>
          <w:rFonts w:ascii="Arial" w:hAnsi="Arial" w:cs="Arial"/>
        </w:rPr>
        <w:t xml:space="preserve">management approach with low levels of risk and uncertainty. </w:t>
      </w:r>
    </w:p>
    <w:p w14:paraId="0FAB2E46" w14:textId="77777777" w:rsidR="004D7DA5" w:rsidRDefault="00045660" w:rsidP="002A3382">
      <w:pPr>
        <w:spacing w:line="360" w:lineRule="auto"/>
        <w:jc w:val="both"/>
        <w:rPr>
          <w:rFonts w:ascii="Arial" w:hAnsi="Arial" w:cs="Arial"/>
        </w:rPr>
      </w:pPr>
      <w:r w:rsidRPr="004F2831">
        <w:rPr>
          <w:rFonts w:ascii="Arial" w:hAnsi="Arial" w:cs="Arial"/>
        </w:rPr>
        <w:t xml:space="preserve">Nevertheless, even though </w:t>
      </w:r>
      <w:r w:rsidR="00357DE4">
        <w:rPr>
          <w:rFonts w:ascii="Arial" w:hAnsi="Arial" w:cs="Arial"/>
        </w:rPr>
        <w:t xml:space="preserve">a </w:t>
      </w:r>
      <w:r w:rsidRPr="004F2831">
        <w:rPr>
          <w:rFonts w:ascii="Arial" w:hAnsi="Arial" w:cs="Arial"/>
        </w:rPr>
        <w:t>project</w:t>
      </w:r>
      <w:r w:rsidR="00357DE4">
        <w:rPr>
          <w:rFonts w:ascii="Arial" w:hAnsi="Arial" w:cs="Arial"/>
        </w:rPr>
        <w:t>’</w:t>
      </w:r>
      <w:r w:rsidRPr="004F2831">
        <w:rPr>
          <w:rFonts w:ascii="Arial" w:hAnsi="Arial" w:cs="Arial"/>
        </w:rPr>
        <w:t>s success and failure may be measured in the context of ‘the triple constraints’ (namely adhering to the schedule, staying within budget and producing deliverables that fulfil the requirements), Frame instead focuses on customer satisfaction as the key indicator of success: ‘increasingly, professionals involved with project management recognize that the worst kind of failure you can have is carrying out projects that do not satisfy the customers’ (2002, p.8)</w:t>
      </w:r>
      <w:r w:rsidR="008F3D36">
        <w:rPr>
          <w:rFonts w:ascii="Arial" w:hAnsi="Arial" w:cs="Arial"/>
        </w:rPr>
        <w:t>.</w:t>
      </w:r>
      <w:r w:rsidR="007E4757">
        <w:rPr>
          <w:rFonts w:ascii="Arial" w:hAnsi="Arial" w:cs="Arial"/>
        </w:rPr>
        <w:t xml:space="preserve"> It is this </w:t>
      </w:r>
      <w:r w:rsidR="002A42CA">
        <w:rPr>
          <w:rFonts w:ascii="Arial" w:hAnsi="Arial" w:cs="Arial"/>
        </w:rPr>
        <w:t xml:space="preserve">lack of client involvement throughout the process and </w:t>
      </w:r>
      <w:r w:rsidR="004D7DA5">
        <w:rPr>
          <w:rFonts w:ascii="Arial" w:hAnsi="Arial" w:cs="Arial"/>
        </w:rPr>
        <w:t xml:space="preserve">an </w:t>
      </w:r>
      <w:r w:rsidR="007E4757">
        <w:rPr>
          <w:rFonts w:ascii="Arial" w:hAnsi="Arial" w:cs="Arial"/>
        </w:rPr>
        <w:t>unwillingness to adapt to change which would make me nervous to apply this approach in</w:t>
      </w:r>
      <w:r w:rsidR="00E1497D">
        <w:rPr>
          <w:rFonts w:ascii="Arial" w:hAnsi="Arial" w:cs="Arial"/>
        </w:rPr>
        <w:t xml:space="preserve"> its entirety within my </w:t>
      </w:r>
      <w:r w:rsidR="004D7DA5">
        <w:rPr>
          <w:rFonts w:ascii="Arial" w:hAnsi="Arial" w:cs="Arial"/>
        </w:rPr>
        <w:t>working context.</w:t>
      </w:r>
    </w:p>
    <w:p w14:paraId="08229B1D" w14:textId="1EF75835" w:rsidR="004D7DA5" w:rsidRDefault="004D7DA5" w:rsidP="002A3382">
      <w:pPr>
        <w:spacing w:line="360" w:lineRule="auto"/>
        <w:jc w:val="both"/>
        <w:rPr>
          <w:rFonts w:ascii="Arial" w:hAnsi="Arial" w:cs="Arial"/>
        </w:rPr>
      </w:pPr>
      <w:r>
        <w:rPr>
          <w:rFonts w:ascii="Arial" w:hAnsi="Arial" w:cs="Arial"/>
        </w:rPr>
        <w:t>Therefore, I would make the following recommendations</w:t>
      </w:r>
      <w:r w:rsidR="0025100C">
        <w:rPr>
          <w:rFonts w:ascii="Arial" w:hAnsi="Arial" w:cs="Arial"/>
        </w:rPr>
        <w:t xml:space="preserve"> in my own context</w:t>
      </w:r>
      <w:r>
        <w:rPr>
          <w:rFonts w:ascii="Arial" w:hAnsi="Arial" w:cs="Arial"/>
        </w:rPr>
        <w:t xml:space="preserve"> based on the waterfall approach:</w:t>
      </w:r>
    </w:p>
    <w:p w14:paraId="6E8B1FB2" w14:textId="77777777" w:rsidR="007A3B18" w:rsidRDefault="0025100C" w:rsidP="00AF3469">
      <w:pPr>
        <w:pStyle w:val="ListParagraph"/>
        <w:numPr>
          <w:ilvl w:val="0"/>
          <w:numId w:val="21"/>
        </w:numPr>
        <w:spacing w:line="360" w:lineRule="auto"/>
        <w:jc w:val="both"/>
        <w:rPr>
          <w:rFonts w:ascii="Arial" w:hAnsi="Arial" w:cs="Arial"/>
        </w:rPr>
      </w:pPr>
      <w:r w:rsidRPr="0025100C">
        <w:rPr>
          <w:rFonts w:ascii="Arial" w:hAnsi="Arial" w:cs="Arial"/>
        </w:rPr>
        <w:t xml:space="preserve">Make use of the </w:t>
      </w:r>
      <w:r>
        <w:rPr>
          <w:rFonts w:ascii="Arial" w:hAnsi="Arial" w:cs="Arial"/>
        </w:rPr>
        <w:t>systematic nature of the waterfall approach, by capturing initial client requirements in a project initiation document (PID) or equivalent</w:t>
      </w:r>
      <w:r w:rsidR="00C41B44">
        <w:rPr>
          <w:rFonts w:ascii="Arial" w:hAnsi="Arial" w:cs="Arial"/>
        </w:rPr>
        <w:t xml:space="preserve">, and develop a risk register to </w:t>
      </w:r>
      <w:r w:rsidR="007A3B18">
        <w:rPr>
          <w:rFonts w:ascii="Arial" w:hAnsi="Arial" w:cs="Arial"/>
        </w:rPr>
        <w:t xml:space="preserve">try and </w:t>
      </w:r>
      <w:r w:rsidR="00C41B44">
        <w:rPr>
          <w:rFonts w:ascii="Arial" w:hAnsi="Arial" w:cs="Arial"/>
        </w:rPr>
        <w:t>prepare for the</w:t>
      </w:r>
      <w:r w:rsidR="00D0016F">
        <w:rPr>
          <w:rFonts w:ascii="Arial" w:hAnsi="Arial" w:cs="Arial"/>
        </w:rPr>
        <w:t xml:space="preserve"> ‘unforeseen’</w:t>
      </w:r>
      <w:r w:rsidR="007A3B18">
        <w:rPr>
          <w:rFonts w:ascii="Arial" w:hAnsi="Arial" w:cs="Arial"/>
        </w:rPr>
        <w:t xml:space="preserve">, mitigate </w:t>
      </w:r>
      <w:r w:rsidR="00D0016F">
        <w:rPr>
          <w:rFonts w:ascii="Arial" w:hAnsi="Arial" w:cs="Arial"/>
        </w:rPr>
        <w:t xml:space="preserve">potential risks </w:t>
      </w:r>
      <w:r w:rsidR="007A3B18">
        <w:rPr>
          <w:rFonts w:ascii="Arial" w:hAnsi="Arial" w:cs="Arial"/>
        </w:rPr>
        <w:t>etc.</w:t>
      </w:r>
    </w:p>
    <w:p w14:paraId="2F9C3D48" w14:textId="0A6BF239" w:rsidR="0025100C" w:rsidRDefault="00EB4599" w:rsidP="00AF3469">
      <w:pPr>
        <w:pStyle w:val="ListParagraph"/>
        <w:numPr>
          <w:ilvl w:val="0"/>
          <w:numId w:val="21"/>
        </w:numPr>
        <w:spacing w:line="360" w:lineRule="auto"/>
        <w:jc w:val="both"/>
        <w:rPr>
          <w:rFonts w:ascii="Arial" w:hAnsi="Arial" w:cs="Arial"/>
        </w:rPr>
      </w:pPr>
      <w:r>
        <w:rPr>
          <w:rFonts w:ascii="Arial" w:hAnsi="Arial" w:cs="Arial"/>
        </w:rPr>
        <w:t>In addition to the Guide for Content Authors, d</w:t>
      </w:r>
      <w:r w:rsidR="00FC2D28">
        <w:rPr>
          <w:rFonts w:ascii="Arial" w:hAnsi="Arial" w:cs="Arial"/>
        </w:rPr>
        <w:t xml:space="preserve">evelop a storyboarding template </w:t>
      </w:r>
      <w:r>
        <w:rPr>
          <w:rFonts w:ascii="Arial" w:hAnsi="Arial" w:cs="Arial"/>
        </w:rPr>
        <w:t xml:space="preserve">which clearly outlines out expectations of content authors. Moreover, </w:t>
      </w:r>
      <w:r w:rsidR="00FC2D28">
        <w:rPr>
          <w:rFonts w:ascii="Arial" w:hAnsi="Arial" w:cs="Arial"/>
        </w:rPr>
        <w:t>provide</w:t>
      </w:r>
      <w:r>
        <w:rPr>
          <w:rFonts w:ascii="Arial" w:hAnsi="Arial" w:cs="Arial"/>
        </w:rPr>
        <w:t xml:space="preserve"> </w:t>
      </w:r>
      <w:r w:rsidR="00F349D6">
        <w:rPr>
          <w:rFonts w:ascii="Arial" w:hAnsi="Arial" w:cs="Arial"/>
        </w:rPr>
        <w:t xml:space="preserve">a selection of </w:t>
      </w:r>
      <w:r>
        <w:rPr>
          <w:rFonts w:ascii="Arial" w:hAnsi="Arial" w:cs="Arial"/>
        </w:rPr>
        <w:t>tangible</w:t>
      </w:r>
      <w:r w:rsidR="00FC2D28">
        <w:rPr>
          <w:rFonts w:ascii="Arial" w:hAnsi="Arial" w:cs="Arial"/>
        </w:rPr>
        <w:t xml:space="preserve"> examples of best practice</w:t>
      </w:r>
      <w:r w:rsidR="00F349D6">
        <w:rPr>
          <w:rFonts w:ascii="Arial" w:hAnsi="Arial" w:cs="Arial"/>
        </w:rPr>
        <w:t>; t</w:t>
      </w:r>
      <w:r>
        <w:rPr>
          <w:rFonts w:ascii="Arial" w:hAnsi="Arial" w:cs="Arial"/>
        </w:rPr>
        <w:t>his will mean that colleagues gain a better understanding of the work we can do and what exactly is involved in the process</w:t>
      </w:r>
      <w:r w:rsidR="00F349D6">
        <w:rPr>
          <w:rFonts w:ascii="Arial" w:hAnsi="Arial" w:cs="Arial"/>
        </w:rPr>
        <w:t xml:space="preserve">, ultimately enabling them to make a more informed decision when providing their requirements. </w:t>
      </w:r>
    </w:p>
    <w:p w14:paraId="667A1E09" w14:textId="7F1DAD2E" w:rsidR="008F3D36" w:rsidRPr="0025100C" w:rsidRDefault="00F349D6" w:rsidP="00AF3469">
      <w:pPr>
        <w:pStyle w:val="ListParagraph"/>
        <w:numPr>
          <w:ilvl w:val="0"/>
          <w:numId w:val="21"/>
        </w:numPr>
        <w:spacing w:line="360" w:lineRule="auto"/>
        <w:jc w:val="both"/>
        <w:rPr>
          <w:rFonts w:ascii="Arial" w:hAnsi="Arial" w:cs="Arial"/>
        </w:rPr>
      </w:pPr>
      <w:r>
        <w:rPr>
          <w:rFonts w:ascii="Arial" w:hAnsi="Arial" w:cs="Arial"/>
        </w:rPr>
        <w:t>S</w:t>
      </w:r>
      <w:r w:rsidR="0025100C">
        <w:rPr>
          <w:rFonts w:ascii="Arial" w:hAnsi="Arial" w:cs="Arial"/>
        </w:rPr>
        <w:t xml:space="preserve">eek to embrace change as part of the process and continue to build in opportunities for iteration in the process to further involve the client. (This is currently built into our existing approach, whereby content authors provide feedback at the Academic Review stage.) </w:t>
      </w:r>
    </w:p>
    <w:p w14:paraId="44F4A68B" w14:textId="77777777" w:rsidR="00045660" w:rsidRDefault="00045660" w:rsidP="002A3382">
      <w:pPr>
        <w:spacing w:line="360" w:lineRule="auto"/>
        <w:rPr>
          <w:rFonts w:asciiTheme="majorHAnsi" w:eastAsiaTheme="majorEastAsia" w:hAnsiTheme="majorHAnsi" w:cstheme="majorBidi"/>
          <w:color w:val="2F5496" w:themeColor="accent1" w:themeShade="BF"/>
          <w:sz w:val="32"/>
          <w:szCs w:val="32"/>
        </w:rPr>
      </w:pPr>
      <w:r>
        <w:br w:type="page"/>
      </w:r>
    </w:p>
    <w:p w14:paraId="72484C52" w14:textId="0A7EFE76" w:rsidR="00FE75F8" w:rsidRPr="00DF3B61" w:rsidRDefault="00FE75F8" w:rsidP="00DF3B61">
      <w:pPr>
        <w:pStyle w:val="Heading1"/>
        <w:spacing w:line="360" w:lineRule="auto"/>
        <w:jc w:val="both"/>
        <w:rPr>
          <w:rStyle w:val="markedcontent"/>
          <w:rFonts w:cs="Arial"/>
        </w:rPr>
      </w:pPr>
      <w:r w:rsidRPr="00DF3B61">
        <w:rPr>
          <w:rFonts w:cs="Arial"/>
        </w:rPr>
        <w:lastRenderedPageBreak/>
        <w:t>Approach 2 – Agile</w:t>
      </w:r>
    </w:p>
    <w:p w14:paraId="5AA4E638" w14:textId="77777777" w:rsidR="00FE75F8" w:rsidRPr="00DF3B61" w:rsidRDefault="00FE75F8" w:rsidP="00DF3B61">
      <w:pPr>
        <w:pStyle w:val="Heading2"/>
        <w:spacing w:line="360" w:lineRule="auto"/>
        <w:jc w:val="both"/>
        <w:rPr>
          <w:rStyle w:val="markedcontent"/>
          <w:rFonts w:cs="Arial"/>
        </w:rPr>
      </w:pPr>
      <w:r w:rsidRPr="00DF3B61">
        <w:rPr>
          <w:rStyle w:val="markedcontent"/>
          <w:rFonts w:cs="Arial"/>
        </w:rPr>
        <w:t>Overview of agile approach</w:t>
      </w:r>
    </w:p>
    <w:p w14:paraId="0320C9A4" w14:textId="77777777" w:rsidR="00FE75F8" w:rsidRPr="00DF3B61" w:rsidRDefault="00FE75F8" w:rsidP="00DF3B61">
      <w:pPr>
        <w:spacing w:line="360" w:lineRule="auto"/>
        <w:jc w:val="both"/>
        <w:rPr>
          <w:rFonts w:ascii="Arial" w:hAnsi="Arial" w:cs="Arial"/>
        </w:rPr>
      </w:pPr>
      <w:r w:rsidRPr="00DF3B61">
        <w:rPr>
          <w:rFonts w:ascii="Arial" w:hAnsi="Arial" w:cs="Arial"/>
        </w:rPr>
        <w:t>In contrast to the waterfall approach, in which customers and users may experience difficulty in envisioning exactly what they expect the end product to look like, the agile approach ‘accepts this difficulty as a natural part of creating something new’ (Verzuh, 2021, p.60).</w:t>
      </w:r>
    </w:p>
    <w:p w14:paraId="1BE43D25" w14:textId="5D17872C" w:rsidR="00FE75F8" w:rsidRPr="00DF3B61" w:rsidRDefault="00FE75F8" w:rsidP="00DF3B61">
      <w:pPr>
        <w:spacing w:line="360" w:lineRule="auto"/>
        <w:jc w:val="both"/>
        <w:rPr>
          <w:rFonts w:ascii="Arial" w:hAnsi="Arial" w:cs="Arial"/>
        </w:rPr>
      </w:pPr>
      <w:r w:rsidRPr="00DF3B61">
        <w:rPr>
          <w:rFonts w:ascii="Arial" w:hAnsi="Arial" w:cs="Arial"/>
        </w:rPr>
        <w:t>Larson et al. (2014) indicate that the agile approach is underpinned by the following principles: focus on customer value; iterative and incremental delivery; experimentation and adaptation; self-organization; continuous improvement</w:t>
      </w:r>
      <w:r w:rsidR="00715F8E" w:rsidRPr="00DF3B61">
        <w:rPr>
          <w:rFonts w:ascii="Arial" w:hAnsi="Arial" w:cs="Arial"/>
        </w:rPr>
        <w:t xml:space="preserve">. </w:t>
      </w:r>
    </w:p>
    <w:p w14:paraId="1E0A8080" w14:textId="77777777" w:rsidR="00FE75F8" w:rsidRPr="00DF3B61" w:rsidRDefault="00FE75F8" w:rsidP="00DF3B61">
      <w:pPr>
        <w:pStyle w:val="Heading2"/>
        <w:spacing w:line="360" w:lineRule="auto"/>
        <w:jc w:val="both"/>
        <w:rPr>
          <w:rFonts w:cs="Arial"/>
        </w:rPr>
      </w:pPr>
      <w:r w:rsidRPr="00DF3B61">
        <w:rPr>
          <w:rFonts w:cs="Arial"/>
        </w:rPr>
        <w:t>Affordances</w:t>
      </w:r>
    </w:p>
    <w:p w14:paraId="13F060A1" w14:textId="77777777" w:rsidR="00FE75F8" w:rsidRPr="00DF3B61" w:rsidRDefault="00FE75F8" w:rsidP="00DF3B61">
      <w:pPr>
        <w:pStyle w:val="Heading3"/>
        <w:spacing w:line="360" w:lineRule="auto"/>
        <w:rPr>
          <w:rFonts w:cs="Arial"/>
        </w:rPr>
      </w:pPr>
      <w:r w:rsidRPr="00DF3B61">
        <w:rPr>
          <w:rFonts w:cs="Arial"/>
        </w:rPr>
        <w:t xml:space="preserve">Change recognition </w:t>
      </w:r>
    </w:p>
    <w:p w14:paraId="07B7C7D3" w14:textId="77777777" w:rsidR="00FE75F8" w:rsidRPr="00DF3B61" w:rsidRDefault="00FE75F8" w:rsidP="00DF3B61">
      <w:pPr>
        <w:spacing w:line="360" w:lineRule="auto"/>
        <w:jc w:val="both"/>
        <w:rPr>
          <w:rStyle w:val="markedcontent"/>
          <w:rFonts w:ascii="Arial" w:hAnsi="Arial" w:cs="Arial"/>
        </w:rPr>
      </w:pPr>
      <w:r w:rsidRPr="00DF3B61">
        <w:rPr>
          <w:rStyle w:val="markedcontent"/>
          <w:rFonts w:ascii="Arial" w:hAnsi="Arial" w:cs="Arial"/>
        </w:rPr>
        <w:t xml:space="preserve">One of the fundamental affordances of the agile approach is its ability to accommodate change. Thesing et al. highlight that ‘the greatest advantage of agile project management is the ability to recognize changed requirements in a very short time due to regular feedback from the customer’ </w:t>
      </w:r>
      <w:r w:rsidRPr="00DF3B61">
        <w:rPr>
          <w:rFonts w:ascii="Arial" w:hAnsi="Arial" w:cs="Arial"/>
        </w:rPr>
        <w:t xml:space="preserve">(2021, p.750). </w:t>
      </w:r>
      <w:r w:rsidRPr="00DF3B61">
        <w:rPr>
          <w:rStyle w:val="markedcontent"/>
          <w:rFonts w:ascii="Arial" w:hAnsi="Arial" w:cs="Arial"/>
        </w:rPr>
        <w:t xml:space="preserve">Unlike a linear approach, agile offers flexibility and iteration, both in terms of scope and procedures (Santos et al., 2022, p.71). It is designed to assume that ‘changes are normal events; therefore they are managed to enable greater flexibility’ (Kidston et al., 2015, p.224). </w:t>
      </w:r>
    </w:p>
    <w:p w14:paraId="30799A22" w14:textId="77777777" w:rsidR="00FE75F8" w:rsidRPr="00DF3B61" w:rsidRDefault="00FE75F8" w:rsidP="00DF3B61">
      <w:pPr>
        <w:pStyle w:val="Heading3"/>
        <w:spacing w:line="360" w:lineRule="auto"/>
        <w:rPr>
          <w:rFonts w:cs="Arial"/>
        </w:rPr>
      </w:pPr>
      <w:r w:rsidRPr="00DF3B61">
        <w:rPr>
          <w:rFonts w:cs="Arial"/>
        </w:rPr>
        <w:t xml:space="preserve">Incremental planning </w:t>
      </w:r>
    </w:p>
    <w:p w14:paraId="441AD1D5" w14:textId="77777777" w:rsidR="00FE75F8" w:rsidRPr="00DF3B61" w:rsidRDefault="00FE75F8" w:rsidP="00DF3B61">
      <w:pPr>
        <w:spacing w:line="360" w:lineRule="auto"/>
        <w:jc w:val="both"/>
        <w:rPr>
          <w:rFonts w:ascii="Arial" w:hAnsi="Arial" w:cs="Arial"/>
        </w:rPr>
      </w:pPr>
      <w:r w:rsidRPr="00DF3B61">
        <w:rPr>
          <w:rFonts w:ascii="Arial" w:hAnsi="Arial" w:cs="Arial"/>
        </w:rPr>
        <w:t>Another key advantage of this approach is incremental planning. Agile ‘represents a fundamental shift away from the traditional plan-driven project management approach by adopting a more experimental and adaptive approach to managing projects’ (Larson et al., 2014, p.593). In other words, it replaces ‘upfront planning with incremental planning that adapts to the must current information available’ (Cooke, 2016, pp.35).</w:t>
      </w:r>
    </w:p>
    <w:p w14:paraId="53F0BD28" w14:textId="77777777" w:rsidR="00FE75F8" w:rsidRPr="00DF3B61" w:rsidRDefault="00FE75F8" w:rsidP="00DF3B61">
      <w:pPr>
        <w:pStyle w:val="Heading3"/>
        <w:spacing w:line="360" w:lineRule="auto"/>
        <w:rPr>
          <w:rFonts w:cs="Arial"/>
        </w:rPr>
      </w:pPr>
      <w:r w:rsidRPr="00DF3B61">
        <w:rPr>
          <w:rFonts w:cs="Arial"/>
        </w:rPr>
        <w:t xml:space="preserve">Teamwork </w:t>
      </w:r>
    </w:p>
    <w:p w14:paraId="55958D22" w14:textId="77777777" w:rsidR="00FE75F8" w:rsidRPr="00DF3B61" w:rsidRDefault="00FE75F8" w:rsidP="00DF3B61">
      <w:pPr>
        <w:spacing w:line="360" w:lineRule="auto"/>
        <w:jc w:val="both"/>
        <w:rPr>
          <w:rStyle w:val="markedcontent"/>
          <w:rFonts w:ascii="Arial" w:hAnsi="Arial" w:cs="Arial"/>
        </w:rPr>
      </w:pPr>
      <w:r w:rsidRPr="00DF3B61">
        <w:rPr>
          <w:rStyle w:val="markedcontent"/>
          <w:rFonts w:ascii="Arial" w:hAnsi="Arial" w:cs="Arial"/>
        </w:rPr>
        <w:t xml:space="preserve">Another affordance of this approach appears to be teamwork and collaboration. Heijden (2018, p.9) argues that whilst the project manager takes the lead in planning and task assignment in a more traditional project management approach, in an agile approach the role of the project manager consists of creating the high-level plan but the subsequent steps and activities are determined by the team. Therefore, there is more onus placed upon the collaboration of the team. </w:t>
      </w:r>
    </w:p>
    <w:p w14:paraId="655436E1" w14:textId="77777777" w:rsidR="00FE75F8" w:rsidRPr="00DF3B61" w:rsidRDefault="00FE75F8" w:rsidP="00DF3B61">
      <w:pPr>
        <w:spacing w:line="360" w:lineRule="auto"/>
        <w:jc w:val="both"/>
        <w:rPr>
          <w:rStyle w:val="markedcontent"/>
          <w:rFonts w:ascii="Arial" w:hAnsi="Arial" w:cs="Arial"/>
        </w:rPr>
      </w:pPr>
      <w:r w:rsidRPr="00DF3B61">
        <w:rPr>
          <w:rStyle w:val="markedcontent"/>
          <w:rFonts w:ascii="Arial" w:hAnsi="Arial" w:cs="Arial"/>
        </w:rPr>
        <w:t>Relatively, Santos et al. allude to both a ‘focus on team working’ (2022, p.71) but also to a ‘self-organizing project team’ (2022, p.73) in which ownership is placed on team members to contribute to the process and approach, informing how and when tasks are completed.</w:t>
      </w:r>
    </w:p>
    <w:p w14:paraId="6ACA344C" w14:textId="77777777" w:rsidR="00FE75F8" w:rsidRPr="00DF3B61" w:rsidRDefault="00FE75F8" w:rsidP="00DF3B61">
      <w:pPr>
        <w:spacing w:line="360" w:lineRule="auto"/>
        <w:jc w:val="both"/>
        <w:rPr>
          <w:rStyle w:val="markedcontent"/>
          <w:rFonts w:ascii="Arial" w:hAnsi="Arial" w:cs="Arial"/>
        </w:rPr>
      </w:pPr>
      <w:r w:rsidRPr="00DF3B61">
        <w:rPr>
          <w:rStyle w:val="markedcontent"/>
          <w:rFonts w:ascii="Arial" w:hAnsi="Arial" w:cs="Arial"/>
        </w:rPr>
        <w:lastRenderedPageBreak/>
        <w:t>Kidston et al. indicate that ‘the project breaks a requirement into smaller pieces, which are then prioritised by the team in terms of importance’ (Kidston et al., 2015, p.222), which is reinforced by Cooke such that staff are made to feel entrusted and empowered to ‘</w:t>
      </w:r>
      <w:r w:rsidRPr="00DF3B61">
        <w:rPr>
          <w:rFonts w:ascii="Arial" w:hAnsi="Arial" w:cs="Arial"/>
        </w:rPr>
        <w:t>continuously deliver high business-value outputs by allowing them to manage their capacity and self-organize their work’ (Cooke, 2016, pp.35).</w:t>
      </w:r>
    </w:p>
    <w:p w14:paraId="6A452A4A" w14:textId="77777777" w:rsidR="00FE75F8" w:rsidRPr="00DF3B61" w:rsidRDefault="00FE75F8" w:rsidP="00DF3B61">
      <w:pPr>
        <w:pStyle w:val="Heading3"/>
        <w:spacing w:line="360" w:lineRule="auto"/>
        <w:rPr>
          <w:rFonts w:cs="Arial"/>
        </w:rPr>
      </w:pPr>
      <w:r w:rsidRPr="00DF3B61">
        <w:rPr>
          <w:rFonts w:cs="Arial"/>
        </w:rPr>
        <w:t>Increased client involvement</w:t>
      </w:r>
    </w:p>
    <w:p w14:paraId="7A743B43" w14:textId="77777777" w:rsidR="00FE75F8" w:rsidRPr="00DF3B61" w:rsidRDefault="00FE75F8" w:rsidP="00DF3B61">
      <w:pPr>
        <w:spacing w:line="360" w:lineRule="auto"/>
        <w:jc w:val="both"/>
        <w:rPr>
          <w:rStyle w:val="markedcontent"/>
          <w:rFonts w:ascii="Arial" w:hAnsi="Arial" w:cs="Arial"/>
        </w:rPr>
      </w:pPr>
      <w:r w:rsidRPr="00DF3B61">
        <w:rPr>
          <w:rStyle w:val="markedcontent"/>
          <w:rFonts w:ascii="Arial" w:hAnsi="Arial" w:cs="Arial"/>
        </w:rPr>
        <w:t xml:space="preserve">In addition to increased involvement of team members, the agile approach also ‘promotes collaborative working, especially with the customer’ (Kidston et al., 2015, p.222). As detailed in the previous affordances, this approach has ‘the ability to react flexibly and quickly to dynamically changing customer requirements with regards to project scope’ </w:t>
      </w:r>
      <w:r w:rsidRPr="00DF3B61">
        <w:rPr>
          <w:rFonts w:ascii="Arial" w:hAnsi="Arial" w:cs="Arial"/>
        </w:rPr>
        <w:t>(Thesing et al., 2021, p.750)</w:t>
      </w:r>
    </w:p>
    <w:p w14:paraId="58126622" w14:textId="77777777" w:rsidR="00FE75F8" w:rsidRPr="00DF3B61" w:rsidRDefault="00FE75F8" w:rsidP="00DF3B61">
      <w:pPr>
        <w:spacing w:line="360" w:lineRule="auto"/>
        <w:jc w:val="both"/>
        <w:rPr>
          <w:rStyle w:val="markedcontent"/>
          <w:rFonts w:ascii="Arial" w:hAnsi="Arial" w:cs="Arial"/>
        </w:rPr>
      </w:pPr>
      <w:r w:rsidRPr="00DF3B61">
        <w:rPr>
          <w:rStyle w:val="markedcontent"/>
          <w:rFonts w:ascii="Arial" w:hAnsi="Arial" w:cs="Arial"/>
        </w:rPr>
        <w:t>Where ‘traditional waterfall (…) projects focus on using extensive upfront documentation to detail user requirements before development work can even begin’ (Cooke, 2016, pp.35-36), agile ‘involves the customer being embedded in the team, providing the team with constant and regular feedback on deliverables and functionality of the end product’ (Kidston et al., 2015, p.222).</w:t>
      </w:r>
    </w:p>
    <w:p w14:paraId="54E51CAA" w14:textId="77777777" w:rsidR="00FE75F8" w:rsidRPr="00DF3B61" w:rsidRDefault="00FE75F8" w:rsidP="00DF3B61">
      <w:pPr>
        <w:spacing w:line="360" w:lineRule="auto"/>
        <w:jc w:val="both"/>
        <w:rPr>
          <w:rFonts w:ascii="Arial" w:hAnsi="Arial" w:cs="Arial"/>
        </w:rPr>
      </w:pPr>
      <w:r w:rsidRPr="00DF3B61">
        <w:rPr>
          <w:rStyle w:val="markedcontent"/>
          <w:rFonts w:ascii="Arial" w:hAnsi="Arial" w:cs="Arial"/>
        </w:rPr>
        <w:t>This also means that there is ‘low administrative load’ (Santos et al., 2022, p.71)</w:t>
      </w:r>
      <w:r w:rsidRPr="00DF3B61">
        <w:rPr>
          <w:rFonts w:ascii="Arial" w:hAnsi="Arial" w:cs="Arial"/>
        </w:rPr>
        <w:t xml:space="preserve">, at least at a low level, and Lal suggests that the </w:t>
      </w:r>
      <w:r w:rsidRPr="00DF3B61">
        <w:rPr>
          <w:rStyle w:val="markedcontent"/>
          <w:rFonts w:ascii="Arial" w:hAnsi="Arial" w:cs="Arial"/>
        </w:rPr>
        <w:t xml:space="preserve">‘the biggest reason for keeping documentation at high level in Agile is the failure to keep it at low level as evident in Waterfall’ (2018, p.56). </w:t>
      </w:r>
    </w:p>
    <w:p w14:paraId="74897853" w14:textId="77777777" w:rsidR="00FE75F8" w:rsidRPr="00DF3B61" w:rsidRDefault="00FE75F8" w:rsidP="00DF3B61">
      <w:pPr>
        <w:pStyle w:val="Heading2"/>
        <w:spacing w:line="360" w:lineRule="auto"/>
        <w:jc w:val="both"/>
        <w:rPr>
          <w:rFonts w:cs="Arial"/>
        </w:rPr>
      </w:pPr>
      <w:r w:rsidRPr="00DF3B61">
        <w:rPr>
          <w:rFonts w:cs="Arial"/>
        </w:rPr>
        <w:t>Limitations</w:t>
      </w:r>
    </w:p>
    <w:p w14:paraId="58DA0ECC" w14:textId="77777777" w:rsidR="00FE75F8" w:rsidRPr="00DF3B61" w:rsidRDefault="00FE75F8" w:rsidP="00DF3B61">
      <w:pPr>
        <w:pStyle w:val="Heading3"/>
        <w:spacing w:line="360" w:lineRule="auto"/>
        <w:rPr>
          <w:rFonts w:cs="Arial"/>
        </w:rPr>
      </w:pPr>
      <w:r w:rsidRPr="00DF3B61">
        <w:rPr>
          <w:rFonts w:cs="Arial"/>
        </w:rPr>
        <w:t xml:space="preserve">Cultural change needed </w:t>
      </w:r>
    </w:p>
    <w:p w14:paraId="407691AF" w14:textId="77777777" w:rsidR="00FE75F8" w:rsidRPr="00DF3B61" w:rsidRDefault="00FE75F8" w:rsidP="00DF3B61">
      <w:pPr>
        <w:spacing w:line="360" w:lineRule="auto"/>
        <w:jc w:val="both"/>
        <w:rPr>
          <w:rStyle w:val="markedcontent"/>
          <w:rFonts w:ascii="Arial" w:hAnsi="Arial" w:cs="Arial"/>
        </w:rPr>
      </w:pPr>
      <w:r w:rsidRPr="00DF3B61">
        <w:rPr>
          <w:rFonts w:ascii="Arial" w:hAnsi="Arial" w:cs="Arial"/>
        </w:rPr>
        <w:t xml:space="preserve">According to Thesing et al., ‘the most important constraint of an agile approach is that the iterative approach may not fit the corporate culture, in terms, for example, of planning, reporting, hierarchical structures, and leadership’ (2021, p.751). Furthermore, </w:t>
      </w:r>
      <w:r w:rsidRPr="00DF3B61">
        <w:rPr>
          <w:rStyle w:val="markedcontent"/>
          <w:rFonts w:ascii="Arial" w:hAnsi="Arial" w:cs="Arial"/>
        </w:rPr>
        <w:t>‘a non-agile culture within an organisation will be a blocker on a project implementing an agile framework’ (Kidston et al., 2015, p.224)</w:t>
      </w:r>
      <w:r w:rsidRPr="00DF3B61">
        <w:rPr>
          <w:rFonts w:ascii="Arial" w:hAnsi="Arial" w:cs="Arial"/>
        </w:rPr>
        <w:t>. It is therefore evident from the literature that in order for agile to be successfully implemented, a cultural change is necessary, so that all stakeholders feel empowered and confident to adopt this approach.</w:t>
      </w:r>
    </w:p>
    <w:p w14:paraId="1FBFBDCB" w14:textId="77777777" w:rsidR="00FE75F8" w:rsidRPr="00DF3B61" w:rsidRDefault="00FE75F8" w:rsidP="00DF3B61">
      <w:pPr>
        <w:pStyle w:val="Heading3"/>
        <w:spacing w:line="360" w:lineRule="auto"/>
        <w:rPr>
          <w:rFonts w:cs="Arial"/>
        </w:rPr>
      </w:pPr>
      <w:r w:rsidRPr="00DF3B61">
        <w:rPr>
          <w:rFonts w:cs="Arial"/>
        </w:rPr>
        <w:t>Scaling up</w:t>
      </w:r>
    </w:p>
    <w:p w14:paraId="19E0D8B5" w14:textId="77777777" w:rsidR="00FE75F8" w:rsidRPr="00DF3B61" w:rsidRDefault="00FE75F8" w:rsidP="00DF3B61">
      <w:pPr>
        <w:spacing w:line="360" w:lineRule="auto"/>
        <w:jc w:val="both"/>
        <w:rPr>
          <w:rFonts w:ascii="Arial" w:hAnsi="Arial" w:cs="Arial"/>
        </w:rPr>
      </w:pPr>
      <w:r w:rsidRPr="00DF3B61">
        <w:rPr>
          <w:rStyle w:val="markedcontent"/>
          <w:rFonts w:ascii="Arial" w:hAnsi="Arial" w:cs="Arial"/>
        </w:rPr>
        <w:t xml:space="preserve">In relation to project and team sizes, Santos et al. emphasize that there are ‘difficulties in scaling up to large, complex projects’ (2022, p.71). In particular, ‘agile approaches struggle on larger-scale projects due to the degree of collaborative working required by the approach’ (Kidston et al., 2015, p.224) and that in ‘agile projects, where communication is based on face-to-face interactions instead of documents, are effective only in a small team and it is difficult </w:t>
      </w:r>
      <w:r w:rsidRPr="00DF3B61">
        <w:rPr>
          <w:rStyle w:val="markedcontent"/>
          <w:rFonts w:ascii="Arial" w:hAnsi="Arial" w:cs="Arial"/>
        </w:rPr>
        <w:lastRenderedPageBreak/>
        <w:t xml:space="preserve">to scale up in size effectively’ (Lal, 2018, p.50). Ultimately, ‘if team sizes become too big, then development rates can slow’ (Kidston et al., 2015, p.224). </w:t>
      </w:r>
    </w:p>
    <w:p w14:paraId="61E667ED" w14:textId="77777777" w:rsidR="00FE75F8" w:rsidRPr="00DF3B61" w:rsidRDefault="00FE75F8" w:rsidP="00DF3B61">
      <w:pPr>
        <w:pStyle w:val="Heading3"/>
        <w:spacing w:line="360" w:lineRule="auto"/>
        <w:rPr>
          <w:rFonts w:cs="Arial"/>
        </w:rPr>
      </w:pPr>
      <w:r w:rsidRPr="00DF3B61">
        <w:rPr>
          <w:rFonts w:cs="Arial"/>
        </w:rPr>
        <w:t>High expectations (of team members)</w:t>
      </w:r>
    </w:p>
    <w:p w14:paraId="5F2DD692" w14:textId="77777777" w:rsidR="00FE75F8" w:rsidRPr="00DF3B61" w:rsidRDefault="00FE75F8" w:rsidP="00DF3B61">
      <w:pPr>
        <w:spacing w:line="360" w:lineRule="auto"/>
        <w:jc w:val="both"/>
        <w:rPr>
          <w:rFonts w:ascii="Arial" w:hAnsi="Arial" w:cs="Arial"/>
        </w:rPr>
      </w:pPr>
      <w:r w:rsidRPr="00DF3B61">
        <w:rPr>
          <w:rFonts w:ascii="Arial" w:hAnsi="Arial" w:cs="Arial"/>
        </w:rPr>
        <w:t>Although a collaborative approach is heavily promoted within the agile approach, in which more ownership is placed with team members, it seems that this comes with high expectations of individuals. According to Thesing et al., ‘project success depends strongly on the team’s skills and its members’ ability to organize’ (2021, p.751). Furthermore, it ‘</w:t>
      </w:r>
      <w:r w:rsidRPr="00DF3B61">
        <w:rPr>
          <w:rStyle w:val="markedcontent"/>
          <w:rFonts w:ascii="Arial" w:hAnsi="Arial" w:cs="Arial"/>
        </w:rPr>
        <w:t>assumes fully skilled team members, and any attrition or absence might be a challenge’ (Lal, 2018, p.47). D</w:t>
      </w:r>
      <w:r w:rsidRPr="00DF3B61">
        <w:rPr>
          <w:rFonts w:ascii="Arial" w:hAnsi="Arial" w:cs="Arial"/>
        </w:rPr>
        <w:t xml:space="preserve">epending on the capacity of team members to be organised, this could be seen as an affordance or a limitation of the agile approach. </w:t>
      </w:r>
    </w:p>
    <w:p w14:paraId="7C8D9952" w14:textId="77777777" w:rsidR="00FE75F8" w:rsidRPr="00DF3B61" w:rsidRDefault="00FE75F8" w:rsidP="00DF3B61">
      <w:pPr>
        <w:pStyle w:val="Heading3"/>
        <w:spacing w:line="360" w:lineRule="auto"/>
        <w:rPr>
          <w:rFonts w:cs="Arial"/>
        </w:rPr>
      </w:pPr>
      <w:r w:rsidRPr="00DF3B61">
        <w:rPr>
          <w:rFonts w:cs="Arial"/>
        </w:rPr>
        <w:t>Reduced admin, reduced knowledge management</w:t>
      </w:r>
    </w:p>
    <w:p w14:paraId="5F3FC969" w14:textId="77777777" w:rsidR="00FE75F8" w:rsidRPr="00DF3B61" w:rsidRDefault="00FE75F8" w:rsidP="00DF3B61">
      <w:pPr>
        <w:spacing w:line="360" w:lineRule="auto"/>
        <w:jc w:val="both"/>
        <w:rPr>
          <w:rStyle w:val="markedcontent"/>
          <w:rFonts w:ascii="Arial" w:hAnsi="Arial" w:cs="Arial"/>
        </w:rPr>
      </w:pPr>
      <w:r w:rsidRPr="00DF3B61">
        <w:rPr>
          <w:rFonts w:ascii="Arial" w:hAnsi="Arial" w:cs="Arial"/>
        </w:rPr>
        <w:t>Whilst one of the key affordances of the agile approach is less admin at a low level, such that ‘agile has (…) r</w:t>
      </w:r>
      <w:r w:rsidRPr="00DF3B61">
        <w:rPr>
          <w:rStyle w:val="markedcontent"/>
          <w:rFonts w:ascii="Arial" w:hAnsi="Arial" w:cs="Arial"/>
        </w:rPr>
        <w:t>educed intellectual innovations around solutioning, design and testing, as focusing on software development is preferred over by-products (documents)’ (Lal, 2018, p.56), it is evident that attendance at ‘daily scrum’ meetings is essential to keep abreast of the project tasks’ (Kidston et al., 2015, p.224). Consequently whilst there might be less documentation required within this approach, it seems that the daily scrum meetings compensate for this.</w:t>
      </w:r>
    </w:p>
    <w:p w14:paraId="2D1EAD44" w14:textId="77777777" w:rsidR="00FE75F8" w:rsidRPr="00DF3B61" w:rsidRDefault="00FE75F8" w:rsidP="00DF3B61">
      <w:pPr>
        <w:spacing w:line="360" w:lineRule="auto"/>
        <w:jc w:val="both"/>
        <w:rPr>
          <w:rFonts w:ascii="Arial" w:hAnsi="Arial" w:cs="Arial"/>
        </w:rPr>
      </w:pPr>
      <w:r w:rsidRPr="00DF3B61">
        <w:rPr>
          <w:rStyle w:val="markedcontent"/>
          <w:rFonts w:ascii="Arial" w:hAnsi="Arial" w:cs="Arial"/>
        </w:rPr>
        <w:t xml:space="preserve">Furthermore, Santos et al. argue that whilst the agile approach promotes ‘extensive communication, focused on teamwork’, formal knowledge management is weak’ (Santos et al., 2022, p.73), such that in this type of approach, ‘the project truths remain in the minds of the people and it does not even have a framework’ (Lal, 2018, p.50) as is the case in the waterfall approach. </w:t>
      </w:r>
      <w:r w:rsidRPr="00DF3B61">
        <w:rPr>
          <w:rFonts w:ascii="Arial" w:hAnsi="Arial" w:cs="Arial"/>
        </w:rPr>
        <w:t xml:space="preserve">Ultimately, the literature suggests that less admin means less knowledge management in this project management approach. </w:t>
      </w:r>
    </w:p>
    <w:p w14:paraId="0CE9E7AB" w14:textId="108D29BC" w:rsidR="00FE75F8" w:rsidRPr="00DF3B61" w:rsidRDefault="00FE75F8" w:rsidP="00DF3B61">
      <w:pPr>
        <w:pStyle w:val="Heading2"/>
        <w:spacing w:line="360" w:lineRule="auto"/>
        <w:jc w:val="both"/>
        <w:rPr>
          <w:rFonts w:cs="Arial"/>
        </w:rPr>
      </w:pPr>
      <w:r w:rsidRPr="002F4184">
        <w:rPr>
          <w:rFonts w:cs="Arial"/>
        </w:rPr>
        <w:t>Conclusion</w:t>
      </w:r>
      <w:r w:rsidR="002129FC" w:rsidRPr="002F4184">
        <w:rPr>
          <w:rFonts w:cs="Arial"/>
        </w:rPr>
        <w:t>s and reco</w:t>
      </w:r>
      <w:r w:rsidRPr="002F4184">
        <w:rPr>
          <w:rFonts w:cs="Arial"/>
        </w:rPr>
        <w:t>mmendations</w:t>
      </w:r>
    </w:p>
    <w:p w14:paraId="6574DE6B" w14:textId="77777777" w:rsidR="009F6115" w:rsidRDefault="008C477A" w:rsidP="00DF3B61">
      <w:pPr>
        <w:spacing w:line="360" w:lineRule="auto"/>
        <w:jc w:val="both"/>
        <w:rPr>
          <w:rStyle w:val="markedcontent"/>
          <w:rFonts w:ascii="Arial" w:hAnsi="Arial" w:cs="Arial"/>
        </w:rPr>
      </w:pPr>
      <w:r>
        <w:rPr>
          <w:rStyle w:val="markedcontent"/>
          <w:rFonts w:ascii="Arial" w:hAnsi="Arial" w:cs="Arial"/>
        </w:rPr>
        <w:t xml:space="preserve">Kidston et al. </w:t>
      </w:r>
      <w:r w:rsidR="00BD4EC8">
        <w:rPr>
          <w:rStyle w:val="markedcontent"/>
          <w:rFonts w:ascii="Arial" w:hAnsi="Arial" w:cs="Arial"/>
        </w:rPr>
        <w:t xml:space="preserve">highlight that </w:t>
      </w:r>
      <w:r w:rsidR="00FE75F8" w:rsidRPr="00DF3B61">
        <w:rPr>
          <w:rStyle w:val="markedcontent"/>
          <w:rFonts w:ascii="Arial" w:hAnsi="Arial" w:cs="Arial"/>
        </w:rPr>
        <w:t>‘being agile means that there is less resistance to changing the schedule; the highest priority is to satisfy the customer’ (2015, p.76)</w:t>
      </w:r>
      <w:r w:rsidR="00BD4EC8">
        <w:rPr>
          <w:rStyle w:val="markedcontent"/>
          <w:rFonts w:ascii="Arial" w:hAnsi="Arial" w:cs="Arial"/>
        </w:rPr>
        <w:t>. The</w:t>
      </w:r>
      <w:r w:rsidR="00BF268A">
        <w:rPr>
          <w:rStyle w:val="markedcontent"/>
          <w:rFonts w:ascii="Arial" w:hAnsi="Arial" w:cs="Arial"/>
        </w:rPr>
        <w:t xml:space="preserve"> ability of agile to recognise change and to put the customer at the centre of the approach are two fundamental values which align with the Learning Design work undertaken in my team.</w:t>
      </w:r>
      <w:r w:rsidR="00FF6718">
        <w:rPr>
          <w:rStyle w:val="markedcontent"/>
          <w:rFonts w:ascii="Arial" w:hAnsi="Arial" w:cs="Arial"/>
        </w:rPr>
        <w:t xml:space="preserve"> </w:t>
      </w:r>
      <w:r w:rsidR="00411679">
        <w:rPr>
          <w:rStyle w:val="markedcontent"/>
          <w:rFonts w:ascii="Arial" w:hAnsi="Arial" w:cs="Arial"/>
        </w:rPr>
        <w:t xml:space="preserve">More than </w:t>
      </w:r>
      <w:r w:rsidR="00FF6718">
        <w:rPr>
          <w:rStyle w:val="markedcontent"/>
          <w:rFonts w:ascii="Arial" w:hAnsi="Arial" w:cs="Arial"/>
        </w:rPr>
        <w:t>this, they reflect the</w:t>
      </w:r>
      <w:r w:rsidR="00411679">
        <w:rPr>
          <w:rStyle w:val="markedcontent"/>
          <w:rFonts w:ascii="Arial" w:hAnsi="Arial" w:cs="Arial"/>
        </w:rPr>
        <w:t xml:space="preserve"> ever</w:t>
      </w:r>
      <w:r w:rsidR="00FF6718">
        <w:rPr>
          <w:rStyle w:val="markedcontent"/>
          <w:rFonts w:ascii="Arial" w:hAnsi="Arial" w:cs="Arial"/>
        </w:rPr>
        <w:t xml:space="preserve"> changing needs </w:t>
      </w:r>
      <w:r w:rsidR="00411679">
        <w:rPr>
          <w:rStyle w:val="markedcontent"/>
          <w:rFonts w:ascii="Arial" w:hAnsi="Arial" w:cs="Arial"/>
        </w:rPr>
        <w:t xml:space="preserve">of </w:t>
      </w:r>
      <w:r w:rsidR="00FF6718">
        <w:rPr>
          <w:rStyle w:val="markedcontent"/>
          <w:rFonts w:ascii="Arial" w:hAnsi="Arial" w:cs="Arial"/>
        </w:rPr>
        <w:t xml:space="preserve">today’s project environment. </w:t>
      </w:r>
    </w:p>
    <w:p w14:paraId="030F053B" w14:textId="19B53E36" w:rsidR="00FE75F8" w:rsidRDefault="009F6115" w:rsidP="00DF3B61">
      <w:pPr>
        <w:spacing w:line="360" w:lineRule="auto"/>
        <w:jc w:val="both"/>
        <w:rPr>
          <w:rStyle w:val="markedcontent"/>
          <w:rFonts w:ascii="Arial" w:hAnsi="Arial" w:cs="Arial"/>
        </w:rPr>
      </w:pPr>
      <w:r>
        <w:rPr>
          <w:rStyle w:val="markedcontent"/>
          <w:rFonts w:ascii="Arial" w:hAnsi="Arial" w:cs="Arial"/>
        </w:rPr>
        <w:t>In addition to clien</w:t>
      </w:r>
      <w:r w:rsidR="003F3DFE">
        <w:rPr>
          <w:rStyle w:val="markedcontent"/>
          <w:rFonts w:ascii="Arial" w:hAnsi="Arial" w:cs="Arial"/>
        </w:rPr>
        <w:t xml:space="preserve">t involvement, the focus on teamworking (as opposed to a top-down approach) appeals to me </w:t>
      </w:r>
      <w:r w:rsidR="009C17D1">
        <w:rPr>
          <w:rStyle w:val="markedcontent"/>
          <w:rFonts w:ascii="Arial" w:hAnsi="Arial" w:cs="Arial"/>
        </w:rPr>
        <w:t>and reflects the existing dynamic of the Digital Learning Team</w:t>
      </w:r>
      <w:r w:rsidR="008F4023">
        <w:rPr>
          <w:rStyle w:val="markedcontent"/>
          <w:rFonts w:ascii="Arial" w:hAnsi="Arial" w:cs="Arial"/>
        </w:rPr>
        <w:t xml:space="preserve">. </w:t>
      </w:r>
    </w:p>
    <w:p w14:paraId="7374DD29" w14:textId="499B5CAF" w:rsidR="0090264C" w:rsidRDefault="00DA3573" w:rsidP="00DF3B61">
      <w:pPr>
        <w:spacing w:line="360" w:lineRule="auto"/>
        <w:jc w:val="both"/>
        <w:rPr>
          <w:rStyle w:val="markedcontent"/>
          <w:rFonts w:ascii="Arial" w:hAnsi="Arial" w:cs="Arial"/>
        </w:rPr>
      </w:pPr>
      <w:r>
        <w:rPr>
          <w:rStyle w:val="markedcontent"/>
          <w:rFonts w:ascii="Arial" w:hAnsi="Arial" w:cs="Arial"/>
        </w:rPr>
        <w:t xml:space="preserve">Conversely, one of the biggest drawbacks of agile seems to be that it is largely based on the process, rather than the product. </w:t>
      </w:r>
    </w:p>
    <w:p w14:paraId="32B1C6C9" w14:textId="0E5DEDF9" w:rsidR="00550C72" w:rsidRDefault="00550C72" w:rsidP="0090264C">
      <w:pPr>
        <w:pStyle w:val="ListParagraph"/>
        <w:numPr>
          <w:ilvl w:val="0"/>
          <w:numId w:val="23"/>
        </w:numPr>
        <w:spacing w:line="360" w:lineRule="auto"/>
        <w:jc w:val="both"/>
        <w:rPr>
          <w:rStyle w:val="markedcontent"/>
          <w:rFonts w:ascii="Arial" w:hAnsi="Arial" w:cs="Arial"/>
        </w:rPr>
      </w:pPr>
      <w:r>
        <w:rPr>
          <w:rStyle w:val="markedcontent"/>
          <w:rFonts w:ascii="Arial" w:hAnsi="Arial" w:cs="Arial"/>
        </w:rPr>
        <w:lastRenderedPageBreak/>
        <w:t xml:space="preserve">Focus on involving </w:t>
      </w:r>
      <w:r w:rsidR="00345352">
        <w:rPr>
          <w:rStyle w:val="markedcontent"/>
          <w:rFonts w:ascii="Arial" w:hAnsi="Arial" w:cs="Arial"/>
        </w:rPr>
        <w:t>team members more in</w:t>
      </w:r>
      <w:r w:rsidR="001D2703">
        <w:rPr>
          <w:rStyle w:val="markedcontent"/>
          <w:rFonts w:ascii="Arial" w:hAnsi="Arial" w:cs="Arial"/>
        </w:rPr>
        <w:t xml:space="preserve"> planning, team decision making etc.</w:t>
      </w:r>
    </w:p>
    <w:p w14:paraId="447F30F0" w14:textId="0D59E3D1" w:rsidR="00FC6492" w:rsidRDefault="00FC6492" w:rsidP="0090264C">
      <w:pPr>
        <w:pStyle w:val="ListParagraph"/>
        <w:numPr>
          <w:ilvl w:val="0"/>
          <w:numId w:val="23"/>
        </w:numPr>
        <w:spacing w:line="360" w:lineRule="auto"/>
        <w:jc w:val="both"/>
        <w:rPr>
          <w:rStyle w:val="markedcontent"/>
          <w:rFonts w:ascii="Arial" w:hAnsi="Arial" w:cs="Arial"/>
        </w:rPr>
      </w:pPr>
      <w:r>
        <w:rPr>
          <w:rStyle w:val="markedcontent"/>
          <w:rFonts w:ascii="Arial" w:hAnsi="Arial" w:cs="Arial"/>
        </w:rPr>
        <w:t xml:space="preserve">Investigate agile further </w:t>
      </w:r>
      <w:r w:rsidR="008402DF">
        <w:rPr>
          <w:rStyle w:val="markedcontent"/>
          <w:rFonts w:ascii="Arial" w:hAnsi="Arial" w:cs="Arial"/>
        </w:rPr>
        <w:t>– can it be adapted to focus on the product rather than the process?</w:t>
      </w:r>
    </w:p>
    <w:p w14:paraId="11A55C61" w14:textId="2E69FA3D" w:rsidR="008C477A" w:rsidRPr="0090264C" w:rsidRDefault="0090264C" w:rsidP="0090264C">
      <w:pPr>
        <w:pStyle w:val="ListParagraph"/>
        <w:numPr>
          <w:ilvl w:val="0"/>
          <w:numId w:val="23"/>
        </w:numPr>
        <w:spacing w:line="360" w:lineRule="auto"/>
        <w:jc w:val="both"/>
        <w:rPr>
          <w:rStyle w:val="markedcontent"/>
          <w:rFonts w:ascii="Arial" w:hAnsi="Arial" w:cs="Arial"/>
        </w:rPr>
      </w:pPr>
      <w:r>
        <w:rPr>
          <w:rStyle w:val="markedcontent"/>
          <w:rFonts w:ascii="Arial" w:hAnsi="Arial" w:cs="Arial"/>
        </w:rPr>
        <w:t>Look at derivatives of the agile approach. How do they differ</w:t>
      </w:r>
      <w:r w:rsidR="002F4184">
        <w:rPr>
          <w:rStyle w:val="markedcontent"/>
          <w:rFonts w:ascii="Arial" w:hAnsi="Arial" w:cs="Arial"/>
        </w:rPr>
        <w:t xml:space="preserve"> from agile itself?</w:t>
      </w:r>
    </w:p>
    <w:p w14:paraId="1DF93D4A" w14:textId="77777777" w:rsidR="00466620" w:rsidRPr="00DF3B61" w:rsidRDefault="00466620" w:rsidP="00DF3B61">
      <w:pPr>
        <w:spacing w:line="360" w:lineRule="auto"/>
        <w:jc w:val="both"/>
        <w:rPr>
          <w:rStyle w:val="markedcontent"/>
          <w:rFonts w:ascii="Arial" w:hAnsi="Arial" w:cs="Arial"/>
        </w:rPr>
      </w:pPr>
    </w:p>
    <w:p w14:paraId="068531E7" w14:textId="77777777" w:rsidR="007C2B0F" w:rsidRPr="00DF3B61" w:rsidRDefault="007C2B0F" w:rsidP="00DF3B61">
      <w:pPr>
        <w:spacing w:line="360" w:lineRule="auto"/>
        <w:rPr>
          <w:rFonts w:ascii="Arial" w:eastAsiaTheme="majorEastAsia" w:hAnsi="Arial" w:cs="Arial"/>
          <w:color w:val="2F5496" w:themeColor="accent1" w:themeShade="BF"/>
          <w:sz w:val="32"/>
          <w:szCs w:val="32"/>
        </w:rPr>
      </w:pPr>
      <w:r w:rsidRPr="00DF3B61">
        <w:rPr>
          <w:rFonts w:ascii="Arial" w:hAnsi="Arial" w:cs="Arial"/>
        </w:rPr>
        <w:br w:type="page"/>
      </w:r>
    </w:p>
    <w:p w14:paraId="54573350" w14:textId="3A23B28A" w:rsidR="007C2B0F" w:rsidRPr="00DF3B61" w:rsidRDefault="007C2B0F" w:rsidP="00DF3B61">
      <w:pPr>
        <w:pStyle w:val="Heading1"/>
        <w:spacing w:line="360" w:lineRule="auto"/>
        <w:jc w:val="both"/>
        <w:rPr>
          <w:rFonts w:cs="Arial"/>
        </w:rPr>
      </w:pPr>
      <w:r w:rsidRPr="00DF3B61">
        <w:rPr>
          <w:rFonts w:cs="Arial"/>
        </w:rPr>
        <w:lastRenderedPageBreak/>
        <w:t>Approach 3 – PRINCE2</w:t>
      </w:r>
    </w:p>
    <w:p w14:paraId="3058555C" w14:textId="77777777" w:rsidR="007C2B0F" w:rsidRPr="00DF3B61" w:rsidRDefault="007C2B0F" w:rsidP="00DF3B61">
      <w:pPr>
        <w:pStyle w:val="Heading2"/>
        <w:spacing w:line="360" w:lineRule="auto"/>
        <w:jc w:val="both"/>
        <w:rPr>
          <w:rFonts w:cs="Arial"/>
        </w:rPr>
      </w:pPr>
      <w:r w:rsidRPr="00DF3B61">
        <w:rPr>
          <w:rFonts w:cs="Arial"/>
        </w:rPr>
        <w:t>Overview</w:t>
      </w:r>
    </w:p>
    <w:p w14:paraId="47CF8755" w14:textId="77777777" w:rsidR="007C2B0F" w:rsidRPr="00DF3B61" w:rsidRDefault="007C2B0F" w:rsidP="00DF3B61">
      <w:pPr>
        <w:spacing w:line="360" w:lineRule="auto"/>
        <w:jc w:val="both"/>
        <w:rPr>
          <w:rFonts w:ascii="Arial" w:hAnsi="Arial" w:cs="Arial"/>
        </w:rPr>
      </w:pPr>
      <w:r w:rsidRPr="00DF3B61">
        <w:rPr>
          <w:rFonts w:ascii="Arial" w:hAnsi="Arial" w:cs="Arial"/>
        </w:rPr>
        <w:t xml:space="preserve">According to the literature, PRINCE2 is a ‘structured method, considered a standard and recognized in both the public and private sectors’ (Matos et al., 2013, p.790). Moreover, it is known for its standardized process, namely: </w:t>
      </w:r>
      <w:r w:rsidRPr="00DF3B61">
        <w:rPr>
          <w:rStyle w:val="markedcontent"/>
          <w:rFonts w:ascii="Arial" w:hAnsi="Arial" w:cs="Arial"/>
        </w:rPr>
        <w:t>‘starting up, directing, initiating, controlling a stage, managing product delivery, managing stage boundaries, closing a project’ (Santos et al., 2022, p.73). The framework itself ‘provides the expectations for what the project team will deliver, when it will be delivered, to what level of quality, and at what cost’ (Cooke, 2016, p.33). PRINCE2 is based on seven themes: ‘</w:t>
      </w:r>
      <w:r w:rsidRPr="00DF3B61">
        <w:rPr>
          <w:rFonts w:ascii="Arial" w:hAnsi="Arial" w:cs="Arial"/>
        </w:rPr>
        <w:t xml:space="preserve">business case; organisation; quality; plans; risk; change; progress (Bentley, 2019, pp.9-10) and consists of seven principles: continuous business justification; learn from experience; defined role and responsibilities; manage by stages; manage by exception; focus on products; tailor to suit the project environment (Bentley, 2019, p.9). </w:t>
      </w:r>
    </w:p>
    <w:p w14:paraId="7F87AAB5" w14:textId="77777777" w:rsidR="007C2B0F" w:rsidRPr="00DF3B61" w:rsidRDefault="007C2B0F" w:rsidP="00DF3B61">
      <w:pPr>
        <w:pStyle w:val="Heading2"/>
        <w:spacing w:line="360" w:lineRule="auto"/>
        <w:jc w:val="both"/>
        <w:rPr>
          <w:rFonts w:cs="Arial"/>
        </w:rPr>
      </w:pPr>
      <w:r w:rsidRPr="00DF3B61">
        <w:rPr>
          <w:rFonts w:cs="Arial"/>
        </w:rPr>
        <w:t>Affordances</w:t>
      </w:r>
    </w:p>
    <w:p w14:paraId="12ACD200" w14:textId="77777777" w:rsidR="007C2B0F" w:rsidRPr="00DF3B61" w:rsidRDefault="007C2B0F" w:rsidP="00DF3B61">
      <w:pPr>
        <w:spacing w:line="360" w:lineRule="auto"/>
        <w:rPr>
          <w:rFonts w:ascii="Arial" w:hAnsi="Arial" w:cs="Arial"/>
        </w:rPr>
      </w:pPr>
      <w:r w:rsidRPr="00DF3B61">
        <w:rPr>
          <w:rFonts w:ascii="Arial" w:hAnsi="Arial" w:cs="Arial"/>
        </w:rPr>
        <w:t xml:space="preserve">The strengths of PRINCE2 are well documented in the literature. </w:t>
      </w:r>
    </w:p>
    <w:p w14:paraId="0B010160" w14:textId="78EF422D" w:rsidR="007C2B0F" w:rsidRPr="00DF3B61" w:rsidRDefault="00082379" w:rsidP="00DF3B61">
      <w:pPr>
        <w:pStyle w:val="Heading3"/>
        <w:spacing w:line="360" w:lineRule="auto"/>
        <w:rPr>
          <w:rFonts w:cs="Arial"/>
        </w:rPr>
      </w:pPr>
      <w:r>
        <w:rPr>
          <w:rFonts w:cs="Arial"/>
        </w:rPr>
        <w:t>Consistency</w:t>
      </w:r>
    </w:p>
    <w:p w14:paraId="409E7C44" w14:textId="77777777" w:rsidR="007C2B0F" w:rsidRPr="00DF3B61" w:rsidRDefault="007C2B0F" w:rsidP="00DF3B61">
      <w:pPr>
        <w:spacing w:line="360" w:lineRule="auto"/>
        <w:jc w:val="both"/>
        <w:rPr>
          <w:rFonts w:ascii="Arial" w:hAnsi="Arial" w:cs="Arial"/>
        </w:rPr>
      </w:pPr>
      <w:r w:rsidRPr="00DF3B61">
        <w:rPr>
          <w:rFonts w:ascii="Arial" w:hAnsi="Arial" w:cs="Arial"/>
        </w:rPr>
        <w:t xml:space="preserve">Perhaps the most significant affordance of the approach is that it is </w:t>
      </w:r>
      <w:r w:rsidRPr="00DF3B61">
        <w:rPr>
          <w:rStyle w:val="markedcontent"/>
          <w:rFonts w:ascii="Arial" w:hAnsi="Arial" w:cs="Arial"/>
        </w:rPr>
        <w:t>‘highly standardized’ (Santos et al., 2022, p.71), meaning that there is a high level of consistency (Bentley, 2019, p.9) from project to project. This is achieved through the provision of a ‘</w:t>
      </w:r>
      <w:r w:rsidRPr="00DF3B61">
        <w:rPr>
          <w:rFonts w:ascii="Arial" w:hAnsi="Arial" w:cs="Arial"/>
        </w:rPr>
        <w:t>common vocabulary and approach (Hedeman et al., 2009, p.11). More specifically, ‘PRINCE2 is designed to provide a common language across all the interested parties involved in a project’ (Matos et al., 2013, p.789), such that there the terminology to describe processes, themes, principles, etc. In this sense, the approach is prescriptive rather than descriptive.</w:t>
      </w:r>
    </w:p>
    <w:p w14:paraId="1B1225FB" w14:textId="77777777" w:rsidR="007C2B0F" w:rsidRPr="00DF3B61" w:rsidRDefault="007C2B0F" w:rsidP="00DF3B61">
      <w:pPr>
        <w:spacing w:line="360" w:lineRule="auto"/>
        <w:jc w:val="both"/>
        <w:rPr>
          <w:rStyle w:val="markedcontent"/>
          <w:rFonts w:ascii="Arial" w:hAnsi="Arial" w:cs="Arial"/>
        </w:rPr>
      </w:pPr>
      <w:r w:rsidRPr="00DF3B61">
        <w:rPr>
          <w:rStyle w:val="markedcontent"/>
          <w:rFonts w:ascii="Arial" w:hAnsi="Arial" w:cs="Arial"/>
        </w:rPr>
        <w:t>Within this standardised approach, roles and responsibilities are well defined (Bentley, 2019, p.9), such that ‘r</w:t>
      </w:r>
      <w:r w:rsidRPr="00DF3B61">
        <w:rPr>
          <w:rFonts w:ascii="Arial" w:hAnsi="Arial" w:cs="Arial"/>
        </w:rPr>
        <w:t>oles  and  responsibilities  within  organisation  structure  in  a  project facilitate to engage the business, user, and supplier stakeholder interests’ (Islam, 2020, p.77)</w:t>
      </w:r>
      <w:r w:rsidRPr="00DF3B61">
        <w:rPr>
          <w:rStyle w:val="markedcontent"/>
          <w:rFonts w:ascii="Arial" w:hAnsi="Arial" w:cs="Arial"/>
        </w:rPr>
        <w:t>. This suggests that there is a sense of clarity for all participants involved in a project (Hedeman et al., 2009, p.11).</w:t>
      </w:r>
    </w:p>
    <w:p w14:paraId="2247C987" w14:textId="77777777" w:rsidR="007C2B0F" w:rsidRPr="00DF3B61" w:rsidRDefault="007C2B0F" w:rsidP="00DF3B61">
      <w:pPr>
        <w:pStyle w:val="Heading3"/>
        <w:spacing w:line="360" w:lineRule="auto"/>
        <w:rPr>
          <w:rFonts w:cs="Arial"/>
        </w:rPr>
      </w:pPr>
      <w:r w:rsidRPr="00A14105">
        <w:rPr>
          <w:rFonts w:cs="Arial"/>
        </w:rPr>
        <w:t>Different levels of management</w:t>
      </w:r>
      <w:r w:rsidRPr="00DF3B61">
        <w:rPr>
          <w:rFonts w:cs="Arial"/>
        </w:rPr>
        <w:t xml:space="preserve"> </w:t>
      </w:r>
    </w:p>
    <w:p w14:paraId="370B147D" w14:textId="5BAE64BE" w:rsidR="007C2B0F" w:rsidRPr="00DF3B61" w:rsidRDefault="00B5583D" w:rsidP="00CD7C4D">
      <w:pPr>
        <w:spacing w:line="360" w:lineRule="auto"/>
        <w:jc w:val="both"/>
        <w:rPr>
          <w:rStyle w:val="markedcontent"/>
          <w:rFonts w:ascii="Arial" w:hAnsi="Arial" w:cs="Arial"/>
        </w:rPr>
      </w:pPr>
      <w:r w:rsidRPr="00DF3B61">
        <w:rPr>
          <w:rStyle w:val="markedcontent"/>
          <w:rFonts w:ascii="Arial" w:hAnsi="Arial" w:cs="Arial"/>
        </w:rPr>
        <w:t>This approach provides ‘assurance to senior management that work is progressing; changes, issues, and risks are being managed; agreed timelines, budgets, and quality metrics are being achieved; and the business case for the project work continues to be justified’ (Cooke, 2016, pp.25-26)</w:t>
      </w:r>
      <w:r w:rsidR="00CD7C4D">
        <w:rPr>
          <w:rStyle w:val="markedcontent"/>
          <w:rFonts w:ascii="Arial" w:hAnsi="Arial" w:cs="Arial"/>
        </w:rPr>
        <w:t>. As such, it ha</w:t>
      </w:r>
      <w:r w:rsidR="007C2B0F" w:rsidRPr="00DF3B61">
        <w:rPr>
          <w:rStyle w:val="markedcontent"/>
          <w:rFonts w:ascii="Arial" w:hAnsi="Arial" w:cs="Arial"/>
        </w:rPr>
        <w:t>s ‘different plan levels for different management levels’ (Bentley, 2019, p.9)</w:t>
      </w:r>
      <w:r w:rsidR="00CD7C4D">
        <w:rPr>
          <w:rStyle w:val="markedcontent"/>
          <w:rFonts w:ascii="Arial" w:hAnsi="Arial" w:cs="Arial"/>
        </w:rPr>
        <w:t>.</w:t>
      </w:r>
      <w:r w:rsidR="007C2B0F" w:rsidRPr="00DF3B61">
        <w:rPr>
          <w:rStyle w:val="markedcontent"/>
          <w:rFonts w:ascii="Arial" w:hAnsi="Arial" w:cs="Arial"/>
        </w:rPr>
        <w:tab/>
      </w:r>
    </w:p>
    <w:p w14:paraId="156CBE6B" w14:textId="77777777" w:rsidR="007C2B0F" w:rsidRPr="00DF3B61" w:rsidRDefault="007C2B0F" w:rsidP="00DF3B61">
      <w:pPr>
        <w:pStyle w:val="Heading3"/>
        <w:spacing w:line="360" w:lineRule="auto"/>
        <w:rPr>
          <w:rFonts w:cs="Arial"/>
        </w:rPr>
      </w:pPr>
      <w:r w:rsidRPr="00DF3B61">
        <w:rPr>
          <w:rFonts w:cs="Arial"/>
        </w:rPr>
        <w:lastRenderedPageBreak/>
        <w:t>High levels of flexibility</w:t>
      </w:r>
    </w:p>
    <w:p w14:paraId="07D1CBA4" w14:textId="77777777" w:rsidR="007C2B0F" w:rsidRPr="00DF3B61" w:rsidRDefault="007C2B0F" w:rsidP="00DF3B61">
      <w:pPr>
        <w:spacing w:line="360" w:lineRule="auto"/>
        <w:jc w:val="both"/>
        <w:rPr>
          <w:rFonts w:ascii="Arial" w:hAnsi="Arial" w:cs="Arial"/>
        </w:rPr>
      </w:pPr>
      <w:r w:rsidRPr="00DF3B61">
        <w:rPr>
          <w:rFonts w:ascii="Arial" w:hAnsi="Arial" w:cs="Arial"/>
        </w:rPr>
        <w:t xml:space="preserve">Another key affordance of this approach appears to be its high levels of flexibility, in that it can be applied to any type of project (Bentley, 2019, p.8). Moreover, </w:t>
      </w:r>
      <w:r w:rsidRPr="00DF3B61">
        <w:rPr>
          <w:rStyle w:val="markedcontent"/>
          <w:rFonts w:ascii="Arial" w:hAnsi="Arial" w:cs="Arial"/>
        </w:rPr>
        <w:t>‘the PRINCE2 framework has the flexibility to be applied to projects of any type, size, duration, complexity, and scope’ (Cooke, 2016, p.25) and ‘</w:t>
      </w:r>
      <w:r w:rsidRPr="00DF3B61">
        <w:rPr>
          <w:rFonts w:ascii="Arial" w:hAnsi="Arial" w:cs="Arial"/>
        </w:rPr>
        <w:t>can easily be aligned to specialist lifecycle models’ (Hedeman et al., 2009, p.10)</w:t>
      </w:r>
      <w:r w:rsidRPr="00DF3B61">
        <w:rPr>
          <w:rStyle w:val="markedcontent"/>
          <w:rFonts w:ascii="Arial" w:hAnsi="Arial" w:cs="Arial"/>
        </w:rPr>
        <w:t>.</w:t>
      </w:r>
    </w:p>
    <w:p w14:paraId="167E11F8" w14:textId="77777777" w:rsidR="007C2B0F" w:rsidRPr="00DF3B61" w:rsidRDefault="007C2B0F" w:rsidP="00DF3B61">
      <w:pPr>
        <w:pStyle w:val="Heading3"/>
        <w:spacing w:line="360" w:lineRule="auto"/>
        <w:rPr>
          <w:rFonts w:cs="Arial"/>
        </w:rPr>
      </w:pPr>
      <w:r w:rsidRPr="00DF3B61">
        <w:rPr>
          <w:rFonts w:cs="Arial"/>
        </w:rPr>
        <w:t xml:space="preserve">Professional development opportunities </w:t>
      </w:r>
    </w:p>
    <w:p w14:paraId="7D842431" w14:textId="77777777" w:rsidR="007C2B0F" w:rsidRPr="00DF3B61" w:rsidRDefault="007C2B0F" w:rsidP="00DF3B61">
      <w:pPr>
        <w:spacing w:line="360" w:lineRule="auto"/>
        <w:jc w:val="both"/>
        <w:rPr>
          <w:rFonts w:ascii="Arial" w:hAnsi="Arial" w:cs="Arial"/>
        </w:rPr>
      </w:pPr>
      <w:r w:rsidRPr="00DF3B61">
        <w:rPr>
          <w:rFonts w:ascii="Arial" w:hAnsi="Arial" w:cs="Arial"/>
        </w:rPr>
        <w:t xml:space="preserve">This approach offers opportunities for professional development and formal recognition. Bentley highlights that there is an exam-based accreditation (2019, p.9), meaning that there is an opportunity to undertake professional learning which is specific to PRINCE2. Additionally, Hedeman et al. indicate that the approach promotes learning and continuous improvement (2009, p.9), which supports the broader context of project management. </w:t>
      </w:r>
    </w:p>
    <w:p w14:paraId="516D687B" w14:textId="43CD3BF3" w:rsidR="007C2B0F" w:rsidRPr="00DF3B61" w:rsidRDefault="007C2B0F" w:rsidP="00DF3B61">
      <w:pPr>
        <w:spacing w:line="360" w:lineRule="auto"/>
        <w:jc w:val="both"/>
        <w:rPr>
          <w:rFonts w:ascii="Arial" w:hAnsi="Arial" w:cs="Arial"/>
        </w:rPr>
      </w:pPr>
      <w:r w:rsidRPr="00DF3B61">
        <w:rPr>
          <w:rFonts w:ascii="Arial" w:hAnsi="Arial" w:cs="Arial"/>
        </w:rPr>
        <w:t>However, aside from formal professional learning, this approach offers teams members opportunities to undertake informal learning. Islam underlines that ‘project teams review previous or similar projects whether they can apply the lessons that learned from those projects. This learning process continues  as  the project  progresses  and  closes’ (2020, p.77)</w:t>
      </w:r>
    </w:p>
    <w:p w14:paraId="6D4E1A1C" w14:textId="77777777" w:rsidR="007C2B0F" w:rsidRPr="00DF3B61" w:rsidRDefault="007C2B0F" w:rsidP="00DF3B61">
      <w:pPr>
        <w:pStyle w:val="Heading2"/>
        <w:spacing w:line="360" w:lineRule="auto"/>
        <w:jc w:val="both"/>
        <w:rPr>
          <w:rFonts w:cs="Arial"/>
        </w:rPr>
      </w:pPr>
      <w:r w:rsidRPr="00DF3B61">
        <w:rPr>
          <w:rFonts w:cs="Arial"/>
        </w:rPr>
        <w:t>Limitations</w:t>
      </w:r>
    </w:p>
    <w:p w14:paraId="684CA5CC" w14:textId="77777777" w:rsidR="007C2B0F" w:rsidRPr="00DF3B61" w:rsidRDefault="007C2B0F" w:rsidP="00DF3B61">
      <w:pPr>
        <w:spacing w:line="360" w:lineRule="auto"/>
        <w:jc w:val="both"/>
        <w:rPr>
          <w:rFonts w:ascii="Arial" w:hAnsi="Arial" w:cs="Arial"/>
        </w:rPr>
      </w:pPr>
      <w:r w:rsidRPr="00DF3B61">
        <w:rPr>
          <w:rFonts w:ascii="Arial" w:hAnsi="Arial" w:cs="Arial"/>
        </w:rPr>
        <w:t xml:space="preserve">In contrast to the affordances discussed above, there are also some limitations of this approach presented in the literature. </w:t>
      </w:r>
    </w:p>
    <w:p w14:paraId="5F81663D" w14:textId="77777777" w:rsidR="007C2B0F" w:rsidRPr="00DF3B61" w:rsidRDefault="007C2B0F" w:rsidP="00DF3B61">
      <w:pPr>
        <w:pStyle w:val="Heading3"/>
        <w:spacing w:line="360" w:lineRule="auto"/>
        <w:rPr>
          <w:rFonts w:cs="Arial"/>
        </w:rPr>
      </w:pPr>
      <w:r w:rsidRPr="00DF3B61">
        <w:rPr>
          <w:rFonts w:cs="Arial"/>
        </w:rPr>
        <w:t>Not flexible enough</w:t>
      </w:r>
    </w:p>
    <w:p w14:paraId="023C17EB" w14:textId="56E85F47" w:rsidR="007C2B0F" w:rsidRPr="00DF3B61" w:rsidRDefault="007C2B0F" w:rsidP="00DF3B61">
      <w:pPr>
        <w:spacing w:line="360" w:lineRule="auto"/>
        <w:jc w:val="both"/>
        <w:rPr>
          <w:rStyle w:val="markedcontent"/>
          <w:rFonts w:ascii="Arial" w:hAnsi="Arial" w:cs="Arial"/>
        </w:rPr>
      </w:pPr>
      <w:r w:rsidRPr="00DF3B61">
        <w:rPr>
          <w:rFonts w:ascii="Arial" w:hAnsi="Arial" w:cs="Arial"/>
        </w:rPr>
        <w:t xml:space="preserve">Firstly, it is argued that although the PRINCE2 approach may be standardised and has a certain level of flexibility, in some respects it is not flexible enough. Santos et al. argue that there is a </w:t>
      </w:r>
      <w:r w:rsidRPr="00DF3B61">
        <w:rPr>
          <w:rStyle w:val="markedcontent"/>
          <w:rFonts w:ascii="Arial" w:hAnsi="Arial" w:cs="Arial"/>
        </w:rPr>
        <w:t>‘lack of flexibility</w:t>
      </w:r>
      <w:r w:rsidR="00715F8E" w:rsidRPr="00DF3B61">
        <w:rPr>
          <w:rStyle w:val="markedcontent"/>
          <w:rFonts w:ascii="Arial" w:hAnsi="Arial" w:cs="Arial"/>
        </w:rPr>
        <w:t>’</w:t>
      </w:r>
      <w:r w:rsidR="00715F8E">
        <w:rPr>
          <w:rStyle w:val="markedcontent"/>
          <w:rFonts w:ascii="Arial" w:hAnsi="Arial" w:cs="Arial"/>
        </w:rPr>
        <w:t>,</w:t>
      </w:r>
      <w:r w:rsidRPr="00DF3B61">
        <w:rPr>
          <w:rStyle w:val="markedcontent"/>
          <w:rFonts w:ascii="Arial" w:hAnsi="Arial" w:cs="Arial"/>
        </w:rPr>
        <w:t xml:space="preserve"> in the sense that there is not much deviation from the standardised structure and it ‘does not cover all subjects relevant to project management’ (2022, p.71).</w:t>
      </w:r>
    </w:p>
    <w:p w14:paraId="566E391C" w14:textId="77777777" w:rsidR="007C2B0F" w:rsidRPr="00DF3B61" w:rsidRDefault="007C2B0F" w:rsidP="00DF3B61">
      <w:pPr>
        <w:spacing w:line="360" w:lineRule="auto"/>
        <w:jc w:val="both"/>
        <w:rPr>
          <w:rFonts w:ascii="Arial" w:hAnsi="Arial" w:cs="Arial"/>
        </w:rPr>
      </w:pPr>
      <w:r w:rsidRPr="00DF3B61">
        <w:rPr>
          <w:rStyle w:val="markedcontent"/>
          <w:rFonts w:ascii="Arial" w:hAnsi="Arial" w:cs="Arial"/>
        </w:rPr>
        <w:t xml:space="preserve">More specifically, </w:t>
      </w:r>
      <w:r w:rsidRPr="00DF3B61">
        <w:rPr>
          <w:rFonts w:ascii="Arial" w:hAnsi="Arial" w:cs="Arial"/>
        </w:rPr>
        <w:t>Hedeman et al. propose that ‘techniques are only included in PRINCE2 where they contribute to the specific PRINCE2 treatment of a theme’ (2009, p.10). This is further supported by Karaman et al., such that ‘only PRINCE2 specific techniques are explained’, for example ‘interpersonal skills are not covered by PRINCE2’ (2015, p.574). Whereas Hedeman et al. allude to the inherent importance of leadership and other social skills in project management which are ‘impossible to codify in method’ (2009, p.10).</w:t>
      </w:r>
    </w:p>
    <w:p w14:paraId="5D91BD7D" w14:textId="77777777" w:rsidR="007C2B0F" w:rsidRPr="00DF3B61" w:rsidRDefault="007C2B0F" w:rsidP="00DF3B61">
      <w:pPr>
        <w:pStyle w:val="Heading3"/>
        <w:spacing w:line="360" w:lineRule="auto"/>
        <w:rPr>
          <w:rFonts w:cs="Arial"/>
        </w:rPr>
      </w:pPr>
      <w:r w:rsidRPr="00DF3B61">
        <w:rPr>
          <w:rFonts w:cs="Arial"/>
        </w:rPr>
        <w:t xml:space="preserve">High levels of complexity </w:t>
      </w:r>
    </w:p>
    <w:p w14:paraId="3B1F5ED8" w14:textId="7055EBC2" w:rsidR="007C2B0F" w:rsidRPr="00DF3B61" w:rsidRDefault="007C2B0F" w:rsidP="00DF3B61">
      <w:pPr>
        <w:spacing w:line="360" w:lineRule="auto"/>
        <w:jc w:val="both"/>
        <w:rPr>
          <w:rFonts w:ascii="Arial" w:hAnsi="Arial" w:cs="Arial"/>
        </w:rPr>
      </w:pPr>
      <w:r w:rsidRPr="00DF3B61">
        <w:rPr>
          <w:rFonts w:ascii="Arial" w:hAnsi="Arial" w:cs="Arial"/>
        </w:rPr>
        <w:t xml:space="preserve">Another potential limitation of this approach the high level of complexity involved in its implementation. Jovanovic </w:t>
      </w:r>
      <w:r w:rsidR="00562DFA">
        <w:rPr>
          <w:rFonts w:ascii="Arial" w:hAnsi="Arial" w:cs="Arial"/>
        </w:rPr>
        <w:t xml:space="preserve">et al. </w:t>
      </w:r>
      <w:r w:rsidRPr="00DF3B61">
        <w:rPr>
          <w:rFonts w:ascii="Arial" w:hAnsi="Arial" w:cs="Arial"/>
        </w:rPr>
        <w:t xml:space="preserve">contend that ‘given the complexity of this methodology, its implementation requires a comprehensive knowledge of project management in order that all </w:t>
      </w:r>
      <w:r w:rsidRPr="00DF3B61">
        <w:rPr>
          <w:rFonts w:ascii="Arial" w:hAnsi="Arial" w:cs="Arial"/>
        </w:rPr>
        <w:lastRenderedPageBreak/>
        <w:t xml:space="preserve">basic elements and basic subprocesses should be included’ (2018, p.5). This therefore implies that this approach might not be appropriate for those who are new to project management and who perhaps do not have a grasp of fundamental project management terminology. </w:t>
      </w:r>
    </w:p>
    <w:p w14:paraId="3D8656AA" w14:textId="77777777" w:rsidR="007C2B0F" w:rsidRPr="00DF3B61" w:rsidRDefault="007C2B0F" w:rsidP="00DF3B61">
      <w:pPr>
        <w:spacing w:line="360" w:lineRule="auto"/>
        <w:jc w:val="both"/>
        <w:rPr>
          <w:rFonts w:ascii="Arial" w:hAnsi="Arial" w:cs="Arial"/>
        </w:rPr>
      </w:pPr>
      <w:r w:rsidRPr="00DF3B61">
        <w:rPr>
          <w:rStyle w:val="markedcontent"/>
          <w:rFonts w:ascii="Arial" w:hAnsi="Arial" w:cs="Arial"/>
        </w:rPr>
        <w:t xml:space="preserve">Furthermore, ‘while   PRINCE2   project   management   methodology   provides   well-structured   project management, many Project Managers often say that PRINCE2 method involves complex processes which are time consuming and it is difficult for Project Managers to complete projects within time frame and budget’ (Islam et al., 2020, p.76). This is an indication that there are potential complexities with both language and processes, which ultimately will have schedule and financial implications. </w:t>
      </w:r>
    </w:p>
    <w:p w14:paraId="65B79B8F" w14:textId="77777777" w:rsidR="007C2B0F" w:rsidRPr="00DF3B61" w:rsidRDefault="007C2B0F" w:rsidP="00DF3B61">
      <w:pPr>
        <w:pStyle w:val="Heading3"/>
        <w:spacing w:line="360" w:lineRule="auto"/>
        <w:rPr>
          <w:rFonts w:cs="Arial"/>
        </w:rPr>
      </w:pPr>
      <w:r w:rsidRPr="00DF3B61">
        <w:rPr>
          <w:rFonts w:cs="Arial"/>
        </w:rPr>
        <w:t xml:space="preserve">Requires mass buy-in </w:t>
      </w:r>
    </w:p>
    <w:p w14:paraId="4FD7BB0E" w14:textId="77777777" w:rsidR="007C2B0F" w:rsidRPr="00DF3B61" w:rsidRDefault="007C2B0F" w:rsidP="00DF3B61">
      <w:pPr>
        <w:spacing w:line="360" w:lineRule="auto"/>
        <w:jc w:val="both"/>
        <w:rPr>
          <w:rFonts w:ascii="Arial" w:hAnsi="Arial" w:cs="Arial"/>
        </w:rPr>
      </w:pPr>
      <w:r w:rsidRPr="00DF3B61">
        <w:rPr>
          <w:rFonts w:ascii="Arial" w:hAnsi="Arial" w:cs="Arial"/>
        </w:rPr>
        <w:t>It may be true that ‘PRINCE2’s strength is in its wide application’ (Hedeman et al., 2009, p.10), yet this implies that it is therefore not suitable for smaller projects and thus requires mass buy-in to be successful. Reiss proposes that ‘</w:t>
      </w:r>
      <w:r w:rsidRPr="00DF3B61">
        <w:rPr>
          <w:rStyle w:val="markedcontent"/>
          <w:rFonts w:ascii="Arial" w:hAnsi="Arial" w:cs="Arial"/>
        </w:rPr>
        <w:t xml:space="preserve">if your organization has a number of project managers running a number of projects, there will be value in having them all follow some consistent approaches’ and that ‘a common method will give the senior management confidence that the project workload is being consistently and professionally managed’ (2007, p.115). However, this further strengthens the argument that the successful implementation of this approach relies on all units or teams adopting PRINCE2 as the common approach, rather than one team using it in isolation. </w:t>
      </w:r>
    </w:p>
    <w:p w14:paraId="222FD677" w14:textId="77777777" w:rsidR="007C2B0F" w:rsidRPr="00DF3B61" w:rsidRDefault="007C2B0F" w:rsidP="00DF3B61">
      <w:pPr>
        <w:pStyle w:val="Heading3"/>
        <w:spacing w:line="360" w:lineRule="auto"/>
        <w:rPr>
          <w:rFonts w:cs="Arial"/>
        </w:rPr>
      </w:pPr>
      <w:r w:rsidRPr="00DF3B61">
        <w:rPr>
          <w:rFonts w:cs="Arial"/>
        </w:rPr>
        <w:t>Business case</w:t>
      </w:r>
    </w:p>
    <w:p w14:paraId="2C978A03" w14:textId="6D87FCE2" w:rsidR="00224E2F" w:rsidRPr="00DF3B61" w:rsidRDefault="007C2B0F" w:rsidP="00DF3B61">
      <w:pPr>
        <w:spacing w:line="360" w:lineRule="auto"/>
        <w:jc w:val="both"/>
        <w:rPr>
          <w:rStyle w:val="markedcontent"/>
          <w:rFonts w:ascii="Arial" w:hAnsi="Arial" w:cs="Arial"/>
        </w:rPr>
      </w:pPr>
      <w:r w:rsidRPr="00DF3B61">
        <w:rPr>
          <w:rStyle w:val="markedcontent"/>
          <w:rFonts w:ascii="Arial" w:hAnsi="Arial" w:cs="Arial"/>
        </w:rPr>
        <w:t xml:space="preserve">Finally, </w:t>
      </w:r>
      <w:r w:rsidRPr="00DF3B61">
        <w:rPr>
          <w:rFonts w:ascii="Arial" w:hAnsi="Arial" w:cs="Arial"/>
        </w:rPr>
        <w:t xml:space="preserve">the PRINCE2 approach is based on a project’s business case (Matos et al., 2013, p.789) and each project is ultimately </w:t>
      </w:r>
      <w:r w:rsidRPr="00DF3B61">
        <w:rPr>
          <w:rStyle w:val="markedcontent"/>
          <w:rFonts w:ascii="Arial" w:hAnsi="Arial" w:cs="Arial"/>
        </w:rPr>
        <w:t xml:space="preserve">driven by the viability of this business case (Bentley, 2019, p.8). Namely, there needs to be </w:t>
      </w:r>
      <w:r w:rsidR="00E304CA">
        <w:rPr>
          <w:rStyle w:val="markedcontent"/>
          <w:rFonts w:ascii="Arial" w:hAnsi="Arial" w:cs="Arial"/>
        </w:rPr>
        <w:t>‘</w:t>
      </w:r>
      <w:r w:rsidR="006A3DA8">
        <w:rPr>
          <w:rStyle w:val="markedcontent"/>
          <w:rFonts w:ascii="Arial" w:hAnsi="Arial" w:cs="Arial"/>
        </w:rPr>
        <w:t>a justifi</w:t>
      </w:r>
      <w:r w:rsidR="00AE2A08">
        <w:rPr>
          <w:rStyle w:val="markedcontent"/>
          <w:rFonts w:ascii="Arial" w:hAnsi="Arial" w:cs="Arial"/>
        </w:rPr>
        <w:t xml:space="preserve">able reason for starting the project that will remain consistent throughout </w:t>
      </w:r>
      <w:r w:rsidR="00E304CA">
        <w:rPr>
          <w:rStyle w:val="markedcontent"/>
          <w:rFonts w:ascii="Arial" w:hAnsi="Arial" w:cs="Arial"/>
        </w:rPr>
        <w:t>its duration’ (Cooke, 2016, p.27).</w:t>
      </w:r>
    </w:p>
    <w:p w14:paraId="4FF69FAF" w14:textId="77777777" w:rsidR="007C2B0F" w:rsidRPr="00DF3B61" w:rsidRDefault="007C2B0F" w:rsidP="00DF3B61">
      <w:pPr>
        <w:spacing w:line="360" w:lineRule="auto"/>
        <w:jc w:val="both"/>
        <w:rPr>
          <w:rFonts w:ascii="Arial" w:hAnsi="Arial" w:cs="Arial"/>
        </w:rPr>
      </w:pPr>
      <w:r w:rsidRPr="00DF3B61">
        <w:rPr>
          <w:rFonts w:ascii="Arial" w:hAnsi="Arial" w:cs="Arial"/>
        </w:rPr>
        <w:t xml:space="preserve">However, even though ‘PRINCE2 is </w:t>
      </w:r>
      <w:r w:rsidRPr="00DF3B61">
        <w:rPr>
          <w:rStyle w:val="markedcontent"/>
          <w:rFonts w:ascii="Arial" w:hAnsi="Arial" w:cs="Arial"/>
        </w:rPr>
        <w:t xml:space="preserve">tailored to suit the project’s environment, size, complexity importance, capability, and risk’ (Cooke, 2016, p.27), </w:t>
      </w:r>
      <w:r w:rsidRPr="00DF3B61">
        <w:rPr>
          <w:rFonts w:ascii="Arial" w:hAnsi="Arial" w:cs="Arial"/>
        </w:rPr>
        <w:t>it could be argued that</w:t>
      </w:r>
      <w:r w:rsidRPr="00DF3B61">
        <w:rPr>
          <w:rStyle w:val="markedcontent"/>
          <w:rFonts w:ascii="Arial" w:hAnsi="Arial" w:cs="Arial"/>
        </w:rPr>
        <w:t xml:space="preserve"> </w:t>
      </w:r>
      <w:r w:rsidRPr="00DF3B61">
        <w:rPr>
          <w:rFonts w:ascii="Arial" w:hAnsi="Arial" w:cs="Arial"/>
        </w:rPr>
        <w:t xml:space="preserve">not all projects require a </w:t>
      </w:r>
      <w:r w:rsidRPr="00DF3B61">
        <w:rPr>
          <w:rFonts w:ascii="Arial" w:hAnsi="Arial" w:cs="Arial"/>
          <w:i/>
          <w:iCs/>
        </w:rPr>
        <w:t>formalised</w:t>
      </w:r>
      <w:r w:rsidRPr="00DF3B61">
        <w:rPr>
          <w:rFonts w:ascii="Arial" w:hAnsi="Arial" w:cs="Arial"/>
        </w:rPr>
        <w:t xml:space="preserve"> business justification, especially those that are much smaller in size and scope. In such a scenario, it might be worthwhile considering if this would be an appropriate approach to adopt. </w:t>
      </w:r>
    </w:p>
    <w:p w14:paraId="4358DE35" w14:textId="66767907" w:rsidR="007C2B0F" w:rsidRPr="00DF3B61" w:rsidRDefault="007C2B0F" w:rsidP="00DF3B61">
      <w:pPr>
        <w:pStyle w:val="Heading2"/>
        <w:spacing w:line="360" w:lineRule="auto"/>
        <w:jc w:val="both"/>
        <w:rPr>
          <w:rFonts w:cs="Arial"/>
        </w:rPr>
      </w:pPr>
      <w:r w:rsidRPr="00242676">
        <w:rPr>
          <w:rFonts w:cs="Arial"/>
        </w:rPr>
        <w:t>Conclusion</w:t>
      </w:r>
      <w:r w:rsidR="00080EA0" w:rsidRPr="00242676">
        <w:rPr>
          <w:rFonts w:cs="Arial"/>
        </w:rPr>
        <w:t>s and recommendations</w:t>
      </w:r>
    </w:p>
    <w:p w14:paraId="134ECA50" w14:textId="64DA8BAE" w:rsidR="00613A37" w:rsidRDefault="00F723B9" w:rsidP="00A314AC">
      <w:pPr>
        <w:spacing w:line="360" w:lineRule="auto"/>
        <w:jc w:val="both"/>
        <w:rPr>
          <w:rFonts w:ascii="Arial" w:hAnsi="Arial" w:cs="Arial"/>
        </w:rPr>
      </w:pPr>
      <w:r>
        <w:rPr>
          <w:rFonts w:ascii="Arial" w:hAnsi="Arial" w:cs="Arial"/>
        </w:rPr>
        <w:t xml:space="preserve">There are clear affordances to the PRINCE2 approach, many of which have not been discussed </w:t>
      </w:r>
      <w:r w:rsidR="008871B3">
        <w:rPr>
          <w:rFonts w:ascii="Arial" w:hAnsi="Arial" w:cs="Arial"/>
        </w:rPr>
        <w:t xml:space="preserve">in this essay. </w:t>
      </w:r>
      <w:r w:rsidR="00562DFA">
        <w:rPr>
          <w:rFonts w:ascii="Arial" w:hAnsi="Arial" w:cs="Arial"/>
        </w:rPr>
        <w:t>The theme of consistency is a common thread through much of the literature, such that the common language used in the PRINCE2 approach makes it a much more standardize</w:t>
      </w:r>
      <w:r w:rsidR="00C70AC9">
        <w:rPr>
          <w:rFonts w:ascii="Arial" w:hAnsi="Arial" w:cs="Arial"/>
        </w:rPr>
        <w:t>d</w:t>
      </w:r>
      <w:r w:rsidR="00562DFA">
        <w:rPr>
          <w:rFonts w:ascii="Arial" w:hAnsi="Arial" w:cs="Arial"/>
        </w:rPr>
        <w:t xml:space="preserve"> approach t</w:t>
      </w:r>
      <w:r w:rsidR="00C70AC9">
        <w:rPr>
          <w:rFonts w:ascii="Arial" w:hAnsi="Arial" w:cs="Arial"/>
        </w:rPr>
        <w:t>han waterfall and agile</w:t>
      </w:r>
      <w:r w:rsidR="00515493">
        <w:rPr>
          <w:rFonts w:ascii="Arial" w:hAnsi="Arial" w:cs="Arial"/>
        </w:rPr>
        <w:t xml:space="preserve">. It appears that </w:t>
      </w:r>
      <w:r w:rsidR="00C70AC9">
        <w:rPr>
          <w:rFonts w:ascii="Arial" w:hAnsi="Arial" w:cs="Arial"/>
        </w:rPr>
        <w:t xml:space="preserve">once you have become </w:t>
      </w:r>
      <w:r w:rsidR="00C70AC9">
        <w:rPr>
          <w:rFonts w:ascii="Arial" w:hAnsi="Arial" w:cs="Arial"/>
        </w:rPr>
        <w:lastRenderedPageBreak/>
        <w:t>accustomed to the PRINCE2 terminology</w:t>
      </w:r>
      <w:r w:rsidR="00515493">
        <w:rPr>
          <w:rFonts w:ascii="Arial" w:hAnsi="Arial" w:cs="Arial"/>
        </w:rPr>
        <w:t xml:space="preserve">, including its many </w:t>
      </w:r>
      <w:r w:rsidR="00C70AC9">
        <w:rPr>
          <w:rFonts w:ascii="Arial" w:hAnsi="Arial" w:cs="Arial"/>
        </w:rPr>
        <w:t xml:space="preserve">principles, </w:t>
      </w:r>
      <w:r w:rsidR="008F4023">
        <w:rPr>
          <w:rFonts w:ascii="Arial" w:hAnsi="Arial" w:cs="Arial"/>
        </w:rPr>
        <w:t>themes,</w:t>
      </w:r>
      <w:r w:rsidR="00C70AC9">
        <w:rPr>
          <w:rFonts w:ascii="Arial" w:hAnsi="Arial" w:cs="Arial"/>
        </w:rPr>
        <w:t xml:space="preserve"> and processes</w:t>
      </w:r>
      <w:r w:rsidR="00515493">
        <w:rPr>
          <w:rFonts w:ascii="Arial" w:hAnsi="Arial" w:cs="Arial"/>
        </w:rPr>
        <w:t xml:space="preserve">, you will be able to reapply this </w:t>
      </w:r>
      <w:r w:rsidR="002F2D96">
        <w:rPr>
          <w:rFonts w:ascii="Arial" w:hAnsi="Arial" w:cs="Arial"/>
        </w:rPr>
        <w:t xml:space="preserve">approach </w:t>
      </w:r>
      <w:r w:rsidR="008F4023">
        <w:rPr>
          <w:rFonts w:ascii="Arial" w:hAnsi="Arial" w:cs="Arial"/>
        </w:rPr>
        <w:t>repeatedly</w:t>
      </w:r>
      <w:r w:rsidR="002F2D96">
        <w:rPr>
          <w:rFonts w:ascii="Arial" w:hAnsi="Arial" w:cs="Arial"/>
        </w:rPr>
        <w:t xml:space="preserve">. However, for this to truly work, it seems </w:t>
      </w:r>
      <w:r w:rsidR="003A7220">
        <w:rPr>
          <w:rFonts w:ascii="Arial" w:hAnsi="Arial" w:cs="Arial"/>
        </w:rPr>
        <w:t>that</w:t>
      </w:r>
      <w:r w:rsidR="00224E2F">
        <w:rPr>
          <w:rFonts w:ascii="Arial" w:hAnsi="Arial" w:cs="Arial"/>
        </w:rPr>
        <w:t xml:space="preserve"> it fits best as a standardized choice within an organization. Given that there is currently no standardized project management approach in the institution</w:t>
      </w:r>
      <w:r w:rsidR="00613A37">
        <w:rPr>
          <w:rFonts w:ascii="Arial" w:hAnsi="Arial" w:cs="Arial"/>
        </w:rPr>
        <w:t xml:space="preserve">, I am not convinced that this would be an appropriate methodology for use within my own team, in which we </w:t>
      </w:r>
      <w:r w:rsidR="008F4023">
        <w:rPr>
          <w:rFonts w:ascii="Arial" w:hAnsi="Arial" w:cs="Arial"/>
        </w:rPr>
        <w:t>tend to</w:t>
      </w:r>
      <w:r w:rsidR="00613A37">
        <w:rPr>
          <w:rFonts w:ascii="Arial" w:hAnsi="Arial" w:cs="Arial"/>
        </w:rPr>
        <w:t xml:space="preserve"> work on small to medium sized projects. </w:t>
      </w:r>
    </w:p>
    <w:p w14:paraId="40A33EDD" w14:textId="77777777" w:rsidR="00242676" w:rsidRDefault="00613A37" w:rsidP="00A314AC">
      <w:pPr>
        <w:spacing w:line="360" w:lineRule="auto"/>
        <w:jc w:val="both"/>
        <w:rPr>
          <w:rFonts w:ascii="Arial" w:hAnsi="Arial" w:cs="Arial"/>
        </w:rPr>
      </w:pPr>
      <w:r>
        <w:rPr>
          <w:rFonts w:ascii="Arial" w:hAnsi="Arial" w:cs="Arial"/>
        </w:rPr>
        <w:t>Th</w:t>
      </w:r>
      <w:r w:rsidR="0001761F">
        <w:rPr>
          <w:rFonts w:ascii="Arial" w:hAnsi="Arial" w:cs="Arial"/>
        </w:rPr>
        <w:t>at</w:t>
      </w:r>
      <w:r>
        <w:rPr>
          <w:rFonts w:ascii="Arial" w:hAnsi="Arial" w:cs="Arial"/>
        </w:rPr>
        <w:t xml:space="preserve"> being said</w:t>
      </w:r>
      <w:r w:rsidR="0001761F">
        <w:rPr>
          <w:rFonts w:ascii="Arial" w:hAnsi="Arial" w:cs="Arial"/>
        </w:rPr>
        <w:t>, there are some interesting elements</w:t>
      </w:r>
      <w:r w:rsidR="00A314AC">
        <w:rPr>
          <w:rFonts w:ascii="Arial" w:hAnsi="Arial" w:cs="Arial"/>
        </w:rPr>
        <w:t xml:space="preserve"> of this approach</w:t>
      </w:r>
      <w:r w:rsidR="0001761F">
        <w:rPr>
          <w:rFonts w:ascii="Arial" w:hAnsi="Arial" w:cs="Arial"/>
        </w:rPr>
        <w:t xml:space="preserve"> which </w:t>
      </w:r>
      <w:r w:rsidR="00A314AC">
        <w:rPr>
          <w:rFonts w:ascii="Arial" w:hAnsi="Arial" w:cs="Arial"/>
        </w:rPr>
        <w:t xml:space="preserve">we </w:t>
      </w:r>
      <w:r w:rsidR="0001761F">
        <w:rPr>
          <w:rFonts w:ascii="Arial" w:hAnsi="Arial" w:cs="Arial"/>
        </w:rPr>
        <w:t>could potentially be</w:t>
      </w:r>
      <w:r w:rsidR="00A314AC">
        <w:rPr>
          <w:rFonts w:ascii="Arial" w:hAnsi="Arial" w:cs="Arial"/>
        </w:rPr>
        <w:t>nefit from within the Digital Learning Team</w:t>
      </w:r>
      <w:r w:rsidR="00242676">
        <w:rPr>
          <w:rFonts w:ascii="Arial" w:hAnsi="Arial" w:cs="Arial"/>
        </w:rPr>
        <w:t xml:space="preserve">. </w:t>
      </w:r>
    </w:p>
    <w:p w14:paraId="740DAD6E" w14:textId="0BE077C9" w:rsidR="005D2913" w:rsidRDefault="00242676" w:rsidP="00A314AC">
      <w:pPr>
        <w:spacing w:line="360" w:lineRule="auto"/>
        <w:jc w:val="both"/>
        <w:rPr>
          <w:rFonts w:ascii="Arial" w:hAnsi="Arial" w:cs="Arial"/>
        </w:rPr>
      </w:pPr>
      <w:r>
        <w:rPr>
          <w:rFonts w:ascii="Arial" w:hAnsi="Arial" w:cs="Arial"/>
        </w:rPr>
        <w:t xml:space="preserve">As such, I would make the </w:t>
      </w:r>
      <w:r w:rsidR="005D2913">
        <w:rPr>
          <w:rFonts w:ascii="Arial" w:hAnsi="Arial" w:cs="Arial"/>
        </w:rPr>
        <w:t>following recommendations in my own context based on the PRINCE2 approach:</w:t>
      </w:r>
    </w:p>
    <w:p w14:paraId="3D97078F" w14:textId="2A6CBDCB" w:rsidR="00242676" w:rsidRDefault="00242676" w:rsidP="00A314AC">
      <w:pPr>
        <w:pStyle w:val="ListParagraph"/>
        <w:numPr>
          <w:ilvl w:val="0"/>
          <w:numId w:val="22"/>
        </w:numPr>
        <w:spacing w:line="360" w:lineRule="auto"/>
        <w:jc w:val="both"/>
        <w:rPr>
          <w:rFonts w:ascii="Arial" w:hAnsi="Arial" w:cs="Arial"/>
        </w:rPr>
      </w:pPr>
      <w:r>
        <w:rPr>
          <w:rFonts w:ascii="Arial" w:hAnsi="Arial" w:cs="Arial"/>
        </w:rPr>
        <w:t>Focus on defining role</w:t>
      </w:r>
      <w:r w:rsidR="00E57127">
        <w:rPr>
          <w:rFonts w:ascii="Arial" w:hAnsi="Arial" w:cs="Arial"/>
        </w:rPr>
        <w:t>s</w:t>
      </w:r>
      <w:r>
        <w:rPr>
          <w:rFonts w:ascii="Arial" w:hAnsi="Arial" w:cs="Arial"/>
        </w:rPr>
        <w:t xml:space="preserve"> and responsibilities, both within the team and in the wider context.</w:t>
      </w:r>
      <w:r w:rsidR="00E57127">
        <w:rPr>
          <w:rFonts w:ascii="Arial" w:hAnsi="Arial" w:cs="Arial"/>
        </w:rPr>
        <w:t xml:space="preserve"> How can we define roles and responsibilities in the handover, specifically? How can we make this clearer to all stakeholders?</w:t>
      </w:r>
    </w:p>
    <w:p w14:paraId="28B9D88F" w14:textId="5C7A2BA1" w:rsidR="00D70AB3" w:rsidRDefault="00D70AB3" w:rsidP="00A314AC">
      <w:pPr>
        <w:pStyle w:val="ListParagraph"/>
        <w:numPr>
          <w:ilvl w:val="0"/>
          <w:numId w:val="22"/>
        </w:numPr>
        <w:spacing w:line="360" w:lineRule="auto"/>
        <w:jc w:val="both"/>
        <w:rPr>
          <w:rFonts w:ascii="Arial" w:hAnsi="Arial" w:cs="Arial"/>
        </w:rPr>
      </w:pPr>
      <w:r>
        <w:rPr>
          <w:rFonts w:ascii="Arial" w:hAnsi="Arial" w:cs="Arial"/>
        </w:rPr>
        <w:t>Consid</w:t>
      </w:r>
      <w:r w:rsidR="00812A09">
        <w:rPr>
          <w:rFonts w:ascii="Arial" w:hAnsi="Arial" w:cs="Arial"/>
        </w:rPr>
        <w:t xml:space="preserve">er how we can build consistency outside the ‘execution’/build stage of the project. </w:t>
      </w:r>
      <w:r>
        <w:rPr>
          <w:rFonts w:ascii="Arial" w:hAnsi="Arial" w:cs="Arial"/>
        </w:rPr>
        <w:t xml:space="preserve">Can we create our own common language that makes our approach more standardized? What would be the implications? How could we </w:t>
      </w:r>
      <w:r w:rsidR="00812A09">
        <w:rPr>
          <w:rFonts w:ascii="Arial" w:hAnsi="Arial" w:cs="Arial"/>
        </w:rPr>
        <w:t>share this with stakeholders?</w:t>
      </w:r>
    </w:p>
    <w:p w14:paraId="3419F88B" w14:textId="651DA6DB" w:rsidR="00080EA0" w:rsidRPr="000402E5" w:rsidRDefault="000402E5" w:rsidP="00A314AC">
      <w:pPr>
        <w:pStyle w:val="ListParagraph"/>
        <w:numPr>
          <w:ilvl w:val="0"/>
          <w:numId w:val="22"/>
        </w:numPr>
        <w:spacing w:line="360" w:lineRule="auto"/>
        <w:jc w:val="both"/>
        <w:rPr>
          <w:rFonts w:ascii="Arial" w:hAnsi="Arial" w:cs="Arial"/>
        </w:rPr>
      </w:pPr>
      <w:r w:rsidRPr="000402E5">
        <w:rPr>
          <w:rFonts w:ascii="Arial" w:hAnsi="Arial" w:cs="Arial"/>
        </w:rPr>
        <w:t xml:space="preserve">Make time to dive deeper into the PRINCE2 approach. </w:t>
      </w:r>
      <w:r w:rsidR="00613A37">
        <w:rPr>
          <w:rFonts w:ascii="Arial" w:hAnsi="Arial" w:cs="Arial"/>
        </w:rPr>
        <w:t>It might be worthwhile looking into the undertaking the accreditation</w:t>
      </w:r>
      <w:r w:rsidR="0001761F">
        <w:rPr>
          <w:rFonts w:ascii="Arial" w:hAnsi="Arial" w:cs="Arial"/>
        </w:rPr>
        <w:t xml:space="preserve"> in the future</w:t>
      </w:r>
      <w:r w:rsidR="00613A37">
        <w:rPr>
          <w:rFonts w:ascii="Arial" w:hAnsi="Arial" w:cs="Arial"/>
        </w:rPr>
        <w:t xml:space="preserve">, should the institution move towards a more </w:t>
      </w:r>
      <w:r w:rsidR="0001761F">
        <w:rPr>
          <w:rFonts w:ascii="Arial" w:hAnsi="Arial" w:cs="Arial"/>
        </w:rPr>
        <w:t>standardize</w:t>
      </w:r>
      <w:r w:rsidR="00242676">
        <w:rPr>
          <w:rFonts w:ascii="Arial" w:hAnsi="Arial" w:cs="Arial"/>
        </w:rPr>
        <w:t>d</w:t>
      </w:r>
      <w:r w:rsidR="0001761F">
        <w:rPr>
          <w:rFonts w:ascii="Arial" w:hAnsi="Arial" w:cs="Arial"/>
        </w:rPr>
        <w:t xml:space="preserve"> approach. </w:t>
      </w:r>
      <w:r w:rsidR="00080EA0" w:rsidRPr="000402E5">
        <w:rPr>
          <w:rFonts w:ascii="Arial" w:hAnsi="Arial" w:cs="Arial"/>
        </w:rPr>
        <w:br w:type="page"/>
      </w:r>
    </w:p>
    <w:p w14:paraId="56306FA4" w14:textId="6A0DF26C" w:rsidR="00812112" w:rsidRPr="00DF3B61" w:rsidRDefault="00812112" w:rsidP="00DF3B61">
      <w:pPr>
        <w:pStyle w:val="Heading1"/>
        <w:spacing w:line="360" w:lineRule="auto"/>
        <w:jc w:val="both"/>
        <w:rPr>
          <w:rFonts w:cs="Arial"/>
        </w:rPr>
      </w:pPr>
      <w:r w:rsidRPr="00DF3B61">
        <w:rPr>
          <w:rFonts w:cs="Arial"/>
        </w:rPr>
        <w:lastRenderedPageBreak/>
        <w:t>Conclusion</w:t>
      </w:r>
    </w:p>
    <w:p w14:paraId="7B1E1E87" w14:textId="77777777" w:rsidR="007E74A1" w:rsidRDefault="00F87147" w:rsidP="00DF3B61">
      <w:pPr>
        <w:spacing w:line="360" w:lineRule="auto"/>
        <w:jc w:val="both"/>
        <w:rPr>
          <w:rFonts w:ascii="Arial" w:hAnsi="Arial" w:cs="Arial"/>
        </w:rPr>
      </w:pPr>
      <w:r>
        <w:rPr>
          <w:rFonts w:ascii="Arial" w:hAnsi="Arial" w:cs="Arial"/>
        </w:rPr>
        <w:t xml:space="preserve">As outlined in the introduction, </w:t>
      </w:r>
      <w:r w:rsidR="00AA64A9">
        <w:rPr>
          <w:rFonts w:ascii="Arial" w:hAnsi="Arial" w:cs="Arial"/>
        </w:rPr>
        <w:t>there are a variety of factors affecting the project environment of today</w:t>
      </w:r>
      <w:r w:rsidR="005D1950">
        <w:rPr>
          <w:rFonts w:ascii="Arial" w:hAnsi="Arial" w:cs="Arial"/>
        </w:rPr>
        <w:t>. Therefore, the project management approach</w:t>
      </w:r>
      <w:r w:rsidR="00347D4D">
        <w:rPr>
          <w:rFonts w:ascii="Arial" w:hAnsi="Arial" w:cs="Arial"/>
        </w:rPr>
        <w:t xml:space="preserve">(es) used within a specific workplace </w:t>
      </w:r>
      <w:r w:rsidR="005D1950">
        <w:rPr>
          <w:rFonts w:ascii="Arial" w:hAnsi="Arial" w:cs="Arial"/>
        </w:rPr>
        <w:t xml:space="preserve">needs to withstand these challenges and help the user to </w:t>
      </w:r>
      <w:r w:rsidR="007E74A1">
        <w:rPr>
          <w:rFonts w:ascii="Arial" w:hAnsi="Arial" w:cs="Arial"/>
        </w:rPr>
        <w:t>develop smart solutions to tackle day-to-day challenges.</w:t>
      </w:r>
    </w:p>
    <w:p w14:paraId="4249BE05" w14:textId="1A887A19" w:rsidR="00106496" w:rsidRPr="00D44299" w:rsidRDefault="007E74A1" w:rsidP="007E74A1">
      <w:pPr>
        <w:spacing w:line="360" w:lineRule="auto"/>
        <w:jc w:val="both"/>
        <w:rPr>
          <w:rFonts w:ascii="Arial" w:hAnsi="Arial" w:cs="Arial"/>
        </w:rPr>
      </w:pPr>
      <w:r>
        <w:rPr>
          <w:rFonts w:ascii="Arial" w:hAnsi="Arial" w:cs="Arial"/>
        </w:rPr>
        <w:t xml:space="preserve">Having considered three project management approaches, </w:t>
      </w:r>
      <w:r w:rsidR="00106496">
        <w:rPr>
          <w:rFonts w:ascii="Arial" w:hAnsi="Arial" w:cs="Arial"/>
        </w:rPr>
        <w:t>it is clear that it would be difficult to implement just one approach in isolation.</w:t>
      </w:r>
      <w:r w:rsidR="00AD0CC9">
        <w:rPr>
          <w:rFonts w:ascii="Arial" w:hAnsi="Arial" w:cs="Arial"/>
        </w:rPr>
        <w:t xml:space="preserve"> </w:t>
      </w:r>
      <w:r w:rsidR="00106496">
        <w:rPr>
          <w:rFonts w:ascii="Arial" w:hAnsi="Arial" w:cs="Arial"/>
        </w:rPr>
        <w:t>Therefore, I have selected key elements from each approach for inclusion in my own hybrid approach</w:t>
      </w:r>
      <w:r w:rsidR="00AD0CC9">
        <w:rPr>
          <w:rFonts w:ascii="Arial" w:hAnsi="Arial" w:cs="Arial"/>
        </w:rPr>
        <w:t xml:space="preserve"> as per the </w:t>
      </w:r>
      <w:r w:rsidR="00A84857">
        <w:rPr>
          <w:rFonts w:ascii="Arial" w:hAnsi="Arial" w:cs="Arial"/>
        </w:rPr>
        <w:t xml:space="preserve">conclusion and </w:t>
      </w:r>
      <w:r w:rsidR="00AD0CC9">
        <w:rPr>
          <w:rFonts w:ascii="Arial" w:hAnsi="Arial" w:cs="Arial"/>
        </w:rPr>
        <w:t xml:space="preserve">recommendations </w:t>
      </w:r>
      <w:r w:rsidR="00A84857">
        <w:rPr>
          <w:rFonts w:ascii="Arial" w:hAnsi="Arial" w:cs="Arial"/>
        </w:rPr>
        <w:t xml:space="preserve">outlined </w:t>
      </w:r>
      <w:r w:rsidR="00AD0CC9">
        <w:rPr>
          <w:rFonts w:ascii="Arial" w:hAnsi="Arial" w:cs="Arial"/>
        </w:rPr>
        <w:t>in each respective section.</w:t>
      </w:r>
      <w:r w:rsidR="00106496">
        <w:rPr>
          <w:rFonts w:ascii="Arial" w:hAnsi="Arial" w:cs="Arial"/>
        </w:rPr>
        <w:t xml:space="preserve"> </w:t>
      </w:r>
    </w:p>
    <w:p w14:paraId="5AEB7840" w14:textId="42F2542B" w:rsidR="007E74A1" w:rsidRDefault="007E74A1" w:rsidP="00DF3B61">
      <w:pPr>
        <w:spacing w:line="360" w:lineRule="auto"/>
        <w:jc w:val="both"/>
        <w:rPr>
          <w:rFonts w:ascii="Arial" w:hAnsi="Arial" w:cs="Arial"/>
        </w:rPr>
      </w:pPr>
    </w:p>
    <w:p w14:paraId="0D44FD30" w14:textId="77777777" w:rsidR="007E74A1" w:rsidRDefault="007E74A1" w:rsidP="00DF3B61">
      <w:pPr>
        <w:spacing w:line="360" w:lineRule="auto"/>
        <w:jc w:val="both"/>
        <w:rPr>
          <w:rFonts w:ascii="Arial" w:hAnsi="Arial" w:cs="Arial"/>
        </w:rPr>
      </w:pPr>
    </w:p>
    <w:p w14:paraId="320DD026" w14:textId="77777777" w:rsidR="00080EA0" w:rsidRDefault="00080EA0">
      <w:pPr>
        <w:rPr>
          <w:rFonts w:asciiTheme="majorHAnsi" w:eastAsiaTheme="majorEastAsia" w:hAnsiTheme="majorHAnsi" w:cstheme="majorBidi"/>
          <w:color w:val="2F5496" w:themeColor="accent1" w:themeShade="BF"/>
          <w:sz w:val="32"/>
          <w:szCs w:val="32"/>
        </w:rPr>
      </w:pPr>
      <w:r>
        <w:br w:type="page"/>
      </w:r>
    </w:p>
    <w:p w14:paraId="1150980B" w14:textId="4E01B1C6" w:rsidR="006328F5" w:rsidRPr="00DF3B61" w:rsidRDefault="00FF7806" w:rsidP="00DF3B61">
      <w:pPr>
        <w:pStyle w:val="Heading1"/>
        <w:spacing w:line="360" w:lineRule="auto"/>
        <w:rPr>
          <w:rFonts w:cs="Arial"/>
        </w:rPr>
      </w:pPr>
      <w:r w:rsidRPr="00DF3B61">
        <w:rPr>
          <w:rFonts w:cs="Arial"/>
        </w:rPr>
        <w:lastRenderedPageBreak/>
        <w:t>References</w:t>
      </w:r>
    </w:p>
    <w:p w14:paraId="108F381A" w14:textId="05BBC77F" w:rsidR="00FF7806" w:rsidRPr="00D04EE8" w:rsidRDefault="00FF7806" w:rsidP="00DF3B61">
      <w:pPr>
        <w:spacing w:line="360" w:lineRule="auto"/>
        <w:rPr>
          <w:rFonts w:ascii="Arial" w:hAnsi="Arial" w:cs="Arial"/>
        </w:rPr>
      </w:pPr>
      <w:r w:rsidRPr="00D04EE8">
        <w:rPr>
          <w:rFonts w:ascii="Arial" w:hAnsi="Arial" w:cs="Arial"/>
        </w:rPr>
        <w:t>Bentley, C. (2019) The concise PRINCE2® : principles and essential themes. Third edition. Ely, Cambridgeshire, United Kingdom: IT Governance Publishing.</w:t>
      </w:r>
    </w:p>
    <w:p w14:paraId="7823262E" w14:textId="13AFA66B" w:rsidR="00FF7806" w:rsidRPr="00D04EE8" w:rsidRDefault="00FF7806" w:rsidP="00DF3B61">
      <w:pPr>
        <w:spacing w:line="360" w:lineRule="auto"/>
        <w:rPr>
          <w:rFonts w:ascii="Arial" w:hAnsi="Arial" w:cs="Arial"/>
        </w:rPr>
      </w:pPr>
      <w:r w:rsidRPr="00D04EE8">
        <w:rPr>
          <w:rFonts w:ascii="Arial" w:hAnsi="Arial" w:cs="Arial"/>
        </w:rPr>
        <w:t>Cooke, J.L. (2016) Prince2 agile : an implementation pocket guide : step-by-step advice for every project type. Cambridgeshire, England: IT Governance Publishing.</w:t>
      </w:r>
    </w:p>
    <w:p w14:paraId="7A3185E2" w14:textId="39EFC788" w:rsidR="00FF7806" w:rsidRPr="00D04EE8" w:rsidRDefault="00FF7806" w:rsidP="00DF3B61">
      <w:pPr>
        <w:spacing w:line="360" w:lineRule="auto"/>
        <w:rPr>
          <w:rFonts w:ascii="Arial" w:hAnsi="Arial" w:cs="Arial"/>
        </w:rPr>
      </w:pPr>
      <w:r w:rsidRPr="00D04EE8">
        <w:rPr>
          <w:rFonts w:ascii="Arial" w:hAnsi="Arial" w:cs="Arial"/>
        </w:rPr>
        <w:t>Frame, J.D. (2002) The new project management tools for an age of rapid change, complexity, and other business realities. 2nd ed. San Francisco, CA: Jossey-Bass. pp.1-18 – The problem with the traditional approach to project management</w:t>
      </w:r>
    </w:p>
    <w:p w14:paraId="2BCC4D95" w14:textId="2EC22F3D" w:rsidR="00FF7806" w:rsidRPr="00D04EE8" w:rsidRDefault="00FF7806" w:rsidP="00DF3B61">
      <w:pPr>
        <w:spacing w:line="360" w:lineRule="auto"/>
        <w:rPr>
          <w:rFonts w:ascii="Arial" w:hAnsi="Arial" w:cs="Arial"/>
        </w:rPr>
      </w:pPr>
      <w:r w:rsidRPr="00D04EE8">
        <w:rPr>
          <w:rFonts w:ascii="Arial" w:hAnsi="Arial" w:cs="Arial"/>
        </w:rPr>
        <w:t xml:space="preserve">Gablas, B., Ruzicky, E. and Ondrouchova, M. (2018) ‘The Change in Management Style during then Course of a Project from the Classical to the Agile Approach’, Journal of competitiveness, 10(4), pp. 38–53. Available at: </w:t>
      </w:r>
      <w:hyperlink r:id="rId27" w:history="1">
        <w:r w:rsidRPr="00D04EE8">
          <w:rPr>
            <w:rStyle w:val="Hyperlink"/>
            <w:rFonts w:ascii="Arial" w:hAnsi="Arial" w:cs="Arial"/>
          </w:rPr>
          <w:t>https://doi.org/10.7441/joc.2018.04.03</w:t>
        </w:r>
      </w:hyperlink>
      <w:r w:rsidRPr="00D04EE8">
        <w:rPr>
          <w:rFonts w:ascii="Arial" w:hAnsi="Arial" w:cs="Arial"/>
        </w:rPr>
        <w:t>.</w:t>
      </w:r>
    </w:p>
    <w:p w14:paraId="5A8FADC6" w14:textId="0ADAF05C" w:rsidR="00FF7806" w:rsidRPr="00D04EE8" w:rsidRDefault="00FF7806" w:rsidP="00DF3B61">
      <w:pPr>
        <w:spacing w:line="360" w:lineRule="auto"/>
        <w:rPr>
          <w:rFonts w:ascii="Arial" w:hAnsi="Arial" w:cs="Arial"/>
        </w:rPr>
      </w:pPr>
      <w:r w:rsidRPr="00D04EE8">
        <w:rPr>
          <w:rFonts w:ascii="Arial" w:hAnsi="Arial" w:cs="Arial"/>
        </w:rPr>
        <w:t>Hedeman, B. and Seegers, R. (2009) PRINCE2 2009 edition : a pocket guide. Zaltbommel: Van Haren Pub.</w:t>
      </w:r>
    </w:p>
    <w:p w14:paraId="0BB70829" w14:textId="541D9F9E" w:rsidR="00FF7806" w:rsidRPr="00D04EE8" w:rsidRDefault="00FF7806" w:rsidP="00DF3B61">
      <w:pPr>
        <w:spacing w:line="360" w:lineRule="auto"/>
        <w:rPr>
          <w:rFonts w:ascii="Arial" w:hAnsi="Arial" w:cs="Arial"/>
        </w:rPr>
      </w:pPr>
      <w:r w:rsidRPr="00D04EE8">
        <w:rPr>
          <w:rFonts w:ascii="Arial" w:hAnsi="Arial" w:cs="Arial"/>
        </w:rPr>
        <w:t>Heijden, A.H.C. van der (2018) A practical guide for holistic project management. New York, New York: Business Expert Press.</w:t>
      </w:r>
    </w:p>
    <w:p w14:paraId="7A29E770" w14:textId="77777777" w:rsidR="00FF7806" w:rsidRPr="00D04EE8" w:rsidRDefault="00FF7806" w:rsidP="00DF3B61">
      <w:pPr>
        <w:spacing w:line="360" w:lineRule="auto"/>
        <w:rPr>
          <w:rFonts w:ascii="Arial" w:hAnsi="Arial" w:cs="Arial"/>
        </w:rPr>
      </w:pPr>
      <w:r w:rsidRPr="00D04EE8">
        <w:rPr>
          <w:rFonts w:ascii="Arial" w:hAnsi="Arial" w:cs="Arial"/>
        </w:rPr>
        <w:t xml:space="preserve">Islam, S. and Evans, N. (2020) ‘Key success factors of PRINCE2 project management method in software development project’, </w:t>
      </w:r>
      <w:r w:rsidRPr="00D04EE8">
        <w:rPr>
          <w:rFonts w:ascii="Arial" w:hAnsi="Arial" w:cs="Arial"/>
          <w:i/>
          <w:iCs/>
        </w:rPr>
        <w:t xml:space="preserve">International Journal of Engineering Materials and Manufacture, </w:t>
      </w:r>
      <w:r w:rsidRPr="00D04EE8">
        <w:rPr>
          <w:rFonts w:ascii="Arial" w:hAnsi="Arial" w:cs="Arial"/>
        </w:rPr>
        <w:t xml:space="preserve">5(3). Available at: </w:t>
      </w:r>
      <w:hyperlink r:id="rId28" w:history="1">
        <w:r w:rsidRPr="00D04EE8">
          <w:rPr>
            <w:rStyle w:val="Hyperlink"/>
            <w:rFonts w:ascii="Arial" w:hAnsi="Arial" w:cs="Arial"/>
          </w:rPr>
          <w:t>https://doi.org/10.26776/ijemm.05.03.2020.02</w:t>
        </w:r>
      </w:hyperlink>
      <w:r w:rsidRPr="00D04EE8">
        <w:rPr>
          <w:rFonts w:ascii="Arial" w:hAnsi="Arial" w:cs="Arial"/>
        </w:rPr>
        <w:t xml:space="preserve"> </w:t>
      </w:r>
    </w:p>
    <w:p w14:paraId="04C5790A" w14:textId="0827D621" w:rsidR="00FF7806" w:rsidRPr="00D04EE8" w:rsidRDefault="00FF7806" w:rsidP="00DF3B61">
      <w:pPr>
        <w:spacing w:line="360" w:lineRule="auto"/>
        <w:rPr>
          <w:rFonts w:ascii="Arial" w:hAnsi="Arial" w:cs="Arial"/>
        </w:rPr>
      </w:pPr>
      <w:r w:rsidRPr="00D04EE8">
        <w:rPr>
          <w:rFonts w:ascii="Arial" w:hAnsi="Arial" w:cs="Arial"/>
        </w:rPr>
        <w:t xml:space="preserve">Jovanovic, P. and Beric, I., 2018. Analysis of the available project management methodologies. </w:t>
      </w:r>
      <w:r w:rsidRPr="00D04EE8">
        <w:rPr>
          <w:rFonts w:ascii="Arial" w:hAnsi="Arial" w:cs="Arial"/>
          <w:i/>
          <w:iCs/>
        </w:rPr>
        <w:t>Management: Journal of Sustainable Business and Management Solutions in Emerging Economies</w:t>
      </w:r>
      <w:r w:rsidRPr="00D04EE8">
        <w:rPr>
          <w:rFonts w:ascii="Arial" w:hAnsi="Arial" w:cs="Arial"/>
        </w:rPr>
        <w:t xml:space="preserve">, </w:t>
      </w:r>
      <w:r w:rsidRPr="00D04EE8">
        <w:rPr>
          <w:rFonts w:ascii="Arial" w:hAnsi="Arial" w:cs="Arial"/>
          <w:i/>
          <w:iCs/>
        </w:rPr>
        <w:t>23</w:t>
      </w:r>
      <w:r w:rsidRPr="00D04EE8">
        <w:rPr>
          <w:rFonts w:ascii="Arial" w:hAnsi="Arial" w:cs="Arial"/>
        </w:rPr>
        <w:t>(3), pp.1-13.</w:t>
      </w:r>
    </w:p>
    <w:p w14:paraId="5AC51080" w14:textId="209050B5" w:rsidR="00FF7806" w:rsidRPr="00D04EE8" w:rsidRDefault="00FF7806" w:rsidP="00DF3B61">
      <w:pPr>
        <w:spacing w:line="360" w:lineRule="auto"/>
        <w:rPr>
          <w:rFonts w:ascii="Arial" w:hAnsi="Arial" w:cs="Arial"/>
        </w:rPr>
      </w:pPr>
      <w:r w:rsidRPr="00D04EE8">
        <w:rPr>
          <w:rFonts w:ascii="Arial" w:hAnsi="Arial" w:cs="Arial"/>
        </w:rPr>
        <w:t xml:space="preserve">Karaman, E. and Kurt, M., 2015. Comparison of project management methodologies: prince 2 versus PMBOK for it projects. </w:t>
      </w:r>
      <w:r w:rsidRPr="00D04EE8">
        <w:rPr>
          <w:rFonts w:ascii="Arial" w:hAnsi="Arial" w:cs="Arial"/>
          <w:i/>
          <w:iCs/>
        </w:rPr>
        <w:t>Int. Journal of Applied Sciences and Engineering Research</w:t>
      </w:r>
      <w:r w:rsidRPr="00D04EE8">
        <w:rPr>
          <w:rFonts w:ascii="Arial" w:hAnsi="Arial" w:cs="Arial"/>
        </w:rPr>
        <w:t xml:space="preserve">, </w:t>
      </w:r>
      <w:r w:rsidRPr="00D04EE8">
        <w:rPr>
          <w:rFonts w:ascii="Arial" w:hAnsi="Arial" w:cs="Arial"/>
          <w:i/>
          <w:iCs/>
        </w:rPr>
        <w:t>4</w:t>
      </w:r>
      <w:r w:rsidRPr="00D04EE8">
        <w:rPr>
          <w:rFonts w:ascii="Arial" w:hAnsi="Arial" w:cs="Arial"/>
        </w:rPr>
        <w:t>(4), pp.572-579.</w:t>
      </w:r>
    </w:p>
    <w:p w14:paraId="48493E4B" w14:textId="1F2DE30E" w:rsidR="00FF7806" w:rsidRPr="00DF3B61" w:rsidRDefault="00FF7806" w:rsidP="00DF3B61">
      <w:pPr>
        <w:spacing w:line="360" w:lineRule="auto"/>
        <w:rPr>
          <w:rFonts w:ascii="Arial" w:hAnsi="Arial" w:cs="Arial"/>
        </w:rPr>
      </w:pPr>
      <w:r w:rsidRPr="00D04EE8">
        <w:rPr>
          <w:rFonts w:ascii="Arial" w:hAnsi="Arial" w:cs="Arial"/>
        </w:rPr>
        <w:t>Kidston, P. and Haward, K. (2015) Planning, scheduling, monitoring and control : the practical project management of time, cost and risk. Princes Risborough, Buckinghamshire: Association For Project Management. pp. 221 – 224</w:t>
      </w:r>
    </w:p>
    <w:p w14:paraId="1EF4CA79" w14:textId="74CAA8DE" w:rsidR="00FF7806" w:rsidRPr="00D04EE8" w:rsidRDefault="00FF7806" w:rsidP="00DF3B61">
      <w:pPr>
        <w:spacing w:line="360" w:lineRule="auto"/>
        <w:rPr>
          <w:rFonts w:ascii="Arial" w:hAnsi="Arial" w:cs="Arial"/>
        </w:rPr>
      </w:pPr>
      <w:r w:rsidRPr="00D04EE8">
        <w:rPr>
          <w:rFonts w:ascii="Arial" w:hAnsi="Arial" w:cs="Arial"/>
        </w:rPr>
        <w:t>Lal, M.K. (2018) Knowledge driven development : bridging Waterfall and Agile methodologies. Cambridge: Cambridge University Press.</w:t>
      </w:r>
    </w:p>
    <w:p w14:paraId="498AC93C" w14:textId="6AF10075" w:rsidR="00FF7806" w:rsidRPr="00DF3B61" w:rsidRDefault="00FF7806" w:rsidP="00DF3B61">
      <w:pPr>
        <w:spacing w:line="360" w:lineRule="auto"/>
        <w:rPr>
          <w:rFonts w:ascii="Arial" w:hAnsi="Arial" w:cs="Arial"/>
        </w:rPr>
      </w:pPr>
      <w:r w:rsidRPr="00D04EE8">
        <w:rPr>
          <w:rFonts w:ascii="Arial" w:hAnsi="Arial" w:cs="Arial"/>
        </w:rPr>
        <w:t>Larson, E.W. and Gray, C.F. (2014) Project management : the managerial process. Sixth edition, International student edition. New York, NY: McGraw-Hill Education.</w:t>
      </w:r>
    </w:p>
    <w:p w14:paraId="4EC31B72" w14:textId="5EB11A0A" w:rsidR="00FF7806" w:rsidRPr="00EF4138" w:rsidRDefault="00FF7806" w:rsidP="00DF3B61">
      <w:pPr>
        <w:spacing w:line="360" w:lineRule="auto"/>
        <w:rPr>
          <w:rFonts w:ascii="Arial" w:hAnsi="Arial" w:cs="Arial"/>
        </w:rPr>
      </w:pPr>
      <w:r w:rsidRPr="00EF4138">
        <w:rPr>
          <w:rFonts w:ascii="Arial" w:hAnsi="Arial" w:cs="Arial"/>
        </w:rPr>
        <w:lastRenderedPageBreak/>
        <w:t>Office of Government Commerce</w:t>
      </w:r>
      <w:r w:rsidR="00EF4138" w:rsidRPr="00EF4138">
        <w:rPr>
          <w:rFonts w:ascii="Arial" w:hAnsi="Arial" w:cs="Arial"/>
        </w:rPr>
        <w:t>. (</w:t>
      </w:r>
      <w:r w:rsidRPr="00EF4138">
        <w:rPr>
          <w:rFonts w:ascii="Arial" w:hAnsi="Arial" w:cs="Arial"/>
        </w:rPr>
        <w:t>2009</w:t>
      </w:r>
      <w:r w:rsidR="00EF4138" w:rsidRPr="00EF4138">
        <w:rPr>
          <w:rFonts w:ascii="Arial" w:hAnsi="Arial" w:cs="Arial"/>
        </w:rPr>
        <w:t>)</w:t>
      </w:r>
      <w:r w:rsidRPr="00EF4138">
        <w:rPr>
          <w:rFonts w:ascii="Arial" w:hAnsi="Arial" w:cs="Arial"/>
        </w:rPr>
        <w:t xml:space="preserve"> </w:t>
      </w:r>
      <w:r w:rsidRPr="00EF4138">
        <w:rPr>
          <w:rFonts w:ascii="Arial" w:hAnsi="Arial" w:cs="Arial"/>
          <w:i/>
          <w:iCs/>
        </w:rPr>
        <w:t>Managing successful projects with PRINCE2</w:t>
      </w:r>
      <w:r w:rsidRPr="00EF4138">
        <w:rPr>
          <w:rFonts w:ascii="Arial" w:hAnsi="Arial" w:cs="Arial"/>
        </w:rPr>
        <w:t>. The Stationery Office.</w:t>
      </w:r>
    </w:p>
    <w:p w14:paraId="12886634" w14:textId="01895FB9" w:rsidR="00FF7806" w:rsidRPr="00DF3B61" w:rsidRDefault="00EF4138" w:rsidP="00DF3B61">
      <w:pPr>
        <w:spacing w:line="360" w:lineRule="auto"/>
        <w:rPr>
          <w:rFonts w:ascii="Arial" w:hAnsi="Arial" w:cs="Arial"/>
        </w:rPr>
      </w:pPr>
      <w:r w:rsidRPr="00EF4138">
        <w:rPr>
          <w:rFonts w:ascii="Arial" w:hAnsi="Arial" w:cs="Arial"/>
        </w:rPr>
        <w:t xml:space="preserve">Office of Government Commerce. (2017) </w:t>
      </w:r>
      <w:r w:rsidR="00FF7806" w:rsidRPr="00EF4138">
        <w:rPr>
          <w:rFonts w:ascii="Arial" w:hAnsi="Arial" w:cs="Arial"/>
          <w:i/>
          <w:iCs/>
        </w:rPr>
        <w:t>Managing Successful Projects with PRINCE2</w:t>
      </w:r>
      <w:r w:rsidRPr="00EF4138">
        <w:rPr>
          <w:rFonts w:ascii="Arial" w:hAnsi="Arial" w:cs="Arial"/>
        </w:rPr>
        <w:t xml:space="preserve">. </w:t>
      </w:r>
      <w:r w:rsidR="00FF7806" w:rsidRPr="00EF4138">
        <w:rPr>
          <w:rFonts w:ascii="Arial" w:hAnsi="Arial" w:cs="Arial"/>
        </w:rPr>
        <w:t>6th edition, Norwich: The Stationery Office Ltd.</w:t>
      </w:r>
    </w:p>
    <w:p w14:paraId="13DD5FB5" w14:textId="27200883" w:rsidR="00FF7806" w:rsidRPr="00D04EE8" w:rsidRDefault="00FF7806" w:rsidP="00DF3B61">
      <w:pPr>
        <w:spacing w:line="360" w:lineRule="auto"/>
        <w:rPr>
          <w:rFonts w:ascii="Arial" w:hAnsi="Arial" w:cs="Arial"/>
        </w:rPr>
      </w:pPr>
      <w:r w:rsidRPr="00D04EE8">
        <w:rPr>
          <w:rFonts w:ascii="Arial" w:hAnsi="Arial" w:cs="Arial"/>
        </w:rPr>
        <w:t xml:space="preserve">Matos, S. and Lopes, E., (2013) Prince2 or PMBOK–a question of choice. </w:t>
      </w:r>
      <w:r w:rsidRPr="00D04EE8">
        <w:rPr>
          <w:rFonts w:ascii="Arial" w:hAnsi="Arial" w:cs="Arial"/>
          <w:i/>
          <w:iCs/>
        </w:rPr>
        <w:t>Procedia Technology</w:t>
      </w:r>
      <w:r w:rsidRPr="00D04EE8">
        <w:rPr>
          <w:rFonts w:ascii="Arial" w:hAnsi="Arial" w:cs="Arial"/>
        </w:rPr>
        <w:t xml:space="preserve">, </w:t>
      </w:r>
      <w:r w:rsidRPr="00D04EE8">
        <w:rPr>
          <w:rFonts w:ascii="Arial" w:hAnsi="Arial" w:cs="Arial"/>
          <w:i/>
          <w:iCs/>
        </w:rPr>
        <w:t>9</w:t>
      </w:r>
      <w:r w:rsidRPr="00D04EE8">
        <w:rPr>
          <w:rFonts w:ascii="Arial" w:hAnsi="Arial" w:cs="Arial"/>
        </w:rPr>
        <w:t>, pp.787-794.</w:t>
      </w:r>
    </w:p>
    <w:p w14:paraId="4B0B6485" w14:textId="7BD1B987" w:rsidR="00FF7806" w:rsidRPr="00D04EE8" w:rsidRDefault="00FF7806" w:rsidP="00DF3B61">
      <w:pPr>
        <w:spacing w:line="360" w:lineRule="auto"/>
        <w:rPr>
          <w:rFonts w:ascii="Arial" w:hAnsi="Arial" w:cs="Arial"/>
        </w:rPr>
      </w:pPr>
      <w:r w:rsidRPr="00D04EE8">
        <w:rPr>
          <w:rFonts w:ascii="Arial" w:hAnsi="Arial" w:cs="Arial"/>
        </w:rPr>
        <w:t xml:space="preserve">Muhammad, U., Nazir, T., Muhammad, N., Maqsoom, A., Nawab, S., Fatima, S.T., Shafi, K. and Butt, F.S., (2021) Impact of agile management on project performance: Evidence from IT sector of Pakistan. </w:t>
      </w:r>
      <w:r w:rsidRPr="00D04EE8">
        <w:rPr>
          <w:rFonts w:ascii="Arial" w:hAnsi="Arial" w:cs="Arial"/>
          <w:i/>
          <w:iCs/>
        </w:rPr>
        <w:t>Plos one</w:t>
      </w:r>
      <w:r w:rsidRPr="00D04EE8">
        <w:rPr>
          <w:rFonts w:ascii="Arial" w:hAnsi="Arial" w:cs="Arial"/>
        </w:rPr>
        <w:t xml:space="preserve">, </w:t>
      </w:r>
      <w:r w:rsidRPr="00D04EE8">
        <w:rPr>
          <w:rFonts w:ascii="Arial" w:hAnsi="Arial" w:cs="Arial"/>
          <w:i/>
          <w:iCs/>
        </w:rPr>
        <w:t>16</w:t>
      </w:r>
      <w:r w:rsidRPr="00D04EE8">
        <w:rPr>
          <w:rFonts w:ascii="Arial" w:hAnsi="Arial" w:cs="Arial"/>
        </w:rPr>
        <w:t>(4), p.e0249311.</w:t>
      </w:r>
    </w:p>
    <w:p w14:paraId="5C6FDDD9" w14:textId="5D05EFB1" w:rsidR="00FF7806" w:rsidRPr="00D04EE8" w:rsidRDefault="00FF7806" w:rsidP="00DF3B61">
      <w:pPr>
        <w:spacing w:line="360" w:lineRule="auto"/>
        <w:rPr>
          <w:rFonts w:ascii="Arial" w:hAnsi="Arial" w:cs="Arial"/>
        </w:rPr>
      </w:pPr>
      <w:r w:rsidRPr="00D04EE8">
        <w:rPr>
          <w:rFonts w:ascii="Arial" w:hAnsi="Arial" w:cs="Arial"/>
        </w:rPr>
        <w:t xml:space="preserve">Reiss, G. (2007) Project management demystified. 3rd ed. London: Taylor &amp; Francis. pp. 114 – 122 – PRINCE2 </w:t>
      </w:r>
    </w:p>
    <w:p w14:paraId="5F948E46" w14:textId="49A01C08" w:rsidR="00FF7806" w:rsidRPr="00D04EE8" w:rsidRDefault="00FF7806" w:rsidP="00DF3B61">
      <w:pPr>
        <w:spacing w:line="360" w:lineRule="auto"/>
        <w:rPr>
          <w:rFonts w:ascii="Arial" w:hAnsi="Arial" w:cs="Arial"/>
        </w:rPr>
      </w:pPr>
      <w:r w:rsidRPr="00D04EE8">
        <w:rPr>
          <w:rFonts w:ascii="Arial" w:hAnsi="Arial" w:cs="Arial"/>
        </w:rPr>
        <w:t xml:space="preserve">Santos, J., Varela, C. and Martínez-Galán, E., 2022. A Framework for the Management of Research and Innovation Projects in Academic Settings. </w:t>
      </w:r>
      <w:r w:rsidRPr="00D04EE8">
        <w:rPr>
          <w:rFonts w:ascii="Arial" w:hAnsi="Arial" w:cs="Arial"/>
          <w:i/>
          <w:iCs/>
        </w:rPr>
        <w:t>Journal of Research Administration</w:t>
      </w:r>
      <w:r w:rsidRPr="00D04EE8">
        <w:rPr>
          <w:rFonts w:ascii="Arial" w:hAnsi="Arial" w:cs="Arial"/>
        </w:rPr>
        <w:t xml:space="preserve">, </w:t>
      </w:r>
      <w:r w:rsidRPr="00D04EE8">
        <w:rPr>
          <w:rFonts w:ascii="Arial" w:hAnsi="Arial" w:cs="Arial"/>
          <w:i/>
          <w:iCs/>
        </w:rPr>
        <w:t>53</w:t>
      </w:r>
      <w:r w:rsidRPr="00D04EE8">
        <w:rPr>
          <w:rFonts w:ascii="Arial" w:hAnsi="Arial" w:cs="Arial"/>
        </w:rPr>
        <w:t>(2).</w:t>
      </w:r>
    </w:p>
    <w:p w14:paraId="156DD0CD" w14:textId="1354F691" w:rsidR="00FF7806" w:rsidRPr="00DF3B61" w:rsidRDefault="00FF7806" w:rsidP="00DF3B61">
      <w:pPr>
        <w:spacing w:line="360" w:lineRule="auto"/>
        <w:rPr>
          <w:rFonts w:ascii="Arial" w:hAnsi="Arial" w:cs="Arial"/>
        </w:rPr>
      </w:pPr>
      <w:r w:rsidRPr="00D04EE8">
        <w:rPr>
          <w:rFonts w:ascii="Arial" w:hAnsi="Arial" w:cs="Arial"/>
        </w:rPr>
        <w:t>Simon, P. and Murray-Webster, R. (2018) Starting out in project management. Third edition. Buckinghamshire, England: Association for Project Management. pp. 36 – 42 – Project life cycles/Agile and Waterfall</w:t>
      </w:r>
    </w:p>
    <w:p w14:paraId="68317639" w14:textId="228838ED" w:rsidR="00FF7806" w:rsidRPr="00D04EE8" w:rsidRDefault="00FF7806" w:rsidP="00DF3B61">
      <w:pPr>
        <w:spacing w:line="360" w:lineRule="auto"/>
        <w:rPr>
          <w:rFonts w:ascii="Arial" w:hAnsi="Arial" w:cs="Arial"/>
        </w:rPr>
      </w:pPr>
      <w:r w:rsidRPr="00D04EE8">
        <w:rPr>
          <w:rFonts w:ascii="Arial" w:hAnsi="Arial" w:cs="Arial"/>
        </w:rPr>
        <w:t xml:space="preserve">Verzuh, E. (2021) The fast forward MBA in project </w:t>
      </w:r>
      <w:r w:rsidR="000A027A" w:rsidRPr="00D04EE8">
        <w:rPr>
          <w:rFonts w:ascii="Arial" w:hAnsi="Arial" w:cs="Arial"/>
        </w:rPr>
        <w:t>management:</w:t>
      </w:r>
      <w:r w:rsidRPr="00D04EE8">
        <w:rPr>
          <w:rFonts w:ascii="Arial" w:hAnsi="Arial" w:cs="Arial"/>
        </w:rPr>
        <w:t xml:space="preserve"> the comprehensive, easy-to-read handbook for beginners and pros. Sixth edition. Hoboken, New Jersey: Wiley. pp. 51-72 – Agile and Waterfall</w:t>
      </w:r>
    </w:p>
    <w:p w14:paraId="6E50D08A" w14:textId="1BBAB974" w:rsidR="00FF7806" w:rsidRPr="00DF3B61" w:rsidRDefault="00FF7806" w:rsidP="00DF3B61">
      <w:pPr>
        <w:spacing w:line="360" w:lineRule="auto"/>
        <w:rPr>
          <w:rFonts w:ascii="Arial" w:hAnsi="Arial" w:cs="Arial"/>
        </w:rPr>
      </w:pPr>
      <w:r w:rsidRPr="00D04EE8">
        <w:rPr>
          <w:rFonts w:ascii="Arial" w:hAnsi="Arial" w:cs="Arial"/>
        </w:rPr>
        <w:t xml:space="preserve">Wysocki, R.K., Kaikini, S. and Sneed, R. (2014) Effective project </w:t>
      </w:r>
      <w:r w:rsidR="000A027A" w:rsidRPr="00D04EE8">
        <w:rPr>
          <w:rFonts w:ascii="Arial" w:hAnsi="Arial" w:cs="Arial"/>
        </w:rPr>
        <w:t>management:</w:t>
      </w:r>
      <w:r w:rsidRPr="00D04EE8">
        <w:rPr>
          <w:rFonts w:ascii="Arial" w:hAnsi="Arial" w:cs="Arial"/>
        </w:rPr>
        <w:t xml:space="preserve"> traditional, agile, extreme. Seventh edition. Indianapolis, Indiana: Wiley.</w:t>
      </w:r>
    </w:p>
    <w:p w14:paraId="2D5D40CF" w14:textId="6CAEA18B" w:rsidR="00FF7806" w:rsidRDefault="00FF7806" w:rsidP="00DF3B61">
      <w:pPr>
        <w:spacing w:line="360" w:lineRule="auto"/>
        <w:rPr>
          <w:rFonts w:ascii="Arial" w:hAnsi="Arial" w:cs="Arial"/>
        </w:rPr>
      </w:pPr>
      <w:r w:rsidRPr="00D04EE8">
        <w:rPr>
          <w:rFonts w:ascii="Arial" w:hAnsi="Arial" w:cs="Arial"/>
        </w:rPr>
        <w:t>Wysocki, R.K. (2019) Effective project management traditional, agile, extreme, hybrid. Eighth edition. Indianapolis, Indiana: Wiley.</w:t>
      </w:r>
    </w:p>
    <w:p w14:paraId="2CEFCB63" w14:textId="77777777" w:rsidR="00DF3B61" w:rsidRDefault="00DF3B61">
      <w:pPr>
        <w:rPr>
          <w:rFonts w:ascii="Arial" w:eastAsiaTheme="majorEastAsia" w:hAnsi="Arial" w:cstheme="majorBidi"/>
          <w:color w:val="2F5496" w:themeColor="accent1" w:themeShade="BF"/>
          <w:sz w:val="32"/>
          <w:szCs w:val="32"/>
        </w:rPr>
      </w:pPr>
      <w:r>
        <w:br w:type="page"/>
      </w:r>
    </w:p>
    <w:p w14:paraId="027836CE" w14:textId="0FCFAB6A" w:rsidR="00DF3B61" w:rsidRDefault="00DF3B61" w:rsidP="00C6311B">
      <w:pPr>
        <w:pStyle w:val="Heading1"/>
        <w:spacing w:line="360" w:lineRule="auto"/>
      </w:pPr>
      <w:r>
        <w:lastRenderedPageBreak/>
        <w:t>Bibliography</w:t>
      </w:r>
    </w:p>
    <w:p w14:paraId="775BEE27" w14:textId="33D2AE3F" w:rsidR="00A2694D" w:rsidRPr="00DF3B61" w:rsidRDefault="00A2694D" w:rsidP="00C6311B">
      <w:pPr>
        <w:spacing w:line="360" w:lineRule="auto"/>
        <w:rPr>
          <w:rFonts w:ascii="Arial" w:hAnsi="Arial" w:cs="Arial"/>
        </w:rPr>
      </w:pPr>
      <w:r w:rsidRPr="00DF3B61">
        <w:rPr>
          <w:rFonts w:ascii="Arial" w:hAnsi="Arial" w:cs="Arial"/>
        </w:rPr>
        <w:t xml:space="preserve">A guide to the project management body of knowledge (PMBOK guide). 6th edition. (2017). Newtown Square, Pennsylvania: Project Management Institute. </w:t>
      </w:r>
    </w:p>
    <w:p w14:paraId="1CCC49A7" w14:textId="54280F4F" w:rsidR="00A2694D" w:rsidRDefault="00A2694D" w:rsidP="00C6311B">
      <w:pPr>
        <w:spacing w:line="360" w:lineRule="auto"/>
        <w:rPr>
          <w:rFonts w:ascii="Arial" w:hAnsi="Arial" w:cs="Arial"/>
        </w:rPr>
      </w:pPr>
      <w:r w:rsidRPr="00DF3B61">
        <w:rPr>
          <w:rFonts w:ascii="Arial" w:hAnsi="Arial" w:cs="Arial"/>
        </w:rPr>
        <w:t xml:space="preserve">Agile Practice Guide (ENGLISH) 2017, Project Management Institute, Newtown Square, PA. Available from: ProQuest Ebook Central. </w:t>
      </w:r>
    </w:p>
    <w:p w14:paraId="742ABD87" w14:textId="77777777" w:rsidR="00D04EE8" w:rsidRPr="00D04EE8" w:rsidRDefault="00D04EE8" w:rsidP="00C6311B">
      <w:pPr>
        <w:spacing w:line="360" w:lineRule="auto"/>
        <w:rPr>
          <w:rFonts w:ascii="Arial" w:hAnsi="Arial" w:cs="Arial"/>
        </w:rPr>
      </w:pPr>
      <w:r w:rsidRPr="00D04EE8">
        <w:rPr>
          <w:rFonts w:ascii="Arial" w:hAnsi="Arial" w:cs="Arial"/>
        </w:rPr>
        <w:t xml:space="preserve">Ajam, M. (2017). Project Management beyond Waterfall and Agile (1st ed.). Auerbach Publications. </w:t>
      </w:r>
      <w:hyperlink r:id="rId29" w:history="1">
        <w:r w:rsidRPr="00D04EE8">
          <w:rPr>
            <w:rStyle w:val="Hyperlink"/>
            <w:rFonts w:ascii="Arial" w:hAnsi="Arial" w:cs="Arial"/>
          </w:rPr>
          <w:t>https://doi.org/10.1201/9781315202075</w:t>
        </w:r>
      </w:hyperlink>
      <w:r w:rsidRPr="00D04EE8">
        <w:rPr>
          <w:rFonts w:ascii="Arial" w:hAnsi="Arial" w:cs="Arial"/>
        </w:rPr>
        <w:t xml:space="preserve"> </w:t>
      </w:r>
    </w:p>
    <w:p w14:paraId="64324C54" w14:textId="77777777" w:rsidR="00A2694D" w:rsidRPr="00DF3B61" w:rsidRDefault="00A2694D" w:rsidP="00C6311B">
      <w:pPr>
        <w:spacing w:line="360" w:lineRule="auto"/>
        <w:rPr>
          <w:rFonts w:ascii="Arial" w:hAnsi="Arial" w:cs="Arial"/>
        </w:rPr>
      </w:pPr>
      <w:r w:rsidRPr="00DF3B61">
        <w:rPr>
          <w:rFonts w:ascii="Arial" w:hAnsi="Arial" w:cs="Arial"/>
        </w:rPr>
        <w:t>APM. (2020) APM body of knowledge. Seventh edition. Revised with minor corrections 2020. Princes Risborough, Buckinghamshire: Association for Project Management.</w:t>
      </w:r>
    </w:p>
    <w:p w14:paraId="45DF751E" w14:textId="456E98F0" w:rsidR="00D04EE8" w:rsidRDefault="00D04EE8" w:rsidP="00C6311B">
      <w:pPr>
        <w:spacing w:line="360" w:lineRule="auto"/>
        <w:rPr>
          <w:rFonts w:ascii="Arial" w:hAnsi="Arial" w:cs="Arial"/>
        </w:rPr>
      </w:pPr>
      <w:r w:rsidRPr="00D04EE8">
        <w:rPr>
          <w:rFonts w:ascii="Arial" w:hAnsi="Arial" w:cs="Arial"/>
        </w:rPr>
        <w:t>Bentley, C. (2010) PRINCE2 a practical handbook. 3rd ed. Amsterdam: Elsevier/Butterworth-Heinemann.</w:t>
      </w:r>
    </w:p>
    <w:p w14:paraId="0BF2A977" w14:textId="6E86D67D" w:rsidR="00A2694D" w:rsidRPr="00A2694D" w:rsidRDefault="00A2694D" w:rsidP="00C6311B">
      <w:pPr>
        <w:spacing w:line="360" w:lineRule="auto"/>
        <w:rPr>
          <w:rFonts w:ascii="Arial" w:hAnsi="Arial" w:cs="Arial"/>
        </w:rPr>
      </w:pPr>
      <w:r w:rsidRPr="00DF3B61">
        <w:rPr>
          <w:rFonts w:ascii="Arial" w:hAnsi="Arial" w:cs="Arial"/>
        </w:rPr>
        <w:t xml:space="preserve">Chin, C. M. M., &amp; Spowage, A. C. (2010). Defining &amp; classifying project management methodologies. PM World Today, 12(5), 1-9. </w:t>
      </w:r>
    </w:p>
    <w:p w14:paraId="49CF7502" w14:textId="43C23186" w:rsidR="00DF3B61" w:rsidRPr="00DF3B61" w:rsidRDefault="00DF3B61" w:rsidP="00C6311B">
      <w:pPr>
        <w:spacing w:line="360" w:lineRule="auto"/>
        <w:rPr>
          <w:rFonts w:ascii="Arial" w:hAnsi="Arial" w:cs="Arial"/>
        </w:rPr>
      </w:pPr>
      <w:r w:rsidRPr="00DF3B61">
        <w:rPr>
          <w:rFonts w:ascii="Arial" w:hAnsi="Arial" w:cs="Arial"/>
        </w:rPr>
        <w:t xml:space="preserve">Fernandez, D.J. and Fernandez, J.D. (2008) ‘Agile Project Management -Agilism versus Traditional Approaches’, The Journal of computer information systems, 49(2), pp. 10–17. Available at: </w:t>
      </w:r>
      <w:hyperlink r:id="rId30" w:history="1">
        <w:r w:rsidRPr="00DF3B61">
          <w:rPr>
            <w:rStyle w:val="Hyperlink"/>
            <w:rFonts w:ascii="Arial" w:hAnsi="Arial" w:cs="Arial"/>
          </w:rPr>
          <w:t>https://doi.org/10.1080/08874417.2009.11646044</w:t>
        </w:r>
      </w:hyperlink>
      <w:r w:rsidRPr="00DF3B61">
        <w:rPr>
          <w:rFonts w:ascii="Arial" w:hAnsi="Arial" w:cs="Arial"/>
        </w:rPr>
        <w:t xml:space="preserve"> </w:t>
      </w:r>
    </w:p>
    <w:p w14:paraId="36C8B5BB" w14:textId="261EF697" w:rsidR="00DF3B61" w:rsidRPr="00DF3B61" w:rsidRDefault="00DF3B61" w:rsidP="00C6311B">
      <w:pPr>
        <w:spacing w:line="360" w:lineRule="auto"/>
        <w:rPr>
          <w:rFonts w:ascii="Arial" w:hAnsi="Arial" w:cs="Arial"/>
        </w:rPr>
      </w:pPr>
      <w:r w:rsidRPr="00DF3B61">
        <w:rPr>
          <w:rFonts w:ascii="Arial" w:hAnsi="Arial" w:cs="Arial"/>
        </w:rPr>
        <w:t xml:space="preserve">Hogue, R. J. (2022). Demystifying Instructional Design. EdTech Books. </w:t>
      </w:r>
      <w:hyperlink r:id="rId31" w:history="1">
        <w:r w:rsidRPr="00DF3B61">
          <w:rPr>
            <w:rStyle w:val="Hyperlink"/>
            <w:rFonts w:ascii="Arial" w:hAnsi="Arial" w:cs="Arial"/>
          </w:rPr>
          <w:t>https://edtechbooks.org/demystifyingID</w:t>
        </w:r>
      </w:hyperlink>
      <w:r w:rsidRPr="00DF3B61">
        <w:rPr>
          <w:rFonts w:ascii="Arial" w:hAnsi="Arial" w:cs="Arial"/>
        </w:rPr>
        <w:t xml:space="preserve"> Accessed: </w:t>
      </w:r>
      <w:r w:rsidR="00A2694D" w:rsidRPr="00DF3B61">
        <w:rPr>
          <w:rFonts w:ascii="Arial" w:hAnsi="Arial" w:cs="Arial"/>
        </w:rPr>
        <w:t>30.04.23.</w:t>
      </w:r>
    </w:p>
    <w:p w14:paraId="41471E01" w14:textId="77777777" w:rsidR="00A2694D" w:rsidRPr="00DF3B61" w:rsidRDefault="00A2694D" w:rsidP="00C6311B">
      <w:pPr>
        <w:spacing w:line="360" w:lineRule="auto"/>
        <w:rPr>
          <w:rFonts w:ascii="Arial" w:hAnsi="Arial" w:cs="Arial"/>
        </w:rPr>
      </w:pPr>
      <w:r w:rsidRPr="00DF3B61">
        <w:rPr>
          <w:rFonts w:ascii="Arial" w:hAnsi="Arial" w:cs="Arial"/>
        </w:rPr>
        <w:t>JISC. (2014) Project management: A project management methodology based on PRINCE2. Retrieved 5</w:t>
      </w:r>
      <w:r w:rsidRPr="00DF3B61">
        <w:rPr>
          <w:rFonts w:ascii="Arial" w:hAnsi="Arial" w:cs="Arial"/>
          <w:vertAlign w:val="superscript"/>
        </w:rPr>
        <w:t>th</w:t>
      </w:r>
      <w:r w:rsidRPr="00DF3B61">
        <w:rPr>
          <w:rFonts w:ascii="Arial" w:hAnsi="Arial" w:cs="Arial"/>
        </w:rPr>
        <w:t xml:space="preserve"> May 2023 from: </w:t>
      </w:r>
      <w:hyperlink r:id="rId32" w:history="1">
        <w:r w:rsidRPr="00DF3B61">
          <w:rPr>
            <w:rStyle w:val="Hyperlink"/>
            <w:rFonts w:ascii="Arial" w:hAnsi="Arial" w:cs="Arial"/>
          </w:rPr>
          <w:t>https://www.jisc.ac.uk/full-guide/project-management#</w:t>
        </w:r>
      </w:hyperlink>
      <w:r w:rsidRPr="00DF3B61">
        <w:rPr>
          <w:rFonts w:ascii="Arial" w:hAnsi="Arial" w:cs="Arial"/>
        </w:rPr>
        <w:t xml:space="preserve"> </w:t>
      </w:r>
    </w:p>
    <w:p w14:paraId="4CF08A5E" w14:textId="692DCC6F" w:rsidR="00DF3B61" w:rsidRPr="00DF3B61" w:rsidRDefault="00DF3B61" w:rsidP="00C6311B">
      <w:pPr>
        <w:spacing w:line="360" w:lineRule="auto"/>
        <w:rPr>
          <w:rFonts w:ascii="Arial" w:hAnsi="Arial" w:cs="Arial"/>
        </w:rPr>
      </w:pPr>
      <w:r w:rsidRPr="00DF3B61">
        <w:rPr>
          <w:rFonts w:ascii="Arial" w:hAnsi="Arial" w:cs="Arial"/>
        </w:rPr>
        <w:t xml:space="preserve">Kerzner, H. (2009) Project </w:t>
      </w:r>
      <w:r w:rsidR="007700AF" w:rsidRPr="00DF3B61">
        <w:rPr>
          <w:rFonts w:ascii="Arial" w:hAnsi="Arial" w:cs="Arial"/>
        </w:rPr>
        <w:t>management:</w:t>
      </w:r>
      <w:r w:rsidRPr="00DF3B61">
        <w:rPr>
          <w:rFonts w:ascii="Arial" w:hAnsi="Arial" w:cs="Arial"/>
        </w:rPr>
        <w:t xml:space="preserve"> a systems approach to planning, scheduling, and controlling. 10th ed. Hoboken, N.J: Wiley. </w:t>
      </w:r>
    </w:p>
    <w:p w14:paraId="42F92445" w14:textId="3CC0C0C2" w:rsidR="00DF3B61" w:rsidRPr="00DF3B61" w:rsidRDefault="00DF3B61" w:rsidP="00C6311B">
      <w:pPr>
        <w:spacing w:line="360" w:lineRule="auto"/>
        <w:rPr>
          <w:rFonts w:ascii="Arial" w:hAnsi="Arial" w:cs="Arial"/>
        </w:rPr>
      </w:pPr>
      <w:r w:rsidRPr="00DF3B61">
        <w:rPr>
          <w:rFonts w:ascii="Arial" w:hAnsi="Arial" w:cs="Arial"/>
        </w:rPr>
        <w:t xml:space="preserve">Kimmons, R. &amp; Caskurlu, S. (2020). The Students' Guide to Learning Design and Research. EdTech Books. </w:t>
      </w:r>
      <w:hyperlink r:id="rId33" w:history="1">
        <w:r w:rsidRPr="00DF3B61">
          <w:rPr>
            <w:rStyle w:val="Hyperlink"/>
            <w:rFonts w:ascii="Arial" w:hAnsi="Arial" w:cs="Arial"/>
          </w:rPr>
          <w:t>https://edtechbooks.org/studentguide</w:t>
        </w:r>
      </w:hyperlink>
      <w:r w:rsidRPr="00DF3B61">
        <w:rPr>
          <w:rFonts w:ascii="Arial" w:hAnsi="Arial" w:cs="Arial"/>
        </w:rPr>
        <w:t xml:space="preserve"> Accessed: </w:t>
      </w:r>
      <w:r w:rsidR="007700AF" w:rsidRPr="00DF3B61">
        <w:rPr>
          <w:rFonts w:ascii="Arial" w:hAnsi="Arial" w:cs="Arial"/>
        </w:rPr>
        <w:t>30.04.23.</w:t>
      </w:r>
    </w:p>
    <w:p w14:paraId="6AF14906" w14:textId="73F0EB68" w:rsidR="00DF3B61" w:rsidRPr="00DF3B61" w:rsidRDefault="00DF3B61" w:rsidP="00C6311B">
      <w:pPr>
        <w:spacing w:line="360" w:lineRule="auto"/>
        <w:rPr>
          <w:rFonts w:ascii="Arial" w:hAnsi="Arial" w:cs="Arial"/>
        </w:rPr>
      </w:pPr>
      <w:r w:rsidRPr="00DF3B61">
        <w:rPr>
          <w:rFonts w:ascii="Arial" w:hAnsi="Arial" w:cs="Arial"/>
        </w:rPr>
        <w:t xml:space="preserve">Lewis, J.P. (2011) Project planning scheduling and </w:t>
      </w:r>
      <w:r w:rsidR="007700AF" w:rsidRPr="00DF3B61">
        <w:rPr>
          <w:rFonts w:ascii="Arial" w:hAnsi="Arial" w:cs="Arial"/>
        </w:rPr>
        <w:t>control:</w:t>
      </w:r>
      <w:r w:rsidRPr="00DF3B61">
        <w:rPr>
          <w:rFonts w:ascii="Arial" w:hAnsi="Arial" w:cs="Arial"/>
        </w:rPr>
        <w:t xml:space="preserve"> the ultimate hands-on guide to bringing projects in on time and on budget. Fifth edition. New York: McGraw-Hill. </w:t>
      </w:r>
    </w:p>
    <w:p w14:paraId="458B62D7" w14:textId="77777777" w:rsidR="00DF3B61" w:rsidRPr="00DF3B61" w:rsidRDefault="00DF3B61" w:rsidP="00C6311B">
      <w:pPr>
        <w:spacing w:line="360" w:lineRule="auto"/>
        <w:rPr>
          <w:rFonts w:ascii="Arial" w:hAnsi="Arial" w:cs="Arial"/>
        </w:rPr>
      </w:pPr>
      <w:r w:rsidRPr="00DF3B61">
        <w:rPr>
          <w:rFonts w:ascii="Arial" w:eastAsia="Times New Roman" w:hAnsi="Arial" w:cs="Arial"/>
        </w:rPr>
        <w:t xml:space="preserve">Naidoo, V. and Verma, R. (2021) </w:t>
      </w:r>
      <w:r w:rsidRPr="00DF3B61">
        <w:rPr>
          <w:rFonts w:ascii="Arial" w:eastAsia="Times New Roman" w:hAnsi="Arial" w:cs="Arial"/>
          <w:i/>
          <w:iCs/>
        </w:rPr>
        <w:t>Contemporary challenges for agile project management</w:t>
      </w:r>
      <w:r w:rsidRPr="00DF3B61">
        <w:rPr>
          <w:rFonts w:ascii="Arial" w:eastAsia="Times New Roman" w:hAnsi="Arial" w:cs="Arial"/>
        </w:rPr>
        <w:t>. Hershey, PA: IGI Global.</w:t>
      </w:r>
    </w:p>
    <w:p w14:paraId="0F5BAF18" w14:textId="655C7802" w:rsidR="00DF3B61" w:rsidRPr="00DF3B61" w:rsidRDefault="00DF3B61" w:rsidP="00C6311B">
      <w:pPr>
        <w:spacing w:line="360" w:lineRule="auto"/>
        <w:rPr>
          <w:rFonts w:ascii="Arial" w:eastAsia="Times New Roman" w:hAnsi="Arial" w:cs="Arial"/>
        </w:rPr>
      </w:pPr>
      <w:r w:rsidRPr="00DF3B61">
        <w:rPr>
          <w:rFonts w:ascii="Arial" w:hAnsi="Arial" w:cs="Arial"/>
        </w:rPr>
        <w:t xml:space="preserve">Osorio, J.A., Chaudron, M.R. and Heijstek, W., 2011, August. Moving from waterfall to iterative development: An empirical evaluation of advantages, </w:t>
      </w:r>
      <w:r w:rsidR="007700AF" w:rsidRPr="00DF3B61">
        <w:rPr>
          <w:rFonts w:ascii="Arial" w:hAnsi="Arial" w:cs="Arial"/>
        </w:rPr>
        <w:t>disadvantages,</w:t>
      </w:r>
      <w:r w:rsidRPr="00DF3B61">
        <w:rPr>
          <w:rFonts w:ascii="Arial" w:hAnsi="Arial" w:cs="Arial"/>
        </w:rPr>
        <w:t xml:space="preserve"> and risks of </w:t>
      </w:r>
      <w:r w:rsidRPr="00DF3B61">
        <w:rPr>
          <w:rFonts w:ascii="Arial" w:hAnsi="Arial" w:cs="Arial"/>
        </w:rPr>
        <w:lastRenderedPageBreak/>
        <w:t xml:space="preserve">RUP. In </w:t>
      </w:r>
      <w:r w:rsidRPr="00DF3B61">
        <w:rPr>
          <w:rFonts w:ascii="Arial" w:hAnsi="Arial" w:cs="Arial"/>
          <w:i/>
          <w:iCs/>
        </w:rPr>
        <w:t>2011 37th EUROMICRO Conference on Software Engineering and Advanced Applications</w:t>
      </w:r>
      <w:r w:rsidRPr="00DF3B61">
        <w:rPr>
          <w:rFonts w:ascii="Arial" w:hAnsi="Arial" w:cs="Arial"/>
        </w:rPr>
        <w:t xml:space="preserve"> (pp. 453-460). IEEE.</w:t>
      </w:r>
    </w:p>
    <w:p w14:paraId="4B58EF27" w14:textId="77777777" w:rsidR="00DF3B61" w:rsidRPr="00DF3B61" w:rsidRDefault="00DF3B61" w:rsidP="00C6311B">
      <w:pPr>
        <w:spacing w:line="360" w:lineRule="auto"/>
        <w:rPr>
          <w:rFonts w:ascii="Arial" w:hAnsi="Arial" w:cs="Arial"/>
        </w:rPr>
      </w:pPr>
      <w:r w:rsidRPr="00DF3B61">
        <w:rPr>
          <w:rFonts w:ascii="Arial" w:hAnsi="Arial" w:cs="Arial"/>
        </w:rPr>
        <w:t xml:space="preserve">Papadakis, E. and Tsironis, L., 2020. Towards a hybrid project management framework: A systematic literature review on traditional, agile and hybrid techniques. </w:t>
      </w:r>
      <w:r w:rsidRPr="00DF3B61">
        <w:rPr>
          <w:rFonts w:ascii="Arial" w:hAnsi="Arial" w:cs="Arial"/>
          <w:i/>
          <w:iCs/>
        </w:rPr>
        <w:t>The Journal of Modern Project Management</w:t>
      </w:r>
      <w:r w:rsidRPr="00DF3B61">
        <w:rPr>
          <w:rFonts w:ascii="Arial" w:hAnsi="Arial" w:cs="Arial"/>
        </w:rPr>
        <w:t xml:space="preserve">, </w:t>
      </w:r>
      <w:r w:rsidRPr="00DF3B61">
        <w:rPr>
          <w:rFonts w:ascii="Arial" w:hAnsi="Arial" w:cs="Arial"/>
          <w:i/>
          <w:iCs/>
        </w:rPr>
        <w:t>8</w:t>
      </w:r>
      <w:r w:rsidRPr="00DF3B61">
        <w:rPr>
          <w:rFonts w:ascii="Arial" w:hAnsi="Arial" w:cs="Arial"/>
        </w:rPr>
        <w:t>(2).</w:t>
      </w:r>
    </w:p>
    <w:p w14:paraId="2DDB974A" w14:textId="77777777" w:rsidR="00DF3B61" w:rsidRPr="00DF3B61" w:rsidRDefault="00DF3B61" w:rsidP="00C6311B">
      <w:pPr>
        <w:spacing w:line="360" w:lineRule="auto"/>
        <w:rPr>
          <w:rFonts w:ascii="Arial" w:eastAsia="Times New Roman" w:hAnsi="Arial" w:cs="Arial"/>
        </w:rPr>
      </w:pPr>
      <w:r w:rsidRPr="00DF3B61">
        <w:rPr>
          <w:rFonts w:ascii="Arial" w:hAnsi="Arial" w:cs="Arial"/>
        </w:rPr>
        <w:t xml:space="preserve">Petersen, K. and Wohlin, C., 2010. The effect of moving from a plan-driven to an incremental software development approach with agile practices: An industrial case study. </w:t>
      </w:r>
      <w:r w:rsidRPr="00DF3B61">
        <w:rPr>
          <w:rFonts w:ascii="Arial" w:hAnsi="Arial" w:cs="Arial"/>
          <w:i/>
          <w:iCs/>
        </w:rPr>
        <w:t>Empirical Software Engineering</w:t>
      </w:r>
      <w:r w:rsidRPr="00DF3B61">
        <w:rPr>
          <w:rFonts w:ascii="Arial" w:hAnsi="Arial" w:cs="Arial"/>
        </w:rPr>
        <w:t xml:space="preserve">, </w:t>
      </w:r>
      <w:r w:rsidRPr="00DF3B61">
        <w:rPr>
          <w:rFonts w:ascii="Arial" w:hAnsi="Arial" w:cs="Arial"/>
          <w:i/>
          <w:iCs/>
        </w:rPr>
        <w:t>15</w:t>
      </w:r>
      <w:r w:rsidRPr="00DF3B61">
        <w:rPr>
          <w:rFonts w:ascii="Arial" w:hAnsi="Arial" w:cs="Arial"/>
        </w:rPr>
        <w:t>, pp.654-693.</w:t>
      </w:r>
    </w:p>
    <w:p w14:paraId="5C47CFD7" w14:textId="77777777" w:rsidR="00DF3B61" w:rsidRPr="00DF3B61" w:rsidRDefault="00DF3B61" w:rsidP="00C6311B">
      <w:pPr>
        <w:spacing w:line="360" w:lineRule="auto"/>
      </w:pPr>
      <w:r w:rsidRPr="00DF3B61">
        <w:rPr>
          <w:rFonts w:ascii="Arial" w:hAnsi="Arial" w:cs="Arial"/>
        </w:rPr>
        <w:t xml:space="preserve">Santos, P.d., de Carvalho, M.M. Exploring the challenges and benefits for scaling agile project management to large projects: a review. </w:t>
      </w:r>
      <w:r w:rsidRPr="00DF3B61">
        <w:rPr>
          <w:rFonts w:ascii="Arial" w:hAnsi="Arial" w:cs="Arial"/>
          <w:i/>
          <w:iCs/>
        </w:rPr>
        <w:t>Requirements Eng</w:t>
      </w:r>
      <w:r w:rsidRPr="00DF3B61">
        <w:rPr>
          <w:rFonts w:ascii="Arial" w:hAnsi="Arial" w:cs="Arial"/>
        </w:rPr>
        <w:t xml:space="preserve"> </w:t>
      </w:r>
      <w:r w:rsidRPr="00DF3B61">
        <w:rPr>
          <w:rFonts w:ascii="Arial" w:hAnsi="Arial" w:cs="Arial"/>
          <w:b/>
          <w:bCs/>
        </w:rPr>
        <w:t>27</w:t>
      </w:r>
      <w:r w:rsidRPr="00DF3B61">
        <w:rPr>
          <w:rFonts w:ascii="Arial" w:hAnsi="Arial" w:cs="Arial"/>
        </w:rPr>
        <w:t xml:space="preserve">, 117–134 (2022). </w:t>
      </w:r>
      <w:hyperlink r:id="rId34" w:history="1">
        <w:r w:rsidRPr="00DF3B61">
          <w:rPr>
            <w:rStyle w:val="Hyperlink"/>
            <w:rFonts w:ascii="Arial" w:hAnsi="Arial" w:cs="Arial"/>
          </w:rPr>
          <w:t>https://doi.org/10.1007/s00766-021-00363-3</w:t>
        </w:r>
      </w:hyperlink>
    </w:p>
    <w:p w14:paraId="49FD62C4" w14:textId="7234EF55" w:rsidR="00DF3B61" w:rsidRDefault="00DF3B61" w:rsidP="00C6311B">
      <w:pPr>
        <w:spacing w:line="360" w:lineRule="auto"/>
        <w:rPr>
          <w:rFonts w:ascii="Arial" w:hAnsi="Arial" w:cs="Arial"/>
        </w:rPr>
      </w:pPr>
      <w:r w:rsidRPr="00DF3B61">
        <w:rPr>
          <w:rFonts w:ascii="Arial" w:hAnsi="Arial" w:cs="Arial"/>
        </w:rPr>
        <w:t xml:space="preserve">Špundak, M., 2014. Mixed agile/traditional project management methodology–reality or </w:t>
      </w:r>
      <w:r w:rsidR="007700AF" w:rsidRPr="00DF3B61">
        <w:rPr>
          <w:rFonts w:ascii="Arial" w:hAnsi="Arial" w:cs="Arial"/>
        </w:rPr>
        <w:t>illusion?</w:t>
      </w:r>
      <w:r w:rsidRPr="00DF3B61">
        <w:rPr>
          <w:rFonts w:ascii="Arial" w:hAnsi="Arial" w:cs="Arial"/>
        </w:rPr>
        <w:t xml:space="preserve"> </w:t>
      </w:r>
      <w:r w:rsidRPr="00DF3B61">
        <w:rPr>
          <w:rFonts w:ascii="Arial" w:hAnsi="Arial" w:cs="Arial"/>
          <w:i/>
          <w:iCs/>
        </w:rPr>
        <w:t>Procedia-Social and Behavioral Sciences</w:t>
      </w:r>
      <w:r w:rsidRPr="00DF3B61">
        <w:rPr>
          <w:rFonts w:ascii="Arial" w:hAnsi="Arial" w:cs="Arial"/>
        </w:rPr>
        <w:t xml:space="preserve">, </w:t>
      </w:r>
      <w:r w:rsidRPr="00DF3B61">
        <w:rPr>
          <w:rFonts w:ascii="Arial" w:hAnsi="Arial" w:cs="Arial"/>
          <w:i/>
          <w:iCs/>
        </w:rPr>
        <w:t>119</w:t>
      </w:r>
      <w:r w:rsidRPr="00DF3B61">
        <w:rPr>
          <w:rFonts w:ascii="Arial" w:hAnsi="Arial" w:cs="Arial"/>
        </w:rPr>
        <w:t>, pp.939-948.</w:t>
      </w:r>
    </w:p>
    <w:p w14:paraId="1B0938A4" w14:textId="77777777" w:rsidR="00A73ACD" w:rsidRPr="00A73ACD" w:rsidRDefault="00A73ACD" w:rsidP="00C6311B">
      <w:pPr>
        <w:spacing w:line="360" w:lineRule="auto"/>
        <w:rPr>
          <w:rFonts w:ascii="Arial" w:hAnsi="Arial" w:cs="Arial"/>
        </w:rPr>
      </w:pPr>
      <w:r w:rsidRPr="00A73ACD">
        <w:rPr>
          <w:rFonts w:ascii="Arial" w:hAnsi="Arial" w:cs="Arial"/>
        </w:rPr>
        <w:t xml:space="preserve">Thesing, T., Feldmann, C. and Burchardt, M., 2021. Agile versus waterfall project management: decision model for selecting the appropriate approach to a project. </w:t>
      </w:r>
      <w:r w:rsidRPr="00A73ACD">
        <w:rPr>
          <w:rFonts w:ascii="Arial" w:hAnsi="Arial" w:cs="Arial"/>
          <w:i/>
          <w:iCs/>
        </w:rPr>
        <w:t>Procedia Computer Science</w:t>
      </w:r>
      <w:r w:rsidRPr="00A73ACD">
        <w:rPr>
          <w:rFonts w:ascii="Arial" w:hAnsi="Arial" w:cs="Arial"/>
        </w:rPr>
        <w:t xml:space="preserve">, </w:t>
      </w:r>
      <w:r w:rsidRPr="00A73ACD">
        <w:rPr>
          <w:rFonts w:ascii="Arial" w:hAnsi="Arial" w:cs="Arial"/>
          <w:i/>
          <w:iCs/>
        </w:rPr>
        <w:t>181</w:t>
      </w:r>
      <w:r w:rsidRPr="00A73ACD">
        <w:rPr>
          <w:rFonts w:ascii="Arial" w:hAnsi="Arial" w:cs="Arial"/>
        </w:rPr>
        <w:t>, pp.746-756.</w:t>
      </w:r>
    </w:p>
    <w:p w14:paraId="73CE849D" w14:textId="6209E41B" w:rsidR="00A73ACD" w:rsidRPr="00DF3B61" w:rsidRDefault="00A73ACD" w:rsidP="00C6311B">
      <w:pPr>
        <w:spacing w:line="360" w:lineRule="auto"/>
        <w:rPr>
          <w:rFonts w:ascii="Arial" w:hAnsi="Arial" w:cs="Arial"/>
        </w:rPr>
      </w:pPr>
      <w:r w:rsidRPr="00A73ACD">
        <w:rPr>
          <w:rFonts w:ascii="Arial" w:hAnsi="Arial" w:cs="Arial"/>
        </w:rPr>
        <w:t>Tuttle, S. (2012) Illustrating PRINCE2 project management in real terms. 1st edition. Ely, Cambridgeshire: IT Governance Pub.</w:t>
      </w:r>
    </w:p>
    <w:p w14:paraId="18C2D61E" w14:textId="351214BF" w:rsidR="00DF3B61" w:rsidRPr="00DF3B61" w:rsidRDefault="00DF3B61" w:rsidP="00C6311B">
      <w:pPr>
        <w:spacing w:line="360" w:lineRule="auto"/>
        <w:rPr>
          <w:rFonts w:ascii="Arial" w:hAnsi="Arial" w:cs="Arial"/>
        </w:rPr>
      </w:pPr>
      <w:r w:rsidRPr="00DF3B61">
        <w:rPr>
          <w:rFonts w:ascii="Arial" w:hAnsi="Arial" w:cs="Arial"/>
        </w:rPr>
        <w:t xml:space="preserve">Tuttle, S. (2018) Prince2® in </w:t>
      </w:r>
      <w:r w:rsidR="007700AF" w:rsidRPr="00DF3B61">
        <w:rPr>
          <w:rFonts w:ascii="Arial" w:hAnsi="Arial" w:cs="Arial"/>
        </w:rPr>
        <w:t>action:</w:t>
      </w:r>
      <w:r w:rsidRPr="00DF3B61">
        <w:rPr>
          <w:rFonts w:ascii="Arial" w:hAnsi="Arial" w:cs="Arial"/>
        </w:rPr>
        <w:t xml:space="preserve"> project management in real terms : project management in real terms. 1st edition. Cambridgeshire: IT Governance Publishing.</w:t>
      </w:r>
    </w:p>
    <w:p w14:paraId="3F992C9E" w14:textId="77777777" w:rsidR="00A2694D" w:rsidRPr="00DF3B61" w:rsidRDefault="00A2694D" w:rsidP="00C6311B">
      <w:pPr>
        <w:spacing w:line="360" w:lineRule="auto"/>
        <w:rPr>
          <w:rFonts w:ascii="Arial" w:hAnsi="Arial" w:cs="Arial"/>
        </w:rPr>
      </w:pPr>
      <w:r w:rsidRPr="00DF3B61">
        <w:rPr>
          <w:rFonts w:ascii="Arial" w:hAnsi="Arial" w:cs="Arial"/>
        </w:rPr>
        <w:t xml:space="preserve">Vaníčková, R. (2017) ‘Application of PRINCE2 Project Management Methodology’, Studia commercialia Bratislavensia, 10(38), p. 227–. Available at: </w:t>
      </w:r>
      <w:hyperlink r:id="rId35" w:history="1">
        <w:r w:rsidRPr="00DF3B61">
          <w:rPr>
            <w:rStyle w:val="Hyperlink"/>
            <w:rFonts w:ascii="Arial" w:hAnsi="Arial" w:cs="Arial"/>
          </w:rPr>
          <w:t>https://doi.org/10.1515/stcb-2017-0021</w:t>
        </w:r>
      </w:hyperlink>
      <w:r w:rsidRPr="00DF3B61">
        <w:rPr>
          <w:rFonts w:ascii="Arial" w:hAnsi="Arial" w:cs="Arial"/>
        </w:rPr>
        <w:t xml:space="preserve">. </w:t>
      </w:r>
    </w:p>
    <w:p w14:paraId="059CF95F" w14:textId="77777777" w:rsidR="00DF3B61" w:rsidRPr="00DF3B61" w:rsidRDefault="00DF3B61" w:rsidP="00C6311B">
      <w:pPr>
        <w:spacing w:line="360" w:lineRule="auto"/>
        <w:rPr>
          <w:rFonts w:ascii="Arial" w:hAnsi="Arial" w:cs="Arial"/>
        </w:rPr>
      </w:pPr>
      <w:r w:rsidRPr="00DF3B61">
        <w:rPr>
          <w:rFonts w:ascii="Arial" w:hAnsi="Arial" w:cs="Arial"/>
        </w:rPr>
        <w:t>Vila Grau, J.L. and Capuz Rizo, S., (2022) HYBRID PROJECT MANAGEMENT ACCORDING TO THE PMBOK AND PRINCE2 MODELS.</w:t>
      </w:r>
    </w:p>
    <w:p w14:paraId="72175506" w14:textId="24554026" w:rsidR="00DF3B61" w:rsidRPr="00DF3B61" w:rsidRDefault="00DF3B61" w:rsidP="00C6311B">
      <w:pPr>
        <w:spacing w:line="360" w:lineRule="auto"/>
        <w:rPr>
          <w:rFonts w:ascii="Arial" w:hAnsi="Arial" w:cs="Arial"/>
        </w:rPr>
      </w:pPr>
      <w:r w:rsidRPr="00DF3B61">
        <w:rPr>
          <w:rFonts w:ascii="Arial" w:hAnsi="Arial" w:cs="Arial"/>
        </w:rPr>
        <w:t xml:space="preserve">Wiley, D. (2018). Project Management for Instructional Designers. EdTech Books. </w:t>
      </w:r>
      <w:hyperlink r:id="rId36" w:history="1">
        <w:r w:rsidRPr="00DF3B61">
          <w:rPr>
            <w:rStyle w:val="Hyperlink"/>
            <w:rFonts w:ascii="Arial" w:hAnsi="Arial" w:cs="Arial"/>
          </w:rPr>
          <w:t>https://edtechbooks.org/pm4id</w:t>
        </w:r>
      </w:hyperlink>
      <w:r w:rsidRPr="00DF3B61">
        <w:rPr>
          <w:rFonts w:ascii="Arial" w:hAnsi="Arial" w:cs="Arial"/>
        </w:rPr>
        <w:t xml:space="preserve"> Accessed: </w:t>
      </w:r>
      <w:r w:rsidR="007700AF" w:rsidRPr="00DF3B61">
        <w:rPr>
          <w:rFonts w:ascii="Arial" w:hAnsi="Arial" w:cs="Arial"/>
        </w:rPr>
        <w:t>30.04.2023.</w:t>
      </w:r>
    </w:p>
    <w:p w14:paraId="00D01558" w14:textId="77777777" w:rsidR="00DF3B61" w:rsidRPr="00DF3B61" w:rsidRDefault="00DF3B61" w:rsidP="00DF3B61"/>
    <w:sectPr w:rsidR="00DF3B61" w:rsidRPr="00DF3B61">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DE883" w14:textId="77777777" w:rsidR="00FB664E" w:rsidRDefault="00FB664E" w:rsidP="00277FB0">
      <w:pPr>
        <w:spacing w:after="0" w:line="240" w:lineRule="auto"/>
      </w:pPr>
      <w:r>
        <w:separator/>
      </w:r>
    </w:p>
  </w:endnote>
  <w:endnote w:type="continuationSeparator" w:id="0">
    <w:p w14:paraId="0EB4788D" w14:textId="77777777" w:rsidR="00FB664E" w:rsidRDefault="00FB664E" w:rsidP="00277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0F43B" w14:textId="77777777" w:rsidR="00FB664E" w:rsidRDefault="00FB664E" w:rsidP="00277FB0">
      <w:pPr>
        <w:spacing w:after="0" w:line="240" w:lineRule="auto"/>
      </w:pPr>
      <w:r>
        <w:separator/>
      </w:r>
    </w:p>
  </w:footnote>
  <w:footnote w:type="continuationSeparator" w:id="0">
    <w:p w14:paraId="15982182" w14:textId="77777777" w:rsidR="00FB664E" w:rsidRDefault="00FB664E" w:rsidP="00277F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91137" w14:textId="64881736" w:rsidR="00277FB0" w:rsidRPr="00D44299" w:rsidRDefault="00277FB0">
    <w:pPr>
      <w:pStyle w:val="Header"/>
      <w:rPr>
        <w:rFonts w:ascii="Arial" w:hAnsi="Arial" w:cs="Arial"/>
      </w:rPr>
    </w:pPr>
    <w:r w:rsidRPr="00D44299">
      <w:rPr>
        <w:rFonts w:ascii="Arial" w:hAnsi="Arial" w:cs="Arial"/>
      </w:rPr>
      <w:t>B</w:t>
    </w:r>
    <w:r w:rsidR="008B6B07" w:rsidRPr="00D44299">
      <w:rPr>
        <w:rFonts w:ascii="Arial" w:hAnsi="Arial" w:cs="Arial"/>
      </w:rPr>
      <w:t>MPF7018</w:t>
    </w:r>
    <w:r w:rsidRPr="00D44299">
      <w:rPr>
        <w:rFonts w:ascii="Arial" w:hAnsi="Arial" w:cs="Arial"/>
      </w:rPr>
      <w:ptab w:relativeTo="margin" w:alignment="center" w:leader="none"/>
    </w:r>
    <w:r w:rsidR="008B6B07" w:rsidRPr="00D44299">
      <w:rPr>
        <w:rFonts w:ascii="Arial" w:hAnsi="Arial" w:cs="Arial"/>
      </w:rPr>
      <w:t>Managing Work-based Projects – Assignment 1</w:t>
    </w:r>
    <w:r w:rsidRPr="00D44299">
      <w:rPr>
        <w:rFonts w:ascii="Arial" w:hAnsi="Arial" w:cs="Arial"/>
      </w:rPr>
      <w:ptab w:relativeTo="margin" w:alignment="right" w:leader="none"/>
    </w:r>
    <w:r w:rsidR="008B6B07" w:rsidRPr="00D44299">
      <w:rPr>
        <w:rFonts w:ascii="Arial" w:hAnsi="Arial" w:cs="Arial"/>
      </w:rPr>
      <w:t>1650033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505"/>
    <w:multiLevelType w:val="hybridMultilevel"/>
    <w:tmpl w:val="7AC44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83938"/>
    <w:multiLevelType w:val="hybridMultilevel"/>
    <w:tmpl w:val="8F5EA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61301"/>
    <w:multiLevelType w:val="hybridMultilevel"/>
    <w:tmpl w:val="8E945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26167"/>
    <w:multiLevelType w:val="hybridMultilevel"/>
    <w:tmpl w:val="D52EFA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CB92A19"/>
    <w:multiLevelType w:val="hybridMultilevel"/>
    <w:tmpl w:val="959E648C"/>
    <w:lvl w:ilvl="0" w:tplc="0809000F">
      <w:start w:val="1"/>
      <w:numFmt w:val="decimal"/>
      <w:lvlText w:val="%1."/>
      <w:lvlJc w:val="left"/>
      <w:pPr>
        <w:ind w:left="764" w:hanging="360"/>
      </w:p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5" w15:restartNumberingAfterBreak="0">
    <w:nsid w:val="1EFD0BDC"/>
    <w:multiLevelType w:val="hybridMultilevel"/>
    <w:tmpl w:val="63D8AF7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05E7A09"/>
    <w:multiLevelType w:val="hybridMultilevel"/>
    <w:tmpl w:val="ED9C3FB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311945B6"/>
    <w:multiLevelType w:val="hybridMultilevel"/>
    <w:tmpl w:val="1F767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E14EC"/>
    <w:multiLevelType w:val="hybridMultilevel"/>
    <w:tmpl w:val="91804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E23613"/>
    <w:multiLevelType w:val="hybridMultilevel"/>
    <w:tmpl w:val="87C64E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E131DE"/>
    <w:multiLevelType w:val="hybridMultilevel"/>
    <w:tmpl w:val="E54EA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F304FB"/>
    <w:multiLevelType w:val="hybridMultilevel"/>
    <w:tmpl w:val="A7F0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8859EE"/>
    <w:multiLevelType w:val="hybridMultilevel"/>
    <w:tmpl w:val="DDE8C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21863"/>
    <w:multiLevelType w:val="hybridMultilevel"/>
    <w:tmpl w:val="7D4E9E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4C6F72"/>
    <w:multiLevelType w:val="hybridMultilevel"/>
    <w:tmpl w:val="5B428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317CD8"/>
    <w:multiLevelType w:val="hybridMultilevel"/>
    <w:tmpl w:val="6750B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3E315C"/>
    <w:multiLevelType w:val="hybridMultilevel"/>
    <w:tmpl w:val="97EA93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282C51"/>
    <w:multiLevelType w:val="hybridMultilevel"/>
    <w:tmpl w:val="87C64E92"/>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5D80C68"/>
    <w:multiLevelType w:val="hybridMultilevel"/>
    <w:tmpl w:val="24ECE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902717"/>
    <w:multiLevelType w:val="hybridMultilevel"/>
    <w:tmpl w:val="AEF68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4D1B5B"/>
    <w:multiLevelType w:val="hybridMultilevel"/>
    <w:tmpl w:val="774CF9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1E0B5D"/>
    <w:multiLevelType w:val="hybridMultilevel"/>
    <w:tmpl w:val="3C96A4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43386A"/>
    <w:multiLevelType w:val="hybridMultilevel"/>
    <w:tmpl w:val="D33E93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2A76E4"/>
    <w:multiLevelType w:val="hybridMultilevel"/>
    <w:tmpl w:val="DACA2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8687399">
    <w:abstractNumId w:val="11"/>
  </w:num>
  <w:num w:numId="2" w16cid:durableId="787503617">
    <w:abstractNumId w:val="8"/>
  </w:num>
  <w:num w:numId="3" w16cid:durableId="1768117069">
    <w:abstractNumId w:val="1"/>
  </w:num>
  <w:num w:numId="4" w16cid:durableId="1589535648">
    <w:abstractNumId w:val="15"/>
  </w:num>
  <w:num w:numId="5" w16cid:durableId="1599291133">
    <w:abstractNumId w:val="9"/>
  </w:num>
  <w:num w:numId="6" w16cid:durableId="1304575725">
    <w:abstractNumId w:val="13"/>
  </w:num>
  <w:num w:numId="7" w16cid:durableId="602224388">
    <w:abstractNumId w:val="20"/>
  </w:num>
  <w:num w:numId="8" w16cid:durableId="1236235300">
    <w:abstractNumId w:val="22"/>
  </w:num>
  <w:num w:numId="9" w16cid:durableId="1570731998">
    <w:abstractNumId w:val="14"/>
  </w:num>
  <w:num w:numId="10" w16cid:durableId="1171144680">
    <w:abstractNumId w:val="18"/>
  </w:num>
  <w:num w:numId="11" w16cid:durableId="2103530887">
    <w:abstractNumId w:val="23"/>
  </w:num>
  <w:num w:numId="12" w16cid:durableId="2082873128">
    <w:abstractNumId w:val="10"/>
  </w:num>
  <w:num w:numId="13" w16cid:durableId="654728083">
    <w:abstractNumId w:val="19"/>
  </w:num>
  <w:num w:numId="14" w16cid:durableId="612829374">
    <w:abstractNumId w:val="2"/>
  </w:num>
  <w:num w:numId="15" w16cid:durableId="378167679">
    <w:abstractNumId w:val="0"/>
  </w:num>
  <w:num w:numId="16" w16cid:durableId="1769227053">
    <w:abstractNumId w:val="21"/>
  </w:num>
  <w:num w:numId="17" w16cid:durableId="144589203">
    <w:abstractNumId w:val="16"/>
  </w:num>
  <w:num w:numId="18" w16cid:durableId="1299336308">
    <w:abstractNumId w:val="7"/>
  </w:num>
  <w:num w:numId="19" w16cid:durableId="619725842">
    <w:abstractNumId w:val="4"/>
  </w:num>
  <w:num w:numId="20" w16cid:durableId="1923024951">
    <w:abstractNumId w:val="12"/>
  </w:num>
  <w:num w:numId="21" w16cid:durableId="1945113925">
    <w:abstractNumId w:val="5"/>
  </w:num>
  <w:num w:numId="22" w16cid:durableId="318964455">
    <w:abstractNumId w:val="3"/>
  </w:num>
  <w:num w:numId="23" w16cid:durableId="1285310852">
    <w:abstractNumId w:val="6"/>
  </w:num>
  <w:num w:numId="24" w16cid:durableId="16092408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662"/>
    <w:rsid w:val="00001E71"/>
    <w:rsid w:val="00006830"/>
    <w:rsid w:val="00006C57"/>
    <w:rsid w:val="000171E7"/>
    <w:rsid w:val="0001761F"/>
    <w:rsid w:val="00022A56"/>
    <w:rsid w:val="00024DCB"/>
    <w:rsid w:val="00026617"/>
    <w:rsid w:val="00026F11"/>
    <w:rsid w:val="0003136C"/>
    <w:rsid w:val="00033C26"/>
    <w:rsid w:val="00035BB2"/>
    <w:rsid w:val="000402E5"/>
    <w:rsid w:val="000421F3"/>
    <w:rsid w:val="00043726"/>
    <w:rsid w:val="00044BA6"/>
    <w:rsid w:val="00045280"/>
    <w:rsid w:val="00045660"/>
    <w:rsid w:val="00047834"/>
    <w:rsid w:val="00050D89"/>
    <w:rsid w:val="00061D69"/>
    <w:rsid w:val="00062253"/>
    <w:rsid w:val="00064BF7"/>
    <w:rsid w:val="000668CD"/>
    <w:rsid w:val="00067E6F"/>
    <w:rsid w:val="00077EDB"/>
    <w:rsid w:val="00080B55"/>
    <w:rsid w:val="00080EA0"/>
    <w:rsid w:val="00081503"/>
    <w:rsid w:val="00081BBC"/>
    <w:rsid w:val="00082379"/>
    <w:rsid w:val="00083064"/>
    <w:rsid w:val="00086275"/>
    <w:rsid w:val="00086584"/>
    <w:rsid w:val="00087CB9"/>
    <w:rsid w:val="000918F2"/>
    <w:rsid w:val="000927F1"/>
    <w:rsid w:val="0009287C"/>
    <w:rsid w:val="00094809"/>
    <w:rsid w:val="000A027A"/>
    <w:rsid w:val="000A2865"/>
    <w:rsid w:val="000A3B52"/>
    <w:rsid w:val="000A4FCE"/>
    <w:rsid w:val="000A5197"/>
    <w:rsid w:val="000A7DEB"/>
    <w:rsid w:val="000B174D"/>
    <w:rsid w:val="000B2E71"/>
    <w:rsid w:val="000B3E2A"/>
    <w:rsid w:val="000C4C5A"/>
    <w:rsid w:val="000D27C8"/>
    <w:rsid w:val="000D34FC"/>
    <w:rsid w:val="000D6CA6"/>
    <w:rsid w:val="000E2876"/>
    <w:rsid w:val="000E300B"/>
    <w:rsid w:val="000E7604"/>
    <w:rsid w:val="000F057D"/>
    <w:rsid w:val="000F0D7E"/>
    <w:rsid w:val="000F49F8"/>
    <w:rsid w:val="000F6D54"/>
    <w:rsid w:val="00100318"/>
    <w:rsid w:val="00101762"/>
    <w:rsid w:val="00104BEF"/>
    <w:rsid w:val="00106496"/>
    <w:rsid w:val="00106C89"/>
    <w:rsid w:val="00107949"/>
    <w:rsid w:val="00113FD7"/>
    <w:rsid w:val="001152E5"/>
    <w:rsid w:val="001157CB"/>
    <w:rsid w:val="0012012A"/>
    <w:rsid w:val="00130779"/>
    <w:rsid w:val="001334A6"/>
    <w:rsid w:val="00134AE7"/>
    <w:rsid w:val="0013555C"/>
    <w:rsid w:val="001421C5"/>
    <w:rsid w:val="00142DC0"/>
    <w:rsid w:val="001435EB"/>
    <w:rsid w:val="00143917"/>
    <w:rsid w:val="00147A47"/>
    <w:rsid w:val="00153602"/>
    <w:rsid w:val="00153CF8"/>
    <w:rsid w:val="0015493A"/>
    <w:rsid w:val="00160383"/>
    <w:rsid w:val="0016230A"/>
    <w:rsid w:val="00164DE4"/>
    <w:rsid w:val="00170B36"/>
    <w:rsid w:val="0017359B"/>
    <w:rsid w:val="00173753"/>
    <w:rsid w:val="00176961"/>
    <w:rsid w:val="00176CDD"/>
    <w:rsid w:val="0018095E"/>
    <w:rsid w:val="0018191F"/>
    <w:rsid w:val="001907C8"/>
    <w:rsid w:val="0019090E"/>
    <w:rsid w:val="001937B9"/>
    <w:rsid w:val="00194658"/>
    <w:rsid w:val="00194F1D"/>
    <w:rsid w:val="001A0DA9"/>
    <w:rsid w:val="001A3384"/>
    <w:rsid w:val="001A5655"/>
    <w:rsid w:val="001A7BF1"/>
    <w:rsid w:val="001B0C1B"/>
    <w:rsid w:val="001B111B"/>
    <w:rsid w:val="001B123B"/>
    <w:rsid w:val="001B1F81"/>
    <w:rsid w:val="001B41A4"/>
    <w:rsid w:val="001B47C0"/>
    <w:rsid w:val="001C108E"/>
    <w:rsid w:val="001C354F"/>
    <w:rsid w:val="001C703E"/>
    <w:rsid w:val="001C74E8"/>
    <w:rsid w:val="001D02C3"/>
    <w:rsid w:val="001D1C6B"/>
    <w:rsid w:val="001D2703"/>
    <w:rsid w:val="001D2A52"/>
    <w:rsid w:val="001E0202"/>
    <w:rsid w:val="001E1C42"/>
    <w:rsid w:val="001E2D31"/>
    <w:rsid w:val="001E7334"/>
    <w:rsid w:val="001F2379"/>
    <w:rsid w:val="001F3973"/>
    <w:rsid w:val="0020039E"/>
    <w:rsid w:val="0020676E"/>
    <w:rsid w:val="00206CF8"/>
    <w:rsid w:val="00207F1D"/>
    <w:rsid w:val="002112B5"/>
    <w:rsid w:val="002118A4"/>
    <w:rsid w:val="002129FC"/>
    <w:rsid w:val="00214723"/>
    <w:rsid w:val="00216905"/>
    <w:rsid w:val="00216F8D"/>
    <w:rsid w:val="002230BC"/>
    <w:rsid w:val="00223C4E"/>
    <w:rsid w:val="00224E2F"/>
    <w:rsid w:val="002255D8"/>
    <w:rsid w:val="002263B1"/>
    <w:rsid w:val="00233A2A"/>
    <w:rsid w:val="00234F67"/>
    <w:rsid w:val="00236D84"/>
    <w:rsid w:val="002405EF"/>
    <w:rsid w:val="00241F4B"/>
    <w:rsid w:val="00242676"/>
    <w:rsid w:val="00243F9F"/>
    <w:rsid w:val="00246B19"/>
    <w:rsid w:val="00250871"/>
    <w:rsid w:val="0025100C"/>
    <w:rsid w:val="00252B3F"/>
    <w:rsid w:val="00256ADE"/>
    <w:rsid w:val="00262B43"/>
    <w:rsid w:val="0027128B"/>
    <w:rsid w:val="00272241"/>
    <w:rsid w:val="00274140"/>
    <w:rsid w:val="00277659"/>
    <w:rsid w:val="00277FB0"/>
    <w:rsid w:val="00280CA1"/>
    <w:rsid w:val="00280F0C"/>
    <w:rsid w:val="002819FF"/>
    <w:rsid w:val="00285205"/>
    <w:rsid w:val="0028634D"/>
    <w:rsid w:val="00290E2D"/>
    <w:rsid w:val="002968FC"/>
    <w:rsid w:val="002A3382"/>
    <w:rsid w:val="002A42CA"/>
    <w:rsid w:val="002A566F"/>
    <w:rsid w:val="002A56E3"/>
    <w:rsid w:val="002B019B"/>
    <w:rsid w:val="002B0CB6"/>
    <w:rsid w:val="002C6530"/>
    <w:rsid w:val="002C7B9F"/>
    <w:rsid w:val="002D0EA0"/>
    <w:rsid w:val="002D37DE"/>
    <w:rsid w:val="002D69F9"/>
    <w:rsid w:val="002E2715"/>
    <w:rsid w:val="002E4DD1"/>
    <w:rsid w:val="002E7F29"/>
    <w:rsid w:val="002F1682"/>
    <w:rsid w:val="002F1A7C"/>
    <w:rsid w:val="002F2D96"/>
    <w:rsid w:val="002F3B23"/>
    <w:rsid w:val="002F4184"/>
    <w:rsid w:val="002F5B6B"/>
    <w:rsid w:val="002F69E7"/>
    <w:rsid w:val="002F6F51"/>
    <w:rsid w:val="002F7AEA"/>
    <w:rsid w:val="00301C37"/>
    <w:rsid w:val="00302A6C"/>
    <w:rsid w:val="00310BAC"/>
    <w:rsid w:val="003143E3"/>
    <w:rsid w:val="00320131"/>
    <w:rsid w:val="003239AB"/>
    <w:rsid w:val="00330340"/>
    <w:rsid w:val="0033172C"/>
    <w:rsid w:val="00335631"/>
    <w:rsid w:val="00342B01"/>
    <w:rsid w:val="00343928"/>
    <w:rsid w:val="003451B9"/>
    <w:rsid w:val="00345352"/>
    <w:rsid w:val="00345542"/>
    <w:rsid w:val="00345745"/>
    <w:rsid w:val="00345EDB"/>
    <w:rsid w:val="00345FFE"/>
    <w:rsid w:val="00347D4D"/>
    <w:rsid w:val="00351769"/>
    <w:rsid w:val="00351C7F"/>
    <w:rsid w:val="00351FFD"/>
    <w:rsid w:val="00353CF1"/>
    <w:rsid w:val="003558F1"/>
    <w:rsid w:val="0035718F"/>
    <w:rsid w:val="00357DE4"/>
    <w:rsid w:val="003613BE"/>
    <w:rsid w:val="00361B7D"/>
    <w:rsid w:val="003639F6"/>
    <w:rsid w:val="00365C10"/>
    <w:rsid w:val="00371B97"/>
    <w:rsid w:val="0037228C"/>
    <w:rsid w:val="0037286A"/>
    <w:rsid w:val="003762E2"/>
    <w:rsid w:val="00377A7B"/>
    <w:rsid w:val="003804CA"/>
    <w:rsid w:val="003902D7"/>
    <w:rsid w:val="00390FC4"/>
    <w:rsid w:val="00394711"/>
    <w:rsid w:val="003977CD"/>
    <w:rsid w:val="00397F4D"/>
    <w:rsid w:val="003A0609"/>
    <w:rsid w:val="003A215C"/>
    <w:rsid w:val="003A5372"/>
    <w:rsid w:val="003A68DC"/>
    <w:rsid w:val="003A6F63"/>
    <w:rsid w:val="003A7220"/>
    <w:rsid w:val="003B2C8B"/>
    <w:rsid w:val="003B73DF"/>
    <w:rsid w:val="003C51D2"/>
    <w:rsid w:val="003D0B0D"/>
    <w:rsid w:val="003D1B1E"/>
    <w:rsid w:val="003E02A2"/>
    <w:rsid w:val="003E0E90"/>
    <w:rsid w:val="003E2A49"/>
    <w:rsid w:val="003E31C7"/>
    <w:rsid w:val="003E4586"/>
    <w:rsid w:val="003E75A1"/>
    <w:rsid w:val="003F2E6C"/>
    <w:rsid w:val="003F379E"/>
    <w:rsid w:val="003F3DFE"/>
    <w:rsid w:val="003F48AD"/>
    <w:rsid w:val="00400742"/>
    <w:rsid w:val="00402BDE"/>
    <w:rsid w:val="00405913"/>
    <w:rsid w:val="00411679"/>
    <w:rsid w:val="0041358F"/>
    <w:rsid w:val="00416926"/>
    <w:rsid w:val="00417614"/>
    <w:rsid w:val="004223E7"/>
    <w:rsid w:val="00423093"/>
    <w:rsid w:val="00424AFB"/>
    <w:rsid w:val="00425DEB"/>
    <w:rsid w:val="004271AC"/>
    <w:rsid w:val="004277EA"/>
    <w:rsid w:val="00430E7E"/>
    <w:rsid w:val="004328C0"/>
    <w:rsid w:val="004413FE"/>
    <w:rsid w:val="00442EFD"/>
    <w:rsid w:val="0044475B"/>
    <w:rsid w:val="0045258D"/>
    <w:rsid w:val="004541C1"/>
    <w:rsid w:val="00456A14"/>
    <w:rsid w:val="00460178"/>
    <w:rsid w:val="00460D02"/>
    <w:rsid w:val="00460FA8"/>
    <w:rsid w:val="00466620"/>
    <w:rsid w:val="00466886"/>
    <w:rsid w:val="00470DBB"/>
    <w:rsid w:val="00471176"/>
    <w:rsid w:val="00472C40"/>
    <w:rsid w:val="0047312C"/>
    <w:rsid w:val="004733B4"/>
    <w:rsid w:val="00474CED"/>
    <w:rsid w:val="004775FA"/>
    <w:rsid w:val="00483BD0"/>
    <w:rsid w:val="00484770"/>
    <w:rsid w:val="00487E87"/>
    <w:rsid w:val="00490338"/>
    <w:rsid w:val="004965CC"/>
    <w:rsid w:val="004A24B8"/>
    <w:rsid w:val="004A4319"/>
    <w:rsid w:val="004A57FD"/>
    <w:rsid w:val="004A6F89"/>
    <w:rsid w:val="004B535D"/>
    <w:rsid w:val="004C3FD6"/>
    <w:rsid w:val="004C453A"/>
    <w:rsid w:val="004D08AA"/>
    <w:rsid w:val="004D1456"/>
    <w:rsid w:val="004D17EA"/>
    <w:rsid w:val="004D2059"/>
    <w:rsid w:val="004D587F"/>
    <w:rsid w:val="004D6F0F"/>
    <w:rsid w:val="004D7DA5"/>
    <w:rsid w:val="004E1595"/>
    <w:rsid w:val="004E4538"/>
    <w:rsid w:val="004E5367"/>
    <w:rsid w:val="004F2831"/>
    <w:rsid w:val="004F6376"/>
    <w:rsid w:val="00504992"/>
    <w:rsid w:val="005114BE"/>
    <w:rsid w:val="00512801"/>
    <w:rsid w:val="00513468"/>
    <w:rsid w:val="005136B6"/>
    <w:rsid w:val="00514E00"/>
    <w:rsid w:val="00515493"/>
    <w:rsid w:val="00515C49"/>
    <w:rsid w:val="005227C1"/>
    <w:rsid w:val="005229D3"/>
    <w:rsid w:val="00522BC5"/>
    <w:rsid w:val="00524305"/>
    <w:rsid w:val="00525E9A"/>
    <w:rsid w:val="00526343"/>
    <w:rsid w:val="00527371"/>
    <w:rsid w:val="005338B4"/>
    <w:rsid w:val="00533B05"/>
    <w:rsid w:val="00546636"/>
    <w:rsid w:val="00550C72"/>
    <w:rsid w:val="00552061"/>
    <w:rsid w:val="005562F7"/>
    <w:rsid w:val="00556869"/>
    <w:rsid w:val="00561B19"/>
    <w:rsid w:val="00561DF6"/>
    <w:rsid w:val="00562DFA"/>
    <w:rsid w:val="005645A6"/>
    <w:rsid w:val="00570375"/>
    <w:rsid w:val="00571065"/>
    <w:rsid w:val="00571747"/>
    <w:rsid w:val="005723C7"/>
    <w:rsid w:val="00574775"/>
    <w:rsid w:val="005868E9"/>
    <w:rsid w:val="0059773F"/>
    <w:rsid w:val="005A0BE5"/>
    <w:rsid w:val="005A0F73"/>
    <w:rsid w:val="005A1495"/>
    <w:rsid w:val="005A6F60"/>
    <w:rsid w:val="005B2702"/>
    <w:rsid w:val="005C0FE6"/>
    <w:rsid w:val="005C3A40"/>
    <w:rsid w:val="005C5D17"/>
    <w:rsid w:val="005C7E88"/>
    <w:rsid w:val="005D16A1"/>
    <w:rsid w:val="005D1950"/>
    <w:rsid w:val="005D2913"/>
    <w:rsid w:val="005D773F"/>
    <w:rsid w:val="005E058A"/>
    <w:rsid w:val="005E0F72"/>
    <w:rsid w:val="005E3996"/>
    <w:rsid w:val="005E4B8E"/>
    <w:rsid w:val="005E4E1B"/>
    <w:rsid w:val="005E53CF"/>
    <w:rsid w:val="005F4769"/>
    <w:rsid w:val="006038FE"/>
    <w:rsid w:val="00604111"/>
    <w:rsid w:val="00605429"/>
    <w:rsid w:val="00612951"/>
    <w:rsid w:val="00613A37"/>
    <w:rsid w:val="006166ED"/>
    <w:rsid w:val="00617DF1"/>
    <w:rsid w:val="006203D3"/>
    <w:rsid w:val="006226D9"/>
    <w:rsid w:val="00623283"/>
    <w:rsid w:val="00623E1E"/>
    <w:rsid w:val="0062555D"/>
    <w:rsid w:val="00627F75"/>
    <w:rsid w:val="00632168"/>
    <w:rsid w:val="006328F5"/>
    <w:rsid w:val="0063293B"/>
    <w:rsid w:val="00633236"/>
    <w:rsid w:val="006347FD"/>
    <w:rsid w:val="00642375"/>
    <w:rsid w:val="00645FA2"/>
    <w:rsid w:val="00650241"/>
    <w:rsid w:val="00650C36"/>
    <w:rsid w:val="006544CC"/>
    <w:rsid w:val="006559A3"/>
    <w:rsid w:val="00661E35"/>
    <w:rsid w:val="0067056D"/>
    <w:rsid w:val="00670BD2"/>
    <w:rsid w:val="006729B2"/>
    <w:rsid w:val="00680334"/>
    <w:rsid w:val="00684138"/>
    <w:rsid w:val="00684BB7"/>
    <w:rsid w:val="00686941"/>
    <w:rsid w:val="00692C6A"/>
    <w:rsid w:val="0069519B"/>
    <w:rsid w:val="006A3880"/>
    <w:rsid w:val="006A3DA8"/>
    <w:rsid w:val="006A7A06"/>
    <w:rsid w:val="006A7B6E"/>
    <w:rsid w:val="006B0EF2"/>
    <w:rsid w:val="006B5831"/>
    <w:rsid w:val="006B6B2D"/>
    <w:rsid w:val="006B6D06"/>
    <w:rsid w:val="006C1836"/>
    <w:rsid w:val="006C3225"/>
    <w:rsid w:val="006C329B"/>
    <w:rsid w:val="006C5DAE"/>
    <w:rsid w:val="006D10B2"/>
    <w:rsid w:val="006D17E6"/>
    <w:rsid w:val="006D325F"/>
    <w:rsid w:val="006D4311"/>
    <w:rsid w:val="006E1B0F"/>
    <w:rsid w:val="006E4976"/>
    <w:rsid w:val="006E6D60"/>
    <w:rsid w:val="006E6D94"/>
    <w:rsid w:val="006F1FA5"/>
    <w:rsid w:val="006F553B"/>
    <w:rsid w:val="006F6F1F"/>
    <w:rsid w:val="0070031B"/>
    <w:rsid w:val="00704752"/>
    <w:rsid w:val="00706101"/>
    <w:rsid w:val="00714BBF"/>
    <w:rsid w:val="00715F8E"/>
    <w:rsid w:val="00723F15"/>
    <w:rsid w:val="0072412F"/>
    <w:rsid w:val="00724FA3"/>
    <w:rsid w:val="00725CEA"/>
    <w:rsid w:val="007316A6"/>
    <w:rsid w:val="00731B56"/>
    <w:rsid w:val="00735602"/>
    <w:rsid w:val="00736801"/>
    <w:rsid w:val="00740441"/>
    <w:rsid w:val="00742485"/>
    <w:rsid w:val="00743A28"/>
    <w:rsid w:val="00745C59"/>
    <w:rsid w:val="007466A2"/>
    <w:rsid w:val="007513BE"/>
    <w:rsid w:val="00760E07"/>
    <w:rsid w:val="00765615"/>
    <w:rsid w:val="00767651"/>
    <w:rsid w:val="007700AF"/>
    <w:rsid w:val="0077108D"/>
    <w:rsid w:val="0077287B"/>
    <w:rsid w:val="00775736"/>
    <w:rsid w:val="00781481"/>
    <w:rsid w:val="00781724"/>
    <w:rsid w:val="0078236B"/>
    <w:rsid w:val="00784DAA"/>
    <w:rsid w:val="007860BA"/>
    <w:rsid w:val="00787059"/>
    <w:rsid w:val="00797465"/>
    <w:rsid w:val="007A0C3B"/>
    <w:rsid w:val="007A3239"/>
    <w:rsid w:val="007A3B18"/>
    <w:rsid w:val="007A4D05"/>
    <w:rsid w:val="007A549D"/>
    <w:rsid w:val="007B4547"/>
    <w:rsid w:val="007B5ED0"/>
    <w:rsid w:val="007B6F65"/>
    <w:rsid w:val="007C08C4"/>
    <w:rsid w:val="007C230C"/>
    <w:rsid w:val="007C2B0F"/>
    <w:rsid w:val="007D34FD"/>
    <w:rsid w:val="007D455E"/>
    <w:rsid w:val="007D4661"/>
    <w:rsid w:val="007D5827"/>
    <w:rsid w:val="007E0CAA"/>
    <w:rsid w:val="007E4757"/>
    <w:rsid w:val="007E554C"/>
    <w:rsid w:val="007E74A1"/>
    <w:rsid w:val="007F1723"/>
    <w:rsid w:val="007F5204"/>
    <w:rsid w:val="007F630B"/>
    <w:rsid w:val="007F734F"/>
    <w:rsid w:val="008003D7"/>
    <w:rsid w:val="00801D69"/>
    <w:rsid w:val="0080406B"/>
    <w:rsid w:val="00805805"/>
    <w:rsid w:val="00805857"/>
    <w:rsid w:val="00811D65"/>
    <w:rsid w:val="00811DBD"/>
    <w:rsid w:val="00812112"/>
    <w:rsid w:val="00812894"/>
    <w:rsid w:val="00812A09"/>
    <w:rsid w:val="00813617"/>
    <w:rsid w:val="00813A9F"/>
    <w:rsid w:val="00814FE8"/>
    <w:rsid w:val="00817BC8"/>
    <w:rsid w:val="008204DD"/>
    <w:rsid w:val="00822435"/>
    <w:rsid w:val="00822DCB"/>
    <w:rsid w:val="00824FA6"/>
    <w:rsid w:val="008251DD"/>
    <w:rsid w:val="00834539"/>
    <w:rsid w:val="008402DF"/>
    <w:rsid w:val="00845E67"/>
    <w:rsid w:val="00846695"/>
    <w:rsid w:val="0085103F"/>
    <w:rsid w:val="00851D98"/>
    <w:rsid w:val="00863740"/>
    <w:rsid w:val="00865A47"/>
    <w:rsid w:val="008664B8"/>
    <w:rsid w:val="00867129"/>
    <w:rsid w:val="00867306"/>
    <w:rsid w:val="008748AF"/>
    <w:rsid w:val="00876602"/>
    <w:rsid w:val="008769C7"/>
    <w:rsid w:val="008771A5"/>
    <w:rsid w:val="008824F8"/>
    <w:rsid w:val="008835D1"/>
    <w:rsid w:val="00883815"/>
    <w:rsid w:val="008871B3"/>
    <w:rsid w:val="008906A7"/>
    <w:rsid w:val="00890A66"/>
    <w:rsid w:val="00897593"/>
    <w:rsid w:val="008A3429"/>
    <w:rsid w:val="008A7ED0"/>
    <w:rsid w:val="008B0502"/>
    <w:rsid w:val="008B2E00"/>
    <w:rsid w:val="008B3AD9"/>
    <w:rsid w:val="008B43DB"/>
    <w:rsid w:val="008B48BB"/>
    <w:rsid w:val="008B6B07"/>
    <w:rsid w:val="008B74D1"/>
    <w:rsid w:val="008C3C05"/>
    <w:rsid w:val="008C477A"/>
    <w:rsid w:val="008C7C84"/>
    <w:rsid w:val="008D3E10"/>
    <w:rsid w:val="008D4219"/>
    <w:rsid w:val="008D6FDC"/>
    <w:rsid w:val="008E1220"/>
    <w:rsid w:val="008E2827"/>
    <w:rsid w:val="008E3DF7"/>
    <w:rsid w:val="008E51CF"/>
    <w:rsid w:val="008F0593"/>
    <w:rsid w:val="008F0D99"/>
    <w:rsid w:val="008F2E05"/>
    <w:rsid w:val="008F3D36"/>
    <w:rsid w:val="008F4023"/>
    <w:rsid w:val="008F4697"/>
    <w:rsid w:val="008F7609"/>
    <w:rsid w:val="008F763A"/>
    <w:rsid w:val="0090264C"/>
    <w:rsid w:val="00903FE9"/>
    <w:rsid w:val="00904B8B"/>
    <w:rsid w:val="00907AA6"/>
    <w:rsid w:val="009138AB"/>
    <w:rsid w:val="00916EAB"/>
    <w:rsid w:val="0091782C"/>
    <w:rsid w:val="009268CA"/>
    <w:rsid w:val="00930694"/>
    <w:rsid w:val="00930F16"/>
    <w:rsid w:val="00934592"/>
    <w:rsid w:val="00935B35"/>
    <w:rsid w:val="00942DBF"/>
    <w:rsid w:val="009457D4"/>
    <w:rsid w:val="00952B68"/>
    <w:rsid w:val="009551EA"/>
    <w:rsid w:val="00955EBA"/>
    <w:rsid w:val="00955FAC"/>
    <w:rsid w:val="00960BBD"/>
    <w:rsid w:val="00961891"/>
    <w:rsid w:val="00961DEC"/>
    <w:rsid w:val="00963389"/>
    <w:rsid w:val="0096684A"/>
    <w:rsid w:val="009674FF"/>
    <w:rsid w:val="009733E7"/>
    <w:rsid w:val="0097360F"/>
    <w:rsid w:val="0097420A"/>
    <w:rsid w:val="00974EB2"/>
    <w:rsid w:val="00974FF8"/>
    <w:rsid w:val="00984D3B"/>
    <w:rsid w:val="00985687"/>
    <w:rsid w:val="00986F4A"/>
    <w:rsid w:val="009940A0"/>
    <w:rsid w:val="00994579"/>
    <w:rsid w:val="00995F45"/>
    <w:rsid w:val="00996530"/>
    <w:rsid w:val="00997B17"/>
    <w:rsid w:val="009A0DCF"/>
    <w:rsid w:val="009A31C6"/>
    <w:rsid w:val="009A4A7E"/>
    <w:rsid w:val="009B313D"/>
    <w:rsid w:val="009B3A51"/>
    <w:rsid w:val="009B3EFE"/>
    <w:rsid w:val="009B5A87"/>
    <w:rsid w:val="009C028A"/>
    <w:rsid w:val="009C17D1"/>
    <w:rsid w:val="009C2C01"/>
    <w:rsid w:val="009C72DA"/>
    <w:rsid w:val="009C7DEB"/>
    <w:rsid w:val="009D0E13"/>
    <w:rsid w:val="009D11B5"/>
    <w:rsid w:val="009D59AE"/>
    <w:rsid w:val="009D7CC4"/>
    <w:rsid w:val="009E31CF"/>
    <w:rsid w:val="009E43AA"/>
    <w:rsid w:val="009E470C"/>
    <w:rsid w:val="009E5977"/>
    <w:rsid w:val="009F0C18"/>
    <w:rsid w:val="009F3194"/>
    <w:rsid w:val="009F4487"/>
    <w:rsid w:val="009F6115"/>
    <w:rsid w:val="00A03634"/>
    <w:rsid w:val="00A03B88"/>
    <w:rsid w:val="00A136EA"/>
    <w:rsid w:val="00A14105"/>
    <w:rsid w:val="00A14326"/>
    <w:rsid w:val="00A24955"/>
    <w:rsid w:val="00A2694D"/>
    <w:rsid w:val="00A314AC"/>
    <w:rsid w:val="00A32C53"/>
    <w:rsid w:val="00A337B7"/>
    <w:rsid w:val="00A36524"/>
    <w:rsid w:val="00A37457"/>
    <w:rsid w:val="00A40333"/>
    <w:rsid w:val="00A40549"/>
    <w:rsid w:val="00A41675"/>
    <w:rsid w:val="00A41DBA"/>
    <w:rsid w:val="00A42961"/>
    <w:rsid w:val="00A44C97"/>
    <w:rsid w:val="00A507FA"/>
    <w:rsid w:val="00A51228"/>
    <w:rsid w:val="00A548F1"/>
    <w:rsid w:val="00A56ABD"/>
    <w:rsid w:val="00A60697"/>
    <w:rsid w:val="00A6435F"/>
    <w:rsid w:val="00A64BB4"/>
    <w:rsid w:val="00A66662"/>
    <w:rsid w:val="00A71153"/>
    <w:rsid w:val="00A73ACD"/>
    <w:rsid w:val="00A746E3"/>
    <w:rsid w:val="00A75E2B"/>
    <w:rsid w:val="00A77AE4"/>
    <w:rsid w:val="00A819FE"/>
    <w:rsid w:val="00A83076"/>
    <w:rsid w:val="00A84857"/>
    <w:rsid w:val="00A86D36"/>
    <w:rsid w:val="00A870C4"/>
    <w:rsid w:val="00A94467"/>
    <w:rsid w:val="00AA1FDF"/>
    <w:rsid w:val="00AA3D76"/>
    <w:rsid w:val="00AA64A9"/>
    <w:rsid w:val="00AA6716"/>
    <w:rsid w:val="00AA6CE1"/>
    <w:rsid w:val="00AA6F60"/>
    <w:rsid w:val="00AB12A4"/>
    <w:rsid w:val="00AB20E2"/>
    <w:rsid w:val="00AB410A"/>
    <w:rsid w:val="00AB667A"/>
    <w:rsid w:val="00AB68D9"/>
    <w:rsid w:val="00AC000B"/>
    <w:rsid w:val="00AC6735"/>
    <w:rsid w:val="00AD0CC9"/>
    <w:rsid w:val="00AD56D2"/>
    <w:rsid w:val="00AD5841"/>
    <w:rsid w:val="00AD77CB"/>
    <w:rsid w:val="00AE0CF1"/>
    <w:rsid w:val="00AE23C1"/>
    <w:rsid w:val="00AE2A08"/>
    <w:rsid w:val="00AE2DEA"/>
    <w:rsid w:val="00AE33B1"/>
    <w:rsid w:val="00AF1073"/>
    <w:rsid w:val="00AF2302"/>
    <w:rsid w:val="00AF39D0"/>
    <w:rsid w:val="00AF47D0"/>
    <w:rsid w:val="00B0163F"/>
    <w:rsid w:val="00B021AC"/>
    <w:rsid w:val="00B05A3A"/>
    <w:rsid w:val="00B067C7"/>
    <w:rsid w:val="00B067DA"/>
    <w:rsid w:val="00B10AB7"/>
    <w:rsid w:val="00B116E7"/>
    <w:rsid w:val="00B13A31"/>
    <w:rsid w:val="00B17E51"/>
    <w:rsid w:val="00B20B3A"/>
    <w:rsid w:val="00B20D32"/>
    <w:rsid w:val="00B22003"/>
    <w:rsid w:val="00B26536"/>
    <w:rsid w:val="00B30E2C"/>
    <w:rsid w:val="00B36794"/>
    <w:rsid w:val="00B37563"/>
    <w:rsid w:val="00B37E80"/>
    <w:rsid w:val="00B42961"/>
    <w:rsid w:val="00B4452A"/>
    <w:rsid w:val="00B463B0"/>
    <w:rsid w:val="00B517E8"/>
    <w:rsid w:val="00B53D2B"/>
    <w:rsid w:val="00B5583D"/>
    <w:rsid w:val="00B5603B"/>
    <w:rsid w:val="00B560B7"/>
    <w:rsid w:val="00B56A3B"/>
    <w:rsid w:val="00B575EE"/>
    <w:rsid w:val="00B618D6"/>
    <w:rsid w:val="00B62892"/>
    <w:rsid w:val="00B6387B"/>
    <w:rsid w:val="00B6470F"/>
    <w:rsid w:val="00B71661"/>
    <w:rsid w:val="00B73D8F"/>
    <w:rsid w:val="00B742D2"/>
    <w:rsid w:val="00B74E1F"/>
    <w:rsid w:val="00B76419"/>
    <w:rsid w:val="00B83618"/>
    <w:rsid w:val="00B83E75"/>
    <w:rsid w:val="00B8548B"/>
    <w:rsid w:val="00B875C8"/>
    <w:rsid w:val="00B91B1F"/>
    <w:rsid w:val="00BA08B8"/>
    <w:rsid w:val="00BA6074"/>
    <w:rsid w:val="00BA6B68"/>
    <w:rsid w:val="00BB6E43"/>
    <w:rsid w:val="00BC2D73"/>
    <w:rsid w:val="00BC46FA"/>
    <w:rsid w:val="00BC62D8"/>
    <w:rsid w:val="00BD2EF6"/>
    <w:rsid w:val="00BD3C1B"/>
    <w:rsid w:val="00BD4EC8"/>
    <w:rsid w:val="00BD5134"/>
    <w:rsid w:val="00BD5B68"/>
    <w:rsid w:val="00BE108F"/>
    <w:rsid w:val="00BE4E2D"/>
    <w:rsid w:val="00BE6F31"/>
    <w:rsid w:val="00BF268A"/>
    <w:rsid w:val="00BF4DAD"/>
    <w:rsid w:val="00BF5427"/>
    <w:rsid w:val="00BF5CB9"/>
    <w:rsid w:val="00C00236"/>
    <w:rsid w:val="00C01621"/>
    <w:rsid w:val="00C041F2"/>
    <w:rsid w:val="00C07682"/>
    <w:rsid w:val="00C14535"/>
    <w:rsid w:val="00C15578"/>
    <w:rsid w:val="00C15AA1"/>
    <w:rsid w:val="00C17792"/>
    <w:rsid w:val="00C20E17"/>
    <w:rsid w:val="00C221DD"/>
    <w:rsid w:val="00C253C0"/>
    <w:rsid w:val="00C347F6"/>
    <w:rsid w:val="00C350F6"/>
    <w:rsid w:val="00C41B44"/>
    <w:rsid w:val="00C41B8A"/>
    <w:rsid w:val="00C42C36"/>
    <w:rsid w:val="00C43C08"/>
    <w:rsid w:val="00C44477"/>
    <w:rsid w:val="00C47294"/>
    <w:rsid w:val="00C51B56"/>
    <w:rsid w:val="00C6311B"/>
    <w:rsid w:val="00C6756B"/>
    <w:rsid w:val="00C70AC9"/>
    <w:rsid w:val="00C710A1"/>
    <w:rsid w:val="00C72C19"/>
    <w:rsid w:val="00C73BA8"/>
    <w:rsid w:val="00C747B1"/>
    <w:rsid w:val="00C74ABE"/>
    <w:rsid w:val="00C80FD2"/>
    <w:rsid w:val="00C82A5D"/>
    <w:rsid w:val="00CA2296"/>
    <w:rsid w:val="00CA3023"/>
    <w:rsid w:val="00CB0C1F"/>
    <w:rsid w:val="00CB67C4"/>
    <w:rsid w:val="00CC04C7"/>
    <w:rsid w:val="00CC1016"/>
    <w:rsid w:val="00CC1A93"/>
    <w:rsid w:val="00CC3BAC"/>
    <w:rsid w:val="00CC585D"/>
    <w:rsid w:val="00CC6A68"/>
    <w:rsid w:val="00CC7A29"/>
    <w:rsid w:val="00CC7D78"/>
    <w:rsid w:val="00CD13A2"/>
    <w:rsid w:val="00CD220C"/>
    <w:rsid w:val="00CD7C4D"/>
    <w:rsid w:val="00CE1E65"/>
    <w:rsid w:val="00CE2328"/>
    <w:rsid w:val="00CE42FF"/>
    <w:rsid w:val="00CE4A1E"/>
    <w:rsid w:val="00CF1CE4"/>
    <w:rsid w:val="00CF4212"/>
    <w:rsid w:val="00D0016F"/>
    <w:rsid w:val="00D04B8C"/>
    <w:rsid w:val="00D04EE8"/>
    <w:rsid w:val="00D0679E"/>
    <w:rsid w:val="00D10788"/>
    <w:rsid w:val="00D12B74"/>
    <w:rsid w:val="00D15297"/>
    <w:rsid w:val="00D15F8B"/>
    <w:rsid w:val="00D1619C"/>
    <w:rsid w:val="00D33D36"/>
    <w:rsid w:val="00D44299"/>
    <w:rsid w:val="00D44AA5"/>
    <w:rsid w:val="00D46AD9"/>
    <w:rsid w:val="00D47EA2"/>
    <w:rsid w:val="00D51329"/>
    <w:rsid w:val="00D540C1"/>
    <w:rsid w:val="00D5622E"/>
    <w:rsid w:val="00D643AF"/>
    <w:rsid w:val="00D669FD"/>
    <w:rsid w:val="00D70AB3"/>
    <w:rsid w:val="00D7422C"/>
    <w:rsid w:val="00D77054"/>
    <w:rsid w:val="00D7785B"/>
    <w:rsid w:val="00D77F89"/>
    <w:rsid w:val="00D861BB"/>
    <w:rsid w:val="00D86F1C"/>
    <w:rsid w:val="00D87377"/>
    <w:rsid w:val="00D9501B"/>
    <w:rsid w:val="00D95507"/>
    <w:rsid w:val="00DA2A2B"/>
    <w:rsid w:val="00DA3573"/>
    <w:rsid w:val="00DA4140"/>
    <w:rsid w:val="00DA50F8"/>
    <w:rsid w:val="00DA735B"/>
    <w:rsid w:val="00DA74E0"/>
    <w:rsid w:val="00DB032A"/>
    <w:rsid w:val="00DB2F68"/>
    <w:rsid w:val="00DB50E2"/>
    <w:rsid w:val="00DB6504"/>
    <w:rsid w:val="00DC0B06"/>
    <w:rsid w:val="00DC2F9D"/>
    <w:rsid w:val="00DC3EA3"/>
    <w:rsid w:val="00DC62B9"/>
    <w:rsid w:val="00DD4432"/>
    <w:rsid w:val="00DE349C"/>
    <w:rsid w:val="00DE55D9"/>
    <w:rsid w:val="00DE62F4"/>
    <w:rsid w:val="00DE6C3F"/>
    <w:rsid w:val="00DE791B"/>
    <w:rsid w:val="00DF3B61"/>
    <w:rsid w:val="00DF3E1E"/>
    <w:rsid w:val="00DF7E64"/>
    <w:rsid w:val="00E06D8E"/>
    <w:rsid w:val="00E12E20"/>
    <w:rsid w:val="00E13C08"/>
    <w:rsid w:val="00E1497D"/>
    <w:rsid w:val="00E15CD4"/>
    <w:rsid w:val="00E15D16"/>
    <w:rsid w:val="00E1706F"/>
    <w:rsid w:val="00E253D8"/>
    <w:rsid w:val="00E304CA"/>
    <w:rsid w:val="00E35DD0"/>
    <w:rsid w:val="00E3648D"/>
    <w:rsid w:val="00E36EAC"/>
    <w:rsid w:val="00E42F30"/>
    <w:rsid w:val="00E4448D"/>
    <w:rsid w:val="00E448FC"/>
    <w:rsid w:val="00E456A0"/>
    <w:rsid w:val="00E45807"/>
    <w:rsid w:val="00E45D27"/>
    <w:rsid w:val="00E4600A"/>
    <w:rsid w:val="00E5090C"/>
    <w:rsid w:val="00E540FF"/>
    <w:rsid w:val="00E54130"/>
    <w:rsid w:val="00E54F82"/>
    <w:rsid w:val="00E57127"/>
    <w:rsid w:val="00E62C53"/>
    <w:rsid w:val="00E63902"/>
    <w:rsid w:val="00E65A7E"/>
    <w:rsid w:val="00E67829"/>
    <w:rsid w:val="00E71E15"/>
    <w:rsid w:val="00E80577"/>
    <w:rsid w:val="00E81F11"/>
    <w:rsid w:val="00E935C2"/>
    <w:rsid w:val="00E93A9B"/>
    <w:rsid w:val="00E97846"/>
    <w:rsid w:val="00EA1C76"/>
    <w:rsid w:val="00EA57C7"/>
    <w:rsid w:val="00EA5AB3"/>
    <w:rsid w:val="00EA5D19"/>
    <w:rsid w:val="00EB23B0"/>
    <w:rsid w:val="00EB35AC"/>
    <w:rsid w:val="00EB4599"/>
    <w:rsid w:val="00EB6885"/>
    <w:rsid w:val="00EC1200"/>
    <w:rsid w:val="00EC15E2"/>
    <w:rsid w:val="00EC29D5"/>
    <w:rsid w:val="00EC4AC9"/>
    <w:rsid w:val="00EC74A7"/>
    <w:rsid w:val="00ED0301"/>
    <w:rsid w:val="00ED2133"/>
    <w:rsid w:val="00ED3D0A"/>
    <w:rsid w:val="00ED4331"/>
    <w:rsid w:val="00ED61B3"/>
    <w:rsid w:val="00ED6F15"/>
    <w:rsid w:val="00ED7A65"/>
    <w:rsid w:val="00EE1D41"/>
    <w:rsid w:val="00EE25C4"/>
    <w:rsid w:val="00EE5A43"/>
    <w:rsid w:val="00EE63A9"/>
    <w:rsid w:val="00EE6D03"/>
    <w:rsid w:val="00EF4138"/>
    <w:rsid w:val="00EF4EC3"/>
    <w:rsid w:val="00EF7D4C"/>
    <w:rsid w:val="00F01435"/>
    <w:rsid w:val="00F02F3F"/>
    <w:rsid w:val="00F04D80"/>
    <w:rsid w:val="00F0543D"/>
    <w:rsid w:val="00F10C0B"/>
    <w:rsid w:val="00F15F51"/>
    <w:rsid w:val="00F15FB1"/>
    <w:rsid w:val="00F2001F"/>
    <w:rsid w:val="00F24013"/>
    <w:rsid w:val="00F241F0"/>
    <w:rsid w:val="00F349D6"/>
    <w:rsid w:val="00F35B9C"/>
    <w:rsid w:val="00F43389"/>
    <w:rsid w:val="00F46158"/>
    <w:rsid w:val="00F60D71"/>
    <w:rsid w:val="00F61963"/>
    <w:rsid w:val="00F723B9"/>
    <w:rsid w:val="00F7258F"/>
    <w:rsid w:val="00F80455"/>
    <w:rsid w:val="00F814ED"/>
    <w:rsid w:val="00F84EF2"/>
    <w:rsid w:val="00F8684A"/>
    <w:rsid w:val="00F87147"/>
    <w:rsid w:val="00F92A2B"/>
    <w:rsid w:val="00FA072F"/>
    <w:rsid w:val="00FA2AD3"/>
    <w:rsid w:val="00FA4EA9"/>
    <w:rsid w:val="00FB122A"/>
    <w:rsid w:val="00FB664E"/>
    <w:rsid w:val="00FC2144"/>
    <w:rsid w:val="00FC2AD9"/>
    <w:rsid w:val="00FC2D28"/>
    <w:rsid w:val="00FC4399"/>
    <w:rsid w:val="00FC503D"/>
    <w:rsid w:val="00FC5192"/>
    <w:rsid w:val="00FC553D"/>
    <w:rsid w:val="00FC5F23"/>
    <w:rsid w:val="00FC6492"/>
    <w:rsid w:val="00FC6B77"/>
    <w:rsid w:val="00FD01EE"/>
    <w:rsid w:val="00FD79B1"/>
    <w:rsid w:val="00FE16C7"/>
    <w:rsid w:val="00FE3F23"/>
    <w:rsid w:val="00FE5526"/>
    <w:rsid w:val="00FE5C25"/>
    <w:rsid w:val="00FE74E7"/>
    <w:rsid w:val="00FE75F8"/>
    <w:rsid w:val="00FF2ABB"/>
    <w:rsid w:val="00FF4BCA"/>
    <w:rsid w:val="00FF6718"/>
    <w:rsid w:val="00FF709A"/>
    <w:rsid w:val="00FF78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116C2"/>
  <w15:chartTrackingRefBased/>
  <w15:docId w15:val="{8FD32F38-876C-4CAB-9A8D-6CF1E7514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577"/>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0577"/>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80577"/>
    <w:pPr>
      <w:keepNext/>
      <w:keepLines/>
      <w:spacing w:before="40" w:after="0"/>
      <w:outlineLvl w:val="2"/>
    </w:pPr>
    <w:rPr>
      <w:rFonts w:ascii="Arial" w:eastAsiaTheme="majorEastAsia" w:hAnsi="Arial"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577"/>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rsid w:val="00633236"/>
    <w:pPr>
      <w:ind w:left="720"/>
      <w:contextualSpacing/>
    </w:pPr>
  </w:style>
  <w:style w:type="character" w:customStyle="1" w:styleId="Heading2Char">
    <w:name w:val="Heading 2 Char"/>
    <w:basedOn w:val="DefaultParagraphFont"/>
    <w:link w:val="Heading2"/>
    <w:uiPriority w:val="9"/>
    <w:rsid w:val="00E80577"/>
    <w:rPr>
      <w:rFonts w:ascii="Arial" w:eastAsiaTheme="majorEastAsia" w:hAnsi="Arial" w:cstheme="majorBidi"/>
      <w:color w:val="2F5496" w:themeColor="accent1" w:themeShade="BF"/>
      <w:sz w:val="26"/>
      <w:szCs w:val="26"/>
    </w:rPr>
  </w:style>
  <w:style w:type="character" w:styleId="Hyperlink">
    <w:name w:val="Hyperlink"/>
    <w:basedOn w:val="DefaultParagraphFont"/>
    <w:uiPriority w:val="99"/>
    <w:unhideWhenUsed/>
    <w:rsid w:val="004D17EA"/>
    <w:rPr>
      <w:color w:val="0563C1" w:themeColor="hyperlink"/>
      <w:u w:val="single"/>
    </w:rPr>
  </w:style>
  <w:style w:type="character" w:styleId="UnresolvedMention">
    <w:name w:val="Unresolved Mention"/>
    <w:basedOn w:val="DefaultParagraphFont"/>
    <w:uiPriority w:val="99"/>
    <w:semiHidden/>
    <w:unhideWhenUsed/>
    <w:rsid w:val="004D17EA"/>
    <w:rPr>
      <w:color w:val="605E5C"/>
      <w:shd w:val="clear" w:color="auto" w:fill="E1DFDD"/>
    </w:rPr>
  </w:style>
  <w:style w:type="character" w:styleId="Strong">
    <w:name w:val="Strong"/>
    <w:basedOn w:val="DefaultParagraphFont"/>
    <w:uiPriority w:val="22"/>
    <w:qFormat/>
    <w:rsid w:val="00AD56D2"/>
    <w:rPr>
      <w:b/>
      <w:bCs/>
    </w:rPr>
  </w:style>
  <w:style w:type="character" w:styleId="Emphasis">
    <w:name w:val="Emphasis"/>
    <w:basedOn w:val="DefaultParagraphFont"/>
    <w:uiPriority w:val="20"/>
    <w:qFormat/>
    <w:rsid w:val="00AC6735"/>
    <w:rPr>
      <w:i/>
      <w:iCs/>
    </w:rPr>
  </w:style>
  <w:style w:type="paragraph" w:styleId="Header">
    <w:name w:val="header"/>
    <w:basedOn w:val="Normal"/>
    <w:link w:val="HeaderChar"/>
    <w:uiPriority w:val="99"/>
    <w:unhideWhenUsed/>
    <w:rsid w:val="00277F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FB0"/>
  </w:style>
  <w:style w:type="paragraph" w:styleId="Footer">
    <w:name w:val="footer"/>
    <w:basedOn w:val="Normal"/>
    <w:link w:val="FooterChar"/>
    <w:uiPriority w:val="99"/>
    <w:unhideWhenUsed/>
    <w:rsid w:val="00277F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FB0"/>
  </w:style>
  <w:style w:type="paragraph" w:styleId="Caption">
    <w:name w:val="caption"/>
    <w:basedOn w:val="Normal"/>
    <w:next w:val="Normal"/>
    <w:uiPriority w:val="35"/>
    <w:unhideWhenUsed/>
    <w:qFormat/>
    <w:rsid w:val="003A6F63"/>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104BEF"/>
    <w:rPr>
      <w:color w:val="954F72" w:themeColor="followedHyperlink"/>
      <w:u w:val="single"/>
    </w:rPr>
  </w:style>
  <w:style w:type="table" w:styleId="TableGrid">
    <w:name w:val="Table Grid"/>
    <w:basedOn w:val="TableNormal"/>
    <w:uiPriority w:val="39"/>
    <w:rsid w:val="00800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D1619C"/>
  </w:style>
  <w:style w:type="character" w:customStyle="1" w:styleId="normaltextrun">
    <w:name w:val="normaltextrun"/>
    <w:basedOn w:val="DefaultParagraphFont"/>
    <w:rsid w:val="00571065"/>
  </w:style>
  <w:style w:type="character" w:customStyle="1" w:styleId="eop">
    <w:name w:val="eop"/>
    <w:basedOn w:val="DefaultParagraphFont"/>
    <w:rsid w:val="00571065"/>
  </w:style>
  <w:style w:type="character" w:styleId="CommentReference">
    <w:name w:val="annotation reference"/>
    <w:basedOn w:val="DefaultParagraphFont"/>
    <w:uiPriority w:val="99"/>
    <w:semiHidden/>
    <w:unhideWhenUsed/>
    <w:rsid w:val="00571065"/>
    <w:rPr>
      <w:sz w:val="16"/>
      <w:szCs w:val="16"/>
    </w:rPr>
  </w:style>
  <w:style w:type="paragraph" w:styleId="CommentText">
    <w:name w:val="annotation text"/>
    <w:basedOn w:val="Normal"/>
    <w:link w:val="CommentTextChar"/>
    <w:uiPriority w:val="99"/>
    <w:unhideWhenUsed/>
    <w:rsid w:val="00571065"/>
    <w:pPr>
      <w:spacing w:line="240" w:lineRule="auto"/>
    </w:pPr>
    <w:rPr>
      <w:sz w:val="20"/>
      <w:szCs w:val="20"/>
    </w:rPr>
  </w:style>
  <w:style w:type="character" w:customStyle="1" w:styleId="CommentTextChar">
    <w:name w:val="Comment Text Char"/>
    <w:basedOn w:val="DefaultParagraphFont"/>
    <w:link w:val="CommentText"/>
    <w:uiPriority w:val="99"/>
    <w:rsid w:val="00571065"/>
    <w:rPr>
      <w:sz w:val="20"/>
      <w:szCs w:val="20"/>
    </w:rPr>
  </w:style>
  <w:style w:type="character" w:customStyle="1" w:styleId="Heading3Char">
    <w:name w:val="Heading 3 Char"/>
    <w:basedOn w:val="DefaultParagraphFont"/>
    <w:link w:val="Heading3"/>
    <w:uiPriority w:val="9"/>
    <w:rsid w:val="00E80577"/>
    <w:rPr>
      <w:rFonts w:ascii="Arial" w:eastAsiaTheme="majorEastAsia" w:hAnsi="Arial"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439139">
      <w:bodyDiv w:val="1"/>
      <w:marLeft w:val="0"/>
      <w:marRight w:val="0"/>
      <w:marTop w:val="0"/>
      <w:marBottom w:val="0"/>
      <w:divBdr>
        <w:top w:val="none" w:sz="0" w:space="0" w:color="auto"/>
        <w:left w:val="none" w:sz="0" w:space="0" w:color="auto"/>
        <w:bottom w:val="none" w:sz="0" w:space="0" w:color="auto"/>
        <w:right w:val="none" w:sz="0" w:space="0" w:color="auto"/>
      </w:divBdr>
      <w:divsChild>
        <w:div w:id="257181919">
          <w:marLeft w:val="0"/>
          <w:marRight w:val="0"/>
          <w:marTop w:val="0"/>
          <w:marBottom w:val="0"/>
          <w:divBdr>
            <w:top w:val="none" w:sz="0" w:space="0" w:color="auto"/>
            <w:left w:val="none" w:sz="0" w:space="0" w:color="auto"/>
            <w:bottom w:val="none" w:sz="0" w:space="0" w:color="auto"/>
            <w:right w:val="none" w:sz="0" w:space="0" w:color="auto"/>
          </w:divBdr>
          <w:divsChild>
            <w:div w:id="65669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059671">
      <w:bodyDiv w:val="1"/>
      <w:marLeft w:val="0"/>
      <w:marRight w:val="0"/>
      <w:marTop w:val="0"/>
      <w:marBottom w:val="0"/>
      <w:divBdr>
        <w:top w:val="none" w:sz="0" w:space="0" w:color="auto"/>
        <w:left w:val="none" w:sz="0" w:space="0" w:color="auto"/>
        <w:bottom w:val="none" w:sz="0" w:space="0" w:color="auto"/>
        <w:right w:val="none" w:sz="0" w:space="0" w:color="auto"/>
      </w:divBdr>
    </w:div>
    <w:div w:id="1052459682">
      <w:bodyDiv w:val="1"/>
      <w:marLeft w:val="0"/>
      <w:marRight w:val="0"/>
      <w:marTop w:val="0"/>
      <w:marBottom w:val="0"/>
      <w:divBdr>
        <w:top w:val="none" w:sz="0" w:space="0" w:color="auto"/>
        <w:left w:val="none" w:sz="0" w:space="0" w:color="auto"/>
        <w:bottom w:val="none" w:sz="0" w:space="0" w:color="auto"/>
        <w:right w:val="none" w:sz="0" w:space="0" w:color="auto"/>
      </w:divBdr>
      <w:divsChild>
        <w:div w:id="295726222">
          <w:marLeft w:val="0"/>
          <w:marRight w:val="0"/>
          <w:marTop w:val="0"/>
          <w:marBottom w:val="0"/>
          <w:divBdr>
            <w:top w:val="none" w:sz="0" w:space="0" w:color="auto"/>
            <w:left w:val="none" w:sz="0" w:space="0" w:color="auto"/>
            <w:bottom w:val="none" w:sz="0" w:space="0" w:color="auto"/>
            <w:right w:val="none" w:sz="0" w:space="0" w:color="auto"/>
          </w:divBdr>
          <w:divsChild>
            <w:div w:id="421267694">
              <w:marLeft w:val="0"/>
              <w:marRight w:val="0"/>
              <w:marTop w:val="0"/>
              <w:marBottom w:val="0"/>
              <w:divBdr>
                <w:top w:val="none" w:sz="0" w:space="0" w:color="auto"/>
                <w:left w:val="none" w:sz="0" w:space="0" w:color="auto"/>
                <w:bottom w:val="none" w:sz="0" w:space="0" w:color="auto"/>
                <w:right w:val="none" w:sz="0" w:space="0" w:color="auto"/>
              </w:divBdr>
              <w:divsChild>
                <w:div w:id="226306038">
                  <w:marLeft w:val="0"/>
                  <w:marRight w:val="0"/>
                  <w:marTop w:val="0"/>
                  <w:marBottom w:val="0"/>
                  <w:divBdr>
                    <w:top w:val="none" w:sz="0" w:space="0" w:color="auto"/>
                    <w:left w:val="none" w:sz="0" w:space="0" w:color="auto"/>
                    <w:bottom w:val="none" w:sz="0" w:space="0" w:color="auto"/>
                    <w:right w:val="none" w:sz="0" w:space="0" w:color="auto"/>
                  </w:divBdr>
                  <w:divsChild>
                    <w:div w:id="7165858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650552531">
      <w:bodyDiv w:val="1"/>
      <w:marLeft w:val="0"/>
      <w:marRight w:val="0"/>
      <w:marTop w:val="0"/>
      <w:marBottom w:val="0"/>
      <w:divBdr>
        <w:top w:val="none" w:sz="0" w:space="0" w:color="auto"/>
        <w:left w:val="none" w:sz="0" w:space="0" w:color="auto"/>
        <w:bottom w:val="none" w:sz="0" w:space="0" w:color="auto"/>
        <w:right w:val="none" w:sz="0" w:space="0" w:color="auto"/>
      </w:divBdr>
      <w:divsChild>
        <w:div w:id="1927423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microsoft.com/office/2007/relationships/diagramDrawing" Target="diagrams/drawing4.xml"/><Relationship Id="rId39" Type="http://schemas.openxmlformats.org/officeDocument/2006/relationships/theme" Target="theme/theme1.xml"/><Relationship Id="rId21" Type="http://schemas.microsoft.com/office/2007/relationships/diagramDrawing" Target="diagrams/drawing3.xml"/><Relationship Id="rId34" Type="http://schemas.openxmlformats.org/officeDocument/2006/relationships/hyperlink" Target="https://doi.org/10.1007/s00766-021-00363-3" TargetMode="Externa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33" Type="http://schemas.openxmlformats.org/officeDocument/2006/relationships/hyperlink" Target="https://edtechbooks.org/studentguide" TargetMode="External"/><Relationship Id="rId38" Type="http://schemas.openxmlformats.org/officeDocument/2006/relationships/fontTable" Target="fontTable.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hyperlink" Target="https://doi.org/10.1201/9781315202075"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QuickStyle" Target="diagrams/quickStyle4.xml"/><Relationship Id="rId32" Type="http://schemas.openxmlformats.org/officeDocument/2006/relationships/hyperlink" Target="https://www.jisc.ac.uk/full-guide/project-management"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hyperlink" Target="https://doi.org/10.26776/ijemm.05.03.2020.02" TargetMode="External"/><Relationship Id="rId36" Type="http://schemas.openxmlformats.org/officeDocument/2006/relationships/hyperlink" Target="https://edtechbooks.org/pm4id" TargetMode="External"/><Relationship Id="rId10" Type="http://schemas.openxmlformats.org/officeDocument/2006/relationships/diagramColors" Target="diagrams/colors1.xml"/><Relationship Id="rId19" Type="http://schemas.openxmlformats.org/officeDocument/2006/relationships/diagramQuickStyle" Target="diagrams/quickStyle3.xml"/><Relationship Id="rId31" Type="http://schemas.openxmlformats.org/officeDocument/2006/relationships/hyperlink" Target="https://edtechbooks.org/demystifyingID"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Data" Target="diagrams/data4.xml"/><Relationship Id="rId27" Type="http://schemas.openxmlformats.org/officeDocument/2006/relationships/hyperlink" Target="https://doi.org/10.7441/joc.2018.04.03" TargetMode="External"/><Relationship Id="rId30" Type="http://schemas.openxmlformats.org/officeDocument/2006/relationships/hyperlink" Target="https://doi.org/10.1080/08874417.2009.11646044" TargetMode="External"/><Relationship Id="rId35" Type="http://schemas.openxmlformats.org/officeDocument/2006/relationships/hyperlink" Target="https://doi.org/10.1515/stcb-2017-0021" TargetMode="External"/><Relationship Id="rId8" Type="http://schemas.openxmlformats.org/officeDocument/2006/relationships/diagramLayout" Target="diagrams/layout1.xm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63E649-3A1A-468E-A1DA-CD142CE66A5B}" type="doc">
      <dgm:prSet loTypeId="urn:microsoft.com/office/officeart/2005/8/layout/hierarchy1" loCatId="hierarchy" qsTypeId="urn:microsoft.com/office/officeart/2005/8/quickstyle/simple1" qsCatId="simple" csTypeId="urn:microsoft.com/office/officeart/2005/8/colors/colorful5" csCatId="colorful" phldr="1"/>
      <dgm:spPr/>
      <dgm:t>
        <a:bodyPr/>
        <a:lstStyle/>
        <a:p>
          <a:endParaRPr lang="en-GB"/>
        </a:p>
      </dgm:t>
    </dgm:pt>
    <dgm:pt modelId="{C462B470-11C3-4CC2-9F89-35E195EE04CC}">
      <dgm:prSet phldrT="[Text]" custT="1"/>
      <dgm:spPr/>
      <dgm:t>
        <a:bodyPr/>
        <a:lstStyle/>
        <a:p>
          <a:r>
            <a:rPr lang="en-GB" sz="1100" b="1"/>
            <a:t>DCL Unit</a:t>
          </a:r>
        </a:p>
      </dgm:t>
    </dgm:pt>
    <dgm:pt modelId="{C4267379-5065-41C5-9267-3C4F48465CD7}" type="parTrans" cxnId="{E2991D58-A66C-4D4A-9723-8FBDA4321C1B}">
      <dgm:prSet/>
      <dgm:spPr/>
      <dgm:t>
        <a:bodyPr/>
        <a:lstStyle/>
        <a:p>
          <a:endParaRPr lang="en-GB"/>
        </a:p>
      </dgm:t>
    </dgm:pt>
    <dgm:pt modelId="{2D3358CE-F097-4338-8E48-8E77307CEA08}" type="sibTrans" cxnId="{E2991D58-A66C-4D4A-9723-8FBDA4321C1B}">
      <dgm:prSet/>
      <dgm:spPr/>
      <dgm:t>
        <a:bodyPr/>
        <a:lstStyle/>
        <a:p>
          <a:endParaRPr lang="en-GB"/>
        </a:p>
      </dgm:t>
    </dgm:pt>
    <dgm:pt modelId="{69E7864C-3D70-49BF-8C26-799C0929EB6B}">
      <dgm:prSet phldrT="[Text]" custT="1"/>
      <dgm:spPr/>
      <dgm:t>
        <a:bodyPr/>
        <a:lstStyle/>
        <a:p>
          <a:r>
            <a:rPr lang="en-GB" sz="1100"/>
            <a:t>Digital Learning</a:t>
          </a:r>
        </a:p>
      </dgm:t>
    </dgm:pt>
    <dgm:pt modelId="{9F81D4E2-159A-4677-AC0B-0D4D10CF97B6}" type="parTrans" cxnId="{C267A648-318A-4AB5-A02C-3C8A461976CA}">
      <dgm:prSet/>
      <dgm:spPr/>
      <dgm:t>
        <a:bodyPr/>
        <a:lstStyle/>
        <a:p>
          <a:endParaRPr lang="en-GB"/>
        </a:p>
      </dgm:t>
    </dgm:pt>
    <dgm:pt modelId="{026D9C9C-F61B-4A14-9D16-7D58E41FD172}" type="sibTrans" cxnId="{C267A648-318A-4AB5-A02C-3C8A461976CA}">
      <dgm:prSet/>
      <dgm:spPr/>
      <dgm:t>
        <a:bodyPr/>
        <a:lstStyle/>
        <a:p>
          <a:endParaRPr lang="en-GB"/>
        </a:p>
      </dgm:t>
    </dgm:pt>
    <dgm:pt modelId="{F52ABB43-5627-4F49-8E90-4A785E0A95C6}">
      <dgm:prSet phldrT="[Text]" custT="1"/>
      <dgm:spPr/>
      <dgm:t>
        <a:bodyPr/>
        <a:lstStyle/>
        <a:p>
          <a:r>
            <a:rPr lang="en-GB" sz="1100"/>
            <a:t>Graphics, Multimedia and Print</a:t>
          </a:r>
        </a:p>
      </dgm:t>
    </dgm:pt>
    <dgm:pt modelId="{483D9E0B-37BF-43B1-90FC-6090120D98E5}" type="parTrans" cxnId="{9F705148-A43F-41D1-84A5-83AE6269CF35}">
      <dgm:prSet/>
      <dgm:spPr/>
      <dgm:t>
        <a:bodyPr/>
        <a:lstStyle/>
        <a:p>
          <a:endParaRPr lang="en-GB"/>
        </a:p>
      </dgm:t>
    </dgm:pt>
    <dgm:pt modelId="{A8B70033-3FE7-4543-A99F-B03B97F72A09}" type="sibTrans" cxnId="{9F705148-A43F-41D1-84A5-83AE6269CF35}">
      <dgm:prSet/>
      <dgm:spPr/>
      <dgm:t>
        <a:bodyPr/>
        <a:lstStyle/>
        <a:p>
          <a:endParaRPr lang="en-GB"/>
        </a:p>
      </dgm:t>
    </dgm:pt>
    <dgm:pt modelId="{0035592A-2136-4474-AEB6-1728BFD388B6}">
      <dgm:prSet phldrT="[Text]" custT="1"/>
      <dgm:spPr/>
      <dgm:t>
        <a:bodyPr/>
        <a:lstStyle/>
        <a:p>
          <a:r>
            <a:rPr lang="en-GB" sz="1100"/>
            <a:t>Web</a:t>
          </a:r>
        </a:p>
      </dgm:t>
    </dgm:pt>
    <dgm:pt modelId="{61412A06-48E8-4BD3-916C-05AB9FEB68A5}" type="parTrans" cxnId="{409AC8F0-E671-472D-95A0-064756EAB3B4}">
      <dgm:prSet/>
      <dgm:spPr/>
      <dgm:t>
        <a:bodyPr/>
        <a:lstStyle/>
        <a:p>
          <a:endParaRPr lang="en-GB"/>
        </a:p>
      </dgm:t>
    </dgm:pt>
    <dgm:pt modelId="{3524FB12-D819-4791-9A3B-A99BDA05F4CD}" type="sibTrans" cxnId="{409AC8F0-E671-472D-95A0-064756EAB3B4}">
      <dgm:prSet/>
      <dgm:spPr/>
      <dgm:t>
        <a:bodyPr/>
        <a:lstStyle/>
        <a:p>
          <a:endParaRPr lang="en-GB"/>
        </a:p>
      </dgm:t>
    </dgm:pt>
    <dgm:pt modelId="{B3FD5364-77FB-4DC6-B5A5-C37857598246}" type="pres">
      <dgm:prSet presAssocID="{5D63E649-3A1A-468E-A1DA-CD142CE66A5B}" presName="hierChild1" presStyleCnt="0">
        <dgm:presLayoutVars>
          <dgm:chPref val="1"/>
          <dgm:dir/>
          <dgm:animOne val="branch"/>
          <dgm:animLvl val="lvl"/>
          <dgm:resizeHandles/>
        </dgm:presLayoutVars>
      </dgm:prSet>
      <dgm:spPr/>
    </dgm:pt>
    <dgm:pt modelId="{80F36BBE-B6BB-403C-8EA2-EFDAF99562F9}" type="pres">
      <dgm:prSet presAssocID="{C462B470-11C3-4CC2-9F89-35E195EE04CC}" presName="hierRoot1" presStyleCnt="0"/>
      <dgm:spPr/>
    </dgm:pt>
    <dgm:pt modelId="{6C5A9D00-8905-43AD-882C-488BBD4405BF}" type="pres">
      <dgm:prSet presAssocID="{C462B470-11C3-4CC2-9F89-35E195EE04CC}" presName="composite" presStyleCnt="0"/>
      <dgm:spPr/>
    </dgm:pt>
    <dgm:pt modelId="{6ED8DC1E-813D-4151-9CBF-148C3C210C53}" type="pres">
      <dgm:prSet presAssocID="{C462B470-11C3-4CC2-9F89-35E195EE04CC}" presName="background" presStyleLbl="node0" presStyleIdx="0" presStyleCnt="1"/>
      <dgm:spPr/>
    </dgm:pt>
    <dgm:pt modelId="{5DC99381-A1A5-4492-9D8A-5A2592BBFA01}" type="pres">
      <dgm:prSet presAssocID="{C462B470-11C3-4CC2-9F89-35E195EE04CC}" presName="text" presStyleLbl="fgAcc0" presStyleIdx="0" presStyleCnt="1">
        <dgm:presLayoutVars>
          <dgm:chPref val="3"/>
        </dgm:presLayoutVars>
      </dgm:prSet>
      <dgm:spPr/>
    </dgm:pt>
    <dgm:pt modelId="{D4ABFF72-21C1-4C8B-9DA3-BD2B55553713}" type="pres">
      <dgm:prSet presAssocID="{C462B470-11C3-4CC2-9F89-35E195EE04CC}" presName="hierChild2" presStyleCnt="0"/>
      <dgm:spPr/>
    </dgm:pt>
    <dgm:pt modelId="{F9826E1C-F7A5-4707-8448-F67A92A08DE2}" type="pres">
      <dgm:prSet presAssocID="{9F81D4E2-159A-4677-AC0B-0D4D10CF97B6}" presName="Name10" presStyleLbl="parChTrans1D2" presStyleIdx="0" presStyleCnt="3"/>
      <dgm:spPr/>
    </dgm:pt>
    <dgm:pt modelId="{197BAE03-4E0B-4177-9899-3EBF03E8E3A4}" type="pres">
      <dgm:prSet presAssocID="{69E7864C-3D70-49BF-8C26-799C0929EB6B}" presName="hierRoot2" presStyleCnt="0"/>
      <dgm:spPr/>
    </dgm:pt>
    <dgm:pt modelId="{EA3D26A0-EB79-4278-90E8-739929EF5821}" type="pres">
      <dgm:prSet presAssocID="{69E7864C-3D70-49BF-8C26-799C0929EB6B}" presName="composite2" presStyleCnt="0"/>
      <dgm:spPr/>
    </dgm:pt>
    <dgm:pt modelId="{940F5CCE-7D72-4CB2-81D5-D581E35617C4}" type="pres">
      <dgm:prSet presAssocID="{69E7864C-3D70-49BF-8C26-799C0929EB6B}" presName="background2" presStyleLbl="node2" presStyleIdx="0" presStyleCnt="3"/>
      <dgm:spPr/>
    </dgm:pt>
    <dgm:pt modelId="{58062C57-D9BA-4E12-982E-B1EF6FA6BA44}" type="pres">
      <dgm:prSet presAssocID="{69E7864C-3D70-49BF-8C26-799C0929EB6B}" presName="text2" presStyleLbl="fgAcc2" presStyleIdx="0" presStyleCnt="3">
        <dgm:presLayoutVars>
          <dgm:chPref val="3"/>
        </dgm:presLayoutVars>
      </dgm:prSet>
      <dgm:spPr/>
    </dgm:pt>
    <dgm:pt modelId="{8FF32992-9F20-485C-981B-D69E32EEA394}" type="pres">
      <dgm:prSet presAssocID="{69E7864C-3D70-49BF-8C26-799C0929EB6B}" presName="hierChild3" presStyleCnt="0"/>
      <dgm:spPr/>
    </dgm:pt>
    <dgm:pt modelId="{438B31A1-6AC8-4212-8681-3DE0C3A5A62C}" type="pres">
      <dgm:prSet presAssocID="{483D9E0B-37BF-43B1-90FC-6090120D98E5}" presName="Name10" presStyleLbl="parChTrans1D2" presStyleIdx="1" presStyleCnt="3"/>
      <dgm:spPr/>
    </dgm:pt>
    <dgm:pt modelId="{E57BB3A4-2ACA-4498-B70F-2DFBDD7B6160}" type="pres">
      <dgm:prSet presAssocID="{F52ABB43-5627-4F49-8E90-4A785E0A95C6}" presName="hierRoot2" presStyleCnt="0"/>
      <dgm:spPr/>
    </dgm:pt>
    <dgm:pt modelId="{C55E04A8-D01F-45DF-8C8B-B539D2AC9F80}" type="pres">
      <dgm:prSet presAssocID="{F52ABB43-5627-4F49-8E90-4A785E0A95C6}" presName="composite2" presStyleCnt="0"/>
      <dgm:spPr/>
    </dgm:pt>
    <dgm:pt modelId="{98550BBC-60A1-4187-9ADA-5705C0BA5ACE}" type="pres">
      <dgm:prSet presAssocID="{F52ABB43-5627-4F49-8E90-4A785E0A95C6}" presName="background2" presStyleLbl="node2" presStyleIdx="1" presStyleCnt="3"/>
      <dgm:spPr/>
    </dgm:pt>
    <dgm:pt modelId="{2009EFAF-5C16-4911-82E2-605190442933}" type="pres">
      <dgm:prSet presAssocID="{F52ABB43-5627-4F49-8E90-4A785E0A95C6}" presName="text2" presStyleLbl="fgAcc2" presStyleIdx="1" presStyleCnt="3">
        <dgm:presLayoutVars>
          <dgm:chPref val="3"/>
        </dgm:presLayoutVars>
      </dgm:prSet>
      <dgm:spPr/>
    </dgm:pt>
    <dgm:pt modelId="{DF4C569D-75F7-4224-9712-6E99867CF935}" type="pres">
      <dgm:prSet presAssocID="{F52ABB43-5627-4F49-8E90-4A785E0A95C6}" presName="hierChild3" presStyleCnt="0"/>
      <dgm:spPr/>
    </dgm:pt>
    <dgm:pt modelId="{E5B253F6-5616-4B97-AEC6-A0A2700F5978}" type="pres">
      <dgm:prSet presAssocID="{61412A06-48E8-4BD3-916C-05AB9FEB68A5}" presName="Name10" presStyleLbl="parChTrans1D2" presStyleIdx="2" presStyleCnt="3"/>
      <dgm:spPr/>
    </dgm:pt>
    <dgm:pt modelId="{6005CB9E-F272-47B3-8348-AEFB81E1A09A}" type="pres">
      <dgm:prSet presAssocID="{0035592A-2136-4474-AEB6-1728BFD388B6}" presName="hierRoot2" presStyleCnt="0"/>
      <dgm:spPr/>
    </dgm:pt>
    <dgm:pt modelId="{B63C4C4F-E5F7-4A6C-9382-8EA0E4115DE8}" type="pres">
      <dgm:prSet presAssocID="{0035592A-2136-4474-AEB6-1728BFD388B6}" presName="composite2" presStyleCnt="0"/>
      <dgm:spPr/>
    </dgm:pt>
    <dgm:pt modelId="{024C7A06-C0FF-4484-BBBD-910E7A05058C}" type="pres">
      <dgm:prSet presAssocID="{0035592A-2136-4474-AEB6-1728BFD388B6}" presName="background2" presStyleLbl="node2" presStyleIdx="2" presStyleCnt="3"/>
      <dgm:spPr/>
    </dgm:pt>
    <dgm:pt modelId="{877A3E63-8F54-47F4-A11F-0E46D88E245C}" type="pres">
      <dgm:prSet presAssocID="{0035592A-2136-4474-AEB6-1728BFD388B6}" presName="text2" presStyleLbl="fgAcc2" presStyleIdx="2" presStyleCnt="3">
        <dgm:presLayoutVars>
          <dgm:chPref val="3"/>
        </dgm:presLayoutVars>
      </dgm:prSet>
      <dgm:spPr/>
    </dgm:pt>
    <dgm:pt modelId="{30873C17-328E-4A0E-B257-7EE2C12E4F18}" type="pres">
      <dgm:prSet presAssocID="{0035592A-2136-4474-AEB6-1728BFD388B6}" presName="hierChild3" presStyleCnt="0"/>
      <dgm:spPr/>
    </dgm:pt>
  </dgm:ptLst>
  <dgm:cxnLst>
    <dgm:cxn modelId="{B2959738-1AAA-40B2-8C17-021FF8663198}" type="presOf" srcId="{C462B470-11C3-4CC2-9F89-35E195EE04CC}" destId="{5DC99381-A1A5-4492-9D8A-5A2592BBFA01}" srcOrd="0" destOrd="0" presId="urn:microsoft.com/office/officeart/2005/8/layout/hierarchy1"/>
    <dgm:cxn modelId="{9F705148-A43F-41D1-84A5-83AE6269CF35}" srcId="{C462B470-11C3-4CC2-9F89-35E195EE04CC}" destId="{F52ABB43-5627-4F49-8E90-4A785E0A95C6}" srcOrd="1" destOrd="0" parTransId="{483D9E0B-37BF-43B1-90FC-6090120D98E5}" sibTransId="{A8B70033-3FE7-4543-A99F-B03B97F72A09}"/>
    <dgm:cxn modelId="{C267A648-318A-4AB5-A02C-3C8A461976CA}" srcId="{C462B470-11C3-4CC2-9F89-35E195EE04CC}" destId="{69E7864C-3D70-49BF-8C26-799C0929EB6B}" srcOrd="0" destOrd="0" parTransId="{9F81D4E2-159A-4677-AC0B-0D4D10CF97B6}" sibTransId="{026D9C9C-F61B-4A14-9D16-7D58E41FD172}"/>
    <dgm:cxn modelId="{85648255-AE0E-41C0-AC0F-926A79A3770A}" type="presOf" srcId="{69E7864C-3D70-49BF-8C26-799C0929EB6B}" destId="{58062C57-D9BA-4E12-982E-B1EF6FA6BA44}" srcOrd="0" destOrd="0" presId="urn:microsoft.com/office/officeart/2005/8/layout/hierarchy1"/>
    <dgm:cxn modelId="{DE453957-D9A7-4850-8C12-9F309F386017}" type="presOf" srcId="{61412A06-48E8-4BD3-916C-05AB9FEB68A5}" destId="{E5B253F6-5616-4B97-AEC6-A0A2700F5978}" srcOrd="0" destOrd="0" presId="urn:microsoft.com/office/officeart/2005/8/layout/hierarchy1"/>
    <dgm:cxn modelId="{B8349757-442A-4330-BF53-48D378668CA1}" type="presOf" srcId="{F52ABB43-5627-4F49-8E90-4A785E0A95C6}" destId="{2009EFAF-5C16-4911-82E2-605190442933}" srcOrd="0" destOrd="0" presId="urn:microsoft.com/office/officeart/2005/8/layout/hierarchy1"/>
    <dgm:cxn modelId="{E2991D58-A66C-4D4A-9723-8FBDA4321C1B}" srcId="{5D63E649-3A1A-468E-A1DA-CD142CE66A5B}" destId="{C462B470-11C3-4CC2-9F89-35E195EE04CC}" srcOrd="0" destOrd="0" parTransId="{C4267379-5065-41C5-9267-3C4F48465CD7}" sibTransId="{2D3358CE-F097-4338-8E48-8E77307CEA08}"/>
    <dgm:cxn modelId="{0024E279-8F3F-48DD-A3B1-6EEC70E40E2C}" type="presOf" srcId="{0035592A-2136-4474-AEB6-1728BFD388B6}" destId="{877A3E63-8F54-47F4-A11F-0E46D88E245C}" srcOrd="0" destOrd="0" presId="urn:microsoft.com/office/officeart/2005/8/layout/hierarchy1"/>
    <dgm:cxn modelId="{0D781F84-65FB-467D-97F1-6A6A4B8EBCA2}" type="presOf" srcId="{5D63E649-3A1A-468E-A1DA-CD142CE66A5B}" destId="{B3FD5364-77FB-4DC6-B5A5-C37857598246}" srcOrd="0" destOrd="0" presId="urn:microsoft.com/office/officeart/2005/8/layout/hierarchy1"/>
    <dgm:cxn modelId="{24C56390-2D27-4DE9-885F-AD267DEE43C3}" type="presOf" srcId="{9F81D4E2-159A-4677-AC0B-0D4D10CF97B6}" destId="{F9826E1C-F7A5-4707-8448-F67A92A08DE2}" srcOrd="0" destOrd="0" presId="urn:microsoft.com/office/officeart/2005/8/layout/hierarchy1"/>
    <dgm:cxn modelId="{19609EB6-6D94-4C63-AAAF-95FB46C19559}" type="presOf" srcId="{483D9E0B-37BF-43B1-90FC-6090120D98E5}" destId="{438B31A1-6AC8-4212-8681-3DE0C3A5A62C}" srcOrd="0" destOrd="0" presId="urn:microsoft.com/office/officeart/2005/8/layout/hierarchy1"/>
    <dgm:cxn modelId="{409AC8F0-E671-472D-95A0-064756EAB3B4}" srcId="{C462B470-11C3-4CC2-9F89-35E195EE04CC}" destId="{0035592A-2136-4474-AEB6-1728BFD388B6}" srcOrd="2" destOrd="0" parTransId="{61412A06-48E8-4BD3-916C-05AB9FEB68A5}" sibTransId="{3524FB12-D819-4791-9A3B-A99BDA05F4CD}"/>
    <dgm:cxn modelId="{073B035C-80F9-4E6C-81F2-1AA2A89A2C2A}" type="presParOf" srcId="{B3FD5364-77FB-4DC6-B5A5-C37857598246}" destId="{80F36BBE-B6BB-403C-8EA2-EFDAF99562F9}" srcOrd="0" destOrd="0" presId="urn:microsoft.com/office/officeart/2005/8/layout/hierarchy1"/>
    <dgm:cxn modelId="{C8A6FDBC-F87E-4AAF-82C0-805AF7AF98B2}" type="presParOf" srcId="{80F36BBE-B6BB-403C-8EA2-EFDAF99562F9}" destId="{6C5A9D00-8905-43AD-882C-488BBD4405BF}" srcOrd="0" destOrd="0" presId="urn:microsoft.com/office/officeart/2005/8/layout/hierarchy1"/>
    <dgm:cxn modelId="{6EB3CD07-7588-4146-A53D-8C863AD6C6C3}" type="presParOf" srcId="{6C5A9D00-8905-43AD-882C-488BBD4405BF}" destId="{6ED8DC1E-813D-4151-9CBF-148C3C210C53}" srcOrd="0" destOrd="0" presId="urn:microsoft.com/office/officeart/2005/8/layout/hierarchy1"/>
    <dgm:cxn modelId="{6F561C57-9BFD-45A0-90BD-FD92CA2CCD7A}" type="presParOf" srcId="{6C5A9D00-8905-43AD-882C-488BBD4405BF}" destId="{5DC99381-A1A5-4492-9D8A-5A2592BBFA01}" srcOrd="1" destOrd="0" presId="urn:microsoft.com/office/officeart/2005/8/layout/hierarchy1"/>
    <dgm:cxn modelId="{A5911740-BB05-4E06-B6BC-3A2623F13A41}" type="presParOf" srcId="{80F36BBE-B6BB-403C-8EA2-EFDAF99562F9}" destId="{D4ABFF72-21C1-4C8B-9DA3-BD2B55553713}" srcOrd="1" destOrd="0" presId="urn:microsoft.com/office/officeart/2005/8/layout/hierarchy1"/>
    <dgm:cxn modelId="{9C046117-1309-4B18-A4D7-ACC2F02748DE}" type="presParOf" srcId="{D4ABFF72-21C1-4C8B-9DA3-BD2B55553713}" destId="{F9826E1C-F7A5-4707-8448-F67A92A08DE2}" srcOrd="0" destOrd="0" presId="urn:microsoft.com/office/officeart/2005/8/layout/hierarchy1"/>
    <dgm:cxn modelId="{BD30BF24-F480-4BD2-BE55-B276328576CF}" type="presParOf" srcId="{D4ABFF72-21C1-4C8B-9DA3-BD2B55553713}" destId="{197BAE03-4E0B-4177-9899-3EBF03E8E3A4}" srcOrd="1" destOrd="0" presId="urn:microsoft.com/office/officeart/2005/8/layout/hierarchy1"/>
    <dgm:cxn modelId="{E2296B5A-B839-44D4-B304-8E9DFD554DCA}" type="presParOf" srcId="{197BAE03-4E0B-4177-9899-3EBF03E8E3A4}" destId="{EA3D26A0-EB79-4278-90E8-739929EF5821}" srcOrd="0" destOrd="0" presId="urn:microsoft.com/office/officeart/2005/8/layout/hierarchy1"/>
    <dgm:cxn modelId="{B83BEB2F-CB92-4A5A-A64D-643C2D9BF540}" type="presParOf" srcId="{EA3D26A0-EB79-4278-90E8-739929EF5821}" destId="{940F5CCE-7D72-4CB2-81D5-D581E35617C4}" srcOrd="0" destOrd="0" presId="urn:microsoft.com/office/officeart/2005/8/layout/hierarchy1"/>
    <dgm:cxn modelId="{2594FBE6-D312-4E46-AD3E-F27F99F219A5}" type="presParOf" srcId="{EA3D26A0-EB79-4278-90E8-739929EF5821}" destId="{58062C57-D9BA-4E12-982E-B1EF6FA6BA44}" srcOrd="1" destOrd="0" presId="urn:microsoft.com/office/officeart/2005/8/layout/hierarchy1"/>
    <dgm:cxn modelId="{FB27C498-A209-43B8-B305-73F835191271}" type="presParOf" srcId="{197BAE03-4E0B-4177-9899-3EBF03E8E3A4}" destId="{8FF32992-9F20-485C-981B-D69E32EEA394}" srcOrd="1" destOrd="0" presId="urn:microsoft.com/office/officeart/2005/8/layout/hierarchy1"/>
    <dgm:cxn modelId="{B6F32A4F-2780-498F-9FD3-AF9DBB690DD7}" type="presParOf" srcId="{D4ABFF72-21C1-4C8B-9DA3-BD2B55553713}" destId="{438B31A1-6AC8-4212-8681-3DE0C3A5A62C}" srcOrd="2" destOrd="0" presId="urn:microsoft.com/office/officeart/2005/8/layout/hierarchy1"/>
    <dgm:cxn modelId="{A539A4FD-8492-4F0E-AFBD-838903CE9AFF}" type="presParOf" srcId="{D4ABFF72-21C1-4C8B-9DA3-BD2B55553713}" destId="{E57BB3A4-2ACA-4498-B70F-2DFBDD7B6160}" srcOrd="3" destOrd="0" presId="urn:microsoft.com/office/officeart/2005/8/layout/hierarchy1"/>
    <dgm:cxn modelId="{092438FE-CC9D-4644-8947-424A57BA047B}" type="presParOf" srcId="{E57BB3A4-2ACA-4498-B70F-2DFBDD7B6160}" destId="{C55E04A8-D01F-45DF-8C8B-B539D2AC9F80}" srcOrd="0" destOrd="0" presId="urn:microsoft.com/office/officeart/2005/8/layout/hierarchy1"/>
    <dgm:cxn modelId="{BECEF342-6686-46E6-B84B-DBEAE6014A28}" type="presParOf" srcId="{C55E04A8-D01F-45DF-8C8B-B539D2AC9F80}" destId="{98550BBC-60A1-4187-9ADA-5705C0BA5ACE}" srcOrd="0" destOrd="0" presId="urn:microsoft.com/office/officeart/2005/8/layout/hierarchy1"/>
    <dgm:cxn modelId="{BC7AD8E4-F1FC-4F08-AA8B-C73E8E21C347}" type="presParOf" srcId="{C55E04A8-D01F-45DF-8C8B-B539D2AC9F80}" destId="{2009EFAF-5C16-4911-82E2-605190442933}" srcOrd="1" destOrd="0" presId="urn:microsoft.com/office/officeart/2005/8/layout/hierarchy1"/>
    <dgm:cxn modelId="{57234B58-DB97-437C-989B-28852928F79A}" type="presParOf" srcId="{E57BB3A4-2ACA-4498-B70F-2DFBDD7B6160}" destId="{DF4C569D-75F7-4224-9712-6E99867CF935}" srcOrd="1" destOrd="0" presId="urn:microsoft.com/office/officeart/2005/8/layout/hierarchy1"/>
    <dgm:cxn modelId="{E05C7ACA-F1E1-4B52-9491-80437B45B402}" type="presParOf" srcId="{D4ABFF72-21C1-4C8B-9DA3-BD2B55553713}" destId="{E5B253F6-5616-4B97-AEC6-A0A2700F5978}" srcOrd="4" destOrd="0" presId="urn:microsoft.com/office/officeart/2005/8/layout/hierarchy1"/>
    <dgm:cxn modelId="{649F0F51-7036-442A-B1DC-A39E567358BA}" type="presParOf" srcId="{D4ABFF72-21C1-4C8B-9DA3-BD2B55553713}" destId="{6005CB9E-F272-47B3-8348-AEFB81E1A09A}" srcOrd="5" destOrd="0" presId="urn:microsoft.com/office/officeart/2005/8/layout/hierarchy1"/>
    <dgm:cxn modelId="{3F5F4026-CD09-44FD-983A-EE5F221D6500}" type="presParOf" srcId="{6005CB9E-F272-47B3-8348-AEFB81E1A09A}" destId="{B63C4C4F-E5F7-4A6C-9382-8EA0E4115DE8}" srcOrd="0" destOrd="0" presId="urn:microsoft.com/office/officeart/2005/8/layout/hierarchy1"/>
    <dgm:cxn modelId="{E9610DB6-4B7F-4423-9874-A38EC197C9A6}" type="presParOf" srcId="{B63C4C4F-E5F7-4A6C-9382-8EA0E4115DE8}" destId="{024C7A06-C0FF-4484-BBBD-910E7A05058C}" srcOrd="0" destOrd="0" presId="urn:microsoft.com/office/officeart/2005/8/layout/hierarchy1"/>
    <dgm:cxn modelId="{5E91BDD2-1B56-410E-9412-4B211117D6C5}" type="presParOf" srcId="{B63C4C4F-E5F7-4A6C-9382-8EA0E4115DE8}" destId="{877A3E63-8F54-47F4-A11F-0E46D88E245C}" srcOrd="1" destOrd="0" presId="urn:microsoft.com/office/officeart/2005/8/layout/hierarchy1"/>
    <dgm:cxn modelId="{BC7CEA65-B9C9-4753-BD29-8CB71ECE4BD0}" type="presParOf" srcId="{6005CB9E-F272-47B3-8348-AEFB81E1A09A}" destId="{30873C17-328E-4A0E-B257-7EE2C12E4F18}" srcOrd="1" destOrd="0" presId="urn:microsoft.com/office/officeart/2005/8/layout/hierarchy1"/>
  </dgm:cxnLst>
  <dgm:bg/>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152D17F9-581D-471F-A379-93BC6AF81425}" type="doc">
      <dgm:prSet loTypeId="urn:microsoft.com/office/officeart/2005/8/layout/hierarchy1" loCatId="hierarchy" qsTypeId="urn:microsoft.com/office/officeart/2005/8/quickstyle/simple1" qsCatId="simple" csTypeId="urn:microsoft.com/office/officeart/2005/8/colors/accent6_3" csCatId="accent6" phldr="1"/>
      <dgm:spPr/>
      <dgm:t>
        <a:bodyPr/>
        <a:lstStyle/>
        <a:p>
          <a:endParaRPr lang="en-GB"/>
        </a:p>
      </dgm:t>
    </dgm:pt>
    <dgm:pt modelId="{082E8E7D-EB4C-4018-A903-1466325C4421}">
      <dgm:prSet phldrT="[Text]" custT="1"/>
      <dgm:spPr/>
      <dgm:t>
        <a:bodyPr/>
        <a:lstStyle/>
        <a:p>
          <a:r>
            <a:rPr lang="en-GB" sz="1100"/>
            <a:t>Digital Learning Manager</a:t>
          </a:r>
        </a:p>
      </dgm:t>
    </dgm:pt>
    <dgm:pt modelId="{C66883CC-111D-4205-A3CA-DB72F061FF7B}" type="parTrans" cxnId="{EDE4E055-D3D4-49D2-8319-6C4B63A2D797}">
      <dgm:prSet/>
      <dgm:spPr/>
      <dgm:t>
        <a:bodyPr/>
        <a:lstStyle/>
        <a:p>
          <a:endParaRPr lang="en-GB"/>
        </a:p>
      </dgm:t>
    </dgm:pt>
    <dgm:pt modelId="{0971124D-975A-4E99-BD57-FDA4DD8B6990}" type="sibTrans" cxnId="{EDE4E055-D3D4-49D2-8319-6C4B63A2D797}">
      <dgm:prSet/>
      <dgm:spPr/>
      <dgm:t>
        <a:bodyPr/>
        <a:lstStyle/>
        <a:p>
          <a:endParaRPr lang="en-GB"/>
        </a:p>
      </dgm:t>
    </dgm:pt>
    <dgm:pt modelId="{CF571092-37A1-403D-ACF9-E022A64917DA}">
      <dgm:prSet phldrT="[Text]" custT="1"/>
      <dgm:spPr/>
      <dgm:t>
        <a:bodyPr/>
        <a:lstStyle/>
        <a:p>
          <a:r>
            <a:rPr lang="en-GB" sz="1100"/>
            <a:t>Senior Learning Designer</a:t>
          </a:r>
        </a:p>
      </dgm:t>
    </dgm:pt>
    <dgm:pt modelId="{04DD8010-00D7-4D01-9455-022B6CD675A1}" type="parTrans" cxnId="{D7A8318F-39D3-4C41-8E3C-F5A441B44A27}">
      <dgm:prSet/>
      <dgm:spPr/>
      <dgm:t>
        <a:bodyPr/>
        <a:lstStyle/>
        <a:p>
          <a:endParaRPr lang="en-GB"/>
        </a:p>
      </dgm:t>
    </dgm:pt>
    <dgm:pt modelId="{69849426-7975-441C-B480-559B745B88A0}" type="sibTrans" cxnId="{D7A8318F-39D3-4C41-8E3C-F5A441B44A27}">
      <dgm:prSet/>
      <dgm:spPr/>
      <dgm:t>
        <a:bodyPr/>
        <a:lstStyle/>
        <a:p>
          <a:endParaRPr lang="en-GB"/>
        </a:p>
      </dgm:t>
    </dgm:pt>
    <dgm:pt modelId="{0C79360B-9C79-438F-85A3-B0D9596C3182}">
      <dgm:prSet phldrT="[Text]" custT="1"/>
      <dgm:spPr/>
      <dgm:t>
        <a:bodyPr/>
        <a:lstStyle/>
        <a:p>
          <a:r>
            <a:rPr lang="en-GB" sz="1100"/>
            <a:t>Learning Designer x 4</a:t>
          </a:r>
        </a:p>
      </dgm:t>
    </dgm:pt>
    <dgm:pt modelId="{2172F5BF-15CD-4454-8C0A-C480B9CD97CB}" type="parTrans" cxnId="{55F03E6C-B03B-4F84-8628-070C805BD707}">
      <dgm:prSet/>
      <dgm:spPr/>
      <dgm:t>
        <a:bodyPr/>
        <a:lstStyle/>
        <a:p>
          <a:endParaRPr lang="en-GB"/>
        </a:p>
      </dgm:t>
    </dgm:pt>
    <dgm:pt modelId="{4DBBFB6F-2439-455F-8369-D0383567F33E}" type="sibTrans" cxnId="{55F03E6C-B03B-4F84-8628-070C805BD707}">
      <dgm:prSet/>
      <dgm:spPr/>
      <dgm:t>
        <a:bodyPr/>
        <a:lstStyle/>
        <a:p>
          <a:endParaRPr lang="en-GB"/>
        </a:p>
      </dgm:t>
    </dgm:pt>
    <dgm:pt modelId="{272E33CB-3230-4789-815A-953DD1A06CDC}">
      <dgm:prSet phldrT="[Text]" custT="1"/>
      <dgm:spPr/>
      <dgm:t>
        <a:bodyPr/>
        <a:lstStyle/>
        <a:p>
          <a:r>
            <a:rPr lang="en-GB" sz="1100"/>
            <a:t>Digital Learning Technologist</a:t>
          </a:r>
        </a:p>
      </dgm:t>
    </dgm:pt>
    <dgm:pt modelId="{F367D09C-A027-4797-9E1D-3A80E044BDC3}" type="parTrans" cxnId="{AE849EC0-22B3-410B-9D18-F625D064D81A}">
      <dgm:prSet/>
      <dgm:spPr/>
      <dgm:t>
        <a:bodyPr/>
        <a:lstStyle/>
        <a:p>
          <a:endParaRPr lang="en-GB"/>
        </a:p>
      </dgm:t>
    </dgm:pt>
    <dgm:pt modelId="{FFA3C90A-8225-4DB1-9359-05E9BD95ACF1}" type="sibTrans" cxnId="{AE849EC0-22B3-410B-9D18-F625D064D81A}">
      <dgm:prSet/>
      <dgm:spPr/>
      <dgm:t>
        <a:bodyPr/>
        <a:lstStyle/>
        <a:p>
          <a:endParaRPr lang="en-GB"/>
        </a:p>
      </dgm:t>
    </dgm:pt>
    <dgm:pt modelId="{3BD3D941-C943-4AE4-A988-42D694624577}" type="pres">
      <dgm:prSet presAssocID="{152D17F9-581D-471F-A379-93BC6AF81425}" presName="hierChild1" presStyleCnt="0">
        <dgm:presLayoutVars>
          <dgm:chPref val="1"/>
          <dgm:dir/>
          <dgm:animOne val="branch"/>
          <dgm:animLvl val="lvl"/>
          <dgm:resizeHandles/>
        </dgm:presLayoutVars>
      </dgm:prSet>
      <dgm:spPr/>
    </dgm:pt>
    <dgm:pt modelId="{EEE728CA-A92D-4922-A18F-6FD458416C16}" type="pres">
      <dgm:prSet presAssocID="{082E8E7D-EB4C-4018-A903-1466325C4421}" presName="hierRoot1" presStyleCnt="0"/>
      <dgm:spPr/>
    </dgm:pt>
    <dgm:pt modelId="{FBB6F5E4-0A77-46F8-BE28-673E0E10B5DE}" type="pres">
      <dgm:prSet presAssocID="{082E8E7D-EB4C-4018-A903-1466325C4421}" presName="composite" presStyleCnt="0"/>
      <dgm:spPr/>
    </dgm:pt>
    <dgm:pt modelId="{0D8D58D9-889C-4025-985F-B7183930F631}" type="pres">
      <dgm:prSet presAssocID="{082E8E7D-EB4C-4018-A903-1466325C4421}" presName="background" presStyleLbl="node0" presStyleIdx="0" presStyleCnt="1"/>
      <dgm:spPr/>
    </dgm:pt>
    <dgm:pt modelId="{2E3ADADE-1BDE-4A55-B70E-14D5CE5BB422}" type="pres">
      <dgm:prSet presAssocID="{082E8E7D-EB4C-4018-A903-1466325C4421}" presName="text" presStyleLbl="fgAcc0" presStyleIdx="0" presStyleCnt="1">
        <dgm:presLayoutVars>
          <dgm:chPref val="3"/>
        </dgm:presLayoutVars>
      </dgm:prSet>
      <dgm:spPr/>
    </dgm:pt>
    <dgm:pt modelId="{1512E8E2-3A48-44D0-B862-D3AEEB42A374}" type="pres">
      <dgm:prSet presAssocID="{082E8E7D-EB4C-4018-A903-1466325C4421}" presName="hierChild2" presStyleCnt="0"/>
      <dgm:spPr/>
    </dgm:pt>
    <dgm:pt modelId="{99D4A8B4-1986-4AC9-9D45-4AC0FA87F5B2}" type="pres">
      <dgm:prSet presAssocID="{04DD8010-00D7-4D01-9455-022B6CD675A1}" presName="Name10" presStyleLbl="parChTrans1D2" presStyleIdx="0" presStyleCnt="2"/>
      <dgm:spPr/>
    </dgm:pt>
    <dgm:pt modelId="{B511E370-5029-43C9-818D-8B438E449BE4}" type="pres">
      <dgm:prSet presAssocID="{CF571092-37A1-403D-ACF9-E022A64917DA}" presName="hierRoot2" presStyleCnt="0"/>
      <dgm:spPr/>
    </dgm:pt>
    <dgm:pt modelId="{1620059A-851B-4AEB-954A-0A85EF3DDF9C}" type="pres">
      <dgm:prSet presAssocID="{CF571092-37A1-403D-ACF9-E022A64917DA}" presName="composite2" presStyleCnt="0"/>
      <dgm:spPr/>
    </dgm:pt>
    <dgm:pt modelId="{EC71232B-35A6-4E0D-8F68-E11522B0448D}" type="pres">
      <dgm:prSet presAssocID="{CF571092-37A1-403D-ACF9-E022A64917DA}" presName="background2" presStyleLbl="node2" presStyleIdx="0" presStyleCnt="2"/>
      <dgm:spPr/>
    </dgm:pt>
    <dgm:pt modelId="{CE7B08A3-91E8-4CD0-B748-63AA5315C990}" type="pres">
      <dgm:prSet presAssocID="{CF571092-37A1-403D-ACF9-E022A64917DA}" presName="text2" presStyleLbl="fgAcc2" presStyleIdx="0" presStyleCnt="2">
        <dgm:presLayoutVars>
          <dgm:chPref val="3"/>
        </dgm:presLayoutVars>
      </dgm:prSet>
      <dgm:spPr/>
    </dgm:pt>
    <dgm:pt modelId="{181F3AB8-E40F-4C23-A6D8-214E78A35044}" type="pres">
      <dgm:prSet presAssocID="{CF571092-37A1-403D-ACF9-E022A64917DA}" presName="hierChild3" presStyleCnt="0"/>
      <dgm:spPr/>
    </dgm:pt>
    <dgm:pt modelId="{685A9922-A6CD-45B1-BDEB-F102CA0B15B3}" type="pres">
      <dgm:prSet presAssocID="{2172F5BF-15CD-4454-8C0A-C480B9CD97CB}" presName="Name17" presStyleLbl="parChTrans1D3" presStyleIdx="0" presStyleCnt="1"/>
      <dgm:spPr/>
    </dgm:pt>
    <dgm:pt modelId="{751C812D-8404-4F13-87AD-18771BD747E9}" type="pres">
      <dgm:prSet presAssocID="{0C79360B-9C79-438F-85A3-B0D9596C3182}" presName="hierRoot3" presStyleCnt="0"/>
      <dgm:spPr/>
    </dgm:pt>
    <dgm:pt modelId="{53EC5A9E-5609-4CA1-883D-A2B286EE2400}" type="pres">
      <dgm:prSet presAssocID="{0C79360B-9C79-438F-85A3-B0D9596C3182}" presName="composite3" presStyleCnt="0"/>
      <dgm:spPr/>
    </dgm:pt>
    <dgm:pt modelId="{161E5F30-13DA-49AC-A282-CDDB3F23097A}" type="pres">
      <dgm:prSet presAssocID="{0C79360B-9C79-438F-85A3-B0D9596C3182}" presName="background3" presStyleLbl="node3" presStyleIdx="0" presStyleCnt="1"/>
      <dgm:spPr/>
    </dgm:pt>
    <dgm:pt modelId="{EAFDCC49-9E56-42B1-B3E8-83D164CDFA7D}" type="pres">
      <dgm:prSet presAssocID="{0C79360B-9C79-438F-85A3-B0D9596C3182}" presName="text3" presStyleLbl="fgAcc3" presStyleIdx="0" presStyleCnt="1">
        <dgm:presLayoutVars>
          <dgm:chPref val="3"/>
        </dgm:presLayoutVars>
      </dgm:prSet>
      <dgm:spPr/>
    </dgm:pt>
    <dgm:pt modelId="{86B9EE03-20EE-4D09-BAC8-5ECBF36160A6}" type="pres">
      <dgm:prSet presAssocID="{0C79360B-9C79-438F-85A3-B0D9596C3182}" presName="hierChild4" presStyleCnt="0"/>
      <dgm:spPr/>
    </dgm:pt>
    <dgm:pt modelId="{AFCB0B5C-AE21-46D5-BBA7-E9FBDD242D49}" type="pres">
      <dgm:prSet presAssocID="{F367D09C-A027-4797-9E1D-3A80E044BDC3}" presName="Name10" presStyleLbl="parChTrans1D2" presStyleIdx="1" presStyleCnt="2"/>
      <dgm:spPr/>
    </dgm:pt>
    <dgm:pt modelId="{D244715A-146A-4243-8AB5-45ADBA5C9C16}" type="pres">
      <dgm:prSet presAssocID="{272E33CB-3230-4789-815A-953DD1A06CDC}" presName="hierRoot2" presStyleCnt="0"/>
      <dgm:spPr/>
    </dgm:pt>
    <dgm:pt modelId="{7E1A43B8-B251-49F2-8CCA-01EE76BB2587}" type="pres">
      <dgm:prSet presAssocID="{272E33CB-3230-4789-815A-953DD1A06CDC}" presName="composite2" presStyleCnt="0"/>
      <dgm:spPr/>
    </dgm:pt>
    <dgm:pt modelId="{6DF896E2-5613-4075-9332-D21CCE7E2DED}" type="pres">
      <dgm:prSet presAssocID="{272E33CB-3230-4789-815A-953DD1A06CDC}" presName="background2" presStyleLbl="node2" presStyleIdx="1" presStyleCnt="2"/>
      <dgm:spPr/>
    </dgm:pt>
    <dgm:pt modelId="{83A2AF38-17A0-43DD-8A16-71CE41810CB7}" type="pres">
      <dgm:prSet presAssocID="{272E33CB-3230-4789-815A-953DD1A06CDC}" presName="text2" presStyleLbl="fgAcc2" presStyleIdx="1" presStyleCnt="2">
        <dgm:presLayoutVars>
          <dgm:chPref val="3"/>
        </dgm:presLayoutVars>
      </dgm:prSet>
      <dgm:spPr/>
    </dgm:pt>
    <dgm:pt modelId="{8BE36D40-D181-49D6-9EF9-0F6B4EE70497}" type="pres">
      <dgm:prSet presAssocID="{272E33CB-3230-4789-815A-953DD1A06CDC}" presName="hierChild3" presStyleCnt="0"/>
      <dgm:spPr/>
    </dgm:pt>
  </dgm:ptLst>
  <dgm:cxnLst>
    <dgm:cxn modelId="{6F4C7F30-BEF1-4AAC-B5B8-4CC4952F1721}" type="presOf" srcId="{152D17F9-581D-471F-A379-93BC6AF81425}" destId="{3BD3D941-C943-4AE4-A988-42D694624577}" srcOrd="0" destOrd="0" presId="urn:microsoft.com/office/officeart/2005/8/layout/hierarchy1"/>
    <dgm:cxn modelId="{500F3E42-1660-48B2-BB46-367EB138C893}" type="presOf" srcId="{0C79360B-9C79-438F-85A3-B0D9596C3182}" destId="{EAFDCC49-9E56-42B1-B3E8-83D164CDFA7D}" srcOrd="0" destOrd="0" presId="urn:microsoft.com/office/officeart/2005/8/layout/hierarchy1"/>
    <dgm:cxn modelId="{55F03E6C-B03B-4F84-8628-070C805BD707}" srcId="{CF571092-37A1-403D-ACF9-E022A64917DA}" destId="{0C79360B-9C79-438F-85A3-B0D9596C3182}" srcOrd="0" destOrd="0" parTransId="{2172F5BF-15CD-4454-8C0A-C480B9CD97CB}" sibTransId="{4DBBFB6F-2439-455F-8369-D0383567F33E}"/>
    <dgm:cxn modelId="{C74F176D-96A8-4CBC-806C-D402677B35A6}" type="presOf" srcId="{04DD8010-00D7-4D01-9455-022B6CD675A1}" destId="{99D4A8B4-1986-4AC9-9D45-4AC0FA87F5B2}" srcOrd="0" destOrd="0" presId="urn:microsoft.com/office/officeart/2005/8/layout/hierarchy1"/>
    <dgm:cxn modelId="{EDE4E055-D3D4-49D2-8319-6C4B63A2D797}" srcId="{152D17F9-581D-471F-A379-93BC6AF81425}" destId="{082E8E7D-EB4C-4018-A903-1466325C4421}" srcOrd="0" destOrd="0" parTransId="{C66883CC-111D-4205-A3CA-DB72F061FF7B}" sibTransId="{0971124D-975A-4E99-BD57-FDA4DD8B6990}"/>
    <dgm:cxn modelId="{4A357C84-C7AC-44D1-9931-6088868DFC15}" type="presOf" srcId="{082E8E7D-EB4C-4018-A903-1466325C4421}" destId="{2E3ADADE-1BDE-4A55-B70E-14D5CE5BB422}" srcOrd="0" destOrd="0" presId="urn:microsoft.com/office/officeart/2005/8/layout/hierarchy1"/>
    <dgm:cxn modelId="{2DCD998A-FA8D-4E82-A95F-BC0EE886D2E3}" type="presOf" srcId="{F367D09C-A027-4797-9E1D-3A80E044BDC3}" destId="{AFCB0B5C-AE21-46D5-BBA7-E9FBDD242D49}" srcOrd="0" destOrd="0" presId="urn:microsoft.com/office/officeart/2005/8/layout/hierarchy1"/>
    <dgm:cxn modelId="{D7A8318F-39D3-4C41-8E3C-F5A441B44A27}" srcId="{082E8E7D-EB4C-4018-A903-1466325C4421}" destId="{CF571092-37A1-403D-ACF9-E022A64917DA}" srcOrd="0" destOrd="0" parTransId="{04DD8010-00D7-4D01-9455-022B6CD675A1}" sibTransId="{69849426-7975-441C-B480-559B745B88A0}"/>
    <dgm:cxn modelId="{D34B8DBC-1BAC-40A0-8753-99F63326001E}" type="presOf" srcId="{CF571092-37A1-403D-ACF9-E022A64917DA}" destId="{CE7B08A3-91E8-4CD0-B748-63AA5315C990}" srcOrd="0" destOrd="0" presId="urn:microsoft.com/office/officeart/2005/8/layout/hierarchy1"/>
    <dgm:cxn modelId="{AE849EC0-22B3-410B-9D18-F625D064D81A}" srcId="{082E8E7D-EB4C-4018-A903-1466325C4421}" destId="{272E33CB-3230-4789-815A-953DD1A06CDC}" srcOrd="1" destOrd="0" parTransId="{F367D09C-A027-4797-9E1D-3A80E044BDC3}" sibTransId="{FFA3C90A-8225-4DB1-9359-05E9BD95ACF1}"/>
    <dgm:cxn modelId="{773B18C6-83FB-486B-A7CA-920C88793832}" type="presOf" srcId="{272E33CB-3230-4789-815A-953DD1A06CDC}" destId="{83A2AF38-17A0-43DD-8A16-71CE41810CB7}" srcOrd="0" destOrd="0" presId="urn:microsoft.com/office/officeart/2005/8/layout/hierarchy1"/>
    <dgm:cxn modelId="{144503FA-537D-4105-82B8-E1183E629A8B}" type="presOf" srcId="{2172F5BF-15CD-4454-8C0A-C480B9CD97CB}" destId="{685A9922-A6CD-45B1-BDEB-F102CA0B15B3}" srcOrd="0" destOrd="0" presId="urn:microsoft.com/office/officeart/2005/8/layout/hierarchy1"/>
    <dgm:cxn modelId="{5F0913A1-8343-46ED-8637-B2C8B66D5053}" type="presParOf" srcId="{3BD3D941-C943-4AE4-A988-42D694624577}" destId="{EEE728CA-A92D-4922-A18F-6FD458416C16}" srcOrd="0" destOrd="0" presId="urn:microsoft.com/office/officeart/2005/8/layout/hierarchy1"/>
    <dgm:cxn modelId="{1D0F6428-28DC-4348-AAE4-0A300279DB4B}" type="presParOf" srcId="{EEE728CA-A92D-4922-A18F-6FD458416C16}" destId="{FBB6F5E4-0A77-46F8-BE28-673E0E10B5DE}" srcOrd="0" destOrd="0" presId="urn:microsoft.com/office/officeart/2005/8/layout/hierarchy1"/>
    <dgm:cxn modelId="{2E40FA62-BB8C-495D-8A1D-FC3AB947C1A7}" type="presParOf" srcId="{FBB6F5E4-0A77-46F8-BE28-673E0E10B5DE}" destId="{0D8D58D9-889C-4025-985F-B7183930F631}" srcOrd="0" destOrd="0" presId="urn:microsoft.com/office/officeart/2005/8/layout/hierarchy1"/>
    <dgm:cxn modelId="{943FE1F0-EBD2-48DA-A1AE-63653FF761EE}" type="presParOf" srcId="{FBB6F5E4-0A77-46F8-BE28-673E0E10B5DE}" destId="{2E3ADADE-1BDE-4A55-B70E-14D5CE5BB422}" srcOrd="1" destOrd="0" presId="urn:microsoft.com/office/officeart/2005/8/layout/hierarchy1"/>
    <dgm:cxn modelId="{C7899363-DA75-43ED-BBF5-5FFACCE88F81}" type="presParOf" srcId="{EEE728CA-A92D-4922-A18F-6FD458416C16}" destId="{1512E8E2-3A48-44D0-B862-D3AEEB42A374}" srcOrd="1" destOrd="0" presId="urn:microsoft.com/office/officeart/2005/8/layout/hierarchy1"/>
    <dgm:cxn modelId="{3CAB2171-4478-4234-87DA-665255C9360C}" type="presParOf" srcId="{1512E8E2-3A48-44D0-B862-D3AEEB42A374}" destId="{99D4A8B4-1986-4AC9-9D45-4AC0FA87F5B2}" srcOrd="0" destOrd="0" presId="urn:microsoft.com/office/officeart/2005/8/layout/hierarchy1"/>
    <dgm:cxn modelId="{300A79C3-B757-4344-BBC5-A1DC653B617B}" type="presParOf" srcId="{1512E8E2-3A48-44D0-B862-D3AEEB42A374}" destId="{B511E370-5029-43C9-818D-8B438E449BE4}" srcOrd="1" destOrd="0" presId="urn:microsoft.com/office/officeart/2005/8/layout/hierarchy1"/>
    <dgm:cxn modelId="{15EDB5DE-A4A5-4191-B59A-D0D3365F5463}" type="presParOf" srcId="{B511E370-5029-43C9-818D-8B438E449BE4}" destId="{1620059A-851B-4AEB-954A-0A85EF3DDF9C}" srcOrd="0" destOrd="0" presId="urn:microsoft.com/office/officeart/2005/8/layout/hierarchy1"/>
    <dgm:cxn modelId="{8CAE6B37-B9EA-47E9-8BA1-1C48E261F580}" type="presParOf" srcId="{1620059A-851B-4AEB-954A-0A85EF3DDF9C}" destId="{EC71232B-35A6-4E0D-8F68-E11522B0448D}" srcOrd="0" destOrd="0" presId="urn:microsoft.com/office/officeart/2005/8/layout/hierarchy1"/>
    <dgm:cxn modelId="{AF725CD4-AF6F-4815-B725-4C33FDEE0495}" type="presParOf" srcId="{1620059A-851B-4AEB-954A-0A85EF3DDF9C}" destId="{CE7B08A3-91E8-4CD0-B748-63AA5315C990}" srcOrd="1" destOrd="0" presId="urn:microsoft.com/office/officeart/2005/8/layout/hierarchy1"/>
    <dgm:cxn modelId="{0FDDE99A-4292-4443-ACB3-C1B1B06B9580}" type="presParOf" srcId="{B511E370-5029-43C9-818D-8B438E449BE4}" destId="{181F3AB8-E40F-4C23-A6D8-214E78A35044}" srcOrd="1" destOrd="0" presId="urn:microsoft.com/office/officeart/2005/8/layout/hierarchy1"/>
    <dgm:cxn modelId="{FA8D6528-BD7E-4881-ABED-458C2A33C183}" type="presParOf" srcId="{181F3AB8-E40F-4C23-A6D8-214E78A35044}" destId="{685A9922-A6CD-45B1-BDEB-F102CA0B15B3}" srcOrd="0" destOrd="0" presId="urn:microsoft.com/office/officeart/2005/8/layout/hierarchy1"/>
    <dgm:cxn modelId="{FDE4AE74-A5FF-4741-B1C2-8990921D2621}" type="presParOf" srcId="{181F3AB8-E40F-4C23-A6D8-214E78A35044}" destId="{751C812D-8404-4F13-87AD-18771BD747E9}" srcOrd="1" destOrd="0" presId="urn:microsoft.com/office/officeart/2005/8/layout/hierarchy1"/>
    <dgm:cxn modelId="{6EB4CFB4-2475-4E02-9207-C6B3D29B8127}" type="presParOf" srcId="{751C812D-8404-4F13-87AD-18771BD747E9}" destId="{53EC5A9E-5609-4CA1-883D-A2B286EE2400}" srcOrd="0" destOrd="0" presId="urn:microsoft.com/office/officeart/2005/8/layout/hierarchy1"/>
    <dgm:cxn modelId="{F8E2602B-DC6F-4AB1-B457-84D160FD751B}" type="presParOf" srcId="{53EC5A9E-5609-4CA1-883D-A2B286EE2400}" destId="{161E5F30-13DA-49AC-A282-CDDB3F23097A}" srcOrd="0" destOrd="0" presId="urn:microsoft.com/office/officeart/2005/8/layout/hierarchy1"/>
    <dgm:cxn modelId="{3462D320-6ABA-46AD-910F-83F2A5A0BC88}" type="presParOf" srcId="{53EC5A9E-5609-4CA1-883D-A2B286EE2400}" destId="{EAFDCC49-9E56-42B1-B3E8-83D164CDFA7D}" srcOrd="1" destOrd="0" presId="urn:microsoft.com/office/officeart/2005/8/layout/hierarchy1"/>
    <dgm:cxn modelId="{12A7C036-AC7B-49B1-80D4-CE552C50480C}" type="presParOf" srcId="{751C812D-8404-4F13-87AD-18771BD747E9}" destId="{86B9EE03-20EE-4D09-BAC8-5ECBF36160A6}" srcOrd="1" destOrd="0" presId="urn:microsoft.com/office/officeart/2005/8/layout/hierarchy1"/>
    <dgm:cxn modelId="{5B474D35-E4CA-461B-80D4-B552439E4341}" type="presParOf" srcId="{1512E8E2-3A48-44D0-B862-D3AEEB42A374}" destId="{AFCB0B5C-AE21-46D5-BBA7-E9FBDD242D49}" srcOrd="2" destOrd="0" presId="urn:microsoft.com/office/officeart/2005/8/layout/hierarchy1"/>
    <dgm:cxn modelId="{71A7D30F-09A7-4636-9A25-E4B0707E9156}" type="presParOf" srcId="{1512E8E2-3A48-44D0-B862-D3AEEB42A374}" destId="{D244715A-146A-4243-8AB5-45ADBA5C9C16}" srcOrd="3" destOrd="0" presId="urn:microsoft.com/office/officeart/2005/8/layout/hierarchy1"/>
    <dgm:cxn modelId="{12F9FC1B-07A1-4E93-8298-631C109E1AB4}" type="presParOf" srcId="{D244715A-146A-4243-8AB5-45ADBA5C9C16}" destId="{7E1A43B8-B251-49F2-8CCA-01EE76BB2587}" srcOrd="0" destOrd="0" presId="urn:microsoft.com/office/officeart/2005/8/layout/hierarchy1"/>
    <dgm:cxn modelId="{36FF4921-F2A3-4511-8780-E1163808E74F}" type="presParOf" srcId="{7E1A43B8-B251-49F2-8CCA-01EE76BB2587}" destId="{6DF896E2-5613-4075-9332-D21CCE7E2DED}" srcOrd="0" destOrd="0" presId="urn:microsoft.com/office/officeart/2005/8/layout/hierarchy1"/>
    <dgm:cxn modelId="{18ECF610-546F-4864-9BBF-7D2651735DC1}" type="presParOf" srcId="{7E1A43B8-B251-49F2-8CCA-01EE76BB2587}" destId="{83A2AF38-17A0-43DD-8A16-71CE41810CB7}" srcOrd="1" destOrd="0" presId="urn:microsoft.com/office/officeart/2005/8/layout/hierarchy1"/>
    <dgm:cxn modelId="{C8DB1147-F996-4AB5-86EF-70DB78AC73C1}" type="presParOf" srcId="{D244715A-146A-4243-8AB5-45ADBA5C9C16}" destId="{8BE36D40-D181-49D6-9EF9-0F6B4EE70497}" srcOrd="1" destOrd="0" presId="urn:microsoft.com/office/officeart/2005/8/layout/hierarchy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1E059EF-6D4F-4701-8820-1D274BA1D4FE}" type="doc">
      <dgm:prSet loTypeId="urn:microsoft.com/office/officeart/2005/8/layout/bProcess3" loCatId="process" qsTypeId="urn:microsoft.com/office/officeart/2005/8/quickstyle/simple1" qsCatId="simple" csTypeId="urn:microsoft.com/office/officeart/2005/8/colors/accent1_3" csCatId="accent1" phldr="1"/>
      <dgm:spPr/>
      <dgm:t>
        <a:bodyPr/>
        <a:lstStyle/>
        <a:p>
          <a:endParaRPr lang="en-GB"/>
        </a:p>
      </dgm:t>
    </dgm:pt>
    <dgm:pt modelId="{62825C51-65E7-4DD5-A597-035A2F11D3EC}">
      <dgm:prSet phldrT="[Text]"/>
      <dgm:spPr/>
      <dgm:t>
        <a:bodyPr/>
        <a:lstStyle/>
        <a:p>
          <a:pPr algn="ctr"/>
          <a:r>
            <a:rPr lang="en-GB" dirty="0"/>
            <a:t>First draft</a:t>
          </a:r>
        </a:p>
      </dgm:t>
    </dgm:pt>
    <dgm:pt modelId="{A53B5326-3659-4216-B186-ED70EE9CAAFE}" type="parTrans" cxnId="{AA34345E-D95D-4F59-A826-2A0AC9634174}">
      <dgm:prSet/>
      <dgm:spPr/>
      <dgm:t>
        <a:bodyPr/>
        <a:lstStyle/>
        <a:p>
          <a:pPr algn="ctr"/>
          <a:endParaRPr lang="en-GB"/>
        </a:p>
      </dgm:t>
    </dgm:pt>
    <dgm:pt modelId="{3A570311-3301-4E48-BCE8-4BAC7838D7A1}" type="sibTrans" cxnId="{AA34345E-D95D-4F59-A826-2A0AC9634174}">
      <dgm:prSet/>
      <dgm:spPr/>
      <dgm:t>
        <a:bodyPr/>
        <a:lstStyle/>
        <a:p>
          <a:pPr algn="ctr"/>
          <a:endParaRPr lang="en-GB"/>
        </a:p>
      </dgm:t>
    </dgm:pt>
    <dgm:pt modelId="{B5493B3B-9292-4154-AC43-E3B74C844748}">
      <dgm:prSet phldrT="[Text]"/>
      <dgm:spPr/>
      <dgm:t>
        <a:bodyPr/>
        <a:lstStyle/>
        <a:p>
          <a:pPr algn="ctr"/>
          <a:r>
            <a:rPr lang="en-GB" dirty="0"/>
            <a:t>Peer review</a:t>
          </a:r>
        </a:p>
      </dgm:t>
    </dgm:pt>
    <dgm:pt modelId="{387C72D6-274E-4DE6-9CF3-F7FDC5601C79}" type="parTrans" cxnId="{6C494057-830D-4742-B1C8-5D77FFDC20C5}">
      <dgm:prSet/>
      <dgm:spPr/>
      <dgm:t>
        <a:bodyPr/>
        <a:lstStyle/>
        <a:p>
          <a:pPr algn="ctr"/>
          <a:endParaRPr lang="en-GB"/>
        </a:p>
      </dgm:t>
    </dgm:pt>
    <dgm:pt modelId="{C4F096EB-1DEC-4CBC-A385-4D4EF920C1C4}" type="sibTrans" cxnId="{6C494057-830D-4742-B1C8-5D77FFDC20C5}">
      <dgm:prSet/>
      <dgm:spPr/>
      <dgm:t>
        <a:bodyPr/>
        <a:lstStyle/>
        <a:p>
          <a:pPr algn="ctr"/>
          <a:endParaRPr lang="en-GB"/>
        </a:p>
      </dgm:t>
    </dgm:pt>
    <dgm:pt modelId="{E2E7DAA5-21A2-408A-8B2D-447565BCDA94}">
      <dgm:prSet phldrT="[Text]"/>
      <dgm:spPr/>
      <dgm:t>
        <a:bodyPr/>
        <a:lstStyle/>
        <a:p>
          <a:pPr algn="ctr"/>
          <a:r>
            <a:rPr lang="en-GB" dirty="0"/>
            <a:t>Amends 1</a:t>
          </a:r>
        </a:p>
      </dgm:t>
    </dgm:pt>
    <dgm:pt modelId="{F08779A3-1410-48A2-B80C-9184CC65DCAE}" type="parTrans" cxnId="{B06037AD-5073-48FF-8F68-11CEE2827B54}">
      <dgm:prSet/>
      <dgm:spPr/>
      <dgm:t>
        <a:bodyPr/>
        <a:lstStyle/>
        <a:p>
          <a:pPr algn="ctr"/>
          <a:endParaRPr lang="en-GB"/>
        </a:p>
      </dgm:t>
    </dgm:pt>
    <dgm:pt modelId="{DBE4D8D4-DDC8-4945-B71E-1B22E5AEE8CA}" type="sibTrans" cxnId="{B06037AD-5073-48FF-8F68-11CEE2827B54}">
      <dgm:prSet/>
      <dgm:spPr/>
      <dgm:t>
        <a:bodyPr/>
        <a:lstStyle/>
        <a:p>
          <a:pPr algn="ctr"/>
          <a:endParaRPr lang="en-GB"/>
        </a:p>
      </dgm:t>
    </dgm:pt>
    <dgm:pt modelId="{AE56CDC1-DFE9-4F2D-8FB6-23035ED24563}">
      <dgm:prSet phldrT="[Text]"/>
      <dgm:spPr/>
      <dgm:t>
        <a:bodyPr/>
        <a:lstStyle/>
        <a:p>
          <a:pPr algn="ctr"/>
          <a:r>
            <a:rPr lang="en-GB" dirty="0"/>
            <a:t>Academic review</a:t>
          </a:r>
        </a:p>
      </dgm:t>
    </dgm:pt>
    <dgm:pt modelId="{76234F60-C7EC-4CC9-92F4-E0715B968BC1}" type="parTrans" cxnId="{2AF2B77B-E182-48F7-9912-AA6EFD4D8AEC}">
      <dgm:prSet/>
      <dgm:spPr/>
      <dgm:t>
        <a:bodyPr/>
        <a:lstStyle/>
        <a:p>
          <a:pPr algn="ctr"/>
          <a:endParaRPr lang="en-GB"/>
        </a:p>
      </dgm:t>
    </dgm:pt>
    <dgm:pt modelId="{17C002CA-0B80-4DC3-A956-581A6344EC4F}" type="sibTrans" cxnId="{2AF2B77B-E182-48F7-9912-AA6EFD4D8AEC}">
      <dgm:prSet/>
      <dgm:spPr/>
      <dgm:t>
        <a:bodyPr/>
        <a:lstStyle/>
        <a:p>
          <a:pPr algn="ctr"/>
          <a:endParaRPr lang="en-GB"/>
        </a:p>
      </dgm:t>
    </dgm:pt>
    <dgm:pt modelId="{86DB853A-79FC-43FA-9B18-D828102B867C}">
      <dgm:prSet phldrT="[Text]"/>
      <dgm:spPr/>
      <dgm:t>
        <a:bodyPr/>
        <a:lstStyle/>
        <a:p>
          <a:pPr algn="ctr"/>
          <a:r>
            <a:rPr lang="en-GB" dirty="0"/>
            <a:t>(Translation)</a:t>
          </a:r>
        </a:p>
      </dgm:t>
    </dgm:pt>
    <dgm:pt modelId="{CE384A42-5E69-4963-89C9-26E5F3B710B8}" type="parTrans" cxnId="{E0A8AD16-F761-4AAB-B907-72C1E6C17413}">
      <dgm:prSet/>
      <dgm:spPr/>
      <dgm:t>
        <a:bodyPr/>
        <a:lstStyle/>
        <a:p>
          <a:pPr algn="ctr"/>
          <a:endParaRPr lang="en-GB"/>
        </a:p>
      </dgm:t>
    </dgm:pt>
    <dgm:pt modelId="{F9285A52-B72D-43DF-902D-FA5EFF94460D}" type="sibTrans" cxnId="{E0A8AD16-F761-4AAB-B907-72C1E6C17413}">
      <dgm:prSet/>
      <dgm:spPr/>
      <dgm:t>
        <a:bodyPr/>
        <a:lstStyle/>
        <a:p>
          <a:pPr algn="ctr"/>
          <a:endParaRPr lang="en-GB"/>
        </a:p>
      </dgm:t>
    </dgm:pt>
    <dgm:pt modelId="{FE9DAAB4-7A70-4F15-BFE3-AA0F074D7E08}">
      <dgm:prSet phldrT="[Text]"/>
      <dgm:spPr/>
      <dgm:t>
        <a:bodyPr/>
        <a:lstStyle/>
        <a:p>
          <a:pPr algn="ctr"/>
          <a:r>
            <a:rPr lang="en-GB" dirty="0"/>
            <a:t>Amends 2 </a:t>
          </a:r>
        </a:p>
      </dgm:t>
    </dgm:pt>
    <dgm:pt modelId="{4BBEB902-A5F4-427A-9F84-23D81855517F}" type="parTrans" cxnId="{847FFC33-7B21-4CE6-A0C1-EE4BC9267C1F}">
      <dgm:prSet/>
      <dgm:spPr/>
      <dgm:t>
        <a:bodyPr/>
        <a:lstStyle/>
        <a:p>
          <a:pPr algn="ctr"/>
          <a:endParaRPr lang="en-GB"/>
        </a:p>
      </dgm:t>
    </dgm:pt>
    <dgm:pt modelId="{C4F8D412-B52D-4C45-9915-B48E10D25601}" type="sibTrans" cxnId="{847FFC33-7B21-4CE6-A0C1-EE4BC9267C1F}">
      <dgm:prSet/>
      <dgm:spPr/>
      <dgm:t>
        <a:bodyPr/>
        <a:lstStyle/>
        <a:p>
          <a:pPr algn="ctr"/>
          <a:endParaRPr lang="en-GB"/>
        </a:p>
      </dgm:t>
    </dgm:pt>
    <dgm:pt modelId="{0E72B32B-5B6F-4618-A3BD-B4E282403AE9}">
      <dgm:prSet phldrT="[Text]"/>
      <dgm:spPr/>
      <dgm:t>
        <a:bodyPr/>
        <a:lstStyle/>
        <a:p>
          <a:pPr algn="ctr"/>
          <a:r>
            <a:rPr lang="en-GB" dirty="0"/>
            <a:t>Testing</a:t>
          </a:r>
        </a:p>
      </dgm:t>
    </dgm:pt>
    <dgm:pt modelId="{886DB6C4-1727-4D8D-A2DA-302E73C21004}" type="parTrans" cxnId="{174CE83A-3F13-46E6-94B8-2A9F645A27E7}">
      <dgm:prSet/>
      <dgm:spPr/>
      <dgm:t>
        <a:bodyPr/>
        <a:lstStyle/>
        <a:p>
          <a:pPr algn="ctr"/>
          <a:endParaRPr lang="en-GB"/>
        </a:p>
      </dgm:t>
    </dgm:pt>
    <dgm:pt modelId="{1E71048F-0B9C-4370-927B-2BD28D114D8F}" type="sibTrans" cxnId="{174CE83A-3F13-46E6-94B8-2A9F645A27E7}">
      <dgm:prSet/>
      <dgm:spPr/>
      <dgm:t>
        <a:bodyPr/>
        <a:lstStyle/>
        <a:p>
          <a:pPr algn="ctr"/>
          <a:endParaRPr lang="en-GB"/>
        </a:p>
      </dgm:t>
    </dgm:pt>
    <dgm:pt modelId="{8DFCD477-491C-4EAD-A613-33410C1F284A}">
      <dgm:prSet phldrT="[Text]"/>
      <dgm:spPr/>
      <dgm:t>
        <a:bodyPr/>
        <a:lstStyle/>
        <a:p>
          <a:pPr algn="ctr"/>
          <a:r>
            <a:rPr lang="en-GB" dirty="0"/>
            <a:t>Accessibility check</a:t>
          </a:r>
        </a:p>
      </dgm:t>
    </dgm:pt>
    <dgm:pt modelId="{954F3615-3DC2-408B-93B7-831422CB1A13}" type="parTrans" cxnId="{BCFC495C-EFB1-4B8B-BA3C-0A936B643217}">
      <dgm:prSet/>
      <dgm:spPr/>
      <dgm:t>
        <a:bodyPr/>
        <a:lstStyle/>
        <a:p>
          <a:pPr algn="ctr"/>
          <a:endParaRPr lang="en-GB"/>
        </a:p>
      </dgm:t>
    </dgm:pt>
    <dgm:pt modelId="{B34D3240-F1FE-4173-A2FD-AF1CDD4C82B6}" type="sibTrans" cxnId="{BCFC495C-EFB1-4B8B-BA3C-0A936B643217}">
      <dgm:prSet/>
      <dgm:spPr/>
      <dgm:t>
        <a:bodyPr/>
        <a:lstStyle/>
        <a:p>
          <a:pPr algn="ctr"/>
          <a:endParaRPr lang="en-GB"/>
        </a:p>
      </dgm:t>
    </dgm:pt>
    <dgm:pt modelId="{6E2089BC-9406-4A88-87D1-38A93CB3B57F}">
      <dgm:prSet phldrT="[Text]"/>
      <dgm:spPr/>
      <dgm:t>
        <a:bodyPr/>
        <a:lstStyle/>
        <a:p>
          <a:pPr algn="ctr"/>
          <a:r>
            <a:rPr lang="en-GB" dirty="0"/>
            <a:t>Upload </a:t>
          </a:r>
        </a:p>
      </dgm:t>
    </dgm:pt>
    <dgm:pt modelId="{16A9B628-D030-4512-8057-E34511639344}" type="parTrans" cxnId="{53AFECEF-D6E8-43F5-9BE9-4DB73A23EA37}">
      <dgm:prSet/>
      <dgm:spPr/>
      <dgm:t>
        <a:bodyPr/>
        <a:lstStyle/>
        <a:p>
          <a:pPr algn="ctr"/>
          <a:endParaRPr lang="en-GB"/>
        </a:p>
      </dgm:t>
    </dgm:pt>
    <dgm:pt modelId="{CA986874-E393-4FA4-901E-41D4CF351D91}" type="sibTrans" cxnId="{53AFECEF-D6E8-43F5-9BE9-4DB73A23EA37}">
      <dgm:prSet/>
      <dgm:spPr/>
      <dgm:t>
        <a:bodyPr/>
        <a:lstStyle/>
        <a:p>
          <a:pPr algn="ctr"/>
          <a:endParaRPr lang="en-GB"/>
        </a:p>
      </dgm:t>
    </dgm:pt>
    <dgm:pt modelId="{83975194-661B-46CA-8412-2C2A055C0AEC}" type="pres">
      <dgm:prSet presAssocID="{B1E059EF-6D4F-4701-8820-1D274BA1D4FE}" presName="Name0" presStyleCnt="0">
        <dgm:presLayoutVars>
          <dgm:dir/>
          <dgm:resizeHandles val="exact"/>
        </dgm:presLayoutVars>
      </dgm:prSet>
      <dgm:spPr/>
    </dgm:pt>
    <dgm:pt modelId="{924382FE-6033-4C4F-B99B-95841231DFCA}" type="pres">
      <dgm:prSet presAssocID="{62825C51-65E7-4DD5-A597-035A2F11D3EC}" presName="node" presStyleLbl="node1" presStyleIdx="0" presStyleCnt="9">
        <dgm:presLayoutVars>
          <dgm:bulletEnabled val="1"/>
        </dgm:presLayoutVars>
      </dgm:prSet>
      <dgm:spPr/>
    </dgm:pt>
    <dgm:pt modelId="{A147076B-BABF-4594-AC2C-630FA312F033}" type="pres">
      <dgm:prSet presAssocID="{3A570311-3301-4E48-BCE8-4BAC7838D7A1}" presName="sibTrans" presStyleLbl="sibTrans1D1" presStyleIdx="0" presStyleCnt="8"/>
      <dgm:spPr/>
    </dgm:pt>
    <dgm:pt modelId="{0F9139CC-9163-4053-9E83-04E31F9384D4}" type="pres">
      <dgm:prSet presAssocID="{3A570311-3301-4E48-BCE8-4BAC7838D7A1}" presName="connectorText" presStyleLbl="sibTrans1D1" presStyleIdx="0" presStyleCnt="8"/>
      <dgm:spPr/>
    </dgm:pt>
    <dgm:pt modelId="{0BDA7C24-0AE6-49E4-A75E-B23B2BE1312F}" type="pres">
      <dgm:prSet presAssocID="{B5493B3B-9292-4154-AC43-E3B74C844748}" presName="node" presStyleLbl="node1" presStyleIdx="1" presStyleCnt="9">
        <dgm:presLayoutVars>
          <dgm:bulletEnabled val="1"/>
        </dgm:presLayoutVars>
      </dgm:prSet>
      <dgm:spPr/>
    </dgm:pt>
    <dgm:pt modelId="{2F7ACF11-C086-4169-BEEB-400F539E8327}" type="pres">
      <dgm:prSet presAssocID="{C4F096EB-1DEC-4CBC-A385-4D4EF920C1C4}" presName="sibTrans" presStyleLbl="sibTrans1D1" presStyleIdx="1" presStyleCnt="8"/>
      <dgm:spPr/>
    </dgm:pt>
    <dgm:pt modelId="{84009F0D-911F-4C99-AE43-C059BA8A6C2E}" type="pres">
      <dgm:prSet presAssocID="{C4F096EB-1DEC-4CBC-A385-4D4EF920C1C4}" presName="connectorText" presStyleLbl="sibTrans1D1" presStyleIdx="1" presStyleCnt="8"/>
      <dgm:spPr/>
    </dgm:pt>
    <dgm:pt modelId="{D4ACDABF-9B40-473E-B18B-252D79FD8CE6}" type="pres">
      <dgm:prSet presAssocID="{E2E7DAA5-21A2-408A-8B2D-447565BCDA94}" presName="node" presStyleLbl="node1" presStyleIdx="2" presStyleCnt="9">
        <dgm:presLayoutVars>
          <dgm:bulletEnabled val="1"/>
        </dgm:presLayoutVars>
      </dgm:prSet>
      <dgm:spPr/>
    </dgm:pt>
    <dgm:pt modelId="{AC957E51-9769-4138-BCBA-C5842CC86242}" type="pres">
      <dgm:prSet presAssocID="{DBE4D8D4-DDC8-4945-B71E-1B22E5AEE8CA}" presName="sibTrans" presStyleLbl="sibTrans1D1" presStyleIdx="2" presStyleCnt="8"/>
      <dgm:spPr/>
    </dgm:pt>
    <dgm:pt modelId="{0CDDB183-0173-4841-972B-FA0DEB933C05}" type="pres">
      <dgm:prSet presAssocID="{DBE4D8D4-DDC8-4945-B71E-1B22E5AEE8CA}" presName="connectorText" presStyleLbl="sibTrans1D1" presStyleIdx="2" presStyleCnt="8"/>
      <dgm:spPr/>
    </dgm:pt>
    <dgm:pt modelId="{B30C14B5-7A09-4F76-A7FC-D13A94995FB7}" type="pres">
      <dgm:prSet presAssocID="{AE56CDC1-DFE9-4F2D-8FB6-23035ED24563}" presName="node" presStyleLbl="node1" presStyleIdx="3" presStyleCnt="9">
        <dgm:presLayoutVars>
          <dgm:bulletEnabled val="1"/>
        </dgm:presLayoutVars>
      </dgm:prSet>
      <dgm:spPr/>
    </dgm:pt>
    <dgm:pt modelId="{8036357C-B607-4E57-A8BC-F7D0699F51DD}" type="pres">
      <dgm:prSet presAssocID="{17C002CA-0B80-4DC3-A956-581A6344EC4F}" presName="sibTrans" presStyleLbl="sibTrans1D1" presStyleIdx="3" presStyleCnt="8"/>
      <dgm:spPr/>
    </dgm:pt>
    <dgm:pt modelId="{CF574C8D-E2AA-43FC-B875-534D950A3FAA}" type="pres">
      <dgm:prSet presAssocID="{17C002CA-0B80-4DC3-A956-581A6344EC4F}" presName="connectorText" presStyleLbl="sibTrans1D1" presStyleIdx="3" presStyleCnt="8"/>
      <dgm:spPr/>
    </dgm:pt>
    <dgm:pt modelId="{E7652844-4C50-4807-87B4-90E4EECCFD0F}" type="pres">
      <dgm:prSet presAssocID="{FE9DAAB4-7A70-4F15-BFE3-AA0F074D7E08}" presName="node" presStyleLbl="node1" presStyleIdx="4" presStyleCnt="9">
        <dgm:presLayoutVars>
          <dgm:bulletEnabled val="1"/>
        </dgm:presLayoutVars>
      </dgm:prSet>
      <dgm:spPr/>
    </dgm:pt>
    <dgm:pt modelId="{71EA65B3-C5FB-46C5-95F9-4EFEF4B2352B}" type="pres">
      <dgm:prSet presAssocID="{C4F8D412-B52D-4C45-9915-B48E10D25601}" presName="sibTrans" presStyleLbl="sibTrans1D1" presStyleIdx="4" presStyleCnt="8"/>
      <dgm:spPr/>
    </dgm:pt>
    <dgm:pt modelId="{89657348-4DCB-430E-A107-5A8996866CD1}" type="pres">
      <dgm:prSet presAssocID="{C4F8D412-B52D-4C45-9915-B48E10D25601}" presName="connectorText" presStyleLbl="sibTrans1D1" presStyleIdx="4" presStyleCnt="8"/>
      <dgm:spPr/>
    </dgm:pt>
    <dgm:pt modelId="{F30EC92F-C4C2-48B6-821A-60F74F7D05FD}" type="pres">
      <dgm:prSet presAssocID="{0E72B32B-5B6F-4618-A3BD-B4E282403AE9}" presName="node" presStyleLbl="node1" presStyleIdx="5" presStyleCnt="9">
        <dgm:presLayoutVars>
          <dgm:bulletEnabled val="1"/>
        </dgm:presLayoutVars>
      </dgm:prSet>
      <dgm:spPr/>
    </dgm:pt>
    <dgm:pt modelId="{2E2016BB-EFE4-44D0-8CBB-D6244E02F16F}" type="pres">
      <dgm:prSet presAssocID="{1E71048F-0B9C-4370-927B-2BD28D114D8F}" presName="sibTrans" presStyleLbl="sibTrans1D1" presStyleIdx="5" presStyleCnt="8"/>
      <dgm:spPr/>
    </dgm:pt>
    <dgm:pt modelId="{96F2D517-D918-499A-9D67-4E5B7F6A6E2D}" type="pres">
      <dgm:prSet presAssocID="{1E71048F-0B9C-4370-927B-2BD28D114D8F}" presName="connectorText" presStyleLbl="sibTrans1D1" presStyleIdx="5" presStyleCnt="8"/>
      <dgm:spPr/>
    </dgm:pt>
    <dgm:pt modelId="{AB7B6D00-73E6-4F6E-AB6F-E9D08D6FECD5}" type="pres">
      <dgm:prSet presAssocID="{8DFCD477-491C-4EAD-A613-33410C1F284A}" presName="node" presStyleLbl="node1" presStyleIdx="6" presStyleCnt="9">
        <dgm:presLayoutVars>
          <dgm:bulletEnabled val="1"/>
        </dgm:presLayoutVars>
      </dgm:prSet>
      <dgm:spPr/>
    </dgm:pt>
    <dgm:pt modelId="{FAFAA436-B429-4035-9F95-E3136D32360D}" type="pres">
      <dgm:prSet presAssocID="{B34D3240-F1FE-4173-A2FD-AF1CDD4C82B6}" presName="sibTrans" presStyleLbl="sibTrans1D1" presStyleIdx="6" presStyleCnt="8"/>
      <dgm:spPr/>
    </dgm:pt>
    <dgm:pt modelId="{8023C818-2158-431D-AE90-8F63F9F5F9C3}" type="pres">
      <dgm:prSet presAssocID="{B34D3240-F1FE-4173-A2FD-AF1CDD4C82B6}" presName="connectorText" presStyleLbl="sibTrans1D1" presStyleIdx="6" presStyleCnt="8"/>
      <dgm:spPr/>
    </dgm:pt>
    <dgm:pt modelId="{BBCCEE3D-04F9-4507-8C76-4C3003B6461F}" type="pres">
      <dgm:prSet presAssocID="{86DB853A-79FC-43FA-9B18-D828102B867C}" presName="node" presStyleLbl="node1" presStyleIdx="7" presStyleCnt="9">
        <dgm:presLayoutVars>
          <dgm:bulletEnabled val="1"/>
        </dgm:presLayoutVars>
      </dgm:prSet>
      <dgm:spPr/>
    </dgm:pt>
    <dgm:pt modelId="{AEB488F9-0443-4276-A9FD-90497B2FC999}" type="pres">
      <dgm:prSet presAssocID="{F9285A52-B72D-43DF-902D-FA5EFF94460D}" presName="sibTrans" presStyleLbl="sibTrans1D1" presStyleIdx="7" presStyleCnt="8"/>
      <dgm:spPr/>
    </dgm:pt>
    <dgm:pt modelId="{613B3DE0-0556-4CBC-B561-22294482588F}" type="pres">
      <dgm:prSet presAssocID="{F9285A52-B72D-43DF-902D-FA5EFF94460D}" presName="connectorText" presStyleLbl="sibTrans1D1" presStyleIdx="7" presStyleCnt="8"/>
      <dgm:spPr/>
    </dgm:pt>
    <dgm:pt modelId="{E84F1732-AFC0-4E8A-8346-FA66E6D1F154}" type="pres">
      <dgm:prSet presAssocID="{6E2089BC-9406-4A88-87D1-38A93CB3B57F}" presName="node" presStyleLbl="node1" presStyleIdx="8" presStyleCnt="9">
        <dgm:presLayoutVars>
          <dgm:bulletEnabled val="1"/>
        </dgm:presLayoutVars>
      </dgm:prSet>
      <dgm:spPr/>
    </dgm:pt>
  </dgm:ptLst>
  <dgm:cxnLst>
    <dgm:cxn modelId="{5F134105-0808-4822-8DDD-613309DD5EEB}" type="presOf" srcId="{86DB853A-79FC-43FA-9B18-D828102B867C}" destId="{BBCCEE3D-04F9-4507-8C76-4C3003B6461F}" srcOrd="0" destOrd="0" presId="urn:microsoft.com/office/officeart/2005/8/layout/bProcess3"/>
    <dgm:cxn modelId="{DE019C0D-A43A-42F3-ACE6-D2A14B04FD07}" type="presOf" srcId="{B34D3240-F1FE-4173-A2FD-AF1CDD4C82B6}" destId="{8023C818-2158-431D-AE90-8F63F9F5F9C3}" srcOrd="1" destOrd="0" presId="urn:microsoft.com/office/officeart/2005/8/layout/bProcess3"/>
    <dgm:cxn modelId="{D404E70F-65A9-4B56-99B5-1EF8CFC68EB4}" type="presOf" srcId="{3A570311-3301-4E48-BCE8-4BAC7838D7A1}" destId="{A147076B-BABF-4594-AC2C-630FA312F033}" srcOrd="0" destOrd="0" presId="urn:microsoft.com/office/officeart/2005/8/layout/bProcess3"/>
    <dgm:cxn modelId="{E0A8AD16-F761-4AAB-B907-72C1E6C17413}" srcId="{B1E059EF-6D4F-4701-8820-1D274BA1D4FE}" destId="{86DB853A-79FC-43FA-9B18-D828102B867C}" srcOrd="7" destOrd="0" parTransId="{CE384A42-5E69-4963-89C9-26E5F3B710B8}" sibTransId="{F9285A52-B72D-43DF-902D-FA5EFF94460D}"/>
    <dgm:cxn modelId="{847FFC33-7B21-4CE6-A0C1-EE4BC9267C1F}" srcId="{B1E059EF-6D4F-4701-8820-1D274BA1D4FE}" destId="{FE9DAAB4-7A70-4F15-BFE3-AA0F074D7E08}" srcOrd="4" destOrd="0" parTransId="{4BBEB902-A5F4-427A-9F84-23D81855517F}" sibTransId="{C4F8D412-B52D-4C45-9915-B48E10D25601}"/>
    <dgm:cxn modelId="{174CE83A-3F13-46E6-94B8-2A9F645A27E7}" srcId="{B1E059EF-6D4F-4701-8820-1D274BA1D4FE}" destId="{0E72B32B-5B6F-4618-A3BD-B4E282403AE9}" srcOrd="5" destOrd="0" parTransId="{886DB6C4-1727-4D8D-A2DA-302E73C21004}" sibTransId="{1E71048F-0B9C-4370-927B-2BD28D114D8F}"/>
    <dgm:cxn modelId="{BCFC495C-EFB1-4B8B-BA3C-0A936B643217}" srcId="{B1E059EF-6D4F-4701-8820-1D274BA1D4FE}" destId="{8DFCD477-491C-4EAD-A613-33410C1F284A}" srcOrd="6" destOrd="0" parTransId="{954F3615-3DC2-408B-93B7-831422CB1A13}" sibTransId="{B34D3240-F1FE-4173-A2FD-AF1CDD4C82B6}"/>
    <dgm:cxn modelId="{AA34345E-D95D-4F59-A826-2A0AC9634174}" srcId="{B1E059EF-6D4F-4701-8820-1D274BA1D4FE}" destId="{62825C51-65E7-4DD5-A597-035A2F11D3EC}" srcOrd="0" destOrd="0" parTransId="{A53B5326-3659-4216-B186-ED70EE9CAAFE}" sibTransId="{3A570311-3301-4E48-BCE8-4BAC7838D7A1}"/>
    <dgm:cxn modelId="{4E7D955E-7B6A-48EF-BDF3-375C5DEBB5AD}" type="presOf" srcId="{C4F096EB-1DEC-4CBC-A385-4D4EF920C1C4}" destId="{84009F0D-911F-4C99-AE43-C059BA8A6C2E}" srcOrd="1" destOrd="0" presId="urn:microsoft.com/office/officeart/2005/8/layout/bProcess3"/>
    <dgm:cxn modelId="{93D7FC66-2070-4FDA-BE2F-BAF7A1CD6271}" type="presOf" srcId="{AE56CDC1-DFE9-4F2D-8FB6-23035ED24563}" destId="{B30C14B5-7A09-4F76-A7FC-D13A94995FB7}" srcOrd="0" destOrd="0" presId="urn:microsoft.com/office/officeart/2005/8/layout/bProcess3"/>
    <dgm:cxn modelId="{52C57E47-D327-4EA7-A756-B82F3F04C9FF}" type="presOf" srcId="{DBE4D8D4-DDC8-4945-B71E-1B22E5AEE8CA}" destId="{AC957E51-9769-4138-BCBA-C5842CC86242}" srcOrd="0" destOrd="0" presId="urn:microsoft.com/office/officeart/2005/8/layout/bProcess3"/>
    <dgm:cxn modelId="{8FB4574B-CCC6-47A4-96C8-924E0282C836}" type="presOf" srcId="{17C002CA-0B80-4DC3-A956-581A6344EC4F}" destId="{CF574C8D-E2AA-43FC-B875-534D950A3FAA}" srcOrd="1" destOrd="0" presId="urn:microsoft.com/office/officeart/2005/8/layout/bProcess3"/>
    <dgm:cxn modelId="{22DFE96B-D8AB-4E1D-B687-6FABDA0C5D57}" type="presOf" srcId="{3A570311-3301-4E48-BCE8-4BAC7838D7A1}" destId="{0F9139CC-9163-4053-9E83-04E31F9384D4}" srcOrd="1" destOrd="0" presId="urn:microsoft.com/office/officeart/2005/8/layout/bProcess3"/>
    <dgm:cxn modelId="{89B72C53-41E0-4951-9325-0A1FF2B33758}" type="presOf" srcId="{8DFCD477-491C-4EAD-A613-33410C1F284A}" destId="{AB7B6D00-73E6-4F6E-AB6F-E9D08D6FECD5}" srcOrd="0" destOrd="0" presId="urn:microsoft.com/office/officeart/2005/8/layout/bProcess3"/>
    <dgm:cxn modelId="{6C494057-830D-4742-B1C8-5D77FFDC20C5}" srcId="{B1E059EF-6D4F-4701-8820-1D274BA1D4FE}" destId="{B5493B3B-9292-4154-AC43-E3B74C844748}" srcOrd="1" destOrd="0" parTransId="{387C72D6-274E-4DE6-9CF3-F7FDC5601C79}" sibTransId="{C4F096EB-1DEC-4CBC-A385-4D4EF920C1C4}"/>
    <dgm:cxn modelId="{A2B84E57-50F7-4286-AAB8-6706D3C77172}" type="presOf" srcId="{DBE4D8D4-DDC8-4945-B71E-1B22E5AEE8CA}" destId="{0CDDB183-0173-4841-972B-FA0DEB933C05}" srcOrd="1" destOrd="0" presId="urn:microsoft.com/office/officeart/2005/8/layout/bProcess3"/>
    <dgm:cxn modelId="{2AF2B77B-E182-48F7-9912-AA6EFD4D8AEC}" srcId="{B1E059EF-6D4F-4701-8820-1D274BA1D4FE}" destId="{AE56CDC1-DFE9-4F2D-8FB6-23035ED24563}" srcOrd="3" destOrd="0" parTransId="{76234F60-C7EC-4CC9-92F4-E0715B968BC1}" sibTransId="{17C002CA-0B80-4DC3-A956-581A6344EC4F}"/>
    <dgm:cxn modelId="{94F4F17D-31DF-4083-98E2-18A6B80AD60C}" type="presOf" srcId="{FE9DAAB4-7A70-4F15-BFE3-AA0F074D7E08}" destId="{E7652844-4C50-4807-87B4-90E4EECCFD0F}" srcOrd="0" destOrd="0" presId="urn:microsoft.com/office/officeart/2005/8/layout/bProcess3"/>
    <dgm:cxn modelId="{D84E8C89-C374-4A72-A35D-13597477712A}" type="presOf" srcId="{E2E7DAA5-21A2-408A-8B2D-447565BCDA94}" destId="{D4ACDABF-9B40-473E-B18B-252D79FD8CE6}" srcOrd="0" destOrd="0" presId="urn:microsoft.com/office/officeart/2005/8/layout/bProcess3"/>
    <dgm:cxn modelId="{56314394-11DA-42D6-B9D7-6810D8F8F3B8}" type="presOf" srcId="{C4F096EB-1DEC-4CBC-A385-4D4EF920C1C4}" destId="{2F7ACF11-C086-4169-BEEB-400F539E8327}" srcOrd="0" destOrd="0" presId="urn:microsoft.com/office/officeart/2005/8/layout/bProcess3"/>
    <dgm:cxn modelId="{D93B6496-A1D9-4603-B3A8-786FE9A6E981}" type="presOf" srcId="{B1E059EF-6D4F-4701-8820-1D274BA1D4FE}" destId="{83975194-661B-46CA-8412-2C2A055C0AEC}" srcOrd="0" destOrd="0" presId="urn:microsoft.com/office/officeart/2005/8/layout/bProcess3"/>
    <dgm:cxn modelId="{EE491A9A-C385-4ED7-9E10-8B5D4EA1E5F9}" type="presOf" srcId="{B5493B3B-9292-4154-AC43-E3B74C844748}" destId="{0BDA7C24-0AE6-49E4-A75E-B23B2BE1312F}" srcOrd="0" destOrd="0" presId="urn:microsoft.com/office/officeart/2005/8/layout/bProcess3"/>
    <dgm:cxn modelId="{41FC8B9D-9D11-4858-9BA8-26015B6F5D61}" type="presOf" srcId="{F9285A52-B72D-43DF-902D-FA5EFF94460D}" destId="{AEB488F9-0443-4276-A9FD-90497B2FC999}" srcOrd="0" destOrd="0" presId="urn:microsoft.com/office/officeart/2005/8/layout/bProcess3"/>
    <dgm:cxn modelId="{E240D99F-3761-4BB5-B68C-1934873DA165}" type="presOf" srcId="{F9285A52-B72D-43DF-902D-FA5EFF94460D}" destId="{613B3DE0-0556-4CBC-B561-22294482588F}" srcOrd="1" destOrd="0" presId="urn:microsoft.com/office/officeart/2005/8/layout/bProcess3"/>
    <dgm:cxn modelId="{494ACEA4-2E92-4755-855D-9061CC86C0E0}" type="presOf" srcId="{6E2089BC-9406-4A88-87D1-38A93CB3B57F}" destId="{E84F1732-AFC0-4E8A-8346-FA66E6D1F154}" srcOrd="0" destOrd="0" presId="urn:microsoft.com/office/officeart/2005/8/layout/bProcess3"/>
    <dgm:cxn modelId="{B06037AD-5073-48FF-8F68-11CEE2827B54}" srcId="{B1E059EF-6D4F-4701-8820-1D274BA1D4FE}" destId="{E2E7DAA5-21A2-408A-8B2D-447565BCDA94}" srcOrd="2" destOrd="0" parTransId="{F08779A3-1410-48A2-B80C-9184CC65DCAE}" sibTransId="{DBE4D8D4-DDC8-4945-B71E-1B22E5AEE8CA}"/>
    <dgm:cxn modelId="{2BDB4FC0-1381-49AF-80C7-A77519747A0F}" type="presOf" srcId="{C4F8D412-B52D-4C45-9915-B48E10D25601}" destId="{71EA65B3-C5FB-46C5-95F9-4EFEF4B2352B}" srcOrd="0" destOrd="0" presId="urn:microsoft.com/office/officeart/2005/8/layout/bProcess3"/>
    <dgm:cxn modelId="{F2D957C1-D6EE-491E-B869-760E4E65A0D8}" type="presOf" srcId="{B34D3240-F1FE-4173-A2FD-AF1CDD4C82B6}" destId="{FAFAA436-B429-4035-9F95-E3136D32360D}" srcOrd="0" destOrd="0" presId="urn:microsoft.com/office/officeart/2005/8/layout/bProcess3"/>
    <dgm:cxn modelId="{F96729D3-1F49-4B93-AC1A-BCECC050A7F3}" type="presOf" srcId="{17C002CA-0B80-4DC3-A956-581A6344EC4F}" destId="{8036357C-B607-4E57-A8BC-F7D0699F51DD}" srcOrd="0" destOrd="0" presId="urn:microsoft.com/office/officeart/2005/8/layout/bProcess3"/>
    <dgm:cxn modelId="{2A9FB7D9-27A3-463E-8C92-DFAB140EF05E}" type="presOf" srcId="{1E71048F-0B9C-4370-927B-2BD28D114D8F}" destId="{96F2D517-D918-499A-9D67-4E5B7F6A6E2D}" srcOrd="1" destOrd="0" presId="urn:microsoft.com/office/officeart/2005/8/layout/bProcess3"/>
    <dgm:cxn modelId="{2AEFF9DB-FE3E-4F13-A6B5-E9C9C421151F}" type="presOf" srcId="{1E71048F-0B9C-4370-927B-2BD28D114D8F}" destId="{2E2016BB-EFE4-44D0-8CBB-D6244E02F16F}" srcOrd="0" destOrd="0" presId="urn:microsoft.com/office/officeart/2005/8/layout/bProcess3"/>
    <dgm:cxn modelId="{8A0CACE2-DABB-4AD9-901C-2CF9140818B3}" type="presOf" srcId="{0E72B32B-5B6F-4618-A3BD-B4E282403AE9}" destId="{F30EC92F-C4C2-48B6-821A-60F74F7D05FD}" srcOrd="0" destOrd="0" presId="urn:microsoft.com/office/officeart/2005/8/layout/bProcess3"/>
    <dgm:cxn modelId="{53AFECEF-D6E8-43F5-9BE9-4DB73A23EA37}" srcId="{B1E059EF-6D4F-4701-8820-1D274BA1D4FE}" destId="{6E2089BC-9406-4A88-87D1-38A93CB3B57F}" srcOrd="8" destOrd="0" parTransId="{16A9B628-D030-4512-8057-E34511639344}" sibTransId="{CA986874-E393-4FA4-901E-41D4CF351D91}"/>
    <dgm:cxn modelId="{E630C9F5-34B2-4F49-8E62-5C2E31BFEE26}" type="presOf" srcId="{62825C51-65E7-4DD5-A597-035A2F11D3EC}" destId="{924382FE-6033-4C4F-B99B-95841231DFCA}" srcOrd="0" destOrd="0" presId="urn:microsoft.com/office/officeart/2005/8/layout/bProcess3"/>
    <dgm:cxn modelId="{AF6B1CFE-E3DD-49A3-8623-0939BF1A21FA}" type="presOf" srcId="{C4F8D412-B52D-4C45-9915-B48E10D25601}" destId="{89657348-4DCB-430E-A107-5A8996866CD1}" srcOrd="1" destOrd="0" presId="urn:microsoft.com/office/officeart/2005/8/layout/bProcess3"/>
    <dgm:cxn modelId="{916A40A5-83DD-4C19-AA32-398F168DFD17}" type="presParOf" srcId="{83975194-661B-46CA-8412-2C2A055C0AEC}" destId="{924382FE-6033-4C4F-B99B-95841231DFCA}" srcOrd="0" destOrd="0" presId="urn:microsoft.com/office/officeart/2005/8/layout/bProcess3"/>
    <dgm:cxn modelId="{113046BA-40A7-4A8D-8C32-BDD9763C33FB}" type="presParOf" srcId="{83975194-661B-46CA-8412-2C2A055C0AEC}" destId="{A147076B-BABF-4594-AC2C-630FA312F033}" srcOrd="1" destOrd="0" presId="urn:microsoft.com/office/officeart/2005/8/layout/bProcess3"/>
    <dgm:cxn modelId="{06E44D78-0E87-465A-A1FB-7651B73004AF}" type="presParOf" srcId="{A147076B-BABF-4594-AC2C-630FA312F033}" destId="{0F9139CC-9163-4053-9E83-04E31F9384D4}" srcOrd="0" destOrd="0" presId="urn:microsoft.com/office/officeart/2005/8/layout/bProcess3"/>
    <dgm:cxn modelId="{7D1E4E0A-8CDE-4B9C-BC4F-D832FCD72D82}" type="presParOf" srcId="{83975194-661B-46CA-8412-2C2A055C0AEC}" destId="{0BDA7C24-0AE6-49E4-A75E-B23B2BE1312F}" srcOrd="2" destOrd="0" presId="urn:microsoft.com/office/officeart/2005/8/layout/bProcess3"/>
    <dgm:cxn modelId="{C33BD04E-2F29-45AB-8874-F05B036A2F78}" type="presParOf" srcId="{83975194-661B-46CA-8412-2C2A055C0AEC}" destId="{2F7ACF11-C086-4169-BEEB-400F539E8327}" srcOrd="3" destOrd="0" presId="urn:microsoft.com/office/officeart/2005/8/layout/bProcess3"/>
    <dgm:cxn modelId="{EC3C64AA-4F36-456D-ADF9-F89C3A431F61}" type="presParOf" srcId="{2F7ACF11-C086-4169-BEEB-400F539E8327}" destId="{84009F0D-911F-4C99-AE43-C059BA8A6C2E}" srcOrd="0" destOrd="0" presId="urn:microsoft.com/office/officeart/2005/8/layout/bProcess3"/>
    <dgm:cxn modelId="{AE855037-F002-4339-A97F-A74B1526F4D6}" type="presParOf" srcId="{83975194-661B-46CA-8412-2C2A055C0AEC}" destId="{D4ACDABF-9B40-473E-B18B-252D79FD8CE6}" srcOrd="4" destOrd="0" presId="urn:microsoft.com/office/officeart/2005/8/layout/bProcess3"/>
    <dgm:cxn modelId="{EEEEF89A-FAC9-4473-9370-EF87EF3DC8DC}" type="presParOf" srcId="{83975194-661B-46CA-8412-2C2A055C0AEC}" destId="{AC957E51-9769-4138-BCBA-C5842CC86242}" srcOrd="5" destOrd="0" presId="urn:microsoft.com/office/officeart/2005/8/layout/bProcess3"/>
    <dgm:cxn modelId="{E5A66D28-F29B-402B-A3C0-1B76CBEBCEB7}" type="presParOf" srcId="{AC957E51-9769-4138-BCBA-C5842CC86242}" destId="{0CDDB183-0173-4841-972B-FA0DEB933C05}" srcOrd="0" destOrd="0" presId="urn:microsoft.com/office/officeart/2005/8/layout/bProcess3"/>
    <dgm:cxn modelId="{595781C2-FFE2-4EF9-A178-FB6FC847AF60}" type="presParOf" srcId="{83975194-661B-46CA-8412-2C2A055C0AEC}" destId="{B30C14B5-7A09-4F76-A7FC-D13A94995FB7}" srcOrd="6" destOrd="0" presId="urn:microsoft.com/office/officeart/2005/8/layout/bProcess3"/>
    <dgm:cxn modelId="{5048764E-75BD-406C-8620-62F7615AF392}" type="presParOf" srcId="{83975194-661B-46CA-8412-2C2A055C0AEC}" destId="{8036357C-B607-4E57-A8BC-F7D0699F51DD}" srcOrd="7" destOrd="0" presId="urn:microsoft.com/office/officeart/2005/8/layout/bProcess3"/>
    <dgm:cxn modelId="{B8B412DB-92C5-4A2C-BC08-2CC92703C8CB}" type="presParOf" srcId="{8036357C-B607-4E57-A8BC-F7D0699F51DD}" destId="{CF574C8D-E2AA-43FC-B875-534D950A3FAA}" srcOrd="0" destOrd="0" presId="urn:microsoft.com/office/officeart/2005/8/layout/bProcess3"/>
    <dgm:cxn modelId="{21A57E88-1594-49EF-939C-CC1E4AFF5349}" type="presParOf" srcId="{83975194-661B-46CA-8412-2C2A055C0AEC}" destId="{E7652844-4C50-4807-87B4-90E4EECCFD0F}" srcOrd="8" destOrd="0" presId="urn:microsoft.com/office/officeart/2005/8/layout/bProcess3"/>
    <dgm:cxn modelId="{5A4C0BD7-4A4A-4E97-98BC-2E1F8F5809E6}" type="presParOf" srcId="{83975194-661B-46CA-8412-2C2A055C0AEC}" destId="{71EA65B3-C5FB-46C5-95F9-4EFEF4B2352B}" srcOrd="9" destOrd="0" presId="urn:microsoft.com/office/officeart/2005/8/layout/bProcess3"/>
    <dgm:cxn modelId="{776032D2-CC75-4E0B-8C9B-8AFCE066E1ED}" type="presParOf" srcId="{71EA65B3-C5FB-46C5-95F9-4EFEF4B2352B}" destId="{89657348-4DCB-430E-A107-5A8996866CD1}" srcOrd="0" destOrd="0" presId="urn:microsoft.com/office/officeart/2005/8/layout/bProcess3"/>
    <dgm:cxn modelId="{A10203DA-575E-426E-86F0-1BA96FEFF107}" type="presParOf" srcId="{83975194-661B-46CA-8412-2C2A055C0AEC}" destId="{F30EC92F-C4C2-48B6-821A-60F74F7D05FD}" srcOrd="10" destOrd="0" presId="urn:microsoft.com/office/officeart/2005/8/layout/bProcess3"/>
    <dgm:cxn modelId="{530200C9-B728-40B5-8BD7-24A4E81E4D99}" type="presParOf" srcId="{83975194-661B-46CA-8412-2C2A055C0AEC}" destId="{2E2016BB-EFE4-44D0-8CBB-D6244E02F16F}" srcOrd="11" destOrd="0" presId="urn:microsoft.com/office/officeart/2005/8/layout/bProcess3"/>
    <dgm:cxn modelId="{9885B100-F5E4-4D21-ADDA-F838528A4F10}" type="presParOf" srcId="{2E2016BB-EFE4-44D0-8CBB-D6244E02F16F}" destId="{96F2D517-D918-499A-9D67-4E5B7F6A6E2D}" srcOrd="0" destOrd="0" presId="urn:microsoft.com/office/officeart/2005/8/layout/bProcess3"/>
    <dgm:cxn modelId="{FBBFE156-AA3B-468D-9B37-DFFE2F2C208D}" type="presParOf" srcId="{83975194-661B-46CA-8412-2C2A055C0AEC}" destId="{AB7B6D00-73E6-4F6E-AB6F-E9D08D6FECD5}" srcOrd="12" destOrd="0" presId="urn:microsoft.com/office/officeart/2005/8/layout/bProcess3"/>
    <dgm:cxn modelId="{30419C4F-BF1F-414D-B06C-0D5712B016CF}" type="presParOf" srcId="{83975194-661B-46CA-8412-2C2A055C0AEC}" destId="{FAFAA436-B429-4035-9F95-E3136D32360D}" srcOrd="13" destOrd="0" presId="urn:microsoft.com/office/officeart/2005/8/layout/bProcess3"/>
    <dgm:cxn modelId="{104A983B-88C1-4E58-BBC3-670FDAFDB767}" type="presParOf" srcId="{FAFAA436-B429-4035-9F95-E3136D32360D}" destId="{8023C818-2158-431D-AE90-8F63F9F5F9C3}" srcOrd="0" destOrd="0" presId="urn:microsoft.com/office/officeart/2005/8/layout/bProcess3"/>
    <dgm:cxn modelId="{DBF6B660-1779-4C33-BCF6-73A67F030DC4}" type="presParOf" srcId="{83975194-661B-46CA-8412-2C2A055C0AEC}" destId="{BBCCEE3D-04F9-4507-8C76-4C3003B6461F}" srcOrd="14" destOrd="0" presId="urn:microsoft.com/office/officeart/2005/8/layout/bProcess3"/>
    <dgm:cxn modelId="{AD28B216-9B6F-4C85-9DDB-D4831F84689C}" type="presParOf" srcId="{83975194-661B-46CA-8412-2C2A055C0AEC}" destId="{AEB488F9-0443-4276-A9FD-90497B2FC999}" srcOrd="15" destOrd="0" presId="urn:microsoft.com/office/officeart/2005/8/layout/bProcess3"/>
    <dgm:cxn modelId="{A6BFA503-FD8D-47DC-B903-59BEB5D2C810}" type="presParOf" srcId="{AEB488F9-0443-4276-A9FD-90497B2FC999}" destId="{613B3DE0-0556-4CBC-B561-22294482588F}" srcOrd="0" destOrd="0" presId="urn:microsoft.com/office/officeart/2005/8/layout/bProcess3"/>
    <dgm:cxn modelId="{A872AE6D-E8E9-4DE9-9CD0-A81134FD909D}" type="presParOf" srcId="{83975194-661B-46CA-8412-2C2A055C0AEC}" destId="{E84F1732-AFC0-4E8A-8346-FA66E6D1F154}" srcOrd="16" destOrd="0" presId="urn:microsoft.com/office/officeart/2005/8/layout/bProcess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D19D7AF-0A5E-4AF1-91BF-EE25B3F7E8B6}" type="doc">
      <dgm:prSet loTypeId="urn:microsoft.com/office/officeart/2005/8/layout/pyramid3" loCatId="pyramid" qsTypeId="urn:microsoft.com/office/officeart/2005/8/quickstyle/simple1" qsCatId="simple" csTypeId="urn:microsoft.com/office/officeart/2005/8/colors/colorful5" csCatId="colorful" phldr="1"/>
      <dgm:spPr/>
    </dgm:pt>
    <dgm:pt modelId="{BA486719-0FD0-4A65-B0C1-6AD28468B166}">
      <dgm:prSet phldrT="[Text]" custT="1"/>
      <dgm:spPr/>
      <dgm:t>
        <a:bodyPr/>
        <a:lstStyle/>
        <a:p>
          <a:r>
            <a:rPr lang="en-GB" sz="1100"/>
            <a:t>L3 - Self-help resources and support</a:t>
          </a:r>
        </a:p>
      </dgm:t>
    </dgm:pt>
    <dgm:pt modelId="{02418C53-1212-4FB5-A2F0-323334EBAF53}" type="parTrans" cxnId="{F06EFDBE-44BA-4EB7-81AD-613446C59F19}">
      <dgm:prSet/>
      <dgm:spPr/>
      <dgm:t>
        <a:bodyPr/>
        <a:lstStyle/>
        <a:p>
          <a:endParaRPr lang="en-GB" sz="1200"/>
        </a:p>
      </dgm:t>
    </dgm:pt>
    <dgm:pt modelId="{6FCEBEEF-8684-4E8B-A442-4DA743A1495B}" type="sibTrans" cxnId="{F06EFDBE-44BA-4EB7-81AD-613446C59F19}">
      <dgm:prSet/>
      <dgm:spPr/>
      <dgm:t>
        <a:bodyPr/>
        <a:lstStyle/>
        <a:p>
          <a:endParaRPr lang="en-GB" sz="1200"/>
        </a:p>
      </dgm:t>
    </dgm:pt>
    <dgm:pt modelId="{3180145C-01B9-447B-B213-8FF9B4749748}">
      <dgm:prSet phldrT="[Text]" custT="1"/>
      <dgm:spPr/>
      <dgm:t>
        <a:bodyPr/>
        <a:lstStyle/>
        <a:p>
          <a:r>
            <a:rPr lang="en-GB" sz="1100"/>
            <a:t>L2 - Ad hoc support</a:t>
          </a:r>
        </a:p>
      </dgm:t>
    </dgm:pt>
    <dgm:pt modelId="{0C6EA384-20C2-4FE0-B61F-78DBF5927955}" type="parTrans" cxnId="{277784EA-B6F2-40F6-83C2-CAFFAAD9E4D4}">
      <dgm:prSet/>
      <dgm:spPr/>
      <dgm:t>
        <a:bodyPr/>
        <a:lstStyle/>
        <a:p>
          <a:endParaRPr lang="en-GB" sz="1200"/>
        </a:p>
      </dgm:t>
    </dgm:pt>
    <dgm:pt modelId="{27217457-C73F-4C7A-B31C-CE4F64F05FFE}" type="sibTrans" cxnId="{277784EA-B6F2-40F6-83C2-CAFFAAD9E4D4}">
      <dgm:prSet/>
      <dgm:spPr/>
      <dgm:t>
        <a:bodyPr/>
        <a:lstStyle/>
        <a:p>
          <a:endParaRPr lang="en-GB" sz="1200"/>
        </a:p>
      </dgm:t>
    </dgm:pt>
    <dgm:pt modelId="{6DF8F907-2500-4CFC-AD0D-5F762B3297EA}">
      <dgm:prSet phldrT="[Text]" custT="1"/>
      <dgm:spPr/>
      <dgm:t>
        <a:bodyPr/>
        <a:lstStyle/>
        <a:p>
          <a:r>
            <a:rPr lang="en-GB" sz="1100"/>
            <a:t>L1 - Bespoke support</a:t>
          </a:r>
        </a:p>
      </dgm:t>
    </dgm:pt>
    <dgm:pt modelId="{0BBC207A-FF89-4641-90A9-F26A9D03351A}" type="parTrans" cxnId="{9C8D7016-D2AE-418E-BFFA-F61702E86A01}">
      <dgm:prSet/>
      <dgm:spPr/>
      <dgm:t>
        <a:bodyPr/>
        <a:lstStyle/>
        <a:p>
          <a:endParaRPr lang="en-GB" sz="1200"/>
        </a:p>
      </dgm:t>
    </dgm:pt>
    <dgm:pt modelId="{3894F803-6D73-4F1A-BE9D-A554DE5E1EFC}" type="sibTrans" cxnId="{9C8D7016-D2AE-418E-BFFA-F61702E86A01}">
      <dgm:prSet/>
      <dgm:spPr/>
      <dgm:t>
        <a:bodyPr/>
        <a:lstStyle/>
        <a:p>
          <a:endParaRPr lang="en-GB" sz="1200"/>
        </a:p>
      </dgm:t>
    </dgm:pt>
    <dgm:pt modelId="{3655C619-9022-4D32-8B11-6589BDEC030C}" type="pres">
      <dgm:prSet presAssocID="{7D19D7AF-0A5E-4AF1-91BF-EE25B3F7E8B6}" presName="Name0" presStyleCnt="0">
        <dgm:presLayoutVars>
          <dgm:dir/>
          <dgm:animLvl val="lvl"/>
          <dgm:resizeHandles val="exact"/>
        </dgm:presLayoutVars>
      </dgm:prSet>
      <dgm:spPr/>
    </dgm:pt>
    <dgm:pt modelId="{FC4944D1-17F3-4259-881C-A62BE2CDDB64}" type="pres">
      <dgm:prSet presAssocID="{BA486719-0FD0-4A65-B0C1-6AD28468B166}" presName="Name8" presStyleCnt="0"/>
      <dgm:spPr/>
    </dgm:pt>
    <dgm:pt modelId="{BCD4A5BD-A65A-420E-BB50-F82E2070443A}" type="pres">
      <dgm:prSet presAssocID="{BA486719-0FD0-4A65-B0C1-6AD28468B166}" presName="level" presStyleLbl="node1" presStyleIdx="0" presStyleCnt="3">
        <dgm:presLayoutVars>
          <dgm:chMax val="1"/>
          <dgm:bulletEnabled val="1"/>
        </dgm:presLayoutVars>
      </dgm:prSet>
      <dgm:spPr/>
    </dgm:pt>
    <dgm:pt modelId="{8AF06138-DCB7-4486-89DE-8DDE2EF44972}" type="pres">
      <dgm:prSet presAssocID="{BA486719-0FD0-4A65-B0C1-6AD28468B166}" presName="levelTx" presStyleLbl="revTx" presStyleIdx="0" presStyleCnt="0">
        <dgm:presLayoutVars>
          <dgm:chMax val="1"/>
          <dgm:bulletEnabled val="1"/>
        </dgm:presLayoutVars>
      </dgm:prSet>
      <dgm:spPr/>
    </dgm:pt>
    <dgm:pt modelId="{4BF9ABDF-A9A0-4EA5-A957-7688472DF314}" type="pres">
      <dgm:prSet presAssocID="{3180145C-01B9-447B-B213-8FF9B4749748}" presName="Name8" presStyleCnt="0"/>
      <dgm:spPr/>
    </dgm:pt>
    <dgm:pt modelId="{911B824C-70D0-4FE3-BF42-0836D43EFDDB}" type="pres">
      <dgm:prSet presAssocID="{3180145C-01B9-447B-B213-8FF9B4749748}" presName="level" presStyleLbl="node1" presStyleIdx="1" presStyleCnt="3">
        <dgm:presLayoutVars>
          <dgm:chMax val="1"/>
          <dgm:bulletEnabled val="1"/>
        </dgm:presLayoutVars>
      </dgm:prSet>
      <dgm:spPr/>
    </dgm:pt>
    <dgm:pt modelId="{161B9656-EFE4-4CD3-A6FD-8A9B0DD5AFBC}" type="pres">
      <dgm:prSet presAssocID="{3180145C-01B9-447B-B213-8FF9B4749748}" presName="levelTx" presStyleLbl="revTx" presStyleIdx="0" presStyleCnt="0">
        <dgm:presLayoutVars>
          <dgm:chMax val="1"/>
          <dgm:bulletEnabled val="1"/>
        </dgm:presLayoutVars>
      </dgm:prSet>
      <dgm:spPr/>
    </dgm:pt>
    <dgm:pt modelId="{E3F047D7-B58E-470A-9C20-22233CC7BF97}" type="pres">
      <dgm:prSet presAssocID="{6DF8F907-2500-4CFC-AD0D-5F762B3297EA}" presName="Name8" presStyleCnt="0"/>
      <dgm:spPr/>
    </dgm:pt>
    <dgm:pt modelId="{ED9BF654-0638-4C3B-8163-93149F66414D}" type="pres">
      <dgm:prSet presAssocID="{6DF8F907-2500-4CFC-AD0D-5F762B3297EA}" presName="level" presStyleLbl="node1" presStyleIdx="2" presStyleCnt="3">
        <dgm:presLayoutVars>
          <dgm:chMax val="1"/>
          <dgm:bulletEnabled val="1"/>
        </dgm:presLayoutVars>
      </dgm:prSet>
      <dgm:spPr/>
    </dgm:pt>
    <dgm:pt modelId="{15AC8B46-9E16-44BE-B04B-720C9BC5A1FA}" type="pres">
      <dgm:prSet presAssocID="{6DF8F907-2500-4CFC-AD0D-5F762B3297EA}" presName="levelTx" presStyleLbl="revTx" presStyleIdx="0" presStyleCnt="0">
        <dgm:presLayoutVars>
          <dgm:chMax val="1"/>
          <dgm:bulletEnabled val="1"/>
        </dgm:presLayoutVars>
      </dgm:prSet>
      <dgm:spPr/>
    </dgm:pt>
  </dgm:ptLst>
  <dgm:cxnLst>
    <dgm:cxn modelId="{CB4B8810-CAB7-4614-8F86-59C0B2377CF6}" type="presOf" srcId="{3180145C-01B9-447B-B213-8FF9B4749748}" destId="{161B9656-EFE4-4CD3-A6FD-8A9B0DD5AFBC}" srcOrd="1" destOrd="0" presId="urn:microsoft.com/office/officeart/2005/8/layout/pyramid3"/>
    <dgm:cxn modelId="{9C8D7016-D2AE-418E-BFFA-F61702E86A01}" srcId="{7D19D7AF-0A5E-4AF1-91BF-EE25B3F7E8B6}" destId="{6DF8F907-2500-4CFC-AD0D-5F762B3297EA}" srcOrd="2" destOrd="0" parTransId="{0BBC207A-FF89-4641-90A9-F26A9D03351A}" sibTransId="{3894F803-6D73-4F1A-BE9D-A554DE5E1EFC}"/>
    <dgm:cxn modelId="{4D682B37-1B41-4EBE-BCD6-BFA0E3326882}" type="presOf" srcId="{BA486719-0FD0-4A65-B0C1-6AD28468B166}" destId="{BCD4A5BD-A65A-420E-BB50-F82E2070443A}" srcOrd="0" destOrd="0" presId="urn:microsoft.com/office/officeart/2005/8/layout/pyramid3"/>
    <dgm:cxn modelId="{3EF21D3B-6518-412B-B940-B0AAD096D414}" type="presOf" srcId="{7D19D7AF-0A5E-4AF1-91BF-EE25B3F7E8B6}" destId="{3655C619-9022-4D32-8B11-6589BDEC030C}" srcOrd="0" destOrd="0" presId="urn:microsoft.com/office/officeart/2005/8/layout/pyramid3"/>
    <dgm:cxn modelId="{D0823C61-2CD9-4CD2-8B5C-171FBA7CBDCB}" type="presOf" srcId="{BA486719-0FD0-4A65-B0C1-6AD28468B166}" destId="{8AF06138-DCB7-4486-89DE-8DDE2EF44972}" srcOrd="1" destOrd="0" presId="urn:microsoft.com/office/officeart/2005/8/layout/pyramid3"/>
    <dgm:cxn modelId="{CA3EE262-E649-4086-B633-F99A3E0C5FCD}" type="presOf" srcId="{6DF8F907-2500-4CFC-AD0D-5F762B3297EA}" destId="{15AC8B46-9E16-44BE-B04B-720C9BC5A1FA}" srcOrd="1" destOrd="0" presId="urn:microsoft.com/office/officeart/2005/8/layout/pyramid3"/>
    <dgm:cxn modelId="{F65DAA46-0844-4032-9A9B-20C8B8DA5548}" type="presOf" srcId="{3180145C-01B9-447B-B213-8FF9B4749748}" destId="{911B824C-70D0-4FE3-BF42-0836D43EFDDB}" srcOrd="0" destOrd="0" presId="urn:microsoft.com/office/officeart/2005/8/layout/pyramid3"/>
    <dgm:cxn modelId="{DFBF5655-766A-45A7-A9B2-20722296B733}" type="presOf" srcId="{6DF8F907-2500-4CFC-AD0D-5F762B3297EA}" destId="{ED9BF654-0638-4C3B-8163-93149F66414D}" srcOrd="0" destOrd="0" presId="urn:microsoft.com/office/officeart/2005/8/layout/pyramid3"/>
    <dgm:cxn modelId="{F06EFDBE-44BA-4EB7-81AD-613446C59F19}" srcId="{7D19D7AF-0A5E-4AF1-91BF-EE25B3F7E8B6}" destId="{BA486719-0FD0-4A65-B0C1-6AD28468B166}" srcOrd="0" destOrd="0" parTransId="{02418C53-1212-4FB5-A2F0-323334EBAF53}" sibTransId="{6FCEBEEF-8684-4E8B-A442-4DA743A1495B}"/>
    <dgm:cxn modelId="{277784EA-B6F2-40F6-83C2-CAFFAAD9E4D4}" srcId="{7D19D7AF-0A5E-4AF1-91BF-EE25B3F7E8B6}" destId="{3180145C-01B9-447B-B213-8FF9B4749748}" srcOrd="1" destOrd="0" parTransId="{0C6EA384-20C2-4FE0-B61F-78DBF5927955}" sibTransId="{27217457-C73F-4C7A-B31C-CE4F64F05FFE}"/>
    <dgm:cxn modelId="{E3BF62C5-6E49-4C69-844E-EBBE9F11C1E1}" type="presParOf" srcId="{3655C619-9022-4D32-8B11-6589BDEC030C}" destId="{FC4944D1-17F3-4259-881C-A62BE2CDDB64}" srcOrd="0" destOrd="0" presId="urn:microsoft.com/office/officeart/2005/8/layout/pyramid3"/>
    <dgm:cxn modelId="{4CAF22F8-C9B5-427C-9724-48D283ED14D2}" type="presParOf" srcId="{FC4944D1-17F3-4259-881C-A62BE2CDDB64}" destId="{BCD4A5BD-A65A-420E-BB50-F82E2070443A}" srcOrd="0" destOrd="0" presId="urn:microsoft.com/office/officeart/2005/8/layout/pyramid3"/>
    <dgm:cxn modelId="{DCB5A1BD-3E2A-401D-9B7C-42DA7AC57139}" type="presParOf" srcId="{FC4944D1-17F3-4259-881C-A62BE2CDDB64}" destId="{8AF06138-DCB7-4486-89DE-8DDE2EF44972}" srcOrd="1" destOrd="0" presId="urn:microsoft.com/office/officeart/2005/8/layout/pyramid3"/>
    <dgm:cxn modelId="{F1581E82-6DE9-44F8-87DA-D1AF90D3AC36}" type="presParOf" srcId="{3655C619-9022-4D32-8B11-6589BDEC030C}" destId="{4BF9ABDF-A9A0-4EA5-A957-7688472DF314}" srcOrd="1" destOrd="0" presId="urn:microsoft.com/office/officeart/2005/8/layout/pyramid3"/>
    <dgm:cxn modelId="{C5829FF9-07B0-4820-B6CD-979C0B997549}" type="presParOf" srcId="{4BF9ABDF-A9A0-4EA5-A957-7688472DF314}" destId="{911B824C-70D0-4FE3-BF42-0836D43EFDDB}" srcOrd="0" destOrd="0" presId="urn:microsoft.com/office/officeart/2005/8/layout/pyramid3"/>
    <dgm:cxn modelId="{E412A179-F834-4E7A-A686-E9E5C8866768}" type="presParOf" srcId="{4BF9ABDF-A9A0-4EA5-A957-7688472DF314}" destId="{161B9656-EFE4-4CD3-A6FD-8A9B0DD5AFBC}" srcOrd="1" destOrd="0" presId="urn:microsoft.com/office/officeart/2005/8/layout/pyramid3"/>
    <dgm:cxn modelId="{569A4237-1208-4C72-80AE-7C7CE92B0E94}" type="presParOf" srcId="{3655C619-9022-4D32-8B11-6589BDEC030C}" destId="{E3F047D7-B58E-470A-9C20-22233CC7BF97}" srcOrd="2" destOrd="0" presId="urn:microsoft.com/office/officeart/2005/8/layout/pyramid3"/>
    <dgm:cxn modelId="{FF5C8213-5536-4886-B509-32ABAADB1D8C}" type="presParOf" srcId="{E3F047D7-B58E-470A-9C20-22233CC7BF97}" destId="{ED9BF654-0638-4C3B-8163-93149F66414D}" srcOrd="0" destOrd="0" presId="urn:microsoft.com/office/officeart/2005/8/layout/pyramid3"/>
    <dgm:cxn modelId="{85A3AA6F-F306-45F8-944A-5EFF067D69DA}" type="presParOf" srcId="{E3F047D7-B58E-470A-9C20-22233CC7BF97}" destId="{15AC8B46-9E16-44BE-B04B-720C9BC5A1FA}" srcOrd="1" destOrd="0" presId="urn:microsoft.com/office/officeart/2005/8/layout/pyramid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B253F6-5616-4B97-AEC6-A0A2700F5978}">
      <dsp:nvSpPr>
        <dsp:cNvPr id="0" name=""/>
        <dsp:cNvSpPr/>
      </dsp:nvSpPr>
      <dsp:spPr>
        <a:xfrm>
          <a:off x="1743967" y="774028"/>
          <a:ext cx="1237654" cy="294505"/>
        </a:xfrm>
        <a:custGeom>
          <a:avLst/>
          <a:gdLst/>
          <a:ahLst/>
          <a:cxnLst/>
          <a:rect l="0" t="0" r="0" b="0"/>
          <a:pathLst>
            <a:path>
              <a:moveTo>
                <a:pt x="0" y="0"/>
              </a:moveTo>
              <a:lnTo>
                <a:pt x="0" y="200696"/>
              </a:lnTo>
              <a:lnTo>
                <a:pt x="1237654" y="200696"/>
              </a:lnTo>
              <a:lnTo>
                <a:pt x="1237654" y="29450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8B31A1-6AC8-4212-8681-3DE0C3A5A62C}">
      <dsp:nvSpPr>
        <dsp:cNvPr id="0" name=""/>
        <dsp:cNvSpPr/>
      </dsp:nvSpPr>
      <dsp:spPr>
        <a:xfrm>
          <a:off x="1698247" y="774028"/>
          <a:ext cx="91440" cy="294505"/>
        </a:xfrm>
        <a:custGeom>
          <a:avLst/>
          <a:gdLst/>
          <a:ahLst/>
          <a:cxnLst/>
          <a:rect l="0" t="0" r="0" b="0"/>
          <a:pathLst>
            <a:path>
              <a:moveTo>
                <a:pt x="45720" y="0"/>
              </a:moveTo>
              <a:lnTo>
                <a:pt x="45720" y="29450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826E1C-F7A5-4707-8448-F67A92A08DE2}">
      <dsp:nvSpPr>
        <dsp:cNvPr id="0" name=""/>
        <dsp:cNvSpPr/>
      </dsp:nvSpPr>
      <dsp:spPr>
        <a:xfrm>
          <a:off x="506313" y="774028"/>
          <a:ext cx="1237654" cy="294505"/>
        </a:xfrm>
        <a:custGeom>
          <a:avLst/>
          <a:gdLst/>
          <a:ahLst/>
          <a:cxnLst/>
          <a:rect l="0" t="0" r="0" b="0"/>
          <a:pathLst>
            <a:path>
              <a:moveTo>
                <a:pt x="1237654" y="0"/>
              </a:moveTo>
              <a:lnTo>
                <a:pt x="1237654" y="200696"/>
              </a:lnTo>
              <a:lnTo>
                <a:pt x="0" y="200696"/>
              </a:lnTo>
              <a:lnTo>
                <a:pt x="0" y="29450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D8DC1E-813D-4151-9CBF-148C3C210C53}">
      <dsp:nvSpPr>
        <dsp:cNvPr id="0" name=""/>
        <dsp:cNvSpPr/>
      </dsp:nvSpPr>
      <dsp:spPr>
        <a:xfrm>
          <a:off x="1237654" y="131010"/>
          <a:ext cx="1012626" cy="643017"/>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DC99381-A1A5-4492-9D8A-5A2592BBFA01}">
      <dsp:nvSpPr>
        <dsp:cNvPr id="0" name=""/>
        <dsp:cNvSpPr/>
      </dsp:nvSpPr>
      <dsp:spPr>
        <a:xfrm>
          <a:off x="1350168" y="237898"/>
          <a:ext cx="1012626" cy="643017"/>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DCL Unit</a:t>
          </a:r>
        </a:p>
      </dsp:txBody>
      <dsp:txXfrm>
        <a:off x="1369001" y="256731"/>
        <a:ext cx="974960" cy="605351"/>
      </dsp:txXfrm>
    </dsp:sp>
    <dsp:sp modelId="{940F5CCE-7D72-4CB2-81D5-D581E35617C4}">
      <dsp:nvSpPr>
        <dsp:cNvPr id="0" name=""/>
        <dsp:cNvSpPr/>
      </dsp:nvSpPr>
      <dsp:spPr>
        <a:xfrm>
          <a:off x="0" y="1068533"/>
          <a:ext cx="1012626" cy="64301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062C57-D9BA-4E12-982E-B1EF6FA6BA44}">
      <dsp:nvSpPr>
        <dsp:cNvPr id="0" name=""/>
        <dsp:cNvSpPr/>
      </dsp:nvSpPr>
      <dsp:spPr>
        <a:xfrm>
          <a:off x="112514" y="1175421"/>
          <a:ext cx="1012626" cy="64301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Digital Learning</a:t>
          </a:r>
        </a:p>
      </dsp:txBody>
      <dsp:txXfrm>
        <a:off x="131347" y="1194254"/>
        <a:ext cx="974960" cy="605351"/>
      </dsp:txXfrm>
    </dsp:sp>
    <dsp:sp modelId="{98550BBC-60A1-4187-9ADA-5705C0BA5ACE}">
      <dsp:nvSpPr>
        <dsp:cNvPr id="0" name=""/>
        <dsp:cNvSpPr/>
      </dsp:nvSpPr>
      <dsp:spPr>
        <a:xfrm>
          <a:off x="1237654" y="1068533"/>
          <a:ext cx="1012626" cy="64301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009EFAF-5C16-4911-82E2-605190442933}">
      <dsp:nvSpPr>
        <dsp:cNvPr id="0" name=""/>
        <dsp:cNvSpPr/>
      </dsp:nvSpPr>
      <dsp:spPr>
        <a:xfrm>
          <a:off x="1350168" y="1175421"/>
          <a:ext cx="1012626" cy="64301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Graphics, Multimedia and Print</a:t>
          </a:r>
        </a:p>
      </dsp:txBody>
      <dsp:txXfrm>
        <a:off x="1369001" y="1194254"/>
        <a:ext cx="974960" cy="605351"/>
      </dsp:txXfrm>
    </dsp:sp>
    <dsp:sp modelId="{024C7A06-C0FF-4484-BBBD-910E7A05058C}">
      <dsp:nvSpPr>
        <dsp:cNvPr id="0" name=""/>
        <dsp:cNvSpPr/>
      </dsp:nvSpPr>
      <dsp:spPr>
        <a:xfrm>
          <a:off x="2475309" y="1068533"/>
          <a:ext cx="1012626" cy="64301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77A3E63-8F54-47F4-A11F-0E46D88E245C}">
      <dsp:nvSpPr>
        <dsp:cNvPr id="0" name=""/>
        <dsp:cNvSpPr/>
      </dsp:nvSpPr>
      <dsp:spPr>
        <a:xfrm>
          <a:off x="2587823" y="1175421"/>
          <a:ext cx="1012626" cy="64301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Web</a:t>
          </a:r>
        </a:p>
      </dsp:txBody>
      <dsp:txXfrm>
        <a:off x="2606656" y="1194254"/>
        <a:ext cx="974960" cy="6053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CB0B5C-AE21-46D5-BBA7-E9FBDD242D49}">
      <dsp:nvSpPr>
        <dsp:cNvPr id="0" name=""/>
        <dsp:cNvSpPr/>
      </dsp:nvSpPr>
      <dsp:spPr>
        <a:xfrm>
          <a:off x="1580223" y="664615"/>
          <a:ext cx="638841" cy="304030"/>
        </a:xfrm>
        <a:custGeom>
          <a:avLst/>
          <a:gdLst/>
          <a:ahLst/>
          <a:cxnLst/>
          <a:rect l="0" t="0" r="0" b="0"/>
          <a:pathLst>
            <a:path>
              <a:moveTo>
                <a:pt x="0" y="0"/>
              </a:moveTo>
              <a:lnTo>
                <a:pt x="0" y="207187"/>
              </a:lnTo>
              <a:lnTo>
                <a:pt x="638841" y="207187"/>
              </a:lnTo>
              <a:lnTo>
                <a:pt x="638841" y="304030"/>
              </a:lnTo>
            </a:path>
          </a:pathLst>
        </a:custGeom>
        <a:noFill/>
        <a:ln w="12700" cap="flat" cmpd="sng" algn="ctr">
          <a:solidFill>
            <a:schemeClr val="accent6">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5A9922-A6CD-45B1-BDEB-F102CA0B15B3}">
      <dsp:nvSpPr>
        <dsp:cNvPr id="0" name=""/>
        <dsp:cNvSpPr/>
      </dsp:nvSpPr>
      <dsp:spPr>
        <a:xfrm>
          <a:off x="895662" y="1632459"/>
          <a:ext cx="91440" cy="304030"/>
        </a:xfrm>
        <a:custGeom>
          <a:avLst/>
          <a:gdLst/>
          <a:ahLst/>
          <a:cxnLst/>
          <a:rect l="0" t="0" r="0" b="0"/>
          <a:pathLst>
            <a:path>
              <a:moveTo>
                <a:pt x="45720" y="0"/>
              </a:moveTo>
              <a:lnTo>
                <a:pt x="45720" y="304030"/>
              </a:lnTo>
            </a:path>
          </a:pathLst>
        </a:custGeom>
        <a:noFill/>
        <a:ln w="12700" cap="flat" cmpd="sng" algn="ctr">
          <a:solidFill>
            <a:schemeClr val="accent6">
              <a:tint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D4A8B4-1986-4AC9-9D45-4AC0FA87F5B2}">
      <dsp:nvSpPr>
        <dsp:cNvPr id="0" name=""/>
        <dsp:cNvSpPr/>
      </dsp:nvSpPr>
      <dsp:spPr>
        <a:xfrm>
          <a:off x="941382" y="664615"/>
          <a:ext cx="638841" cy="304030"/>
        </a:xfrm>
        <a:custGeom>
          <a:avLst/>
          <a:gdLst/>
          <a:ahLst/>
          <a:cxnLst/>
          <a:rect l="0" t="0" r="0" b="0"/>
          <a:pathLst>
            <a:path>
              <a:moveTo>
                <a:pt x="638841" y="0"/>
              </a:moveTo>
              <a:lnTo>
                <a:pt x="638841" y="207187"/>
              </a:lnTo>
              <a:lnTo>
                <a:pt x="0" y="207187"/>
              </a:lnTo>
              <a:lnTo>
                <a:pt x="0" y="304030"/>
              </a:lnTo>
            </a:path>
          </a:pathLst>
        </a:custGeom>
        <a:noFill/>
        <a:ln w="12700" cap="flat" cmpd="sng" algn="ctr">
          <a:solidFill>
            <a:schemeClr val="accent6">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8D58D9-889C-4025-985F-B7183930F631}">
      <dsp:nvSpPr>
        <dsp:cNvPr id="0" name=""/>
        <dsp:cNvSpPr/>
      </dsp:nvSpPr>
      <dsp:spPr>
        <a:xfrm>
          <a:off x="1057535" y="801"/>
          <a:ext cx="1045376" cy="663813"/>
        </a:xfrm>
        <a:prstGeom prst="roundRect">
          <a:avLst>
            <a:gd name="adj" fmla="val 10000"/>
          </a:avLst>
        </a:prstGeom>
        <a:solidFill>
          <a:schemeClr val="accent6">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E3ADADE-1BDE-4A55-B70E-14D5CE5BB422}">
      <dsp:nvSpPr>
        <dsp:cNvPr id="0" name=""/>
        <dsp:cNvSpPr/>
      </dsp:nvSpPr>
      <dsp:spPr>
        <a:xfrm>
          <a:off x="1173688" y="111146"/>
          <a:ext cx="1045376" cy="663813"/>
        </a:xfrm>
        <a:prstGeom prst="roundRect">
          <a:avLst>
            <a:gd name="adj" fmla="val 10000"/>
          </a:avLst>
        </a:prstGeom>
        <a:solidFill>
          <a:schemeClr val="lt1">
            <a:alpha val="90000"/>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Digital Learning Manager</a:t>
          </a:r>
        </a:p>
      </dsp:txBody>
      <dsp:txXfrm>
        <a:off x="1193130" y="130588"/>
        <a:ext cx="1006492" cy="624929"/>
      </dsp:txXfrm>
    </dsp:sp>
    <dsp:sp modelId="{EC71232B-35A6-4E0D-8F68-E11522B0448D}">
      <dsp:nvSpPr>
        <dsp:cNvPr id="0" name=""/>
        <dsp:cNvSpPr/>
      </dsp:nvSpPr>
      <dsp:spPr>
        <a:xfrm>
          <a:off x="418694" y="968645"/>
          <a:ext cx="1045376" cy="663813"/>
        </a:xfrm>
        <a:prstGeom prst="roundRect">
          <a:avLst>
            <a:gd name="adj" fmla="val 10000"/>
          </a:avLst>
        </a:prstGeom>
        <a:solidFill>
          <a:schemeClr val="accent6">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E7B08A3-91E8-4CD0-B748-63AA5315C990}">
      <dsp:nvSpPr>
        <dsp:cNvPr id="0" name=""/>
        <dsp:cNvSpPr/>
      </dsp:nvSpPr>
      <dsp:spPr>
        <a:xfrm>
          <a:off x="534847" y="1078990"/>
          <a:ext cx="1045376" cy="663813"/>
        </a:xfrm>
        <a:prstGeom prst="roundRect">
          <a:avLst>
            <a:gd name="adj" fmla="val 10000"/>
          </a:avLst>
        </a:prstGeom>
        <a:solidFill>
          <a:schemeClr val="lt1">
            <a:alpha val="90000"/>
            <a:hueOff val="0"/>
            <a:satOff val="0"/>
            <a:lumOff val="0"/>
            <a:alphaOff val="0"/>
          </a:schemeClr>
        </a:solidFill>
        <a:ln w="12700" cap="flat" cmpd="sng" algn="ctr">
          <a:solidFill>
            <a:schemeClr val="accent6">
              <a:tint val="99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Senior Learning Designer</a:t>
          </a:r>
        </a:p>
      </dsp:txBody>
      <dsp:txXfrm>
        <a:off x="554289" y="1098432"/>
        <a:ext cx="1006492" cy="624929"/>
      </dsp:txXfrm>
    </dsp:sp>
    <dsp:sp modelId="{161E5F30-13DA-49AC-A282-CDDB3F23097A}">
      <dsp:nvSpPr>
        <dsp:cNvPr id="0" name=""/>
        <dsp:cNvSpPr/>
      </dsp:nvSpPr>
      <dsp:spPr>
        <a:xfrm>
          <a:off x="418694" y="1936489"/>
          <a:ext cx="1045376" cy="663813"/>
        </a:xfrm>
        <a:prstGeom prst="roundRect">
          <a:avLst>
            <a:gd name="adj" fmla="val 10000"/>
          </a:avLst>
        </a:prstGeom>
        <a:solidFill>
          <a:schemeClr val="accent6">
            <a:tint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AFDCC49-9E56-42B1-B3E8-83D164CDFA7D}">
      <dsp:nvSpPr>
        <dsp:cNvPr id="0" name=""/>
        <dsp:cNvSpPr/>
      </dsp:nvSpPr>
      <dsp:spPr>
        <a:xfrm>
          <a:off x="534847" y="2046834"/>
          <a:ext cx="1045376" cy="663813"/>
        </a:xfrm>
        <a:prstGeom prst="roundRect">
          <a:avLst>
            <a:gd name="adj" fmla="val 10000"/>
          </a:avLst>
        </a:prstGeom>
        <a:solidFill>
          <a:schemeClr val="lt1">
            <a:alpha val="90000"/>
            <a:hueOff val="0"/>
            <a:satOff val="0"/>
            <a:lumOff val="0"/>
            <a:alphaOff val="0"/>
          </a:schemeClr>
        </a:solidFill>
        <a:ln w="12700" cap="flat" cmpd="sng" algn="ctr">
          <a:solidFill>
            <a:schemeClr val="accent6">
              <a:tint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Learning Designer x 4</a:t>
          </a:r>
        </a:p>
      </dsp:txBody>
      <dsp:txXfrm>
        <a:off x="554289" y="2066276"/>
        <a:ext cx="1006492" cy="624929"/>
      </dsp:txXfrm>
    </dsp:sp>
    <dsp:sp modelId="{6DF896E2-5613-4075-9332-D21CCE7E2DED}">
      <dsp:nvSpPr>
        <dsp:cNvPr id="0" name=""/>
        <dsp:cNvSpPr/>
      </dsp:nvSpPr>
      <dsp:spPr>
        <a:xfrm>
          <a:off x="1696376" y="968645"/>
          <a:ext cx="1045376" cy="663813"/>
        </a:xfrm>
        <a:prstGeom prst="roundRect">
          <a:avLst>
            <a:gd name="adj" fmla="val 10000"/>
          </a:avLst>
        </a:prstGeom>
        <a:solidFill>
          <a:schemeClr val="accent6">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3A2AF38-17A0-43DD-8A16-71CE41810CB7}">
      <dsp:nvSpPr>
        <dsp:cNvPr id="0" name=""/>
        <dsp:cNvSpPr/>
      </dsp:nvSpPr>
      <dsp:spPr>
        <a:xfrm>
          <a:off x="1812529" y="1078990"/>
          <a:ext cx="1045376" cy="663813"/>
        </a:xfrm>
        <a:prstGeom prst="roundRect">
          <a:avLst>
            <a:gd name="adj" fmla="val 10000"/>
          </a:avLst>
        </a:prstGeom>
        <a:solidFill>
          <a:schemeClr val="lt1">
            <a:alpha val="90000"/>
            <a:hueOff val="0"/>
            <a:satOff val="0"/>
            <a:lumOff val="0"/>
            <a:alphaOff val="0"/>
          </a:schemeClr>
        </a:solidFill>
        <a:ln w="12700" cap="flat" cmpd="sng" algn="ctr">
          <a:solidFill>
            <a:schemeClr val="accent6">
              <a:tint val="99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Digital Learning Technologist</a:t>
          </a:r>
        </a:p>
      </dsp:txBody>
      <dsp:txXfrm>
        <a:off x="1831971" y="1098432"/>
        <a:ext cx="1006492" cy="62492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47076B-BABF-4594-AC2C-630FA312F033}">
      <dsp:nvSpPr>
        <dsp:cNvPr id="0" name=""/>
        <dsp:cNvSpPr/>
      </dsp:nvSpPr>
      <dsp:spPr>
        <a:xfrm>
          <a:off x="865192" y="213085"/>
          <a:ext cx="167699" cy="91440"/>
        </a:xfrm>
        <a:custGeom>
          <a:avLst/>
          <a:gdLst/>
          <a:ahLst/>
          <a:cxnLst/>
          <a:rect l="0" t="0" r="0" b="0"/>
          <a:pathLst>
            <a:path>
              <a:moveTo>
                <a:pt x="0" y="45720"/>
              </a:moveTo>
              <a:lnTo>
                <a:pt x="167699" y="45720"/>
              </a:lnTo>
            </a:path>
          </a:pathLst>
        </a:custGeom>
        <a:noFill/>
        <a:ln w="6350" cap="flat" cmpd="sng" algn="ctr">
          <a:solidFill>
            <a:schemeClr val="accent1">
              <a:shade val="90000"/>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944085" y="257814"/>
        <a:ext cx="9914" cy="1982"/>
      </dsp:txXfrm>
    </dsp:sp>
    <dsp:sp modelId="{924382FE-6033-4C4F-B99B-95841231DFCA}">
      <dsp:nvSpPr>
        <dsp:cNvPr id="0" name=""/>
        <dsp:cNvSpPr/>
      </dsp:nvSpPr>
      <dsp:spPr>
        <a:xfrm>
          <a:off x="4822" y="154"/>
          <a:ext cx="862170" cy="517302"/>
        </a:xfrm>
        <a:prstGeom prst="rect">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dirty="0"/>
            <a:t>First draft</a:t>
          </a:r>
        </a:p>
      </dsp:txBody>
      <dsp:txXfrm>
        <a:off x="4822" y="154"/>
        <a:ext cx="862170" cy="517302"/>
      </dsp:txXfrm>
    </dsp:sp>
    <dsp:sp modelId="{2F7ACF11-C086-4169-BEEB-400F539E8327}">
      <dsp:nvSpPr>
        <dsp:cNvPr id="0" name=""/>
        <dsp:cNvSpPr/>
      </dsp:nvSpPr>
      <dsp:spPr>
        <a:xfrm>
          <a:off x="1925662" y="213085"/>
          <a:ext cx="167699" cy="91440"/>
        </a:xfrm>
        <a:custGeom>
          <a:avLst/>
          <a:gdLst/>
          <a:ahLst/>
          <a:cxnLst/>
          <a:rect l="0" t="0" r="0" b="0"/>
          <a:pathLst>
            <a:path>
              <a:moveTo>
                <a:pt x="0" y="45720"/>
              </a:moveTo>
              <a:lnTo>
                <a:pt x="167699" y="45720"/>
              </a:lnTo>
            </a:path>
          </a:pathLst>
        </a:custGeom>
        <a:noFill/>
        <a:ln w="6350" cap="flat" cmpd="sng" algn="ctr">
          <a:solidFill>
            <a:schemeClr val="accent1">
              <a:shade val="90000"/>
              <a:hueOff val="49889"/>
              <a:satOff val="-854"/>
              <a:lumOff val="342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04554" y="257814"/>
        <a:ext cx="9914" cy="1982"/>
      </dsp:txXfrm>
    </dsp:sp>
    <dsp:sp modelId="{0BDA7C24-0AE6-49E4-A75E-B23B2BE1312F}">
      <dsp:nvSpPr>
        <dsp:cNvPr id="0" name=""/>
        <dsp:cNvSpPr/>
      </dsp:nvSpPr>
      <dsp:spPr>
        <a:xfrm>
          <a:off x="1065292" y="154"/>
          <a:ext cx="862170" cy="517302"/>
        </a:xfrm>
        <a:prstGeom prst="rect">
          <a:avLst/>
        </a:prstGeom>
        <a:solidFill>
          <a:schemeClr val="accent1">
            <a:shade val="80000"/>
            <a:hueOff val="43660"/>
            <a:satOff val="-782"/>
            <a:lumOff val="332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dirty="0"/>
            <a:t>Peer review</a:t>
          </a:r>
        </a:p>
      </dsp:txBody>
      <dsp:txXfrm>
        <a:off x="1065292" y="154"/>
        <a:ext cx="862170" cy="517302"/>
      </dsp:txXfrm>
    </dsp:sp>
    <dsp:sp modelId="{AC957E51-9769-4138-BCBA-C5842CC86242}">
      <dsp:nvSpPr>
        <dsp:cNvPr id="0" name=""/>
        <dsp:cNvSpPr/>
      </dsp:nvSpPr>
      <dsp:spPr>
        <a:xfrm>
          <a:off x="435907" y="515657"/>
          <a:ext cx="2120939" cy="167699"/>
        </a:xfrm>
        <a:custGeom>
          <a:avLst/>
          <a:gdLst/>
          <a:ahLst/>
          <a:cxnLst/>
          <a:rect l="0" t="0" r="0" b="0"/>
          <a:pathLst>
            <a:path>
              <a:moveTo>
                <a:pt x="2120939" y="0"/>
              </a:moveTo>
              <a:lnTo>
                <a:pt x="2120939" y="100949"/>
              </a:lnTo>
              <a:lnTo>
                <a:pt x="0" y="100949"/>
              </a:lnTo>
              <a:lnTo>
                <a:pt x="0" y="167699"/>
              </a:lnTo>
            </a:path>
          </a:pathLst>
        </a:custGeom>
        <a:noFill/>
        <a:ln w="6350" cap="flat" cmpd="sng" algn="ctr">
          <a:solidFill>
            <a:schemeClr val="accent1">
              <a:shade val="90000"/>
              <a:hueOff val="99779"/>
              <a:satOff val="-1709"/>
              <a:lumOff val="6846"/>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43122" y="598515"/>
        <a:ext cx="106509" cy="1982"/>
      </dsp:txXfrm>
    </dsp:sp>
    <dsp:sp modelId="{D4ACDABF-9B40-473E-B18B-252D79FD8CE6}">
      <dsp:nvSpPr>
        <dsp:cNvPr id="0" name=""/>
        <dsp:cNvSpPr/>
      </dsp:nvSpPr>
      <dsp:spPr>
        <a:xfrm>
          <a:off x="2125762" y="154"/>
          <a:ext cx="862170" cy="517302"/>
        </a:xfrm>
        <a:prstGeom prst="rect">
          <a:avLst/>
        </a:prstGeom>
        <a:solidFill>
          <a:schemeClr val="accent1">
            <a:shade val="80000"/>
            <a:hueOff val="87321"/>
            <a:satOff val="-1564"/>
            <a:lumOff val="664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dirty="0"/>
            <a:t>Amends 1</a:t>
          </a:r>
        </a:p>
      </dsp:txBody>
      <dsp:txXfrm>
        <a:off x="2125762" y="154"/>
        <a:ext cx="862170" cy="517302"/>
      </dsp:txXfrm>
    </dsp:sp>
    <dsp:sp modelId="{8036357C-B607-4E57-A8BC-F7D0699F51DD}">
      <dsp:nvSpPr>
        <dsp:cNvPr id="0" name=""/>
        <dsp:cNvSpPr/>
      </dsp:nvSpPr>
      <dsp:spPr>
        <a:xfrm>
          <a:off x="865192" y="928687"/>
          <a:ext cx="167699" cy="91440"/>
        </a:xfrm>
        <a:custGeom>
          <a:avLst/>
          <a:gdLst/>
          <a:ahLst/>
          <a:cxnLst/>
          <a:rect l="0" t="0" r="0" b="0"/>
          <a:pathLst>
            <a:path>
              <a:moveTo>
                <a:pt x="0" y="45720"/>
              </a:moveTo>
              <a:lnTo>
                <a:pt x="167699" y="45720"/>
              </a:lnTo>
            </a:path>
          </a:pathLst>
        </a:custGeom>
        <a:noFill/>
        <a:ln w="6350" cap="flat" cmpd="sng" algn="ctr">
          <a:solidFill>
            <a:schemeClr val="accent1">
              <a:shade val="90000"/>
              <a:hueOff val="149668"/>
              <a:satOff val="-2563"/>
              <a:lumOff val="10269"/>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944085" y="973416"/>
        <a:ext cx="9914" cy="1982"/>
      </dsp:txXfrm>
    </dsp:sp>
    <dsp:sp modelId="{B30C14B5-7A09-4F76-A7FC-D13A94995FB7}">
      <dsp:nvSpPr>
        <dsp:cNvPr id="0" name=""/>
        <dsp:cNvSpPr/>
      </dsp:nvSpPr>
      <dsp:spPr>
        <a:xfrm>
          <a:off x="4822" y="715756"/>
          <a:ext cx="862170" cy="517302"/>
        </a:xfrm>
        <a:prstGeom prst="rect">
          <a:avLst/>
        </a:prstGeom>
        <a:solidFill>
          <a:schemeClr val="accent1">
            <a:shade val="80000"/>
            <a:hueOff val="130981"/>
            <a:satOff val="-2346"/>
            <a:lumOff val="99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dirty="0"/>
            <a:t>Academic review</a:t>
          </a:r>
        </a:p>
      </dsp:txBody>
      <dsp:txXfrm>
        <a:off x="4822" y="715756"/>
        <a:ext cx="862170" cy="517302"/>
      </dsp:txXfrm>
    </dsp:sp>
    <dsp:sp modelId="{71EA65B3-C5FB-46C5-95F9-4EFEF4B2352B}">
      <dsp:nvSpPr>
        <dsp:cNvPr id="0" name=""/>
        <dsp:cNvSpPr/>
      </dsp:nvSpPr>
      <dsp:spPr>
        <a:xfrm>
          <a:off x="1925662" y="928687"/>
          <a:ext cx="167699" cy="91440"/>
        </a:xfrm>
        <a:custGeom>
          <a:avLst/>
          <a:gdLst/>
          <a:ahLst/>
          <a:cxnLst/>
          <a:rect l="0" t="0" r="0" b="0"/>
          <a:pathLst>
            <a:path>
              <a:moveTo>
                <a:pt x="0" y="45720"/>
              </a:moveTo>
              <a:lnTo>
                <a:pt x="167699" y="45720"/>
              </a:lnTo>
            </a:path>
          </a:pathLst>
        </a:custGeom>
        <a:noFill/>
        <a:ln w="6350" cap="flat" cmpd="sng" algn="ctr">
          <a:solidFill>
            <a:schemeClr val="accent1">
              <a:shade val="90000"/>
              <a:hueOff val="199557"/>
              <a:satOff val="-3418"/>
              <a:lumOff val="1369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04554" y="973416"/>
        <a:ext cx="9914" cy="1982"/>
      </dsp:txXfrm>
    </dsp:sp>
    <dsp:sp modelId="{E7652844-4C50-4807-87B4-90E4EECCFD0F}">
      <dsp:nvSpPr>
        <dsp:cNvPr id="0" name=""/>
        <dsp:cNvSpPr/>
      </dsp:nvSpPr>
      <dsp:spPr>
        <a:xfrm>
          <a:off x="1065292" y="715756"/>
          <a:ext cx="862170" cy="517302"/>
        </a:xfrm>
        <a:prstGeom prst="rect">
          <a:avLst/>
        </a:prstGeom>
        <a:solidFill>
          <a:schemeClr val="accent1">
            <a:shade val="80000"/>
            <a:hueOff val="174641"/>
            <a:satOff val="-3128"/>
            <a:lumOff val="1329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dirty="0"/>
            <a:t>Amends 2 </a:t>
          </a:r>
        </a:p>
      </dsp:txBody>
      <dsp:txXfrm>
        <a:off x="1065292" y="715756"/>
        <a:ext cx="862170" cy="517302"/>
      </dsp:txXfrm>
    </dsp:sp>
    <dsp:sp modelId="{2E2016BB-EFE4-44D0-8CBB-D6244E02F16F}">
      <dsp:nvSpPr>
        <dsp:cNvPr id="0" name=""/>
        <dsp:cNvSpPr/>
      </dsp:nvSpPr>
      <dsp:spPr>
        <a:xfrm>
          <a:off x="435907" y="1231258"/>
          <a:ext cx="2120939" cy="167699"/>
        </a:xfrm>
        <a:custGeom>
          <a:avLst/>
          <a:gdLst/>
          <a:ahLst/>
          <a:cxnLst/>
          <a:rect l="0" t="0" r="0" b="0"/>
          <a:pathLst>
            <a:path>
              <a:moveTo>
                <a:pt x="2120939" y="0"/>
              </a:moveTo>
              <a:lnTo>
                <a:pt x="2120939" y="100949"/>
              </a:lnTo>
              <a:lnTo>
                <a:pt x="0" y="100949"/>
              </a:lnTo>
              <a:lnTo>
                <a:pt x="0" y="167699"/>
              </a:lnTo>
            </a:path>
          </a:pathLst>
        </a:custGeom>
        <a:noFill/>
        <a:ln w="6350" cap="flat" cmpd="sng" algn="ctr">
          <a:solidFill>
            <a:schemeClr val="accent1">
              <a:shade val="90000"/>
              <a:hueOff val="249447"/>
              <a:satOff val="-4272"/>
              <a:lumOff val="1711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43122" y="1314116"/>
        <a:ext cx="106509" cy="1982"/>
      </dsp:txXfrm>
    </dsp:sp>
    <dsp:sp modelId="{F30EC92F-C4C2-48B6-821A-60F74F7D05FD}">
      <dsp:nvSpPr>
        <dsp:cNvPr id="0" name=""/>
        <dsp:cNvSpPr/>
      </dsp:nvSpPr>
      <dsp:spPr>
        <a:xfrm>
          <a:off x="2125762" y="715756"/>
          <a:ext cx="862170" cy="517302"/>
        </a:xfrm>
        <a:prstGeom prst="rect">
          <a:avLst/>
        </a:prstGeom>
        <a:solidFill>
          <a:schemeClr val="accent1">
            <a:shade val="80000"/>
            <a:hueOff val="218302"/>
            <a:satOff val="-3910"/>
            <a:lumOff val="1661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dirty="0"/>
            <a:t>Testing</a:t>
          </a:r>
        </a:p>
      </dsp:txBody>
      <dsp:txXfrm>
        <a:off x="2125762" y="715756"/>
        <a:ext cx="862170" cy="517302"/>
      </dsp:txXfrm>
    </dsp:sp>
    <dsp:sp modelId="{FAFAA436-B429-4035-9F95-E3136D32360D}">
      <dsp:nvSpPr>
        <dsp:cNvPr id="0" name=""/>
        <dsp:cNvSpPr/>
      </dsp:nvSpPr>
      <dsp:spPr>
        <a:xfrm>
          <a:off x="865192" y="1644289"/>
          <a:ext cx="167699" cy="91440"/>
        </a:xfrm>
        <a:custGeom>
          <a:avLst/>
          <a:gdLst/>
          <a:ahLst/>
          <a:cxnLst/>
          <a:rect l="0" t="0" r="0" b="0"/>
          <a:pathLst>
            <a:path>
              <a:moveTo>
                <a:pt x="0" y="45720"/>
              </a:moveTo>
              <a:lnTo>
                <a:pt x="167699" y="45720"/>
              </a:lnTo>
            </a:path>
          </a:pathLst>
        </a:custGeom>
        <a:noFill/>
        <a:ln w="6350" cap="flat" cmpd="sng" algn="ctr">
          <a:solidFill>
            <a:schemeClr val="accent1">
              <a:shade val="90000"/>
              <a:hueOff val="299336"/>
              <a:satOff val="-5127"/>
              <a:lumOff val="20537"/>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944085" y="1689017"/>
        <a:ext cx="9914" cy="1982"/>
      </dsp:txXfrm>
    </dsp:sp>
    <dsp:sp modelId="{AB7B6D00-73E6-4F6E-AB6F-E9D08D6FECD5}">
      <dsp:nvSpPr>
        <dsp:cNvPr id="0" name=""/>
        <dsp:cNvSpPr/>
      </dsp:nvSpPr>
      <dsp:spPr>
        <a:xfrm>
          <a:off x="4822" y="1431357"/>
          <a:ext cx="862170" cy="517302"/>
        </a:xfrm>
        <a:prstGeom prst="rect">
          <a:avLst/>
        </a:prstGeom>
        <a:solidFill>
          <a:schemeClr val="accent1">
            <a:shade val="80000"/>
            <a:hueOff val="261962"/>
            <a:satOff val="-4692"/>
            <a:lumOff val="1993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dirty="0"/>
            <a:t>Accessibility check</a:t>
          </a:r>
        </a:p>
      </dsp:txBody>
      <dsp:txXfrm>
        <a:off x="4822" y="1431357"/>
        <a:ext cx="862170" cy="517302"/>
      </dsp:txXfrm>
    </dsp:sp>
    <dsp:sp modelId="{AEB488F9-0443-4276-A9FD-90497B2FC999}">
      <dsp:nvSpPr>
        <dsp:cNvPr id="0" name=""/>
        <dsp:cNvSpPr/>
      </dsp:nvSpPr>
      <dsp:spPr>
        <a:xfrm>
          <a:off x="1925662" y="1644289"/>
          <a:ext cx="167699" cy="91440"/>
        </a:xfrm>
        <a:custGeom>
          <a:avLst/>
          <a:gdLst/>
          <a:ahLst/>
          <a:cxnLst/>
          <a:rect l="0" t="0" r="0" b="0"/>
          <a:pathLst>
            <a:path>
              <a:moveTo>
                <a:pt x="0" y="45720"/>
              </a:moveTo>
              <a:lnTo>
                <a:pt x="167699" y="45720"/>
              </a:lnTo>
            </a:path>
          </a:pathLst>
        </a:custGeom>
        <a:noFill/>
        <a:ln w="6350" cap="flat" cmpd="sng" algn="ctr">
          <a:solidFill>
            <a:schemeClr val="accent1">
              <a:shade val="90000"/>
              <a:hueOff val="349225"/>
              <a:satOff val="-5981"/>
              <a:lumOff val="2396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04554" y="1689017"/>
        <a:ext cx="9914" cy="1982"/>
      </dsp:txXfrm>
    </dsp:sp>
    <dsp:sp modelId="{BBCCEE3D-04F9-4507-8C76-4C3003B6461F}">
      <dsp:nvSpPr>
        <dsp:cNvPr id="0" name=""/>
        <dsp:cNvSpPr/>
      </dsp:nvSpPr>
      <dsp:spPr>
        <a:xfrm>
          <a:off x="1065292" y="1431357"/>
          <a:ext cx="862170" cy="517302"/>
        </a:xfrm>
        <a:prstGeom prst="rect">
          <a:avLst/>
        </a:prstGeom>
        <a:solidFill>
          <a:schemeClr val="accent1">
            <a:shade val="80000"/>
            <a:hueOff val="305622"/>
            <a:satOff val="-5474"/>
            <a:lumOff val="232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dirty="0"/>
            <a:t>(Translation)</a:t>
          </a:r>
        </a:p>
      </dsp:txBody>
      <dsp:txXfrm>
        <a:off x="1065292" y="1431357"/>
        <a:ext cx="862170" cy="517302"/>
      </dsp:txXfrm>
    </dsp:sp>
    <dsp:sp modelId="{E84F1732-AFC0-4E8A-8346-FA66E6D1F154}">
      <dsp:nvSpPr>
        <dsp:cNvPr id="0" name=""/>
        <dsp:cNvSpPr/>
      </dsp:nvSpPr>
      <dsp:spPr>
        <a:xfrm>
          <a:off x="2125762" y="1431357"/>
          <a:ext cx="862170" cy="517302"/>
        </a:xfrm>
        <a:prstGeom prst="rect">
          <a:avLst/>
        </a:prstGeom>
        <a:solidFill>
          <a:schemeClr val="accent1">
            <a:shade val="80000"/>
            <a:hueOff val="349283"/>
            <a:satOff val="-6256"/>
            <a:lumOff val="2658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dirty="0"/>
            <a:t>Upload </a:t>
          </a:r>
        </a:p>
      </dsp:txBody>
      <dsp:txXfrm>
        <a:off x="2125762" y="1431357"/>
        <a:ext cx="862170" cy="51730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D4A5BD-A65A-420E-BB50-F82E2070443A}">
      <dsp:nvSpPr>
        <dsp:cNvPr id="0" name=""/>
        <dsp:cNvSpPr/>
      </dsp:nvSpPr>
      <dsp:spPr>
        <a:xfrm rot="10800000">
          <a:off x="0" y="0"/>
          <a:ext cx="2946400" cy="762000"/>
        </a:xfrm>
        <a:prstGeom prst="trapezoid">
          <a:avLst>
            <a:gd name="adj" fmla="val 64444"/>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L3 - Self-help resources and support</a:t>
          </a:r>
        </a:p>
      </dsp:txBody>
      <dsp:txXfrm rot="-10800000">
        <a:off x="515619" y="0"/>
        <a:ext cx="1915160" cy="762000"/>
      </dsp:txXfrm>
    </dsp:sp>
    <dsp:sp modelId="{911B824C-70D0-4FE3-BF42-0836D43EFDDB}">
      <dsp:nvSpPr>
        <dsp:cNvPr id="0" name=""/>
        <dsp:cNvSpPr/>
      </dsp:nvSpPr>
      <dsp:spPr>
        <a:xfrm rot="10800000">
          <a:off x="491066" y="761999"/>
          <a:ext cx="1964266" cy="762000"/>
        </a:xfrm>
        <a:prstGeom prst="trapezoid">
          <a:avLst>
            <a:gd name="adj" fmla="val 64444"/>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L2 - Ad hoc support</a:t>
          </a:r>
        </a:p>
      </dsp:txBody>
      <dsp:txXfrm rot="-10800000">
        <a:off x="834813" y="761999"/>
        <a:ext cx="1276773" cy="762000"/>
      </dsp:txXfrm>
    </dsp:sp>
    <dsp:sp modelId="{ED9BF654-0638-4C3B-8163-93149F66414D}">
      <dsp:nvSpPr>
        <dsp:cNvPr id="0" name=""/>
        <dsp:cNvSpPr/>
      </dsp:nvSpPr>
      <dsp:spPr>
        <a:xfrm rot="10800000">
          <a:off x="982133" y="1523999"/>
          <a:ext cx="982133" cy="762000"/>
        </a:xfrm>
        <a:prstGeom prst="trapezoid">
          <a:avLst>
            <a:gd name="adj" fmla="val 64444"/>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L1 - Bespoke support</a:t>
          </a:r>
        </a:p>
      </dsp:txBody>
      <dsp:txXfrm rot="-10800000">
        <a:off x="982133" y="1523999"/>
        <a:ext cx="982133" cy="76200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6080</Words>
  <Characters>34662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May</dc:creator>
  <cp:keywords/>
  <dc:description/>
  <cp:lastModifiedBy>Emily May</cp:lastModifiedBy>
  <cp:revision>927</cp:revision>
  <cp:lastPrinted>2023-05-12T20:32:00Z</cp:lastPrinted>
  <dcterms:created xsi:type="dcterms:W3CDTF">2023-01-03T15:13:00Z</dcterms:created>
  <dcterms:modified xsi:type="dcterms:W3CDTF">2023-05-12T21:42:00Z</dcterms:modified>
</cp:coreProperties>
</file>