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525AA" w14:textId="18B0B4BC" w:rsidR="008864E4" w:rsidRPr="00731754" w:rsidRDefault="008864E4" w:rsidP="00786ACB">
      <w:pPr>
        <w:spacing w:line="360" w:lineRule="auto"/>
        <w:jc w:val="center"/>
        <w:rPr>
          <w:rFonts w:ascii="Times New Roman" w:hAnsi="Times New Roman"/>
          <w:sz w:val="32"/>
          <w:szCs w:val="32"/>
        </w:rPr>
      </w:pPr>
      <w:r w:rsidRPr="00731754">
        <w:rPr>
          <w:rFonts w:ascii="Times New Roman" w:hAnsi="Times New Roman"/>
          <w:sz w:val="32"/>
          <w:szCs w:val="32"/>
        </w:rPr>
        <w:t>Promoting Employment Inclusion: A Feasibility Study on Engaging Persons with Disabilities in the Workforce through Strategic MICE Events</w:t>
      </w:r>
      <w:r w:rsidR="00DC3FB4">
        <w:rPr>
          <w:rFonts w:ascii="Times New Roman" w:hAnsi="Times New Roman"/>
          <w:sz w:val="32"/>
          <w:szCs w:val="32"/>
        </w:rPr>
        <w:t>.</w:t>
      </w:r>
    </w:p>
    <w:p w14:paraId="37FB94D3" w14:textId="77777777" w:rsidR="008864E4" w:rsidRPr="00D85C29" w:rsidRDefault="008864E4" w:rsidP="008864E4">
      <w:pPr>
        <w:spacing w:line="360" w:lineRule="auto"/>
        <w:jc w:val="center"/>
        <w:rPr>
          <w:rFonts w:ascii="Times New Roman" w:hAnsi="Times New Roman"/>
          <w:sz w:val="24"/>
          <w:szCs w:val="24"/>
        </w:rPr>
      </w:pPr>
    </w:p>
    <w:p w14:paraId="49892770" w14:textId="77777777" w:rsidR="008864E4" w:rsidRPr="00D85C29" w:rsidRDefault="008864E4" w:rsidP="008864E4">
      <w:pPr>
        <w:spacing w:line="360" w:lineRule="auto"/>
        <w:jc w:val="center"/>
        <w:rPr>
          <w:rFonts w:ascii="Times New Roman" w:hAnsi="Times New Roman"/>
          <w:sz w:val="24"/>
          <w:szCs w:val="24"/>
        </w:rPr>
      </w:pPr>
    </w:p>
    <w:p w14:paraId="2DBAC3CA" w14:textId="77777777" w:rsidR="008864E4" w:rsidRPr="00D85C29" w:rsidRDefault="008864E4" w:rsidP="008864E4">
      <w:pPr>
        <w:spacing w:line="360" w:lineRule="auto"/>
        <w:jc w:val="center"/>
        <w:rPr>
          <w:rFonts w:ascii="Times New Roman" w:hAnsi="Times New Roman"/>
          <w:sz w:val="24"/>
          <w:szCs w:val="24"/>
        </w:rPr>
      </w:pPr>
    </w:p>
    <w:p w14:paraId="70F5D686" w14:textId="77777777" w:rsidR="008864E4" w:rsidRPr="00D85C29" w:rsidRDefault="008864E4" w:rsidP="008864E4">
      <w:pPr>
        <w:spacing w:line="360" w:lineRule="auto"/>
        <w:jc w:val="center"/>
        <w:rPr>
          <w:rFonts w:ascii="Times New Roman" w:hAnsi="Times New Roman"/>
          <w:sz w:val="24"/>
          <w:szCs w:val="24"/>
        </w:rPr>
      </w:pPr>
    </w:p>
    <w:p w14:paraId="15561496" w14:textId="77777777" w:rsidR="00DC3FB4" w:rsidRPr="00DC3FB4" w:rsidRDefault="00DC3FB4" w:rsidP="00DC3FB4">
      <w:pPr>
        <w:rPr>
          <w:rFonts w:ascii="Times New Roman" w:hAnsi="Times New Roman"/>
          <w:i/>
          <w:iCs/>
          <w:sz w:val="24"/>
          <w:szCs w:val="24"/>
        </w:rPr>
      </w:pPr>
      <w:r w:rsidRPr="00DC3FB4">
        <w:rPr>
          <w:rFonts w:ascii="Times New Roman" w:hAnsi="Times New Roman"/>
          <w:i/>
          <w:iCs/>
          <w:sz w:val="24"/>
          <w:szCs w:val="24"/>
        </w:rPr>
        <w:t>Name: Badea Alexandru</w:t>
      </w:r>
    </w:p>
    <w:p w14:paraId="22608993" w14:textId="68EC5091" w:rsidR="00DC3FB4" w:rsidRPr="00DC3FB4" w:rsidRDefault="00DC3FB4" w:rsidP="00DC3FB4">
      <w:pPr>
        <w:rPr>
          <w:rFonts w:ascii="Times New Roman" w:hAnsi="Times New Roman"/>
          <w:i/>
          <w:iCs/>
          <w:sz w:val="24"/>
          <w:szCs w:val="24"/>
        </w:rPr>
      </w:pPr>
      <w:r>
        <w:rPr>
          <w:rFonts w:ascii="Times New Roman" w:hAnsi="Times New Roman"/>
          <w:i/>
          <w:iCs/>
          <w:sz w:val="24"/>
          <w:szCs w:val="24"/>
        </w:rPr>
        <w:t xml:space="preserve">Student </w:t>
      </w:r>
      <w:r w:rsidRPr="00DC3FB4">
        <w:rPr>
          <w:rFonts w:ascii="Times New Roman" w:hAnsi="Times New Roman"/>
          <w:i/>
          <w:iCs/>
          <w:sz w:val="24"/>
          <w:szCs w:val="24"/>
        </w:rPr>
        <w:t>ID: 2208275</w:t>
      </w:r>
    </w:p>
    <w:p w14:paraId="6C8A8007" w14:textId="14FB141E" w:rsidR="00DC3FB4" w:rsidRPr="00DC3FB4" w:rsidRDefault="00DC3FB4" w:rsidP="00DC3FB4">
      <w:pPr>
        <w:rPr>
          <w:rFonts w:ascii="Times New Roman" w:hAnsi="Times New Roman"/>
          <w:i/>
          <w:iCs/>
          <w:sz w:val="24"/>
          <w:szCs w:val="24"/>
        </w:rPr>
      </w:pPr>
      <w:r w:rsidRPr="00DC3FB4">
        <w:rPr>
          <w:rFonts w:ascii="Times New Roman" w:hAnsi="Times New Roman"/>
          <w:i/>
          <w:iCs/>
          <w:sz w:val="24"/>
          <w:szCs w:val="24"/>
        </w:rPr>
        <w:t>Module title: International Meetings Management for the Hotel Industry</w:t>
      </w:r>
    </w:p>
    <w:p w14:paraId="7F3F8342" w14:textId="1722E9AA" w:rsidR="00DC3FB4" w:rsidRPr="00DC3FB4" w:rsidRDefault="00DC3FB4" w:rsidP="00DC3FB4">
      <w:pPr>
        <w:rPr>
          <w:rFonts w:ascii="Times New Roman" w:hAnsi="Times New Roman"/>
          <w:i/>
          <w:iCs/>
          <w:sz w:val="24"/>
          <w:szCs w:val="24"/>
        </w:rPr>
      </w:pPr>
      <w:r w:rsidRPr="00DC3FB4">
        <w:rPr>
          <w:rFonts w:ascii="Times New Roman" w:hAnsi="Times New Roman"/>
          <w:i/>
          <w:iCs/>
          <w:sz w:val="24"/>
          <w:szCs w:val="24"/>
        </w:rPr>
        <w:t>Module code: BMIH6007</w:t>
      </w:r>
    </w:p>
    <w:p w14:paraId="185E6C27" w14:textId="316AD5FB" w:rsidR="00DC3FB4" w:rsidRPr="00DC3FB4" w:rsidRDefault="00DC3FB4" w:rsidP="00DC3FB4">
      <w:pPr>
        <w:rPr>
          <w:rFonts w:ascii="Times New Roman" w:hAnsi="Times New Roman"/>
          <w:i/>
          <w:iCs/>
          <w:sz w:val="24"/>
          <w:szCs w:val="24"/>
        </w:rPr>
      </w:pPr>
      <w:r w:rsidRPr="00DC3FB4">
        <w:rPr>
          <w:rFonts w:ascii="Times New Roman" w:hAnsi="Times New Roman"/>
          <w:i/>
          <w:iCs/>
          <w:sz w:val="24"/>
          <w:szCs w:val="24"/>
        </w:rPr>
        <w:t>Lecturer’s name: Chris Wilkin</w:t>
      </w:r>
    </w:p>
    <w:p w14:paraId="5D3CECD0" w14:textId="3AA1B42A" w:rsidR="008864E4" w:rsidRDefault="008864E4" w:rsidP="00DC3FB4">
      <w:pPr>
        <w:spacing w:line="360" w:lineRule="auto"/>
        <w:rPr>
          <w:rFonts w:ascii="Times New Roman" w:hAnsi="Times New Roman"/>
          <w:i/>
          <w:iCs/>
          <w:sz w:val="24"/>
          <w:szCs w:val="24"/>
          <w:lang w:val="ro-RO"/>
        </w:rPr>
      </w:pPr>
      <w:r w:rsidRPr="00DC3FB4">
        <w:rPr>
          <w:rFonts w:ascii="Times New Roman" w:hAnsi="Times New Roman"/>
          <w:i/>
          <w:iCs/>
          <w:sz w:val="24"/>
          <w:szCs w:val="24"/>
          <w:lang w:val="ro-RO"/>
        </w:rPr>
        <w:t>Word count: 2543</w:t>
      </w:r>
    </w:p>
    <w:p w14:paraId="68899109" w14:textId="008E080D" w:rsidR="00320E1A" w:rsidRDefault="00320E1A" w:rsidP="00DC3FB4">
      <w:pPr>
        <w:spacing w:line="360" w:lineRule="auto"/>
        <w:rPr>
          <w:rFonts w:ascii="Times New Roman" w:hAnsi="Times New Roman"/>
          <w:i/>
          <w:iCs/>
          <w:sz w:val="24"/>
          <w:szCs w:val="24"/>
          <w:lang w:val="ro-RO"/>
        </w:rPr>
      </w:pPr>
    </w:p>
    <w:p w14:paraId="63D77EE9" w14:textId="5D2CA695" w:rsidR="00320E1A" w:rsidRDefault="00320E1A" w:rsidP="00DC3FB4">
      <w:pPr>
        <w:spacing w:line="360" w:lineRule="auto"/>
        <w:rPr>
          <w:rFonts w:ascii="Times New Roman" w:hAnsi="Times New Roman"/>
          <w:i/>
          <w:iCs/>
          <w:sz w:val="24"/>
          <w:szCs w:val="24"/>
          <w:lang w:val="ro-RO"/>
        </w:rPr>
      </w:pPr>
    </w:p>
    <w:p w14:paraId="14FF83B0" w14:textId="6EAB51FB" w:rsidR="00320E1A" w:rsidRPr="00DC3FB4" w:rsidRDefault="00320E1A" w:rsidP="00DC3FB4">
      <w:pPr>
        <w:spacing w:line="360" w:lineRule="auto"/>
        <w:rPr>
          <w:rFonts w:ascii="Times New Roman" w:hAnsi="Times New Roman"/>
          <w:i/>
          <w:iCs/>
          <w:sz w:val="24"/>
          <w:szCs w:val="24"/>
          <w:lang w:val="ro-RO"/>
        </w:rPr>
      </w:pPr>
    </w:p>
    <w:p w14:paraId="0555CF0B" w14:textId="46894146" w:rsidR="008864E4" w:rsidRDefault="008864E4" w:rsidP="008864E4">
      <w:pPr>
        <w:spacing w:line="360" w:lineRule="auto"/>
        <w:jc w:val="both"/>
        <w:rPr>
          <w:rFonts w:ascii="Times New Roman" w:hAnsi="Times New Roman"/>
          <w:sz w:val="24"/>
          <w:szCs w:val="24"/>
        </w:rPr>
      </w:pPr>
    </w:p>
    <w:p w14:paraId="47F4868D" w14:textId="1D74EB9F" w:rsidR="008864E4" w:rsidRDefault="008864E4" w:rsidP="008864E4">
      <w:pPr>
        <w:spacing w:line="360" w:lineRule="auto"/>
        <w:jc w:val="both"/>
        <w:rPr>
          <w:rFonts w:ascii="Times New Roman" w:hAnsi="Times New Roman"/>
          <w:sz w:val="24"/>
          <w:szCs w:val="24"/>
        </w:rPr>
      </w:pPr>
    </w:p>
    <w:p w14:paraId="18FFAD7D" w14:textId="4A3D45C8" w:rsidR="00B324E5" w:rsidRDefault="00B324E5" w:rsidP="008864E4">
      <w:pPr>
        <w:spacing w:line="360" w:lineRule="auto"/>
        <w:jc w:val="both"/>
        <w:rPr>
          <w:rFonts w:ascii="Times New Roman" w:hAnsi="Times New Roman"/>
          <w:sz w:val="24"/>
          <w:szCs w:val="24"/>
        </w:rPr>
      </w:pPr>
    </w:p>
    <w:p w14:paraId="197EFD72" w14:textId="4AFC04FC" w:rsidR="00B324E5" w:rsidRDefault="00B324E5" w:rsidP="008864E4">
      <w:pPr>
        <w:spacing w:line="360" w:lineRule="auto"/>
        <w:jc w:val="both"/>
        <w:rPr>
          <w:rFonts w:ascii="Times New Roman" w:hAnsi="Times New Roman"/>
          <w:sz w:val="24"/>
          <w:szCs w:val="24"/>
        </w:rPr>
      </w:pPr>
    </w:p>
    <w:p w14:paraId="6B2272FF" w14:textId="68F1F730" w:rsidR="00B324E5" w:rsidRDefault="00B324E5" w:rsidP="008864E4">
      <w:pPr>
        <w:spacing w:line="360" w:lineRule="auto"/>
        <w:jc w:val="both"/>
        <w:rPr>
          <w:rFonts w:ascii="Times New Roman" w:hAnsi="Times New Roman"/>
          <w:sz w:val="24"/>
          <w:szCs w:val="24"/>
        </w:rPr>
      </w:pPr>
    </w:p>
    <w:p w14:paraId="2CF65869" w14:textId="54339F20" w:rsidR="00B324E5" w:rsidRDefault="00B324E5" w:rsidP="008864E4">
      <w:pPr>
        <w:spacing w:line="360" w:lineRule="auto"/>
        <w:jc w:val="both"/>
        <w:rPr>
          <w:rFonts w:ascii="Times New Roman" w:hAnsi="Times New Roman"/>
          <w:sz w:val="24"/>
          <w:szCs w:val="24"/>
        </w:rPr>
      </w:pPr>
    </w:p>
    <w:p w14:paraId="062CF8B3" w14:textId="7AF638A4" w:rsidR="00B324E5" w:rsidRDefault="00B324E5" w:rsidP="008864E4">
      <w:pPr>
        <w:spacing w:line="360" w:lineRule="auto"/>
        <w:jc w:val="both"/>
        <w:rPr>
          <w:rFonts w:ascii="Times New Roman" w:hAnsi="Times New Roman"/>
          <w:sz w:val="24"/>
          <w:szCs w:val="24"/>
        </w:rPr>
      </w:pPr>
    </w:p>
    <w:p w14:paraId="68FD9817" w14:textId="71FB2898" w:rsidR="00B324E5" w:rsidRDefault="00B324E5" w:rsidP="008864E4">
      <w:pPr>
        <w:spacing w:line="360" w:lineRule="auto"/>
        <w:jc w:val="both"/>
        <w:rPr>
          <w:rFonts w:ascii="Times New Roman" w:hAnsi="Times New Roman"/>
          <w:sz w:val="24"/>
          <w:szCs w:val="24"/>
        </w:rPr>
      </w:pPr>
    </w:p>
    <w:p w14:paraId="0FC2AA03" w14:textId="4446C1C3" w:rsidR="00B324E5" w:rsidRDefault="00320E1A" w:rsidP="008864E4">
      <w:pPr>
        <w:spacing w:line="360" w:lineRule="auto"/>
        <w:jc w:val="both"/>
        <w:rPr>
          <w:rFonts w:ascii="Times New Roman" w:hAnsi="Times New Roman"/>
          <w:sz w:val="24"/>
          <w:szCs w:val="24"/>
        </w:rPr>
      </w:pPr>
      <w:r w:rsidRPr="00320E1A">
        <w:rPr>
          <w:rFonts w:ascii="Times New Roman" w:hAnsi="Times New Roman"/>
          <w:i/>
          <w:iCs/>
          <w:noProof/>
          <w:sz w:val="24"/>
          <w:szCs w:val="24"/>
        </w:rPr>
        <w:drawing>
          <wp:anchor distT="0" distB="0" distL="114300" distR="114300" simplePos="0" relativeHeight="251658240" behindDoc="1" locked="0" layoutInCell="1" allowOverlap="1" wp14:anchorId="7A92B5DB" wp14:editId="4DBEFEDE">
            <wp:simplePos x="0" y="0"/>
            <wp:positionH relativeFrom="column">
              <wp:posOffset>-844550</wp:posOffset>
            </wp:positionH>
            <wp:positionV relativeFrom="paragraph">
              <wp:posOffset>293370</wp:posOffset>
            </wp:positionV>
            <wp:extent cx="7658100" cy="922895"/>
            <wp:effectExtent l="0" t="0" r="0" b="0"/>
            <wp:wrapNone/>
            <wp:docPr id="5" name="Picture 4">
              <a:extLst xmlns:a="http://schemas.openxmlformats.org/drawingml/2006/main">
                <a:ext uri="{FF2B5EF4-FFF2-40B4-BE49-F238E27FC236}">
                  <a16:creationId xmlns:a16="http://schemas.microsoft.com/office/drawing/2014/main" id="{275FB9BE-F336-4B27-95FD-5ACEBD9437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75FB9BE-F336-4B27-95FD-5ACEBD9437EF}"/>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7658100" cy="922895"/>
                    </a:xfrm>
                    <a:prstGeom prst="rect">
                      <a:avLst/>
                    </a:prstGeom>
                  </pic:spPr>
                </pic:pic>
              </a:graphicData>
            </a:graphic>
            <wp14:sizeRelH relativeFrom="margin">
              <wp14:pctWidth>0</wp14:pctWidth>
            </wp14:sizeRelH>
            <wp14:sizeRelV relativeFrom="margin">
              <wp14:pctHeight>0</wp14:pctHeight>
            </wp14:sizeRelV>
          </wp:anchor>
        </w:drawing>
      </w:r>
    </w:p>
    <w:sdt>
      <w:sdtPr>
        <w:rPr>
          <w:rFonts w:asciiTheme="minorHAnsi" w:eastAsiaTheme="minorHAnsi" w:hAnsiTheme="minorHAnsi" w:cstheme="minorBidi"/>
          <w:noProof/>
          <w:color w:val="auto"/>
          <w:kern w:val="2"/>
          <w:sz w:val="22"/>
          <w:szCs w:val="22"/>
          <w:lang w:val="en-GB" w:eastAsia="en-GB"/>
          <w14:ligatures w14:val="standardContextual"/>
        </w:rPr>
        <w:id w:val="1187187702"/>
        <w:docPartObj>
          <w:docPartGallery w:val="Table of Contents"/>
          <w:docPartUnique/>
        </w:docPartObj>
      </w:sdtPr>
      <w:sdtEndPr>
        <w:rPr>
          <w:rFonts w:eastAsiaTheme="minorEastAsia" w:cs="Times New Roman"/>
          <w:b/>
          <w:bCs/>
          <w:noProof w:val="0"/>
          <w:kern w:val="0"/>
          <w14:ligatures w14:val="none"/>
        </w:rPr>
      </w:sdtEndPr>
      <w:sdtContent>
        <w:p w14:paraId="0ADAB9D9" w14:textId="77777777" w:rsidR="008864E4" w:rsidRPr="00E337E9" w:rsidRDefault="008864E4" w:rsidP="008864E4">
          <w:pPr>
            <w:pStyle w:val="TOCHeading"/>
            <w:rPr>
              <w:sz w:val="20"/>
              <w:szCs w:val="20"/>
            </w:rPr>
          </w:pPr>
          <w:r w:rsidRPr="00E337E9">
            <w:rPr>
              <w:sz w:val="20"/>
              <w:szCs w:val="20"/>
            </w:rPr>
            <w:t>Contents</w:t>
          </w:r>
        </w:p>
        <w:p w14:paraId="04187F85" w14:textId="77777777" w:rsidR="008864E4" w:rsidRPr="00E337E9" w:rsidRDefault="008864E4" w:rsidP="008864E4">
          <w:pPr>
            <w:pStyle w:val="TOC1"/>
            <w:tabs>
              <w:tab w:val="right" w:leader="dot" w:pos="9016"/>
            </w:tabs>
            <w:rPr>
              <w:rFonts w:eastAsiaTheme="minorEastAsia"/>
              <w:sz w:val="20"/>
              <w:szCs w:val="20"/>
              <w:lang w:val="ro-RO" w:eastAsia="ro-RO"/>
            </w:rPr>
          </w:pPr>
          <w:r w:rsidRPr="00E337E9">
            <w:rPr>
              <w:sz w:val="20"/>
              <w:szCs w:val="20"/>
            </w:rPr>
            <w:fldChar w:fldCharType="begin"/>
          </w:r>
          <w:r w:rsidRPr="00E337E9">
            <w:rPr>
              <w:sz w:val="20"/>
              <w:szCs w:val="20"/>
            </w:rPr>
            <w:instrText xml:space="preserve"> TOC \o "1-3" \h \z \u </w:instrText>
          </w:r>
          <w:r w:rsidRPr="00E337E9">
            <w:rPr>
              <w:sz w:val="20"/>
              <w:szCs w:val="20"/>
            </w:rPr>
            <w:fldChar w:fldCharType="separate"/>
          </w:r>
          <w:hyperlink w:anchor="_Toc191503452" w:history="1">
            <w:r w:rsidRPr="00E337E9">
              <w:rPr>
                <w:rStyle w:val="Hyperlink"/>
                <w:rFonts w:ascii="Times New Roman" w:hAnsi="Times New Roman" w:cs="Times New Roman"/>
                <w:sz w:val="20"/>
                <w:szCs w:val="20"/>
                <w:lang w:val="ro-RO"/>
              </w:rPr>
              <w:t>EXECUTIVE SUMMARY</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_Toc191503452 \h </w:instrText>
            </w:r>
            <w:r w:rsidRPr="00E337E9">
              <w:rPr>
                <w:webHidden/>
                <w:sz w:val="20"/>
                <w:szCs w:val="20"/>
              </w:rPr>
            </w:r>
            <w:r w:rsidRPr="00E337E9">
              <w:rPr>
                <w:webHidden/>
                <w:sz w:val="20"/>
                <w:szCs w:val="20"/>
              </w:rPr>
              <w:fldChar w:fldCharType="separate"/>
            </w:r>
            <w:r w:rsidRPr="00E337E9">
              <w:rPr>
                <w:webHidden/>
                <w:sz w:val="20"/>
                <w:szCs w:val="20"/>
              </w:rPr>
              <w:t>3</w:t>
            </w:r>
            <w:r w:rsidRPr="00E337E9">
              <w:rPr>
                <w:webHidden/>
                <w:sz w:val="20"/>
                <w:szCs w:val="20"/>
              </w:rPr>
              <w:fldChar w:fldCharType="end"/>
            </w:r>
          </w:hyperlink>
        </w:p>
        <w:p w14:paraId="3AE0C1F2"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53" w:history="1">
            <w:r w:rsidR="008864E4" w:rsidRPr="00E337E9">
              <w:rPr>
                <w:rStyle w:val="Hyperlink"/>
                <w:rFonts w:ascii="Times New Roman" w:hAnsi="Times New Roman" w:cs="Times New Roman"/>
                <w:sz w:val="20"/>
                <w:szCs w:val="20"/>
              </w:rPr>
              <w:t>INTRODUCTION</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_Toc191503453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4</w:t>
            </w:r>
            <w:r w:rsidR="008864E4" w:rsidRPr="00E337E9">
              <w:rPr>
                <w:webHidden/>
                <w:sz w:val="20"/>
                <w:szCs w:val="20"/>
              </w:rPr>
              <w:fldChar w:fldCharType="end"/>
            </w:r>
          </w:hyperlink>
        </w:p>
        <w:p w14:paraId="5B7D3655"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54" w:history="1">
            <w:r w:rsidR="008864E4" w:rsidRPr="00E337E9">
              <w:rPr>
                <w:rStyle w:val="Hyperlink"/>
                <w:rFonts w:ascii="Times New Roman" w:hAnsi="Times New Roman" w:cs="Times New Roman"/>
                <w:sz w:val="20"/>
                <w:szCs w:val="20"/>
                <w:lang w:val="ro-RO"/>
              </w:rPr>
              <w:t>THE EVENT CYCLE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_Toc191503454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5</w:t>
            </w:r>
            <w:r w:rsidR="008864E4" w:rsidRPr="00E337E9">
              <w:rPr>
                <w:webHidden/>
                <w:sz w:val="20"/>
                <w:szCs w:val="20"/>
              </w:rPr>
              <w:fldChar w:fldCharType="end"/>
            </w:r>
          </w:hyperlink>
        </w:p>
        <w:p w14:paraId="6D9A376A"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55" w:history="1">
            <w:r w:rsidR="008864E4" w:rsidRPr="00E337E9">
              <w:rPr>
                <w:rStyle w:val="Hyperlink"/>
                <w:rFonts w:ascii="Times New Roman" w:hAnsi="Times New Roman" w:cs="Times New Roman"/>
                <w:sz w:val="20"/>
                <w:szCs w:val="20"/>
                <w:lang w:val="ro-RO"/>
              </w:rPr>
              <w:t>Planning phase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_Toc191503455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5</w:t>
            </w:r>
            <w:r w:rsidR="008864E4" w:rsidRPr="00E337E9">
              <w:rPr>
                <w:webHidden/>
                <w:sz w:val="20"/>
                <w:szCs w:val="20"/>
              </w:rPr>
              <w:fldChar w:fldCharType="end"/>
            </w:r>
          </w:hyperlink>
        </w:p>
        <w:p w14:paraId="504CC3DC"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56" w:history="1">
            <w:r w:rsidR="008864E4" w:rsidRPr="00E337E9">
              <w:rPr>
                <w:rStyle w:val="Hyperlink"/>
                <w:rFonts w:ascii="Times New Roman" w:hAnsi="Times New Roman" w:cs="Times New Roman"/>
                <w:sz w:val="20"/>
                <w:szCs w:val="20"/>
                <w:lang w:val="ro-RO"/>
              </w:rPr>
              <w:t>Implementation phase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_Toc191503456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5</w:t>
            </w:r>
            <w:r w:rsidR="008864E4" w:rsidRPr="00E337E9">
              <w:rPr>
                <w:webHidden/>
                <w:sz w:val="20"/>
                <w:szCs w:val="20"/>
              </w:rPr>
              <w:fldChar w:fldCharType="end"/>
            </w:r>
          </w:hyperlink>
        </w:p>
        <w:p w14:paraId="2C02AD8F"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57" w:history="1">
            <w:r w:rsidR="008864E4" w:rsidRPr="00E337E9">
              <w:rPr>
                <w:rStyle w:val="Hyperlink"/>
                <w:rFonts w:ascii="Times New Roman" w:hAnsi="Times New Roman" w:cs="Times New Roman"/>
                <w:sz w:val="20"/>
                <w:szCs w:val="20"/>
                <w:lang w:val="ro-RO"/>
              </w:rPr>
              <w:t>Evaluation phase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_Toc191503457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5</w:t>
            </w:r>
            <w:r w:rsidR="008864E4" w:rsidRPr="00E337E9">
              <w:rPr>
                <w:webHidden/>
                <w:sz w:val="20"/>
                <w:szCs w:val="20"/>
              </w:rPr>
              <w:fldChar w:fldCharType="end"/>
            </w:r>
          </w:hyperlink>
        </w:p>
        <w:p w14:paraId="7DC90A3B"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58" w:history="1">
            <w:r w:rsidR="008864E4" w:rsidRPr="00E337E9">
              <w:rPr>
                <w:rStyle w:val="Hyperlink"/>
                <w:rFonts w:ascii="Times New Roman" w:hAnsi="Times New Roman" w:cs="Times New Roman"/>
                <w:sz w:val="20"/>
                <w:szCs w:val="20"/>
              </w:rPr>
              <w:t>AIM AND OBJECTIVES OF THE EVENT</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_Toc191503458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6</w:t>
            </w:r>
            <w:r w:rsidR="008864E4" w:rsidRPr="00E337E9">
              <w:rPr>
                <w:webHidden/>
                <w:sz w:val="20"/>
                <w:szCs w:val="20"/>
              </w:rPr>
              <w:fldChar w:fldCharType="end"/>
            </w:r>
          </w:hyperlink>
        </w:p>
        <w:p w14:paraId="249A7DFC"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59" w:history="1">
            <w:r w:rsidR="008864E4" w:rsidRPr="00E337E9">
              <w:rPr>
                <w:rStyle w:val="Hyperlink"/>
                <w:rFonts w:ascii="Times New Roman" w:hAnsi="Times New Roman" w:cs="Times New Roman"/>
                <w:sz w:val="20"/>
                <w:szCs w:val="20"/>
              </w:rPr>
              <w:t>SMART Objectives: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_Toc191503459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6</w:t>
            </w:r>
            <w:r w:rsidR="008864E4" w:rsidRPr="00E337E9">
              <w:rPr>
                <w:webHidden/>
                <w:sz w:val="20"/>
                <w:szCs w:val="20"/>
              </w:rPr>
              <w:fldChar w:fldCharType="end"/>
            </w:r>
          </w:hyperlink>
        </w:p>
        <w:p w14:paraId="55DFEC76"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60" w:history="1">
            <w:r w:rsidR="008864E4" w:rsidRPr="00E337E9">
              <w:rPr>
                <w:rStyle w:val="Hyperlink"/>
                <w:rFonts w:ascii="Times New Roman" w:hAnsi="Times New Roman" w:cs="Times New Roman"/>
                <w:sz w:val="20"/>
                <w:szCs w:val="20"/>
              </w:rPr>
              <w:t>EVENT CONCEPT</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_Toc191503460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6</w:t>
            </w:r>
            <w:r w:rsidR="008864E4" w:rsidRPr="00E337E9">
              <w:rPr>
                <w:webHidden/>
                <w:sz w:val="20"/>
                <w:szCs w:val="20"/>
              </w:rPr>
              <w:fldChar w:fldCharType="end"/>
            </w:r>
          </w:hyperlink>
        </w:p>
        <w:p w14:paraId="0A7F4263"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61" w:history="1">
            <w:r w:rsidR="008864E4" w:rsidRPr="00E337E9">
              <w:rPr>
                <w:rStyle w:val="Hyperlink"/>
                <w:rFonts w:ascii="Times New Roman" w:hAnsi="Times New Roman" w:cs="Times New Roman"/>
                <w:sz w:val="20"/>
                <w:szCs w:val="20"/>
              </w:rPr>
              <w:t>Conference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_Toc191503461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6</w:t>
            </w:r>
            <w:r w:rsidR="008864E4" w:rsidRPr="00E337E9">
              <w:rPr>
                <w:webHidden/>
                <w:sz w:val="20"/>
                <w:szCs w:val="20"/>
              </w:rPr>
              <w:fldChar w:fldCharType="end"/>
            </w:r>
          </w:hyperlink>
        </w:p>
        <w:p w14:paraId="4F22896F"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62" w:history="1">
            <w:r w:rsidR="008864E4" w:rsidRPr="00E337E9">
              <w:rPr>
                <w:rStyle w:val="Hyperlink"/>
                <w:rFonts w:ascii="Times New Roman" w:hAnsi="Times New Roman" w:cs="Times New Roman"/>
                <w:sz w:val="20"/>
                <w:szCs w:val="20"/>
              </w:rPr>
              <w:t>Job Fair</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_Toc191503462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6</w:t>
            </w:r>
            <w:r w:rsidR="008864E4" w:rsidRPr="00E337E9">
              <w:rPr>
                <w:webHidden/>
                <w:sz w:val="20"/>
                <w:szCs w:val="20"/>
              </w:rPr>
              <w:fldChar w:fldCharType="end"/>
            </w:r>
          </w:hyperlink>
        </w:p>
        <w:p w14:paraId="7AFF4D60"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63" w:history="1">
            <w:r w:rsidR="008864E4" w:rsidRPr="00E337E9">
              <w:rPr>
                <w:rStyle w:val="Hyperlink"/>
                <w:rFonts w:ascii="Times New Roman" w:hAnsi="Times New Roman" w:cs="Times New Roman"/>
                <w:sz w:val="20"/>
                <w:szCs w:val="20"/>
              </w:rPr>
              <w:t>Experiential Simulations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_Toc191503463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7</w:t>
            </w:r>
            <w:r w:rsidR="008864E4" w:rsidRPr="00E337E9">
              <w:rPr>
                <w:webHidden/>
                <w:sz w:val="20"/>
                <w:szCs w:val="20"/>
              </w:rPr>
              <w:fldChar w:fldCharType="end"/>
            </w:r>
          </w:hyperlink>
        </w:p>
        <w:p w14:paraId="2F4844DA"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64" w:history="1">
            <w:r w:rsidR="008864E4" w:rsidRPr="00E337E9">
              <w:rPr>
                <w:rStyle w:val="Hyperlink"/>
                <w:rFonts w:ascii="Times New Roman" w:hAnsi="Times New Roman" w:cs="Times New Roman"/>
                <w:sz w:val="20"/>
                <w:szCs w:val="20"/>
              </w:rPr>
              <w:t>Special Guest</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_Toc191503464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7</w:t>
            </w:r>
            <w:r w:rsidR="008864E4" w:rsidRPr="00E337E9">
              <w:rPr>
                <w:webHidden/>
                <w:sz w:val="20"/>
                <w:szCs w:val="20"/>
              </w:rPr>
              <w:fldChar w:fldCharType="end"/>
            </w:r>
          </w:hyperlink>
        </w:p>
        <w:p w14:paraId="0286251C"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65" w:history="1">
            <w:r w:rsidR="008864E4" w:rsidRPr="00E337E9">
              <w:rPr>
                <w:rStyle w:val="Hyperlink"/>
                <w:rFonts w:ascii="Times New Roman" w:hAnsi="Times New Roman" w:cs="Times New Roman"/>
                <w:sz w:val="20"/>
                <w:szCs w:val="20"/>
              </w:rPr>
              <w:t>Event Schedule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_Toc191503465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7</w:t>
            </w:r>
            <w:r w:rsidR="008864E4" w:rsidRPr="00E337E9">
              <w:rPr>
                <w:webHidden/>
                <w:sz w:val="20"/>
                <w:szCs w:val="20"/>
              </w:rPr>
              <w:fldChar w:fldCharType="end"/>
            </w:r>
          </w:hyperlink>
        </w:p>
        <w:p w14:paraId="6F4A4257"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66" w:history="1">
            <w:r w:rsidR="008864E4" w:rsidRPr="00E337E9">
              <w:rPr>
                <w:rStyle w:val="Hyperlink"/>
                <w:rFonts w:ascii="Times New Roman" w:hAnsi="Times New Roman" w:cs="Times New Roman"/>
                <w:sz w:val="20"/>
                <w:szCs w:val="20"/>
              </w:rPr>
              <w:t>EVENT MANAGEMENT AND EMBOK MODEL</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_Toc191503466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8</w:t>
            </w:r>
            <w:r w:rsidR="008864E4" w:rsidRPr="00E337E9">
              <w:rPr>
                <w:webHidden/>
                <w:sz w:val="20"/>
                <w:szCs w:val="20"/>
              </w:rPr>
              <w:fldChar w:fldCharType="end"/>
            </w:r>
          </w:hyperlink>
        </w:p>
        <w:p w14:paraId="0EDFF308"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67" w:history="1">
            <w:r w:rsidR="008864E4" w:rsidRPr="00E337E9">
              <w:rPr>
                <w:rStyle w:val="Hyperlink"/>
                <w:rFonts w:ascii="Times New Roman" w:hAnsi="Times New Roman" w:cs="Times New Roman"/>
                <w:sz w:val="20"/>
                <w:szCs w:val="20"/>
              </w:rPr>
              <w:t>Definition</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_Toc191503467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8</w:t>
            </w:r>
            <w:r w:rsidR="008864E4" w:rsidRPr="00E337E9">
              <w:rPr>
                <w:webHidden/>
                <w:sz w:val="20"/>
                <w:szCs w:val="20"/>
              </w:rPr>
              <w:fldChar w:fldCharType="end"/>
            </w:r>
          </w:hyperlink>
        </w:p>
        <w:p w14:paraId="407B21D8"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68" w:history="1">
            <w:r w:rsidR="008864E4" w:rsidRPr="00E337E9">
              <w:rPr>
                <w:rStyle w:val="Hyperlink"/>
                <w:rFonts w:ascii="Times New Roman" w:hAnsi="Times New Roman" w:cs="Times New Roman"/>
                <w:sz w:val="20"/>
                <w:szCs w:val="20"/>
              </w:rPr>
              <w:t>Design</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_Toc191503468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8</w:t>
            </w:r>
            <w:r w:rsidR="008864E4" w:rsidRPr="00E337E9">
              <w:rPr>
                <w:webHidden/>
                <w:sz w:val="20"/>
                <w:szCs w:val="20"/>
              </w:rPr>
              <w:fldChar w:fldCharType="end"/>
            </w:r>
          </w:hyperlink>
        </w:p>
        <w:p w14:paraId="4ECE2E30"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69" w:history="1">
            <w:r w:rsidR="008864E4" w:rsidRPr="00E337E9">
              <w:rPr>
                <w:rStyle w:val="Hyperlink"/>
                <w:rFonts w:ascii="Times New Roman" w:hAnsi="Times New Roman" w:cs="Times New Roman"/>
                <w:sz w:val="20"/>
                <w:szCs w:val="20"/>
              </w:rPr>
              <w:t>Marketing Strategy</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_Toc191503469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8</w:t>
            </w:r>
            <w:r w:rsidR="008864E4" w:rsidRPr="00E337E9">
              <w:rPr>
                <w:webHidden/>
                <w:sz w:val="20"/>
                <w:szCs w:val="20"/>
              </w:rPr>
              <w:fldChar w:fldCharType="end"/>
            </w:r>
          </w:hyperlink>
        </w:p>
        <w:p w14:paraId="56CED5A8" w14:textId="77777777" w:rsidR="008864E4" w:rsidRPr="00E337E9" w:rsidRDefault="001F53D5" w:rsidP="008864E4">
          <w:pPr>
            <w:pStyle w:val="TOC3"/>
            <w:tabs>
              <w:tab w:val="left" w:pos="960"/>
              <w:tab w:val="right" w:leader="dot" w:pos="9016"/>
            </w:tabs>
            <w:rPr>
              <w:rFonts w:eastAsiaTheme="minorEastAsia"/>
              <w:sz w:val="20"/>
              <w:szCs w:val="20"/>
              <w:lang w:val="ro-RO" w:eastAsia="ro-RO"/>
            </w:rPr>
          </w:pPr>
          <w:hyperlink w:anchor="_Toc191503470" w:history="1">
            <w:r w:rsidR="008864E4" w:rsidRPr="00E337E9">
              <w:rPr>
                <w:rStyle w:val="Hyperlink"/>
                <w:rFonts w:ascii="Symbol" w:hAnsi="Symbol" w:cs="Times New Roman"/>
                <w:sz w:val="20"/>
                <w:szCs w:val="20"/>
              </w:rPr>
              <w:t></w:t>
            </w:r>
            <w:r w:rsidR="008864E4" w:rsidRPr="00E337E9">
              <w:rPr>
                <w:rFonts w:eastAsiaTheme="minorEastAsia"/>
                <w:sz w:val="20"/>
                <w:szCs w:val="20"/>
                <w:lang w:val="ro-RO" w:eastAsia="ro-RO"/>
              </w:rPr>
              <w:tab/>
            </w:r>
            <w:r w:rsidR="008864E4" w:rsidRPr="00E337E9">
              <w:rPr>
                <w:rStyle w:val="Hyperlink"/>
                <w:rFonts w:ascii="Times New Roman" w:hAnsi="Times New Roman" w:cs="Times New Roman"/>
                <w:sz w:val="20"/>
                <w:szCs w:val="20"/>
              </w:rPr>
              <w:t>Price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_Toc191503470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9</w:t>
            </w:r>
            <w:r w:rsidR="008864E4" w:rsidRPr="00E337E9">
              <w:rPr>
                <w:webHidden/>
                <w:sz w:val="20"/>
                <w:szCs w:val="20"/>
              </w:rPr>
              <w:fldChar w:fldCharType="end"/>
            </w:r>
          </w:hyperlink>
        </w:p>
        <w:p w14:paraId="57E76F49" w14:textId="77777777" w:rsidR="008864E4" w:rsidRPr="00E337E9" w:rsidRDefault="001F53D5" w:rsidP="008864E4">
          <w:pPr>
            <w:pStyle w:val="TOC3"/>
            <w:tabs>
              <w:tab w:val="left" w:pos="960"/>
              <w:tab w:val="right" w:leader="dot" w:pos="9016"/>
            </w:tabs>
            <w:rPr>
              <w:rFonts w:eastAsiaTheme="minorEastAsia"/>
              <w:sz w:val="20"/>
              <w:szCs w:val="20"/>
              <w:lang w:val="ro-RO" w:eastAsia="ro-RO"/>
            </w:rPr>
          </w:pPr>
          <w:hyperlink w:anchor="_Toc191503471" w:history="1">
            <w:r w:rsidR="008864E4" w:rsidRPr="00E337E9">
              <w:rPr>
                <w:rStyle w:val="Hyperlink"/>
                <w:rFonts w:ascii="Symbol" w:hAnsi="Symbol" w:cs="Times New Roman"/>
                <w:sz w:val="20"/>
                <w:szCs w:val="20"/>
              </w:rPr>
              <w:t></w:t>
            </w:r>
            <w:r w:rsidR="008864E4" w:rsidRPr="00E337E9">
              <w:rPr>
                <w:rFonts w:eastAsiaTheme="minorEastAsia"/>
                <w:sz w:val="20"/>
                <w:szCs w:val="20"/>
                <w:lang w:val="ro-RO" w:eastAsia="ro-RO"/>
              </w:rPr>
              <w:tab/>
            </w:r>
            <w:r w:rsidR="008864E4" w:rsidRPr="00E337E9">
              <w:rPr>
                <w:rStyle w:val="Hyperlink"/>
                <w:rFonts w:ascii="Times New Roman" w:hAnsi="Times New Roman" w:cs="Times New Roman"/>
                <w:sz w:val="20"/>
                <w:szCs w:val="20"/>
              </w:rPr>
              <w:t>Place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_Toc191503471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9</w:t>
            </w:r>
            <w:r w:rsidR="008864E4" w:rsidRPr="00E337E9">
              <w:rPr>
                <w:webHidden/>
                <w:sz w:val="20"/>
                <w:szCs w:val="20"/>
              </w:rPr>
              <w:fldChar w:fldCharType="end"/>
            </w:r>
          </w:hyperlink>
        </w:p>
        <w:p w14:paraId="64A53AE1" w14:textId="77777777" w:rsidR="008864E4" w:rsidRPr="00E337E9" w:rsidRDefault="001F53D5" w:rsidP="008864E4">
          <w:pPr>
            <w:pStyle w:val="TOC3"/>
            <w:tabs>
              <w:tab w:val="left" w:pos="960"/>
              <w:tab w:val="right" w:leader="dot" w:pos="9016"/>
            </w:tabs>
            <w:rPr>
              <w:rFonts w:eastAsiaTheme="minorEastAsia"/>
              <w:sz w:val="20"/>
              <w:szCs w:val="20"/>
              <w:lang w:val="ro-RO" w:eastAsia="ro-RO"/>
            </w:rPr>
          </w:pPr>
          <w:hyperlink w:anchor="_Toc191503472" w:history="1">
            <w:r w:rsidR="008864E4" w:rsidRPr="00E337E9">
              <w:rPr>
                <w:rStyle w:val="Hyperlink"/>
                <w:rFonts w:ascii="Symbol" w:hAnsi="Symbol" w:cs="Times New Roman"/>
                <w:sz w:val="20"/>
                <w:szCs w:val="20"/>
              </w:rPr>
              <w:t></w:t>
            </w:r>
            <w:r w:rsidR="008864E4" w:rsidRPr="00E337E9">
              <w:rPr>
                <w:rFonts w:eastAsiaTheme="minorEastAsia"/>
                <w:sz w:val="20"/>
                <w:szCs w:val="20"/>
                <w:lang w:val="ro-RO" w:eastAsia="ro-RO"/>
              </w:rPr>
              <w:tab/>
            </w:r>
            <w:r w:rsidR="008864E4" w:rsidRPr="00E337E9">
              <w:rPr>
                <w:rStyle w:val="Hyperlink"/>
                <w:rFonts w:ascii="Times New Roman" w:hAnsi="Times New Roman" w:cs="Times New Roman"/>
                <w:sz w:val="20"/>
                <w:szCs w:val="20"/>
              </w:rPr>
              <w:t>Promotion</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_Toc191503472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9</w:t>
            </w:r>
            <w:r w:rsidR="008864E4" w:rsidRPr="00E337E9">
              <w:rPr>
                <w:webHidden/>
                <w:sz w:val="20"/>
                <w:szCs w:val="20"/>
              </w:rPr>
              <w:fldChar w:fldCharType="end"/>
            </w:r>
          </w:hyperlink>
        </w:p>
        <w:p w14:paraId="31D0B124" w14:textId="77777777" w:rsidR="008864E4" w:rsidRPr="00E337E9" w:rsidRDefault="001F53D5" w:rsidP="008864E4">
          <w:pPr>
            <w:pStyle w:val="TOC3"/>
            <w:tabs>
              <w:tab w:val="left" w:pos="960"/>
              <w:tab w:val="right" w:leader="dot" w:pos="9016"/>
            </w:tabs>
            <w:rPr>
              <w:rFonts w:eastAsiaTheme="minorEastAsia"/>
              <w:sz w:val="20"/>
              <w:szCs w:val="20"/>
              <w:lang w:val="ro-RO" w:eastAsia="ro-RO"/>
            </w:rPr>
          </w:pPr>
          <w:hyperlink w:anchor="_Toc191503473" w:history="1">
            <w:r w:rsidR="008864E4" w:rsidRPr="00E337E9">
              <w:rPr>
                <w:rStyle w:val="Hyperlink"/>
                <w:rFonts w:ascii="Symbol" w:hAnsi="Symbol" w:cs="Times New Roman"/>
                <w:sz w:val="20"/>
                <w:szCs w:val="20"/>
              </w:rPr>
              <w:t></w:t>
            </w:r>
            <w:r w:rsidR="008864E4" w:rsidRPr="00E337E9">
              <w:rPr>
                <w:rFonts w:eastAsiaTheme="minorEastAsia"/>
                <w:sz w:val="20"/>
                <w:szCs w:val="20"/>
                <w:lang w:val="ro-RO" w:eastAsia="ro-RO"/>
              </w:rPr>
              <w:tab/>
            </w:r>
            <w:r w:rsidR="008864E4" w:rsidRPr="00E337E9">
              <w:rPr>
                <w:rStyle w:val="Hyperlink"/>
                <w:rFonts w:ascii="Times New Roman" w:hAnsi="Times New Roman" w:cs="Times New Roman"/>
                <w:sz w:val="20"/>
                <w:szCs w:val="20"/>
              </w:rPr>
              <w:t>People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_Toc191503473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9</w:t>
            </w:r>
            <w:r w:rsidR="008864E4" w:rsidRPr="00E337E9">
              <w:rPr>
                <w:webHidden/>
                <w:sz w:val="20"/>
                <w:szCs w:val="20"/>
              </w:rPr>
              <w:fldChar w:fldCharType="end"/>
            </w:r>
          </w:hyperlink>
        </w:p>
        <w:p w14:paraId="2E287F08" w14:textId="77777777" w:rsidR="008864E4" w:rsidRPr="00E337E9" w:rsidRDefault="001F53D5" w:rsidP="008864E4">
          <w:pPr>
            <w:pStyle w:val="TOC3"/>
            <w:tabs>
              <w:tab w:val="left" w:pos="960"/>
              <w:tab w:val="right" w:leader="dot" w:pos="9016"/>
            </w:tabs>
            <w:rPr>
              <w:rFonts w:eastAsiaTheme="minorEastAsia"/>
              <w:sz w:val="20"/>
              <w:szCs w:val="20"/>
              <w:lang w:val="ro-RO" w:eastAsia="ro-RO"/>
            </w:rPr>
          </w:pPr>
          <w:hyperlink w:anchor="_Toc191503474" w:history="1">
            <w:r w:rsidR="008864E4" w:rsidRPr="00E337E9">
              <w:rPr>
                <w:rStyle w:val="Hyperlink"/>
                <w:rFonts w:ascii="Symbol" w:hAnsi="Symbol" w:cs="Times New Roman"/>
                <w:sz w:val="20"/>
                <w:szCs w:val="20"/>
              </w:rPr>
              <w:t></w:t>
            </w:r>
            <w:r w:rsidR="008864E4" w:rsidRPr="00E337E9">
              <w:rPr>
                <w:rFonts w:eastAsiaTheme="minorEastAsia"/>
                <w:sz w:val="20"/>
                <w:szCs w:val="20"/>
                <w:lang w:val="ro-RO" w:eastAsia="ro-RO"/>
              </w:rPr>
              <w:tab/>
            </w:r>
            <w:r w:rsidR="008864E4" w:rsidRPr="00E337E9">
              <w:rPr>
                <w:rStyle w:val="Hyperlink"/>
                <w:rFonts w:ascii="Times New Roman" w:hAnsi="Times New Roman" w:cs="Times New Roman"/>
                <w:sz w:val="20"/>
                <w:szCs w:val="20"/>
              </w:rPr>
              <w:t>Process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_Toc191503474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9</w:t>
            </w:r>
            <w:r w:rsidR="008864E4" w:rsidRPr="00E337E9">
              <w:rPr>
                <w:webHidden/>
                <w:sz w:val="20"/>
                <w:szCs w:val="20"/>
              </w:rPr>
              <w:fldChar w:fldCharType="end"/>
            </w:r>
          </w:hyperlink>
        </w:p>
        <w:p w14:paraId="629E1E49" w14:textId="77777777" w:rsidR="008864E4" w:rsidRPr="00E337E9" w:rsidRDefault="001F53D5" w:rsidP="008864E4">
          <w:pPr>
            <w:pStyle w:val="TOC3"/>
            <w:tabs>
              <w:tab w:val="left" w:pos="960"/>
              <w:tab w:val="right" w:leader="dot" w:pos="9016"/>
            </w:tabs>
            <w:rPr>
              <w:rFonts w:eastAsiaTheme="minorEastAsia"/>
              <w:sz w:val="20"/>
              <w:szCs w:val="20"/>
              <w:lang w:val="ro-RO" w:eastAsia="ro-RO"/>
            </w:rPr>
          </w:pPr>
          <w:hyperlink w:anchor="_Toc191503475" w:history="1">
            <w:r w:rsidR="008864E4" w:rsidRPr="00E337E9">
              <w:rPr>
                <w:rStyle w:val="Hyperlink"/>
                <w:rFonts w:ascii="Symbol" w:hAnsi="Symbol" w:cs="Times New Roman"/>
                <w:sz w:val="20"/>
                <w:szCs w:val="20"/>
              </w:rPr>
              <w:t></w:t>
            </w:r>
            <w:r w:rsidR="008864E4" w:rsidRPr="00E337E9">
              <w:rPr>
                <w:rFonts w:eastAsiaTheme="minorEastAsia"/>
                <w:sz w:val="20"/>
                <w:szCs w:val="20"/>
                <w:lang w:val="ro-RO" w:eastAsia="ro-RO"/>
              </w:rPr>
              <w:tab/>
            </w:r>
            <w:r w:rsidR="008864E4" w:rsidRPr="00E337E9">
              <w:rPr>
                <w:rStyle w:val="Hyperlink"/>
                <w:rFonts w:ascii="Times New Roman" w:hAnsi="Times New Roman" w:cs="Times New Roman"/>
                <w:sz w:val="20"/>
                <w:szCs w:val="20"/>
              </w:rPr>
              <w:t>Physical Evidence</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_Toc191503475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9</w:t>
            </w:r>
            <w:r w:rsidR="008864E4" w:rsidRPr="00E337E9">
              <w:rPr>
                <w:webHidden/>
                <w:sz w:val="20"/>
                <w:szCs w:val="20"/>
              </w:rPr>
              <w:fldChar w:fldCharType="end"/>
            </w:r>
          </w:hyperlink>
        </w:p>
        <w:p w14:paraId="66FCC230"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76" w:history="1">
            <w:r w:rsidR="008864E4" w:rsidRPr="00E337E9">
              <w:rPr>
                <w:rStyle w:val="Hyperlink"/>
                <w:rFonts w:ascii="Times New Roman" w:hAnsi="Times New Roman" w:cs="Times New Roman"/>
                <w:sz w:val="20"/>
                <w:szCs w:val="20"/>
              </w:rPr>
              <w:t>Operations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_Toc191503476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9</w:t>
            </w:r>
            <w:r w:rsidR="008864E4" w:rsidRPr="00E337E9">
              <w:rPr>
                <w:webHidden/>
                <w:sz w:val="20"/>
                <w:szCs w:val="20"/>
              </w:rPr>
              <w:fldChar w:fldCharType="end"/>
            </w:r>
          </w:hyperlink>
        </w:p>
        <w:p w14:paraId="09B2AC51"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77" w:history="1">
            <w:r w:rsidR="008864E4" w:rsidRPr="00E337E9">
              <w:rPr>
                <w:rStyle w:val="Hyperlink"/>
                <w:rFonts w:ascii="Times New Roman" w:hAnsi="Times New Roman" w:cs="Times New Roman"/>
                <w:sz w:val="20"/>
                <w:szCs w:val="20"/>
              </w:rPr>
              <w:t>Risk Management</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_Toc191503477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10</w:t>
            </w:r>
            <w:r w:rsidR="008864E4" w:rsidRPr="00E337E9">
              <w:rPr>
                <w:webHidden/>
                <w:sz w:val="20"/>
                <w:szCs w:val="20"/>
              </w:rPr>
              <w:fldChar w:fldCharType="end"/>
            </w:r>
          </w:hyperlink>
        </w:p>
        <w:p w14:paraId="26896317"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78" w:history="1">
            <w:r w:rsidR="008864E4" w:rsidRPr="00E337E9">
              <w:rPr>
                <w:rStyle w:val="Hyperlink"/>
                <w:rFonts w:ascii="Times New Roman" w:hAnsi="Times New Roman" w:cs="Times New Roman"/>
                <w:sz w:val="20"/>
                <w:szCs w:val="20"/>
              </w:rPr>
              <w:t>Evaluation</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_Toc191503478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10</w:t>
            </w:r>
            <w:r w:rsidR="008864E4" w:rsidRPr="00E337E9">
              <w:rPr>
                <w:webHidden/>
                <w:sz w:val="20"/>
                <w:szCs w:val="20"/>
              </w:rPr>
              <w:fldChar w:fldCharType="end"/>
            </w:r>
          </w:hyperlink>
        </w:p>
        <w:p w14:paraId="7FAB1DA7" w14:textId="1E5E4901" w:rsidR="008864E4" w:rsidRPr="00E337E9" w:rsidRDefault="001F53D5" w:rsidP="008864E4">
          <w:pPr>
            <w:pStyle w:val="TOC1"/>
            <w:tabs>
              <w:tab w:val="right" w:leader="dot" w:pos="9016"/>
            </w:tabs>
            <w:rPr>
              <w:rFonts w:eastAsiaTheme="minorEastAsia"/>
              <w:sz w:val="20"/>
              <w:szCs w:val="20"/>
              <w:lang w:val="ro-RO" w:eastAsia="ro-RO"/>
            </w:rPr>
          </w:pPr>
          <w:hyperlink w:anchor="_Toc191503479" w:history="1">
            <w:r w:rsidR="008864E4" w:rsidRPr="00E337E9">
              <w:rPr>
                <w:rStyle w:val="Hyperlink"/>
                <w:rFonts w:ascii="Times New Roman" w:hAnsi="Times New Roman" w:cs="Times New Roman"/>
                <w:sz w:val="20"/>
                <w:szCs w:val="20"/>
              </w:rPr>
              <w:t>EVENT B</w:t>
            </w:r>
            <w:r w:rsidR="00CC35F6">
              <w:rPr>
                <w:rStyle w:val="Hyperlink"/>
                <w:rFonts w:ascii="Times New Roman" w:hAnsi="Times New Roman" w:cs="Times New Roman"/>
                <w:sz w:val="20"/>
                <w:szCs w:val="20"/>
              </w:rPr>
              <w:t>UD</w:t>
            </w:r>
            <w:r w:rsidR="008864E4" w:rsidRPr="00E337E9">
              <w:rPr>
                <w:rStyle w:val="Hyperlink"/>
                <w:rFonts w:ascii="Times New Roman" w:hAnsi="Times New Roman" w:cs="Times New Roman"/>
                <w:sz w:val="20"/>
                <w:szCs w:val="20"/>
              </w:rPr>
              <w:t>GET</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_Toc191503479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10</w:t>
            </w:r>
            <w:r w:rsidR="008864E4" w:rsidRPr="00E337E9">
              <w:rPr>
                <w:webHidden/>
                <w:sz w:val="20"/>
                <w:szCs w:val="20"/>
              </w:rPr>
              <w:fldChar w:fldCharType="end"/>
            </w:r>
          </w:hyperlink>
        </w:p>
        <w:p w14:paraId="629D87A0"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80" w:history="1">
            <w:r w:rsidR="008864E4" w:rsidRPr="00E337E9">
              <w:rPr>
                <w:rStyle w:val="Hyperlink"/>
                <w:rFonts w:ascii="Times New Roman" w:hAnsi="Times New Roman" w:cs="Times New Roman"/>
                <w:sz w:val="20"/>
                <w:szCs w:val="20"/>
                <w:lang w:val="ro-RO"/>
              </w:rPr>
              <w:t>Revenue Sources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_Toc191503480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11</w:t>
            </w:r>
            <w:r w:rsidR="008864E4" w:rsidRPr="00E337E9">
              <w:rPr>
                <w:webHidden/>
                <w:sz w:val="20"/>
                <w:szCs w:val="20"/>
              </w:rPr>
              <w:fldChar w:fldCharType="end"/>
            </w:r>
          </w:hyperlink>
        </w:p>
        <w:p w14:paraId="5068FDFC"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81" w:history="1">
            <w:r w:rsidR="008864E4" w:rsidRPr="00E337E9">
              <w:rPr>
                <w:rStyle w:val="Hyperlink"/>
                <w:rFonts w:ascii="Times New Roman" w:hAnsi="Times New Roman" w:cs="Times New Roman"/>
                <w:sz w:val="20"/>
                <w:szCs w:val="20"/>
                <w:lang w:val="ro-RO"/>
              </w:rPr>
              <w:t>Estimated Costs: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_Toc191503481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11</w:t>
            </w:r>
            <w:r w:rsidR="008864E4" w:rsidRPr="00E337E9">
              <w:rPr>
                <w:webHidden/>
                <w:sz w:val="20"/>
                <w:szCs w:val="20"/>
              </w:rPr>
              <w:fldChar w:fldCharType="end"/>
            </w:r>
          </w:hyperlink>
        </w:p>
        <w:p w14:paraId="66E485DC"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82" w:history="1">
            <w:r w:rsidR="008864E4" w:rsidRPr="00E337E9">
              <w:rPr>
                <w:rStyle w:val="Hyperlink"/>
                <w:rFonts w:ascii="Times New Roman" w:hAnsi="Times New Roman" w:cs="Times New Roman"/>
                <w:sz w:val="20"/>
                <w:szCs w:val="20"/>
                <w:lang w:val="ro-RO"/>
              </w:rPr>
              <w:t>INDUSTRY TRENDS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_Toc191503482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12</w:t>
            </w:r>
            <w:r w:rsidR="008864E4" w:rsidRPr="00E337E9">
              <w:rPr>
                <w:webHidden/>
                <w:sz w:val="20"/>
                <w:szCs w:val="20"/>
              </w:rPr>
              <w:fldChar w:fldCharType="end"/>
            </w:r>
          </w:hyperlink>
        </w:p>
        <w:p w14:paraId="67F0368A"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83" w:history="1">
            <w:r w:rsidR="008864E4" w:rsidRPr="00E337E9">
              <w:rPr>
                <w:rStyle w:val="Hyperlink"/>
                <w:rFonts w:ascii="Times New Roman" w:hAnsi="Times New Roman" w:cs="Times New Roman"/>
                <w:sz w:val="20"/>
                <w:szCs w:val="20"/>
              </w:rPr>
              <w:t>Technological Advancements in MICE Events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_Toc191503483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12</w:t>
            </w:r>
            <w:r w:rsidR="008864E4" w:rsidRPr="00E337E9">
              <w:rPr>
                <w:webHidden/>
                <w:sz w:val="20"/>
                <w:szCs w:val="20"/>
              </w:rPr>
              <w:fldChar w:fldCharType="end"/>
            </w:r>
          </w:hyperlink>
        </w:p>
        <w:p w14:paraId="05694260" w14:textId="77777777" w:rsidR="008864E4" w:rsidRPr="00E337E9" w:rsidRDefault="001F53D5" w:rsidP="008864E4">
          <w:pPr>
            <w:pStyle w:val="TOC2"/>
            <w:tabs>
              <w:tab w:val="right" w:leader="dot" w:pos="9016"/>
            </w:tabs>
            <w:rPr>
              <w:rFonts w:eastAsiaTheme="minorEastAsia"/>
              <w:sz w:val="20"/>
              <w:szCs w:val="20"/>
              <w:lang w:val="ro-RO" w:eastAsia="ro-RO"/>
            </w:rPr>
          </w:pPr>
          <w:hyperlink w:anchor="_Toc191503484" w:history="1">
            <w:r w:rsidR="008864E4" w:rsidRPr="00E337E9">
              <w:rPr>
                <w:rStyle w:val="Hyperlink"/>
                <w:rFonts w:ascii="Times New Roman" w:hAnsi="Times New Roman" w:cs="Times New Roman"/>
                <w:sz w:val="20"/>
                <w:szCs w:val="20"/>
              </w:rPr>
              <w:t>Competition and the Need for Innovation</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_Toc191503484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12</w:t>
            </w:r>
            <w:r w:rsidR="008864E4" w:rsidRPr="00E337E9">
              <w:rPr>
                <w:webHidden/>
                <w:sz w:val="20"/>
                <w:szCs w:val="20"/>
              </w:rPr>
              <w:fldChar w:fldCharType="end"/>
            </w:r>
          </w:hyperlink>
        </w:p>
        <w:p w14:paraId="3224021E"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85" w:history="1">
            <w:r w:rsidR="008864E4" w:rsidRPr="00E337E9">
              <w:rPr>
                <w:rStyle w:val="Hyperlink"/>
                <w:rFonts w:ascii="Times New Roman" w:hAnsi="Times New Roman" w:cs="Times New Roman"/>
                <w:sz w:val="20"/>
                <w:szCs w:val="20"/>
              </w:rPr>
              <w:t>CONCLUSION</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_Toc191503485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13</w:t>
            </w:r>
            <w:r w:rsidR="008864E4" w:rsidRPr="00E337E9">
              <w:rPr>
                <w:webHidden/>
                <w:sz w:val="20"/>
                <w:szCs w:val="20"/>
              </w:rPr>
              <w:fldChar w:fldCharType="end"/>
            </w:r>
          </w:hyperlink>
        </w:p>
        <w:p w14:paraId="2A71F6F1"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86" w:history="1">
            <w:r w:rsidR="008864E4" w:rsidRPr="00E337E9">
              <w:rPr>
                <w:rStyle w:val="Hyperlink"/>
                <w:rFonts w:ascii="Times New Roman" w:hAnsi="Times New Roman" w:cs="Times New Roman"/>
                <w:sz w:val="20"/>
                <w:szCs w:val="20"/>
              </w:rPr>
              <w:t>REFERENCE LIST</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_Toc191503486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14</w:t>
            </w:r>
            <w:r w:rsidR="008864E4" w:rsidRPr="00E337E9">
              <w:rPr>
                <w:webHidden/>
                <w:sz w:val="20"/>
                <w:szCs w:val="20"/>
              </w:rPr>
              <w:fldChar w:fldCharType="end"/>
            </w:r>
          </w:hyperlink>
        </w:p>
        <w:p w14:paraId="711B3E4F" w14:textId="77777777" w:rsidR="008864E4" w:rsidRPr="00E337E9" w:rsidRDefault="001F53D5" w:rsidP="008864E4">
          <w:pPr>
            <w:pStyle w:val="TOC1"/>
            <w:tabs>
              <w:tab w:val="right" w:leader="dot" w:pos="9016"/>
            </w:tabs>
            <w:rPr>
              <w:rFonts w:eastAsiaTheme="minorEastAsia"/>
              <w:sz w:val="20"/>
              <w:szCs w:val="20"/>
              <w:lang w:val="ro-RO" w:eastAsia="ro-RO"/>
            </w:rPr>
          </w:pPr>
          <w:hyperlink w:anchor="_Toc191503487" w:history="1">
            <w:r w:rsidR="008864E4" w:rsidRPr="00E337E9">
              <w:rPr>
                <w:rStyle w:val="Hyperlink"/>
                <w:rFonts w:ascii="Times New Roman" w:hAnsi="Times New Roman" w:cs="Times New Roman"/>
                <w:sz w:val="20"/>
                <w:szCs w:val="20"/>
                <w:lang w:val="ro-RO"/>
              </w:rPr>
              <w:t>APPENDICES</w:t>
            </w:r>
            <w:r w:rsidR="008864E4" w:rsidRPr="00E337E9">
              <w:rPr>
                <w:webHidden/>
                <w:sz w:val="20"/>
                <w:szCs w:val="20"/>
              </w:rPr>
              <w:tab/>
            </w:r>
            <w:r w:rsidR="008864E4" w:rsidRPr="00E337E9">
              <w:rPr>
                <w:webHidden/>
                <w:sz w:val="20"/>
                <w:szCs w:val="20"/>
              </w:rPr>
              <w:fldChar w:fldCharType="begin"/>
            </w:r>
            <w:r w:rsidR="008864E4" w:rsidRPr="00E337E9">
              <w:rPr>
                <w:webHidden/>
                <w:sz w:val="20"/>
                <w:szCs w:val="20"/>
              </w:rPr>
              <w:instrText xml:space="preserve"> PAGEREF _Toc191503487 \h </w:instrText>
            </w:r>
            <w:r w:rsidR="008864E4" w:rsidRPr="00E337E9">
              <w:rPr>
                <w:webHidden/>
                <w:sz w:val="20"/>
                <w:szCs w:val="20"/>
              </w:rPr>
            </w:r>
            <w:r w:rsidR="008864E4" w:rsidRPr="00E337E9">
              <w:rPr>
                <w:webHidden/>
                <w:sz w:val="20"/>
                <w:szCs w:val="20"/>
              </w:rPr>
              <w:fldChar w:fldCharType="separate"/>
            </w:r>
            <w:r w:rsidR="008864E4" w:rsidRPr="00E337E9">
              <w:rPr>
                <w:webHidden/>
                <w:sz w:val="20"/>
                <w:szCs w:val="20"/>
              </w:rPr>
              <w:t>19</w:t>
            </w:r>
            <w:r w:rsidR="008864E4" w:rsidRPr="00E337E9">
              <w:rPr>
                <w:webHidden/>
                <w:sz w:val="20"/>
                <w:szCs w:val="20"/>
              </w:rPr>
              <w:fldChar w:fldCharType="end"/>
            </w:r>
          </w:hyperlink>
        </w:p>
        <w:p w14:paraId="3D3256D5" w14:textId="77777777" w:rsidR="008864E4" w:rsidRDefault="008864E4" w:rsidP="008864E4">
          <w:r w:rsidRPr="00E337E9">
            <w:rPr>
              <w:b/>
              <w:bCs/>
              <w:sz w:val="20"/>
              <w:szCs w:val="20"/>
            </w:rPr>
            <w:fldChar w:fldCharType="end"/>
          </w:r>
        </w:p>
      </w:sdtContent>
    </w:sdt>
    <w:p w14:paraId="4F3A0637" w14:textId="77777777" w:rsidR="008864E4" w:rsidRPr="00731754" w:rsidRDefault="008864E4" w:rsidP="008864E4">
      <w:pPr>
        <w:pStyle w:val="Heading1"/>
        <w:rPr>
          <w:rFonts w:ascii="Times New Roman" w:hAnsi="Times New Roman" w:cs="Times New Roman"/>
          <w:sz w:val="24"/>
          <w:szCs w:val="24"/>
        </w:rPr>
      </w:pPr>
      <w:bookmarkStart w:id="0" w:name="_Toc191503452"/>
      <w:r w:rsidRPr="00731754">
        <w:rPr>
          <w:rFonts w:ascii="Times New Roman" w:hAnsi="Times New Roman" w:cs="Times New Roman"/>
          <w:sz w:val="24"/>
          <w:szCs w:val="24"/>
          <w:lang w:val="ro-RO"/>
        </w:rPr>
        <w:lastRenderedPageBreak/>
        <w:t>EXECUTIVE SUMMARY</w:t>
      </w:r>
      <w:bookmarkEnd w:id="0"/>
    </w:p>
    <w:p w14:paraId="000D47D9" w14:textId="77777777" w:rsidR="008864E4" w:rsidRPr="00D85C29" w:rsidRDefault="008864E4" w:rsidP="008864E4">
      <w:pPr>
        <w:spacing w:line="360" w:lineRule="auto"/>
        <w:jc w:val="both"/>
        <w:rPr>
          <w:rFonts w:ascii="Times New Roman" w:hAnsi="Times New Roman"/>
          <w:sz w:val="24"/>
          <w:szCs w:val="24"/>
          <w:lang w:val="ro-RO"/>
        </w:rPr>
      </w:pPr>
      <w:r w:rsidRPr="00D85C29">
        <w:rPr>
          <w:rFonts w:ascii="Times New Roman" w:hAnsi="Times New Roman"/>
          <w:sz w:val="24"/>
          <w:szCs w:val="24"/>
          <w:lang w:val="ro-RO"/>
        </w:rPr>
        <w:t>The "All About Inclusion – Breaking Barriers in Hospitality" event addresses the employment challenges faced by disabled individuals in the UK hospitality industry. Despite the Equality Act 2010, the employment rate for disabled individuals remains significantly lower than for non-disabled individuals, with systemic barriers persisting (UK Government, 2024). The event aims to create tangible employment opportunities and promote workplace diversity through a MICE (Meetings, Incentives, Conferences, and Exhibitions) format.</w:t>
      </w:r>
    </w:p>
    <w:p w14:paraId="1889F779" w14:textId="52450619" w:rsidR="008864E4" w:rsidRPr="00D85C29" w:rsidRDefault="008864E4" w:rsidP="008864E4">
      <w:pPr>
        <w:spacing w:line="360" w:lineRule="auto"/>
        <w:jc w:val="both"/>
        <w:rPr>
          <w:rFonts w:ascii="Times New Roman" w:hAnsi="Times New Roman"/>
          <w:sz w:val="24"/>
          <w:szCs w:val="24"/>
          <w:lang w:val="ro-RO"/>
        </w:rPr>
      </w:pPr>
      <w:r w:rsidRPr="00D85C29">
        <w:rPr>
          <w:rFonts w:ascii="Times New Roman" w:hAnsi="Times New Roman"/>
          <w:sz w:val="24"/>
          <w:szCs w:val="24"/>
          <w:lang w:val="ro-RO"/>
        </w:rPr>
        <w:t>Held at ExCeL London on December 3rd, coinciding with the International Day of Persons with Disabilities, the event includes keynote conferences, a job fair, and experiential disability simulations. Industry leaders, NGOs, and businesses will collaborate to raise awareness, foster networking, and secure employment. The event also aims to raise £10,000 for Scope UK, a major disability support organi</w:t>
      </w:r>
      <w:r w:rsidR="00C35F3D">
        <w:rPr>
          <w:rFonts w:ascii="Times New Roman" w:hAnsi="Times New Roman"/>
          <w:sz w:val="24"/>
          <w:szCs w:val="24"/>
          <w:lang w:val="ro-RO"/>
        </w:rPr>
        <w:t>s</w:t>
      </w:r>
      <w:r w:rsidRPr="00D85C29">
        <w:rPr>
          <w:rFonts w:ascii="Times New Roman" w:hAnsi="Times New Roman"/>
          <w:sz w:val="24"/>
          <w:szCs w:val="24"/>
          <w:lang w:val="ro-RO"/>
        </w:rPr>
        <w:t>ation.</w:t>
      </w:r>
    </w:p>
    <w:p w14:paraId="7FE793CD" w14:textId="14F7F4AE" w:rsidR="008864E4" w:rsidRPr="00D85C29" w:rsidRDefault="008864E4" w:rsidP="008864E4">
      <w:pPr>
        <w:spacing w:line="360" w:lineRule="auto"/>
        <w:jc w:val="both"/>
        <w:rPr>
          <w:rFonts w:ascii="Times New Roman" w:hAnsi="Times New Roman"/>
          <w:sz w:val="24"/>
          <w:szCs w:val="24"/>
          <w:lang w:val="ro-RO"/>
        </w:rPr>
      </w:pPr>
      <w:r w:rsidRPr="00D85C29">
        <w:rPr>
          <w:rFonts w:ascii="Times New Roman" w:hAnsi="Times New Roman"/>
          <w:sz w:val="24"/>
          <w:szCs w:val="24"/>
          <w:lang w:val="ro-RO"/>
        </w:rPr>
        <w:t>A structured event cycle ensures effective planning, implementation, and evaluation (Getz &amp; Page, 2024). The SWOT and PEST</w:t>
      </w:r>
      <w:r w:rsidRPr="00731754">
        <w:rPr>
          <w:rFonts w:ascii="Times New Roman" w:hAnsi="Times New Roman"/>
          <w:sz w:val="24"/>
          <w:szCs w:val="24"/>
          <w:lang w:val="ro-RO"/>
        </w:rPr>
        <w:t>EL</w:t>
      </w:r>
      <w:r w:rsidRPr="00D85C29">
        <w:rPr>
          <w:rFonts w:ascii="Times New Roman" w:hAnsi="Times New Roman"/>
          <w:sz w:val="24"/>
          <w:szCs w:val="24"/>
          <w:lang w:val="ro-RO"/>
        </w:rPr>
        <w:t xml:space="preserve"> analyses in the Appendices highlight key opportunities, risks, and external influences affecting the event. By </w:t>
      </w:r>
      <w:r w:rsidR="00C35F3D">
        <w:rPr>
          <w:rFonts w:ascii="Times New Roman" w:hAnsi="Times New Roman"/>
          <w:sz w:val="24"/>
          <w:szCs w:val="24"/>
          <w:lang w:val="ro-RO"/>
        </w:rPr>
        <w:t>using</w:t>
      </w:r>
      <w:r w:rsidRPr="00D85C29">
        <w:rPr>
          <w:rFonts w:ascii="Times New Roman" w:hAnsi="Times New Roman"/>
          <w:sz w:val="24"/>
          <w:szCs w:val="24"/>
          <w:lang w:val="ro-RO"/>
        </w:rPr>
        <w:t xml:space="preserve"> CSR-driven sponsorships, strategic marketing, and innovative accessibility technologies, this initiative contributes to long-term inclusive employment practices in the hospitality sector.</w:t>
      </w:r>
    </w:p>
    <w:p w14:paraId="721E2BD4" w14:textId="77777777" w:rsidR="008864E4" w:rsidRPr="00731754" w:rsidRDefault="008864E4" w:rsidP="008864E4">
      <w:pPr>
        <w:spacing w:line="360" w:lineRule="auto"/>
        <w:jc w:val="both"/>
        <w:rPr>
          <w:rFonts w:ascii="Times New Roman" w:hAnsi="Times New Roman"/>
          <w:sz w:val="24"/>
          <w:szCs w:val="24"/>
        </w:rPr>
      </w:pPr>
    </w:p>
    <w:p w14:paraId="0A8464AC" w14:textId="77777777" w:rsidR="008864E4" w:rsidRPr="00731754" w:rsidRDefault="008864E4" w:rsidP="008864E4">
      <w:pPr>
        <w:spacing w:line="360" w:lineRule="auto"/>
        <w:jc w:val="both"/>
        <w:rPr>
          <w:rFonts w:ascii="Times New Roman" w:hAnsi="Times New Roman"/>
          <w:sz w:val="24"/>
          <w:szCs w:val="24"/>
        </w:rPr>
      </w:pPr>
    </w:p>
    <w:p w14:paraId="1416C951" w14:textId="77777777" w:rsidR="008864E4" w:rsidRPr="00731754" w:rsidRDefault="008864E4" w:rsidP="008864E4">
      <w:pPr>
        <w:spacing w:line="360" w:lineRule="auto"/>
        <w:jc w:val="both"/>
        <w:rPr>
          <w:rFonts w:ascii="Times New Roman" w:hAnsi="Times New Roman"/>
          <w:sz w:val="24"/>
          <w:szCs w:val="24"/>
        </w:rPr>
      </w:pPr>
    </w:p>
    <w:p w14:paraId="4935F00F" w14:textId="77777777" w:rsidR="008864E4" w:rsidRPr="00731754" w:rsidRDefault="008864E4" w:rsidP="008864E4">
      <w:pPr>
        <w:spacing w:line="360" w:lineRule="auto"/>
        <w:jc w:val="both"/>
        <w:rPr>
          <w:rFonts w:ascii="Times New Roman" w:hAnsi="Times New Roman"/>
          <w:sz w:val="24"/>
          <w:szCs w:val="24"/>
        </w:rPr>
      </w:pPr>
    </w:p>
    <w:p w14:paraId="35473BCD" w14:textId="77777777" w:rsidR="008864E4" w:rsidRPr="00731754" w:rsidRDefault="008864E4" w:rsidP="008864E4">
      <w:pPr>
        <w:spacing w:line="360" w:lineRule="auto"/>
        <w:jc w:val="both"/>
        <w:rPr>
          <w:rFonts w:ascii="Times New Roman" w:hAnsi="Times New Roman"/>
          <w:sz w:val="24"/>
          <w:szCs w:val="24"/>
        </w:rPr>
      </w:pPr>
    </w:p>
    <w:p w14:paraId="08CE04D6" w14:textId="77777777" w:rsidR="008864E4" w:rsidRPr="00731754" w:rsidRDefault="008864E4" w:rsidP="008864E4">
      <w:pPr>
        <w:spacing w:line="360" w:lineRule="auto"/>
        <w:jc w:val="both"/>
        <w:rPr>
          <w:rFonts w:ascii="Times New Roman" w:hAnsi="Times New Roman"/>
          <w:sz w:val="24"/>
          <w:szCs w:val="24"/>
        </w:rPr>
      </w:pPr>
    </w:p>
    <w:p w14:paraId="629C45A7" w14:textId="77777777" w:rsidR="008864E4" w:rsidRPr="00731754" w:rsidRDefault="008864E4" w:rsidP="008864E4">
      <w:pPr>
        <w:spacing w:line="360" w:lineRule="auto"/>
        <w:jc w:val="both"/>
        <w:rPr>
          <w:rFonts w:ascii="Times New Roman" w:hAnsi="Times New Roman"/>
          <w:sz w:val="24"/>
          <w:szCs w:val="24"/>
        </w:rPr>
      </w:pPr>
    </w:p>
    <w:p w14:paraId="2029158D" w14:textId="77777777" w:rsidR="008864E4" w:rsidRPr="00731754" w:rsidRDefault="008864E4" w:rsidP="008864E4">
      <w:pPr>
        <w:spacing w:line="360" w:lineRule="auto"/>
        <w:jc w:val="both"/>
        <w:rPr>
          <w:rFonts w:ascii="Times New Roman" w:hAnsi="Times New Roman"/>
          <w:sz w:val="24"/>
          <w:szCs w:val="24"/>
        </w:rPr>
      </w:pPr>
    </w:p>
    <w:p w14:paraId="632C7BB1" w14:textId="77777777" w:rsidR="008864E4" w:rsidRDefault="008864E4" w:rsidP="008864E4">
      <w:pPr>
        <w:spacing w:line="360" w:lineRule="auto"/>
        <w:jc w:val="both"/>
        <w:rPr>
          <w:rFonts w:ascii="Times New Roman" w:hAnsi="Times New Roman"/>
          <w:sz w:val="24"/>
          <w:szCs w:val="24"/>
        </w:rPr>
      </w:pPr>
    </w:p>
    <w:p w14:paraId="3C921B5B" w14:textId="77777777" w:rsidR="008864E4" w:rsidRPr="00731754" w:rsidRDefault="008864E4" w:rsidP="008864E4">
      <w:pPr>
        <w:spacing w:line="360" w:lineRule="auto"/>
        <w:jc w:val="both"/>
        <w:rPr>
          <w:rFonts w:ascii="Times New Roman" w:hAnsi="Times New Roman"/>
          <w:sz w:val="24"/>
          <w:szCs w:val="24"/>
        </w:rPr>
      </w:pPr>
    </w:p>
    <w:p w14:paraId="4C3034AB" w14:textId="77777777" w:rsidR="008864E4" w:rsidRPr="00731754" w:rsidRDefault="008864E4" w:rsidP="008864E4">
      <w:pPr>
        <w:pStyle w:val="Heading1"/>
        <w:rPr>
          <w:rFonts w:ascii="Times New Roman" w:hAnsi="Times New Roman" w:cs="Times New Roman"/>
          <w:sz w:val="24"/>
          <w:szCs w:val="24"/>
        </w:rPr>
      </w:pPr>
      <w:bookmarkStart w:id="1" w:name="_Toc191503453"/>
      <w:r w:rsidRPr="00731754">
        <w:rPr>
          <w:rFonts w:ascii="Times New Roman" w:hAnsi="Times New Roman" w:cs="Times New Roman"/>
          <w:sz w:val="24"/>
          <w:szCs w:val="24"/>
        </w:rPr>
        <w:lastRenderedPageBreak/>
        <w:t>INTRODUCTION</w:t>
      </w:r>
      <w:bookmarkEnd w:id="1"/>
    </w:p>
    <w:p w14:paraId="70617051" w14:textId="4D20005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Globally, 15% of the population, over 1 billion people, live with a disability, yet their employment rates remain significantly lower than those without disabilities (Nagtegaal et al., 2023). In the UK, this gap persists, affecting both human rights and economic inclusion (Equality and Human Rights Commission, 2023). Unemployment increases the risk of poverty among disabled individuals, further marginali</w:t>
      </w:r>
      <w:r w:rsidR="00C35F3D">
        <w:rPr>
          <w:rFonts w:ascii="Times New Roman" w:hAnsi="Times New Roman"/>
          <w:sz w:val="24"/>
          <w:szCs w:val="24"/>
          <w:lang w:val="ro-RO"/>
        </w:rPr>
        <w:t>s</w:t>
      </w:r>
      <w:r w:rsidRPr="00731754">
        <w:rPr>
          <w:rFonts w:ascii="Times New Roman" w:hAnsi="Times New Roman"/>
          <w:sz w:val="24"/>
          <w:szCs w:val="24"/>
          <w:lang w:val="ro-RO"/>
        </w:rPr>
        <w:t>ing them (Nagtegaal et al., 2023).</w:t>
      </w:r>
    </w:p>
    <w:p w14:paraId="651EB85A"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Despite the Equality Act 2010, employment rates for disabled individuals remain low, as discrimination persists due to cultural biases and weak regulatory enforcement (UKHospitality, 2024; UK Government, 2024). Nobel laureate Elinor Ostrom argues that without social acceptance and strict enforcement, such regulations are often ineffective (Tong, 2022). Employer decisions are influenced by negative stereotypes about productivity and the perceived costs of workplace adjustments, limiting hiring opportunities (Nagtegaal et al., 2023).</w:t>
      </w:r>
    </w:p>
    <w:p w14:paraId="6693484F" w14:textId="4599E310"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The cost-of-living crisis has </w:t>
      </w:r>
      <w:r w:rsidR="00C35F3D">
        <w:rPr>
          <w:rFonts w:ascii="Times New Roman" w:hAnsi="Times New Roman"/>
          <w:sz w:val="24"/>
          <w:szCs w:val="24"/>
          <w:lang w:val="ro-RO"/>
        </w:rPr>
        <w:t>increased</w:t>
      </w:r>
      <w:r w:rsidRPr="00731754">
        <w:rPr>
          <w:rFonts w:ascii="Times New Roman" w:hAnsi="Times New Roman"/>
          <w:sz w:val="24"/>
          <w:szCs w:val="24"/>
          <w:lang w:val="ro-RO"/>
        </w:rPr>
        <w:t xml:space="preserve"> these challenges, with many disabled individuals struggling financially and relying on food banks at higher rates than others (Butler, 2023). Even where anti-discrimination laws exist, they often lack enforcement mechanisms, allowing biases to persist (Hepple, 2011). Achieving real change requires education, awareness campaigns, and public pressure to shift workplace policies beyond legal formalities.</w:t>
      </w:r>
    </w:p>
    <w:p w14:paraId="3B49E2F4" w14:textId="289B88DE"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To address these issues, the "All About Inclusion – Breaking Barriers in Hospitality" event, categori</w:t>
      </w:r>
      <w:r w:rsidR="00C35F3D">
        <w:rPr>
          <w:rFonts w:ascii="Times New Roman" w:hAnsi="Times New Roman"/>
          <w:sz w:val="24"/>
          <w:szCs w:val="24"/>
          <w:lang w:val="ro-RO"/>
        </w:rPr>
        <w:t>s</w:t>
      </w:r>
      <w:r w:rsidRPr="00731754">
        <w:rPr>
          <w:rFonts w:ascii="Times New Roman" w:hAnsi="Times New Roman"/>
          <w:sz w:val="24"/>
          <w:szCs w:val="24"/>
          <w:lang w:val="ro-RO"/>
        </w:rPr>
        <w:t xml:space="preserve">ed under MICE, aims to increase employment opportunities for disabled individuals while promoting workplace </w:t>
      </w:r>
      <w:r w:rsidR="00C35F3D">
        <w:rPr>
          <w:rFonts w:ascii="Times New Roman" w:hAnsi="Times New Roman"/>
          <w:sz w:val="24"/>
          <w:szCs w:val="24"/>
          <w:lang w:val="ro-RO"/>
        </w:rPr>
        <w:t>egality</w:t>
      </w:r>
      <w:r w:rsidRPr="00731754">
        <w:rPr>
          <w:rFonts w:ascii="Times New Roman" w:hAnsi="Times New Roman"/>
          <w:sz w:val="24"/>
          <w:szCs w:val="24"/>
          <w:lang w:val="ro-RO"/>
        </w:rPr>
        <w:t>. Additionally, the event will raise funds for Scope, a leading NGO supporting disabled individuals (Scope, n.d.).</w:t>
      </w:r>
    </w:p>
    <w:p w14:paraId="1C9485D5"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Scheduled for December 3rd at ExCeL London, aligning with the International Day of Persons with Disabilities, the event will feature keynote conferences, a job fair, and experiential disability simulations to foster awareness and employer engagement. ExCeL London was chosen for its accessibility, infrastructure, and central location, ensuring an inclusive and impactful event (ExCeL London, n.d.). As one of the world’s most diverse cities, London offers an ideal platform to promote workplace diversity and inclusion.</w:t>
      </w:r>
    </w:p>
    <w:p w14:paraId="08DEF208" w14:textId="7F9E094E"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event directly responds to the demand for inclusive workplaces, enabling companies to adopt fairer hiring policies (Butler-Sims, 2024). Research confirms that diverse organi</w:t>
      </w:r>
      <w:r w:rsidR="00C35F3D">
        <w:rPr>
          <w:rFonts w:ascii="Times New Roman" w:hAnsi="Times New Roman"/>
          <w:sz w:val="24"/>
          <w:szCs w:val="24"/>
          <w:lang w:val="ro-RO"/>
        </w:rPr>
        <w:t>s</w:t>
      </w:r>
      <w:r w:rsidRPr="00731754">
        <w:rPr>
          <w:rFonts w:ascii="Times New Roman" w:hAnsi="Times New Roman"/>
          <w:sz w:val="24"/>
          <w:szCs w:val="24"/>
          <w:lang w:val="ro-RO"/>
        </w:rPr>
        <w:t xml:space="preserve">ations attract top talent and improve overall employee satisfaction (Butler-Sims, 2024). In the UK, 14.6 million individuals (22% of the population) reported a disability in 2020-2021, yet the </w:t>
      </w:r>
      <w:r w:rsidRPr="00731754">
        <w:rPr>
          <w:rFonts w:ascii="Times New Roman" w:hAnsi="Times New Roman"/>
          <w:sz w:val="24"/>
          <w:szCs w:val="24"/>
          <w:lang w:val="ro-RO"/>
        </w:rPr>
        <w:lastRenderedPageBreak/>
        <w:t>employment rate for disabled individuals was 53.0% compared to 81.6% for non-disabled individuals (Evennett, 2022; UK Government, 2024).</w:t>
      </w:r>
    </w:p>
    <w:p w14:paraId="6BF7D27A"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By fostering real employment opportunities and encouraging inclusive policies, this event aims to contribute to meaningful institutional reforms in the hospitality sector (Higgins-Desbiolles, 2023).</w:t>
      </w:r>
    </w:p>
    <w:p w14:paraId="1D528DA8" w14:textId="77777777" w:rsidR="008864E4" w:rsidRPr="00731754" w:rsidRDefault="008864E4" w:rsidP="008864E4">
      <w:pPr>
        <w:pStyle w:val="Heading1"/>
        <w:rPr>
          <w:rFonts w:ascii="Times New Roman" w:hAnsi="Times New Roman" w:cs="Times New Roman"/>
          <w:sz w:val="24"/>
          <w:szCs w:val="24"/>
          <w:lang w:val="ro-RO"/>
        </w:rPr>
      </w:pPr>
      <w:bookmarkStart w:id="2" w:name="_Toc191503454"/>
      <w:r w:rsidRPr="00731754">
        <w:rPr>
          <w:rFonts w:ascii="Times New Roman" w:hAnsi="Times New Roman" w:cs="Times New Roman"/>
          <w:sz w:val="24"/>
          <w:szCs w:val="24"/>
          <w:lang w:val="ro-RO"/>
        </w:rPr>
        <w:t>THE EVENT CYCLE</w:t>
      </w:r>
      <w:bookmarkEnd w:id="2"/>
      <w:r w:rsidRPr="00731754">
        <w:rPr>
          <w:rFonts w:ascii="Times New Roman" w:hAnsi="Times New Roman" w:cs="Times New Roman"/>
          <w:sz w:val="24"/>
          <w:szCs w:val="24"/>
          <w:lang w:val="ro-RO"/>
        </w:rPr>
        <w:t xml:space="preserve"> </w:t>
      </w:r>
    </w:p>
    <w:p w14:paraId="031118E9" w14:textId="6962A2B0"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event cycle is a structured framework in event management that ensures systematic organi</w:t>
      </w:r>
      <w:r w:rsidR="00222B70">
        <w:rPr>
          <w:rFonts w:ascii="Times New Roman" w:hAnsi="Times New Roman"/>
          <w:sz w:val="24"/>
          <w:szCs w:val="24"/>
          <w:lang w:val="ro-RO"/>
        </w:rPr>
        <w:t>s</w:t>
      </w:r>
      <w:r w:rsidRPr="00731754">
        <w:rPr>
          <w:rFonts w:ascii="Times New Roman" w:hAnsi="Times New Roman"/>
          <w:sz w:val="24"/>
          <w:szCs w:val="24"/>
          <w:lang w:val="ro-RO"/>
        </w:rPr>
        <w:t>ation, implementation, and evaluation. It consists of five key phases: Initiation, Planning, Implementation, Event, and Closure (Prisăcaru, 2020, pp. 9-10). Each phase plays a crucial role in the event’s success and must be managed according to industry best practices.</w:t>
      </w:r>
    </w:p>
    <w:p w14:paraId="41F562EF" w14:textId="77777777" w:rsidR="008864E4" w:rsidRPr="00731754" w:rsidRDefault="008864E4" w:rsidP="008864E4">
      <w:pPr>
        <w:pStyle w:val="Heading2"/>
        <w:rPr>
          <w:rFonts w:ascii="Times New Roman" w:hAnsi="Times New Roman" w:cs="Times New Roman"/>
          <w:sz w:val="24"/>
          <w:szCs w:val="24"/>
          <w:lang w:val="ro-RO"/>
        </w:rPr>
      </w:pPr>
      <w:bookmarkStart w:id="3" w:name="_Toc191503455"/>
      <w:r w:rsidRPr="00731754">
        <w:rPr>
          <w:rFonts w:ascii="Times New Roman" w:hAnsi="Times New Roman" w:cs="Times New Roman"/>
          <w:sz w:val="24"/>
          <w:szCs w:val="24"/>
          <w:lang w:val="ro-RO"/>
        </w:rPr>
        <w:t>Planning phase</w:t>
      </w:r>
      <w:bookmarkEnd w:id="3"/>
    </w:p>
    <w:p w14:paraId="7DE13ED1" w14:textId="3CC85E7A"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For "All About Inclusion – Breaking Barriers in Hospitality", the planning phase was essential for setting clear objectives, securing sponsorships, selecting an accessible venue, and managing logistics. This stage also involved risk assessment, budget management, and stakeholder coordination to ensure smooth execution. According to Getz (2024, pp. 221-242), planning forms the foundation of a well-structured event, optimi</w:t>
      </w:r>
      <w:r w:rsidR="00222B70">
        <w:rPr>
          <w:rFonts w:ascii="Times New Roman" w:hAnsi="Times New Roman"/>
          <w:sz w:val="24"/>
          <w:szCs w:val="24"/>
          <w:lang w:val="ro-RO"/>
        </w:rPr>
        <w:t>s</w:t>
      </w:r>
      <w:r w:rsidRPr="00731754">
        <w:rPr>
          <w:rFonts w:ascii="Times New Roman" w:hAnsi="Times New Roman"/>
          <w:sz w:val="24"/>
          <w:szCs w:val="24"/>
          <w:lang w:val="ro-RO"/>
        </w:rPr>
        <w:t>ing resource allocation, fostering inclusion, and mitigating operational risks.</w:t>
      </w:r>
    </w:p>
    <w:p w14:paraId="4533E085" w14:textId="77777777" w:rsidR="008864E4" w:rsidRPr="00731754" w:rsidRDefault="008864E4" w:rsidP="008864E4">
      <w:pPr>
        <w:pStyle w:val="Heading2"/>
        <w:rPr>
          <w:rFonts w:ascii="Times New Roman" w:hAnsi="Times New Roman" w:cs="Times New Roman"/>
          <w:sz w:val="24"/>
          <w:szCs w:val="24"/>
          <w:lang w:val="ro-RO"/>
        </w:rPr>
      </w:pPr>
      <w:bookmarkStart w:id="4" w:name="_Toc191503456"/>
      <w:r w:rsidRPr="00731754">
        <w:rPr>
          <w:rFonts w:ascii="Times New Roman" w:hAnsi="Times New Roman" w:cs="Times New Roman"/>
          <w:sz w:val="24"/>
          <w:szCs w:val="24"/>
          <w:lang w:val="ro-RO"/>
        </w:rPr>
        <w:t>Implementation phase</w:t>
      </w:r>
      <w:bookmarkEnd w:id="4"/>
    </w:p>
    <w:p w14:paraId="72392D3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implementation phase focuses on executing all planned aspects, ensuring seamless delivery of scheduled activities, such as expert discussions, a job fair, and VR-based disability simulations. Effective coordination between teams, suppliers, and volunteers is vital (Getz &amp; Page, 2024, pp. 222-225). Additionally, flexibility in handling last-minute changes, such as schedule adjustments, is key to maintaining event quality (Getz &amp; Page, 2024, p. 221).</w:t>
      </w:r>
    </w:p>
    <w:p w14:paraId="1689CF69" w14:textId="77777777" w:rsidR="008864E4" w:rsidRPr="00731754" w:rsidRDefault="008864E4" w:rsidP="008864E4">
      <w:pPr>
        <w:pStyle w:val="Heading2"/>
        <w:rPr>
          <w:rFonts w:ascii="Times New Roman" w:hAnsi="Times New Roman" w:cs="Times New Roman"/>
          <w:sz w:val="24"/>
          <w:szCs w:val="24"/>
          <w:lang w:val="ro-RO"/>
        </w:rPr>
      </w:pPr>
      <w:bookmarkStart w:id="5" w:name="_Toc191503457"/>
      <w:r w:rsidRPr="00731754">
        <w:rPr>
          <w:rFonts w:ascii="Times New Roman" w:hAnsi="Times New Roman" w:cs="Times New Roman"/>
          <w:sz w:val="24"/>
          <w:szCs w:val="24"/>
          <w:lang w:val="ro-RO"/>
        </w:rPr>
        <w:t>Evaluation phase</w:t>
      </w:r>
      <w:bookmarkEnd w:id="5"/>
    </w:p>
    <w:p w14:paraId="3FE6BCF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Event evaluation is a fundamental component, providing insights for future improvements. It involves comparing initial planning with actual execution and assessing performance outcomes (Prisăcaru, 2020, p. 22). For this event, evaluation will include post-event surveys, employment impact tracking, and social media analytics. These indicators will measure goal achievement and highlight areas for improvement, such as company commitments to hiring disabled individuals, participant feedback, and media coverage. This final phase is critical for validating </w:t>
      </w:r>
      <w:r w:rsidRPr="00731754">
        <w:rPr>
          <w:rFonts w:ascii="Times New Roman" w:hAnsi="Times New Roman"/>
          <w:sz w:val="24"/>
          <w:szCs w:val="24"/>
          <w:lang w:val="ro-RO"/>
        </w:rPr>
        <w:lastRenderedPageBreak/>
        <w:t>the event’s effectiveness and establishing a long-term strategy for future editions (Oshimi, Taks &amp; Agha, 2023, pp. 1855-1857).</w:t>
      </w:r>
    </w:p>
    <w:p w14:paraId="11ED51EA" w14:textId="77777777" w:rsidR="008864E4" w:rsidRPr="00731754" w:rsidRDefault="008864E4" w:rsidP="008864E4">
      <w:pPr>
        <w:pStyle w:val="Heading1"/>
        <w:rPr>
          <w:rFonts w:ascii="Times New Roman" w:hAnsi="Times New Roman" w:cs="Times New Roman"/>
          <w:sz w:val="24"/>
          <w:szCs w:val="24"/>
        </w:rPr>
      </w:pPr>
      <w:bookmarkStart w:id="6" w:name="_Toc191503458"/>
      <w:r w:rsidRPr="00731754">
        <w:rPr>
          <w:rFonts w:ascii="Times New Roman" w:hAnsi="Times New Roman" w:cs="Times New Roman"/>
          <w:sz w:val="24"/>
          <w:szCs w:val="24"/>
        </w:rPr>
        <w:t>AIM AND OBJECTIVES OF THE EVENT</w:t>
      </w:r>
      <w:bookmarkEnd w:id="6"/>
    </w:p>
    <w:p w14:paraId="586C383A" w14:textId="42F3DBD0"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The "All About Inclusion – Breaking Barriers in Hospitality" event aims to support the integration of disabled individuals into the hospitality industry by creating real employment opportunities and highlighting the benefits of inclusivity for companies. As Mzembe and Filimonau (2024) state, hiring disabled individuals requires more than legal complianc</w:t>
      </w:r>
      <w:r w:rsidR="00222B70">
        <w:rPr>
          <w:rFonts w:ascii="Times New Roman" w:hAnsi="Times New Roman" w:cs="Times New Roman"/>
        </w:rPr>
        <w:t xml:space="preserve">e, </w:t>
      </w:r>
      <w:r w:rsidRPr="00731754">
        <w:rPr>
          <w:rFonts w:ascii="Times New Roman" w:hAnsi="Times New Roman" w:cs="Times New Roman"/>
        </w:rPr>
        <w:t>it demands a shift in mindset.</w:t>
      </w:r>
    </w:p>
    <w:p w14:paraId="4AB5E814" w14:textId="77777777" w:rsidR="008864E4" w:rsidRPr="00731754" w:rsidRDefault="008864E4" w:rsidP="008864E4">
      <w:pPr>
        <w:pStyle w:val="Heading2"/>
        <w:rPr>
          <w:rFonts w:ascii="Times New Roman" w:hAnsi="Times New Roman" w:cs="Times New Roman"/>
          <w:sz w:val="24"/>
          <w:szCs w:val="24"/>
        </w:rPr>
      </w:pPr>
      <w:bookmarkStart w:id="7" w:name="_Toc191503459"/>
      <w:r w:rsidRPr="00731754">
        <w:rPr>
          <w:rFonts w:ascii="Times New Roman" w:hAnsi="Times New Roman" w:cs="Times New Roman"/>
          <w:sz w:val="24"/>
          <w:szCs w:val="24"/>
        </w:rPr>
        <w:t>SMART Objectives:</w:t>
      </w:r>
      <w:bookmarkEnd w:id="7"/>
    </w:p>
    <w:p w14:paraId="3F952D65" w14:textId="77777777" w:rsidR="008864E4" w:rsidRPr="00731754" w:rsidRDefault="008864E4" w:rsidP="008864E4">
      <w:pPr>
        <w:pStyle w:val="Default"/>
        <w:numPr>
          <w:ilvl w:val="0"/>
          <w:numId w:val="2"/>
        </w:numPr>
        <w:spacing w:line="360" w:lineRule="auto"/>
        <w:jc w:val="both"/>
        <w:rPr>
          <w:rFonts w:ascii="Times New Roman" w:hAnsi="Times New Roman" w:cs="Times New Roman"/>
        </w:rPr>
      </w:pPr>
      <w:r w:rsidRPr="00731754">
        <w:rPr>
          <w:rFonts w:ascii="Times New Roman" w:hAnsi="Times New Roman" w:cs="Times New Roman"/>
        </w:rPr>
        <w:t>Increase employment commitments by securing at least 50 pledges from businesses to hire disabled individuals (UK Government, 2024).</w:t>
      </w:r>
    </w:p>
    <w:p w14:paraId="58FB4545" w14:textId="77777777" w:rsidR="008864E4" w:rsidRPr="00731754" w:rsidRDefault="008864E4" w:rsidP="008864E4">
      <w:pPr>
        <w:pStyle w:val="Default"/>
        <w:numPr>
          <w:ilvl w:val="0"/>
          <w:numId w:val="2"/>
        </w:numPr>
        <w:spacing w:line="360" w:lineRule="auto"/>
        <w:jc w:val="both"/>
        <w:rPr>
          <w:rFonts w:ascii="Times New Roman" w:hAnsi="Times New Roman" w:cs="Times New Roman"/>
        </w:rPr>
      </w:pPr>
      <w:r w:rsidRPr="00731754">
        <w:rPr>
          <w:rFonts w:ascii="Times New Roman" w:hAnsi="Times New Roman" w:cs="Times New Roman"/>
        </w:rPr>
        <w:t>Raise a minimum of £10,000 through ticket sales and sponsorships to support Scope UK.</w:t>
      </w:r>
    </w:p>
    <w:p w14:paraId="3A9D5024" w14:textId="77777777" w:rsidR="008864E4" w:rsidRPr="00731754" w:rsidRDefault="008864E4" w:rsidP="008864E4">
      <w:pPr>
        <w:pStyle w:val="Default"/>
        <w:numPr>
          <w:ilvl w:val="0"/>
          <w:numId w:val="2"/>
        </w:numPr>
        <w:spacing w:line="360" w:lineRule="auto"/>
        <w:jc w:val="both"/>
        <w:rPr>
          <w:rFonts w:ascii="Times New Roman" w:hAnsi="Times New Roman" w:cs="Times New Roman"/>
        </w:rPr>
      </w:pPr>
      <w:r w:rsidRPr="00731754">
        <w:rPr>
          <w:rFonts w:ascii="Times New Roman" w:hAnsi="Times New Roman" w:cs="Times New Roman"/>
        </w:rPr>
        <w:t>Attract at least 200 attendees, following the example of similar events like the Global Disability Summit, which drew 7,000 participants in 2022 (International Disability Alliance, 2022).</w:t>
      </w:r>
    </w:p>
    <w:p w14:paraId="40185A62" w14:textId="77777777" w:rsidR="008864E4" w:rsidRPr="00731754" w:rsidRDefault="008864E4" w:rsidP="008864E4">
      <w:pPr>
        <w:pStyle w:val="Heading1"/>
        <w:rPr>
          <w:rFonts w:ascii="Times New Roman" w:hAnsi="Times New Roman" w:cs="Times New Roman"/>
          <w:sz w:val="24"/>
          <w:szCs w:val="24"/>
        </w:rPr>
      </w:pPr>
      <w:bookmarkStart w:id="8" w:name="_Toc191503460"/>
      <w:r w:rsidRPr="00731754">
        <w:rPr>
          <w:rFonts w:ascii="Times New Roman" w:hAnsi="Times New Roman" w:cs="Times New Roman"/>
          <w:sz w:val="24"/>
          <w:szCs w:val="24"/>
        </w:rPr>
        <w:t>EVENT CONCEPT</w:t>
      </w:r>
      <w:bookmarkEnd w:id="8"/>
    </w:p>
    <w:p w14:paraId="01502B43"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"All About Inclusion – Breaking Barriers in Hospitality" event offers an interactive and educational experience, bringing together industry professionals, NGOs, HR representatives, hospitality CEOs, decision-makers, disabled individuals, and the general public interested in supporting inclusion. Participants can also contribute to Scope’s mission by attending and engaging with the event.</w:t>
      </w:r>
    </w:p>
    <w:p w14:paraId="7B984BA7" w14:textId="77777777" w:rsidR="008864E4" w:rsidRPr="00731754" w:rsidRDefault="008864E4" w:rsidP="008864E4">
      <w:pPr>
        <w:pStyle w:val="Heading2"/>
        <w:rPr>
          <w:rFonts w:ascii="Times New Roman" w:hAnsi="Times New Roman" w:cs="Times New Roman"/>
          <w:sz w:val="24"/>
          <w:szCs w:val="24"/>
        </w:rPr>
      </w:pPr>
      <w:bookmarkStart w:id="9" w:name="_Toc191503461"/>
      <w:r w:rsidRPr="00731754">
        <w:rPr>
          <w:rFonts w:ascii="Times New Roman" w:hAnsi="Times New Roman" w:cs="Times New Roman"/>
          <w:sz w:val="24"/>
          <w:szCs w:val="24"/>
        </w:rPr>
        <w:t>Conference</w:t>
      </w:r>
      <w:bookmarkEnd w:id="9"/>
    </w:p>
    <w:p w14:paraId="1C9B4D38"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A key highlight is the "It’s All About Inclusion" keynote conference, featuring industry leaders such as Sébastien Bazin (CEO, AccorHotels) and chef Sally Abé (Hilton), alongside disabled professionals who have built successful careers. They will discuss inclusive policies and showcase practical solutions (Morgan, 2020; Battaglia, 2025). This session will promote success stories and foster a sense of community.</w:t>
      </w:r>
    </w:p>
    <w:p w14:paraId="0CEE0CA0" w14:textId="77777777" w:rsidR="008864E4" w:rsidRPr="00731754" w:rsidRDefault="008864E4" w:rsidP="008864E4">
      <w:pPr>
        <w:pStyle w:val="Heading2"/>
        <w:rPr>
          <w:rFonts w:ascii="Times New Roman" w:hAnsi="Times New Roman" w:cs="Times New Roman"/>
          <w:sz w:val="24"/>
          <w:szCs w:val="24"/>
        </w:rPr>
      </w:pPr>
      <w:bookmarkStart w:id="10" w:name="_Toc191503462"/>
      <w:r w:rsidRPr="00731754">
        <w:rPr>
          <w:rFonts w:ascii="Times New Roman" w:hAnsi="Times New Roman" w:cs="Times New Roman"/>
          <w:sz w:val="24"/>
          <w:szCs w:val="24"/>
        </w:rPr>
        <w:t>Job Fair</w:t>
      </w:r>
      <w:bookmarkEnd w:id="10"/>
    </w:p>
    <w:p w14:paraId="23672135"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In addition to the conference, the event includes a Job Fair, where companies demonstrate their commitment to diversity by offering employment opportunities for disabled individuals. This </w:t>
      </w:r>
      <w:r w:rsidRPr="00731754">
        <w:rPr>
          <w:rFonts w:ascii="Times New Roman" w:hAnsi="Times New Roman"/>
          <w:sz w:val="24"/>
          <w:szCs w:val="24"/>
          <w:lang w:val="ro-RO"/>
        </w:rPr>
        <w:lastRenderedPageBreak/>
        <w:t>initiative represents both social responsibility and a strategic approach to attracting valuable talent (Mzembe &amp; Filimonau, 2024).</w:t>
      </w:r>
    </w:p>
    <w:p w14:paraId="4671A1E1" w14:textId="77777777" w:rsidR="008864E4" w:rsidRPr="00731754" w:rsidRDefault="008864E4" w:rsidP="008864E4">
      <w:pPr>
        <w:pStyle w:val="Heading2"/>
        <w:rPr>
          <w:rFonts w:ascii="Times New Roman" w:hAnsi="Times New Roman" w:cs="Times New Roman"/>
          <w:sz w:val="24"/>
          <w:szCs w:val="24"/>
          <w:lang w:val="ro-RO"/>
        </w:rPr>
      </w:pPr>
      <w:bookmarkStart w:id="11" w:name="_Toc191503463"/>
      <w:r w:rsidRPr="00731754">
        <w:rPr>
          <w:rFonts w:ascii="Times New Roman" w:hAnsi="Times New Roman" w:cs="Times New Roman"/>
          <w:sz w:val="24"/>
          <w:szCs w:val="24"/>
        </w:rPr>
        <w:t>Experiential Simulations</w:t>
      </w:r>
      <w:bookmarkEnd w:id="11"/>
    </w:p>
    <w:p w14:paraId="105C145A"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Experiential simulations will provide attendees with deeper insight into challenges faced by disabled individuals. Using modern technology, participants will experience mobility and sensory difficulties, enhancing empathy and awareness.</w:t>
      </w:r>
    </w:p>
    <w:p w14:paraId="37856B7B" w14:textId="77777777" w:rsidR="008864E4" w:rsidRPr="00731754" w:rsidRDefault="008864E4" w:rsidP="008864E4">
      <w:pPr>
        <w:pStyle w:val="Heading2"/>
        <w:rPr>
          <w:rFonts w:ascii="Times New Roman" w:hAnsi="Times New Roman" w:cs="Times New Roman"/>
          <w:sz w:val="24"/>
          <w:szCs w:val="24"/>
          <w:lang w:val="ro-RO"/>
        </w:rPr>
      </w:pPr>
      <w:bookmarkStart w:id="12" w:name="_Toc191503464"/>
      <w:r w:rsidRPr="00731754">
        <w:rPr>
          <w:rFonts w:ascii="Times New Roman" w:hAnsi="Times New Roman" w:cs="Times New Roman"/>
          <w:sz w:val="24"/>
          <w:szCs w:val="24"/>
        </w:rPr>
        <w:t>Special Guest</w:t>
      </w:r>
      <w:bookmarkEnd w:id="12"/>
    </w:p>
    <w:p w14:paraId="14791CA9"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Another key element is the presence of special guest Sophie Morgan, renowned for her advocacy work. Her speech and personal journey will attract media attention and motivate attendees to actively support disability inclusion (Nechita, 2022).</w:t>
      </w:r>
    </w:p>
    <w:p w14:paraId="054D441C" w14:textId="77777777" w:rsidR="008864E4" w:rsidRPr="00731754" w:rsidRDefault="008864E4" w:rsidP="008864E4">
      <w:pPr>
        <w:pStyle w:val="Heading2"/>
        <w:rPr>
          <w:rFonts w:ascii="Times New Roman" w:hAnsi="Times New Roman" w:cs="Times New Roman"/>
          <w:sz w:val="24"/>
          <w:szCs w:val="24"/>
          <w:lang w:val="ro-RO"/>
        </w:rPr>
      </w:pPr>
      <w:bookmarkStart w:id="13" w:name="_Toc191503465"/>
      <w:r w:rsidRPr="00731754">
        <w:rPr>
          <w:rFonts w:ascii="Times New Roman" w:hAnsi="Times New Roman" w:cs="Times New Roman"/>
          <w:sz w:val="24"/>
          <w:szCs w:val="24"/>
        </w:rPr>
        <w:t>Event Schedule</w:t>
      </w:r>
      <w:bookmarkEnd w:id="13"/>
    </w:p>
    <w:tbl>
      <w:tblPr>
        <w:tblStyle w:val="TableGrid"/>
        <w:tblW w:w="0" w:type="auto"/>
        <w:tblLook w:val="04A0" w:firstRow="1" w:lastRow="0" w:firstColumn="1" w:lastColumn="0" w:noHBand="0" w:noVBand="1"/>
      </w:tblPr>
      <w:tblGrid>
        <w:gridCol w:w="1555"/>
        <w:gridCol w:w="2126"/>
        <w:gridCol w:w="5335"/>
      </w:tblGrid>
      <w:tr w:rsidR="008864E4" w:rsidRPr="00731754" w14:paraId="2BC9ADF2" w14:textId="77777777" w:rsidTr="00914270">
        <w:tc>
          <w:tcPr>
            <w:tcW w:w="1555" w:type="dxa"/>
          </w:tcPr>
          <w:p w14:paraId="003A88F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Time</w:t>
            </w:r>
          </w:p>
          <w:p w14:paraId="60A443D1" w14:textId="77777777" w:rsidR="008864E4" w:rsidRPr="00731754" w:rsidRDefault="008864E4" w:rsidP="00914270">
            <w:pPr>
              <w:spacing w:line="360" w:lineRule="auto"/>
              <w:jc w:val="both"/>
              <w:rPr>
                <w:rFonts w:ascii="Times New Roman" w:hAnsi="Times New Roman"/>
                <w:sz w:val="24"/>
                <w:szCs w:val="24"/>
              </w:rPr>
            </w:pPr>
          </w:p>
        </w:tc>
        <w:tc>
          <w:tcPr>
            <w:tcW w:w="2126" w:type="dxa"/>
          </w:tcPr>
          <w:p w14:paraId="18CA8099"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Activity</w:t>
            </w:r>
          </w:p>
          <w:p w14:paraId="2BB41D03"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37C9D51B"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Description</w:t>
            </w:r>
          </w:p>
          <w:p w14:paraId="55013E8E" w14:textId="77777777" w:rsidR="008864E4" w:rsidRPr="00731754" w:rsidRDefault="008864E4" w:rsidP="00914270">
            <w:pPr>
              <w:spacing w:line="360" w:lineRule="auto"/>
              <w:ind w:firstLine="708"/>
              <w:jc w:val="both"/>
              <w:rPr>
                <w:rFonts w:ascii="Times New Roman" w:hAnsi="Times New Roman"/>
                <w:sz w:val="24"/>
                <w:szCs w:val="24"/>
              </w:rPr>
            </w:pPr>
          </w:p>
        </w:tc>
      </w:tr>
      <w:tr w:rsidR="008864E4" w:rsidRPr="00731754" w14:paraId="7640FF11" w14:textId="77777777" w:rsidTr="00914270">
        <w:trPr>
          <w:trHeight w:val="513"/>
        </w:trPr>
        <w:tc>
          <w:tcPr>
            <w:tcW w:w="1555" w:type="dxa"/>
          </w:tcPr>
          <w:p w14:paraId="7322E70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8:00 – 10 :00</w:t>
            </w:r>
          </w:p>
        </w:tc>
        <w:tc>
          <w:tcPr>
            <w:tcW w:w="2126" w:type="dxa"/>
          </w:tcPr>
          <w:p w14:paraId="1D0576F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Preparations</w:t>
            </w:r>
          </w:p>
          <w:p w14:paraId="75B0EA5E"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1F1C0ACB"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The team gathers early to finalise technical arrangements.</w:t>
            </w:r>
          </w:p>
          <w:p w14:paraId="11D6BDEE"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739DBCD5" w14:textId="77777777" w:rsidTr="00914270">
        <w:tc>
          <w:tcPr>
            <w:tcW w:w="1555" w:type="dxa"/>
          </w:tcPr>
          <w:p w14:paraId="3686247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10:00 – 11:00</w:t>
            </w:r>
          </w:p>
        </w:tc>
        <w:tc>
          <w:tcPr>
            <w:tcW w:w="2126" w:type="dxa"/>
          </w:tcPr>
          <w:p w14:paraId="5330C0DE"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Registration</w:t>
            </w:r>
          </w:p>
          <w:p w14:paraId="1063D8DF"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61839CC8"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Guests arrive, register, and network. Sign language interpreters and mobility assistance will be available.</w:t>
            </w:r>
          </w:p>
          <w:p w14:paraId="11228039"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3BB6480E" w14:textId="77777777" w:rsidTr="00914270">
        <w:tc>
          <w:tcPr>
            <w:tcW w:w="1555" w:type="dxa"/>
          </w:tcPr>
          <w:p w14:paraId="0562251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11:00 – 12:00</w:t>
            </w:r>
          </w:p>
        </w:tc>
        <w:tc>
          <w:tcPr>
            <w:tcW w:w="2126" w:type="dxa"/>
          </w:tcPr>
          <w:p w14:paraId="213520B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Keynote Session: It’s All About Inclusion 1</w:t>
            </w:r>
          </w:p>
          <w:p w14:paraId="0E3606DF"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49B2576D"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Sébastien Bazin and Sally Abé present strategies for improving workplace diversity.</w:t>
            </w:r>
          </w:p>
          <w:p w14:paraId="59D0D633"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57266585" w14:textId="77777777" w:rsidTr="00914270">
        <w:tc>
          <w:tcPr>
            <w:tcW w:w="1555" w:type="dxa"/>
          </w:tcPr>
          <w:p w14:paraId="5AF71FA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12:00 – 16:00</w:t>
            </w:r>
          </w:p>
        </w:tc>
        <w:tc>
          <w:tcPr>
            <w:tcW w:w="2126" w:type="dxa"/>
          </w:tcPr>
          <w:p w14:paraId="5585DF9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Job Fair &amp; Simulations</w:t>
            </w:r>
          </w:p>
          <w:p w14:paraId="0BE0B912"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4728A70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Companies showcase employment opportunities for disabled individuals, while attendees experience workplace challenges using VR technology.</w:t>
            </w:r>
          </w:p>
          <w:p w14:paraId="7D9BA56E"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427FEE64" w14:textId="77777777" w:rsidTr="00914270">
        <w:tc>
          <w:tcPr>
            <w:tcW w:w="1555" w:type="dxa"/>
          </w:tcPr>
          <w:p w14:paraId="7711833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13:00 – 14:00</w:t>
            </w:r>
          </w:p>
        </w:tc>
        <w:tc>
          <w:tcPr>
            <w:tcW w:w="2126" w:type="dxa"/>
          </w:tcPr>
          <w:p w14:paraId="75E2F3D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Lunch &amp; Networking</w:t>
            </w:r>
          </w:p>
          <w:p w14:paraId="1EB2A2A2"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4615D4A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An informal networking session.</w:t>
            </w:r>
          </w:p>
          <w:p w14:paraId="4E8AEBAB"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4B93C471" w14:textId="77777777" w:rsidTr="00914270">
        <w:tc>
          <w:tcPr>
            <w:tcW w:w="1555" w:type="dxa"/>
          </w:tcPr>
          <w:p w14:paraId="40E9420D"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lastRenderedPageBreak/>
              <w:t>14:00 – 15:00</w:t>
            </w:r>
          </w:p>
        </w:tc>
        <w:tc>
          <w:tcPr>
            <w:tcW w:w="2126" w:type="dxa"/>
          </w:tcPr>
          <w:p w14:paraId="4F97D0C0"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Keynote Session: It’s All About Inclusion 2</w:t>
            </w:r>
          </w:p>
          <w:p w14:paraId="0E304266"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6C700510"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Speakers with disabilities share their career experiences and highlight the skills disabled employees bring to the workforce.</w:t>
            </w:r>
          </w:p>
          <w:p w14:paraId="207F37FE"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3F720503" w14:textId="77777777" w:rsidTr="00914270">
        <w:tc>
          <w:tcPr>
            <w:tcW w:w="1555" w:type="dxa"/>
          </w:tcPr>
          <w:p w14:paraId="7EE41397"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15:00 – 16:00</w:t>
            </w:r>
          </w:p>
        </w:tc>
        <w:tc>
          <w:tcPr>
            <w:tcW w:w="2126" w:type="dxa"/>
          </w:tcPr>
          <w:p w14:paraId="0ED0815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Special Guest</w:t>
            </w:r>
          </w:p>
          <w:p w14:paraId="6FFDC4D5"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7575195C"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Activist Eddie Redmayne delivers a motivational speech on overcoming barriers in careers.</w:t>
            </w:r>
          </w:p>
          <w:p w14:paraId="285AD389"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3A1F77F0" w14:textId="77777777" w:rsidTr="00914270">
        <w:tc>
          <w:tcPr>
            <w:tcW w:w="1555" w:type="dxa"/>
          </w:tcPr>
          <w:p w14:paraId="1437208E"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16:00 – 17:00</w:t>
            </w:r>
          </w:p>
        </w:tc>
        <w:tc>
          <w:tcPr>
            <w:tcW w:w="2126" w:type="dxa"/>
          </w:tcPr>
          <w:p w14:paraId="21E8A09C"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Closing Remarks &amp; Acknowledgements</w:t>
            </w:r>
          </w:p>
          <w:p w14:paraId="74663CE9"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113BB859"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Organisers summarise key takeaways and thank sponsors and participants.</w:t>
            </w:r>
          </w:p>
          <w:p w14:paraId="3B1BF1FE" w14:textId="77777777" w:rsidR="008864E4" w:rsidRPr="00731754" w:rsidRDefault="008864E4" w:rsidP="00914270">
            <w:pPr>
              <w:spacing w:line="360" w:lineRule="auto"/>
              <w:jc w:val="both"/>
              <w:rPr>
                <w:rFonts w:ascii="Times New Roman" w:hAnsi="Times New Roman"/>
                <w:sz w:val="24"/>
                <w:szCs w:val="24"/>
              </w:rPr>
            </w:pPr>
          </w:p>
        </w:tc>
      </w:tr>
    </w:tbl>
    <w:p w14:paraId="644903C8" w14:textId="77777777" w:rsidR="008864E4" w:rsidRPr="00731754" w:rsidRDefault="008864E4" w:rsidP="008864E4">
      <w:pPr>
        <w:pStyle w:val="Default"/>
        <w:spacing w:line="360" w:lineRule="auto"/>
        <w:jc w:val="both"/>
        <w:rPr>
          <w:rFonts w:ascii="Times New Roman" w:hAnsi="Times New Roman" w:cs="Times New Roman"/>
        </w:rPr>
      </w:pPr>
    </w:p>
    <w:p w14:paraId="60230870" w14:textId="77777777" w:rsidR="008864E4" w:rsidRPr="00731754" w:rsidRDefault="008864E4" w:rsidP="008864E4">
      <w:pPr>
        <w:pStyle w:val="Heading1"/>
        <w:rPr>
          <w:rFonts w:ascii="Times New Roman" w:hAnsi="Times New Roman" w:cs="Times New Roman"/>
          <w:sz w:val="24"/>
          <w:szCs w:val="24"/>
        </w:rPr>
      </w:pPr>
      <w:bookmarkStart w:id="14" w:name="_Toc191503466"/>
      <w:r w:rsidRPr="00731754">
        <w:rPr>
          <w:rFonts w:ascii="Times New Roman" w:hAnsi="Times New Roman" w:cs="Times New Roman"/>
          <w:sz w:val="24"/>
          <w:szCs w:val="24"/>
        </w:rPr>
        <w:t>EVENT MANAGEMENT AND EMBOK MODEL</w:t>
      </w:r>
      <w:bookmarkEnd w:id="14"/>
    </w:p>
    <w:p w14:paraId="3B07A966" w14:textId="77777777" w:rsidR="008864E4" w:rsidRPr="00731754" w:rsidRDefault="008864E4" w:rsidP="008864E4">
      <w:pPr>
        <w:pStyle w:val="Heading2"/>
        <w:rPr>
          <w:rFonts w:ascii="Times New Roman" w:hAnsi="Times New Roman" w:cs="Times New Roman"/>
          <w:sz w:val="24"/>
          <w:szCs w:val="24"/>
        </w:rPr>
      </w:pPr>
      <w:bookmarkStart w:id="15" w:name="_Toc191503467"/>
      <w:r w:rsidRPr="00731754">
        <w:rPr>
          <w:rFonts w:ascii="Times New Roman" w:hAnsi="Times New Roman" w:cs="Times New Roman"/>
          <w:sz w:val="24"/>
          <w:szCs w:val="24"/>
        </w:rPr>
        <w:t>Definition</w:t>
      </w:r>
      <w:bookmarkEnd w:id="15"/>
    </w:p>
    <w:p w14:paraId="2FFA796F" w14:textId="77777777" w:rsidR="008864E4" w:rsidRPr="00731754" w:rsidRDefault="008864E4" w:rsidP="008864E4">
      <w:pPr>
        <w:pStyle w:val="Default"/>
        <w:spacing w:line="360" w:lineRule="auto"/>
        <w:jc w:val="both"/>
        <w:rPr>
          <w:rFonts w:ascii="Times New Roman" w:hAnsi="Times New Roman" w:cs="Times New Roman"/>
          <w:color w:val="FF0000"/>
          <w:lang w:val="en-US"/>
        </w:rPr>
      </w:pPr>
      <w:r w:rsidRPr="00731754">
        <w:rPr>
          <w:rFonts w:ascii="Times New Roman" w:hAnsi="Times New Roman" w:cs="Times New Roman"/>
          <w:lang w:val="en-US"/>
        </w:rPr>
        <w:t xml:space="preserve">Event management is a structured process involving the planning, preparation, and execution of an event, ensuring the effective use of time, finances, personnel, and logistics to achieve its objectives </w:t>
      </w:r>
      <w:r w:rsidRPr="00731754">
        <w:rPr>
          <w:rFonts w:ascii="Times New Roman" w:hAnsi="Times New Roman" w:cs="Times New Roman"/>
        </w:rPr>
        <w:t>(Silvers, 2003).</w:t>
      </w:r>
      <w:r w:rsidRPr="00731754">
        <w:rPr>
          <w:rFonts w:ascii="Times New Roman" w:hAnsi="Times New Roman" w:cs="Times New Roman"/>
          <w:lang w:val="en-US"/>
        </w:rPr>
        <w:t xml:space="preserve"> The Event Management Body of Knowledge (EMBOK) model provides a structured approach to planning, executing, and evaluating events, incorporating five key domains: Design, Marketing, Operations, Risk, and Evaluation (Silvers, 2003). This framework is particularly relevant to MICE events, ensuring strategic planning, financial stability, and efficient execution.</w:t>
      </w:r>
      <w:r w:rsidRPr="00731754">
        <w:rPr>
          <w:rFonts w:ascii="Times New Roman" w:hAnsi="Times New Roman" w:cs="Times New Roman"/>
          <w:color w:val="FF0000"/>
          <w:lang w:val="en-US"/>
        </w:rPr>
        <w:t xml:space="preserve"> </w:t>
      </w:r>
      <w:r w:rsidRPr="00731754">
        <w:rPr>
          <w:rFonts w:ascii="Times New Roman" w:hAnsi="Times New Roman" w:cs="Times New Roman"/>
          <w:lang w:val="en-US"/>
        </w:rPr>
        <w:t>The "All About Inclusion – Breaking Barriers in Hospitality" event follows these principles to enhance impact and operational efficiency.</w:t>
      </w:r>
    </w:p>
    <w:p w14:paraId="371166D3" w14:textId="77777777" w:rsidR="008864E4" w:rsidRPr="00731754" w:rsidRDefault="008864E4" w:rsidP="008864E4">
      <w:pPr>
        <w:pStyle w:val="Heading2"/>
        <w:rPr>
          <w:rFonts w:ascii="Times New Roman" w:hAnsi="Times New Roman" w:cs="Times New Roman"/>
          <w:sz w:val="24"/>
          <w:szCs w:val="24"/>
        </w:rPr>
      </w:pPr>
      <w:bookmarkStart w:id="16" w:name="_Toc191503468"/>
      <w:r w:rsidRPr="00731754">
        <w:rPr>
          <w:rFonts w:ascii="Times New Roman" w:hAnsi="Times New Roman" w:cs="Times New Roman"/>
          <w:sz w:val="24"/>
          <w:szCs w:val="24"/>
        </w:rPr>
        <w:t>Design</w:t>
      </w:r>
      <w:bookmarkEnd w:id="16"/>
    </w:p>
    <w:p w14:paraId="31A27BC7" w14:textId="01D5C6E8"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Event design plays a key role in creating an engaging and inclusive experience for participants. The choice of the ExCeL London location was driven by the accessibility of the space, modern infrastructure and strategic positioning(Anas et al., 2020). In line with event design principles, the space was organi</w:t>
      </w:r>
      <w:r w:rsidR="00222B70">
        <w:rPr>
          <w:rFonts w:ascii="Times New Roman" w:hAnsi="Times New Roman" w:cs="Times New Roman"/>
        </w:rPr>
        <w:t>s</w:t>
      </w:r>
      <w:r w:rsidRPr="00731754">
        <w:rPr>
          <w:rFonts w:ascii="Times New Roman" w:hAnsi="Times New Roman" w:cs="Times New Roman"/>
        </w:rPr>
        <w:t>ed to allow for easy mobility, including sign language interpreters, mobility assistance and VR technology to simulate disability. Networking opportunities were also emphasized, providing participants and employers with an optimal environment for interaction (Stofer, 2024).</w:t>
      </w:r>
    </w:p>
    <w:p w14:paraId="417353F0" w14:textId="77777777" w:rsidR="008864E4" w:rsidRPr="00731754" w:rsidRDefault="008864E4" w:rsidP="008864E4">
      <w:pPr>
        <w:pStyle w:val="Heading2"/>
        <w:rPr>
          <w:rFonts w:ascii="Times New Roman" w:hAnsi="Times New Roman" w:cs="Times New Roman"/>
          <w:sz w:val="24"/>
          <w:szCs w:val="24"/>
        </w:rPr>
      </w:pPr>
      <w:bookmarkStart w:id="17" w:name="_Toc191503469"/>
      <w:r w:rsidRPr="00731754">
        <w:rPr>
          <w:rFonts w:ascii="Times New Roman" w:hAnsi="Times New Roman" w:cs="Times New Roman"/>
          <w:sz w:val="24"/>
          <w:szCs w:val="24"/>
        </w:rPr>
        <w:t>Marketing Strategy</w:t>
      </w:r>
      <w:bookmarkEnd w:id="17"/>
    </w:p>
    <w:p w14:paraId="00680571" w14:textId="022D36C8"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 xml:space="preserve">Marketing plays a crucial role in attracting participants, sponsors, and increasing the visibility of the "All About Inclusion – Breaking Barriers in Hospitality" event. The applied strategy is </w:t>
      </w:r>
      <w:r w:rsidRPr="00731754">
        <w:rPr>
          <w:rFonts w:ascii="Times New Roman" w:hAnsi="Times New Roman" w:cs="Times New Roman"/>
        </w:rPr>
        <w:lastRenderedPageBreak/>
        <w:t>based on the 7P Marketing Mix and is designed to maximi</w:t>
      </w:r>
      <w:r w:rsidR="00222B70">
        <w:rPr>
          <w:rFonts w:ascii="Times New Roman" w:hAnsi="Times New Roman" w:cs="Times New Roman"/>
        </w:rPr>
        <w:t>s</w:t>
      </w:r>
      <w:r w:rsidRPr="00731754">
        <w:rPr>
          <w:rFonts w:ascii="Times New Roman" w:hAnsi="Times New Roman" w:cs="Times New Roman"/>
        </w:rPr>
        <w:t>e the event’s social and professional impact (Napontun et al., 2023).</w:t>
      </w:r>
    </w:p>
    <w:p w14:paraId="31A57F11" w14:textId="77777777" w:rsidR="008864E4" w:rsidRPr="00731754" w:rsidRDefault="008864E4" w:rsidP="008864E4">
      <w:pPr>
        <w:spacing w:line="360" w:lineRule="auto"/>
        <w:jc w:val="both"/>
        <w:rPr>
          <w:rFonts w:ascii="Times New Roman" w:hAnsi="Times New Roman"/>
          <w:sz w:val="24"/>
          <w:szCs w:val="24"/>
        </w:rPr>
      </w:pPr>
      <w:r w:rsidRPr="00731754">
        <w:rPr>
          <w:rFonts w:ascii="Times New Roman" w:hAnsi="Times New Roman"/>
          <w:sz w:val="24"/>
          <w:szCs w:val="24"/>
        </w:rPr>
        <w:t>Product – A MICE event dedicated to promoting inclusion and diversity in the hospitality industry, providing networking and recruitment opportunities for people with disabilities (Napontun et al., 2023).</w:t>
      </w:r>
    </w:p>
    <w:p w14:paraId="35087FCD"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18" w:name="_Toc191503470"/>
      <w:r w:rsidRPr="00731754">
        <w:rPr>
          <w:rStyle w:val="Heading3Char"/>
          <w:rFonts w:ascii="Times New Roman" w:hAnsi="Times New Roman" w:cs="Times New Roman"/>
          <w:sz w:val="24"/>
          <w:szCs w:val="24"/>
        </w:rPr>
        <w:t>Price</w:t>
      </w:r>
      <w:bookmarkEnd w:id="18"/>
      <w:r w:rsidRPr="00731754">
        <w:rPr>
          <w:rFonts w:ascii="Times New Roman" w:hAnsi="Times New Roman" w:cs="Times New Roman"/>
          <w:sz w:val="24"/>
          <w:szCs w:val="24"/>
        </w:rPr>
        <w:t xml:space="preserve"> – A value-based pricing strategy aimed at ensuring financial accessibility.</w:t>
      </w:r>
    </w:p>
    <w:p w14:paraId="221BAE6C" w14:textId="2CB1927B"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19" w:name="_Toc191503471"/>
      <w:r w:rsidRPr="00731754">
        <w:rPr>
          <w:rStyle w:val="Heading3Char"/>
          <w:rFonts w:ascii="Times New Roman" w:hAnsi="Times New Roman" w:cs="Times New Roman"/>
          <w:sz w:val="24"/>
          <w:szCs w:val="24"/>
        </w:rPr>
        <w:t>Place</w:t>
      </w:r>
      <w:bookmarkEnd w:id="19"/>
      <w:r w:rsidRPr="00731754">
        <w:rPr>
          <w:rFonts w:ascii="Times New Roman" w:hAnsi="Times New Roman" w:cs="Times New Roman"/>
          <w:sz w:val="24"/>
          <w:szCs w:val="24"/>
        </w:rPr>
        <w:t xml:space="preserve"> – ExCeL London, an internationally recogni</w:t>
      </w:r>
      <w:r w:rsidR="00222B70">
        <w:rPr>
          <w:rFonts w:ascii="Times New Roman" w:hAnsi="Times New Roman" w:cs="Times New Roman"/>
          <w:sz w:val="24"/>
          <w:szCs w:val="24"/>
        </w:rPr>
        <w:t>s</w:t>
      </w:r>
      <w:r w:rsidRPr="00731754">
        <w:rPr>
          <w:rFonts w:ascii="Times New Roman" w:hAnsi="Times New Roman" w:cs="Times New Roman"/>
          <w:sz w:val="24"/>
          <w:szCs w:val="24"/>
        </w:rPr>
        <w:t>ed and accessible venue, selected for its adapted infrastructure and industry reputation (ExCeL London, n.d.).</w:t>
      </w:r>
    </w:p>
    <w:p w14:paraId="1AFF1BA3"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20" w:name="_Toc191503472"/>
      <w:r w:rsidRPr="00731754">
        <w:rPr>
          <w:rStyle w:val="Heading3Char"/>
          <w:rFonts w:ascii="Times New Roman" w:hAnsi="Times New Roman" w:cs="Times New Roman"/>
          <w:sz w:val="24"/>
          <w:szCs w:val="24"/>
        </w:rPr>
        <w:t>Promotion</w:t>
      </w:r>
      <w:bookmarkEnd w:id="20"/>
      <w:r w:rsidRPr="00731754">
        <w:rPr>
          <w:rFonts w:ascii="Times New Roman" w:hAnsi="Times New Roman" w:cs="Times New Roman"/>
          <w:sz w:val="24"/>
          <w:szCs w:val="24"/>
        </w:rPr>
        <w:t xml:space="preserve"> – Multi-channel digital campaigns on LinkedIn, Instagram, Facebook, and TikTok, influencer collaborations, and strategic media partnerships to maximize impact (Bergh, 2025; New Light Digital, 2024).</w:t>
      </w:r>
    </w:p>
    <w:p w14:paraId="47D3EABF"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21" w:name="_Toc191503473"/>
      <w:r w:rsidRPr="00731754">
        <w:rPr>
          <w:rStyle w:val="Heading3Char"/>
          <w:rFonts w:ascii="Times New Roman" w:hAnsi="Times New Roman" w:cs="Times New Roman"/>
          <w:sz w:val="24"/>
          <w:szCs w:val="24"/>
        </w:rPr>
        <w:t>People</w:t>
      </w:r>
      <w:bookmarkEnd w:id="21"/>
      <w:r w:rsidRPr="00731754">
        <w:rPr>
          <w:rFonts w:ascii="Times New Roman" w:hAnsi="Times New Roman" w:cs="Times New Roman"/>
          <w:sz w:val="24"/>
          <w:szCs w:val="24"/>
        </w:rPr>
        <w:t xml:space="preserve"> – The target audience includes hospitality professionals, employers, and job seekers with disabilities.</w:t>
      </w:r>
    </w:p>
    <w:p w14:paraId="27E17383"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22" w:name="_Toc191503474"/>
      <w:r w:rsidRPr="00731754">
        <w:rPr>
          <w:rStyle w:val="Heading3Char"/>
          <w:rFonts w:ascii="Times New Roman" w:hAnsi="Times New Roman" w:cs="Times New Roman"/>
          <w:sz w:val="24"/>
          <w:szCs w:val="24"/>
        </w:rPr>
        <w:t>Process</w:t>
      </w:r>
      <w:bookmarkEnd w:id="22"/>
      <w:r w:rsidRPr="00731754">
        <w:rPr>
          <w:rFonts w:ascii="Times New Roman" w:hAnsi="Times New Roman" w:cs="Times New Roman"/>
          <w:sz w:val="24"/>
          <w:szCs w:val="24"/>
        </w:rPr>
        <w:t xml:space="preserve"> – Efficient registration and structured networking opportunities to facilitate direct interaction between employers and participants (Rochin Demong et al., 2024).</w:t>
      </w:r>
    </w:p>
    <w:p w14:paraId="0F191F11"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23" w:name="_Toc191503475"/>
      <w:r w:rsidRPr="00731754">
        <w:rPr>
          <w:rStyle w:val="Heading3Char"/>
          <w:rFonts w:ascii="Times New Roman" w:hAnsi="Times New Roman" w:cs="Times New Roman"/>
          <w:sz w:val="24"/>
          <w:szCs w:val="24"/>
        </w:rPr>
        <w:t>Physical Evidence</w:t>
      </w:r>
      <w:bookmarkEnd w:id="23"/>
      <w:r w:rsidRPr="00731754">
        <w:rPr>
          <w:rFonts w:ascii="Times New Roman" w:hAnsi="Times New Roman" w:cs="Times New Roman"/>
          <w:sz w:val="24"/>
          <w:szCs w:val="24"/>
        </w:rPr>
        <w:t xml:space="preserve"> – Professional branding, promotional materials such as posters and flyers.</w:t>
      </w:r>
    </w:p>
    <w:p w14:paraId="51C984AC" w14:textId="6EC69563"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The event meets the needs for belonging and self-actuali</w:t>
      </w:r>
      <w:r w:rsidR="00665724">
        <w:rPr>
          <w:rFonts w:ascii="Times New Roman" w:hAnsi="Times New Roman" w:cs="Times New Roman"/>
        </w:rPr>
        <w:t>s</w:t>
      </w:r>
      <w:r w:rsidRPr="00731754">
        <w:rPr>
          <w:rFonts w:ascii="Times New Roman" w:hAnsi="Times New Roman" w:cs="Times New Roman"/>
        </w:rPr>
        <w:t>ation according to Maslow's Hierarchy of Needs (Omodan &amp; Abejide, 2022), providing a safe and accessible environment that reduces employment barriers for people with disabilities. Moreover, integrating modern motivational principles enhances participant experience and strengthens the event’s social impact.</w:t>
      </w:r>
    </w:p>
    <w:p w14:paraId="3AF3AED9" w14:textId="77777777" w:rsidR="008864E4" w:rsidRPr="00731754" w:rsidRDefault="008864E4" w:rsidP="008864E4">
      <w:pPr>
        <w:pStyle w:val="Heading2"/>
        <w:rPr>
          <w:rFonts w:ascii="Times New Roman" w:hAnsi="Times New Roman" w:cs="Times New Roman"/>
          <w:sz w:val="24"/>
          <w:szCs w:val="24"/>
        </w:rPr>
      </w:pPr>
      <w:bookmarkStart w:id="24" w:name="_Toc191503476"/>
      <w:r w:rsidRPr="00731754">
        <w:rPr>
          <w:rFonts w:ascii="Times New Roman" w:hAnsi="Times New Roman" w:cs="Times New Roman"/>
          <w:sz w:val="24"/>
          <w:szCs w:val="24"/>
        </w:rPr>
        <w:t>Operations</w:t>
      </w:r>
      <w:bookmarkEnd w:id="24"/>
    </w:p>
    <w:p w14:paraId="3187980B"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Operational efficiency ensures seamless execution. The EMBOK model covers venue logistics, staff coordination, supplier management, and accessibility (Silvers, 2003). ExCeL London ensures wheelchair access, directional signage, and assistive technology (ExCeL London, n.d.). The project management team handles logistics, marketing, and fundraising (Ng, 2024), with Scope UK volunteers minimizing costs (Cuskelly et al., 2020). Technology integration, such as VR simulations, enhances engagement and inclusivity. Collaboration with corporate sponsors, NGOs, and industry leaders ensures smooth execution (Freitas et al., 2024).</w:t>
      </w:r>
    </w:p>
    <w:p w14:paraId="39E0B656" w14:textId="77777777" w:rsidR="008864E4" w:rsidRPr="00731754" w:rsidRDefault="008864E4" w:rsidP="008864E4">
      <w:pPr>
        <w:pStyle w:val="Heading2"/>
        <w:rPr>
          <w:rFonts w:ascii="Times New Roman" w:hAnsi="Times New Roman" w:cs="Times New Roman"/>
          <w:sz w:val="24"/>
          <w:szCs w:val="24"/>
        </w:rPr>
      </w:pPr>
      <w:bookmarkStart w:id="25" w:name="_Toc191503477"/>
      <w:r w:rsidRPr="00731754">
        <w:rPr>
          <w:rFonts w:ascii="Times New Roman" w:hAnsi="Times New Roman" w:cs="Times New Roman"/>
          <w:sz w:val="24"/>
          <w:szCs w:val="24"/>
        </w:rPr>
        <w:lastRenderedPageBreak/>
        <w:t>Risk Management</w:t>
      </w:r>
      <w:bookmarkEnd w:id="25"/>
    </w:p>
    <w:p w14:paraId="7CBFE0FF" w14:textId="77777777" w:rsidR="008864E4" w:rsidRPr="00731754" w:rsidRDefault="008864E4" w:rsidP="008864E4">
      <w:pPr>
        <w:pStyle w:val="Default"/>
        <w:spacing w:line="360" w:lineRule="auto"/>
        <w:jc w:val="both"/>
        <w:rPr>
          <w:rFonts w:ascii="Times New Roman" w:hAnsi="Times New Roman" w:cs="Times New Roman"/>
          <w:lang w:val="en-US"/>
        </w:rPr>
      </w:pPr>
      <w:r w:rsidRPr="00731754">
        <w:rPr>
          <w:rFonts w:ascii="Times New Roman" w:hAnsi="Times New Roman" w:cs="Times New Roman"/>
          <w:lang w:val="en-US"/>
        </w:rPr>
        <w:t>Ensuring safety at "All About Inclusion – Breaking Barriers in Hospitality" involves stage security, crowd control, and emergency planning. A well-constructed stage with clear access points and secured electrical cabling minimizes hazards (Sedlak, Parker &amp; Mills, 2023). Crowd management strategies, including designated evacuation routes, prevent overcrowding risks (Schütte et al., 2024). Trained security, medical teams, and contingency plans for speaker cancellations or technical failures ensure event continuity. Compliance with UK accessibility laws guarantees inclusivity. Partnerships with local authorities and safety professionals enhance risk mitigation, ensuring a structured, secure experience for all attendees (Sedlak, Parker &amp; Mills, 2023).</w:t>
      </w:r>
    </w:p>
    <w:p w14:paraId="68279C15" w14:textId="77777777" w:rsidR="008864E4" w:rsidRPr="00731754" w:rsidRDefault="008864E4" w:rsidP="008864E4">
      <w:pPr>
        <w:pStyle w:val="Heading2"/>
        <w:rPr>
          <w:rFonts w:ascii="Times New Roman" w:hAnsi="Times New Roman" w:cs="Times New Roman"/>
          <w:sz w:val="24"/>
          <w:szCs w:val="24"/>
        </w:rPr>
      </w:pPr>
      <w:bookmarkStart w:id="26" w:name="_Toc191503478"/>
      <w:r w:rsidRPr="00731754">
        <w:rPr>
          <w:rFonts w:ascii="Times New Roman" w:hAnsi="Times New Roman" w:cs="Times New Roman"/>
          <w:sz w:val="24"/>
          <w:szCs w:val="24"/>
        </w:rPr>
        <w:t>Evaluation</w:t>
      </w:r>
      <w:bookmarkEnd w:id="26"/>
    </w:p>
    <w:p w14:paraId="529BBECC"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 xml:space="preserve">Post-event evaluation measures key objectives through qualitative and quantitative assessments obținute </w:t>
      </w:r>
      <w:r w:rsidRPr="00731754">
        <w:rPr>
          <w:rFonts w:ascii="Times New Roman" w:hAnsi="Times New Roman" w:cs="Times New Roman"/>
          <w:lang w:val="en-US"/>
        </w:rPr>
        <w:t>(Prisăcaru, 2020, p</w:t>
      </w:r>
      <w:r w:rsidRPr="00731754">
        <w:rPr>
          <w:rFonts w:ascii="Times New Roman" w:hAnsi="Times New Roman" w:cs="Times New Roman"/>
        </w:rPr>
        <w:t>. 22</w:t>
      </w:r>
      <w:r w:rsidRPr="00731754">
        <w:rPr>
          <w:rFonts w:ascii="Times New Roman" w:hAnsi="Times New Roman" w:cs="Times New Roman"/>
          <w:lang w:val="en-US"/>
        </w:rPr>
        <w:t>)</w:t>
      </w:r>
      <w:r w:rsidRPr="00731754">
        <w:rPr>
          <w:rFonts w:ascii="Times New Roman" w:hAnsi="Times New Roman" w:cs="Times New Roman"/>
        </w:rPr>
        <w:t xml:space="preserve">.  </w:t>
      </w:r>
    </w:p>
    <w:p w14:paraId="3BF38AE6"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Metrics include:</w:t>
      </w:r>
    </w:p>
    <w:p w14:paraId="09247DE3" w14:textId="77777777" w:rsidR="008864E4" w:rsidRPr="00731754" w:rsidRDefault="008864E4" w:rsidP="008864E4">
      <w:pPr>
        <w:pStyle w:val="Default"/>
        <w:numPr>
          <w:ilvl w:val="0"/>
          <w:numId w:val="8"/>
        </w:numPr>
        <w:spacing w:line="360" w:lineRule="auto"/>
        <w:jc w:val="both"/>
        <w:rPr>
          <w:rFonts w:ascii="Times New Roman" w:hAnsi="Times New Roman" w:cs="Times New Roman"/>
        </w:rPr>
      </w:pPr>
      <w:r w:rsidRPr="00731754">
        <w:rPr>
          <w:rFonts w:ascii="Times New Roman" w:hAnsi="Times New Roman" w:cs="Times New Roman"/>
        </w:rPr>
        <w:t>Employment Impact: Securing at least 50 recruitment pledges for disabled individuals (UK Government, 2024).</w:t>
      </w:r>
    </w:p>
    <w:p w14:paraId="57FE2942" w14:textId="77777777" w:rsidR="008864E4" w:rsidRPr="00731754" w:rsidRDefault="008864E4" w:rsidP="008864E4">
      <w:pPr>
        <w:pStyle w:val="Default"/>
        <w:numPr>
          <w:ilvl w:val="0"/>
          <w:numId w:val="8"/>
        </w:numPr>
        <w:spacing w:line="360" w:lineRule="auto"/>
        <w:jc w:val="both"/>
        <w:rPr>
          <w:rFonts w:ascii="Times New Roman" w:hAnsi="Times New Roman" w:cs="Times New Roman"/>
        </w:rPr>
      </w:pPr>
      <w:r w:rsidRPr="00731754">
        <w:rPr>
          <w:rFonts w:ascii="Times New Roman" w:hAnsi="Times New Roman" w:cs="Times New Roman"/>
        </w:rPr>
        <w:t>Financial Success: Comparing actual revenue with budget forecasts.</w:t>
      </w:r>
    </w:p>
    <w:p w14:paraId="4C81A0DE" w14:textId="537345E3" w:rsidR="008864E4" w:rsidRPr="00731754" w:rsidRDefault="008864E4" w:rsidP="008864E4">
      <w:pPr>
        <w:pStyle w:val="Default"/>
        <w:numPr>
          <w:ilvl w:val="0"/>
          <w:numId w:val="8"/>
        </w:numPr>
        <w:spacing w:line="360" w:lineRule="auto"/>
        <w:jc w:val="both"/>
        <w:rPr>
          <w:rFonts w:ascii="Times New Roman" w:hAnsi="Times New Roman" w:cs="Times New Roman"/>
        </w:rPr>
      </w:pPr>
      <w:r w:rsidRPr="00731754">
        <w:rPr>
          <w:rFonts w:ascii="Times New Roman" w:hAnsi="Times New Roman" w:cs="Times New Roman"/>
        </w:rPr>
        <w:t>Marketing Reach: Analy</w:t>
      </w:r>
      <w:r w:rsidR="00665724">
        <w:rPr>
          <w:rFonts w:ascii="Times New Roman" w:hAnsi="Times New Roman" w:cs="Times New Roman"/>
        </w:rPr>
        <w:t>s</w:t>
      </w:r>
      <w:r w:rsidRPr="00731754">
        <w:rPr>
          <w:rFonts w:ascii="Times New Roman" w:hAnsi="Times New Roman" w:cs="Times New Roman"/>
        </w:rPr>
        <w:t>ing social media engagement, press coverage, and feedback surveys.</w:t>
      </w:r>
    </w:p>
    <w:p w14:paraId="240540F6" w14:textId="77777777" w:rsidR="008864E4" w:rsidRPr="00731754" w:rsidRDefault="008864E4" w:rsidP="008864E4">
      <w:pPr>
        <w:pStyle w:val="Default"/>
        <w:spacing w:line="360" w:lineRule="auto"/>
        <w:jc w:val="both"/>
        <w:rPr>
          <w:rFonts w:ascii="Times New Roman" w:hAnsi="Times New Roman" w:cs="Times New Roman"/>
          <w:lang w:val="en-US"/>
        </w:rPr>
      </w:pPr>
      <w:r w:rsidRPr="00731754">
        <w:rPr>
          <w:rFonts w:ascii="Times New Roman" w:hAnsi="Times New Roman" w:cs="Times New Roman"/>
          <w:lang w:val="en-US"/>
        </w:rPr>
        <w:t>For a more detailed understanding of the EMBOK model’s application, Table 1 in the Appendices presents an overview of how key domains such as administration, risk strategies, marketing execution, and logistics have been integrated into this event. Additionally, the SWOT and PESTEL analyses in the Appendices provide further insights into the internal strengths and weaknesses of the event, as well as the external political, economic, social, technological, environmental, and legal factors that influence its success. These strategic assessments help identify potential risks and opportunities, ensuring a well-structured and impactful event.</w:t>
      </w:r>
    </w:p>
    <w:p w14:paraId="7899EED0" w14:textId="3D277932" w:rsidR="008864E4" w:rsidRPr="00731754" w:rsidRDefault="008864E4" w:rsidP="008864E4">
      <w:pPr>
        <w:pStyle w:val="Heading1"/>
        <w:rPr>
          <w:rFonts w:ascii="Times New Roman" w:hAnsi="Times New Roman" w:cs="Times New Roman"/>
          <w:sz w:val="24"/>
          <w:szCs w:val="24"/>
        </w:rPr>
      </w:pPr>
      <w:bookmarkStart w:id="27" w:name="_Toc191503479"/>
      <w:r w:rsidRPr="00731754">
        <w:rPr>
          <w:rFonts w:ascii="Times New Roman" w:hAnsi="Times New Roman" w:cs="Times New Roman"/>
          <w:sz w:val="24"/>
          <w:szCs w:val="24"/>
        </w:rPr>
        <w:t>EVENT B</w:t>
      </w:r>
      <w:r w:rsidR="00C732B7">
        <w:rPr>
          <w:rFonts w:ascii="Times New Roman" w:hAnsi="Times New Roman" w:cs="Times New Roman"/>
          <w:sz w:val="24"/>
          <w:szCs w:val="24"/>
        </w:rPr>
        <w:t>UD</w:t>
      </w:r>
      <w:r w:rsidRPr="00731754">
        <w:rPr>
          <w:rFonts w:ascii="Times New Roman" w:hAnsi="Times New Roman" w:cs="Times New Roman"/>
          <w:sz w:val="24"/>
          <w:szCs w:val="24"/>
        </w:rPr>
        <w:t>GET</w:t>
      </w:r>
      <w:bookmarkEnd w:id="27"/>
    </w:p>
    <w:p w14:paraId="446B8C69"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According to Fox et al. (2014), an efficient event budget requires a detailed analysis of expected costs and revenue sources. For this event, a cash flow analysis is used to monitor real-time transactions, identify key revenue sources and expenses, and ensure sufficient financial resources for operations and goals, including potential donations (Loth, 2024).</w:t>
      </w:r>
    </w:p>
    <w:p w14:paraId="6CF672E1" w14:textId="77777777" w:rsidR="008864E4" w:rsidRPr="00731754" w:rsidRDefault="008864E4" w:rsidP="008864E4">
      <w:pPr>
        <w:pStyle w:val="Heading2"/>
        <w:rPr>
          <w:rFonts w:ascii="Times New Roman" w:hAnsi="Times New Roman" w:cs="Times New Roman"/>
          <w:sz w:val="24"/>
          <w:szCs w:val="24"/>
          <w:lang w:val="ro-RO"/>
        </w:rPr>
      </w:pPr>
      <w:bookmarkStart w:id="28" w:name="_Toc191503480"/>
      <w:r w:rsidRPr="00731754">
        <w:rPr>
          <w:rFonts w:ascii="Times New Roman" w:hAnsi="Times New Roman" w:cs="Times New Roman"/>
          <w:sz w:val="24"/>
          <w:szCs w:val="24"/>
          <w:lang w:val="ro-RO"/>
        </w:rPr>
        <w:lastRenderedPageBreak/>
        <w:t>Revenue Sources</w:t>
      </w:r>
      <w:bookmarkEnd w:id="28"/>
    </w:p>
    <w:tbl>
      <w:tblPr>
        <w:tblStyle w:val="TableGrid"/>
        <w:tblW w:w="0" w:type="auto"/>
        <w:tblLook w:val="04A0" w:firstRow="1" w:lastRow="0" w:firstColumn="1" w:lastColumn="0" w:noHBand="0" w:noVBand="1"/>
      </w:tblPr>
      <w:tblGrid>
        <w:gridCol w:w="2261"/>
        <w:gridCol w:w="5389"/>
        <w:gridCol w:w="1366"/>
      </w:tblGrid>
      <w:tr w:rsidR="008864E4" w:rsidRPr="00731754" w14:paraId="43346E3A" w14:textId="77777777" w:rsidTr="00914270">
        <w:tc>
          <w:tcPr>
            <w:tcW w:w="2261" w:type="dxa"/>
          </w:tcPr>
          <w:p w14:paraId="45A220AB"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Category</w:t>
            </w:r>
          </w:p>
          <w:p w14:paraId="77CC0E91" w14:textId="77777777" w:rsidR="008864E4" w:rsidRPr="00731754" w:rsidRDefault="008864E4" w:rsidP="00914270">
            <w:pPr>
              <w:spacing w:line="360" w:lineRule="auto"/>
              <w:jc w:val="both"/>
              <w:rPr>
                <w:rFonts w:ascii="Times New Roman" w:hAnsi="Times New Roman"/>
                <w:sz w:val="24"/>
                <w:szCs w:val="24"/>
              </w:rPr>
            </w:pPr>
          </w:p>
        </w:tc>
        <w:tc>
          <w:tcPr>
            <w:tcW w:w="5389" w:type="dxa"/>
          </w:tcPr>
          <w:p w14:paraId="6A57D7B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Details</w:t>
            </w:r>
          </w:p>
          <w:p w14:paraId="46FAADCB"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19EA0E5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Amount (£)</w:t>
            </w:r>
          </w:p>
        </w:tc>
      </w:tr>
      <w:tr w:rsidR="008864E4" w:rsidRPr="00731754" w14:paraId="03E10361" w14:textId="77777777" w:rsidTr="00914270">
        <w:tc>
          <w:tcPr>
            <w:tcW w:w="2261" w:type="dxa"/>
          </w:tcPr>
          <w:p w14:paraId="4D758C5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Sponsorships</w:t>
            </w:r>
          </w:p>
          <w:p w14:paraId="31970888" w14:textId="77777777" w:rsidR="008864E4" w:rsidRPr="00731754" w:rsidRDefault="008864E4" w:rsidP="00914270">
            <w:pPr>
              <w:spacing w:line="360" w:lineRule="auto"/>
              <w:jc w:val="both"/>
              <w:rPr>
                <w:rFonts w:ascii="Times New Roman" w:hAnsi="Times New Roman"/>
                <w:sz w:val="24"/>
                <w:szCs w:val="24"/>
              </w:rPr>
            </w:pPr>
          </w:p>
        </w:tc>
        <w:tc>
          <w:tcPr>
            <w:tcW w:w="5389" w:type="dxa"/>
          </w:tcPr>
          <w:p w14:paraId="0A2F1217" w14:textId="73CEC531" w:rsidR="008864E4" w:rsidRPr="00731754" w:rsidRDefault="00665724" w:rsidP="00914270">
            <w:pPr>
              <w:spacing w:line="360" w:lineRule="auto"/>
              <w:jc w:val="both"/>
              <w:rPr>
                <w:rFonts w:ascii="Times New Roman" w:hAnsi="Times New Roman"/>
                <w:sz w:val="24"/>
                <w:szCs w:val="24"/>
              </w:rPr>
            </w:pPr>
            <w:r>
              <w:rPr>
                <w:rFonts w:ascii="Times New Roman" w:hAnsi="Times New Roman"/>
                <w:sz w:val="24"/>
                <w:szCs w:val="24"/>
              </w:rPr>
              <w:t>Corporate support from</w:t>
            </w:r>
            <w:r w:rsidR="008864E4" w:rsidRPr="00731754">
              <w:rPr>
                <w:rFonts w:ascii="Times New Roman" w:hAnsi="Times New Roman"/>
                <w:sz w:val="24"/>
                <w:szCs w:val="24"/>
              </w:rPr>
              <w:t xml:space="preserve"> Lloyds Banking Group, Barclays, PwC UK</w:t>
            </w:r>
            <w:r w:rsidR="008864E4" w:rsidRPr="00731754">
              <w:rPr>
                <w:rFonts w:ascii="Times New Roman" w:eastAsia="Arial" w:hAnsi="Times New Roman"/>
                <w:color w:val="000000"/>
                <w:sz w:val="24"/>
                <w:szCs w:val="24"/>
              </w:rPr>
              <w:t xml:space="preserve"> </w:t>
            </w:r>
            <w:r w:rsidR="008864E4" w:rsidRPr="00731754">
              <w:rPr>
                <w:rFonts w:ascii="Times New Roman" w:hAnsi="Times New Roman"/>
                <w:sz w:val="24"/>
                <w:szCs w:val="24"/>
              </w:rPr>
              <w:t>(Impact Match, 2025),</w:t>
            </w:r>
          </w:p>
        </w:tc>
        <w:tc>
          <w:tcPr>
            <w:tcW w:w="1366" w:type="dxa"/>
          </w:tcPr>
          <w:p w14:paraId="4AD5B72D"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25,000</w:t>
            </w:r>
          </w:p>
        </w:tc>
      </w:tr>
      <w:tr w:rsidR="008864E4" w:rsidRPr="00731754" w14:paraId="323A8758" w14:textId="77777777" w:rsidTr="00914270">
        <w:tc>
          <w:tcPr>
            <w:tcW w:w="2261" w:type="dxa"/>
          </w:tcPr>
          <w:p w14:paraId="6A4B656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Exhibition Stands</w:t>
            </w:r>
          </w:p>
          <w:p w14:paraId="697DC6A1" w14:textId="77777777" w:rsidR="008864E4" w:rsidRPr="00731754" w:rsidRDefault="008864E4" w:rsidP="00914270">
            <w:pPr>
              <w:spacing w:line="360" w:lineRule="auto"/>
              <w:jc w:val="both"/>
              <w:rPr>
                <w:rFonts w:ascii="Times New Roman" w:hAnsi="Times New Roman"/>
                <w:sz w:val="24"/>
                <w:szCs w:val="24"/>
              </w:rPr>
            </w:pPr>
          </w:p>
        </w:tc>
        <w:tc>
          <w:tcPr>
            <w:tcW w:w="5389" w:type="dxa"/>
          </w:tcPr>
          <w:p w14:paraId="193A00C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Fees from hospitality brands</w:t>
            </w:r>
          </w:p>
          <w:p w14:paraId="613BC607"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4D28D32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15,000</w:t>
            </w:r>
          </w:p>
        </w:tc>
      </w:tr>
      <w:tr w:rsidR="008864E4" w:rsidRPr="00731754" w14:paraId="79D908BF" w14:textId="77777777" w:rsidTr="00914270">
        <w:tc>
          <w:tcPr>
            <w:tcW w:w="2261" w:type="dxa"/>
          </w:tcPr>
          <w:p w14:paraId="0A67099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Donations</w:t>
            </w:r>
          </w:p>
          <w:p w14:paraId="2DE6EE45" w14:textId="77777777" w:rsidR="008864E4" w:rsidRPr="00731754" w:rsidRDefault="008864E4" w:rsidP="00914270">
            <w:pPr>
              <w:spacing w:line="360" w:lineRule="auto"/>
              <w:jc w:val="both"/>
              <w:rPr>
                <w:rFonts w:ascii="Times New Roman" w:hAnsi="Times New Roman"/>
                <w:sz w:val="24"/>
                <w:szCs w:val="24"/>
              </w:rPr>
            </w:pPr>
          </w:p>
        </w:tc>
        <w:tc>
          <w:tcPr>
            <w:tcW w:w="5389" w:type="dxa"/>
          </w:tcPr>
          <w:p w14:paraId="0F4FAACE"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Individual and corporate contributions to Scope UK</w:t>
            </w:r>
          </w:p>
          <w:p w14:paraId="7E585D3A"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1EFD6359"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2,000</w:t>
            </w:r>
          </w:p>
        </w:tc>
      </w:tr>
      <w:tr w:rsidR="008864E4" w:rsidRPr="00731754" w14:paraId="20572384" w14:textId="77777777" w:rsidTr="00914270">
        <w:tc>
          <w:tcPr>
            <w:tcW w:w="2261" w:type="dxa"/>
          </w:tcPr>
          <w:p w14:paraId="1631892A"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Ticket Sales</w:t>
            </w:r>
          </w:p>
          <w:p w14:paraId="0567DAD1" w14:textId="77777777" w:rsidR="008864E4" w:rsidRPr="00731754" w:rsidRDefault="008864E4" w:rsidP="00914270">
            <w:pPr>
              <w:spacing w:line="360" w:lineRule="auto"/>
              <w:jc w:val="both"/>
              <w:rPr>
                <w:rFonts w:ascii="Times New Roman" w:hAnsi="Times New Roman"/>
                <w:sz w:val="24"/>
                <w:szCs w:val="24"/>
              </w:rPr>
            </w:pPr>
          </w:p>
        </w:tc>
        <w:tc>
          <w:tcPr>
            <w:tcW w:w="538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16"/>
              <w:gridCol w:w="81"/>
            </w:tblGrid>
            <w:tr w:rsidR="008864E4" w:rsidRPr="00731754" w14:paraId="1DE36CCD" w14:textId="77777777" w:rsidTr="00914270">
              <w:trPr>
                <w:tblCellSpacing w:w="15" w:type="dxa"/>
              </w:trPr>
              <w:tc>
                <w:tcPr>
                  <w:tcW w:w="0" w:type="auto"/>
                  <w:vAlign w:val="center"/>
                  <w:hideMark/>
                </w:tcPr>
                <w:p w14:paraId="7C422D22" w14:textId="77777777" w:rsidR="008864E4" w:rsidRPr="00731754" w:rsidRDefault="008864E4" w:rsidP="00914270">
                  <w:pPr>
                    <w:spacing w:line="360" w:lineRule="auto"/>
                    <w:jc w:val="both"/>
                    <w:rPr>
                      <w:rFonts w:ascii="Times New Roman" w:hAnsi="Times New Roman"/>
                      <w:sz w:val="24"/>
                      <w:szCs w:val="24"/>
                      <w:lang w:val="ro-RO"/>
                    </w:rPr>
                  </w:pPr>
                  <w:r w:rsidRPr="00731754">
                    <w:rPr>
                      <w:rFonts w:ascii="Times New Roman" w:hAnsi="Times New Roman"/>
                      <w:sz w:val="24"/>
                      <w:szCs w:val="24"/>
                    </w:rPr>
                    <w:t>£95 per ticket × 200 attendees (Sentino, 2024)</w:t>
                  </w:r>
                </w:p>
              </w:tc>
              <w:tc>
                <w:tcPr>
                  <w:tcW w:w="0" w:type="auto"/>
                  <w:vAlign w:val="center"/>
                  <w:hideMark/>
                </w:tcPr>
                <w:p w14:paraId="11CA6DD0" w14:textId="77777777" w:rsidR="008864E4" w:rsidRPr="00731754" w:rsidRDefault="008864E4" w:rsidP="00914270">
                  <w:pPr>
                    <w:spacing w:after="0" w:line="360" w:lineRule="auto"/>
                    <w:jc w:val="both"/>
                    <w:rPr>
                      <w:rFonts w:ascii="Times New Roman" w:hAnsi="Times New Roman"/>
                      <w:sz w:val="24"/>
                      <w:szCs w:val="24"/>
                      <w:lang w:val="ro-RO"/>
                    </w:rPr>
                  </w:pPr>
                </w:p>
              </w:tc>
            </w:tr>
          </w:tbl>
          <w:p w14:paraId="38D1BCB4" w14:textId="77777777" w:rsidR="008864E4" w:rsidRPr="00731754" w:rsidRDefault="008864E4" w:rsidP="00914270">
            <w:pPr>
              <w:spacing w:line="360" w:lineRule="auto"/>
              <w:jc w:val="both"/>
              <w:rPr>
                <w:rFonts w:ascii="Times New Roman" w:hAnsi="Times New Roman"/>
                <w:vanish/>
                <w:sz w:val="24"/>
                <w:szCs w:val="24"/>
              </w:rPr>
            </w:pPr>
          </w:p>
          <w:p w14:paraId="61412320"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1AED656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 xml:space="preserve">19,000 </w:t>
            </w:r>
          </w:p>
        </w:tc>
      </w:tr>
      <w:tr w:rsidR="008864E4" w:rsidRPr="00731754" w14:paraId="526D0D0A" w14:textId="77777777" w:rsidTr="00914270">
        <w:tc>
          <w:tcPr>
            <w:tcW w:w="2261" w:type="dxa"/>
          </w:tcPr>
          <w:p w14:paraId="49FA3A4C" w14:textId="77777777" w:rsidR="008864E4" w:rsidRPr="00731754" w:rsidRDefault="008864E4" w:rsidP="00914270">
            <w:pPr>
              <w:spacing w:line="360" w:lineRule="auto"/>
              <w:jc w:val="both"/>
              <w:rPr>
                <w:rFonts w:ascii="Times New Roman" w:hAnsi="Times New Roman"/>
                <w:sz w:val="24"/>
                <w:szCs w:val="24"/>
              </w:rPr>
            </w:pPr>
            <w:r w:rsidRPr="00731754">
              <w:rPr>
                <w:rStyle w:val="Strong"/>
                <w:rFonts w:ascii="Times New Roman" w:hAnsi="Times New Roman"/>
                <w:sz w:val="24"/>
                <w:szCs w:val="24"/>
              </w:rPr>
              <w:t>Total Revenue</w:t>
            </w:r>
          </w:p>
        </w:tc>
        <w:tc>
          <w:tcPr>
            <w:tcW w:w="5389" w:type="dxa"/>
          </w:tcPr>
          <w:p w14:paraId="1F9B4A0E"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2374C9C3"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£61,000</w:t>
            </w:r>
          </w:p>
        </w:tc>
      </w:tr>
    </w:tbl>
    <w:p w14:paraId="3C9A123F" w14:textId="77777777" w:rsidR="008864E4" w:rsidRPr="00731754" w:rsidRDefault="008864E4" w:rsidP="008864E4">
      <w:pPr>
        <w:pStyle w:val="Heading2"/>
        <w:rPr>
          <w:rFonts w:ascii="Times New Roman" w:hAnsi="Times New Roman" w:cs="Times New Roman"/>
          <w:sz w:val="24"/>
          <w:szCs w:val="24"/>
          <w:lang w:val="ro-RO"/>
        </w:rPr>
      </w:pPr>
      <w:bookmarkStart w:id="29" w:name="_Toc191503481"/>
      <w:r w:rsidRPr="00731754">
        <w:rPr>
          <w:rFonts w:ascii="Times New Roman" w:hAnsi="Times New Roman" w:cs="Times New Roman"/>
          <w:sz w:val="24"/>
          <w:szCs w:val="24"/>
          <w:lang w:val="ro-RO"/>
        </w:rPr>
        <w:t>Estimated Costs:</w:t>
      </w:r>
      <w:bookmarkEnd w:id="29"/>
    </w:p>
    <w:tbl>
      <w:tblPr>
        <w:tblStyle w:val="TableGrid"/>
        <w:tblW w:w="0" w:type="auto"/>
        <w:tblLook w:val="04A0" w:firstRow="1" w:lastRow="0" w:firstColumn="1" w:lastColumn="0" w:noHBand="0" w:noVBand="1"/>
      </w:tblPr>
      <w:tblGrid>
        <w:gridCol w:w="2263"/>
        <w:gridCol w:w="5387"/>
        <w:gridCol w:w="1366"/>
      </w:tblGrid>
      <w:tr w:rsidR="008864E4" w:rsidRPr="00731754" w14:paraId="27D9B04D" w14:textId="77777777" w:rsidTr="00914270">
        <w:tc>
          <w:tcPr>
            <w:tcW w:w="2263" w:type="dxa"/>
          </w:tcPr>
          <w:p w14:paraId="7DBADE03"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Category</w:t>
            </w:r>
          </w:p>
          <w:p w14:paraId="04E42536" w14:textId="77777777" w:rsidR="008864E4" w:rsidRPr="00731754" w:rsidRDefault="008864E4" w:rsidP="00914270">
            <w:pPr>
              <w:spacing w:line="360" w:lineRule="auto"/>
              <w:jc w:val="both"/>
              <w:rPr>
                <w:rFonts w:ascii="Times New Roman" w:hAnsi="Times New Roman"/>
                <w:sz w:val="24"/>
                <w:szCs w:val="24"/>
              </w:rPr>
            </w:pPr>
          </w:p>
        </w:tc>
        <w:tc>
          <w:tcPr>
            <w:tcW w:w="5387" w:type="dxa"/>
          </w:tcPr>
          <w:p w14:paraId="3F742F8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Details</w:t>
            </w:r>
          </w:p>
          <w:p w14:paraId="674F4C1E"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6827F616"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Amount (£)</w:t>
            </w:r>
          </w:p>
          <w:p w14:paraId="60188601"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54E84FA6" w14:textId="77777777" w:rsidTr="00914270">
        <w:tc>
          <w:tcPr>
            <w:tcW w:w="2263" w:type="dxa"/>
          </w:tcPr>
          <w:p w14:paraId="654D4EF0"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Venue Hire</w:t>
            </w:r>
          </w:p>
          <w:p w14:paraId="61DA4CA4" w14:textId="77777777" w:rsidR="008864E4" w:rsidRPr="00731754" w:rsidRDefault="008864E4" w:rsidP="00914270">
            <w:pPr>
              <w:spacing w:line="360" w:lineRule="auto"/>
              <w:jc w:val="both"/>
              <w:rPr>
                <w:rFonts w:ascii="Times New Roman" w:hAnsi="Times New Roman"/>
                <w:sz w:val="24"/>
                <w:szCs w:val="24"/>
              </w:rPr>
            </w:pPr>
          </w:p>
        </w:tc>
        <w:tc>
          <w:tcPr>
            <w:tcW w:w="5387" w:type="dxa"/>
          </w:tcPr>
          <w:p w14:paraId="0EBB084C"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ExCeL London, including accessibility features</w:t>
            </w:r>
          </w:p>
          <w:p w14:paraId="383A017C"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2457BC87"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30,000</w:t>
            </w:r>
          </w:p>
        </w:tc>
      </w:tr>
      <w:tr w:rsidR="008864E4" w:rsidRPr="00731754" w14:paraId="39C7B635" w14:textId="77777777" w:rsidTr="00914270">
        <w:tc>
          <w:tcPr>
            <w:tcW w:w="2263" w:type="dxa"/>
          </w:tcPr>
          <w:p w14:paraId="6F446D8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Catering</w:t>
            </w:r>
          </w:p>
        </w:tc>
        <w:tc>
          <w:tcPr>
            <w:tcW w:w="5387" w:type="dxa"/>
          </w:tcPr>
          <w:p w14:paraId="2F2A5578"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£25 per person × 200 attendees (Sendino, 2024)</w:t>
            </w:r>
          </w:p>
        </w:tc>
        <w:tc>
          <w:tcPr>
            <w:tcW w:w="1366" w:type="dxa"/>
          </w:tcPr>
          <w:p w14:paraId="061DA17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5,000</w:t>
            </w:r>
          </w:p>
        </w:tc>
      </w:tr>
      <w:tr w:rsidR="008864E4" w:rsidRPr="00731754" w14:paraId="05ECDDD7" w14:textId="77777777" w:rsidTr="00914270">
        <w:tc>
          <w:tcPr>
            <w:tcW w:w="2263" w:type="dxa"/>
          </w:tcPr>
          <w:p w14:paraId="3DA5EBA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Marketing</w:t>
            </w:r>
          </w:p>
          <w:p w14:paraId="214DCAFF" w14:textId="77777777" w:rsidR="008864E4" w:rsidRPr="00731754" w:rsidRDefault="008864E4" w:rsidP="00914270">
            <w:pPr>
              <w:spacing w:line="360" w:lineRule="auto"/>
              <w:jc w:val="both"/>
              <w:rPr>
                <w:rFonts w:ascii="Times New Roman" w:hAnsi="Times New Roman"/>
                <w:sz w:val="24"/>
                <w:szCs w:val="24"/>
              </w:rPr>
            </w:pPr>
          </w:p>
        </w:tc>
        <w:tc>
          <w:tcPr>
            <w:tcW w:w="5387" w:type="dxa"/>
          </w:tcPr>
          <w:p w14:paraId="40715900"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Digital ads, influencer collaborations, media campaigns</w:t>
            </w:r>
          </w:p>
        </w:tc>
        <w:tc>
          <w:tcPr>
            <w:tcW w:w="1366" w:type="dxa"/>
          </w:tcPr>
          <w:p w14:paraId="57702FF6"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3,000</w:t>
            </w:r>
          </w:p>
        </w:tc>
      </w:tr>
      <w:tr w:rsidR="008864E4" w:rsidRPr="00731754" w14:paraId="5DC00183" w14:textId="77777777" w:rsidTr="00914270">
        <w:tc>
          <w:tcPr>
            <w:tcW w:w="2263" w:type="dxa"/>
          </w:tcPr>
          <w:p w14:paraId="6B07430A"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Logistics &amp; Volunteers</w:t>
            </w:r>
          </w:p>
        </w:tc>
        <w:tc>
          <w:tcPr>
            <w:tcW w:w="5387" w:type="dxa"/>
          </w:tcPr>
          <w:p w14:paraId="10A3D0D8"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Transport, accessibility services, staffing</w:t>
            </w:r>
          </w:p>
        </w:tc>
        <w:tc>
          <w:tcPr>
            <w:tcW w:w="1366" w:type="dxa"/>
          </w:tcPr>
          <w:p w14:paraId="778FABD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1,000</w:t>
            </w:r>
          </w:p>
        </w:tc>
      </w:tr>
      <w:tr w:rsidR="008864E4" w:rsidRPr="00731754" w14:paraId="6811BA19" w14:textId="77777777" w:rsidTr="00914270">
        <w:tc>
          <w:tcPr>
            <w:tcW w:w="2263" w:type="dxa"/>
          </w:tcPr>
          <w:p w14:paraId="2A06F79A"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Miscellaneous</w:t>
            </w:r>
          </w:p>
        </w:tc>
        <w:tc>
          <w:tcPr>
            <w:tcW w:w="5387" w:type="dxa"/>
          </w:tcPr>
          <w:p w14:paraId="68558FD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Administrative expenses and contingencies</w:t>
            </w:r>
          </w:p>
        </w:tc>
        <w:tc>
          <w:tcPr>
            <w:tcW w:w="1366" w:type="dxa"/>
          </w:tcPr>
          <w:p w14:paraId="357BC3C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2,000</w:t>
            </w:r>
          </w:p>
        </w:tc>
      </w:tr>
      <w:tr w:rsidR="008864E4" w:rsidRPr="00731754" w14:paraId="37C2E084" w14:textId="77777777" w:rsidTr="00914270">
        <w:tc>
          <w:tcPr>
            <w:tcW w:w="2263" w:type="dxa"/>
          </w:tcPr>
          <w:p w14:paraId="0B1D3C0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Total Cheltuieli</w:t>
            </w:r>
          </w:p>
        </w:tc>
        <w:tc>
          <w:tcPr>
            <w:tcW w:w="5387" w:type="dxa"/>
          </w:tcPr>
          <w:p w14:paraId="7B93D3EB"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7135CB3D"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£41,000</w:t>
            </w:r>
          </w:p>
        </w:tc>
      </w:tr>
    </w:tbl>
    <w:p w14:paraId="4A2BFD72" w14:textId="77777777" w:rsidR="008864E4" w:rsidRPr="00731754" w:rsidRDefault="008864E4" w:rsidP="008864E4">
      <w:pPr>
        <w:spacing w:line="360" w:lineRule="auto"/>
        <w:jc w:val="both"/>
        <w:rPr>
          <w:rFonts w:ascii="Times New Roman" w:hAnsi="Times New Roman"/>
          <w:sz w:val="24"/>
          <w:szCs w:val="24"/>
        </w:rPr>
      </w:pPr>
    </w:p>
    <w:p w14:paraId="14A6E1EC"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projected surplus of £20,000 will be allocated as follows: £10,000 for Scope UK’s disability employment programmes and £10,000 for future event editions. By maximising sponsorships and volunteer support, the event aims for efficient resource management and sustainable funding (Anas et al., 2020).</w:t>
      </w:r>
    </w:p>
    <w:p w14:paraId="6135D69A" w14:textId="77777777" w:rsidR="008864E4" w:rsidRPr="00731754" w:rsidRDefault="008864E4" w:rsidP="008864E4">
      <w:pPr>
        <w:pStyle w:val="Heading1"/>
        <w:rPr>
          <w:rFonts w:ascii="Times New Roman" w:hAnsi="Times New Roman" w:cs="Times New Roman"/>
          <w:sz w:val="24"/>
          <w:szCs w:val="24"/>
          <w:lang w:val="ro-RO"/>
        </w:rPr>
      </w:pPr>
      <w:bookmarkStart w:id="30" w:name="_Toc191503482"/>
      <w:r w:rsidRPr="00731754">
        <w:rPr>
          <w:rFonts w:ascii="Times New Roman" w:hAnsi="Times New Roman" w:cs="Times New Roman"/>
          <w:sz w:val="24"/>
          <w:szCs w:val="24"/>
          <w:lang w:val="ro-RO"/>
        </w:rPr>
        <w:lastRenderedPageBreak/>
        <w:t>INDUSTRY TRENDS</w:t>
      </w:r>
      <w:bookmarkEnd w:id="30"/>
    </w:p>
    <w:p w14:paraId="6976B0CD" w14:textId="77777777" w:rsidR="008864E4" w:rsidRPr="00731754" w:rsidRDefault="008864E4" w:rsidP="008864E4">
      <w:pPr>
        <w:pStyle w:val="Heading2"/>
        <w:rPr>
          <w:rFonts w:ascii="Times New Roman" w:hAnsi="Times New Roman" w:cs="Times New Roman"/>
          <w:sz w:val="24"/>
          <w:szCs w:val="24"/>
          <w:lang w:val="ro-RO"/>
        </w:rPr>
      </w:pPr>
      <w:bookmarkStart w:id="31" w:name="_Toc191503483"/>
      <w:r w:rsidRPr="00731754">
        <w:rPr>
          <w:rFonts w:ascii="Times New Roman" w:hAnsi="Times New Roman" w:cs="Times New Roman"/>
          <w:sz w:val="24"/>
          <w:szCs w:val="24"/>
        </w:rPr>
        <w:t>Technological Advancements in MICE Events</w:t>
      </w:r>
      <w:bookmarkEnd w:id="31"/>
    </w:p>
    <w:p w14:paraId="0969A708"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MICE events continue to evolve, heavily influenced by technological advancements and changing consumer behaviors (Rochin Demong et al., 2024). Recent trends include an increased focus on event personalisation, the integration of artificial intelligence, and the growing prevalence of hybrid formats (Krishna and Agarwal, 2024). Virtual reality and augmented reality technologies have become integral to event planning, offering personalised content and networking recommendations. </w:t>
      </w:r>
    </w:p>
    <w:p w14:paraId="3539895E"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Hybrid events, which combine physical and virtual attendance, have gained significant traction by extending audience reach (Rochin Demong et al., 2024). Additionally, there is a rising preference for unique, immersive venues, and technology is increasingly improving accessibility for individuals with disabilities while providing real-time translation capabilities (Rochin Demong et al., 2024).</w:t>
      </w:r>
    </w:p>
    <w:p w14:paraId="7B579C1C"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Despite these advances, the adoption of new technologies presents challenges, particularly regarding data privacy and security. The increasing number of digital interaction points makes protecting personal information more crucial than ever. Organisers must comply with regulations such as GDPR and CCPA to ensure participant trust (Rochin Demong et al., 2024). Furthermore, digital events often face difficulties in maintaining audience engagement, requiring creative approaches and interactive content to keep participants involved (Krishna and Agarwal, 2024).</w:t>
      </w:r>
    </w:p>
    <w:p w14:paraId="6B0CCA84" w14:textId="77777777" w:rsidR="008864E4" w:rsidRPr="00731754" w:rsidRDefault="008864E4" w:rsidP="008864E4">
      <w:pPr>
        <w:pStyle w:val="Heading2"/>
        <w:rPr>
          <w:rFonts w:ascii="Times New Roman" w:hAnsi="Times New Roman" w:cs="Times New Roman"/>
          <w:sz w:val="24"/>
          <w:szCs w:val="24"/>
          <w:lang w:val="ro-RO"/>
        </w:rPr>
      </w:pPr>
      <w:bookmarkStart w:id="32" w:name="_Toc191503484"/>
      <w:r w:rsidRPr="00731754">
        <w:rPr>
          <w:rFonts w:ascii="Times New Roman" w:hAnsi="Times New Roman" w:cs="Times New Roman"/>
          <w:sz w:val="24"/>
          <w:szCs w:val="24"/>
        </w:rPr>
        <w:t>Competition and the Need for Innovation</w:t>
      </w:r>
      <w:bookmarkEnd w:id="32"/>
    </w:p>
    <w:p w14:paraId="64C21CF7"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Although digitalisation has improved operational efficiency and expanded global reach, it has also heightened competition. To thrive in this environment, event organisers must embrace innovative technologies, strengthen data protection measures, and create memorable experiences that cater to participants’ evolving expectations (Krishna and Agarwal, 2024).</w:t>
      </w:r>
    </w:p>
    <w:p w14:paraId="05DE290B" w14:textId="77777777" w:rsidR="008864E4" w:rsidRPr="00731754" w:rsidRDefault="008864E4" w:rsidP="008864E4">
      <w:pPr>
        <w:spacing w:line="360" w:lineRule="auto"/>
        <w:jc w:val="both"/>
        <w:rPr>
          <w:rFonts w:ascii="Times New Roman" w:hAnsi="Times New Roman"/>
          <w:sz w:val="24"/>
          <w:szCs w:val="24"/>
          <w:lang w:val="ro-RO"/>
        </w:rPr>
      </w:pPr>
    </w:p>
    <w:p w14:paraId="36D94165" w14:textId="77777777" w:rsidR="008864E4" w:rsidRPr="00731754" w:rsidRDefault="008864E4" w:rsidP="008864E4">
      <w:pPr>
        <w:spacing w:line="360" w:lineRule="auto"/>
        <w:jc w:val="both"/>
        <w:rPr>
          <w:rFonts w:ascii="Times New Roman" w:hAnsi="Times New Roman"/>
          <w:sz w:val="24"/>
          <w:szCs w:val="24"/>
          <w:lang w:val="ro-RO"/>
        </w:rPr>
      </w:pPr>
    </w:p>
    <w:p w14:paraId="47AE9496" w14:textId="77777777" w:rsidR="008864E4" w:rsidRDefault="008864E4" w:rsidP="008864E4">
      <w:pPr>
        <w:spacing w:line="360" w:lineRule="auto"/>
        <w:jc w:val="both"/>
        <w:rPr>
          <w:rFonts w:ascii="Times New Roman" w:hAnsi="Times New Roman"/>
          <w:sz w:val="24"/>
          <w:szCs w:val="24"/>
          <w:lang w:val="ro-RO"/>
        </w:rPr>
      </w:pPr>
    </w:p>
    <w:p w14:paraId="0F87109E" w14:textId="77777777" w:rsidR="008864E4" w:rsidRPr="00731754" w:rsidRDefault="008864E4" w:rsidP="008864E4">
      <w:pPr>
        <w:spacing w:line="360" w:lineRule="auto"/>
        <w:jc w:val="both"/>
        <w:rPr>
          <w:rFonts w:ascii="Times New Roman" w:hAnsi="Times New Roman"/>
          <w:sz w:val="24"/>
          <w:szCs w:val="24"/>
          <w:lang w:val="ro-RO"/>
        </w:rPr>
      </w:pPr>
    </w:p>
    <w:p w14:paraId="4B9533DF" w14:textId="77777777" w:rsidR="008864E4" w:rsidRPr="00731754" w:rsidRDefault="008864E4" w:rsidP="008864E4">
      <w:pPr>
        <w:pStyle w:val="Heading1"/>
        <w:spacing w:line="360" w:lineRule="auto"/>
        <w:jc w:val="both"/>
        <w:rPr>
          <w:rFonts w:ascii="Times New Roman" w:hAnsi="Times New Roman" w:cs="Times New Roman"/>
          <w:sz w:val="24"/>
          <w:szCs w:val="24"/>
        </w:rPr>
      </w:pPr>
      <w:bookmarkStart w:id="33" w:name="_Toc191503485"/>
      <w:r w:rsidRPr="00731754">
        <w:rPr>
          <w:rFonts w:ascii="Times New Roman" w:hAnsi="Times New Roman" w:cs="Times New Roman"/>
          <w:sz w:val="24"/>
          <w:szCs w:val="24"/>
        </w:rPr>
        <w:lastRenderedPageBreak/>
        <w:t>CONCLUSION</w:t>
      </w:r>
      <w:bookmarkEnd w:id="33"/>
    </w:p>
    <w:p w14:paraId="35F3CDE0" w14:textId="77777777" w:rsidR="008864E4" w:rsidRPr="00E1070F" w:rsidRDefault="008864E4" w:rsidP="008864E4">
      <w:pPr>
        <w:spacing w:line="360" w:lineRule="auto"/>
        <w:jc w:val="both"/>
        <w:rPr>
          <w:rFonts w:ascii="Times New Roman" w:hAnsi="Times New Roman"/>
          <w:sz w:val="24"/>
          <w:szCs w:val="24"/>
          <w:lang w:val="ro-RO"/>
        </w:rPr>
      </w:pPr>
      <w:r w:rsidRPr="00E1070F">
        <w:rPr>
          <w:rFonts w:ascii="Times New Roman" w:hAnsi="Times New Roman"/>
          <w:sz w:val="24"/>
          <w:szCs w:val="24"/>
          <w:lang w:val="ro-RO"/>
        </w:rPr>
        <w:t>The "All About Inclusion – Breaking Barriers in Hospitality" event successfully highlighted the importance of inclusive employment within the hospitality industry. By fostering dialogue between employers, policymakers, and job seekers with disabilities, the event contributed to raising awareness and securing commitments for workplace diversity. The integration of keynote speeches, job fairs, and interactive simulations provided valuable insights into the barriers faced by disabled individuals seeking employment.</w:t>
      </w:r>
    </w:p>
    <w:p w14:paraId="652DD860" w14:textId="77777777" w:rsidR="008864E4" w:rsidRDefault="008864E4" w:rsidP="008864E4">
      <w:pPr>
        <w:spacing w:line="360" w:lineRule="auto"/>
        <w:jc w:val="both"/>
        <w:rPr>
          <w:rFonts w:ascii="Times New Roman" w:hAnsi="Times New Roman"/>
          <w:sz w:val="24"/>
          <w:szCs w:val="24"/>
          <w:lang w:val="ro-RO"/>
        </w:rPr>
      </w:pPr>
      <w:r w:rsidRPr="00E1070F">
        <w:rPr>
          <w:rFonts w:ascii="Times New Roman" w:hAnsi="Times New Roman"/>
          <w:sz w:val="24"/>
          <w:szCs w:val="24"/>
          <w:lang w:val="ro-RO"/>
        </w:rPr>
        <w:t>To build on this momentum, further research should explore the long-term impact of such initiatives on actual hiring rates and workplace retention. Additionally, future events could incorporate advanced technological tools, such as AI-driven accessibility solutions, to enhance participation.</w:t>
      </w:r>
    </w:p>
    <w:p w14:paraId="2AD2B816" w14:textId="77777777" w:rsidR="008864E4" w:rsidRPr="00E1070F" w:rsidRDefault="008864E4" w:rsidP="008864E4">
      <w:pPr>
        <w:spacing w:line="360" w:lineRule="auto"/>
        <w:jc w:val="both"/>
        <w:rPr>
          <w:rFonts w:ascii="Times New Roman" w:hAnsi="Times New Roman"/>
          <w:sz w:val="24"/>
          <w:szCs w:val="24"/>
          <w:lang w:val="ro-RO"/>
        </w:rPr>
      </w:pPr>
      <w:r w:rsidRPr="00E1070F">
        <w:rPr>
          <w:rFonts w:ascii="Times New Roman" w:hAnsi="Times New Roman"/>
          <w:b/>
          <w:bCs/>
          <w:sz w:val="24"/>
          <w:szCs w:val="24"/>
          <w:lang w:val="ro-RO"/>
        </w:rPr>
        <w:t>Recommendations:</w:t>
      </w:r>
    </w:p>
    <w:p w14:paraId="70ECFC54" w14:textId="77777777" w:rsidR="008864E4" w:rsidRPr="00E1070F" w:rsidRDefault="008864E4" w:rsidP="008864E4">
      <w:pPr>
        <w:pStyle w:val="ListParagraph"/>
        <w:numPr>
          <w:ilvl w:val="0"/>
          <w:numId w:val="10"/>
        </w:numPr>
        <w:spacing w:line="360" w:lineRule="auto"/>
        <w:jc w:val="both"/>
        <w:rPr>
          <w:rFonts w:ascii="Times New Roman" w:hAnsi="Times New Roman" w:cs="Times New Roman"/>
          <w:sz w:val="24"/>
          <w:szCs w:val="24"/>
        </w:rPr>
      </w:pPr>
      <w:r w:rsidRPr="00E1070F">
        <w:rPr>
          <w:rFonts w:ascii="Times New Roman" w:hAnsi="Times New Roman" w:cs="Times New Roman"/>
          <w:sz w:val="24"/>
          <w:szCs w:val="24"/>
        </w:rPr>
        <w:t>Partner with hospitality companies to ensure ongoing hiring of disabled individuals</w:t>
      </w:r>
      <w:r>
        <w:rPr>
          <w:rFonts w:ascii="Times New Roman" w:hAnsi="Times New Roman" w:cs="Times New Roman"/>
          <w:sz w:val="24"/>
          <w:szCs w:val="24"/>
        </w:rPr>
        <w:t xml:space="preserve"> </w:t>
      </w:r>
      <w:r w:rsidRPr="00E1070F">
        <w:rPr>
          <w:rFonts w:ascii="Times New Roman" w:hAnsi="Times New Roman" w:cs="Times New Roman"/>
          <w:sz w:val="24"/>
          <w:szCs w:val="24"/>
        </w:rPr>
        <w:t>(Butler-Sims, 2024)</w:t>
      </w:r>
      <w:r>
        <w:rPr>
          <w:rFonts w:ascii="Times New Roman" w:hAnsi="Times New Roman" w:cs="Times New Roman"/>
          <w:sz w:val="24"/>
          <w:szCs w:val="24"/>
        </w:rPr>
        <w:t>.</w:t>
      </w:r>
    </w:p>
    <w:p w14:paraId="4E9928A3" w14:textId="77777777" w:rsidR="008864E4" w:rsidRPr="00E1070F" w:rsidRDefault="008864E4" w:rsidP="008864E4">
      <w:pPr>
        <w:pStyle w:val="ListParagraph"/>
        <w:numPr>
          <w:ilvl w:val="0"/>
          <w:numId w:val="10"/>
        </w:numPr>
        <w:spacing w:line="360" w:lineRule="auto"/>
        <w:jc w:val="both"/>
        <w:rPr>
          <w:rFonts w:ascii="Times New Roman" w:hAnsi="Times New Roman" w:cs="Times New Roman"/>
          <w:sz w:val="24"/>
          <w:szCs w:val="24"/>
        </w:rPr>
      </w:pPr>
      <w:r w:rsidRPr="00E1070F">
        <w:rPr>
          <w:rFonts w:ascii="Times New Roman" w:hAnsi="Times New Roman" w:cs="Times New Roman"/>
          <w:sz w:val="24"/>
          <w:szCs w:val="24"/>
        </w:rPr>
        <w:t>Organize structured networking events to connect employers directly with job seekers</w:t>
      </w:r>
      <w:r>
        <w:rPr>
          <w:rFonts w:ascii="Times New Roman" w:hAnsi="Times New Roman" w:cs="Times New Roman"/>
          <w:sz w:val="24"/>
          <w:szCs w:val="24"/>
        </w:rPr>
        <w:t xml:space="preserve"> </w:t>
      </w:r>
      <w:r w:rsidRPr="00E1070F">
        <w:rPr>
          <w:rFonts w:ascii="Times New Roman" w:hAnsi="Times New Roman" w:cs="Times New Roman"/>
          <w:sz w:val="24"/>
          <w:szCs w:val="24"/>
        </w:rPr>
        <w:t>(Mzembe &amp; Filimonau, 2024).</w:t>
      </w:r>
    </w:p>
    <w:p w14:paraId="64B8D472" w14:textId="77777777" w:rsidR="008864E4" w:rsidRPr="00E1070F" w:rsidRDefault="008864E4" w:rsidP="008864E4">
      <w:pPr>
        <w:pStyle w:val="ListParagraph"/>
        <w:numPr>
          <w:ilvl w:val="0"/>
          <w:numId w:val="10"/>
        </w:numPr>
        <w:spacing w:line="360" w:lineRule="auto"/>
        <w:jc w:val="both"/>
        <w:rPr>
          <w:rFonts w:ascii="Times New Roman" w:hAnsi="Times New Roman" w:cs="Times New Roman"/>
          <w:sz w:val="24"/>
          <w:szCs w:val="24"/>
        </w:rPr>
      </w:pPr>
      <w:r w:rsidRPr="00E1070F">
        <w:rPr>
          <w:rFonts w:ascii="Times New Roman" w:hAnsi="Times New Roman" w:cs="Times New Roman"/>
          <w:sz w:val="24"/>
          <w:szCs w:val="24"/>
        </w:rPr>
        <w:t>Implement a system to track how many job seekers secure employment after attending the event</w:t>
      </w:r>
      <w:r>
        <w:rPr>
          <w:rFonts w:ascii="Times New Roman" w:hAnsi="Times New Roman" w:cs="Times New Roman"/>
          <w:sz w:val="24"/>
          <w:szCs w:val="24"/>
        </w:rPr>
        <w:t xml:space="preserve"> </w:t>
      </w:r>
      <w:r w:rsidRPr="00E1070F">
        <w:rPr>
          <w:rFonts w:ascii="Times New Roman" w:hAnsi="Times New Roman" w:cs="Times New Roman"/>
          <w:sz w:val="24"/>
          <w:szCs w:val="24"/>
        </w:rPr>
        <w:t>(Nagtegaal et al., 2023)</w:t>
      </w:r>
      <w:r>
        <w:rPr>
          <w:rFonts w:ascii="Times New Roman" w:hAnsi="Times New Roman" w:cs="Times New Roman"/>
          <w:sz w:val="24"/>
          <w:szCs w:val="24"/>
        </w:rPr>
        <w:t>.</w:t>
      </w:r>
    </w:p>
    <w:p w14:paraId="21BB1473" w14:textId="77777777" w:rsidR="008864E4" w:rsidRPr="00E1070F" w:rsidRDefault="008864E4" w:rsidP="008864E4">
      <w:pPr>
        <w:pStyle w:val="ListParagraph"/>
        <w:numPr>
          <w:ilvl w:val="0"/>
          <w:numId w:val="10"/>
        </w:numPr>
        <w:spacing w:line="360" w:lineRule="auto"/>
        <w:jc w:val="both"/>
        <w:rPr>
          <w:lang w:val="ro-RO"/>
        </w:rPr>
      </w:pPr>
      <w:r w:rsidRPr="00E1070F">
        <w:rPr>
          <w:rFonts w:ascii="Times New Roman" w:hAnsi="Times New Roman" w:cs="Times New Roman"/>
          <w:sz w:val="24"/>
          <w:szCs w:val="24"/>
        </w:rPr>
        <w:t>Expand the event to other UK cities to increase its reach and impact</w:t>
      </w:r>
      <w:r>
        <w:rPr>
          <w:rFonts w:ascii="Times New Roman" w:hAnsi="Times New Roman" w:cs="Times New Roman"/>
          <w:sz w:val="24"/>
          <w:szCs w:val="24"/>
        </w:rPr>
        <w:t xml:space="preserve"> </w:t>
      </w:r>
      <w:r w:rsidRPr="00E1070F">
        <w:rPr>
          <w:lang w:val="ro-RO"/>
        </w:rPr>
        <w:t>(International Disability Alliance, 2022)</w:t>
      </w:r>
    </w:p>
    <w:p w14:paraId="210C3CFF" w14:textId="77777777" w:rsidR="008864E4" w:rsidRPr="00E1070F" w:rsidRDefault="008864E4" w:rsidP="008864E4">
      <w:pPr>
        <w:spacing w:line="360" w:lineRule="auto"/>
        <w:ind w:left="360"/>
        <w:jc w:val="both"/>
        <w:rPr>
          <w:rFonts w:ascii="Times New Roman" w:hAnsi="Times New Roman"/>
          <w:sz w:val="24"/>
          <w:szCs w:val="24"/>
        </w:rPr>
      </w:pPr>
    </w:p>
    <w:p w14:paraId="6D8CC578" w14:textId="77777777" w:rsidR="008864E4" w:rsidRDefault="008864E4" w:rsidP="008864E4">
      <w:pPr>
        <w:spacing w:line="360" w:lineRule="auto"/>
        <w:jc w:val="both"/>
        <w:rPr>
          <w:rFonts w:ascii="Times New Roman" w:hAnsi="Times New Roman"/>
          <w:sz w:val="24"/>
          <w:szCs w:val="24"/>
        </w:rPr>
      </w:pPr>
    </w:p>
    <w:p w14:paraId="4C808DB2" w14:textId="77777777" w:rsidR="008864E4" w:rsidRDefault="008864E4" w:rsidP="008864E4">
      <w:pPr>
        <w:spacing w:line="360" w:lineRule="auto"/>
        <w:jc w:val="both"/>
        <w:rPr>
          <w:rFonts w:ascii="Times New Roman" w:hAnsi="Times New Roman"/>
          <w:sz w:val="24"/>
          <w:szCs w:val="24"/>
        </w:rPr>
      </w:pPr>
    </w:p>
    <w:p w14:paraId="7AC8BE4D" w14:textId="77777777" w:rsidR="008864E4" w:rsidRDefault="008864E4" w:rsidP="008864E4">
      <w:pPr>
        <w:spacing w:line="360" w:lineRule="auto"/>
        <w:jc w:val="both"/>
        <w:rPr>
          <w:rFonts w:ascii="Times New Roman" w:hAnsi="Times New Roman"/>
          <w:sz w:val="24"/>
          <w:szCs w:val="24"/>
        </w:rPr>
      </w:pPr>
    </w:p>
    <w:p w14:paraId="02398B9C" w14:textId="77777777" w:rsidR="008864E4" w:rsidRDefault="008864E4" w:rsidP="008864E4">
      <w:pPr>
        <w:spacing w:line="360" w:lineRule="auto"/>
        <w:jc w:val="both"/>
        <w:rPr>
          <w:rFonts w:ascii="Times New Roman" w:hAnsi="Times New Roman"/>
          <w:sz w:val="24"/>
          <w:szCs w:val="24"/>
        </w:rPr>
      </w:pPr>
    </w:p>
    <w:p w14:paraId="74AD880E" w14:textId="77777777" w:rsidR="008864E4" w:rsidRDefault="008864E4" w:rsidP="008864E4">
      <w:pPr>
        <w:spacing w:line="360" w:lineRule="auto"/>
        <w:jc w:val="both"/>
        <w:rPr>
          <w:rFonts w:ascii="Times New Roman" w:hAnsi="Times New Roman"/>
          <w:sz w:val="24"/>
          <w:szCs w:val="24"/>
        </w:rPr>
      </w:pPr>
    </w:p>
    <w:p w14:paraId="40497D9F" w14:textId="77777777" w:rsidR="008864E4" w:rsidRDefault="008864E4" w:rsidP="008864E4">
      <w:pPr>
        <w:spacing w:line="360" w:lineRule="auto"/>
        <w:jc w:val="both"/>
        <w:rPr>
          <w:rFonts w:ascii="Times New Roman" w:hAnsi="Times New Roman"/>
          <w:sz w:val="24"/>
          <w:szCs w:val="24"/>
        </w:rPr>
      </w:pPr>
    </w:p>
    <w:p w14:paraId="5E6502F8" w14:textId="77777777" w:rsidR="008864E4" w:rsidRDefault="008864E4" w:rsidP="008864E4">
      <w:pPr>
        <w:spacing w:line="360" w:lineRule="auto"/>
        <w:jc w:val="both"/>
        <w:rPr>
          <w:rFonts w:ascii="Times New Roman" w:hAnsi="Times New Roman"/>
          <w:sz w:val="24"/>
          <w:szCs w:val="24"/>
        </w:rPr>
      </w:pPr>
    </w:p>
    <w:p w14:paraId="20A2E77C" w14:textId="77777777" w:rsidR="008864E4" w:rsidRPr="00731754" w:rsidRDefault="008864E4" w:rsidP="008864E4">
      <w:pPr>
        <w:pStyle w:val="Heading1"/>
        <w:spacing w:line="360" w:lineRule="auto"/>
        <w:jc w:val="both"/>
        <w:rPr>
          <w:rFonts w:ascii="Times New Roman" w:hAnsi="Times New Roman" w:cs="Times New Roman"/>
          <w:sz w:val="24"/>
          <w:szCs w:val="24"/>
        </w:rPr>
      </w:pPr>
      <w:bookmarkStart w:id="34" w:name="_Toc191503486"/>
      <w:r w:rsidRPr="00731754">
        <w:rPr>
          <w:rFonts w:ascii="Times New Roman" w:hAnsi="Times New Roman" w:cs="Times New Roman"/>
          <w:sz w:val="24"/>
          <w:szCs w:val="24"/>
        </w:rPr>
        <w:lastRenderedPageBreak/>
        <w:t>REFERENCE LIST</w:t>
      </w:r>
      <w:bookmarkEnd w:id="34"/>
    </w:p>
    <w:p w14:paraId="24974DC0" w14:textId="729AEC51"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Anas, M.S., Maddiah, N.A., Eizamly, N.U.E.N., Sulaiman, N.A. and Wee, H. (2020)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Key success factors toward MICE industry: A systematic literature review</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Journal of Tourism, Hospitality &amp; Culinary Arts</w:t>
      </w:r>
      <w:r w:rsidRPr="00D576C7">
        <w:rPr>
          <w:rFonts w:ascii="Times New Roman" w:hAnsi="Times New Roman"/>
          <w:sz w:val="24"/>
          <w:szCs w:val="24"/>
          <w:lang w:val="ro-RO"/>
        </w:rPr>
        <w:t>, 12(1), pp. 188-221.</w:t>
      </w:r>
      <w:r w:rsidR="00E96192" w:rsidRPr="00D576C7">
        <w:rPr>
          <w:rFonts w:ascii="Times New Roman" w:hAnsi="Times New Roman"/>
          <w:sz w:val="24"/>
          <w:szCs w:val="24"/>
          <w:lang w:val="ro-RO"/>
        </w:rPr>
        <w:t xml:space="preserve"> </w:t>
      </w:r>
      <w:r w:rsidR="00E96192" w:rsidRPr="00D576C7">
        <w:rPr>
          <w:rFonts w:ascii="Times New Roman" w:hAnsi="Times New Roman"/>
          <w:sz w:val="24"/>
          <w:szCs w:val="24"/>
        </w:rPr>
        <w:t>[Online].</w:t>
      </w:r>
      <w:r w:rsidRPr="00D576C7">
        <w:rPr>
          <w:rFonts w:ascii="Times New Roman" w:hAnsi="Times New Roman"/>
          <w:sz w:val="24"/>
          <w:szCs w:val="24"/>
          <w:lang w:val="ro-RO"/>
        </w:rPr>
        <w:t xml:space="preserve"> Available at: </w:t>
      </w:r>
      <w:hyperlink r:id="rId6" w:tgtFrame="_new" w:history="1">
        <w:r w:rsidRPr="00D576C7">
          <w:rPr>
            <w:rStyle w:val="Hyperlink"/>
            <w:rFonts w:ascii="Times New Roman" w:hAnsi="Times New Roman"/>
            <w:sz w:val="24"/>
            <w:szCs w:val="24"/>
            <w:lang w:val="ro-RO"/>
          </w:rPr>
          <w:t>https://www.researchgate.net/publication/340376849</w:t>
        </w:r>
      </w:hyperlink>
      <w:r w:rsidRPr="00D576C7">
        <w:rPr>
          <w:rFonts w:ascii="Times New Roman" w:hAnsi="Times New Roman"/>
          <w:sz w:val="24"/>
          <w:szCs w:val="24"/>
          <w:lang w:val="ro-RO"/>
        </w:rPr>
        <w:t xml:space="preserve"> (Accessed: 13 February 2025).</w:t>
      </w:r>
    </w:p>
    <w:p w14:paraId="5B8E8016" w14:textId="327AB2C3"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Battaglia, S. (2025)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Inclusive strategies for hospitality managers</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Management Issues</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7" w:tgtFrame="_new" w:history="1">
        <w:r w:rsidRPr="00D576C7">
          <w:rPr>
            <w:rStyle w:val="Hyperlink"/>
            <w:rFonts w:ascii="Times New Roman" w:hAnsi="Times New Roman"/>
            <w:sz w:val="24"/>
            <w:szCs w:val="24"/>
            <w:lang w:val="ro-RO"/>
          </w:rPr>
          <w:t>https://www.management-issues.com/opinion/7657/inclusive-strategies-for-hospitality-managers/</w:t>
        </w:r>
      </w:hyperlink>
      <w:r w:rsidRPr="00D576C7">
        <w:rPr>
          <w:rFonts w:ascii="Times New Roman" w:hAnsi="Times New Roman"/>
          <w:sz w:val="24"/>
          <w:szCs w:val="24"/>
          <w:lang w:val="ro-RO"/>
        </w:rPr>
        <w:t xml:space="preserve"> (Accessed: 26 January 2025).</w:t>
      </w:r>
    </w:p>
    <w:p w14:paraId="04D4B4D2" w14:textId="3E092ED0"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Benzaghta, M.A., Elwalda, A., Mousa, M.M., Erkan, I. and Rahman, M. (2021)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SWOT analysis applications: An integrative literature review</w:t>
      </w:r>
      <w:r w:rsidR="00DF5ADF" w:rsidRPr="00DF5ADF">
        <w:rPr>
          <w:rFonts w:ascii="Times New Roman" w:hAnsi="Times New Roman"/>
          <w:i/>
          <w:iCs/>
          <w:sz w:val="24"/>
          <w:szCs w:val="24"/>
          <w:lang w:val="en-GB"/>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Journal of Global Business Insights</w:t>
      </w:r>
      <w:r w:rsidRPr="00D576C7">
        <w:rPr>
          <w:rFonts w:ascii="Times New Roman" w:hAnsi="Times New Roman"/>
          <w:sz w:val="24"/>
          <w:szCs w:val="24"/>
          <w:lang w:val="ro-RO"/>
        </w:rPr>
        <w:t>, 6(1), pp. 55-73.</w:t>
      </w:r>
      <w:r w:rsidR="00E96192" w:rsidRPr="00D576C7">
        <w:rPr>
          <w:rFonts w:ascii="Times New Roman" w:hAnsi="Times New Roman"/>
          <w:sz w:val="24"/>
          <w:szCs w:val="24"/>
          <w:lang w:val="ro-RO"/>
        </w:rPr>
        <w:t xml:space="preserve"> </w:t>
      </w:r>
      <w:r w:rsidR="00E96192" w:rsidRPr="00D576C7">
        <w:rPr>
          <w:rFonts w:ascii="Times New Roman" w:hAnsi="Times New Roman"/>
          <w:sz w:val="24"/>
          <w:szCs w:val="24"/>
        </w:rPr>
        <w:t>[Online].</w:t>
      </w:r>
      <w:r w:rsidRPr="00D576C7">
        <w:rPr>
          <w:rFonts w:ascii="Times New Roman" w:hAnsi="Times New Roman"/>
          <w:sz w:val="24"/>
          <w:szCs w:val="24"/>
          <w:lang w:val="ro-RO"/>
        </w:rPr>
        <w:t xml:space="preserve"> Available at: </w:t>
      </w:r>
      <w:hyperlink r:id="rId8" w:tgtFrame="_new" w:history="1">
        <w:r w:rsidRPr="00D576C7">
          <w:rPr>
            <w:rStyle w:val="Hyperlink"/>
            <w:rFonts w:ascii="Times New Roman" w:hAnsi="Times New Roman"/>
            <w:sz w:val="24"/>
            <w:szCs w:val="24"/>
            <w:lang w:val="ro-RO"/>
          </w:rPr>
          <w:t>https://www.doi.org/10.5038/2640-6489.6.1.1148</w:t>
        </w:r>
      </w:hyperlink>
      <w:r w:rsidRPr="00D576C7">
        <w:rPr>
          <w:rFonts w:ascii="Times New Roman" w:hAnsi="Times New Roman"/>
          <w:sz w:val="24"/>
          <w:szCs w:val="24"/>
          <w:lang w:val="ro-RO"/>
        </w:rPr>
        <w:t xml:space="preserve"> (Accessed: 14 February 2025).</w:t>
      </w:r>
    </w:p>
    <w:p w14:paraId="6F29942F" w14:textId="528FDE3E"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Bergh, E.R. (2025)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The state of influencer marketing in the hospitality sector</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Forbes Business Council</w:t>
      </w:r>
      <w:r w:rsidRPr="00D576C7">
        <w:rPr>
          <w:rFonts w:ascii="Times New Roman" w:hAnsi="Times New Roman"/>
          <w:sz w:val="24"/>
          <w:szCs w:val="24"/>
          <w:lang w:val="ro-RO"/>
        </w:rPr>
        <w:t>, 22 January.</w:t>
      </w:r>
      <w:r w:rsidR="00E96192" w:rsidRPr="00D576C7">
        <w:rPr>
          <w:rFonts w:ascii="Times New Roman" w:hAnsi="Times New Roman"/>
          <w:sz w:val="24"/>
          <w:szCs w:val="24"/>
          <w:lang w:val="ro-RO"/>
        </w:rPr>
        <w:t xml:space="preserve"> </w:t>
      </w:r>
      <w:r w:rsidR="00E96192" w:rsidRPr="00D576C7">
        <w:rPr>
          <w:rFonts w:ascii="Times New Roman" w:hAnsi="Times New Roman"/>
          <w:sz w:val="24"/>
          <w:szCs w:val="24"/>
        </w:rPr>
        <w:t>[Online].</w:t>
      </w:r>
      <w:r w:rsidR="00E96192" w:rsidRPr="00D576C7">
        <w:rPr>
          <w:rFonts w:ascii="Times New Roman" w:hAnsi="Times New Roman"/>
          <w:sz w:val="24"/>
          <w:szCs w:val="24"/>
          <w:lang w:val="ro-RO"/>
        </w:rPr>
        <w:t xml:space="preserve"> </w:t>
      </w:r>
      <w:r w:rsidRPr="00D576C7">
        <w:rPr>
          <w:rFonts w:ascii="Times New Roman" w:hAnsi="Times New Roman"/>
          <w:sz w:val="24"/>
          <w:szCs w:val="24"/>
          <w:lang w:val="ro-RO"/>
        </w:rPr>
        <w:t xml:space="preserve">Available at: </w:t>
      </w:r>
      <w:hyperlink r:id="rId9" w:tgtFrame="_new" w:history="1">
        <w:r w:rsidRPr="00D576C7">
          <w:rPr>
            <w:rStyle w:val="Hyperlink"/>
            <w:rFonts w:ascii="Times New Roman" w:hAnsi="Times New Roman"/>
            <w:sz w:val="24"/>
            <w:szCs w:val="24"/>
            <w:lang w:val="ro-RO"/>
          </w:rPr>
          <w:t>https://www.forbes.com/councils/forbesbusinesscouncil/2025/01/22/the-state-of-influencer-marketing-in-the-hospitality-sector/</w:t>
        </w:r>
      </w:hyperlink>
      <w:r w:rsidRPr="00D576C7">
        <w:rPr>
          <w:rFonts w:ascii="Times New Roman" w:hAnsi="Times New Roman"/>
          <w:sz w:val="24"/>
          <w:szCs w:val="24"/>
          <w:lang w:val="ro-RO"/>
        </w:rPr>
        <w:t xml:space="preserve"> (Accessed: 29 January 2025).</w:t>
      </w:r>
    </w:p>
    <w:p w14:paraId="2926BC3F" w14:textId="744DD0A8"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Bladen, C., Kennell, J., Abson, E. and Wilde, N. (2023)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Events Management: An Introduction. 3rd edn. Oxford: Routledge</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00E96192" w:rsidRPr="00D576C7">
        <w:rPr>
          <w:rFonts w:ascii="Times New Roman" w:hAnsi="Times New Roman"/>
          <w:sz w:val="24"/>
          <w:szCs w:val="24"/>
          <w:lang w:val="ro-RO"/>
        </w:rPr>
        <w:t xml:space="preserve"> </w:t>
      </w:r>
      <w:r w:rsidR="00E96192" w:rsidRPr="00D576C7">
        <w:rPr>
          <w:rFonts w:ascii="Times New Roman" w:hAnsi="Times New Roman"/>
          <w:sz w:val="24"/>
          <w:szCs w:val="24"/>
        </w:rPr>
        <w:t>[Online].</w:t>
      </w:r>
      <w:r w:rsidRPr="00D576C7">
        <w:rPr>
          <w:rFonts w:ascii="Times New Roman" w:hAnsi="Times New Roman"/>
          <w:sz w:val="24"/>
          <w:szCs w:val="24"/>
          <w:lang w:val="ro-RO"/>
        </w:rPr>
        <w:t xml:space="preserve"> Available at: </w:t>
      </w:r>
      <w:hyperlink r:id="rId10" w:tgtFrame="_new" w:history="1">
        <w:r w:rsidRPr="00D576C7">
          <w:rPr>
            <w:rStyle w:val="Hyperlink"/>
            <w:rFonts w:ascii="Times New Roman" w:hAnsi="Times New Roman"/>
            <w:sz w:val="24"/>
            <w:szCs w:val="24"/>
            <w:lang w:val="ro-RO"/>
          </w:rPr>
          <w:t>https://www.researchgate.net/publication/365396517</w:t>
        </w:r>
      </w:hyperlink>
      <w:r w:rsidRPr="00D576C7">
        <w:rPr>
          <w:rFonts w:ascii="Times New Roman" w:hAnsi="Times New Roman"/>
          <w:sz w:val="24"/>
          <w:szCs w:val="24"/>
          <w:lang w:val="ro-RO"/>
        </w:rPr>
        <w:t xml:space="preserve"> (Accessed: 10 February 2025).</w:t>
      </w:r>
    </w:p>
    <w:p w14:paraId="4E108963" w14:textId="1284A400"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Butler-Sims, T. (2024)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Inclusion in the workplace and 6 reasons why it matters</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Forbes Human Resources Council</w:t>
      </w:r>
      <w:r w:rsidRPr="00D576C7">
        <w:rPr>
          <w:rFonts w:ascii="Times New Roman" w:hAnsi="Times New Roman"/>
          <w:sz w:val="24"/>
          <w:szCs w:val="24"/>
          <w:lang w:val="ro-RO"/>
        </w:rPr>
        <w:t>, 13 February.</w:t>
      </w:r>
      <w:r w:rsidR="00E96192" w:rsidRPr="00D576C7">
        <w:rPr>
          <w:rFonts w:ascii="Times New Roman" w:hAnsi="Times New Roman"/>
          <w:sz w:val="24"/>
          <w:szCs w:val="24"/>
          <w:lang w:val="ro-RO"/>
        </w:rPr>
        <w:t xml:space="preserve"> </w:t>
      </w:r>
      <w:r w:rsidR="00E96192" w:rsidRPr="00D576C7">
        <w:rPr>
          <w:rFonts w:ascii="Times New Roman" w:hAnsi="Times New Roman"/>
          <w:sz w:val="24"/>
          <w:szCs w:val="24"/>
        </w:rPr>
        <w:t>[Online].</w:t>
      </w:r>
      <w:r w:rsidRPr="00D576C7">
        <w:rPr>
          <w:rFonts w:ascii="Times New Roman" w:hAnsi="Times New Roman"/>
          <w:sz w:val="24"/>
          <w:szCs w:val="24"/>
          <w:lang w:val="ro-RO"/>
        </w:rPr>
        <w:t xml:space="preserve"> Available at: </w:t>
      </w:r>
      <w:hyperlink r:id="rId11" w:tgtFrame="_new" w:history="1">
        <w:r w:rsidRPr="00D576C7">
          <w:rPr>
            <w:rStyle w:val="Hyperlink"/>
            <w:rFonts w:ascii="Times New Roman" w:hAnsi="Times New Roman"/>
            <w:sz w:val="24"/>
            <w:szCs w:val="24"/>
            <w:lang w:val="ro-RO"/>
          </w:rPr>
          <w:t>https://www.forbes.com/councils/forbeshumanresourcescouncil/2024/02/13/inclusion-in-the-workplace-and-6-reasons-why-it-matters/</w:t>
        </w:r>
      </w:hyperlink>
      <w:r w:rsidRPr="00D576C7">
        <w:rPr>
          <w:rFonts w:ascii="Times New Roman" w:hAnsi="Times New Roman"/>
          <w:sz w:val="24"/>
          <w:szCs w:val="24"/>
          <w:lang w:val="ro-RO"/>
        </w:rPr>
        <w:t xml:space="preserve"> (Accessed: 29 January 2025).</w:t>
      </w:r>
    </w:p>
    <w:p w14:paraId="6B738643" w14:textId="260AF389"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Conference Index (2025)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Diversity and Inclusion Conferences in the United Kingdom</w:t>
      </w:r>
      <w:r w:rsidR="00DF5ADF" w:rsidRPr="00DF5ADF">
        <w:rPr>
          <w:rFonts w:ascii="Times New Roman" w:hAnsi="Times New Roman"/>
          <w:i/>
          <w:iCs/>
          <w:sz w:val="24"/>
          <w:szCs w:val="24"/>
          <w:lang w:val="en-GB"/>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12" w:tgtFrame="_new" w:history="1">
        <w:r w:rsidRPr="00D576C7">
          <w:rPr>
            <w:rStyle w:val="Hyperlink"/>
            <w:rFonts w:ascii="Times New Roman" w:hAnsi="Times New Roman"/>
            <w:sz w:val="24"/>
            <w:szCs w:val="24"/>
            <w:lang w:val="ro-RO"/>
          </w:rPr>
          <w:t>https://conferenceindex.org/conferences/diversity-and-inclusion/united-kingdom</w:t>
        </w:r>
      </w:hyperlink>
      <w:r w:rsidRPr="00D576C7">
        <w:rPr>
          <w:rFonts w:ascii="Times New Roman" w:hAnsi="Times New Roman"/>
          <w:sz w:val="24"/>
          <w:szCs w:val="24"/>
          <w:lang w:val="ro-RO"/>
        </w:rPr>
        <w:t xml:space="preserve"> (Accessed: 29 January 2025).</w:t>
      </w:r>
    </w:p>
    <w:p w14:paraId="49F29660" w14:textId="28B63C5C"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Cuskelly, G., Fredline, L., Kim, E., Barry, S. and Kappelides, P. (2020)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Volunteer selection at a major sport event: A strategic Human Resource Management approach</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Sport Management Review</w:t>
      </w:r>
      <w:r w:rsidRPr="00D576C7">
        <w:rPr>
          <w:rFonts w:ascii="Times New Roman" w:hAnsi="Times New Roman"/>
          <w:sz w:val="24"/>
          <w:szCs w:val="24"/>
          <w:lang w:val="ro-RO"/>
        </w:rPr>
        <w:t xml:space="preserve">, 24(1), pp. 116–133.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13" w:tgtFrame="_new" w:history="1">
        <w:r w:rsidRPr="00D576C7">
          <w:rPr>
            <w:rStyle w:val="Hyperlink"/>
            <w:rFonts w:ascii="Times New Roman" w:hAnsi="Times New Roman"/>
            <w:sz w:val="24"/>
            <w:szCs w:val="24"/>
            <w:lang w:val="ro-RO"/>
          </w:rPr>
          <w:t>https://research-repository.griffith.edu.au/server/api/core/bitstreams/0b979b85-8c25-4edf-95b3-09a74a456a18/content</w:t>
        </w:r>
      </w:hyperlink>
      <w:r w:rsidRPr="00D576C7">
        <w:rPr>
          <w:rFonts w:ascii="Times New Roman" w:hAnsi="Times New Roman"/>
          <w:sz w:val="24"/>
          <w:szCs w:val="24"/>
          <w:lang w:val="ro-RO"/>
        </w:rPr>
        <w:t xml:space="preserve"> (Accessed: 21 January 2025).</w:t>
      </w:r>
    </w:p>
    <w:p w14:paraId="7A7FB936" w14:textId="28F90152"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lastRenderedPageBreak/>
        <w:t xml:space="preserve">Equality and Human Rights Commission (2023)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UK government failing to protect disabled people, warns equality watchdog report</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00E96192" w:rsidRPr="00D576C7">
        <w:rPr>
          <w:rFonts w:ascii="Times New Roman" w:hAnsi="Times New Roman"/>
          <w:sz w:val="24"/>
          <w:szCs w:val="24"/>
          <w:lang w:val="ro-RO"/>
        </w:rPr>
        <w:t xml:space="preserve"> </w:t>
      </w:r>
      <w:r w:rsidR="00E96192" w:rsidRPr="00D576C7">
        <w:rPr>
          <w:rFonts w:ascii="Times New Roman" w:hAnsi="Times New Roman"/>
          <w:sz w:val="24"/>
          <w:szCs w:val="24"/>
        </w:rPr>
        <w:t>[Online].</w:t>
      </w:r>
      <w:r w:rsidRPr="00D576C7">
        <w:rPr>
          <w:rFonts w:ascii="Times New Roman" w:hAnsi="Times New Roman"/>
          <w:sz w:val="24"/>
          <w:szCs w:val="24"/>
          <w:lang w:val="ro-RO"/>
        </w:rPr>
        <w:t xml:space="preserve"> Available at: </w:t>
      </w:r>
      <w:hyperlink r:id="rId14" w:tgtFrame="_new" w:history="1">
        <w:r w:rsidRPr="00D576C7">
          <w:rPr>
            <w:rStyle w:val="Hyperlink"/>
            <w:rFonts w:ascii="Times New Roman" w:hAnsi="Times New Roman"/>
            <w:sz w:val="24"/>
            <w:szCs w:val="24"/>
            <w:lang w:val="ro-RO"/>
          </w:rPr>
          <w:t>https://www.equalityhumanrights.com/uk-government-failing-protect-disabled-people-warns-equality-watchdog-report</w:t>
        </w:r>
      </w:hyperlink>
      <w:r w:rsidRPr="00D576C7">
        <w:rPr>
          <w:rFonts w:ascii="Times New Roman" w:hAnsi="Times New Roman"/>
          <w:sz w:val="24"/>
          <w:szCs w:val="24"/>
          <w:lang w:val="ro-RO"/>
        </w:rPr>
        <w:t xml:space="preserve"> (Accessed: 20 January 2025).</w:t>
      </w:r>
    </w:p>
    <w:p w14:paraId="10F152BE" w14:textId="73B47815"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Evennett, H. (2022)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The Equality Act 2010: Impact on disabled people. House of Lords Library</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00E96192" w:rsidRPr="00D576C7">
        <w:rPr>
          <w:rFonts w:ascii="Times New Roman" w:hAnsi="Times New Roman"/>
          <w:sz w:val="24"/>
          <w:szCs w:val="24"/>
          <w:lang w:val="ro-RO"/>
        </w:rPr>
        <w:t xml:space="preserve"> </w:t>
      </w:r>
      <w:r w:rsidR="00E96192" w:rsidRPr="00D576C7">
        <w:rPr>
          <w:rFonts w:ascii="Times New Roman" w:hAnsi="Times New Roman"/>
          <w:sz w:val="24"/>
          <w:szCs w:val="24"/>
        </w:rPr>
        <w:t>[Online].</w:t>
      </w:r>
      <w:r w:rsidRPr="00D576C7">
        <w:rPr>
          <w:rFonts w:ascii="Times New Roman" w:hAnsi="Times New Roman"/>
          <w:sz w:val="24"/>
          <w:szCs w:val="24"/>
          <w:lang w:val="ro-RO"/>
        </w:rPr>
        <w:t xml:space="preserve"> Available at: </w:t>
      </w:r>
      <w:hyperlink r:id="rId15" w:tgtFrame="_new" w:history="1">
        <w:r w:rsidRPr="00D576C7">
          <w:rPr>
            <w:rStyle w:val="Hyperlink"/>
            <w:rFonts w:ascii="Times New Roman" w:hAnsi="Times New Roman"/>
            <w:sz w:val="24"/>
            <w:szCs w:val="24"/>
            <w:lang w:val="ro-RO"/>
          </w:rPr>
          <w:t>https://lordslibrary.parliament.uk/the-equality-act-2010-impact-on-disabled-people/</w:t>
        </w:r>
      </w:hyperlink>
      <w:r w:rsidRPr="00D576C7">
        <w:rPr>
          <w:rFonts w:ascii="Times New Roman" w:hAnsi="Times New Roman"/>
          <w:sz w:val="24"/>
          <w:szCs w:val="24"/>
          <w:lang w:val="ro-RO"/>
        </w:rPr>
        <w:t xml:space="preserve"> (Accessed: 20 January 2025).</w:t>
      </w:r>
    </w:p>
    <w:p w14:paraId="14FFFBE6" w14:textId="6D6FC0E7"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ExCeL London (n.d.)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ExCeL London</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00E96192" w:rsidRPr="00D576C7">
        <w:rPr>
          <w:rFonts w:ascii="Times New Roman" w:hAnsi="Times New Roman"/>
          <w:i/>
          <w:iCs/>
          <w:sz w:val="24"/>
          <w:szCs w:val="24"/>
          <w:lang w:val="ro-RO"/>
        </w:rPr>
        <w:t xml:space="preserve"> </w:t>
      </w:r>
      <w:r w:rsidR="00E96192" w:rsidRPr="00D576C7">
        <w:rPr>
          <w:rFonts w:ascii="Times New Roman" w:hAnsi="Times New Roman"/>
          <w:sz w:val="24"/>
          <w:szCs w:val="24"/>
        </w:rPr>
        <w:t>[Online].</w:t>
      </w:r>
      <w:r w:rsidRPr="00D576C7">
        <w:rPr>
          <w:rFonts w:ascii="Times New Roman" w:hAnsi="Times New Roman"/>
          <w:sz w:val="24"/>
          <w:szCs w:val="24"/>
          <w:lang w:val="ro-RO"/>
        </w:rPr>
        <w:t xml:space="preserve"> Available at: </w:t>
      </w:r>
      <w:hyperlink r:id="rId16" w:tgtFrame="_new" w:history="1">
        <w:r w:rsidRPr="00D576C7">
          <w:rPr>
            <w:rStyle w:val="Hyperlink"/>
            <w:rFonts w:ascii="Times New Roman" w:hAnsi="Times New Roman"/>
            <w:sz w:val="24"/>
            <w:szCs w:val="24"/>
            <w:lang w:val="ro-RO"/>
          </w:rPr>
          <w:t>https://www.excel.london/</w:t>
        </w:r>
      </w:hyperlink>
      <w:r w:rsidRPr="00D576C7">
        <w:rPr>
          <w:rFonts w:ascii="Times New Roman" w:hAnsi="Times New Roman"/>
          <w:sz w:val="24"/>
          <w:szCs w:val="24"/>
          <w:lang w:val="ro-RO"/>
        </w:rPr>
        <w:t xml:space="preserve"> (Accessed: 20 January 2025).</w:t>
      </w:r>
    </w:p>
    <w:p w14:paraId="3B6F54DC" w14:textId="35E8CFB5" w:rsidR="008864E4" w:rsidRPr="00D576C7" w:rsidRDefault="008864E4" w:rsidP="00D576C7">
      <w:pPr>
        <w:pStyle w:val="ListParagraph"/>
        <w:numPr>
          <w:ilvl w:val="0"/>
          <w:numId w:val="11"/>
        </w:numPr>
        <w:spacing w:line="360" w:lineRule="auto"/>
        <w:jc w:val="both"/>
        <w:rPr>
          <w:rFonts w:ascii="Times New Roman" w:hAnsi="Times New Roman"/>
          <w:sz w:val="24"/>
          <w:szCs w:val="24"/>
        </w:rPr>
      </w:pPr>
      <w:r w:rsidRPr="00D576C7">
        <w:rPr>
          <w:rFonts w:ascii="Times New Roman" w:hAnsi="Times New Roman"/>
          <w:sz w:val="24"/>
          <w:szCs w:val="24"/>
        </w:rPr>
        <w:t xml:space="preserve">Freitas, L.D.A., Schotten, P.C., Fachin, S., Eduardo, A.S. and Silveira, V.C. (2024) </w:t>
      </w:r>
      <w:r w:rsidR="00DF5ADF" w:rsidRPr="00DF5ADF">
        <w:rPr>
          <w:rFonts w:ascii="Times New Roman" w:hAnsi="Times New Roman"/>
          <w:i/>
          <w:iCs/>
          <w:sz w:val="24"/>
          <w:szCs w:val="24"/>
          <w:lang w:val="en-GB"/>
        </w:rPr>
        <w:t>“</w:t>
      </w:r>
      <w:r w:rsidRPr="00DF5ADF">
        <w:rPr>
          <w:rFonts w:ascii="Times New Roman" w:hAnsi="Times New Roman"/>
          <w:i/>
          <w:iCs/>
          <w:sz w:val="24"/>
          <w:szCs w:val="24"/>
        </w:rPr>
        <w:t>The strategic planning process as an organizational tool</w:t>
      </w:r>
      <w:r w:rsidR="00DF5ADF" w:rsidRPr="00DF5ADF">
        <w:rPr>
          <w:rFonts w:ascii="Times New Roman" w:hAnsi="Times New Roman"/>
          <w:i/>
          <w:iCs/>
          <w:sz w:val="24"/>
          <w:szCs w:val="24"/>
          <w:lang w:val="en-GB"/>
        </w:rPr>
        <w:t>”</w:t>
      </w:r>
      <w:r w:rsidRPr="00D576C7">
        <w:rPr>
          <w:rFonts w:ascii="Times New Roman" w:hAnsi="Times New Roman"/>
          <w:sz w:val="24"/>
          <w:szCs w:val="24"/>
        </w:rPr>
        <w:t xml:space="preserve">, </w:t>
      </w:r>
      <w:r w:rsidRPr="00D576C7">
        <w:rPr>
          <w:rFonts w:ascii="Times New Roman" w:hAnsi="Times New Roman"/>
          <w:i/>
          <w:iCs/>
          <w:sz w:val="24"/>
          <w:szCs w:val="24"/>
        </w:rPr>
        <w:t>International Journal of Scientific Management and Tourism</w:t>
      </w:r>
      <w:r w:rsidRPr="00D576C7">
        <w:rPr>
          <w:rFonts w:ascii="Times New Roman" w:hAnsi="Times New Roman"/>
          <w:sz w:val="24"/>
          <w:szCs w:val="24"/>
        </w:rPr>
        <w:t xml:space="preserve">, 10(2), pp. 1-20. DOI: </w:t>
      </w:r>
      <w:hyperlink r:id="rId17" w:tgtFrame="_new" w:history="1">
        <w:r w:rsidRPr="00D576C7">
          <w:rPr>
            <w:rStyle w:val="Hyperlink"/>
            <w:rFonts w:ascii="Times New Roman" w:hAnsi="Times New Roman"/>
            <w:sz w:val="24"/>
            <w:szCs w:val="24"/>
          </w:rPr>
          <w:t>10.55905/ijsmtv10n2-003</w:t>
        </w:r>
      </w:hyperlink>
      <w:r w:rsidRPr="00D576C7">
        <w:rPr>
          <w:rFonts w:ascii="Times New Roman" w:hAnsi="Times New Roman"/>
          <w:sz w:val="24"/>
          <w:szCs w:val="24"/>
        </w:rPr>
        <w:t xml:space="preserve"> (Accessed: 10 February 2025).</w:t>
      </w:r>
    </w:p>
    <w:p w14:paraId="39175F81" w14:textId="3F751105"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Getz, D. and Page, S.J. (2024)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Event Studies: Theory and Management for Planned Events</w:t>
      </w:r>
      <w:r w:rsidR="00DF5ADF" w:rsidRPr="00DF5ADF">
        <w:rPr>
          <w:rFonts w:ascii="Times New Roman" w:hAnsi="Times New Roman"/>
          <w:i/>
          <w:iCs/>
          <w:sz w:val="24"/>
          <w:szCs w:val="24"/>
          <w:lang w:val="en-GB"/>
        </w:rPr>
        <w:t>”</w:t>
      </w:r>
      <w:r w:rsidRPr="00D576C7">
        <w:rPr>
          <w:rFonts w:ascii="Times New Roman" w:hAnsi="Times New Roman"/>
          <w:i/>
          <w:iCs/>
          <w:sz w:val="24"/>
          <w:szCs w:val="24"/>
          <w:lang w:val="ro-RO"/>
        </w:rPr>
        <w:t>.</w:t>
      </w:r>
      <w:r w:rsidRPr="00D576C7">
        <w:rPr>
          <w:rFonts w:ascii="Times New Roman" w:hAnsi="Times New Roman"/>
          <w:sz w:val="24"/>
          <w:szCs w:val="24"/>
          <w:lang w:val="ro-RO"/>
        </w:rPr>
        <w:t xml:space="preserve"> 5th edn. Abingdon, Oxon: Routledge. DOI: 10.4324/9781003374251. (Accessed: 25 February 2025).</w:t>
      </w:r>
    </w:p>
    <w:p w14:paraId="50B79AB3" w14:textId="62F09074"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Groșoiu, G. (2024)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Analiza SWOT pentru afacere: de ce este importantă și cum o poți realiza</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Edenred România</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18" w:tgtFrame="_new" w:history="1">
        <w:r w:rsidRPr="00D576C7">
          <w:rPr>
            <w:rStyle w:val="Hyperlink"/>
            <w:rFonts w:ascii="Times New Roman" w:hAnsi="Times New Roman"/>
            <w:sz w:val="24"/>
            <w:szCs w:val="24"/>
            <w:lang w:val="ro-RO"/>
          </w:rPr>
          <w:t>https://www.edenred.ro/ro/blog/business-antreprenoriat/analiza-swot-pentru-afacere-de-ce-este-importanta</w:t>
        </w:r>
      </w:hyperlink>
      <w:r w:rsidRPr="00D576C7">
        <w:rPr>
          <w:rFonts w:ascii="Times New Roman" w:hAnsi="Times New Roman"/>
          <w:sz w:val="24"/>
          <w:szCs w:val="24"/>
          <w:lang w:val="ro-RO"/>
        </w:rPr>
        <w:t xml:space="preserve"> (Accessed: 22 January 2025).</w:t>
      </w:r>
    </w:p>
    <w:p w14:paraId="2EB69FC4" w14:textId="2BB94701"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Hepple, B. (2011)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The New Single Equality Act in Britain</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The Equal Rights Review</w:t>
      </w:r>
      <w:r w:rsidRPr="00D576C7">
        <w:rPr>
          <w:rFonts w:ascii="Times New Roman" w:hAnsi="Times New Roman"/>
          <w:sz w:val="24"/>
          <w:szCs w:val="24"/>
          <w:lang w:val="ro-RO"/>
        </w:rPr>
        <w:t xml:space="preserve">, 5, pp. 11-24.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19" w:tgtFrame="_new" w:history="1">
        <w:r w:rsidRPr="00D576C7">
          <w:rPr>
            <w:rStyle w:val="Hyperlink"/>
            <w:rFonts w:ascii="Times New Roman" w:hAnsi="Times New Roman"/>
            <w:sz w:val="24"/>
            <w:szCs w:val="24"/>
            <w:lang w:val="ro-RO"/>
          </w:rPr>
          <w:t>https://www.equalrightstrust.org/ertdocumentbank/err5_hepple.pdf</w:t>
        </w:r>
      </w:hyperlink>
      <w:r w:rsidRPr="00D576C7">
        <w:rPr>
          <w:rFonts w:ascii="Times New Roman" w:hAnsi="Times New Roman"/>
          <w:sz w:val="24"/>
          <w:szCs w:val="24"/>
          <w:lang w:val="ro-RO"/>
        </w:rPr>
        <w:t xml:space="preserve"> (Accessed: 10 February 2025).</w:t>
      </w:r>
    </w:p>
    <w:p w14:paraId="2F1BFAC5" w14:textId="53AAB5C7"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Higgins-Desbiolles, F. (2024</w:t>
      </w:r>
      <w:r w:rsidRPr="00DF5ADF">
        <w:rPr>
          <w:rFonts w:ascii="Times New Roman" w:hAnsi="Times New Roman"/>
          <w:i/>
          <w:iCs/>
          <w:sz w:val="24"/>
          <w:szCs w:val="24"/>
          <w:lang w:val="ro-RO"/>
        </w:rPr>
        <w:t>) “The (In)visibility of Equality, Diversity, and Inclusion Research in Events Management Journals: The Vital Need to Emphasize Justice</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Event Management</w:t>
      </w:r>
      <w:r w:rsidRPr="00D576C7">
        <w:rPr>
          <w:rFonts w:ascii="Times New Roman" w:hAnsi="Times New Roman"/>
          <w:sz w:val="24"/>
          <w:szCs w:val="24"/>
          <w:lang w:val="ro-RO"/>
        </w:rPr>
        <w:t xml:space="preserve">, 28, pp. 329–334.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0" w:tgtFrame="_new" w:history="1">
        <w:r w:rsidRPr="00D576C7">
          <w:rPr>
            <w:rStyle w:val="Hyperlink"/>
            <w:rFonts w:ascii="Times New Roman" w:hAnsi="Times New Roman"/>
            <w:sz w:val="24"/>
            <w:szCs w:val="24"/>
            <w:lang w:val="ro-RO"/>
          </w:rPr>
          <w:t>https://doi.org/10.3727/152599523X16907613842291</w:t>
        </w:r>
      </w:hyperlink>
      <w:r w:rsidRPr="00D576C7">
        <w:rPr>
          <w:rFonts w:ascii="Times New Roman" w:hAnsi="Times New Roman"/>
          <w:sz w:val="24"/>
          <w:szCs w:val="24"/>
          <w:lang w:val="ro-RO"/>
        </w:rPr>
        <w:t xml:space="preserve"> (Accessed: 23 January 2025).</w:t>
      </w:r>
    </w:p>
    <w:p w14:paraId="5F7025DD" w14:textId="7C2D4AE1"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Impact Match (2025)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ActionAble</w:t>
      </w:r>
      <w:r w:rsidR="00DF5ADF" w:rsidRPr="00DF5ADF">
        <w:rPr>
          <w:rFonts w:ascii="Times New Roman" w:hAnsi="Times New Roman"/>
          <w:i/>
          <w:iCs/>
          <w:sz w:val="24"/>
          <w:szCs w:val="24"/>
          <w:lang w:val="en-GB"/>
        </w:rPr>
        <w:t>”</w:t>
      </w:r>
      <w:r w:rsidRPr="00D576C7">
        <w:rPr>
          <w:rFonts w:ascii="Times New Roman" w:hAnsi="Times New Roman"/>
          <w:sz w:val="24"/>
          <w:szCs w:val="24"/>
          <w:lang w:val="ro-RO"/>
        </w:rPr>
        <w:t xml:space="preserve"> </w:t>
      </w:r>
      <w:r w:rsidR="00DF5ADF" w:rsidRPr="00D576C7">
        <w:rPr>
          <w:rFonts w:ascii="Times New Roman" w:hAnsi="Times New Roman"/>
          <w:sz w:val="24"/>
          <w:szCs w:val="24"/>
        </w:rPr>
        <w:t>[Online].</w:t>
      </w:r>
      <w:r w:rsidRPr="00D576C7">
        <w:rPr>
          <w:rFonts w:ascii="Times New Roman" w:hAnsi="Times New Roman"/>
          <w:sz w:val="24"/>
          <w:szCs w:val="24"/>
          <w:lang w:val="ro-RO"/>
        </w:rPr>
        <w:t xml:space="preserve"> Available at: </w:t>
      </w:r>
      <w:hyperlink r:id="rId21" w:tgtFrame="_new" w:history="1">
        <w:r w:rsidRPr="00D576C7">
          <w:rPr>
            <w:rStyle w:val="Hyperlink"/>
            <w:rFonts w:ascii="Times New Roman" w:hAnsi="Times New Roman"/>
            <w:sz w:val="24"/>
            <w:szCs w:val="24"/>
            <w:lang w:val="ro-RO"/>
          </w:rPr>
          <w:t>https://impactmatch.global/event/actionable-2025/</w:t>
        </w:r>
      </w:hyperlink>
      <w:r w:rsidRPr="00D576C7">
        <w:rPr>
          <w:rFonts w:ascii="Times New Roman" w:hAnsi="Times New Roman"/>
          <w:sz w:val="24"/>
          <w:szCs w:val="24"/>
          <w:lang w:val="ro-RO"/>
        </w:rPr>
        <w:t xml:space="preserve"> (Accessed: 29 January 2025).</w:t>
      </w:r>
    </w:p>
    <w:p w14:paraId="6C69885E" w14:textId="61DE3056"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International Disability Alliance (2022)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Global Disability Summit 2022</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2" w:tgtFrame="_new" w:history="1">
        <w:r w:rsidRPr="00D576C7">
          <w:rPr>
            <w:rStyle w:val="Hyperlink"/>
            <w:rFonts w:ascii="Times New Roman" w:hAnsi="Times New Roman"/>
            <w:sz w:val="24"/>
            <w:szCs w:val="24"/>
            <w:lang w:val="ro-RO"/>
          </w:rPr>
          <w:t>https://www.internationaldisabilityalliance.org/content/global-disability-summit</w:t>
        </w:r>
      </w:hyperlink>
      <w:r w:rsidRPr="00D576C7">
        <w:rPr>
          <w:rFonts w:ascii="Times New Roman" w:hAnsi="Times New Roman"/>
          <w:sz w:val="24"/>
          <w:szCs w:val="24"/>
          <w:lang w:val="ro-RO"/>
        </w:rPr>
        <w:t xml:space="preserve"> (Accessed: 10 February 2025).</w:t>
      </w:r>
    </w:p>
    <w:p w14:paraId="27A16C5F" w14:textId="68F8C849"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lastRenderedPageBreak/>
        <w:t xml:space="preserve">Morgan, J. (2020)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How AccorHotels CEO Sébastien Bazin leads across generations</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3" w:tgtFrame="_new" w:history="1">
        <w:r w:rsidRPr="00D576C7">
          <w:rPr>
            <w:rStyle w:val="Hyperlink"/>
            <w:rFonts w:ascii="Times New Roman" w:hAnsi="Times New Roman"/>
            <w:sz w:val="24"/>
            <w:szCs w:val="24"/>
            <w:lang w:val="ro-RO"/>
          </w:rPr>
          <w:t>https://medium.com/jacob-morgan/how-accorhotels-ceo-s%C3%A9bastien-bazin-leads-across-generations-62ef38baa83c</w:t>
        </w:r>
      </w:hyperlink>
      <w:r w:rsidRPr="00D576C7">
        <w:rPr>
          <w:rFonts w:ascii="Times New Roman" w:hAnsi="Times New Roman"/>
          <w:sz w:val="24"/>
          <w:szCs w:val="24"/>
          <w:lang w:val="ro-RO"/>
        </w:rPr>
        <w:t xml:space="preserve"> (Accessed: 26 January 2025).</w:t>
      </w:r>
    </w:p>
    <w:p w14:paraId="76C7337A" w14:textId="4CA36378"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Nagtegaal, R., de Boer, N., van Berkel, R., Derks, B. and Tummers, L. (2023)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Why Do Employers (Fail to) Hire People with Disabilities? A Systematic Review of Capabilities, Opportunities and Motivations</w:t>
      </w:r>
      <w:r w:rsidR="00DF5ADF" w:rsidRPr="00DF5ADF">
        <w:rPr>
          <w:rFonts w:ascii="Times New Roman" w:hAnsi="Times New Roman"/>
          <w:i/>
          <w:iCs/>
          <w:sz w:val="24"/>
          <w:szCs w:val="24"/>
          <w:lang w:val="en-GB"/>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Journal of Occupational Rehabilitation</w:t>
      </w:r>
      <w:r w:rsidRPr="00D576C7">
        <w:rPr>
          <w:rFonts w:ascii="Times New Roman" w:hAnsi="Times New Roman"/>
          <w:sz w:val="24"/>
          <w:szCs w:val="24"/>
          <w:lang w:val="ro-RO"/>
        </w:rPr>
        <w:t xml:space="preserve">, 33(2), pp. 329-340.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4" w:tgtFrame="_new" w:history="1">
        <w:r w:rsidRPr="00D576C7">
          <w:rPr>
            <w:rStyle w:val="Hyperlink"/>
            <w:rFonts w:ascii="Times New Roman" w:hAnsi="Times New Roman"/>
            <w:sz w:val="24"/>
            <w:szCs w:val="24"/>
            <w:lang w:val="ro-RO"/>
          </w:rPr>
          <w:t>https://pmc.ncbi.nlm.nih.gov/articles/PMC10172218/</w:t>
        </w:r>
      </w:hyperlink>
      <w:r w:rsidRPr="00D576C7">
        <w:rPr>
          <w:rFonts w:ascii="Times New Roman" w:hAnsi="Times New Roman"/>
          <w:sz w:val="24"/>
          <w:szCs w:val="24"/>
          <w:lang w:val="ro-RO"/>
        </w:rPr>
        <w:t xml:space="preserve"> (Accessed: 10 February 2025).</w:t>
      </w:r>
    </w:p>
    <w:p w14:paraId="530ECDA6" w14:textId="32A4CC1E"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Napontun, K., Lertwachara, K., Chutiphongdech, T., Senachai, P. and Wattanawaraporn, R. (2023)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Captivating Spectators: Exploring the Influence of Marketing Mix Elements on Sports Event Engagement</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ABAC Journal</w:t>
      </w:r>
      <w:r w:rsidRPr="00D576C7">
        <w:rPr>
          <w:rFonts w:ascii="Times New Roman" w:hAnsi="Times New Roman"/>
          <w:sz w:val="24"/>
          <w:szCs w:val="24"/>
          <w:lang w:val="ro-RO"/>
        </w:rPr>
        <w:t xml:space="preserve">, 43(3), pp. 286-306.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5" w:tgtFrame="_new" w:history="1">
        <w:r w:rsidRPr="00D576C7">
          <w:rPr>
            <w:rStyle w:val="Hyperlink"/>
            <w:rFonts w:ascii="Times New Roman" w:hAnsi="Times New Roman"/>
            <w:sz w:val="24"/>
            <w:szCs w:val="24"/>
            <w:lang w:val="ro-RO"/>
          </w:rPr>
          <w:t>https://www.researchgate.net/publication/373152555</w:t>
        </w:r>
      </w:hyperlink>
      <w:r w:rsidRPr="00D576C7">
        <w:rPr>
          <w:rFonts w:ascii="Times New Roman" w:hAnsi="Times New Roman"/>
          <w:sz w:val="24"/>
          <w:szCs w:val="24"/>
          <w:lang w:val="ro-RO"/>
        </w:rPr>
        <w:t xml:space="preserve"> (Accessed: 25 February 2025).</w:t>
      </w:r>
    </w:p>
    <w:p w14:paraId="79F43CBB" w14:textId="77376BBE"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Nechita, F. (coord.) (2022)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Tehnici promoționale: Studii de caz. Cluj-Napoca: Presa Universitară Clujeană</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6" w:tgtFrame="_new" w:history="1">
        <w:r w:rsidRPr="00D576C7">
          <w:rPr>
            <w:rStyle w:val="Hyperlink"/>
            <w:rFonts w:ascii="Times New Roman" w:hAnsi="Times New Roman"/>
            <w:sz w:val="24"/>
            <w:szCs w:val="24"/>
            <w:lang w:val="ro-RO"/>
          </w:rPr>
          <w:t>https://www.researchgate.net/publication/358906663_Tehnici_promotionale_studii_de_caz</w:t>
        </w:r>
      </w:hyperlink>
      <w:r w:rsidRPr="00D576C7">
        <w:rPr>
          <w:rFonts w:ascii="Times New Roman" w:hAnsi="Times New Roman"/>
          <w:sz w:val="24"/>
          <w:szCs w:val="24"/>
          <w:lang w:val="ro-RO"/>
        </w:rPr>
        <w:t xml:space="preserve"> (Accessed: 10 February 2025).</w:t>
      </w:r>
    </w:p>
    <w:p w14:paraId="29CAD390" w14:textId="7A901B89"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New Light Digital (2024)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Servicii marketing online – Cât costă în 2025</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New Light Digital Blog</w:t>
      </w:r>
      <w:r w:rsidRPr="00D576C7">
        <w:rPr>
          <w:rFonts w:ascii="Times New Roman" w:hAnsi="Times New Roman"/>
          <w:sz w:val="24"/>
          <w:szCs w:val="24"/>
          <w:lang w:val="ro-RO"/>
        </w:rPr>
        <w:t xml:space="preserve">, 2 December.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7" w:tgtFrame="_new" w:history="1">
        <w:r w:rsidRPr="00D576C7">
          <w:rPr>
            <w:rStyle w:val="Hyperlink"/>
            <w:rFonts w:ascii="Times New Roman" w:hAnsi="Times New Roman"/>
            <w:sz w:val="24"/>
            <w:szCs w:val="24"/>
            <w:lang w:val="ro-RO"/>
          </w:rPr>
          <w:t>https://newlightdigital.com/ro/blog/preturi-pentru-serviciile-de-marketing-digital/</w:t>
        </w:r>
      </w:hyperlink>
      <w:r w:rsidRPr="00D576C7">
        <w:rPr>
          <w:rFonts w:ascii="Times New Roman" w:hAnsi="Times New Roman"/>
          <w:sz w:val="24"/>
          <w:szCs w:val="24"/>
          <w:lang w:val="ro-RO"/>
        </w:rPr>
        <w:t xml:space="preserve"> (Accessed: 29 January 2025).</w:t>
      </w:r>
    </w:p>
    <w:p w14:paraId="6522F814" w14:textId="33DA87A7"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NHS Employers (2025) </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Disability Summit 2025</w:t>
      </w:r>
      <w:r w:rsidR="00DF5ADF" w:rsidRPr="00DF5ADF">
        <w:rPr>
          <w:rFonts w:ascii="Times New Roman" w:hAnsi="Times New Roman"/>
          <w:i/>
          <w:iCs/>
          <w:sz w:val="24"/>
          <w:szCs w:val="24"/>
          <w:lang w:val="en-GB"/>
        </w:rPr>
        <w:t>”</w:t>
      </w:r>
      <w:r w:rsidRPr="00DF5ADF">
        <w:rPr>
          <w:rFonts w:ascii="Times New Roman" w:hAnsi="Times New Roman"/>
          <w:i/>
          <w:iCs/>
          <w:sz w:val="24"/>
          <w:szCs w:val="24"/>
          <w:lang w:val="ro-RO"/>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8" w:tgtFrame="_new" w:history="1">
        <w:r w:rsidRPr="00D576C7">
          <w:rPr>
            <w:rStyle w:val="Hyperlink"/>
            <w:rFonts w:ascii="Times New Roman" w:hAnsi="Times New Roman"/>
            <w:sz w:val="24"/>
            <w:szCs w:val="24"/>
            <w:lang w:val="ro-RO"/>
          </w:rPr>
          <w:t>https://www.nhsemployers.org/events/disability-summit-2025</w:t>
        </w:r>
      </w:hyperlink>
      <w:r w:rsidRPr="00D576C7">
        <w:rPr>
          <w:rFonts w:ascii="Times New Roman" w:hAnsi="Times New Roman"/>
          <w:sz w:val="24"/>
          <w:szCs w:val="24"/>
          <w:lang w:val="ro-RO"/>
        </w:rPr>
        <w:t xml:space="preserve"> (Accessed: 29 January 2025).</w:t>
      </w:r>
    </w:p>
    <w:p w14:paraId="0993FD06" w14:textId="3041BE65"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Omodan, B.I. and Abejide, S.O. (2022)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Reconstructing Abraham Maslow’s hierarchy of needs towards inclusive infrastructure development needs assessment</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Journal of Infrastructure, Policy and Development</w:t>
      </w:r>
      <w:r w:rsidRPr="00D576C7">
        <w:rPr>
          <w:rFonts w:ascii="Times New Roman" w:hAnsi="Times New Roman"/>
          <w:sz w:val="24"/>
          <w:szCs w:val="24"/>
          <w:lang w:val="ro-RO"/>
        </w:rPr>
        <w:t xml:space="preserve">, 6(2), pp. 1-9.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29" w:tgtFrame="_new" w:history="1">
        <w:r w:rsidRPr="00D576C7">
          <w:rPr>
            <w:rStyle w:val="Hyperlink"/>
            <w:rFonts w:ascii="Times New Roman" w:hAnsi="Times New Roman"/>
            <w:sz w:val="24"/>
            <w:szCs w:val="24"/>
            <w:lang w:val="ro-RO"/>
          </w:rPr>
          <w:t>https://www.researchgate.net/publication/362930587</w:t>
        </w:r>
      </w:hyperlink>
      <w:r w:rsidRPr="00D576C7">
        <w:rPr>
          <w:rFonts w:ascii="Times New Roman" w:hAnsi="Times New Roman"/>
          <w:sz w:val="24"/>
          <w:szCs w:val="24"/>
          <w:lang w:val="ro-RO"/>
        </w:rPr>
        <w:t xml:space="preserve"> (Accessed: 25 February 2025).</w:t>
      </w:r>
    </w:p>
    <w:p w14:paraId="0D5E75EC" w14:textId="46BB1991"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Oshimi, D., Taks, M. and Agha, N. (2023)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Social impact of events: advancing insights on social impact scales</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European Sport Management Quarterly</w:t>
      </w:r>
      <w:r w:rsidRPr="00D576C7">
        <w:rPr>
          <w:rFonts w:ascii="Times New Roman" w:hAnsi="Times New Roman"/>
          <w:sz w:val="24"/>
          <w:szCs w:val="24"/>
          <w:lang w:val="ro-RO"/>
        </w:rPr>
        <w:t>, 23(6), pp. 1843-1862. DOI: 10.1080/16184742.2022.2076891 (Accessed: 25 February 2025).</w:t>
      </w:r>
    </w:p>
    <w:p w14:paraId="7BDE8EAF" w14:textId="12D0A745"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Prisăcaru, V. (2020)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 xml:space="preserve">Managementul proiectelor: Note de curs. Chișinău: Universitatea de Stat din Moldova, Facultatea Științe Economice, Departamentul </w:t>
      </w:r>
      <w:r w:rsidRPr="00FE5044">
        <w:rPr>
          <w:rFonts w:ascii="Times New Roman" w:hAnsi="Times New Roman"/>
          <w:i/>
          <w:iCs/>
          <w:sz w:val="24"/>
          <w:szCs w:val="24"/>
          <w:lang w:val="ro-RO"/>
        </w:rPr>
        <w:lastRenderedPageBreak/>
        <w:t>Administrarea Afacerilor</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Disponibil la: </w:t>
      </w:r>
      <w:hyperlink r:id="rId30" w:tgtFrame="_new" w:history="1">
        <w:r w:rsidRPr="00D576C7">
          <w:rPr>
            <w:rStyle w:val="Hyperlink"/>
            <w:rFonts w:ascii="Times New Roman" w:hAnsi="Times New Roman"/>
            <w:sz w:val="24"/>
            <w:szCs w:val="24"/>
            <w:lang w:val="ro-RO"/>
          </w:rPr>
          <w:t>https://cmveabratuseni.md/wp-content/uploads/2023/06/%E2%80%9Eelaborarea-%C8%99i-gestiunea-proiectelor.pdf</w:t>
        </w:r>
      </w:hyperlink>
      <w:r w:rsidRPr="00D576C7">
        <w:rPr>
          <w:rFonts w:ascii="Times New Roman" w:hAnsi="Times New Roman"/>
          <w:sz w:val="24"/>
          <w:szCs w:val="24"/>
          <w:lang w:val="ro-RO"/>
        </w:rPr>
        <w:t xml:space="preserve"> (Accessed: 25 February 2025).</w:t>
      </w:r>
    </w:p>
    <w:p w14:paraId="2414D95F" w14:textId="4A0BB0CB"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Schütte, P.M., Schulte, Y., Schmitt, A., Schönefeld, M., Barber, V. and Fiedrich, F. (2024)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Visitor safety and security compliance as a key component of event planning and implementation? Findings from a German research project on COVID-19</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Frontiers in Communications and Networks</w:t>
      </w:r>
      <w:r w:rsidRPr="00D576C7">
        <w:rPr>
          <w:rFonts w:ascii="Times New Roman" w:hAnsi="Times New Roman"/>
          <w:sz w:val="24"/>
          <w:szCs w:val="24"/>
          <w:lang w:val="ro-RO"/>
        </w:rPr>
        <w:t xml:space="preserve">, 5, p. 1368506.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1" w:tgtFrame="_new" w:history="1">
        <w:r w:rsidRPr="00D576C7">
          <w:rPr>
            <w:rStyle w:val="Hyperlink"/>
            <w:rFonts w:ascii="Times New Roman" w:hAnsi="Times New Roman"/>
            <w:sz w:val="24"/>
            <w:szCs w:val="24"/>
            <w:lang w:val="ro-RO"/>
          </w:rPr>
          <w:t>https://www.frontiersin.org/articles/10.3389/frcmn.2024.1368506/full</w:t>
        </w:r>
      </w:hyperlink>
      <w:r w:rsidRPr="00D576C7">
        <w:rPr>
          <w:rFonts w:ascii="Times New Roman" w:hAnsi="Times New Roman"/>
          <w:sz w:val="24"/>
          <w:szCs w:val="24"/>
          <w:lang w:val="ro-RO"/>
        </w:rPr>
        <w:t xml:space="preserve"> (Accessed: 26 February 2025).</w:t>
      </w:r>
    </w:p>
    <w:p w14:paraId="4EE3C67C" w14:textId="7C899264"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Rochin Demong, N.A., Maon, S.N., Zamzuri, N.H., Khir, M.M., Sabar, S. and Abdul Halim, A.H. (2024)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Bibliometrics analysis of event management in the digital era: Challenges and opportunities for event planners</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Information Management and Business Review</w:t>
      </w:r>
      <w:r w:rsidRPr="00D576C7">
        <w:rPr>
          <w:rFonts w:ascii="Times New Roman" w:hAnsi="Times New Roman"/>
          <w:sz w:val="24"/>
          <w:szCs w:val="24"/>
          <w:lang w:val="ro-RO"/>
        </w:rPr>
        <w:t>, 16(3), pp. 53-64.</w:t>
      </w:r>
    </w:p>
    <w:p w14:paraId="13426D00" w14:textId="61145180"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Scope (n.d.)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Support for disabled people</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2" w:tgtFrame="_new" w:history="1">
        <w:r w:rsidRPr="00D576C7">
          <w:rPr>
            <w:rStyle w:val="Hyperlink"/>
            <w:rFonts w:ascii="Times New Roman" w:hAnsi="Times New Roman"/>
            <w:sz w:val="24"/>
            <w:szCs w:val="24"/>
            <w:lang w:val="ro-RO"/>
          </w:rPr>
          <w:t>https://www.scope.org.uk/</w:t>
        </w:r>
      </w:hyperlink>
      <w:r w:rsidRPr="00D576C7">
        <w:rPr>
          <w:rFonts w:ascii="Times New Roman" w:hAnsi="Times New Roman"/>
          <w:sz w:val="24"/>
          <w:szCs w:val="24"/>
          <w:lang w:val="ro-RO"/>
        </w:rPr>
        <w:t xml:space="preserve"> (Accessed: 21 January 2025).</w:t>
      </w:r>
    </w:p>
    <w:p w14:paraId="765C4654" w14:textId="624DD281"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Sedlak, L., Parker, M. and Mills, D.S. (2023)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Public Event Safety: A Review of Standards and Guidance to Protect Workers and the Public</w:t>
      </w:r>
      <w:r w:rsidR="00FE5044" w:rsidRPr="00FE5044">
        <w:rPr>
          <w:rFonts w:ascii="Times New Roman" w:hAnsi="Times New Roman"/>
          <w:i/>
          <w:iCs/>
          <w:sz w:val="24"/>
          <w:szCs w:val="24"/>
          <w:lang w:val="en-GB"/>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The Synergist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3" w:tgtFrame="_new" w:history="1">
        <w:r w:rsidRPr="00D576C7">
          <w:rPr>
            <w:rStyle w:val="Hyperlink"/>
            <w:rFonts w:ascii="Times New Roman" w:hAnsi="Times New Roman"/>
            <w:sz w:val="24"/>
            <w:szCs w:val="24"/>
            <w:lang w:val="ro-RO"/>
          </w:rPr>
          <w:t>https://synergist.aiha.org/202301-public-event-safety</w:t>
        </w:r>
      </w:hyperlink>
      <w:r w:rsidRPr="00D576C7">
        <w:rPr>
          <w:rFonts w:ascii="Times New Roman" w:hAnsi="Times New Roman"/>
          <w:sz w:val="24"/>
          <w:szCs w:val="24"/>
          <w:lang w:val="ro-RO"/>
        </w:rPr>
        <w:t xml:space="preserve"> (Accessed: 26 February 2025).</w:t>
      </w:r>
    </w:p>
    <w:p w14:paraId="4D030099" w14:textId="0F7CAFCC"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Sendino, M. (2024)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How much does it cost to organise an event? Costs and tips for efficient budgeting</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Eventscase</w:t>
      </w:r>
      <w:r w:rsidRPr="00D576C7">
        <w:rPr>
          <w:rFonts w:ascii="Times New Roman" w:hAnsi="Times New Roman"/>
          <w:sz w:val="24"/>
          <w:szCs w:val="24"/>
          <w:lang w:val="ro-RO"/>
        </w:rPr>
        <w:t xml:space="preserve">, 9 May.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4" w:tgtFrame="_new" w:history="1">
        <w:r w:rsidRPr="00D576C7">
          <w:rPr>
            <w:rStyle w:val="Hyperlink"/>
            <w:rFonts w:ascii="Times New Roman" w:hAnsi="Times New Roman"/>
            <w:sz w:val="24"/>
            <w:szCs w:val="24"/>
            <w:lang w:val="ro-RO"/>
          </w:rPr>
          <w:t>https://eventscase.com/blog/costs-of-organising-events</w:t>
        </w:r>
      </w:hyperlink>
      <w:r w:rsidRPr="00D576C7">
        <w:rPr>
          <w:rFonts w:ascii="Times New Roman" w:hAnsi="Times New Roman"/>
          <w:sz w:val="24"/>
          <w:szCs w:val="24"/>
          <w:lang w:val="ro-RO"/>
        </w:rPr>
        <w:t xml:space="preserve"> (Accessed: 29 January 2025).</w:t>
      </w:r>
    </w:p>
    <w:p w14:paraId="073ABFA2" w14:textId="3D70D7E9"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Silvers, J.R. (2003) </w:t>
      </w:r>
      <w:r w:rsidR="00DF5ADF" w:rsidRPr="00DF5ADF">
        <w:rPr>
          <w:rFonts w:ascii="Times New Roman" w:hAnsi="Times New Roman"/>
          <w:sz w:val="24"/>
          <w:szCs w:val="24"/>
          <w:lang w:val="en-GB"/>
        </w:rPr>
        <w:t>“</w:t>
      </w:r>
      <w:r w:rsidRPr="00D576C7">
        <w:rPr>
          <w:rFonts w:ascii="Times New Roman" w:hAnsi="Times New Roman"/>
          <w:i/>
          <w:iCs/>
          <w:sz w:val="24"/>
          <w:szCs w:val="24"/>
          <w:lang w:val="ro-RO"/>
        </w:rPr>
        <w:t>Event Management Body of Knowledge Project</w:t>
      </w:r>
      <w:r w:rsidR="00FE5044" w:rsidRPr="00DF5ADF">
        <w:rPr>
          <w:rFonts w:ascii="Times New Roman" w:hAnsi="Times New Roman"/>
          <w:i/>
          <w:iCs/>
          <w:sz w:val="24"/>
          <w:szCs w:val="24"/>
          <w:lang w:val="en-GB"/>
        </w:rPr>
        <w:t>”</w:t>
      </w:r>
      <w:r w:rsidRPr="00D576C7">
        <w:rPr>
          <w:rFonts w:ascii="Times New Roman" w:hAnsi="Times New Roman"/>
          <w:i/>
          <w:iCs/>
          <w:sz w:val="24"/>
          <w:szCs w:val="24"/>
          <w:lang w:val="ro-RO"/>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5" w:tgtFrame="_new" w:history="1">
        <w:r w:rsidRPr="00D576C7">
          <w:rPr>
            <w:rStyle w:val="Hyperlink"/>
            <w:rFonts w:ascii="Times New Roman" w:hAnsi="Times New Roman"/>
            <w:sz w:val="24"/>
            <w:szCs w:val="24"/>
            <w:lang w:val="ro-RO"/>
          </w:rPr>
          <w:t>https://embok.org/juliasilvers/embok/Facets_Aps.html</w:t>
        </w:r>
      </w:hyperlink>
      <w:r w:rsidRPr="00D576C7">
        <w:rPr>
          <w:rFonts w:ascii="Times New Roman" w:hAnsi="Times New Roman"/>
          <w:sz w:val="24"/>
          <w:szCs w:val="24"/>
          <w:lang w:val="ro-RO"/>
        </w:rPr>
        <w:t xml:space="preserve"> (Accessed: 14 February 2025).</w:t>
      </w:r>
    </w:p>
    <w:p w14:paraId="73D6595A" w14:textId="2089D4B5"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Silvers, J.R., Bowdin, G.A.J., O'Toole, W.J. and Nelson, K.B. (2006)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Towards an International Event Management Body of Knowledge (EMBOK)</w:t>
      </w:r>
      <w:r w:rsidR="00FE5044" w:rsidRPr="00FE5044">
        <w:rPr>
          <w:rFonts w:ascii="Times New Roman" w:hAnsi="Times New Roman"/>
          <w:i/>
          <w:iCs/>
          <w:sz w:val="24"/>
          <w:szCs w:val="24"/>
          <w:lang w:val="en-GB"/>
        </w:rPr>
        <w:t xml:space="preserve"> ”</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Event Management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6" w:tgtFrame="_new" w:history="1">
        <w:r w:rsidRPr="00D576C7">
          <w:rPr>
            <w:rStyle w:val="Hyperlink"/>
            <w:rFonts w:ascii="Times New Roman" w:hAnsi="Times New Roman"/>
            <w:sz w:val="24"/>
            <w:szCs w:val="24"/>
            <w:lang w:val="ro-RO"/>
          </w:rPr>
          <w:t>https://www.researchgate.net/publication/233664856_Towards_an_International_Event_Management_Body_of_Knowledge_EMBOK</w:t>
        </w:r>
      </w:hyperlink>
      <w:r w:rsidRPr="00D576C7">
        <w:rPr>
          <w:rFonts w:ascii="Times New Roman" w:hAnsi="Times New Roman"/>
          <w:sz w:val="24"/>
          <w:szCs w:val="24"/>
          <w:lang w:val="ro-RO"/>
        </w:rPr>
        <w:t xml:space="preserve"> (Accessed: 25 February 2025).</w:t>
      </w:r>
    </w:p>
    <w:p w14:paraId="012ED80C" w14:textId="5E3E45B6"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Stofer, K.A. (2024)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Getting Engaged: Facilitating Virtual Events for Maximum Accessibility</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EDIS</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7" w:tgtFrame="_new" w:history="1">
        <w:r w:rsidRPr="00D576C7">
          <w:rPr>
            <w:rStyle w:val="Hyperlink"/>
            <w:rFonts w:ascii="Times New Roman" w:hAnsi="Times New Roman"/>
            <w:sz w:val="24"/>
            <w:szCs w:val="24"/>
            <w:lang w:val="ro-RO"/>
          </w:rPr>
          <w:t>https://pdfs.semanticscholar.org/38ca/4f769d6d4b22106736770c572727c09ea58f.pdf</w:t>
        </w:r>
      </w:hyperlink>
      <w:r w:rsidRPr="00D576C7">
        <w:rPr>
          <w:rFonts w:ascii="Times New Roman" w:hAnsi="Times New Roman"/>
          <w:sz w:val="24"/>
          <w:szCs w:val="24"/>
          <w:lang w:val="ro-RO"/>
        </w:rPr>
        <w:t xml:space="preserve"> (Accessed: 11 February 2025). DOI: 10.32473/edis-WC455-2024.</w:t>
      </w:r>
    </w:p>
    <w:p w14:paraId="7D22EBB1" w14:textId="647B2767"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lastRenderedPageBreak/>
        <w:t xml:space="preserve">Tong, X. (2022)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An exploration of Elinor Ostrom's theory of self-governance: Based on Governing the Commons: The Evolution of Institutions for Collective Action</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Pr="00D576C7">
        <w:rPr>
          <w:rFonts w:ascii="Times New Roman" w:hAnsi="Times New Roman"/>
          <w:i/>
          <w:iCs/>
          <w:sz w:val="24"/>
          <w:szCs w:val="24"/>
          <w:lang w:val="ro-RO"/>
        </w:rPr>
        <w:t>SHS Web of Conferences</w:t>
      </w:r>
      <w:r w:rsidRPr="00D576C7">
        <w:rPr>
          <w:rFonts w:ascii="Times New Roman" w:hAnsi="Times New Roman"/>
          <w:sz w:val="24"/>
          <w:szCs w:val="24"/>
          <w:lang w:val="ro-RO"/>
        </w:rPr>
        <w:t xml:space="preserve">, 148, 01003.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8" w:tgtFrame="_new" w:history="1">
        <w:r w:rsidRPr="00D576C7">
          <w:rPr>
            <w:rStyle w:val="Hyperlink"/>
            <w:rFonts w:ascii="Times New Roman" w:hAnsi="Times New Roman"/>
            <w:sz w:val="24"/>
            <w:szCs w:val="24"/>
            <w:lang w:val="ro-RO"/>
          </w:rPr>
          <w:t>https://doi.org/10.1051/shsconf/202214801003</w:t>
        </w:r>
      </w:hyperlink>
      <w:r w:rsidRPr="00D576C7">
        <w:rPr>
          <w:rFonts w:ascii="Times New Roman" w:hAnsi="Times New Roman"/>
          <w:sz w:val="24"/>
          <w:szCs w:val="24"/>
          <w:lang w:val="ro-RO"/>
        </w:rPr>
        <w:t xml:space="preserve"> (Accessed: 22 January 2025).</w:t>
      </w:r>
    </w:p>
    <w:p w14:paraId="3FB8F35E" w14:textId="63A37694"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UK Government (2024)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The employment of disabled people 2024</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w:t>
      </w:r>
      <w:r w:rsidRPr="00D576C7">
        <w:rPr>
          <w:rFonts w:ascii="Times New Roman" w:hAnsi="Times New Roman"/>
          <w:sz w:val="24"/>
          <w:szCs w:val="24"/>
          <w:lang w:val="ro-RO"/>
        </w:rPr>
        <w:t xml:space="preserve"> </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39" w:tgtFrame="_new" w:history="1">
        <w:r w:rsidRPr="00D576C7">
          <w:rPr>
            <w:rStyle w:val="Hyperlink"/>
            <w:rFonts w:ascii="Times New Roman" w:hAnsi="Times New Roman"/>
            <w:sz w:val="24"/>
            <w:szCs w:val="24"/>
            <w:lang w:val="ro-RO"/>
          </w:rPr>
          <w:t>https://www.gov.uk/government/statistics/the-employment-of-disabled-people-2024/the-employment-of-disabled-people-2024</w:t>
        </w:r>
      </w:hyperlink>
      <w:r w:rsidRPr="00D576C7">
        <w:rPr>
          <w:rFonts w:ascii="Times New Roman" w:hAnsi="Times New Roman"/>
          <w:sz w:val="24"/>
          <w:szCs w:val="24"/>
          <w:lang w:val="ro-RO"/>
        </w:rPr>
        <w:t xml:space="preserve"> (Accessed: 20 January 2025).</w:t>
      </w:r>
    </w:p>
    <w:p w14:paraId="355D2B26" w14:textId="1108F5A4" w:rsidR="008864E4" w:rsidRPr="00D576C7" w:rsidRDefault="008864E4" w:rsidP="00D576C7">
      <w:pPr>
        <w:pStyle w:val="ListParagraph"/>
        <w:numPr>
          <w:ilvl w:val="0"/>
          <w:numId w:val="11"/>
        </w:numPr>
        <w:spacing w:line="360" w:lineRule="auto"/>
        <w:jc w:val="both"/>
        <w:rPr>
          <w:rFonts w:ascii="Times New Roman" w:hAnsi="Times New Roman"/>
          <w:sz w:val="24"/>
          <w:szCs w:val="24"/>
          <w:lang w:val="ro-RO"/>
        </w:rPr>
      </w:pPr>
      <w:r w:rsidRPr="00D576C7">
        <w:rPr>
          <w:rFonts w:ascii="Times New Roman" w:hAnsi="Times New Roman"/>
          <w:sz w:val="24"/>
          <w:szCs w:val="24"/>
          <w:lang w:val="ro-RO"/>
        </w:rPr>
        <w:t xml:space="preserve">UKHospitality (2024) </w:t>
      </w:r>
      <w:r w:rsidR="00DF5ADF" w:rsidRPr="00FE5044">
        <w:rPr>
          <w:rFonts w:ascii="Times New Roman" w:hAnsi="Times New Roman"/>
          <w:i/>
          <w:iCs/>
          <w:sz w:val="24"/>
          <w:szCs w:val="24"/>
          <w:lang w:val="en-GB"/>
        </w:rPr>
        <w:t>“</w:t>
      </w:r>
      <w:r w:rsidRPr="00FE5044">
        <w:rPr>
          <w:rFonts w:ascii="Times New Roman" w:hAnsi="Times New Roman"/>
          <w:i/>
          <w:iCs/>
          <w:sz w:val="24"/>
          <w:szCs w:val="24"/>
          <w:lang w:val="ro-RO"/>
        </w:rPr>
        <w:t>Equality Act 2010 and its implications for the hospitality sector</w:t>
      </w:r>
      <w:r w:rsidR="00FE5044" w:rsidRPr="00FE5044">
        <w:rPr>
          <w:rFonts w:ascii="Times New Roman" w:hAnsi="Times New Roman"/>
          <w:i/>
          <w:iCs/>
          <w:sz w:val="24"/>
          <w:szCs w:val="24"/>
          <w:lang w:val="en-GB"/>
        </w:rPr>
        <w:t>”</w:t>
      </w:r>
      <w:r w:rsidRPr="00FE5044">
        <w:rPr>
          <w:rFonts w:ascii="Times New Roman" w:hAnsi="Times New Roman"/>
          <w:i/>
          <w:iCs/>
          <w:sz w:val="24"/>
          <w:szCs w:val="24"/>
          <w:lang w:val="ro-RO"/>
        </w:rPr>
        <w:t xml:space="preserve">. </w:t>
      </w:r>
      <w:r w:rsidR="00E96192" w:rsidRPr="00FE5044">
        <w:rPr>
          <w:rFonts w:ascii="Times New Roman" w:hAnsi="Times New Roman"/>
          <w:i/>
          <w:iCs/>
          <w:sz w:val="24"/>
          <w:szCs w:val="24"/>
        </w:rPr>
        <w:t>[</w:t>
      </w:r>
      <w:r w:rsidR="00E96192" w:rsidRPr="00D576C7">
        <w:rPr>
          <w:rFonts w:ascii="Times New Roman" w:hAnsi="Times New Roman"/>
          <w:sz w:val="24"/>
          <w:szCs w:val="24"/>
        </w:rPr>
        <w:t xml:space="preserve">Online]. </w:t>
      </w:r>
      <w:r w:rsidRPr="00D576C7">
        <w:rPr>
          <w:rFonts w:ascii="Times New Roman" w:hAnsi="Times New Roman"/>
          <w:sz w:val="24"/>
          <w:szCs w:val="24"/>
          <w:lang w:val="ro-RO"/>
        </w:rPr>
        <w:t xml:space="preserve">Available at: </w:t>
      </w:r>
      <w:hyperlink r:id="rId40" w:tgtFrame="_new" w:history="1">
        <w:r w:rsidRPr="00D576C7">
          <w:rPr>
            <w:rStyle w:val="Hyperlink"/>
            <w:rFonts w:ascii="Times New Roman" w:hAnsi="Times New Roman"/>
            <w:sz w:val="24"/>
            <w:szCs w:val="24"/>
            <w:lang w:val="ro-RO"/>
          </w:rPr>
          <w:t>https://www.ukhospitality.org.uk/wp-content/uploads/2024/02/Equality-Act-UKHospitality.pdf</w:t>
        </w:r>
      </w:hyperlink>
      <w:r w:rsidRPr="00D576C7">
        <w:rPr>
          <w:rFonts w:ascii="Times New Roman" w:hAnsi="Times New Roman"/>
          <w:sz w:val="24"/>
          <w:szCs w:val="24"/>
          <w:lang w:val="ro-RO"/>
        </w:rPr>
        <w:t xml:space="preserve"> (Accessed: 20 January 2025).</w:t>
      </w:r>
    </w:p>
    <w:p w14:paraId="524D2E04" w14:textId="77777777" w:rsidR="008864E4" w:rsidRPr="00731754" w:rsidRDefault="008864E4" w:rsidP="008864E4">
      <w:pPr>
        <w:rPr>
          <w:lang w:val="ro-RO"/>
        </w:rPr>
      </w:pPr>
    </w:p>
    <w:p w14:paraId="75EB27CA" w14:textId="77777777" w:rsidR="008864E4" w:rsidRPr="00731754" w:rsidRDefault="008864E4" w:rsidP="008864E4">
      <w:pPr>
        <w:rPr>
          <w:lang w:val="ro-RO"/>
        </w:rPr>
      </w:pPr>
    </w:p>
    <w:p w14:paraId="59627681" w14:textId="77777777" w:rsidR="008864E4" w:rsidRPr="00731754" w:rsidRDefault="008864E4" w:rsidP="008864E4">
      <w:pPr>
        <w:rPr>
          <w:lang w:val="ro-RO"/>
        </w:rPr>
      </w:pPr>
    </w:p>
    <w:p w14:paraId="31691219" w14:textId="77777777" w:rsidR="008864E4" w:rsidRPr="00731754" w:rsidRDefault="008864E4" w:rsidP="008864E4">
      <w:pPr>
        <w:rPr>
          <w:lang w:val="ro-RO"/>
        </w:rPr>
      </w:pPr>
    </w:p>
    <w:p w14:paraId="26E81DC1" w14:textId="77777777" w:rsidR="008864E4" w:rsidRPr="00731754" w:rsidRDefault="008864E4" w:rsidP="008864E4"/>
    <w:p w14:paraId="31CA3255" w14:textId="77777777" w:rsidR="008864E4" w:rsidRPr="00D85C29" w:rsidRDefault="008864E4" w:rsidP="008864E4">
      <w:pPr>
        <w:spacing w:line="360" w:lineRule="auto"/>
        <w:jc w:val="both"/>
        <w:rPr>
          <w:rFonts w:ascii="Times New Roman" w:hAnsi="Times New Roman"/>
          <w:sz w:val="24"/>
          <w:szCs w:val="24"/>
        </w:rPr>
      </w:pPr>
    </w:p>
    <w:p w14:paraId="34F9A9B7" w14:textId="77777777" w:rsidR="008864E4" w:rsidRPr="00D85C29" w:rsidRDefault="008864E4" w:rsidP="008864E4">
      <w:pPr>
        <w:spacing w:line="360" w:lineRule="auto"/>
        <w:jc w:val="both"/>
        <w:rPr>
          <w:rFonts w:ascii="Times New Roman" w:hAnsi="Times New Roman"/>
          <w:sz w:val="24"/>
          <w:szCs w:val="24"/>
        </w:rPr>
      </w:pPr>
    </w:p>
    <w:p w14:paraId="68F0AC37" w14:textId="77777777" w:rsidR="008864E4" w:rsidRPr="00D85C29" w:rsidRDefault="008864E4" w:rsidP="008864E4">
      <w:pPr>
        <w:pStyle w:val="NormalWeb"/>
        <w:spacing w:line="360" w:lineRule="auto"/>
        <w:jc w:val="both"/>
      </w:pPr>
    </w:p>
    <w:p w14:paraId="740BB8E8" w14:textId="77777777" w:rsidR="008864E4" w:rsidRPr="00D85C29" w:rsidRDefault="008864E4" w:rsidP="008864E4">
      <w:pPr>
        <w:pStyle w:val="NormalWeb"/>
        <w:spacing w:line="360" w:lineRule="auto"/>
        <w:jc w:val="both"/>
      </w:pPr>
    </w:p>
    <w:p w14:paraId="00C190F3" w14:textId="77777777" w:rsidR="008864E4" w:rsidRPr="00D85C29" w:rsidRDefault="008864E4" w:rsidP="008864E4">
      <w:pPr>
        <w:pStyle w:val="NormalWeb"/>
        <w:spacing w:line="360" w:lineRule="auto"/>
        <w:jc w:val="both"/>
      </w:pPr>
    </w:p>
    <w:p w14:paraId="1CE266B6" w14:textId="77777777" w:rsidR="008864E4" w:rsidRPr="00D85C29" w:rsidRDefault="008864E4" w:rsidP="008864E4">
      <w:pPr>
        <w:pStyle w:val="NormalWeb"/>
        <w:spacing w:line="360" w:lineRule="auto"/>
        <w:jc w:val="both"/>
      </w:pPr>
    </w:p>
    <w:p w14:paraId="348B22F2" w14:textId="77777777" w:rsidR="008864E4" w:rsidRPr="00E1070F" w:rsidRDefault="008864E4" w:rsidP="008864E4">
      <w:pPr>
        <w:pStyle w:val="Heading1"/>
        <w:rPr>
          <w:rFonts w:ascii="Times New Roman" w:hAnsi="Times New Roman" w:cs="Times New Roman"/>
          <w:sz w:val="24"/>
          <w:szCs w:val="24"/>
          <w:lang w:val="ro-RO"/>
        </w:rPr>
      </w:pPr>
      <w:bookmarkStart w:id="35" w:name="_Toc191503487"/>
      <w:r w:rsidRPr="00E1070F">
        <w:rPr>
          <w:rFonts w:ascii="Times New Roman" w:hAnsi="Times New Roman" w:cs="Times New Roman"/>
          <w:sz w:val="24"/>
          <w:szCs w:val="24"/>
          <w:lang w:val="ro-RO"/>
        </w:rPr>
        <w:lastRenderedPageBreak/>
        <w:t>APPENDICES</w:t>
      </w:r>
      <w:bookmarkEnd w:id="35"/>
    </w:p>
    <w:p w14:paraId="69F89259" w14:textId="6794BA7C" w:rsidR="00C862B0" w:rsidRPr="00C862B0" w:rsidRDefault="008864E4" w:rsidP="00C862B0">
      <w:pPr>
        <w:pStyle w:val="NormalWeb"/>
        <w:rPr>
          <w:lang w:val="en-GB" w:eastAsia="en-GB"/>
        </w:rPr>
      </w:pPr>
      <w:r w:rsidRPr="00D85C29">
        <w:t>Table 1 - EMBOK</w:t>
      </w:r>
      <w:r w:rsidR="00C862B0" w:rsidRPr="00C862B0">
        <w:rPr>
          <w:noProof/>
          <w:lang w:val="en-GB" w:eastAsia="en-GB"/>
        </w:rPr>
        <w:drawing>
          <wp:inline distT="0" distB="0" distL="0" distR="0" wp14:anchorId="120F2484" wp14:editId="39C90D54">
            <wp:extent cx="6565931" cy="76200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565931" cy="7620000"/>
                    </a:xfrm>
                    <a:prstGeom prst="rect">
                      <a:avLst/>
                    </a:prstGeom>
                    <a:noFill/>
                    <a:ln>
                      <a:noFill/>
                    </a:ln>
                  </pic:spPr>
                </pic:pic>
              </a:graphicData>
            </a:graphic>
          </wp:inline>
        </w:drawing>
      </w:r>
    </w:p>
    <w:p w14:paraId="227762AB" w14:textId="4855F000" w:rsidR="008864E4" w:rsidRPr="00D85C29" w:rsidRDefault="008864E4" w:rsidP="005D52D2">
      <w:pPr>
        <w:spacing w:line="360" w:lineRule="auto"/>
        <w:rPr>
          <w:rFonts w:ascii="Times New Roman" w:hAnsi="Times New Roman"/>
          <w:sz w:val="24"/>
          <w:szCs w:val="24"/>
        </w:rPr>
      </w:pPr>
      <w:r w:rsidRPr="00D85C29">
        <w:rPr>
          <w:rFonts w:ascii="Times New Roman" w:hAnsi="Times New Roman"/>
          <w:sz w:val="24"/>
          <w:szCs w:val="24"/>
        </w:rPr>
        <w:t>(Silvers, 2003</w:t>
      </w:r>
      <w:r w:rsidR="005D52D2">
        <w:rPr>
          <w:rFonts w:ascii="Times New Roman" w:hAnsi="Times New Roman"/>
          <w:sz w:val="24"/>
          <w:szCs w:val="24"/>
        </w:rPr>
        <w:t>)</w:t>
      </w:r>
    </w:p>
    <w:p w14:paraId="5910EFC5" w14:textId="56D2EB3C" w:rsidR="008864E4" w:rsidRPr="00D85C29" w:rsidRDefault="008864E4" w:rsidP="008864E4">
      <w:pPr>
        <w:spacing w:line="360" w:lineRule="auto"/>
        <w:jc w:val="both"/>
        <w:rPr>
          <w:rFonts w:ascii="Times New Roman" w:hAnsi="Times New Roman"/>
          <w:sz w:val="24"/>
          <w:szCs w:val="24"/>
        </w:rPr>
      </w:pPr>
      <w:r w:rsidRPr="00D85C29">
        <w:rPr>
          <w:rFonts w:ascii="Times New Roman" w:hAnsi="Times New Roman"/>
          <w:sz w:val="24"/>
          <w:szCs w:val="24"/>
        </w:rPr>
        <w:lastRenderedPageBreak/>
        <w:t>Tab</w:t>
      </w:r>
      <w:r w:rsidR="000F38E4">
        <w:rPr>
          <w:rFonts w:ascii="Times New Roman" w:hAnsi="Times New Roman"/>
          <w:sz w:val="24"/>
          <w:szCs w:val="24"/>
        </w:rPr>
        <w:t>le</w:t>
      </w:r>
      <w:r w:rsidRPr="00D85C29">
        <w:rPr>
          <w:rFonts w:ascii="Times New Roman" w:hAnsi="Times New Roman"/>
          <w:sz w:val="24"/>
          <w:szCs w:val="24"/>
        </w:rPr>
        <w:t xml:space="preserve"> 2 - SWOT </w:t>
      </w:r>
    </w:p>
    <w:p w14:paraId="28852BC8" w14:textId="379DF3F7" w:rsidR="001D5334" w:rsidRPr="001D5334" w:rsidRDefault="001D5334" w:rsidP="001D5334">
      <w:pPr>
        <w:spacing w:before="100" w:beforeAutospacing="1" w:after="100" w:afterAutospacing="1" w:line="240" w:lineRule="auto"/>
        <w:rPr>
          <w:rFonts w:ascii="Times New Roman" w:eastAsia="Times New Roman" w:hAnsi="Times New Roman"/>
          <w:sz w:val="24"/>
          <w:szCs w:val="24"/>
        </w:rPr>
      </w:pPr>
      <w:r w:rsidRPr="001D5334">
        <w:rPr>
          <w:rFonts w:ascii="Times New Roman" w:eastAsia="Times New Roman" w:hAnsi="Times New Roman"/>
          <w:noProof/>
          <w:sz w:val="24"/>
          <w:szCs w:val="24"/>
        </w:rPr>
        <w:drawing>
          <wp:inline distT="0" distB="0" distL="0" distR="0" wp14:anchorId="59B5A4EE" wp14:editId="653EDC7F">
            <wp:extent cx="5257800" cy="441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57800" cy="4419600"/>
                    </a:xfrm>
                    <a:prstGeom prst="rect">
                      <a:avLst/>
                    </a:prstGeom>
                    <a:noFill/>
                    <a:ln>
                      <a:noFill/>
                    </a:ln>
                  </pic:spPr>
                </pic:pic>
              </a:graphicData>
            </a:graphic>
          </wp:inline>
        </w:drawing>
      </w:r>
    </w:p>
    <w:p w14:paraId="79CB3480" w14:textId="5DFBBB03" w:rsidR="008864E4" w:rsidRPr="00D85C29" w:rsidRDefault="008864E4" w:rsidP="008864E4">
      <w:pPr>
        <w:spacing w:line="360" w:lineRule="auto"/>
        <w:jc w:val="both"/>
        <w:rPr>
          <w:rFonts w:ascii="Times New Roman" w:hAnsi="Times New Roman"/>
          <w:sz w:val="24"/>
          <w:szCs w:val="24"/>
        </w:rPr>
      </w:pPr>
    </w:p>
    <w:p w14:paraId="03AA0DD6" w14:textId="77777777" w:rsidR="008864E4" w:rsidRDefault="008864E4" w:rsidP="008864E4">
      <w:pPr>
        <w:spacing w:line="360" w:lineRule="auto"/>
        <w:jc w:val="both"/>
        <w:rPr>
          <w:rFonts w:ascii="Times New Roman" w:hAnsi="Times New Roman"/>
          <w:sz w:val="24"/>
          <w:szCs w:val="24"/>
        </w:rPr>
      </w:pPr>
    </w:p>
    <w:p w14:paraId="2DE17D9F" w14:textId="77777777" w:rsidR="008864E4" w:rsidRDefault="008864E4" w:rsidP="008864E4">
      <w:pPr>
        <w:spacing w:line="360" w:lineRule="auto"/>
        <w:jc w:val="both"/>
        <w:rPr>
          <w:rFonts w:ascii="Times New Roman" w:hAnsi="Times New Roman"/>
          <w:sz w:val="24"/>
          <w:szCs w:val="24"/>
        </w:rPr>
      </w:pPr>
    </w:p>
    <w:p w14:paraId="3E9CFD0D" w14:textId="77777777" w:rsidR="008864E4" w:rsidRDefault="008864E4" w:rsidP="008864E4">
      <w:pPr>
        <w:spacing w:line="360" w:lineRule="auto"/>
        <w:jc w:val="both"/>
        <w:rPr>
          <w:rFonts w:ascii="Times New Roman" w:hAnsi="Times New Roman"/>
          <w:sz w:val="24"/>
          <w:szCs w:val="24"/>
        </w:rPr>
      </w:pPr>
    </w:p>
    <w:p w14:paraId="27A4AFB8" w14:textId="77777777" w:rsidR="008864E4" w:rsidRDefault="008864E4" w:rsidP="008864E4">
      <w:pPr>
        <w:spacing w:line="360" w:lineRule="auto"/>
        <w:jc w:val="both"/>
        <w:rPr>
          <w:rFonts w:ascii="Times New Roman" w:hAnsi="Times New Roman"/>
          <w:sz w:val="24"/>
          <w:szCs w:val="24"/>
        </w:rPr>
      </w:pPr>
    </w:p>
    <w:p w14:paraId="73F5F112" w14:textId="77777777" w:rsidR="008864E4" w:rsidRDefault="008864E4" w:rsidP="008864E4">
      <w:pPr>
        <w:spacing w:line="360" w:lineRule="auto"/>
        <w:jc w:val="both"/>
        <w:rPr>
          <w:rFonts w:ascii="Times New Roman" w:hAnsi="Times New Roman"/>
          <w:sz w:val="24"/>
          <w:szCs w:val="24"/>
        </w:rPr>
      </w:pPr>
    </w:p>
    <w:p w14:paraId="75378776" w14:textId="77777777" w:rsidR="008864E4" w:rsidRDefault="008864E4" w:rsidP="008864E4">
      <w:pPr>
        <w:spacing w:line="360" w:lineRule="auto"/>
        <w:jc w:val="both"/>
        <w:rPr>
          <w:rFonts w:ascii="Times New Roman" w:hAnsi="Times New Roman"/>
          <w:sz w:val="24"/>
          <w:szCs w:val="24"/>
        </w:rPr>
      </w:pPr>
    </w:p>
    <w:p w14:paraId="6E54A995" w14:textId="23E50B7D" w:rsidR="008864E4" w:rsidRDefault="008864E4" w:rsidP="008864E4">
      <w:pPr>
        <w:spacing w:line="360" w:lineRule="auto"/>
        <w:jc w:val="both"/>
        <w:rPr>
          <w:rFonts w:ascii="Times New Roman" w:hAnsi="Times New Roman"/>
          <w:sz w:val="24"/>
          <w:szCs w:val="24"/>
        </w:rPr>
      </w:pPr>
    </w:p>
    <w:p w14:paraId="24F68BEF" w14:textId="21631B47" w:rsidR="005D52D2" w:rsidRDefault="005D52D2" w:rsidP="008864E4">
      <w:pPr>
        <w:spacing w:line="360" w:lineRule="auto"/>
        <w:jc w:val="both"/>
        <w:rPr>
          <w:rFonts w:ascii="Times New Roman" w:hAnsi="Times New Roman"/>
          <w:sz w:val="24"/>
          <w:szCs w:val="24"/>
        </w:rPr>
      </w:pPr>
    </w:p>
    <w:p w14:paraId="721A4942" w14:textId="75795A57" w:rsidR="005D52D2" w:rsidRDefault="005D52D2" w:rsidP="008864E4">
      <w:pPr>
        <w:spacing w:line="360" w:lineRule="auto"/>
        <w:jc w:val="both"/>
        <w:rPr>
          <w:rFonts w:ascii="Times New Roman" w:hAnsi="Times New Roman"/>
          <w:sz w:val="24"/>
          <w:szCs w:val="24"/>
        </w:rPr>
      </w:pPr>
    </w:p>
    <w:p w14:paraId="4B8BB510" w14:textId="77777777" w:rsidR="005D52D2" w:rsidRDefault="005D52D2" w:rsidP="008864E4">
      <w:pPr>
        <w:spacing w:line="360" w:lineRule="auto"/>
        <w:jc w:val="both"/>
        <w:rPr>
          <w:rFonts w:ascii="Times New Roman" w:hAnsi="Times New Roman"/>
          <w:sz w:val="24"/>
          <w:szCs w:val="24"/>
        </w:rPr>
      </w:pPr>
    </w:p>
    <w:p w14:paraId="40FAB2BD" w14:textId="5CE5CE38" w:rsidR="008864E4" w:rsidRDefault="008864E4" w:rsidP="008864E4">
      <w:pPr>
        <w:spacing w:line="360" w:lineRule="auto"/>
        <w:jc w:val="both"/>
        <w:rPr>
          <w:rFonts w:ascii="Times New Roman" w:hAnsi="Times New Roman"/>
          <w:sz w:val="24"/>
          <w:szCs w:val="24"/>
        </w:rPr>
      </w:pPr>
      <w:r w:rsidRPr="00D85C29">
        <w:rPr>
          <w:rFonts w:ascii="Times New Roman" w:hAnsi="Times New Roman"/>
          <w:sz w:val="24"/>
          <w:szCs w:val="24"/>
        </w:rPr>
        <w:lastRenderedPageBreak/>
        <w:t>Tab</w:t>
      </w:r>
      <w:r w:rsidR="001F53D5">
        <w:rPr>
          <w:rFonts w:ascii="Times New Roman" w:hAnsi="Times New Roman"/>
          <w:sz w:val="24"/>
          <w:szCs w:val="24"/>
        </w:rPr>
        <w:t>le</w:t>
      </w:r>
      <w:r w:rsidRPr="00D85C29">
        <w:rPr>
          <w:rFonts w:ascii="Times New Roman" w:hAnsi="Times New Roman"/>
          <w:sz w:val="24"/>
          <w:szCs w:val="24"/>
        </w:rPr>
        <w:t xml:space="preserve"> 3 </w:t>
      </w:r>
      <w:r>
        <w:rPr>
          <w:rFonts w:ascii="Times New Roman" w:hAnsi="Times New Roman"/>
          <w:sz w:val="24"/>
          <w:szCs w:val="24"/>
        </w:rPr>
        <w:t>–</w:t>
      </w:r>
      <w:r w:rsidRPr="00D85C29">
        <w:rPr>
          <w:rFonts w:ascii="Times New Roman" w:hAnsi="Times New Roman"/>
          <w:sz w:val="24"/>
          <w:szCs w:val="24"/>
        </w:rPr>
        <w:t xml:space="preserve"> PEST</w:t>
      </w:r>
      <w:r>
        <w:rPr>
          <w:rFonts w:ascii="Times New Roman" w:hAnsi="Times New Roman"/>
          <w:sz w:val="24"/>
          <w:szCs w:val="24"/>
        </w:rPr>
        <w:t>EL</w:t>
      </w:r>
    </w:p>
    <w:p w14:paraId="4F083B37" w14:textId="448CDCD0" w:rsidR="00F45296" w:rsidRPr="005D52D2" w:rsidRDefault="005D52D2" w:rsidP="005D52D2">
      <w:pPr>
        <w:spacing w:before="100" w:beforeAutospacing="1" w:after="100" w:afterAutospacing="1" w:line="240" w:lineRule="auto"/>
        <w:rPr>
          <w:rFonts w:ascii="Times New Roman" w:eastAsia="Times New Roman" w:hAnsi="Times New Roman"/>
          <w:sz w:val="24"/>
          <w:szCs w:val="24"/>
        </w:rPr>
      </w:pPr>
      <w:r w:rsidRPr="005D52D2">
        <w:rPr>
          <w:rFonts w:ascii="Times New Roman" w:eastAsia="Times New Roman" w:hAnsi="Times New Roman"/>
          <w:noProof/>
          <w:sz w:val="24"/>
          <w:szCs w:val="24"/>
        </w:rPr>
        <w:drawing>
          <wp:inline distT="0" distB="0" distL="0" distR="0" wp14:anchorId="246FEA59" wp14:editId="3C23CD6F">
            <wp:extent cx="6495633" cy="839152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509409" cy="8409322"/>
                    </a:xfrm>
                    <a:prstGeom prst="rect">
                      <a:avLst/>
                    </a:prstGeom>
                    <a:noFill/>
                    <a:ln>
                      <a:noFill/>
                    </a:ln>
                  </pic:spPr>
                </pic:pic>
              </a:graphicData>
            </a:graphic>
          </wp:inline>
        </w:drawing>
      </w:r>
    </w:p>
    <w:sectPr w:rsidR="00F45296" w:rsidRPr="005D5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B184A"/>
    <w:multiLevelType w:val="multilevel"/>
    <w:tmpl w:val="11E8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A4FA8"/>
    <w:multiLevelType w:val="multilevel"/>
    <w:tmpl w:val="46E06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075F95"/>
    <w:multiLevelType w:val="multilevel"/>
    <w:tmpl w:val="546E5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395288"/>
    <w:multiLevelType w:val="multilevel"/>
    <w:tmpl w:val="F1A02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995243"/>
    <w:multiLevelType w:val="multilevel"/>
    <w:tmpl w:val="49907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C66EA4"/>
    <w:multiLevelType w:val="multilevel"/>
    <w:tmpl w:val="D1A2D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F842C0"/>
    <w:multiLevelType w:val="hybridMultilevel"/>
    <w:tmpl w:val="EBE8D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43434F"/>
    <w:multiLevelType w:val="hybridMultilevel"/>
    <w:tmpl w:val="20C4839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62203FB8"/>
    <w:multiLevelType w:val="multilevel"/>
    <w:tmpl w:val="7F321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006DDB"/>
    <w:multiLevelType w:val="hybridMultilevel"/>
    <w:tmpl w:val="FF783DA6"/>
    <w:lvl w:ilvl="0" w:tplc="0418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F675EDE"/>
    <w:multiLevelType w:val="hybridMultilevel"/>
    <w:tmpl w:val="4DBA266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1"/>
  </w:num>
  <w:num w:numId="4">
    <w:abstractNumId w:val="4"/>
  </w:num>
  <w:num w:numId="5">
    <w:abstractNumId w:val="3"/>
  </w:num>
  <w:num w:numId="6">
    <w:abstractNumId w:val="5"/>
  </w:num>
  <w:num w:numId="7">
    <w:abstractNumId w:val="2"/>
  </w:num>
  <w:num w:numId="8">
    <w:abstractNumId w:val="0"/>
  </w:num>
  <w:num w:numId="9">
    <w:abstractNumId w:val="10"/>
  </w:num>
  <w:num w:numId="10">
    <w:abstractNumId w:val="9"/>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D41"/>
    <w:rsid w:val="00017FBC"/>
    <w:rsid w:val="000F38E4"/>
    <w:rsid w:val="000F48B4"/>
    <w:rsid w:val="001D02AE"/>
    <w:rsid w:val="001D5334"/>
    <w:rsid w:val="001D7863"/>
    <w:rsid w:val="001F53D5"/>
    <w:rsid w:val="00222B70"/>
    <w:rsid w:val="00264999"/>
    <w:rsid w:val="00272667"/>
    <w:rsid w:val="002F30A3"/>
    <w:rsid w:val="00320E1A"/>
    <w:rsid w:val="003A7C5F"/>
    <w:rsid w:val="00456D41"/>
    <w:rsid w:val="00463C61"/>
    <w:rsid w:val="00505A64"/>
    <w:rsid w:val="00562B82"/>
    <w:rsid w:val="005D52D2"/>
    <w:rsid w:val="0060055D"/>
    <w:rsid w:val="00665724"/>
    <w:rsid w:val="00672287"/>
    <w:rsid w:val="0067446C"/>
    <w:rsid w:val="00701493"/>
    <w:rsid w:val="00763129"/>
    <w:rsid w:val="00786ACB"/>
    <w:rsid w:val="007C75A6"/>
    <w:rsid w:val="00841A8F"/>
    <w:rsid w:val="008578F3"/>
    <w:rsid w:val="008864E4"/>
    <w:rsid w:val="008A3F3B"/>
    <w:rsid w:val="00903661"/>
    <w:rsid w:val="0091121F"/>
    <w:rsid w:val="009364D6"/>
    <w:rsid w:val="00993C25"/>
    <w:rsid w:val="009F282D"/>
    <w:rsid w:val="00A60580"/>
    <w:rsid w:val="00A95551"/>
    <w:rsid w:val="00B324E5"/>
    <w:rsid w:val="00B56683"/>
    <w:rsid w:val="00B679E5"/>
    <w:rsid w:val="00B73ABF"/>
    <w:rsid w:val="00BA6552"/>
    <w:rsid w:val="00C11D9D"/>
    <w:rsid w:val="00C35F3D"/>
    <w:rsid w:val="00C42C05"/>
    <w:rsid w:val="00C732B7"/>
    <w:rsid w:val="00C862B0"/>
    <w:rsid w:val="00CC35F6"/>
    <w:rsid w:val="00D576C7"/>
    <w:rsid w:val="00DC3FB4"/>
    <w:rsid w:val="00DF5ADF"/>
    <w:rsid w:val="00E96192"/>
    <w:rsid w:val="00F45296"/>
    <w:rsid w:val="00FA66F9"/>
    <w:rsid w:val="00FE5044"/>
    <w:rsid w:val="00FF4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24B4C"/>
  <w15:chartTrackingRefBased/>
  <w15:docId w15:val="{A47FEA4D-A523-44D6-99CD-618785BF5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999"/>
    <w:pPr>
      <w:spacing w:line="256" w:lineRule="auto"/>
    </w:pPr>
    <w:rPr>
      <w:rFonts w:eastAsiaTheme="minorEastAsia" w:cs="Times New Roman"/>
      <w:lang w:eastAsia="en-GB"/>
    </w:rPr>
  </w:style>
  <w:style w:type="paragraph" w:styleId="Heading1">
    <w:name w:val="heading 1"/>
    <w:basedOn w:val="Normal"/>
    <w:next w:val="Normal"/>
    <w:link w:val="Heading1Char"/>
    <w:uiPriority w:val="9"/>
    <w:qFormat/>
    <w:rsid w:val="008864E4"/>
    <w:pPr>
      <w:keepNext/>
      <w:keepLines/>
      <w:spacing w:before="360" w:after="80" w:line="259" w:lineRule="auto"/>
      <w:outlineLvl w:val="0"/>
    </w:pPr>
    <w:rPr>
      <w:rFonts w:asciiTheme="majorHAnsi" w:eastAsiaTheme="majorEastAsia" w:hAnsiTheme="majorHAnsi" w:cstheme="majorBidi"/>
      <w:noProof/>
      <w:color w:val="2F5496"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unhideWhenUsed/>
    <w:qFormat/>
    <w:rsid w:val="008864E4"/>
    <w:pPr>
      <w:keepNext/>
      <w:keepLines/>
      <w:spacing w:before="160" w:after="80" w:line="259" w:lineRule="auto"/>
      <w:outlineLvl w:val="1"/>
    </w:pPr>
    <w:rPr>
      <w:rFonts w:asciiTheme="majorHAnsi" w:eastAsiaTheme="majorEastAsia" w:hAnsiTheme="majorHAnsi" w:cstheme="majorBidi"/>
      <w:noProof/>
      <w:color w:val="2F5496"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unhideWhenUsed/>
    <w:qFormat/>
    <w:rsid w:val="008864E4"/>
    <w:pPr>
      <w:keepNext/>
      <w:keepLines/>
      <w:spacing w:before="160" w:after="80" w:line="259" w:lineRule="auto"/>
      <w:outlineLvl w:val="2"/>
    </w:pPr>
    <w:rPr>
      <w:rFonts w:eastAsiaTheme="majorEastAsia" w:cstheme="majorBidi"/>
      <w:noProof/>
      <w:color w:val="2F5496" w:themeColor="accent1" w:themeShade="BF"/>
      <w:kern w:val="2"/>
      <w:sz w:val="28"/>
      <w:szCs w:val="28"/>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0A3"/>
    <w:pPr>
      <w:spacing w:line="259" w:lineRule="auto"/>
      <w:ind w:left="720"/>
      <w:contextualSpacing/>
    </w:pPr>
    <w:rPr>
      <w:rFonts w:eastAsiaTheme="minorHAnsi" w:cstheme="minorBidi"/>
      <w:noProof/>
      <w:kern w:val="2"/>
      <w:lang w:val="en-US" w:eastAsia="en-US"/>
      <w14:ligatures w14:val="standardContextual"/>
    </w:rPr>
  </w:style>
  <w:style w:type="character" w:styleId="Hyperlink">
    <w:name w:val="Hyperlink"/>
    <w:basedOn w:val="DefaultParagraphFont"/>
    <w:uiPriority w:val="99"/>
    <w:unhideWhenUsed/>
    <w:rsid w:val="002F30A3"/>
    <w:rPr>
      <w:color w:val="0563C1" w:themeColor="hyperlink"/>
      <w:u w:val="single"/>
    </w:rPr>
  </w:style>
  <w:style w:type="paragraph" w:styleId="NormalWeb">
    <w:name w:val="Normal (Web)"/>
    <w:basedOn w:val="Normal"/>
    <w:uiPriority w:val="99"/>
    <w:unhideWhenUsed/>
    <w:rsid w:val="002F30A3"/>
    <w:pPr>
      <w:spacing w:before="100" w:beforeAutospacing="1" w:after="100" w:afterAutospacing="1" w:line="240" w:lineRule="auto"/>
    </w:pPr>
    <w:rPr>
      <w:rFonts w:ascii="Times New Roman" w:eastAsia="Times New Roman" w:hAnsi="Times New Roman"/>
      <w:sz w:val="24"/>
      <w:szCs w:val="24"/>
      <w:lang w:val="ro-RO" w:eastAsia="ro-RO"/>
    </w:rPr>
  </w:style>
  <w:style w:type="table" w:styleId="TableGrid">
    <w:name w:val="Table Grid"/>
    <w:basedOn w:val="TableNormal"/>
    <w:uiPriority w:val="39"/>
    <w:rsid w:val="002F30A3"/>
    <w:pPr>
      <w:spacing w:after="0" w:line="240" w:lineRule="auto"/>
    </w:pPr>
    <w:rPr>
      <w:kern w:val="2"/>
      <w:lang w:val="ro-RO"/>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F30A3"/>
    <w:pPr>
      <w:autoSpaceDE w:val="0"/>
      <w:autoSpaceDN w:val="0"/>
      <w:adjustRightInd w:val="0"/>
      <w:spacing w:after="0" w:line="240" w:lineRule="auto"/>
    </w:pPr>
    <w:rPr>
      <w:rFonts w:ascii="Arial" w:hAnsi="Arial" w:cs="Arial"/>
      <w:color w:val="000000"/>
      <w:sz w:val="24"/>
      <w:szCs w:val="24"/>
      <w:lang w:val="ro-RO"/>
      <w14:ligatures w14:val="standardContextual"/>
    </w:rPr>
  </w:style>
  <w:style w:type="character" w:styleId="Strong">
    <w:name w:val="Strong"/>
    <w:basedOn w:val="DefaultParagraphFont"/>
    <w:uiPriority w:val="22"/>
    <w:qFormat/>
    <w:rsid w:val="002F30A3"/>
    <w:rPr>
      <w:b/>
      <w:bCs/>
    </w:rPr>
  </w:style>
  <w:style w:type="character" w:styleId="Emphasis">
    <w:name w:val="Emphasis"/>
    <w:basedOn w:val="DefaultParagraphFont"/>
    <w:uiPriority w:val="20"/>
    <w:qFormat/>
    <w:rsid w:val="002F30A3"/>
    <w:rPr>
      <w:i/>
      <w:iCs/>
    </w:rPr>
  </w:style>
  <w:style w:type="character" w:customStyle="1" w:styleId="Heading1Char">
    <w:name w:val="Heading 1 Char"/>
    <w:basedOn w:val="DefaultParagraphFont"/>
    <w:link w:val="Heading1"/>
    <w:uiPriority w:val="9"/>
    <w:rsid w:val="008864E4"/>
    <w:rPr>
      <w:rFonts w:asciiTheme="majorHAnsi" w:eastAsiaTheme="majorEastAsia" w:hAnsiTheme="majorHAnsi" w:cstheme="majorBidi"/>
      <w:noProof/>
      <w:color w:val="2F5496" w:themeColor="accent1" w:themeShade="BF"/>
      <w:kern w:val="2"/>
      <w:sz w:val="40"/>
      <w:szCs w:val="40"/>
      <w:lang w:val="en-US"/>
      <w14:ligatures w14:val="standardContextual"/>
    </w:rPr>
  </w:style>
  <w:style w:type="character" w:customStyle="1" w:styleId="Heading2Char">
    <w:name w:val="Heading 2 Char"/>
    <w:basedOn w:val="DefaultParagraphFont"/>
    <w:link w:val="Heading2"/>
    <w:uiPriority w:val="9"/>
    <w:rsid w:val="008864E4"/>
    <w:rPr>
      <w:rFonts w:asciiTheme="majorHAnsi" w:eastAsiaTheme="majorEastAsia" w:hAnsiTheme="majorHAnsi" w:cstheme="majorBidi"/>
      <w:noProof/>
      <w:color w:val="2F5496" w:themeColor="accent1" w:themeShade="BF"/>
      <w:kern w:val="2"/>
      <w:sz w:val="32"/>
      <w:szCs w:val="32"/>
      <w:lang w:val="en-US"/>
      <w14:ligatures w14:val="standardContextual"/>
    </w:rPr>
  </w:style>
  <w:style w:type="character" w:customStyle="1" w:styleId="Heading3Char">
    <w:name w:val="Heading 3 Char"/>
    <w:basedOn w:val="DefaultParagraphFont"/>
    <w:link w:val="Heading3"/>
    <w:uiPriority w:val="9"/>
    <w:rsid w:val="008864E4"/>
    <w:rPr>
      <w:rFonts w:eastAsiaTheme="majorEastAsia" w:cstheme="majorBidi"/>
      <w:noProof/>
      <w:color w:val="2F5496" w:themeColor="accent1" w:themeShade="BF"/>
      <w:kern w:val="2"/>
      <w:sz w:val="28"/>
      <w:szCs w:val="28"/>
      <w:lang w:val="en-US"/>
      <w14:ligatures w14:val="standardContextual"/>
    </w:rPr>
  </w:style>
  <w:style w:type="paragraph" w:styleId="TOCHeading">
    <w:name w:val="TOC Heading"/>
    <w:basedOn w:val="Heading1"/>
    <w:next w:val="Normal"/>
    <w:uiPriority w:val="39"/>
    <w:unhideWhenUsed/>
    <w:qFormat/>
    <w:rsid w:val="008864E4"/>
    <w:pPr>
      <w:spacing w:before="240" w:after="0"/>
      <w:outlineLvl w:val="9"/>
    </w:pPr>
    <w:rPr>
      <w:noProof w:val="0"/>
      <w:kern w:val="0"/>
      <w:sz w:val="32"/>
      <w:szCs w:val="32"/>
      <w14:ligatures w14:val="none"/>
    </w:rPr>
  </w:style>
  <w:style w:type="paragraph" w:styleId="TOC1">
    <w:name w:val="toc 1"/>
    <w:basedOn w:val="Normal"/>
    <w:next w:val="Normal"/>
    <w:autoRedefine/>
    <w:uiPriority w:val="39"/>
    <w:unhideWhenUsed/>
    <w:rsid w:val="008864E4"/>
    <w:pPr>
      <w:spacing w:after="100" w:line="259" w:lineRule="auto"/>
    </w:pPr>
    <w:rPr>
      <w:rFonts w:eastAsiaTheme="minorHAnsi" w:cstheme="minorBidi"/>
      <w:noProof/>
      <w:kern w:val="2"/>
      <w:lang w:val="en-US" w:eastAsia="en-US"/>
      <w14:ligatures w14:val="standardContextual"/>
    </w:rPr>
  </w:style>
  <w:style w:type="paragraph" w:styleId="TOC2">
    <w:name w:val="toc 2"/>
    <w:basedOn w:val="Normal"/>
    <w:next w:val="Normal"/>
    <w:autoRedefine/>
    <w:uiPriority w:val="39"/>
    <w:unhideWhenUsed/>
    <w:rsid w:val="008864E4"/>
    <w:pPr>
      <w:spacing w:after="100" w:line="259" w:lineRule="auto"/>
      <w:ind w:left="220"/>
    </w:pPr>
    <w:rPr>
      <w:rFonts w:eastAsiaTheme="minorHAnsi" w:cstheme="minorBidi"/>
      <w:noProof/>
      <w:kern w:val="2"/>
      <w:lang w:val="en-US" w:eastAsia="en-US"/>
      <w14:ligatures w14:val="standardContextual"/>
    </w:rPr>
  </w:style>
  <w:style w:type="paragraph" w:styleId="TOC3">
    <w:name w:val="toc 3"/>
    <w:basedOn w:val="Normal"/>
    <w:next w:val="Normal"/>
    <w:autoRedefine/>
    <w:uiPriority w:val="39"/>
    <w:unhideWhenUsed/>
    <w:rsid w:val="008864E4"/>
    <w:pPr>
      <w:spacing w:after="100" w:line="259" w:lineRule="auto"/>
      <w:ind w:left="440"/>
    </w:pPr>
    <w:rPr>
      <w:rFonts w:eastAsiaTheme="minorHAnsi" w:cstheme="minorBidi"/>
      <w:noProof/>
      <w:kern w:val="2"/>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48784">
      <w:bodyDiv w:val="1"/>
      <w:marLeft w:val="0"/>
      <w:marRight w:val="0"/>
      <w:marTop w:val="0"/>
      <w:marBottom w:val="0"/>
      <w:divBdr>
        <w:top w:val="none" w:sz="0" w:space="0" w:color="auto"/>
        <w:left w:val="none" w:sz="0" w:space="0" w:color="auto"/>
        <w:bottom w:val="none" w:sz="0" w:space="0" w:color="auto"/>
        <w:right w:val="none" w:sz="0" w:space="0" w:color="auto"/>
      </w:divBdr>
    </w:div>
    <w:div w:id="553391087">
      <w:bodyDiv w:val="1"/>
      <w:marLeft w:val="0"/>
      <w:marRight w:val="0"/>
      <w:marTop w:val="0"/>
      <w:marBottom w:val="0"/>
      <w:divBdr>
        <w:top w:val="none" w:sz="0" w:space="0" w:color="auto"/>
        <w:left w:val="none" w:sz="0" w:space="0" w:color="auto"/>
        <w:bottom w:val="none" w:sz="0" w:space="0" w:color="auto"/>
        <w:right w:val="none" w:sz="0" w:space="0" w:color="auto"/>
      </w:divBdr>
    </w:div>
    <w:div w:id="643586854">
      <w:bodyDiv w:val="1"/>
      <w:marLeft w:val="0"/>
      <w:marRight w:val="0"/>
      <w:marTop w:val="0"/>
      <w:marBottom w:val="0"/>
      <w:divBdr>
        <w:top w:val="none" w:sz="0" w:space="0" w:color="auto"/>
        <w:left w:val="none" w:sz="0" w:space="0" w:color="auto"/>
        <w:bottom w:val="none" w:sz="0" w:space="0" w:color="auto"/>
        <w:right w:val="none" w:sz="0" w:space="0" w:color="auto"/>
      </w:divBdr>
    </w:div>
    <w:div w:id="794982174">
      <w:bodyDiv w:val="1"/>
      <w:marLeft w:val="0"/>
      <w:marRight w:val="0"/>
      <w:marTop w:val="0"/>
      <w:marBottom w:val="0"/>
      <w:divBdr>
        <w:top w:val="none" w:sz="0" w:space="0" w:color="auto"/>
        <w:left w:val="none" w:sz="0" w:space="0" w:color="auto"/>
        <w:bottom w:val="none" w:sz="0" w:space="0" w:color="auto"/>
        <w:right w:val="none" w:sz="0" w:space="0" w:color="auto"/>
      </w:divBdr>
    </w:div>
    <w:div w:id="1194810057">
      <w:bodyDiv w:val="1"/>
      <w:marLeft w:val="0"/>
      <w:marRight w:val="0"/>
      <w:marTop w:val="0"/>
      <w:marBottom w:val="0"/>
      <w:divBdr>
        <w:top w:val="none" w:sz="0" w:space="0" w:color="auto"/>
        <w:left w:val="none" w:sz="0" w:space="0" w:color="auto"/>
        <w:bottom w:val="none" w:sz="0" w:space="0" w:color="auto"/>
        <w:right w:val="none" w:sz="0" w:space="0" w:color="auto"/>
      </w:divBdr>
    </w:div>
    <w:div w:id="1543900517">
      <w:bodyDiv w:val="1"/>
      <w:marLeft w:val="0"/>
      <w:marRight w:val="0"/>
      <w:marTop w:val="0"/>
      <w:marBottom w:val="0"/>
      <w:divBdr>
        <w:top w:val="none" w:sz="0" w:space="0" w:color="auto"/>
        <w:left w:val="none" w:sz="0" w:space="0" w:color="auto"/>
        <w:bottom w:val="none" w:sz="0" w:space="0" w:color="auto"/>
        <w:right w:val="none" w:sz="0" w:space="0" w:color="auto"/>
      </w:divBdr>
    </w:div>
    <w:div w:id="161907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repository.griffith.edu.au/server/api/core/bitstreams/0b979b85-8c25-4edf-95b3-09a74a456a18/content" TargetMode="External"/><Relationship Id="rId18" Type="http://schemas.openxmlformats.org/officeDocument/2006/relationships/hyperlink" Target="https://www.edenred.ro/ro/blog/business-antreprenoriat/analiza-swot-pentru-afacere-de-ce-este-importanta" TargetMode="External"/><Relationship Id="rId26" Type="http://schemas.openxmlformats.org/officeDocument/2006/relationships/hyperlink" Target="https://www.researchgate.net/publication/358906663_Tehnici_promotionale_studii_de_caz" TargetMode="External"/><Relationship Id="rId39" Type="http://schemas.openxmlformats.org/officeDocument/2006/relationships/hyperlink" Target="https://www.gov.uk/government/statistics/the-employment-of-disabled-people-2024/the-employment-of-disabled-people-2024" TargetMode="External"/><Relationship Id="rId21" Type="http://schemas.openxmlformats.org/officeDocument/2006/relationships/hyperlink" Target="https://impactmatch.global/event/actionable-2025/" TargetMode="External"/><Relationship Id="rId34" Type="http://schemas.openxmlformats.org/officeDocument/2006/relationships/hyperlink" Target="https://eventscase.com/blog/costs-of-organising-events" TargetMode="External"/><Relationship Id="rId42" Type="http://schemas.openxmlformats.org/officeDocument/2006/relationships/image" Target="media/image3.png"/><Relationship Id="rId7" Type="http://schemas.openxmlformats.org/officeDocument/2006/relationships/hyperlink" Target="https://www.management-issues.com/opinion/7657/inclusive-strategies-for-hospitality-managers/" TargetMode="External"/><Relationship Id="rId2" Type="http://schemas.openxmlformats.org/officeDocument/2006/relationships/styles" Target="styles.xml"/><Relationship Id="rId16" Type="http://schemas.openxmlformats.org/officeDocument/2006/relationships/hyperlink" Target="https://www.excel.london/" TargetMode="External"/><Relationship Id="rId29" Type="http://schemas.openxmlformats.org/officeDocument/2006/relationships/hyperlink" Target="https://www.researchgate.net/publication/362930587" TargetMode="External"/><Relationship Id="rId1" Type="http://schemas.openxmlformats.org/officeDocument/2006/relationships/numbering" Target="numbering.xml"/><Relationship Id="rId6" Type="http://schemas.openxmlformats.org/officeDocument/2006/relationships/hyperlink" Target="https://www.researchgate.net/publication/340376849" TargetMode="External"/><Relationship Id="rId11" Type="http://schemas.openxmlformats.org/officeDocument/2006/relationships/hyperlink" Target="https://www.forbes.com/councils/forbeshumanresourcescouncil/2024/02/13/inclusion-in-the-workplace-and-6-reasons-why-it-matters/" TargetMode="External"/><Relationship Id="rId24" Type="http://schemas.openxmlformats.org/officeDocument/2006/relationships/hyperlink" Target="https://pmc.ncbi.nlm.nih.gov/articles/PMC10172218/" TargetMode="External"/><Relationship Id="rId32" Type="http://schemas.openxmlformats.org/officeDocument/2006/relationships/hyperlink" Target="https://www.scope.org.uk/" TargetMode="External"/><Relationship Id="rId37" Type="http://schemas.openxmlformats.org/officeDocument/2006/relationships/hyperlink" Target="https://pdfs.semanticscholar.org/38ca/4f769d6d4b22106736770c572727c09ea58f.pdf" TargetMode="External"/><Relationship Id="rId40" Type="http://schemas.openxmlformats.org/officeDocument/2006/relationships/hyperlink" Target="https://www.ukhospitality.org.uk/wp-content/uploads/2024/02/Equality-Act-UKHospitality.pdf"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lordslibrary.parliament.uk/the-equality-act-2010-impact-on-disabled-people/" TargetMode="External"/><Relationship Id="rId23" Type="http://schemas.openxmlformats.org/officeDocument/2006/relationships/hyperlink" Target="https://medium.com/jacob-morgan/how-accorhotels-ceo-s%C3%A9bastien-bazin-leads-across-generations-62ef38baa83c" TargetMode="External"/><Relationship Id="rId28" Type="http://schemas.openxmlformats.org/officeDocument/2006/relationships/hyperlink" Target="https://www.nhsemployers.org/events/disability-summit-2025" TargetMode="External"/><Relationship Id="rId36" Type="http://schemas.openxmlformats.org/officeDocument/2006/relationships/hyperlink" Target="https://www.researchgate.net/publication/233664856_Towards_an_International_Event_Management_Body_of_Knowledge_EMBOK" TargetMode="External"/><Relationship Id="rId10" Type="http://schemas.openxmlformats.org/officeDocument/2006/relationships/hyperlink" Target="https://www.researchgate.net/publication/365396517" TargetMode="External"/><Relationship Id="rId19" Type="http://schemas.openxmlformats.org/officeDocument/2006/relationships/hyperlink" Target="https://www.equalrightstrust.org/ertdocumentbank/err5_hepple.pdf" TargetMode="External"/><Relationship Id="rId31" Type="http://schemas.openxmlformats.org/officeDocument/2006/relationships/hyperlink" Target="https://www.frontiersin.org/articles/10.3389/frcmn.2024.1368506/ful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rbes.com/councils/forbesbusinesscouncil/2025/01/22/the-state-of-influencer-marketing-in-the-hospitality-sector/" TargetMode="External"/><Relationship Id="rId14" Type="http://schemas.openxmlformats.org/officeDocument/2006/relationships/hyperlink" Target="https://www.equalityhumanrights.com/uk-government-failing-protect-disabled-people-warns-equality-watchdog-report" TargetMode="External"/><Relationship Id="rId22" Type="http://schemas.openxmlformats.org/officeDocument/2006/relationships/hyperlink" Target="https://www.internationaldisabilityalliance.org/content/global-disability-summit" TargetMode="External"/><Relationship Id="rId27" Type="http://schemas.openxmlformats.org/officeDocument/2006/relationships/hyperlink" Target="https://newlightdigital.com/ro/blog/preturi-pentru-serviciile-de-marketing-digital/" TargetMode="External"/><Relationship Id="rId30" Type="http://schemas.openxmlformats.org/officeDocument/2006/relationships/hyperlink" Target="https://cmveabratuseni.md/wp-content/uploads/2023/06/%E2%80%9Eelaborarea-%C8%99i-gestiunea-proiectelor.pdf" TargetMode="External"/><Relationship Id="rId35" Type="http://schemas.openxmlformats.org/officeDocument/2006/relationships/hyperlink" Target="https://embok.org/juliasilvers/embok/Facets_Aps.html" TargetMode="External"/><Relationship Id="rId43" Type="http://schemas.openxmlformats.org/officeDocument/2006/relationships/image" Target="media/image4.png"/><Relationship Id="rId8" Type="http://schemas.openxmlformats.org/officeDocument/2006/relationships/hyperlink" Target="https://www.doi.org/10.5038/2640-6489.6.1.1148" TargetMode="External"/><Relationship Id="rId3" Type="http://schemas.openxmlformats.org/officeDocument/2006/relationships/settings" Target="settings.xml"/><Relationship Id="rId12" Type="http://schemas.openxmlformats.org/officeDocument/2006/relationships/hyperlink" Target="https://conferenceindex.org/conferences/diversity-and-inclusion/united-kingdom" TargetMode="External"/><Relationship Id="rId17" Type="http://schemas.openxmlformats.org/officeDocument/2006/relationships/hyperlink" Target="https://ojs.scientificmanagementjournal.com/ojs/index.php/smj/article/view/738/630" TargetMode="External"/><Relationship Id="rId25" Type="http://schemas.openxmlformats.org/officeDocument/2006/relationships/hyperlink" Target="https://www.researchgate.net/publication/373152555" TargetMode="External"/><Relationship Id="rId33" Type="http://schemas.openxmlformats.org/officeDocument/2006/relationships/hyperlink" Target="https://synergist.aiha.org/202301-public-event-safety" TargetMode="External"/><Relationship Id="rId38" Type="http://schemas.openxmlformats.org/officeDocument/2006/relationships/hyperlink" Target="https://doi.org/10.1051/shsconf/202214801003" TargetMode="External"/><Relationship Id="rId20" Type="http://schemas.openxmlformats.org/officeDocument/2006/relationships/hyperlink" Target="https://doi.org/10.3727/152599523X16907613842291"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3067</TotalTime>
  <Pages>21</Pages>
  <Words>5557</Words>
  <Characters>31681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Badea (2208275)</dc:creator>
  <cp:keywords/>
  <dc:description/>
  <cp:lastModifiedBy>Alexandru Badea (2208275)</cp:lastModifiedBy>
  <cp:revision>47</cp:revision>
  <dcterms:created xsi:type="dcterms:W3CDTF">2025-02-04T13:55:00Z</dcterms:created>
  <dcterms:modified xsi:type="dcterms:W3CDTF">2025-02-28T22:25:00Z</dcterms:modified>
</cp:coreProperties>
</file>