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52B43" w14:textId="77777777" w:rsidR="00EA014D" w:rsidRDefault="001A1711">
      <w:pPr>
        <w:spacing w:after="0" w:line="259" w:lineRule="auto"/>
        <w:ind w:left="0" w:firstLine="0"/>
      </w:pPr>
      <w:r>
        <w:rPr>
          <w:rFonts w:ascii="Century Schoolbook" w:eastAsia="Century Schoolbook" w:hAnsi="Century Schoolbook" w:cs="Century Schoolbook"/>
          <w:sz w:val="22"/>
        </w:rPr>
        <w:t xml:space="preserve"> </w:t>
      </w:r>
    </w:p>
    <w:p w14:paraId="399976C7" w14:textId="77777777" w:rsidR="00EA014D" w:rsidRDefault="001A1711">
      <w:pPr>
        <w:spacing w:after="202" w:line="259" w:lineRule="auto"/>
        <w:ind w:left="426" w:firstLine="0"/>
      </w:pPr>
      <w:r>
        <w:rPr>
          <w:sz w:val="22"/>
        </w:rPr>
        <w:t xml:space="preserve"> </w:t>
      </w:r>
    </w:p>
    <w:p w14:paraId="4F6E92C9" w14:textId="77777777" w:rsidR="00EA014D" w:rsidRDefault="001A1711">
      <w:pPr>
        <w:spacing w:after="327" w:line="259" w:lineRule="auto"/>
        <w:ind w:left="426" w:firstLine="0"/>
      </w:pPr>
      <w:r>
        <w:rPr>
          <w:sz w:val="22"/>
        </w:rPr>
        <w:t xml:space="preserve"> </w:t>
      </w:r>
    </w:p>
    <w:p w14:paraId="60020D1F" w14:textId="77777777" w:rsidR="00EA014D" w:rsidRDefault="001A1711">
      <w:pPr>
        <w:spacing w:after="327" w:line="259" w:lineRule="auto"/>
        <w:ind w:left="426" w:firstLine="0"/>
      </w:pPr>
      <w:r>
        <w:rPr>
          <w:sz w:val="22"/>
        </w:rPr>
        <w:t xml:space="preserve"> </w:t>
      </w:r>
    </w:p>
    <w:p w14:paraId="49BE51E0" w14:textId="77777777" w:rsidR="00EA014D" w:rsidRDefault="001A1711">
      <w:pPr>
        <w:spacing w:after="322" w:line="259" w:lineRule="auto"/>
        <w:ind w:left="426" w:firstLine="0"/>
      </w:pPr>
      <w:r>
        <w:rPr>
          <w:sz w:val="22"/>
        </w:rPr>
        <w:t xml:space="preserve"> </w:t>
      </w:r>
    </w:p>
    <w:p w14:paraId="2557E2A2" w14:textId="77777777" w:rsidR="00EA014D" w:rsidRDefault="001A1711">
      <w:pPr>
        <w:spacing w:after="382" w:line="259" w:lineRule="auto"/>
        <w:ind w:left="426" w:firstLine="0"/>
      </w:pPr>
      <w:r>
        <w:rPr>
          <w:sz w:val="22"/>
        </w:rPr>
        <w:t xml:space="preserve"> </w:t>
      </w:r>
    </w:p>
    <w:p w14:paraId="379E15AD" w14:textId="77777777" w:rsidR="00EA014D" w:rsidRDefault="001A1711">
      <w:pPr>
        <w:spacing w:after="358" w:line="259" w:lineRule="auto"/>
        <w:ind w:left="426" w:firstLine="0"/>
      </w:pPr>
      <w:r>
        <w:rPr>
          <w:sz w:val="28"/>
        </w:rPr>
        <w:t xml:space="preserve"> </w:t>
      </w:r>
    </w:p>
    <w:p w14:paraId="46B269DC" w14:textId="77777777" w:rsidR="00EA014D" w:rsidRDefault="001A1711">
      <w:pPr>
        <w:spacing w:after="355" w:line="259" w:lineRule="auto"/>
        <w:ind w:left="421" w:hanging="10"/>
      </w:pPr>
      <w:r>
        <w:rPr>
          <w:rFonts w:cs="Arial"/>
          <w:b/>
          <w:sz w:val="28"/>
        </w:rPr>
        <w:t>Student name</w:t>
      </w:r>
      <w:r>
        <w:rPr>
          <w:sz w:val="28"/>
        </w:rPr>
        <w:t xml:space="preserve">: Belinda </w:t>
      </w:r>
      <w:proofErr w:type="spellStart"/>
      <w:r>
        <w:rPr>
          <w:sz w:val="28"/>
        </w:rPr>
        <w:t>Matembe</w:t>
      </w:r>
      <w:proofErr w:type="spellEnd"/>
      <w:r>
        <w:rPr>
          <w:sz w:val="28"/>
        </w:rPr>
        <w:t xml:space="preserve">  </w:t>
      </w:r>
    </w:p>
    <w:p w14:paraId="4593F8DC" w14:textId="77777777" w:rsidR="00EA014D" w:rsidRDefault="001A1711">
      <w:pPr>
        <w:spacing w:after="355" w:line="259" w:lineRule="auto"/>
        <w:ind w:left="421" w:hanging="10"/>
      </w:pPr>
      <w:r>
        <w:rPr>
          <w:rFonts w:cs="Arial"/>
          <w:b/>
          <w:sz w:val="28"/>
        </w:rPr>
        <w:t>Student ID</w:t>
      </w:r>
      <w:r>
        <w:rPr>
          <w:sz w:val="28"/>
        </w:rPr>
        <w:t xml:space="preserve">:232313066 </w:t>
      </w:r>
    </w:p>
    <w:p w14:paraId="58BEE4E4" w14:textId="77777777" w:rsidR="00EA014D" w:rsidRDefault="001A1711">
      <w:pPr>
        <w:spacing w:after="358" w:line="259" w:lineRule="auto"/>
        <w:ind w:left="426" w:firstLine="0"/>
      </w:pPr>
      <w:r>
        <w:rPr>
          <w:sz w:val="28"/>
        </w:rPr>
        <w:t xml:space="preserve"> </w:t>
      </w:r>
    </w:p>
    <w:p w14:paraId="2E5FD7EB" w14:textId="77777777" w:rsidR="00EA014D" w:rsidRDefault="001A1711">
      <w:pPr>
        <w:spacing w:after="355" w:line="259" w:lineRule="auto"/>
        <w:ind w:left="421" w:hanging="10"/>
      </w:pPr>
      <w:r>
        <w:rPr>
          <w:rFonts w:cs="Arial"/>
          <w:b/>
          <w:sz w:val="28"/>
        </w:rPr>
        <w:t>Module name</w:t>
      </w:r>
      <w:r>
        <w:rPr>
          <w:sz w:val="28"/>
        </w:rPr>
        <w:t xml:space="preserve">: Independent project </w:t>
      </w:r>
      <w:r>
        <w:rPr>
          <w:rFonts w:ascii="Century Schoolbook" w:eastAsia="Century Schoolbook" w:hAnsi="Century Schoolbook" w:cs="Century Schoolbook"/>
          <w:sz w:val="22"/>
        </w:rPr>
        <w:t xml:space="preserve"> </w:t>
      </w:r>
    </w:p>
    <w:p w14:paraId="2DEB2B16" w14:textId="77777777" w:rsidR="00EA014D" w:rsidRDefault="001A1711">
      <w:pPr>
        <w:spacing w:after="360" w:line="259" w:lineRule="auto"/>
        <w:ind w:left="436" w:hanging="10"/>
      </w:pPr>
      <w:r>
        <w:rPr>
          <w:rFonts w:ascii="Century Schoolbook" w:eastAsia="Century Schoolbook" w:hAnsi="Century Schoolbook" w:cs="Century Schoolbook"/>
          <w:sz w:val="22"/>
        </w:rPr>
        <w:t xml:space="preserve"> </w:t>
      </w:r>
      <w:r>
        <w:rPr>
          <w:rFonts w:cs="Arial"/>
          <w:b/>
          <w:sz w:val="28"/>
        </w:rPr>
        <w:t>Module code</w:t>
      </w:r>
      <w:r>
        <w:rPr>
          <w:sz w:val="28"/>
        </w:rPr>
        <w:t xml:space="preserve">: BMHP6020 </w:t>
      </w:r>
    </w:p>
    <w:p w14:paraId="31E0C73B" w14:textId="0C43226C" w:rsidR="00EA014D" w:rsidRDefault="001A1711">
      <w:pPr>
        <w:spacing w:after="313" w:line="259" w:lineRule="auto"/>
        <w:ind w:left="421" w:hanging="10"/>
      </w:pPr>
      <w:r>
        <w:rPr>
          <w:rFonts w:cs="Arial"/>
          <w:b/>
          <w:sz w:val="28"/>
        </w:rPr>
        <w:t>Supervisor’s name</w:t>
      </w:r>
      <w:r>
        <w:rPr>
          <w:sz w:val="28"/>
        </w:rPr>
        <w:t xml:space="preserve">: Jolly </w:t>
      </w:r>
      <w:proofErr w:type="spellStart"/>
      <w:r>
        <w:rPr>
          <w:sz w:val="28"/>
        </w:rPr>
        <w:t>Nwankwo</w:t>
      </w:r>
      <w:proofErr w:type="spellEnd"/>
      <w:r>
        <w:rPr>
          <w:sz w:val="28"/>
        </w:rPr>
        <w:t xml:space="preserve"> </w:t>
      </w:r>
    </w:p>
    <w:p w14:paraId="1747ECEA" w14:textId="77777777" w:rsidR="00EA014D" w:rsidRDefault="001A1711">
      <w:pPr>
        <w:spacing w:after="0" w:line="259" w:lineRule="auto"/>
        <w:ind w:left="0" w:firstLine="0"/>
      </w:pPr>
      <w:r>
        <w:rPr>
          <w:rFonts w:ascii="Century Schoolbook" w:eastAsia="Century Schoolbook" w:hAnsi="Century Schoolbook" w:cs="Century Schoolbook"/>
          <w:sz w:val="22"/>
        </w:rPr>
        <w:t xml:space="preserve"> </w:t>
      </w:r>
    </w:p>
    <w:p w14:paraId="3D58959D" w14:textId="77777777" w:rsidR="00EA014D" w:rsidRDefault="001A1711">
      <w:pPr>
        <w:spacing w:after="0" w:line="261" w:lineRule="auto"/>
        <w:ind w:left="-5" w:right="14314" w:hanging="10"/>
      </w:pPr>
      <w:r>
        <w:rPr>
          <w:rFonts w:ascii="Century Schoolbook" w:eastAsia="Century Schoolbook" w:hAnsi="Century Schoolbook" w:cs="Century Schoolbook"/>
          <w:sz w:val="22"/>
        </w:rPr>
        <w:t>`</w:t>
      </w:r>
    </w:p>
    <w:tbl>
      <w:tblPr>
        <w:tblStyle w:val="TableGrid"/>
        <w:tblW w:w="15455" w:type="dxa"/>
        <w:tblInd w:w="-565" w:type="dxa"/>
        <w:tblCellMar>
          <w:top w:w="44" w:type="dxa"/>
          <w:left w:w="2" w:type="dxa"/>
          <w:right w:w="39" w:type="dxa"/>
        </w:tblCellMar>
        <w:tblLook w:val="04A0" w:firstRow="1" w:lastRow="0" w:firstColumn="1" w:lastColumn="0" w:noHBand="0" w:noVBand="1"/>
        <w:tblDescription w:val="Layout table"/>
      </w:tblPr>
      <w:tblGrid>
        <w:gridCol w:w="5102"/>
        <w:gridCol w:w="420"/>
        <w:gridCol w:w="4496"/>
        <w:gridCol w:w="360"/>
        <w:gridCol w:w="5077"/>
      </w:tblGrid>
      <w:tr w:rsidR="00EA014D" w14:paraId="34A35F84" w14:textId="77777777">
        <w:trPr>
          <w:trHeight w:val="2986"/>
        </w:trPr>
        <w:tc>
          <w:tcPr>
            <w:tcW w:w="5102" w:type="dxa"/>
            <w:tcBorders>
              <w:top w:val="single" w:sz="4" w:space="0" w:color="000000"/>
              <w:left w:val="single" w:sz="4" w:space="0" w:color="000000"/>
              <w:bottom w:val="single" w:sz="4" w:space="0" w:color="000000"/>
              <w:right w:val="single" w:sz="4" w:space="0" w:color="000000"/>
            </w:tcBorders>
          </w:tcPr>
          <w:p w14:paraId="0A708241" w14:textId="77777777" w:rsidR="00EA014D" w:rsidRDefault="001A1711">
            <w:pPr>
              <w:spacing w:after="0" w:line="259" w:lineRule="auto"/>
              <w:ind w:left="113" w:firstLine="0"/>
            </w:pPr>
            <w:r>
              <w:rPr>
                <w:sz w:val="18"/>
              </w:rPr>
              <w:t xml:space="preserve"> </w:t>
            </w:r>
          </w:p>
          <w:p w14:paraId="19419F67" w14:textId="77777777" w:rsidR="00EA014D" w:rsidRDefault="001A1711">
            <w:pPr>
              <w:spacing w:after="75" w:line="259" w:lineRule="auto"/>
              <w:ind w:left="164" w:firstLine="0"/>
            </w:pPr>
            <w:r>
              <w:rPr>
                <w:noProof/>
              </w:rPr>
              <w:drawing>
                <wp:inline distT="0" distB="0" distL="0" distR="0" wp14:anchorId="702264E5" wp14:editId="72858971">
                  <wp:extent cx="2730500" cy="1255395"/>
                  <wp:effectExtent l="0" t="0" r="0" b="0"/>
                  <wp:docPr id="385" name="Picture 385"/>
                  <wp:cNvGraphicFramePr/>
                  <a:graphic xmlns:a="http://schemas.openxmlformats.org/drawingml/2006/main">
                    <a:graphicData uri="http://schemas.openxmlformats.org/drawingml/2006/picture">
                      <pic:pic xmlns:pic="http://schemas.openxmlformats.org/drawingml/2006/picture">
                        <pic:nvPicPr>
                          <pic:cNvPr id="385" name="Picture 385"/>
                          <pic:cNvPicPr/>
                        </pic:nvPicPr>
                        <pic:blipFill>
                          <a:blip r:embed="rId4"/>
                          <a:stretch>
                            <a:fillRect/>
                          </a:stretch>
                        </pic:blipFill>
                        <pic:spPr>
                          <a:xfrm>
                            <a:off x="0" y="0"/>
                            <a:ext cx="2730500" cy="1255395"/>
                          </a:xfrm>
                          <a:prstGeom prst="rect">
                            <a:avLst/>
                          </a:prstGeom>
                        </pic:spPr>
                      </pic:pic>
                    </a:graphicData>
                  </a:graphic>
                </wp:inline>
              </w:drawing>
            </w:r>
          </w:p>
          <w:p w14:paraId="058CF735" w14:textId="77777777" w:rsidR="00EA014D" w:rsidRDefault="001A1711">
            <w:pPr>
              <w:spacing w:after="0" w:line="259" w:lineRule="auto"/>
              <w:ind w:left="40" w:firstLine="0"/>
              <w:jc w:val="center"/>
            </w:pPr>
            <w:r>
              <w:rPr>
                <w:i/>
                <w:sz w:val="16"/>
              </w:rPr>
              <w:t>Figure: Research Process Overview</w:t>
            </w:r>
            <w:r>
              <w:rPr>
                <w:i/>
                <w:sz w:val="18"/>
              </w:rPr>
              <w:t xml:space="preserve"> </w:t>
            </w:r>
          </w:p>
        </w:tc>
        <w:tc>
          <w:tcPr>
            <w:tcW w:w="420" w:type="dxa"/>
            <w:vMerge w:val="restart"/>
            <w:tcBorders>
              <w:top w:val="single" w:sz="4" w:space="0" w:color="000000"/>
              <w:left w:val="single" w:sz="4" w:space="0" w:color="000000"/>
              <w:bottom w:val="single" w:sz="4" w:space="0" w:color="000000"/>
              <w:right w:val="single" w:sz="4" w:space="0" w:color="000000"/>
            </w:tcBorders>
          </w:tcPr>
          <w:p w14:paraId="0BF455FE" w14:textId="77777777" w:rsidR="00EA014D" w:rsidRDefault="001A1711">
            <w:pPr>
              <w:spacing w:after="0" w:line="259" w:lineRule="auto"/>
              <w:ind w:left="113" w:firstLine="0"/>
            </w:pPr>
            <w:r>
              <w:rPr>
                <w:sz w:val="18"/>
              </w:rPr>
              <w:t xml:space="preserve"> </w:t>
            </w:r>
          </w:p>
        </w:tc>
        <w:tc>
          <w:tcPr>
            <w:tcW w:w="4496" w:type="dxa"/>
            <w:vMerge w:val="restart"/>
            <w:tcBorders>
              <w:top w:val="single" w:sz="4" w:space="0" w:color="000000"/>
              <w:left w:val="single" w:sz="4" w:space="0" w:color="000000"/>
              <w:bottom w:val="single" w:sz="4" w:space="0" w:color="000000"/>
              <w:right w:val="single" w:sz="4" w:space="0" w:color="000000"/>
            </w:tcBorders>
          </w:tcPr>
          <w:p w14:paraId="3793AB6B" w14:textId="77777777" w:rsidR="00EA014D" w:rsidRDefault="001A1711">
            <w:pPr>
              <w:spacing w:after="0" w:line="259" w:lineRule="auto"/>
              <w:ind w:left="16" w:firstLine="0"/>
              <w:jc w:val="center"/>
            </w:pPr>
            <w:r>
              <w:rPr>
                <w:b/>
                <w:sz w:val="20"/>
              </w:rPr>
              <w:t xml:space="preserve">Accelerating Digital Transformation in </w:t>
            </w:r>
          </w:p>
          <w:p w14:paraId="3723FFEA" w14:textId="77777777" w:rsidR="00EA014D" w:rsidRDefault="001A1711">
            <w:pPr>
              <w:spacing w:after="222" w:line="259" w:lineRule="auto"/>
              <w:ind w:left="9" w:firstLine="0"/>
              <w:jc w:val="center"/>
            </w:pPr>
            <w:r>
              <w:rPr>
                <w:b/>
                <w:sz w:val="20"/>
              </w:rPr>
              <w:t xml:space="preserve">Health and Social Care in the UK </w:t>
            </w:r>
          </w:p>
          <w:p w14:paraId="7B1D77E4" w14:textId="77777777" w:rsidR="00EA014D" w:rsidRDefault="001A1711">
            <w:pPr>
              <w:spacing w:after="0" w:line="259" w:lineRule="auto"/>
              <w:ind w:left="113" w:right="79" w:firstLine="0"/>
              <w:jc w:val="both"/>
            </w:pPr>
            <w:r>
              <w:rPr>
                <w:sz w:val="20"/>
              </w:rPr>
              <w:t xml:space="preserve">The study seeks to explore the positive impact of digital transformation in the UK's health and social care sector. It explores the current state of digital transformation, the key barriers and enablers to digital transformation, and strategies that can drive digital transformation and speed it up. The study also offers suggestions on how to enhance digital healthcare services and facilitate better patient outcomes. For the purpose of meeting these objectives, secondary research is used for data collection and thematic analysis is used to </w:t>
            </w:r>
            <w:proofErr w:type="spellStart"/>
            <w:r>
              <w:rPr>
                <w:sz w:val="20"/>
              </w:rPr>
              <w:t>analyse</w:t>
            </w:r>
            <w:proofErr w:type="spellEnd"/>
            <w:r>
              <w:rPr>
                <w:sz w:val="20"/>
              </w:rPr>
              <w:t xml:space="preserve"> the collected evidence (de </w:t>
            </w:r>
            <w:proofErr w:type="spellStart"/>
            <w:r>
              <w:rPr>
                <w:sz w:val="20"/>
              </w:rPr>
              <w:t>Pablos</w:t>
            </w:r>
            <w:proofErr w:type="spellEnd"/>
            <w:r>
              <w:rPr>
                <w:sz w:val="20"/>
              </w:rPr>
              <w:t xml:space="preserve"> and Zhang, 2023). </w:t>
            </w:r>
          </w:p>
        </w:tc>
        <w:tc>
          <w:tcPr>
            <w:tcW w:w="360" w:type="dxa"/>
            <w:vMerge w:val="restart"/>
            <w:tcBorders>
              <w:top w:val="single" w:sz="4" w:space="0" w:color="000000"/>
              <w:left w:val="single" w:sz="4" w:space="0" w:color="000000"/>
              <w:bottom w:val="single" w:sz="4" w:space="0" w:color="000000"/>
              <w:right w:val="single" w:sz="4" w:space="0" w:color="000000"/>
            </w:tcBorders>
          </w:tcPr>
          <w:p w14:paraId="348D5566" w14:textId="77777777" w:rsidR="00EA014D" w:rsidRDefault="001A1711">
            <w:pPr>
              <w:spacing w:after="0" w:line="259" w:lineRule="auto"/>
              <w:ind w:left="114" w:firstLine="0"/>
            </w:pPr>
            <w:r>
              <w:rPr>
                <w:sz w:val="18"/>
              </w:rPr>
              <w:t xml:space="preserve"> </w:t>
            </w:r>
          </w:p>
        </w:tc>
        <w:tc>
          <w:tcPr>
            <w:tcW w:w="5077" w:type="dxa"/>
            <w:tcBorders>
              <w:top w:val="single" w:sz="4" w:space="0" w:color="000000"/>
              <w:left w:val="single" w:sz="4" w:space="0" w:color="000000"/>
              <w:bottom w:val="single" w:sz="4" w:space="0" w:color="000000"/>
              <w:right w:val="single" w:sz="4" w:space="0" w:color="000000"/>
            </w:tcBorders>
          </w:tcPr>
          <w:p w14:paraId="2D11EF5D" w14:textId="77777777" w:rsidR="00EA014D" w:rsidRDefault="001A1711">
            <w:pPr>
              <w:spacing w:after="0" w:line="259" w:lineRule="auto"/>
              <w:ind w:left="113" w:firstLine="0"/>
            </w:pPr>
            <w:r>
              <w:rPr>
                <w:sz w:val="18"/>
              </w:rPr>
              <w:t xml:space="preserve"> </w:t>
            </w:r>
          </w:p>
          <w:p w14:paraId="24189D4D" w14:textId="77777777" w:rsidR="00EA014D" w:rsidRDefault="001A1711">
            <w:pPr>
              <w:spacing w:after="35" w:line="259" w:lineRule="auto"/>
              <w:ind w:left="0" w:firstLine="0"/>
            </w:pPr>
            <w:r>
              <w:rPr>
                <w:noProof/>
              </w:rPr>
              <w:drawing>
                <wp:inline distT="0" distB="0" distL="0" distR="0" wp14:anchorId="07F6B59B" wp14:editId="1EA1B109">
                  <wp:extent cx="2766695" cy="1358265"/>
                  <wp:effectExtent l="0" t="0" r="0" b="0"/>
                  <wp:docPr id="387" name="Picture 387"/>
                  <wp:cNvGraphicFramePr/>
                  <a:graphic xmlns:a="http://schemas.openxmlformats.org/drawingml/2006/main">
                    <a:graphicData uri="http://schemas.openxmlformats.org/drawingml/2006/picture">
                      <pic:pic xmlns:pic="http://schemas.openxmlformats.org/drawingml/2006/picture">
                        <pic:nvPicPr>
                          <pic:cNvPr id="387" name="Picture 387"/>
                          <pic:cNvPicPr/>
                        </pic:nvPicPr>
                        <pic:blipFill>
                          <a:blip r:embed="rId5"/>
                          <a:stretch>
                            <a:fillRect/>
                          </a:stretch>
                        </pic:blipFill>
                        <pic:spPr>
                          <a:xfrm>
                            <a:off x="0" y="0"/>
                            <a:ext cx="2766695" cy="1358265"/>
                          </a:xfrm>
                          <a:prstGeom prst="rect">
                            <a:avLst/>
                          </a:prstGeom>
                        </pic:spPr>
                      </pic:pic>
                    </a:graphicData>
                  </a:graphic>
                </wp:inline>
              </w:drawing>
            </w:r>
          </w:p>
          <w:p w14:paraId="5F5756A2" w14:textId="77777777" w:rsidR="00EA014D" w:rsidRDefault="001A1711">
            <w:pPr>
              <w:spacing w:after="0" w:line="259" w:lineRule="auto"/>
              <w:ind w:left="116" w:right="46" w:firstLine="0"/>
              <w:jc w:val="center"/>
            </w:pPr>
            <w:r>
              <w:rPr>
                <w:i/>
                <w:sz w:val="16"/>
              </w:rPr>
              <w:t>Figure: Six Stages of Thematic Analysis; SOURCE: (</w:t>
            </w:r>
            <w:proofErr w:type="spellStart"/>
            <w:r>
              <w:rPr>
                <w:i/>
                <w:sz w:val="16"/>
              </w:rPr>
              <w:t>Cresswell</w:t>
            </w:r>
            <w:proofErr w:type="spellEnd"/>
            <w:r>
              <w:rPr>
                <w:i/>
                <w:sz w:val="16"/>
              </w:rPr>
              <w:t xml:space="preserve"> et al., 2024)</w:t>
            </w:r>
            <w:r>
              <w:rPr>
                <w:i/>
                <w:sz w:val="18"/>
              </w:rPr>
              <w:t xml:space="preserve"> </w:t>
            </w:r>
          </w:p>
        </w:tc>
      </w:tr>
      <w:tr w:rsidR="00EA014D" w14:paraId="1490593C" w14:textId="77777777">
        <w:trPr>
          <w:trHeight w:val="435"/>
        </w:trPr>
        <w:tc>
          <w:tcPr>
            <w:tcW w:w="5102" w:type="dxa"/>
            <w:tcBorders>
              <w:top w:val="single" w:sz="4" w:space="0" w:color="000000"/>
              <w:left w:val="single" w:sz="4" w:space="0" w:color="000000"/>
              <w:bottom w:val="single" w:sz="4" w:space="0" w:color="000000"/>
              <w:right w:val="single" w:sz="4" w:space="0" w:color="000000"/>
            </w:tcBorders>
          </w:tcPr>
          <w:p w14:paraId="7A941C8C" w14:textId="77777777" w:rsidR="00EA014D" w:rsidRDefault="001A1711">
            <w:pPr>
              <w:spacing w:after="0" w:line="259" w:lineRule="auto"/>
              <w:ind w:left="113" w:firstLine="0"/>
            </w:pPr>
            <w:r>
              <w:rPr>
                <w:sz w:val="18"/>
              </w:rPr>
              <w:t xml:space="preserve"> </w:t>
            </w:r>
          </w:p>
        </w:tc>
        <w:tc>
          <w:tcPr>
            <w:tcW w:w="0" w:type="auto"/>
            <w:vMerge/>
            <w:tcBorders>
              <w:top w:val="nil"/>
              <w:left w:val="single" w:sz="4" w:space="0" w:color="000000"/>
              <w:bottom w:val="nil"/>
              <w:right w:val="single" w:sz="4" w:space="0" w:color="000000"/>
            </w:tcBorders>
          </w:tcPr>
          <w:p w14:paraId="1F181FA5" w14:textId="77777777" w:rsidR="00EA014D" w:rsidRDefault="00EA014D">
            <w:pPr>
              <w:spacing w:after="160" w:line="259" w:lineRule="auto"/>
              <w:ind w:left="0" w:firstLine="0"/>
            </w:pPr>
          </w:p>
        </w:tc>
        <w:tc>
          <w:tcPr>
            <w:tcW w:w="0" w:type="auto"/>
            <w:vMerge/>
            <w:tcBorders>
              <w:top w:val="nil"/>
              <w:left w:val="single" w:sz="4" w:space="0" w:color="000000"/>
              <w:bottom w:val="nil"/>
              <w:right w:val="single" w:sz="4" w:space="0" w:color="000000"/>
            </w:tcBorders>
          </w:tcPr>
          <w:p w14:paraId="7B82CF49" w14:textId="77777777" w:rsidR="00EA014D" w:rsidRDefault="00EA014D">
            <w:pPr>
              <w:spacing w:after="160" w:line="259" w:lineRule="auto"/>
              <w:ind w:left="0" w:firstLine="0"/>
            </w:pPr>
          </w:p>
        </w:tc>
        <w:tc>
          <w:tcPr>
            <w:tcW w:w="0" w:type="auto"/>
            <w:vMerge/>
            <w:tcBorders>
              <w:top w:val="nil"/>
              <w:left w:val="single" w:sz="4" w:space="0" w:color="000000"/>
              <w:bottom w:val="nil"/>
              <w:right w:val="single" w:sz="4" w:space="0" w:color="000000"/>
            </w:tcBorders>
          </w:tcPr>
          <w:p w14:paraId="64571542" w14:textId="77777777" w:rsidR="00EA014D" w:rsidRDefault="00EA014D">
            <w:pPr>
              <w:spacing w:after="160" w:line="259" w:lineRule="auto"/>
              <w:ind w:left="0" w:firstLine="0"/>
            </w:pPr>
          </w:p>
        </w:tc>
        <w:tc>
          <w:tcPr>
            <w:tcW w:w="5077" w:type="dxa"/>
            <w:tcBorders>
              <w:top w:val="single" w:sz="4" w:space="0" w:color="000000"/>
              <w:left w:val="single" w:sz="4" w:space="0" w:color="000000"/>
              <w:bottom w:val="single" w:sz="4" w:space="0" w:color="000000"/>
              <w:right w:val="single" w:sz="4" w:space="0" w:color="000000"/>
            </w:tcBorders>
          </w:tcPr>
          <w:p w14:paraId="7BD77AD6" w14:textId="77777777" w:rsidR="00EA014D" w:rsidRDefault="001A1711">
            <w:pPr>
              <w:spacing w:after="0" w:line="259" w:lineRule="auto"/>
              <w:ind w:left="113" w:firstLine="0"/>
            </w:pPr>
            <w:r>
              <w:rPr>
                <w:sz w:val="18"/>
              </w:rPr>
              <w:t xml:space="preserve"> </w:t>
            </w:r>
          </w:p>
        </w:tc>
      </w:tr>
      <w:tr w:rsidR="00EA014D" w14:paraId="53DE4B41" w14:textId="77777777">
        <w:trPr>
          <w:trHeight w:val="610"/>
        </w:trPr>
        <w:tc>
          <w:tcPr>
            <w:tcW w:w="5102" w:type="dxa"/>
            <w:vMerge w:val="restart"/>
            <w:tcBorders>
              <w:top w:val="single" w:sz="4" w:space="0" w:color="000000"/>
              <w:left w:val="single" w:sz="4" w:space="0" w:color="000000"/>
              <w:bottom w:val="single" w:sz="4" w:space="0" w:color="000000"/>
              <w:right w:val="single" w:sz="4" w:space="0" w:color="000000"/>
            </w:tcBorders>
          </w:tcPr>
          <w:p w14:paraId="00BBFF15" w14:textId="77777777" w:rsidR="00EA014D" w:rsidRDefault="001A1711">
            <w:pPr>
              <w:spacing w:after="212" w:line="259" w:lineRule="auto"/>
              <w:ind w:left="24" w:firstLine="0"/>
              <w:jc w:val="center"/>
            </w:pPr>
            <w:r>
              <w:rPr>
                <w:b/>
                <w:sz w:val="26"/>
              </w:rPr>
              <w:t xml:space="preserve">Methodology </w:t>
            </w:r>
          </w:p>
          <w:p w14:paraId="47358984" w14:textId="77777777" w:rsidR="00EA014D" w:rsidRDefault="001A1711">
            <w:pPr>
              <w:spacing w:after="0" w:line="259" w:lineRule="auto"/>
              <w:ind w:left="113" w:right="73" w:firstLine="0"/>
              <w:jc w:val="both"/>
            </w:pPr>
            <w:r>
              <w:rPr>
                <w:sz w:val="26"/>
              </w:rPr>
              <w:t>The method used in this study is a qualitative secondary research method because it is a method that can be used to collect evidence from academic and professional sources. Peer-reviewed journal articles, books, NHS publications and UK government reports on digital transformation in health and social care are used to gather data. A critical review, comparison and synthesis of relevant literature is undertaken to highlight common findings, barriers, opportunities and best practices. It is one way that provides reliable and up-to-date evidence and does not require the time and ethical standards needed for primary data collection (</w:t>
            </w:r>
            <w:proofErr w:type="spellStart"/>
            <w:r>
              <w:rPr>
                <w:sz w:val="26"/>
              </w:rPr>
              <w:t>Cresswell</w:t>
            </w:r>
            <w:proofErr w:type="spellEnd"/>
            <w:r>
              <w:rPr>
                <w:sz w:val="26"/>
              </w:rPr>
              <w:t xml:space="preserve"> et al., 2024; </w:t>
            </w:r>
            <w:proofErr w:type="spellStart"/>
            <w:r>
              <w:rPr>
                <w:sz w:val="26"/>
              </w:rPr>
              <w:t>Njoku</w:t>
            </w:r>
            <w:proofErr w:type="spellEnd"/>
            <w:r>
              <w:rPr>
                <w:sz w:val="26"/>
              </w:rPr>
              <w:t xml:space="preserve"> et al., 2023). </w:t>
            </w:r>
          </w:p>
        </w:tc>
        <w:tc>
          <w:tcPr>
            <w:tcW w:w="0" w:type="auto"/>
            <w:vMerge/>
            <w:tcBorders>
              <w:top w:val="nil"/>
              <w:left w:val="single" w:sz="4" w:space="0" w:color="000000"/>
              <w:bottom w:val="nil"/>
              <w:right w:val="single" w:sz="4" w:space="0" w:color="000000"/>
            </w:tcBorders>
          </w:tcPr>
          <w:p w14:paraId="6BE97254" w14:textId="77777777" w:rsidR="00EA014D" w:rsidRDefault="00EA014D">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14:paraId="75D402F6" w14:textId="77777777" w:rsidR="00EA014D" w:rsidRDefault="00EA014D">
            <w:pPr>
              <w:spacing w:after="160" w:line="259" w:lineRule="auto"/>
              <w:ind w:left="0" w:firstLine="0"/>
            </w:pPr>
          </w:p>
        </w:tc>
        <w:tc>
          <w:tcPr>
            <w:tcW w:w="0" w:type="auto"/>
            <w:vMerge/>
            <w:tcBorders>
              <w:top w:val="nil"/>
              <w:left w:val="single" w:sz="4" w:space="0" w:color="000000"/>
              <w:bottom w:val="nil"/>
              <w:right w:val="single" w:sz="4" w:space="0" w:color="000000"/>
            </w:tcBorders>
          </w:tcPr>
          <w:p w14:paraId="6182A0B6" w14:textId="77777777" w:rsidR="00EA014D" w:rsidRDefault="00EA014D">
            <w:pPr>
              <w:spacing w:after="160" w:line="259" w:lineRule="auto"/>
              <w:ind w:left="0" w:firstLine="0"/>
            </w:pPr>
          </w:p>
        </w:tc>
        <w:tc>
          <w:tcPr>
            <w:tcW w:w="5077" w:type="dxa"/>
            <w:vMerge w:val="restart"/>
            <w:tcBorders>
              <w:top w:val="single" w:sz="4" w:space="0" w:color="000000"/>
              <w:left w:val="single" w:sz="4" w:space="0" w:color="000000"/>
              <w:bottom w:val="single" w:sz="4" w:space="0" w:color="000000"/>
              <w:right w:val="single" w:sz="4" w:space="0" w:color="000000"/>
            </w:tcBorders>
          </w:tcPr>
          <w:p w14:paraId="6B5C3E01" w14:textId="77777777" w:rsidR="00EA014D" w:rsidRDefault="001A1711">
            <w:pPr>
              <w:spacing w:after="177" w:line="259" w:lineRule="auto"/>
              <w:ind w:left="27" w:firstLine="0"/>
              <w:jc w:val="center"/>
            </w:pPr>
            <w:r>
              <w:rPr>
                <w:b/>
                <w:sz w:val="22"/>
              </w:rPr>
              <w:t xml:space="preserve">Data Analysis </w:t>
            </w:r>
          </w:p>
          <w:p w14:paraId="4CC3AF0A" w14:textId="77777777" w:rsidR="00EA014D" w:rsidRDefault="001A1711">
            <w:pPr>
              <w:spacing w:line="240" w:lineRule="auto"/>
              <w:ind w:left="113" w:right="71" w:firstLine="0"/>
              <w:jc w:val="both"/>
            </w:pPr>
            <w:r>
              <w:rPr>
                <w:sz w:val="18"/>
              </w:rPr>
              <w:t xml:space="preserve">Thematic analysis is the method used for the analysis of the collected literature. Information relevant to the research is thoroughly </w:t>
            </w:r>
            <w:proofErr w:type="spellStart"/>
            <w:r>
              <w:rPr>
                <w:sz w:val="18"/>
              </w:rPr>
              <w:t>analysed</w:t>
            </w:r>
            <w:proofErr w:type="spellEnd"/>
            <w:r>
              <w:rPr>
                <w:sz w:val="18"/>
              </w:rPr>
              <w:t xml:space="preserve">, coded and </w:t>
            </w:r>
            <w:proofErr w:type="spellStart"/>
            <w:r>
              <w:rPr>
                <w:sz w:val="18"/>
              </w:rPr>
              <w:t>categorised</w:t>
            </w:r>
            <w:proofErr w:type="spellEnd"/>
            <w:r>
              <w:rPr>
                <w:sz w:val="18"/>
              </w:rPr>
              <w:t xml:space="preserve"> into meaningful themes such as digital technologies, barriers to implementation, digital inequalities, </w:t>
            </w:r>
            <w:proofErr w:type="spellStart"/>
            <w:r>
              <w:rPr>
                <w:sz w:val="18"/>
              </w:rPr>
              <w:t>organisational</w:t>
            </w:r>
            <w:proofErr w:type="spellEnd"/>
            <w:r>
              <w:rPr>
                <w:sz w:val="18"/>
              </w:rPr>
              <w:t xml:space="preserve"> readiness and strategies for improvement. The similarities and differences of the studies are explored to identify any common themes and gaps in the evidence. The themes are then explained to help answer the research questions and to develop evidence-based recommendations to help move the UK's health and social care services faster towards digital transformation (</w:t>
            </w:r>
            <w:proofErr w:type="spellStart"/>
            <w:r>
              <w:rPr>
                <w:sz w:val="18"/>
              </w:rPr>
              <w:t>Cresswell</w:t>
            </w:r>
            <w:proofErr w:type="spellEnd"/>
            <w:r>
              <w:rPr>
                <w:sz w:val="18"/>
              </w:rPr>
              <w:t xml:space="preserve"> et al., 2024). </w:t>
            </w:r>
          </w:p>
          <w:p w14:paraId="0A1EE415" w14:textId="77777777" w:rsidR="00EA014D" w:rsidRDefault="001A1711">
            <w:pPr>
              <w:spacing w:after="262" w:line="259" w:lineRule="auto"/>
              <w:ind w:left="113" w:firstLine="0"/>
            </w:pPr>
            <w:r>
              <w:rPr>
                <w:sz w:val="18"/>
              </w:rPr>
              <w:t xml:space="preserve"> </w:t>
            </w:r>
          </w:p>
          <w:p w14:paraId="5E20BE1D" w14:textId="77777777" w:rsidR="00EA014D" w:rsidRDefault="001A1711">
            <w:pPr>
              <w:spacing w:after="182" w:line="259" w:lineRule="auto"/>
              <w:ind w:left="10" w:firstLine="0"/>
              <w:jc w:val="center"/>
            </w:pPr>
            <w:r>
              <w:rPr>
                <w:b/>
              </w:rPr>
              <w:t xml:space="preserve">Ethical Considerations </w:t>
            </w:r>
          </w:p>
          <w:p w14:paraId="292A3920" w14:textId="77777777" w:rsidR="00EA014D" w:rsidRDefault="001A1711">
            <w:pPr>
              <w:spacing w:after="0" w:line="259" w:lineRule="auto"/>
              <w:ind w:left="113" w:right="82" w:firstLine="0"/>
              <w:jc w:val="both"/>
            </w:pPr>
            <w:r>
              <w:rPr>
                <w:sz w:val="20"/>
              </w:rPr>
              <w:t xml:space="preserve">This research is a secondary research, there is no human involvement and therefore no formal ethical approval is required. Ethical practice is ensured by the use of credible, peer-reviewed sources, accurate presentation of findings, and by avoiding plagiarism by correctly using Harvard referencing, and by reporting evidence objectively without changing or misrepresenting published information. These principles support academic integrity of research and reliability of research outcomes. </w:t>
            </w:r>
          </w:p>
        </w:tc>
      </w:tr>
      <w:tr w:rsidR="00EA014D" w14:paraId="40692E83" w14:textId="77777777">
        <w:trPr>
          <w:trHeight w:val="435"/>
        </w:trPr>
        <w:tc>
          <w:tcPr>
            <w:tcW w:w="0" w:type="auto"/>
            <w:vMerge/>
            <w:tcBorders>
              <w:top w:val="nil"/>
              <w:left w:val="single" w:sz="4" w:space="0" w:color="000000"/>
              <w:bottom w:val="nil"/>
              <w:right w:val="single" w:sz="4" w:space="0" w:color="000000"/>
            </w:tcBorders>
          </w:tcPr>
          <w:p w14:paraId="11F9D329" w14:textId="77777777" w:rsidR="00EA014D" w:rsidRDefault="00EA014D">
            <w:pPr>
              <w:spacing w:after="160" w:line="259" w:lineRule="auto"/>
              <w:ind w:left="0" w:firstLine="0"/>
            </w:pPr>
          </w:p>
        </w:tc>
        <w:tc>
          <w:tcPr>
            <w:tcW w:w="0" w:type="auto"/>
            <w:vMerge/>
            <w:tcBorders>
              <w:top w:val="nil"/>
              <w:left w:val="single" w:sz="4" w:space="0" w:color="000000"/>
              <w:bottom w:val="nil"/>
              <w:right w:val="single" w:sz="4" w:space="0" w:color="000000"/>
            </w:tcBorders>
          </w:tcPr>
          <w:p w14:paraId="38267781" w14:textId="77777777" w:rsidR="00EA014D" w:rsidRDefault="00EA014D">
            <w:pPr>
              <w:spacing w:after="160" w:line="259" w:lineRule="auto"/>
              <w:ind w:left="0" w:firstLine="0"/>
            </w:pPr>
          </w:p>
        </w:tc>
        <w:tc>
          <w:tcPr>
            <w:tcW w:w="4496" w:type="dxa"/>
            <w:tcBorders>
              <w:top w:val="single" w:sz="4" w:space="0" w:color="000000"/>
              <w:left w:val="single" w:sz="4" w:space="0" w:color="000000"/>
              <w:bottom w:val="single" w:sz="4" w:space="0" w:color="000000"/>
              <w:right w:val="single" w:sz="4" w:space="0" w:color="000000"/>
            </w:tcBorders>
          </w:tcPr>
          <w:p w14:paraId="36C35EC3" w14:textId="77777777" w:rsidR="00EA014D" w:rsidRDefault="001A1711">
            <w:pPr>
              <w:spacing w:after="0" w:line="259" w:lineRule="auto"/>
              <w:ind w:left="113" w:firstLine="0"/>
            </w:pPr>
            <w:r>
              <w:rPr>
                <w:sz w:val="18"/>
              </w:rPr>
              <w:t xml:space="preserve"> </w:t>
            </w:r>
          </w:p>
        </w:tc>
        <w:tc>
          <w:tcPr>
            <w:tcW w:w="0" w:type="auto"/>
            <w:vMerge/>
            <w:tcBorders>
              <w:top w:val="nil"/>
              <w:left w:val="single" w:sz="4" w:space="0" w:color="000000"/>
              <w:bottom w:val="nil"/>
              <w:right w:val="single" w:sz="4" w:space="0" w:color="000000"/>
            </w:tcBorders>
          </w:tcPr>
          <w:p w14:paraId="001742F3" w14:textId="77777777" w:rsidR="00EA014D" w:rsidRDefault="00EA014D">
            <w:pPr>
              <w:spacing w:after="160" w:line="259" w:lineRule="auto"/>
              <w:ind w:left="0" w:firstLine="0"/>
            </w:pPr>
          </w:p>
        </w:tc>
        <w:tc>
          <w:tcPr>
            <w:tcW w:w="0" w:type="auto"/>
            <w:vMerge/>
            <w:tcBorders>
              <w:top w:val="nil"/>
              <w:left w:val="single" w:sz="4" w:space="0" w:color="000000"/>
              <w:bottom w:val="nil"/>
              <w:right w:val="single" w:sz="4" w:space="0" w:color="000000"/>
            </w:tcBorders>
          </w:tcPr>
          <w:p w14:paraId="17700B2B" w14:textId="77777777" w:rsidR="00EA014D" w:rsidRDefault="00EA014D">
            <w:pPr>
              <w:spacing w:after="160" w:line="259" w:lineRule="auto"/>
              <w:ind w:left="0" w:firstLine="0"/>
            </w:pPr>
          </w:p>
        </w:tc>
      </w:tr>
      <w:tr w:rsidR="00EA014D" w14:paraId="29315186" w14:textId="77777777">
        <w:trPr>
          <w:trHeight w:val="6447"/>
        </w:trPr>
        <w:tc>
          <w:tcPr>
            <w:tcW w:w="0" w:type="auto"/>
            <w:vMerge/>
            <w:tcBorders>
              <w:top w:val="nil"/>
              <w:left w:val="single" w:sz="4" w:space="0" w:color="000000"/>
              <w:bottom w:val="single" w:sz="4" w:space="0" w:color="000000"/>
              <w:right w:val="single" w:sz="4" w:space="0" w:color="000000"/>
            </w:tcBorders>
          </w:tcPr>
          <w:p w14:paraId="1E2A4070" w14:textId="77777777" w:rsidR="00EA014D" w:rsidRDefault="00EA014D">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14:paraId="55F6B8B7" w14:textId="77777777" w:rsidR="00EA014D" w:rsidRDefault="00EA014D">
            <w:pPr>
              <w:spacing w:after="160" w:line="259" w:lineRule="auto"/>
              <w:ind w:left="0" w:firstLine="0"/>
            </w:pPr>
          </w:p>
        </w:tc>
        <w:tc>
          <w:tcPr>
            <w:tcW w:w="4496" w:type="dxa"/>
            <w:tcBorders>
              <w:top w:val="single" w:sz="4" w:space="0" w:color="000000"/>
              <w:left w:val="single" w:sz="4" w:space="0" w:color="000000"/>
              <w:bottom w:val="single" w:sz="4" w:space="0" w:color="000000"/>
              <w:right w:val="single" w:sz="4" w:space="0" w:color="000000"/>
            </w:tcBorders>
          </w:tcPr>
          <w:p w14:paraId="75192EE0" w14:textId="77777777" w:rsidR="00EA014D" w:rsidRDefault="001A1711">
            <w:pPr>
              <w:spacing w:after="237" w:line="259" w:lineRule="auto"/>
              <w:ind w:left="24" w:firstLine="0"/>
              <w:jc w:val="center"/>
            </w:pPr>
            <w:r>
              <w:rPr>
                <w:b/>
                <w:sz w:val="22"/>
              </w:rPr>
              <w:t xml:space="preserve">Data Collection </w:t>
            </w:r>
          </w:p>
          <w:p w14:paraId="622844E1" w14:textId="77777777" w:rsidR="00EA014D" w:rsidRDefault="001A1711">
            <w:pPr>
              <w:spacing w:after="164" w:line="240" w:lineRule="auto"/>
              <w:ind w:left="113" w:right="71" w:firstLine="0"/>
              <w:jc w:val="both"/>
            </w:pPr>
            <w:r>
              <w:t xml:space="preserve">Data is collected through a structured literature search of Google Scholar, University library databases, peer reviewed journals, books and UK Government publications. Only recent and relevant studies related to digital transformation in the health and social care sector in the UK are included, based on the research objectives. Preprocessed evidence is presented in a systematic way before thematic analysis to identify the barriers, digital inequalities and effective implementation strategies that can guide and support improved healthcare delivery (Asthana and Prime, 2023; van Kessel et al., 2022; </w:t>
            </w:r>
            <w:proofErr w:type="spellStart"/>
            <w:r>
              <w:t>Njoku</w:t>
            </w:r>
            <w:proofErr w:type="spellEnd"/>
            <w:r>
              <w:t xml:space="preserve"> et al., 2023). </w:t>
            </w:r>
          </w:p>
          <w:p w14:paraId="3DE74F2B" w14:textId="77777777" w:rsidR="00EA014D" w:rsidRDefault="001A1711">
            <w:pPr>
              <w:spacing w:after="0" w:line="259" w:lineRule="auto"/>
              <w:ind w:left="113" w:firstLine="0"/>
            </w:pPr>
            <w:r>
              <w:rPr>
                <w:sz w:val="18"/>
              </w:rPr>
              <w:t xml:space="preserve"> </w:t>
            </w:r>
          </w:p>
        </w:tc>
        <w:tc>
          <w:tcPr>
            <w:tcW w:w="0" w:type="auto"/>
            <w:vMerge/>
            <w:tcBorders>
              <w:top w:val="nil"/>
              <w:left w:val="single" w:sz="4" w:space="0" w:color="000000"/>
              <w:bottom w:val="single" w:sz="4" w:space="0" w:color="000000"/>
              <w:right w:val="single" w:sz="4" w:space="0" w:color="000000"/>
            </w:tcBorders>
          </w:tcPr>
          <w:p w14:paraId="6DD4FFE2" w14:textId="77777777" w:rsidR="00EA014D" w:rsidRDefault="00EA014D">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14:paraId="1F696416" w14:textId="77777777" w:rsidR="00EA014D" w:rsidRDefault="00EA014D">
            <w:pPr>
              <w:spacing w:after="160" w:line="259" w:lineRule="auto"/>
              <w:ind w:left="0" w:firstLine="0"/>
            </w:pPr>
          </w:p>
        </w:tc>
      </w:tr>
    </w:tbl>
    <w:p w14:paraId="641137A0" w14:textId="77777777" w:rsidR="00EA014D" w:rsidRDefault="001A1711">
      <w:pPr>
        <w:spacing w:after="242" w:line="261" w:lineRule="auto"/>
        <w:ind w:left="-5" w:right="14314" w:hanging="10"/>
      </w:pPr>
      <w:r>
        <w:rPr>
          <w:rFonts w:ascii="Century Schoolbook" w:eastAsia="Century Schoolbook" w:hAnsi="Century Schoolbook" w:cs="Century Schoolbook"/>
          <w:sz w:val="22"/>
        </w:rPr>
        <w:t xml:space="preserve">`  </w:t>
      </w:r>
    </w:p>
    <w:p w14:paraId="038FECF0" w14:textId="77777777" w:rsidR="00EA014D" w:rsidRDefault="001A1711">
      <w:pPr>
        <w:spacing w:after="153" w:line="259" w:lineRule="auto"/>
        <w:ind w:left="-5" w:hanging="10"/>
      </w:pPr>
      <w:r>
        <w:rPr>
          <w:rFonts w:cs="Arial"/>
          <w:b/>
          <w:sz w:val="28"/>
        </w:rPr>
        <w:t xml:space="preserve">References </w:t>
      </w:r>
    </w:p>
    <w:p w14:paraId="438177AC" w14:textId="77777777" w:rsidR="00EA014D" w:rsidRDefault="001A1711">
      <w:pPr>
        <w:spacing w:after="197" w:line="259" w:lineRule="auto"/>
        <w:ind w:left="0" w:firstLine="0"/>
      </w:pPr>
      <w:r>
        <w:t xml:space="preserve">     </w:t>
      </w:r>
    </w:p>
    <w:p w14:paraId="58D8DC12" w14:textId="77777777" w:rsidR="00EA014D" w:rsidRDefault="001A1711">
      <w:pPr>
        <w:ind w:left="716"/>
      </w:pPr>
      <w:r>
        <w:t xml:space="preserve">Asthana, S. and Prime, S., 2023. The role of digital transformation in addressing health inequalities in coastal communities: barriers and enablers. Frontiers in health services, 3, p.1225757. </w:t>
      </w:r>
    </w:p>
    <w:p w14:paraId="127F8F89" w14:textId="77777777" w:rsidR="00EA014D" w:rsidRDefault="001A1711">
      <w:pPr>
        <w:ind w:left="716"/>
      </w:pPr>
      <w:proofErr w:type="spellStart"/>
      <w:r>
        <w:t>Cresswell</w:t>
      </w:r>
      <w:proofErr w:type="spellEnd"/>
      <w:r>
        <w:t xml:space="preserve">, K., Sullivan, C., </w:t>
      </w:r>
      <w:proofErr w:type="spellStart"/>
      <w:r>
        <w:t>Theal</w:t>
      </w:r>
      <w:proofErr w:type="spellEnd"/>
      <w:r>
        <w:t xml:space="preserve">, J., </w:t>
      </w:r>
      <w:proofErr w:type="spellStart"/>
      <w:r>
        <w:t>Mozaffar</w:t>
      </w:r>
      <w:proofErr w:type="spellEnd"/>
      <w:r>
        <w:t>, H. and Williams, R., 2024. Concerted adoption as an emerging strategy for digital transformation of healthcare</w:t>
      </w:r>
      <w:r>
        <w:rPr>
          <w:rFonts w:cs="Arial"/>
        </w:rPr>
        <w:t>—</w:t>
      </w:r>
      <w:r>
        <w:t xml:space="preserve">lessons from Australia, Canada, and England. Journal of the American Medical Informatics Association, 31(5), pp.1211-1215. </w:t>
      </w:r>
    </w:p>
    <w:p w14:paraId="42B22AF3" w14:textId="77777777" w:rsidR="00EA014D" w:rsidRDefault="001A1711">
      <w:pPr>
        <w:ind w:left="716"/>
      </w:pPr>
      <w:r>
        <w:t xml:space="preserve">de </w:t>
      </w:r>
      <w:proofErr w:type="spellStart"/>
      <w:r>
        <w:t>Pablos</w:t>
      </w:r>
      <w:proofErr w:type="spellEnd"/>
      <w:r>
        <w:t xml:space="preserve">, P.O. and Zhang, X. eds., 2023. Accelerating Strategic Changes for Digital Transformation in the Healthcare Industry. Elsevier. </w:t>
      </w:r>
    </w:p>
    <w:p w14:paraId="48267E40" w14:textId="77777777" w:rsidR="00EA014D" w:rsidRDefault="001A1711">
      <w:pPr>
        <w:ind w:left="716"/>
      </w:pPr>
      <w:proofErr w:type="spellStart"/>
      <w:r>
        <w:t>Njoku</w:t>
      </w:r>
      <w:proofErr w:type="spellEnd"/>
      <w:r>
        <w:t xml:space="preserve">, C., Green Hofer, S., </w:t>
      </w:r>
      <w:proofErr w:type="spellStart"/>
      <w:r>
        <w:t>Sathyamoorthy</w:t>
      </w:r>
      <w:proofErr w:type="spellEnd"/>
      <w:r>
        <w:t xml:space="preserve">, G., Patel, N. and Potts, H.W., 2023. The role of accelerator </w:t>
      </w:r>
      <w:proofErr w:type="spellStart"/>
      <w:r>
        <w:t>programmes</w:t>
      </w:r>
      <w:proofErr w:type="spellEnd"/>
      <w:r>
        <w:t xml:space="preserve"> in supporting the adoption of digital health technologies: A qualitative study of the perspectives of small-and medium-sized enterprises. Digital Health, 9, p.20552076231173303. </w:t>
      </w:r>
    </w:p>
    <w:p w14:paraId="07C62C27" w14:textId="77777777" w:rsidR="00EA014D" w:rsidRDefault="001A1711">
      <w:pPr>
        <w:ind w:left="721" w:right="22" w:hanging="721"/>
        <w:jc w:val="both"/>
      </w:pPr>
      <w:r>
        <w:t xml:space="preserve">van Kessel, R., </w:t>
      </w:r>
      <w:proofErr w:type="spellStart"/>
      <w:r>
        <w:t>Hrzic</w:t>
      </w:r>
      <w:proofErr w:type="spellEnd"/>
      <w:r>
        <w:t xml:space="preserve">, R., </w:t>
      </w:r>
      <w:proofErr w:type="spellStart"/>
      <w:r>
        <w:t>O'Nuallain</w:t>
      </w:r>
      <w:proofErr w:type="spellEnd"/>
      <w:r>
        <w:t xml:space="preserve">, E., Weir, E., Wong, B.L.H., Anderson, M., Baron-Cohen, S. and </w:t>
      </w:r>
      <w:proofErr w:type="spellStart"/>
      <w:r>
        <w:t>Mossialos</w:t>
      </w:r>
      <w:proofErr w:type="spellEnd"/>
      <w:r>
        <w:t xml:space="preserve">, E., 2022. Digital health paradox: international policy perspectives to address increased health inequalities for people living with disabilities. Journal of medical Internet research, 24(2), p.e33819. </w:t>
      </w:r>
    </w:p>
    <w:p w14:paraId="589891E8" w14:textId="77777777" w:rsidR="00EA014D" w:rsidRDefault="001A1711">
      <w:pPr>
        <w:spacing w:after="0" w:line="259" w:lineRule="auto"/>
        <w:ind w:left="0" w:firstLine="0"/>
      </w:pPr>
      <w:r>
        <w:t xml:space="preserve"> </w:t>
      </w:r>
    </w:p>
    <w:sectPr w:rsidR="00EA014D">
      <w:pgSz w:w="15840" w:h="12240" w:orient="landscape"/>
      <w:pgMar w:top="488" w:right="718" w:bottom="601"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14D"/>
    <w:rsid w:val="001A1711"/>
    <w:rsid w:val="002350FB"/>
    <w:rsid w:val="00260406"/>
    <w:rsid w:val="002A77CE"/>
    <w:rsid w:val="00697AFE"/>
    <w:rsid w:val="0090075A"/>
    <w:rsid w:val="00A44F39"/>
    <w:rsid w:val="00E918A4"/>
    <w:rsid w:val="00EA014D"/>
    <w:rsid w:val="00F57711"/>
    <w:rsid w:val="00F86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EE66CD"/>
  <w15:docId w15:val="{7FF220A1-3F11-E047-8539-21EF05A17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18" w:line="241" w:lineRule="auto"/>
      <w:ind w:left="731" w:hanging="731"/>
    </w:pPr>
    <w:rPr>
      <w:rFonts w:ascii="Arial" w:eastAsia="Arial" w:hAnsi="Arial"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image" Target="media/image2.jpg" /><Relationship Id="rId4"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715</Words>
  <Characters>4078</Characters>
  <Application>Microsoft Office Word</Application>
  <DocSecurity>0</DocSecurity>
  <Lines>33</Lines>
  <Paragraphs>9</Paragraphs>
  <ScaleCrop>false</ScaleCrop>
  <Company/>
  <LinksUpToDate>false</LinksUpToDate>
  <CharactersWithSpaces>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belinda matembe</cp:lastModifiedBy>
  <cp:revision>2</cp:revision>
  <dcterms:created xsi:type="dcterms:W3CDTF">2026-10-22T00:49:00Z</dcterms:created>
  <dcterms:modified xsi:type="dcterms:W3CDTF">2026-10-22T00:49:00Z</dcterms:modified>
</cp:coreProperties>
</file>