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jc w:val="center"/>
        <w:rPr/>
      </w:pPr>
      <w:r>
        <w:rPr/>
        <w:drawing xmlns:mc="http://schemas.openxmlformats.org/markup-compatibility/2006">
          <wp:inline distT="0" distB="0" distL="0" distR="0">
            <wp:extent cx="3209925" cy="1428750"/>
            <wp:effectExtent l="0" t="0" r="0" b="0"/>
            <wp:docPr id="638942706"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691" name="Picture 638942447"/>
                    <pic:cNvPicPr/>
                  </pic:nvPicPr>
                  <pic:blipFill>
                    <a:blip r:embed="rId29"/>
                    <a:srcRect/>
                    <a:stretch>
                      <a:fillRect/>
                    </a:stretch>
                  </pic:blipFill>
                  <pic:spPr>
                    <a:xfrm>
                      <a:off x="0" y="0"/>
                      <a:ext cx="3209925" cy="1428750"/>
                    </a:xfrm>
                    <a:prstGeom prst="rect">
                      <a:avLst/>
                    </a:prstGeom>
                  </pic:spPr>
                </pic:pic>
              </a:graphicData>
            </a:graphic>
          </wp:inline>
        </w:drawing>
      </w:r>
    </w:p>
    <w:p w14:paraId="00000006">
      <w:pPr>
        <w:jc w:val="center"/>
        <w:rPr>
          <w:rFonts w:ascii="Arial Nova" w:cs="Arial Nova" w:eastAsia="Arial Nova" w:hAnsi="Arial Nova"/>
        </w:rPr>
      </w:pPr>
    </w:p>
    <w:p w14:paraId="00000007">
      <w:pPr>
        <w:jc w:val="center"/>
        <w:rPr>
          <w:rFonts w:ascii="Arial Nova" w:cs="Arial Nova" w:eastAsia="Arial Nova" w:hAnsi="Arial Nova"/>
          <w:sz w:val="96"/>
          <w:szCs w:val="96"/>
        </w:rPr>
      </w:pPr>
    </w:p>
    <w:p w14:paraId="00000008">
      <w:pPr>
        <w:jc w:val="center"/>
        <w:rPr>
          <w:rFonts w:ascii="Arial Nova" w:cs="Arial Nova" w:eastAsia="Arial Nova" w:hAnsi="Arial Nova"/>
          <w:b/>
          <w:bCs/>
          <w:sz w:val="40"/>
          <w:szCs w:val="40"/>
        </w:rPr>
      </w:pPr>
      <w:r>
        <w:rPr>
          <w:rFonts w:ascii="Arial Nova" w:cs="Arial Nova" w:eastAsia="Arial Nova" w:hAnsi="Arial Nova"/>
          <w:b/>
          <w:bCs/>
          <w:sz w:val="40"/>
          <w:szCs w:val="40"/>
        </w:rPr>
        <w:t>STUDENT NAME:CHERRY SPENCER.</w:t>
      </w:r>
    </w:p>
    <w:p w14:paraId="00000009">
      <w:pPr>
        <w:jc w:val="center"/>
        <w:rPr>
          <w:rFonts w:ascii="Arial Nova" w:cs="Arial Nova" w:eastAsia="Arial Nova" w:hAnsi="Arial Nova"/>
          <w:b/>
          <w:bCs/>
          <w:sz w:val="40"/>
          <w:szCs w:val="40"/>
        </w:rPr>
      </w:pPr>
      <w:r>
        <w:rPr>
          <w:rFonts w:ascii="Arial Nova" w:cs="Arial Nova" w:eastAsia="Arial Nova" w:hAnsi="Arial Nova"/>
          <w:b/>
          <w:bCs/>
          <w:sz w:val="40"/>
          <w:szCs w:val="40"/>
        </w:rPr>
        <w:t>STUDENT NUMBER:2315880.</w:t>
      </w:r>
    </w:p>
    <w:p w14:paraId="0000000A">
      <w:pPr>
        <w:jc w:val="center"/>
        <w:rPr>
          <w:rFonts w:ascii="Arial Nova" w:cs="Arial Nova" w:eastAsia="Arial Nova" w:hAnsi="Arial Nova"/>
          <w:b/>
          <w:bCs/>
          <w:sz w:val="40"/>
          <w:szCs w:val="40"/>
        </w:rPr>
      </w:pPr>
      <w:r>
        <w:rPr>
          <w:rFonts w:ascii="Arial Nova" w:cs="Arial Nova" w:eastAsia="Arial Nova" w:hAnsi="Arial Nova"/>
          <w:b/>
          <w:bCs/>
          <w:sz w:val="40"/>
          <w:szCs w:val="40"/>
        </w:rPr>
        <w:t>ASSIGNMENT TITLE:PORTOLIO</w:t>
      </w:r>
    </w:p>
    <w:p w14:paraId="0000000B">
      <w:pPr>
        <w:jc w:val="center"/>
        <w:rPr>
          <w:rFonts w:ascii="Arial Nova" w:cs="Arial Nova" w:eastAsia="Arial Nova" w:hAnsi="Arial Nova"/>
          <w:b/>
          <w:bCs/>
          <w:sz w:val="40"/>
          <w:szCs w:val="40"/>
        </w:rPr>
      </w:pPr>
      <w:r>
        <w:rPr>
          <w:rFonts w:ascii="Arial Nova" w:cs="Arial Nova" w:eastAsia="Arial Nova" w:hAnsi="Arial Nova"/>
          <w:b/>
          <w:bCs/>
          <w:sz w:val="40"/>
          <w:szCs w:val="40"/>
        </w:rPr>
        <w:t>MODULE TITLE:CREATIVITY AND VALUE CREATION.</w:t>
      </w:r>
    </w:p>
    <w:p w14:paraId="0000000C">
      <w:pPr>
        <w:jc w:val="center"/>
        <w:rPr>
          <w:rFonts w:ascii="Arial Nova" w:cs="Arial Nova" w:eastAsia="Arial Nova" w:hAnsi="Arial Nova"/>
          <w:b/>
          <w:bCs/>
          <w:sz w:val="40"/>
          <w:szCs w:val="40"/>
        </w:rPr>
      </w:pPr>
      <w:r>
        <w:rPr>
          <w:rFonts w:ascii="Arial Nova" w:cs="Arial Nova" w:eastAsia="Arial Nova" w:hAnsi="Arial Nova"/>
          <w:b/>
          <w:bCs/>
          <w:sz w:val="40"/>
          <w:szCs w:val="40"/>
        </w:rPr>
        <w:t>MODULE CODE:BMHP5014</w:t>
      </w:r>
    </w:p>
    <w:p w14:paraId="0000000D">
      <w:pPr>
        <w:jc w:val="center"/>
        <w:rPr>
          <w:rFonts w:ascii="Arial Nova" w:cs="Arial Nova" w:eastAsia="Arial Nova" w:hAnsi="Arial Nova"/>
          <w:b/>
          <w:bCs/>
          <w:sz w:val="40"/>
          <w:szCs w:val="40"/>
        </w:rPr>
      </w:pPr>
      <w:r>
        <w:rPr>
          <w:rFonts w:ascii="Arial Nova" w:cs="Arial Nova" w:eastAsia="Arial Nova" w:hAnsi="Arial Nova"/>
          <w:b/>
          <w:bCs/>
          <w:sz w:val="40"/>
          <w:szCs w:val="40"/>
        </w:rPr>
        <w:t>LECTURER’S NAME:TSIWANI KHUMALO.</w:t>
      </w:r>
    </w:p>
    <w:p w14:paraId="0000000E">
      <w:pPr>
        <w:jc w:val="center"/>
        <w:rPr>
          <w:rFonts w:ascii="Arial Nova" w:cs="Arial Nova" w:eastAsia="Arial Nova" w:hAnsi="Arial Nova"/>
          <w:sz w:val="72"/>
          <w:szCs w:val="72"/>
        </w:rPr>
      </w:pPr>
    </w:p>
    <w:p w14:paraId="0000000F">
      <w:pPr>
        <w:jc w:val="center"/>
        <w:rPr>
          <w:rFonts w:ascii="Arial Nova" w:cs="Arial Nova" w:eastAsia="Arial Nova" w:hAnsi="Arial Nova"/>
          <w:sz w:val="72"/>
          <w:szCs w:val="72"/>
        </w:rPr>
      </w:pPr>
    </w:p>
    <w:p w14:paraId="00000010">
      <w:pPr>
        <w:rPr>
          <w:rFonts w:ascii="Arial Nova" w:cs="Arial Nova" w:eastAsia="Arial Nova" w:hAnsi="Arial Nova"/>
          <w:sz w:val="44"/>
          <w:szCs w:val="44"/>
        </w:rPr>
      </w:pPr>
    </w:p>
    <w:p w14:paraId="00000011">
      <w:pPr>
        <w:rPr>
          <w:rFonts w:ascii="Arial Nova" w:cs="Arial Nova" w:eastAsia="Arial Nova" w:hAnsi="Arial Nova"/>
          <w:sz w:val="44"/>
          <w:szCs w:val="44"/>
        </w:rPr>
      </w:pPr>
    </w:p>
    <w:p w14:paraId="00000012">
      <w:pPr>
        <w:rPr>
          <w:rFonts w:ascii="Arial Nova" w:cs="Arial Nova" w:eastAsia="Arial Nova" w:hAnsi="Arial Nova"/>
          <w:i/>
          <w:iCs/>
          <w:color w:val="ff0000"/>
        </w:rPr>
      </w:pPr>
      <w:r>
        <w:rPr>
          <w:rFonts w:ascii="Arial Nova" w:cs="Arial Nova" w:eastAsia="Arial Nova" w:hAnsi="Arial Nova"/>
          <w:sz w:val="44"/>
          <w:szCs w:val="44"/>
        </w:rPr>
        <w:t xml:space="preserve">                  Task 1 – Concept Map</w:t>
      </w:r>
    </w:p>
    <w:p w14:paraId="00000013">
      <w:pPr>
        <w:rPr>
          <w:rFonts w:ascii="Arial Nova" w:cs="Arial Nova" w:eastAsia="Arial Nova" w:hAnsi="Arial Nova"/>
          <w:i/>
          <w:iCs/>
          <w:color w:val="ff0000"/>
        </w:rPr>
      </w:pPr>
    </w:p>
    <w:tbl>
      <w:tblPr>
        <w:tblStyle w:val="TableGrid"/>
        <w:tblpPr w:leftFromText="187" w:rightFromText="187" w:topFromText="0" w:bottomFromText="0" w:vertAnchor="page" w:horzAnchor="page" w:tblpX="2670" w:tblpY="4569"/>
        <w:tblOverlap w:val="never"/>
        <w:tblW w:w="6410" w:type="dxa"/>
        <w:tblInd w:w="0" w:type="dxa"/>
      </w:tblPr>
      <w:tblGrid>
        <w:gridCol w:w="6410"/>
      </w:tblGrid>
      <w:tr>
        <w:trPr>
          <w:trHeight w:val="1219" w:hRule="atLeast"/>
        </w:trPr>
        <w:tc>
          <w:tcPr>
            <w:cnfStyle w:val="100010000000"/>
            <w:tcW w:w="6410" w:type="dxa"/>
          </w:tcPr>
          <w:p w14:paraId="00000014">
            <w:pPr>
              <w:rPr>
                <w:rFonts w:ascii="Arial Nova" w:cs="Arial Nova" w:eastAsia="Arial Nova" w:hAnsi="Arial Nova"/>
                <w:i/>
                <w:iCs/>
                <w:color w:val="000000" w:themeColor="text1"/>
                <w:sz w:val="40"/>
                <w:szCs w:val="40"/>
              </w:rPr>
            </w:pPr>
            <w:r>
              <w:rPr>
                <w:rFonts w:ascii="Arial Nova" w:cs="Arial Nova" w:eastAsia="Arial Nova" w:hAnsi="Arial Nova"/>
                <w:i/>
                <w:iCs/>
                <w:color w:val="000000" w:themeColor="text1"/>
              </w:rPr>
              <mc:AlternateContent>
                <mc:Choice Requires="wps">
                  <w:drawing xmlns:mc="http://schemas.openxmlformats.org/markup-compatibility/2006">
                    <wp:anchor allowOverlap="1" behindDoc="0" distT="0" distB="0" distL="118872" distR="118872" layoutInCell="1" locked="0" relativeHeight="19" simplePos="0">
                      <wp:simplePos x="0" y="0"/>
                      <wp:positionH relativeFrom="column">
                        <wp:posOffset>3529330</wp:posOffset>
                      </wp:positionH>
                      <wp:positionV relativeFrom="paragraph">
                        <wp:posOffset>2668905</wp:posOffset>
                      </wp:positionV>
                      <wp:extent cx="266700" cy="142875"/>
                      <wp:effectExtent l="0" t="0" r="15330" b="30660"/>
                      <wp:wrapNone/>
                      <wp:docPr id="638942707" name="Right Arrow 18"/>
                      <wp:cNvGraphicFramePr>
                        <a:graphicFrameLocks xmlns:a="http://schemas.openxmlformats.org/drawingml/2006/main"/>
                      </wp:cNvGraphicFramePr>
                      <a:graphic xmlns:a="http://schemas.openxmlformats.org/drawingml/2006/main">
                        <a:graphicData uri="http://schemas.microsoft.com/office/word/2010/wordprocessingShape">
                          <wps:wsp>
                            <wps:cNvPr id="638942692" name="Right Arrow 18"/>
                            <wps:cNvSpPr/>
                            <wps:spPr>
                              <a:xfrm>
                                <a:off x="0" y="0"/>
                                <a:ext cx="266700" cy="142875"/>
                              </a:xfrm>
                              <a:prstGeom prst="rightArrow">
                                <a:avLst>
                                  <a:gd name="adj1" fmla="val 50000"/>
                                  <a:gd name="adj2" fmla="val 49999"/>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E18B84E2-B471-65D6-D39569860A6A" adj="15814,5400" coordsize="21600,21600" style="position:absolute;width:21pt;height:11.25pt;margin-top:210.15pt;margin-left:277.9pt;mso-wrap-distance-left:9.36pt;mso-wrap-distance-right:9.36pt;mso-wrap-distance-top:0pt;mso-wrap-distance-bottom:0pt;rotation:0.000000;z-index:19;" fillcolor="#b4d3f2" strokecolor="#0c445e" path="m0,5399 l15814,5399 l15814,0 l21600,10799 l15814,21600 l15814,16199 l0,16199 x e">
                      <v:stroke color="#0c445e" filltype="solid" joinstyle="miter" linestyle="single" mitterlimit="800000" weight="1pt"/>
                      <w10:wrap side="both"/>
                      <v:fill type="solid" color="#b4d3f2" opacity="1.000000"/>
                      <o:lock/>
                    </v:shape>
                  </w:pict>
                </mc:Fallback>
              </mc:AlternateContent>
            </w:r>
            <w:r>
              <w:rPr>
                <w:rFonts w:ascii="Arial Nova" w:cs="Arial Nova" w:eastAsia="Arial Nova" w:hAnsi="Arial Nova"/>
                <w:i/>
                <w:iCs/>
                <w:color w:val="000000" w:themeColor="text1"/>
              </w:rPr>
              <mc:AlternateContent>
                <mc:Choice Requires="wps">
                  <w:drawing xmlns:mc="http://schemas.openxmlformats.org/markup-compatibility/2006">
                    <wp:anchor allowOverlap="1" behindDoc="0" distT="0" distB="0" distL="118872" distR="118872" layoutInCell="1" locked="0" relativeHeight="5" simplePos="0">
                      <wp:simplePos x="0" y="0"/>
                      <wp:positionH relativeFrom="column">
                        <wp:posOffset>1871980</wp:posOffset>
                      </wp:positionH>
                      <wp:positionV relativeFrom="paragraph">
                        <wp:posOffset>1811020</wp:posOffset>
                      </wp:positionV>
                      <wp:extent cx="133350" cy="619125"/>
                      <wp:effectExtent l="0" t="0" r="30660" b="15330"/>
                      <wp:wrapNone/>
                      <wp:docPr id="638942708" name="Down Arrow 5"/>
                      <wp:cNvGraphicFramePr>
                        <a:graphicFrameLocks xmlns:a="http://schemas.openxmlformats.org/drawingml/2006/main"/>
                      </wp:cNvGraphicFramePr>
                      <a:graphic xmlns:a="http://schemas.openxmlformats.org/drawingml/2006/main">
                        <a:graphicData uri="http://schemas.microsoft.com/office/word/2010/wordprocessingShape">
                          <wps:wsp>
                            <wps:cNvPr id="638942693" name="Down Arrow 5"/>
                            <wps:cNvSpPr/>
                            <wps:spPr>
                              <a:xfrm>
                                <a:off x="0" y="0"/>
                                <a:ext cx="133350" cy="619125"/>
                              </a:xfrm>
                              <a:prstGeom prst="down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06298494-B952-17F4-D357D0DD2EAD" adj="19274,5400" coordsize="21600,21600" style="position:absolute;width:10.5pt;height:48.75pt;margin-top:142.6pt;margin-left:147.4pt;mso-wrap-distance-left:9.36pt;mso-wrap-distance-right:9.36pt;mso-wrap-distance-top:0pt;mso-wrap-distance-bottom:0pt;rotation:0.000000;z-index:5;" fillcolor="#b4d3f2" strokecolor="#0c445e" o:spt="67" path="m0,@0 l@1,@0 l@1,0 l@2,0 l@2,@0 l21600,@0 l10800,21600 x e">
                      <v:stroke color="#0c445e" filltype="solid" joinstyle="miter" linestyle="single" mitterlimit="800000" weight="1pt"/>
                      <w10:wrap side="both"/>
                      <v:formulas>
                        <v:f eqn="val #0"/>
                        <v:f eqn="val #1"/>
                        <v:f eqn="sum height 0 #1"/>
                        <v:f eqn="sum 10800 0 #1"/>
                        <v:f eqn="sum width 0 #0"/>
                        <v:f eqn="prod @4 @3 10800"/>
                        <v:f eqn="sum width 0 @5"/>
                      </v:formulas>
                      <v:handles>
                        <v:h position="#1,#0" xrange="0,10800" yrange="0,21600"/>
                      </v:handles>
                      <v:fill type="solid" color="#b4d3f2" opacity="1.000000"/>
                      <o:lock/>
                    </v:shape>
                  </w:pict>
                </mc:Fallback>
              </mc:AlternateContent>
            </w:r>
            <w:r>
              <w:rPr>
                <w:rFonts w:ascii="Arial Nova" w:cs="Arial Nova" w:eastAsia="Arial Nova" w:hAnsi="Arial Nova"/>
                <w:i/>
                <w:iCs/>
                <w:color w:val="000000" w:themeColor="text1"/>
              </w:rPr>
              <mc:AlternateContent>
                <mc:Choice Requires="wps">
                  <w:drawing xmlns:mc="http://schemas.openxmlformats.org/markup-compatibility/2006">
                    <wp:anchor allowOverlap="1" behindDoc="0" distT="0" distB="0" distL="118872" distR="118872" layoutInCell="1" locked="0" relativeHeight="18" simplePos="0">
                      <wp:simplePos x="0" y="0"/>
                      <wp:positionH relativeFrom="column">
                        <wp:posOffset>1891030</wp:posOffset>
                      </wp:positionH>
                      <wp:positionV relativeFrom="paragraph">
                        <wp:posOffset>876935</wp:posOffset>
                      </wp:positionV>
                      <wp:extent cx="114300" cy="371475"/>
                      <wp:effectExtent l="0" t="0" r="30660" b="15330"/>
                      <wp:wrapNone/>
                      <wp:docPr id="638942709" name="Down Arrow 6"/>
                      <wp:cNvGraphicFramePr>
                        <a:graphicFrameLocks xmlns:a="http://schemas.openxmlformats.org/drawingml/2006/main"/>
                      </wp:cNvGraphicFramePr>
                      <a:graphic xmlns:a="http://schemas.openxmlformats.org/drawingml/2006/main">
                        <a:graphicData uri="http://schemas.microsoft.com/office/word/2010/wordprocessingShape">
                          <wps:wsp>
                            <wps:cNvPr id="638942694" name="Down Arrow 6"/>
                            <wps:cNvSpPr/>
                            <wps:spPr>
                              <a:xfrm>
                                <a:off x="0" y="0"/>
                                <a:ext cx="114300" cy="371475"/>
                              </a:xfrm>
                              <a:prstGeom prst="down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85BFBAAF-BF14-0419-17A7198437C7" adj="18277,5400" coordsize="21600,21600" style="position:absolute;width:9pt;height:29.25pt;margin-top:69.05pt;margin-left:148.9pt;mso-wrap-distance-left:9.36pt;mso-wrap-distance-right:9.36pt;mso-wrap-distance-top:0pt;mso-wrap-distance-bottom:0pt;rotation:0.000000;z-index:18;" fillcolor="#b4d3f2" strokecolor="#0c445e" o:spt="67" path="m0,@0 l@1,@0 l@1,0 l@2,0 l@2,@0 l21600,@0 l10800,21600 x e">
                      <v:stroke color="#0c445e" filltype="solid" joinstyle="miter" linestyle="single" mitterlimit="800000" weight="1pt"/>
                      <w10:wrap side="both"/>
                      <v:formulas>
                        <v:f eqn="val #0"/>
                        <v:f eqn="val #1"/>
                        <v:f eqn="sum height 0 #1"/>
                        <v:f eqn="sum 10800 0 #1"/>
                        <v:f eqn="sum width 0 #0"/>
                        <v:f eqn="prod @4 @3 10800"/>
                        <v:f eqn="sum width 0 @5"/>
                      </v:formulas>
                      <v:handles>
                        <v:h position="#1,#0" xrange="0,10800" yrange="0,21600"/>
                      </v:handles>
                      <v:fill type="solid" color="#b4d3f2" opacity="1.000000"/>
                      <o:lock/>
                    </v:shape>
                  </w:pict>
                </mc:Fallback>
              </mc:AlternateContent>
            </w:r>
            <w:r>
              <w:rPr>
                <w:rFonts w:ascii="Arial Nova" w:cs="Arial Nova" w:eastAsia="Arial Nova" w:hAnsi="Arial Nova"/>
                <w:i/>
                <w:iCs/>
                <w:color w:val="000000" w:themeColor="text1"/>
              </w:rPr>
              <w:t xml:space="preserve">                           </w:t>
            </w:r>
            <w:r>
              <w:rPr>
                <w:rFonts w:ascii="Arial Nova" w:cs="Arial Nova" w:eastAsia="Arial Nova" w:hAnsi="Arial Nova"/>
                <w:i/>
                <w:iCs/>
                <w:color w:val="000000" w:themeColor="text1"/>
                <w:sz w:val="40"/>
                <w:szCs w:val="40"/>
              </w:rPr>
              <w:t xml:space="preserve"> CREATIVITY</w:t>
            </w:r>
          </w:p>
          <w:p w14:paraId="00000015">
            <w:pPr>
              <w:rPr>
                <w:rFonts w:ascii="Arial Nova" w:cs="Arial Nova" w:eastAsia="Arial Nova" w:hAnsi="Arial Nova"/>
                <w:i/>
                <w:iCs/>
                <w:color w:val="000000" w:themeColor="text1"/>
                <w:sz w:val="40"/>
                <w:szCs w:val="40"/>
              </w:rPr>
            </w:pPr>
            <w:r>
              <w:rPr>
                <w:rFonts w:ascii="Arial Nova" w:cs="Arial Nova" w:eastAsia="Arial Nova" w:hAnsi="Arial Nova"/>
                <w:i/>
                <w:iCs/>
                <w:color w:val="000000" w:themeColor="text1"/>
              </w:rPr>
              <w:t xml:space="preserve">                     </w:t>
            </w:r>
            <w:r>
              <w:rPr>
                <w:rFonts w:ascii="Arial Nova" w:cs="Arial Nova" w:eastAsia="Arial Nova" w:hAnsi="Arial Nova"/>
                <w:i/>
                <w:iCs/>
                <w:color w:val="000000" w:themeColor="text1"/>
                <w:sz w:val="40"/>
                <w:szCs w:val="40"/>
              </w:rPr>
              <w:t xml:space="preserve"> (LACK OF FUNDING)</w:t>
            </w:r>
          </w:p>
          <w:p w14:paraId="00000016">
            <w:pPr>
              <w:rPr>
                <w:rFonts w:ascii="Arial Nova" w:cs="Arial Nova" w:eastAsia="Arial Nova" w:hAnsi="Arial Nova"/>
                <w:i/>
                <w:iCs/>
                <w:color w:val="000000" w:themeColor="text1"/>
              </w:rPr>
            </w:pPr>
          </w:p>
        </w:tc>
      </w:tr>
    </w:tbl>
    <w:p w14:paraId="00000017">
      <w:pPr>
        <w:rPr>
          <w:rFonts w:ascii="Arial Nova" w:cs="Arial Nova" w:eastAsia="Arial Nova" w:hAnsi="Arial Nova"/>
          <w:i/>
          <w:iCs/>
          <w:color w:val="000000" w:themeColor="text1"/>
        </w:rPr>
      </w:pPr>
    </w:p>
    <w:p w14:paraId="00000018">
      <w:pPr>
        <w:rPr>
          <w:rFonts w:ascii="Arial" w:cs="Arial" w:eastAsia="Arial Nova" w:hAnsi="Arial"/>
          <w:i/>
          <w:iCs/>
          <w:color w:val="000000" w:themeColor="text1"/>
          <w:sz w:val="22"/>
          <w:szCs w:val="22"/>
        </w:rPr>
      </w:pPr>
    </w:p>
    <w:p w14:paraId="00000019">
      <w:pPr>
        <w:rPr>
          <w:rFonts w:ascii="Arial" w:cs="Arial" w:eastAsia="Arial Nova" w:hAnsi="Arial"/>
          <w:i/>
          <w:iCs/>
          <w:color w:val="000000" w:themeColor="text1"/>
          <w:sz w:val="22"/>
          <w:szCs w:val="22"/>
        </w:rPr>
      </w:pPr>
    </w:p>
    <w:p w14:paraId="0000001A">
      <w:pPr>
        <w:rPr>
          <w:rFonts w:ascii="Arial" w:cs="Arial" w:eastAsia="Arial Nova" w:hAnsi="Arial"/>
          <w:i/>
          <w:iCs/>
          <w:color w:val="b7d3ef" w:themeColor="dk2" w:themeTint="33"/>
          <w:sz w:val="22"/>
          <w:szCs w:val="22"/>
        </w:rPr>
      </w:pPr>
    </w:p>
    <w:tbl>
      <w:tblPr>
        <w:tblStyle w:val="TableGrid"/>
        <w:tblpPr w:leftFromText="187" w:rightFromText="187" w:topFromText="0" w:bottomFromText="0" w:vertAnchor="page" w:horzAnchor="page" w:tblpX="3885" w:tblpY="6571"/>
        <w:tblOverlap w:val="never"/>
        <w:tblW w:w="3743" w:type="dxa"/>
        <w:tblInd w:w="0" w:type="dxa"/>
      </w:tblPr>
      <w:tblGrid>
        <w:gridCol w:w="3743"/>
      </w:tblGrid>
      <w:tr>
        <w:trPr>
          <w:trHeight w:val="784" w:hRule="atLeast"/>
        </w:trPr>
        <w:tc>
          <w:tcPr>
            <w:cnfStyle w:val="100010000000"/>
            <w:tcW w:w="3743" w:type="dxa"/>
          </w:tcPr>
          <w:p w14:paraId="0000001B">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 xml:space="preserve">      </w:t>
            </w:r>
          </w:p>
          <w:p w14:paraId="0000001C">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 xml:space="preserve">       VALUE  FOR CREATIVITY</w:t>
            </w:r>
          </w:p>
        </w:tc>
      </w:tr>
    </w:tbl>
    <w:p w14:paraId="0000001D">
      <w:pPr>
        <w:rPr>
          <w:rFonts w:ascii="Arial" w:cs="Arial" w:eastAsia="Arial Nova" w:hAnsi="Arial"/>
          <w:i/>
          <w:iCs/>
          <w:color w:val="000000" w:themeColor="dk1"/>
          <w:sz w:val="22"/>
          <w:szCs w:val="22"/>
        </w:rPr>
      </w:pPr>
    </w:p>
    <w:tbl>
      <w:tblPr>
        <w:tblStyle w:val="TableGrid"/>
        <w:tblpPr w:leftFromText="187" w:rightFromText="187" w:topFromText="0" w:bottomFromText="0" w:vertAnchor="page" w:horzAnchor="page" w:tblpX="8250" w:tblpY="6404"/>
        <w:tblOverlap w:val="never"/>
        <w:tblW w:w="3157" w:type="dxa"/>
        <w:tblInd w:w="0" w:type="dxa"/>
      </w:tblPr>
      <w:tblGrid>
        <w:gridCol w:w="3157"/>
      </w:tblGrid>
      <w:tr>
        <w:trPr>
          <w:trHeight w:val="1459" w:hRule="atLeast"/>
        </w:trPr>
        <w:tc>
          <w:tcPr>
            <w:cnfStyle w:val="100010000000"/>
            <w:tcW w:w="3157" w:type="dxa"/>
          </w:tcPr>
          <w:p w14:paraId="0000001E">
            <w:pPr>
              <w:rPr>
                <w:rFonts w:ascii="Arial" w:cs="Arial" w:eastAsia="Arial Nova" w:hAnsi="Arial"/>
                <w:i/>
                <w:iCs/>
                <w:color w:val="000000" w:themeColor="dk1"/>
                <w:sz w:val="22"/>
                <w:szCs w:val="22"/>
              </w:rPr>
            </w:pPr>
            <w:r>
              <w:rPr>
                <w:rFonts w:ascii="Arial" w:cs="Arial" w:eastAsia="Arial Nova" w:hAnsi="Arial"/>
                <w:i/>
                <w:iCs/>
                <w:color w:val="b7d3ef" w:themeColor="dk2" w:themeTint="33"/>
                <w:sz w:val="22"/>
                <w:szCs w:val="22"/>
              </w:rPr>
              <mc:AlternateContent>
                <mc:Choice Requires="wps">
                  <w:drawing xmlns:mc="http://schemas.openxmlformats.org/markup-compatibility/2006">
                    <wp:anchor allowOverlap="1" behindDoc="0" distT="0" distB="0" distL="118872" distR="118872" layoutInCell="1" locked="0" relativeHeight="22" simplePos="0">
                      <wp:simplePos x="0" y="0"/>
                      <wp:positionH relativeFrom="column">
                        <wp:posOffset>-3279775</wp:posOffset>
                      </wp:positionH>
                      <wp:positionV relativeFrom="paragraph">
                        <wp:posOffset>1295400</wp:posOffset>
                      </wp:positionV>
                      <wp:extent cx="200025" cy="152400"/>
                      <wp:effectExtent l="0" t="0" r="15330" b="30660"/>
                      <wp:wrapNone/>
                      <wp:docPr id="638942710" name="Left Arrow 7"/>
                      <wp:cNvGraphicFramePr>
                        <a:graphicFrameLocks xmlns:a="http://schemas.openxmlformats.org/drawingml/2006/main"/>
                      </wp:cNvGraphicFramePr>
                      <a:graphic xmlns:a="http://schemas.openxmlformats.org/drawingml/2006/main">
                        <a:graphicData uri="http://schemas.microsoft.com/office/word/2010/wordprocessingShape">
                          <wps:wsp>
                            <wps:cNvPr id="638942695" name="Left Arrow 7"/>
                            <wps:cNvSpPr/>
                            <wps:spPr>
                              <a:xfrm>
                                <a:off x="0" y="0"/>
                                <a:ext cx="200025" cy="152400"/>
                              </a:xfrm>
                              <a:prstGeom prst="left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81D220F8-0EDF-573E-191B21A601AB" adj="8229,5400" coordsize="21600,21600" style="position:absolute;width:15.75pt;height:12pt;margin-top:102pt;margin-left:-258.25pt;mso-wrap-distance-left:9.36pt;mso-wrap-distance-right:9.36pt;mso-wrap-distance-top:0pt;mso-wrap-distance-bottom:0pt;rotation:0.000000;z-index:22;" fillcolor="#b4d3f2" strokecolor="#0c445e" o:spt="66" path="m@0,0 l@0,@1 l21600,@1 l21600,@2 l@0,@2 l@0,21600 l0,10800 x e">
                      <v:stroke color="#0c445e" filltype="solid" joinstyle="miter" linestyle="single" mitterlimit="800000" weight="1pt"/>
                      <w10:wrap side="both"/>
                      <v:formulas>
                        <v:f eqn="val #0"/>
                        <v:f eqn="val #1"/>
                        <v:f eqn="sum 21600 0 #1"/>
                        <v:f eqn="prod #0 #1 10800"/>
                        <v:f eqn="sum #0 0 @3"/>
                      </v:formulas>
                      <v:handles>
                        <v:h position="#0,#1" xrange="0,21600" yrange="0,10800"/>
                      </v:handles>
                      <v:fill type="solid" color="#b4d3f2" opacity="1.000000"/>
                      <o:lock/>
                    </v:shape>
                  </w:pict>
                </mc:Fallback>
              </mc:AlternateContent>
            </w:r>
            <w:r>
              <w:rPr>
                <w:rFonts w:ascii="Arial" w:cs="Arial" w:eastAsia="Arial Nova" w:hAnsi="Arial"/>
                <w:i/>
                <w:iCs/>
                <w:color w:val="b7d3ef" w:themeColor="dk2" w:themeTint="33"/>
                <w:sz w:val="22"/>
                <w:szCs w:val="22"/>
              </w:rPr>
              <mc:AlternateContent>
                <mc:Choice Requires="wps">
                  <w:drawing xmlns:mc="http://schemas.openxmlformats.org/markup-compatibility/2006">
                    <wp:anchor allowOverlap="1" behindDoc="0" distT="0" distB="0" distL="118872" distR="118872" layoutInCell="1" locked="0" relativeHeight="23" simplePos="0">
                      <wp:simplePos x="0" y="0"/>
                      <wp:positionH relativeFrom="margin">
                        <wp:posOffset>4632325</wp:posOffset>
                      </wp:positionH>
                      <wp:positionV relativeFrom="margin">
                        <wp:posOffset>4441190</wp:posOffset>
                      </wp:positionV>
                      <wp:extent cx="2083435" cy="556895"/>
                      <wp:effectExtent l="0" t="0" r="9526" b="9525"/>
                      <wp:wrapNone/>
                      <wp:docPr id="638942711" name="TextBox 3"/>
                      <wp:cNvGraphicFramePr>
                        <a:graphicFrameLocks xmlns:a="http://schemas.openxmlformats.org/drawingml/2006/main"/>
                      </wp:cNvGraphicFramePr>
                      <a:graphic xmlns:a="http://schemas.openxmlformats.org/drawingml/2006/main">
                        <a:graphicData uri="http://schemas.microsoft.com/office/word/2010/wordprocessingShape">
                          <wps:wsp>
                            <wps:cNvPr id="638942696" name="TextBox 3"/>
                            <wps:cNvSpPr txBox="1"/>
                            <wps:spPr>
                              <a:xfrm>
                                <a:off x="0" y="0"/>
                                <a:ext cx="2083435" cy="556895"/>
                              </a:xfrm>
                              <a:prstGeom prst="rect">
                                <a:avLst/>
                              </a:prstGeom>
                              <a:solidFill>
                                <a:schemeClr val="lt1">
                                  <a:alpha val="100000"/>
                                </a:schemeClr>
                              </a:solidFill>
                              <a:ln>
                                <a:solidFill>
                                  <a:srgbClr val="000000"/>
                                </a:solidFill>
                              </a:ln>
                            </wps:spPr>
                            <wps:txbx id="0">
                              <w:txbxContent>
                                <w:p w14:paraId="0000001F">
                                  <w:pPr>
                                    <w:jc w:val="center"/>
                                    <w:rPr>
                                      <w:b w:val="off"/>
                                      <w:bCs w:val="off"/>
                                    </w:rPr>
                                  </w:pPr>
                                  <w:r>
                                    <w:rPr>
                                      <w:b w:val="off"/>
                                      <w:bCs w:val="off"/>
                                    </w:rPr>
                                    <w:t>EXTRINSIC</w:t>
                                  </w:r>
                                </w:p>
                              </w:txbxContent>
                            </wps:txbx>
                            <wps:bodyPr rtlCol="0"/>
                          </wps:wsp>
                        </a:graphicData>
                      </a:graphic>
                    </wp:anchor>
                  </w:drawing>
                </mc:Choice>
                <mc:Fallback>
                  <w:pict>
                    <v:shape id="B09E9CC8-2F30-26BE-0614DAB93E9B" coordsize="21600,21600" style="position:absolute;width:164.05pt;height:43.85pt;margin-top:349.7pt;margin-left:364.75pt;mso-wrap-distance-left:9.36pt;mso-wrap-distance-right:9.36pt;mso-wrap-distance-top:0pt;mso-wrap-distance-bottom:0pt;mso-position-horizontal-relative:margin;mso-position-vertical-relative:margin;rotation:0.000000;z-index:23;" fillcolor="#ffffff" strokecolor="#000000" strokeweight="0pt" o:spt="1" path="m0,0 l0,21600 r21600,0 l21600,0 x e">
                      <v:stroke color="#000000" filltype="solid" joinstyle="round" linestyle="single" mitterlimit="800000" weight="0pt"/>
                      <w10:wrap side="both"/>
                      <v:fill type="solid" color="#ffffff" opacity="1.000000"/>
                      <o:lock/>
                    </v:shape>
                  </w:pict>
                </mc:Fallback>
              </mc:AlternateContent>
            </w:r>
          </w:p>
          <w:p w14:paraId="00000020">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PROBLEM SOLVING:</w:t>
            </w:r>
          </w:p>
          <w:p w14:paraId="00000021">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-STAFF SH</w:t>
            </w:r>
            <w:r>
              <w:rPr>
                <w:rFonts w:ascii="Arial" w:cs="Arial" w:eastAsia="Arial Nova" w:hAnsi="Arial"/>
                <w:i/>
                <w:iCs/>
                <w:color w:val="000000" w:themeColor="dk1"/>
                <w:sz w:val="22"/>
                <w:szCs w:val="22"/>
              </w:rPr>
              <w:t>ORTAGE.</w:t>
            </w:r>
          </w:p>
          <w:p w14:paraId="00000022">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-LONG WAITING HOURS.</w:t>
            </w:r>
          </w:p>
          <w:p w14:paraId="00000023">
            <w:pPr>
              <w:rPr>
                <w:rFonts w:ascii="Arial" w:cs="Arial" w:eastAsia="Arial Nova" w:hAnsi="Arial"/>
                <w:i/>
                <w:iCs/>
                <w:color w:val="b7d3ef" w:themeColor="dk2" w:themeTint="33"/>
                <w:sz w:val="22"/>
                <w:szCs w:val="22"/>
              </w:rPr>
            </w:pPr>
            <w:r>
              <w:rPr>
                <w:rFonts w:ascii="Arial" w:cs="Arial" w:eastAsia="Arial Nova" w:hAnsi="Arial"/>
                <w:i/>
                <w:iCs/>
                <w:color w:val="000000" w:themeColor="dk1"/>
                <w:sz w:val="22"/>
                <w:szCs w:val="22"/>
              </w:rPr>
              <w:t>-LIMITED TRAINING.</w:t>
            </w:r>
            <w:r>
              <w:rPr>
                <w:rFonts w:ascii="Arial" w:cs="Arial" w:eastAsia="Arial Nova" w:hAnsi="Arial"/>
                <w:i/>
                <w:iCs/>
                <w:color w:val="b7d3ef" w:themeColor="dk2" w:themeTint="33"/>
                <w:sz w:val="22"/>
                <w:szCs w:val="22"/>
              </w:rPr>
              <w:t>.</w:t>
            </w:r>
          </w:p>
        </w:tc>
      </w:tr>
    </w:tbl>
    <w:p w14:paraId="00000024">
      <w:pPr>
        <w:rPr>
          <w:rFonts w:ascii="Arial" w:cs="Arial" w:eastAsia="Arial Nova" w:hAnsi="Arial"/>
          <w:i/>
          <w:iCs/>
          <w:color w:val="000000" w:themeColor="dk1"/>
          <w:sz w:val="22"/>
          <w:szCs w:val="22"/>
        </w:rPr>
      </w:pPr>
    </w:p>
    <w:tbl>
      <w:tblPr>
        <w:tblStyle w:val="TableGrid"/>
        <w:tblpPr w:leftFromText="187" w:rightFromText="187" w:topFromText="0" w:bottomFromText="0" w:vertAnchor="page" w:horzAnchor="page" w:tblpX="423" w:tblpY="8234"/>
        <w:tblOverlap w:val="never"/>
        <w:tblW w:w="2759" w:type="dxa"/>
        <w:tblInd w:w="0" w:type="dxa"/>
      </w:tblPr>
      <w:tblGrid>
        <w:gridCol w:w="2759"/>
      </w:tblGrid>
      <w:tr>
        <w:trPr>
          <w:trHeight w:val="993" w:hRule="atLeast"/>
        </w:trPr>
        <w:tc>
          <w:tcPr>
            <w:cnfStyle w:val="100010000000"/>
            <w:tcW w:w="2759" w:type="dxa"/>
          </w:tcPr>
          <w:p w14:paraId="00000025">
            <w:pPr>
              <w:jc w:val="cente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INTRINSIC</w:t>
            </w:r>
          </w:p>
        </w:tc>
      </w:tr>
    </w:tbl>
    <w:p w14:paraId="00000026">
      <w:pPr>
        <w:rPr>
          <w:rFonts w:ascii="Arial" w:cs="Arial" w:eastAsia="Arial Nova" w:hAnsi="Arial"/>
          <w:i/>
          <w:iCs/>
          <w:color w:val="000000" w:themeColor="dk1"/>
          <w:sz w:val="22"/>
          <w:szCs w:val="22"/>
        </w:rPr>
      </w:pPr>
    </w:p>
    <w:tbl>
      <w:tblPr>
        <w:tblStyle w:val="TableGrid"/>
        <w:tblpPr w:leftFromText="187" w:rightFromText="187" w:topFromText="0" w:bottomFromText="0" w:vertAnchor="page" w:horzAnchor="page" w:tblpX="408" w:tblpY="6466"/>
        <w:tblOverlap w:val="never"/>
        <w:tblW w:w="3034" w:type="dxa"/>
        <w:tblInd w:w="0" w:type="dxa"/>
      </w:tblPr>
      <w:tblGrid>
        <w:gridCol w:w="3034"/>
      </w:tblGrid>
      <w:tr>
        <w:trPr>
          <w:trHeight w:val="1443" w:hRule="atLeast"/>
        </w:trPr>
        <w:tc>
          <w:tcPr>
            <w:cnfStyle w:val="100010000000"/>
            <w:tcW w:w="3034" w:type="dxa"/>
          </w:tcPr>
          <w:p w14:paraId="00000027">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mc:AlternateContent>
                <mc:Choice Requires="wps">
                  <w:drawing xmlns:mc="http://schemas.openxmlformats.org/markup-compatibility/2006">
                    <wp:anchor allowOverlap="1" behindDoc="0" distT="0" distB="0" distL="118872" distR="118872" layoutInCell="1" locked="0" relativeHeight="17" simplePos="0">
                      <wp:simplePos x="0" y="0"/>
                      <wp:positionH relativeFrom="column">
                        <wp:posOffset>4537075</wp:posOffset>
                      </wp:positionH>
                      <wp:positionV relativeFrom="paragraph">
                        <wp:posOffset>281940</wp:posOffset>
                      </wp:positionV>
                      <wp:extent cx="352425" cy="161925"/>
                      <wp:effectExtent l="0" t="0" r="15330" b="30660"/>
                      <wp:wrapNone/>
                      <wp:docPr id="638942712" name="Right Arrow 17"/>
                      <wp:cNvGraphicFramePr>
                        <a:graphicFrameLocks xmlns:a="http://schemas.openxmlformats.org/drawingml/2006/main"/>
                      </wp:cNvGraphicFramePr>
                      <a:graphic xmlns:a="http://schemas.openxmlformats.org/drawingml/2006/main">
                        <a:graphicData uri="http://schemas.microsoft.com/office/word/2010/wordprocessingShape">
                          <wps:wsp>
                            <wps:cNvPr id="638942697" name="Right Arrow 17"/>
                            <wps:cNvSpPr/>
                            <wps:spPr>
                              <a:xfrm>
                                <a:off x="0" y="0"/>
                                <a:ext cx="352425" cy="161925"/>
                              </a:xfrm>
                              <a:prstGeom prst="right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13406996-D2B6-8F6E-150D96127FBE" adj="16638,5400" coordsize="21600,21600" style="position:absolute;width:27.75pt;height:12.75pt;margin-top:22.2pt;margin-left:357.25pt;mso-wrap-distance-left:9.36pt;mso-wrap-distance-right:9.36pt;mso-wrap-distance-top:0pt;mso-wrap-distance-bottom:0pt;rotation:0.000000;z-index:17;" fillcolor="#b4d3f2" strokecolor="#0c445e" path="m0,5399 l16637,5399 l16637,0 l21600,10799 l16637,21600 l16637,16199 l0,16199 x e">
                      <v:stroke color="#0c445e" filltype="solid" joinstyle="miter" linestyle="single" mitterlimit="800000" weight="1pt"/>
                      <w10:wrap side="both"/>
                      <v:fill type="solid" color="#b4d3f2" opacity="1.000000"/>
                      <o:lock/>
                    </v:shape>
                  </w:pict>
                </mc:Fallback>
              </mc:AlternateContent>
            </w:r>
            <w:r>
              <w:rPr>
                <w:rFonts w:ascii="Arial" w:cs="Arial" w:eastAsia="Arial Nova" w:hAnsi="Arial"/>
                <w:i/>
                <w:iCs/>
                <w:color w:val="000000" w:themeColor="dk1"/>
                <w:sz w:val="22"/>
                <w:szCs w:val="22"/>
              </w:rPr>
              <mc:AlternateContent>
                <mc:Choice Requires="wps">
                  <w:drawing xmlns:mc="http://schemas.openxmlformats.org/markup-compatibility/2006">
                    <wp:anchor allowOverlap="1" behindDoc="0" distT="0" distB="0" distL="118872" distR="118872" layoutInCell="1" locked="0" relativeHeight="16" simplePos="0">
                      <wp:simplePos x="0" y="0"/>
                      <wp:positionH relativeFrom="column">
                        <wp:posOffset>1860550</wp:posOffset>
                      </wp:positionH>
                      <wp:positionV relativeFrom="paragraph">
                        <wp:posOffset>262890</wp:posOffset>
                      </wp:positionV>
                      <wp:extent cx="266700" cy="133350"/>
                      <wp:effectExtent l="0" t="0" r="15330" b="30660"/>
                      <wp:wrapNone/>
                      <wp:docPr id="638942713" name="Left Arrow 16"/>
                      <wp:cNvGraphicFramePr>
                        <a:graphicFrameLocks xmlns:a="http://schemas.openxmlformats.org/drawingml/2006/main"/>
                      </wp:cNvGraphicFramePr>
                      <a:graphic xmlns:a="http://schemas.openxmlformats.org/drawingml/2006/main">
                        <a:graphicData uri="http://schemas.microsoft.com/office/word/2010/wordprocessingShape">
                          <wps:wsp>
                            <wps:cNvPr id="638942698" name="Left Arrow 16"/>
                            <wps:cNvSpPr/>
                            <wps:spPr>
                              <a:xfrm>
                                <a:off x="0" y="0"/>
                                <a:ext cx="266700" cy="133350"/>
                              </a:xfrm>
                              <a:prstGeom prst="left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5D25FF20-A14C-4FF3-0CCAC9EBD627" adj="5400,5400" coordsize="21600,21600" style="position:absolute;width:21pt;height:10.5pt;margin-top:20.7pt;margin-left:146.5pt;mso-wrap-distance-left:9.36pt;mso-wrap-distance-right:9.36pt;mso-wrap-distance-top:0pt;mso-wrap-distance-bottom:0pt;rotation:0.000000;z-index:16;" fillcolor="#b4d3f2" strokecolor="#0c445e" o:spt="66" path="m@0,0 l@0,@1 l21600,@1 l21600,@2 l@0,@2 l@0,21600 l0,10800 x e">
                      <v:stroke color="#0c445e" filltype="solid" joinstyle="miter" linestyle="single" mitterlimit="800000" weight="1pt"/>
                      <w10:wrap side="both"/>
                      <v:formulas>
                        <v:f eqn="val #0"/>
                        <v:f eqn="val #1"/>
                        <v:f eqn="sum 21600 0 #1"/>
                        <v:f eqn="prod #0 #1 10800"/>
                        <v:f eqn="sum #0 0 @3"/>
                      </v:formulas>
                      <v:handles>
                        <v:h position="#0,#1" xrange="0,21600" yrange="0,10800"/>
                      </v:handles>
                      <v:fill type="solid" color="#b4d3f2" opacity="1.000000"/>
                      <o:lock/>
                    </v:shape>
                  </w:pict>
                </mc:Fallback>
              </mc:AlternateContent>
            </w:r>
            <w:r>
              <w:rPr>
                <w:rFonts w:ascii="Arial" w:cs="Arial" w:eastAsia="Arial Nova" w:hAnsi="Arial"/>
                <w:i/>
                <w:iCs/>
                <w:color w:val="000000" w:themeColor="dk1"/>
                <w:sz w:val="22"/>
                <w:szCs w:val="22"/>
              </w:rPr>
              <w:t xml:space="preserve">   </w:t>
            </w:r>
          </w:p>
          <w:p w14:paraId="00000028">
            <w:pPr>
              <w:rPr>
                <w:rFonts w:ascii="Arial" w:cs="Arial" w:eastAsia="Arial Nova" w:hAnsi="Arial"/>
                <w:i/>
                <w:iCs/>
                <w:color w:val="000000" w:themeColor="dk1"/>
                <w:sz w:val="22"/>
                <w:szCs w:val="22"/>
              </w:rPr>
            </w:pPr>
            <w:r>
              <w:rPr>
                <w:rFonts w:ascii="Arial" w:cs="Arial" w:eastAsia="Arial Nova" w:hAnsi="Arial"/>
                <w:i/>
                <w:iCs/>
                <w:color w:val="000000" w:themeColor="dk1"/>
                <w:sz w:val="22"/>
                <w:szCs w:val="22"/>
              </w:rPr>
              <w:t xml:space="preserve">       WELL-BEING</w:t>
            </w:r>
          </w:p>
        </w:tc>
      </w:tr>
    </w:tbl>
    <w:p w14:paraId="00000029">
      <w:pPr>
        <w:rPr>
          <w:rFonts w:ascii="Arial" w:cs="Arial" w:eastAsia="Arial Nova" w:hAnsi="Arial"/>
          <w:i/>
          <w:iCs/>
          <w:color w:val="b7d3ef" w:themeColor="dk2" w:themeTint="33"/>
          <w:sz w:val="22"/>
          <w:szCs w:val="22"/>
        </w:rPr>
      </w:pPr>
    </w:p>
    <w:p w14:paraId="0000002A">
      <w:pPr>
        <w:rPr>
          <w:rFonts w:ascii="Arial" w:cs="Arial" w:eastAsia="Arial Nova" w:hAnsi="Arial"/>
          <w:i/>
          <w:iCs/>
          <w:color w:val="b7d3ef" w:themeColor="dk2" w:themeTint="33"/>
          <w:sz w:val="22"/>
          <w:szCs w:val="22"/>
        </w:rPr>
      </w:pPr>
    </w:p>
    <w:p w14:paraId="0000002B">
      <w:pPr>
        <w:rPr>
          <w:rFonts w:ascii="Arial" w:cs="Arial" w:eastAsia="Arial Nova" w:hAnsi="Arial"/>
          <w:i/>
          <w:iCs/>
          <w:color w:val="000000" w:themeColor="text1"/>
          <w:sz w:val="22"/>
          <w:szCs w:val="22"/>
        </w:rPr>
      </w:pPr>
    </w:p>
    <w:p w14:paraId="0000002C">
      <w:pPr>
        <w:rPr>
          <w:rFonts w:ascii="Arial" w:cs="Arial" w:eastAsia="Arial Nova" w:hAnsi="Arial"/>
          <w:i/>
          <w:iCs/>
          <w:color w:val="000000" w:themeColor="text1"/>
          <w:sz w:val="22"/>
          <w:szCs w:val="22"/>
        </w:rPr>
      </w:pPr>
    </w:p>
    <w:tbl>
      <w:tblPr>
        <w:tblStyle w:val="TableGrid"/>
        <w:tblpPr w:leftFromText="187" w:rightFromText="187" w:topFromText="0" w:bottomFromText="0" w:vertAnchor="page" w:horzAnchor="page" w:tblpX="3615" w:tblpY="8427"/>
        <w:tblOverlap w:val="never"/>
        <w:tblW w:w="4702" w:type="dxa"/>
        <w:tblInd w:w="0" w:type="dxa"/>
      </w:tblPr>
      <w:tblGrid>
        <w:gridCol w:w="4702"/>
      </w:tblGrid>
      <w:tr>
        <w:trPr>
          <w:trHeight w:val="859" w:hRule="atLeast"/>
        </w:trPr>
        <w:tc>
          <w:tcPr>
            <w:cnfStyle w:val="100010000000"/>
            <w:tcW w:w="4702" w:type="dxa"/>
          </w:tcPr>
          <w:p w14:paraId="0000002D">
            <w:pPr>
              <w:jc w:val="cente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21" simplePos="0">
                      <wp:simplePos x="0" y="0"/>
                      <wp:positionH relativeFrom="margin">
                        <wp:posOffset>-669290</wp:posOffset>
                      </wp:positionH>
                      <wp:positionV relativeFrom="margin">
                        <wp:posOffset>5415280</wp:posOffset>
                      </wp:positionV>
                      <wp:extent cx="2101850" cy="1040130"/>
                      <wp:effectExtent l="0" t="0" r="9526" b="9526"/>
                      <wp:wrapNone/>
                      <wp:docPr id="638942714" name="TextBox 10"/>
                      <wp:cNvGraphicFramePr>
                        <a:graphicFrameLocks xmlns:a="http://schemas.openxmlformats.org/drawingml/2006/main"/>
                      </wp:cNvGraphicFramePr>
                      <a:graphic xmlns:a="http://schemas.openxmlformats.org/drawingml/2006/main">
                        <a:graphicData uri="http://schemas.microsoft.com/office/word/2010/wordprocessingShape">
                          <wps:wsp>
                            <wps:cNvPr id="638942699" name="TextBox 10"/>
                            <wps:cNvSpPr txBox="1"/>
                            <wps:spPr>
                              <a:xfrm>
                                <a:off x="0" y="0"/>
                                <a:ext cx="2101850" cy="1040130"/>
                              </a:xfrm>
                              <a:prstGeom prst="rect">
                                <a:avLst/>
                              </a:prstGeom>
                              <a:solidFill>
                                <a:srgbClr val="FFFFFF"/>
                              </a:solidFill>
                              <a:ln>
                                <a:solidFill>
                                  <a:srgbClr val="000000"/>
                                </a:solidFill>
                              </a:ln>
                            </wps:spPr>
                            <wps:txbx id="1">
                              <w:txbxContent>
                                <w:p w14:paraId="0000002E">
                                  <w:pPr>
                                    <w:ind w:left="720" w:right="0" w:firstLine="0"/>
                                    <w:rPr>
                                      <w:sz w:val="22"/>
                                      <w:szCs w:val="22"/>
                                    </w:rPr>
                                  </w:pPr>
                                  <w:r>
                                    <w:rPr>
                                      <w:sz w:val="22"/>
                                      <w:szCs w:val="22"/>
                                    </w:rPr>
                                    <w:t>-GRANT APPLICATION.</w:t>
                                  </w:r>
                                </w:p>
                                <w:p w14:paraId="0000002F">
                                  <w:pPr>
                                    <w:ind w:left="720" w:right="0" w:firstLine="0"/>
                                    <w:rPr>
                                      <w:sz w:val="22"/>
                                      <w:szCs w:val="22"/>
                                    </w:rPr>
                                  </w:pPr>
                                  <w:r>
                                    <w:rPr>
                                      <w:sz w:val="22"/>
                                      <w:szCs w:val="22"/>
                                    </w:rPr>
                                    <w:t>-INCREASE WAGE</w:t>
                                  </w:r>
                                </w:p>
                                <w:p w14:paraId="00000030">
                                  <w:pPr>
                                    <w:ind w:left="720" w:right="0" w:firstLine="0"/>
                                    <w:rPr>
                                      <w:sz w:val="22"/>
                                      <w:szCs w:val="22"/>
                                    </w:rPr>
                                  </w:pPr>
                                  <w:r>
                                    <w:rPr>
                                      <w:sz w:val="22"/>
                                      <w:szCs w:val="22"/>
                                    </w:rPr>
                                    <w:t>-FLEXIBILTY</w:t>
                                  </w:r>
                                </w:p>
                                <w:p w14:paraId="00000031">
                                  <w:pPr>
                                    <w:ind w:left="1440" w:right="0" w:firstLine="0"/>
                                    <w:rPr/>
                                  </w:pPr>
                                </w:p>
                              </w:txbxContent>
                            </wps:txbx>
                            <wps:bodyPr rtlCol="0"/>
                          </wps:wsp>
                        </a:graphicData>
                      </a:graphic>
                    </wp:anchor>
                  </w:drawing>
                </mc:Choice>
                <mc:Fallback>
                  <w:pict>
                    <v:shape id="8DC55AA0-4CDA-4DFC-708BBCEE866D" coordsize="21600,21600" style="position:absolute;width:165.5pt;height:81.9pt;margin-top:426.4pt;margin-left:-52.7pt;mso-wrap-distance-left:9.36pt;mso-wrap-distance-right:9.36pt;mso-wrap-distance-top:0pt;mso-wrap-distance-bottom:0pt;mso-position-horizontal-relative:margin;mso-position-vertical-relative:margin;rotation:0.000000;z-index:21;" fillcolor="#ffffff" strokecolor="#000000" strokeweight="0pt" o:spt="1" path="m0,0 l0,21600 r21600,0 l21600,0 x e">
                      <v:stroke color="#000000" filltype="solid" joinstyle="round" linestyle="single" mitterlimit="800000" weight="0pt"/>
                      <w10:wrap side="both"/>
                      <v:fill type="solid" color="#ffffff" opacity="1.000000"/>
                      <o:lock/>
                    </v:shape>
                  </w:pict>
                </mc:Fallback>
              </mc:AlternateContent>
            </w: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14" simplePos="0">
                      <wp:simplePos x="0" y="0"/>
                      <wp:positionH relativeFrom="column">
                        <wp:posOffset>3195320</wp:posOffset>
                      </wp:positionH>
                      <wp:positionV relativeFrom="paragraph">
                        <wp:posOffset>2099310</wp:posOffset>
                      </wp:positionV>
                      <wp:extent cx="267335" cy="1049020"/>
                      <wp:effectExtent l="0" t="0" r="24310" b="24310"/>
                      <wp:wrapNone/>
                      <wp:docPr id="638942715" name="Left Up Arrow 14"/>
                      <wp:cNvGraphicFramePr>
                        <a:graphicFrameLocks xmlns:a="http://schemas.openxmlformats.org/drawingml/2006/main"/>
                      </wp:cNvGraphicFramePr>
                      <a:graphic xmlns:a="http://schemas.openxmlformats.org/drawingml/2006/main">
                        <a:graphicData uri="http://schemas.microsoft.com/office/word/2010/wordprocessingShape">
                          <wps:wsp>
                            <wps:cNvPr id="638942700" name="Left Up Arrow 14"/>
                            <wps:cNvSpPr/>
                            <wps:spPr>
                              <a:xfrm>
                                <a:off x="0" y="0"/>
                                <a:ext cx="267335" cy="1049020"/>
                              </a:xfrm>
                              <a:prstGeom prst="leftUp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E3129A50-DCD2-1C75-688A94F1574A" coordsize="21600,21600" style="position:absolute;width:21.05pt;height:82.6pt;margin-top:165.3pt;margin-left:251.6pt;mso-wrap-distance-left:9.36pt;mso-wrap-distance-right:9.36pt;mso-wrap-distance-top:0pt;mso-wrap-distance-bottom:0pt;rotation:0.000000;z-index:14;" fillcolor="#b4d3f2" strokecolor="#0c445e" path="m0,20223 l5399,18847 l5399,19535 l13499,19535 l13499,1376 l10799,1376 l16199,0 l21600,1376 l18899,1376 l18899,20911 l5399,20911 l5399,21600 x e">
                      <v:stroke color="#0c445e" filltype="solid" joinstyle="miter" linestyle="single" mitterlimit="800000" weight="1pt"/>
                      <w10:wrap side="both"/>
                      <v:fill type="solid" color="#b4d3f2" opacity="1.000000"/>
                      <o:lock/>
                    </v:shape>
                  </w:pict>
                </mc:Fallback>
              </mc:AlternateContent>
            </w: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9" simplePos="0">
                      <wp:simplePos x="0" y="0"/>
                      <wp:positionH relativeFrom="column">
                        <wp:posOffset>-2226945</wp:posOffset>
                      </wp:positionH>
                      <wp:positionV relativeFrom="paragraph">
                        <wp:posOffset>562610</wp:posOffset>
                      </wp:positionV>
                      <wp:extent cx="142875" cy="381000"/>
                      <wp:effectExtent l="0" t="0" r="30660" b="15330"/>
                      <wp:wrapNone/>
                      <wp:docPr id="638942716" name="Down Arrow 9"/>
                      <wp:cNvGraphicFramePr>
                        <a:graphicFrameLocks xmlns:a="http://schemas.openxmlformats.org/drawingml/2006/main"/>
                      </wp:cNvGraphicFramePr>
                      <a:graphic xmlns:a="http://schemas.openxmlformats.org/drawingml/2006/main">
                        <a:graphicData uri="http://schemas.microsoft.com/office/word/2010/wordprocessingShape">
                          <wps:wsp>
                            <wps:cNvPr id="638942701" name="Down Arrow 9"/>
                            <wps:cNvSpPr/>
                            <wps:spPr>
                              <a:xfrm>
                                <a:off x="0" y="0"/>
                                <a:ext cx="142875" cy="381000"/>
                              </a:xfrm>
                              <a:prstGeom prst="down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6A2CC27E-51D7-6838-04DB2504594A" adj="17550,5400" coordsize="21600,21600" style="position:absolute;width:11.25pt;height:30pt;margin-top:44.3pt;margin-left:-175.35pt;mso-wrap-distance-left:9.36pt;mso-wrap-distance-right:9.36pt;mso-wrap-distance-top:0pt;mso-wrap-distance-bottom:0pt;rotation:0.000000;z-index:9;" fillcolor="#b4d3f2" strokecolor="#0c445e" o:spt="67" path="m0,@0 l@1,@0 l@1,0 l@2,0 l@2,@0 l21600,@0 l10800,21600 x e">
                      <v:stroke color="#0c445e" filltype="solid" joinstyle="miter" linestyle="single" mitterlimit="800000" weight="1pt"/>
                      <w10:wrap side="both"/>
                      <v:formulas>
                        <v:f eqn="val #0"/>
                        <v:f eqn="val #1"/>
                        <v:f eqn="sum height 0 #1"/>
                        <v:f eqn="sum 10800 0 #1"/>
                        <v:f eqn="sum width 0 #0"/>
                        <v:f eqn="prod @4 @3 10800"/>
                        <v:f eqn="sum width 0 @5"/>
                      </v:formulas>
                      <v:handles>
                        <v:h position="#1,#0" xrange="0,10800" yrange="0,21600"/>
                      </v:handles>
                      <v:fill type="solid" color="#b4d3f2" opacity="1.000000"/>
                      <o:lock/>
                    </v:shape>
                  </w:pict>
                </mc:Fallback>
              </mc:AlternateContent>
            </w: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11" simplePos="0">
                      <wp:simplePos x="0" y="0"/>
                      <wp:positionH relativeFrom="column">
                        <wp:posOffset>3213735</wp:posOffset>
                      </wp:positionH>
                      <wp:positionV relativeFrom="paragraph">
                        <wp:posOffset>571500</wp:posOffset>
                      </wp:positionV>
                      <wp:extent cx="124460" cy="400685"/>
                      <wp:effectExtent l="0" t="0" r="30660" b="15330"/>
                      <wp:wrapNone/>
                      <wp:docPr id="638942717" name="Down Arrow 11"/>
                      <wp:cNvGraphicFramePr>
                        <a:graphicFrameLocks xmlns:a="http://schemas.openxmlformats.org/drawingml/2006/main"/>
                      </wp:cNvGraphicFramePr>
                      <a:graphic xmlns:a="http://schemas.openxmlformats.org/drawingml/2006/main">
                        <a:graphicData uri="http://schemas.microsoft.com/office/word/2010/wordprocessingShape">
                          <wps:wsp>
                            <wps:cNvPr id="638942702" name="Down Arrow 11"/>
                            <wps:cNvSpPr/>
                            <wps:spPr>
                              <a:xfrm>
                                <a:off x="0" y="0"/>
                                <a:ext cx="124460" cy="400685"/>
                              </a:xfrm>
                              <a:prstGeom prst="down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D53FB289-B878-ED76-1CBC9489F25C" adj="18245,5400" coordsize="21600,21600" style="position:absolute;width:9.8pt;height:31.55pt;margin-top:45pt;margin-left:253.05pt;mso-wrap-distance-left:9.36pt;mso-wrap-distance-right:9.36pt;mso-wrap-distance-top:0pt;mso-wrap-distance-bottom:0pt;rotation:0.000000;z-index:11;" fillcolor="#b4d3f2" strokecolor="#0c445e" o:spt="67" path="m0,@0 l@1,@0 l@1,0 l@2,0 l@2,@0 l21600,@0 l10800,21600 x e">
                      <v:stroke color="#0c445e" filltype="solid" joinstyle="miter" linestyle="single" mitterlimit="800000" weight="1pt"/>
                      <w10:wrap side="both"/>
                      <v:formulas>
                        <v:f eqn="val #0"/>
                        <v:f eqn="val #1"/>
                        <v:f eqn="sum height 0 #1"/>
                        <v:f eqn="sum 10800 0 #1"/>
                        <v:f eqn="sum width 0 #0"/>
                        <v:f eqn="prod @4 @3 10800"/>
                        <v:f eqn="sum width 0 @5"/>
                      </v:formulas>
                      <v:handles>
                        <v:h position="#1,#0" xrange="0,10800" yrange="0,21600"/>
                      </v:handles>
                      <v:fill type="solid" color="#b4d3f2" opacity="1.000000"/>
                      <o:lock/>
                    </v:shape>
                  </w:pict>
                </mc:Fallback>
              </mc:AlternateContent>
            </w:r>
            <w:r>
              <w:rPr>
                <w:rFonts w:ascii="Arial" w:cs="Arial" w:eastAsia="Arial Nova" w:hAnsi="Arial"/>
                <w:i/>
                <w:iCs/>
                <w:color w:val="000000" w:themeColor="text1"/>
                <w:sz w:val="22"/>
                <w:szCs w:val="22"/>
              </w:rPr>
              <w:t>MOTIVATION</w:t>
            </w:r>
          </w:p>
          <w:p w14:paraId="00000032">
            <w:pPr>
              <w:jc w:val="cente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(INTRINSIC AND EXTRINSIC)</w:t>
            </w:r>
          </w:p>
        </w:tc>
      </w:tr>
    </w:tbl>
    <w:p w14:paraId="00000033">
      <w:pPr>
        <w:rPr>
          <w:rFonts w:ascii="Arial" w:cs="Arial" w:eastAsia="Arial Nova" w:hAnsi="Arial"/>
          <w:i/>
          <w:iCs/>
          <w:color w:val="000000" w:themeColor="text1"/>
          <w:sz w:val="22"/>
          <w:szCs w:val="22"/>
        </w:rPr>
      </w:pPr>
    </w:p>
    <w:p w14:paraId="00000034">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20" simplePos="0">
                <wp:simplePos x="0" y="0"/>
                <wp:positionH relativeFrom="margin">
                  <wp:posOffset>4449445</wp:posOffset>
                </wp:positionH>
                <wp:positionV relativeFrom="margin">
                  <wp:posOffset>5447665</wp:posOffset>
                </wp:positionV>
                <wp:extent cx="2273300" cy="1029970"/>
                <wp:effectExtent l="0" t="0" r="9526" b="9525"/>
                <wp:wrapNone/>
                <wp:docPr id="638942718" name="TextBox 12"/>
                <wp:cNvGraphicFramePr>
                  <a:graphicFrameLocks xmlns:a="http://schemas.openxmlformats.org/drawingml/2006/main"/>
                </wp:cNvGraphicFramePr>
                <a:graphic xmlns:a="http://schemas.openxmlformats.org/drawingml/2006/main">
                  <a:graphicData uri="http://schemas.microsoft.com/office/word/2010/wordprocessingShape">
                    <wps:wsp>
                      <wps:cNvPr id="638942703" name="TextBox 12"/>
                      <wps:cNvSpPr txBox="1"/>
                      <wps:spPr>
                        <a:xfrm>
                          <a:off x="0" y="0"/>
                          <a:ext cx="2273300" cy="1029970"/>
                        </a:xfrm>
                        <a:prstGeom prst="rect">
                          <a:avLst/>
                        </a:prstGeom>
                        <a:solidFill>
                          <a:srgbClr val="FFFFFF"/>
                        </a:solidFill>
                        <a:ln>
                          <a:solidFill>
                            <a:srgbClr val="000000"/>
                          </a:solidFill>
                        </a:ln>
                      </wps:spPr>
                      <wps:txbx id="2">
                        <w:txbxContent>
                          <w:p w14:paraId="00000035">
                            <w:r>
                              <w:t xml:space="preserve">-USE </w:t>
                            </w:r>
                            <w:r>
                              <w:rPr>
                                <w:sz w:val="22"/>
                                <w:szCs w:val="22"/>
                              </w:rPr>
                              <w:t>OF</w:t>
                            </w:r>
                            <w:r>
                              <w:t xml:space="preserve"> TECHNOLOGY</w:t>
                            </w:r>
                          </w:p>
                          <w:p w14:paraId="00000036">
                            <w:r>
                              <w:t>-SHARED RESOURCES</w:t>
                            </w:r>
                            <w:r>
                              <w:rPr/>
                              <w:br w:type="textWrapping"/>
                            </w:r>
                            <w:r>
                              <w:t>-TRAININGS</w:t>
                            </w:r>
                          </w:p>
                        </w:txbxContent>
                      </wps:txbx>
                      <wps:bodyPr rtlCol="0"/>
                    </wps:wsp>
                  </a:graphicData>
                </a:graphic>
              </wp:anchor>
            </w:drawing>
          </mc:Choice>
          <mc:Fallback>
            <w:pict>
              <v:shape id="C4F2FF82-30ED-C63B-2C47FD59FF09" coordsize="21600,21600" style="position:absolute;width:179pt;height:81.1pt;margin-top:428.95pt;margin-left:350.35pt;mso-wrap-distance-left:9.36pt;mso-wrap-distance-right:9.36pt;mso-wrap-distance-top:0pt;mso-wrap-distance-bottom:0pt;mso-position-horizontal-relative:margin;mso-position-vertical-relative:margin;rotation:0.000000;z-index:20;" fillcolor="#ffffff" strokecolor="#000000" strokeweight="0pt" o:spt="1" path="m0,0 l0,21600 r21600,0 l21600,0 x e">
                <v:stroke color="#000000" filltype="solid" joinstyle="round" linestyle="single" mitterlimit="800000" weight="0pt"/>
                <w10:wrap side="both"/>
                <v:fill type="solid" color="#ffffff" opacity="1.000000"/>
                <o:lock/>
              </v:shape>
            </w:pict>
          </mc:Fallback>
        </mc:AlternateContent>
      </w:r>
    </w:p>
    <w:p w14:paraId="00000037">
      <w:pPr>
        <w:rPr>
          <w:rFonts w:ascii="Arial" w:cs="Arial" w:eastAsia="Arial Nova" w:hAnsi="Arial"/>
          <w:i/>
          <w:iCs/>
          <w:color w:val="000000" w:themeColor="text1"/>
          <w:sz w:val="22"/>
          <w:szCs w:val="22"/>
        </w:rPr>
      </w:pPr>
    </w:p>
    <w:p w14:paraId="00000038">
      <w:pPr>
        <w:rPr>
          <w:rFonts w:ascii="Arial" w:cs="Arial" w:eastAsia="Arial Nova" w:hAnsi="Arial"/>
          <w:i/>
          <w:iCs/>
          <w:color w:val="b7d3ef" w:themeColor="dk2" w:themeTint="33"/>
          <w:sz w:val="22"/>
          <w:szCs w:val="22"/>
        </w:rPr>
      </w:pPr>
      <w:r>
        <w:rPr>
          <w:rFonts w:ascii="Arial" w:cs="Arial" w:eastAsia="Arial Nova" w:hAnsi="Arial"/>
          <w:i/>
          <w:iCs/>
          <w:color w:val="b7d3ef" w:themeColor="dk2" w:themeTint="33"/>
          <w:sz w:val="22"/>
          <w:szCs w:val="22"/>
        </w:rPr>
        <mc:AlternateContent>
          <mc:Choice Requires="wps">
            <w:drawing xmlns:mc="http://schemas.openxmlformats.org/markup-compatibility/2006">
              <wp:anchor allowOverlap="1" behindDoc="0" distT="0" distB="0" distL="118872" distR="118872" layoutInCell="1" locked="0" relativeHeight="13" simplePos="0">
                <wp:simplePos x="0" y="0"/>
                <wp:positionH relativeFrom="column">
                  <wp:posOffset>-146685</wp:posOffset>
                </wp:positionH>
                <wp:positionV relativeFrom="paragraph">
                  <wp:posOffset>267970</wp:posOffset>
                </wp:positionV>
                <wp:extent cx="1038860" cy="277495"/>
                <wp:effectExtent l="365352" t="0" r="0" b="785676"/>
                <wp:wrapNone/>
                <wp:docPr id="638942719" name="Left Up Arrow 13"/>
                <wp:cNvGraphicFramePr>
                  <a:graphicFrameLocks xmlns:a="http://schemas.openxmlformats.org/drawingml/2006/main"/>
                </wp:cNvGraphicFramePr>
                <a:graphic xmlns:a="http://schemas.openxmlformats.org/drawingml/2006/main">
                  <a:graphicData uri="http://schemas.microsoft.com/office/word/2010/wordprocessingShape">
                    <wps:wsp>
                      <wps:cNvPr id="638942704" name="Left Up Arrow 13"/>
                      <wps:cNvSpPr/>
                      <wps:spPr>
                        <a:xfrm rot="5400000">
                          <a:off x="0" y="0"/>
                          <a:ext cx="1038860" cy="277495"/>
                        </a:xfrm>
                        <a:prstGeom prst="leftUpArrow">
                          <a:avLst/>
                        </a:prstGeom>
                        <a:solidFill>
                          <a:schemeClr val="dk2">
                            <a:lumMod val="20000"/>
                            <a:lumOff val="80000"/>
                            <a:alpha val="100000"/>
                          </a:schemeClr>
                        </a:solidFill>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anchor>
            </w:drawing>
          </mc:Choice>
          <mc:Fallback>
            <w:pict>
              <v:shape id="ADC9F5F9-B361-FF76-E8F053AF1E29" coordsize="21600,21600" style="position:absolute;width:81.8pt;height:21.85pt;margin-top:21.1pt;margin-left:-11.55pt;mso-wrap-distance-left:9.36pt;mso-wrap-distance-right:9.36pt;mso-wrap-distance-top:0pt;mso-wrap-distance-bottom:0pt;rotation:90.000000;z-index:13;" fillcolor="#b4d3f2" strokecolor="#0c445e" path="m0,16199 l1442,10799 l1442,13499 l19436,13499 l19436,5399 l18715,5399 l20157,0 l21600,5399 l20878,5399 l20878,18899 l1442,18899 l1442,21600 x e">
                <v:stroke color="#0c445e" filltype="solid" joinstyle="miter" linestyle="single" mitterlimit="800000" weight="1pt"/>
                <w10:wrap side="both"/>
                <v:fill type="solid" color="#b4d3f2" opacity="1.000000"/>
                <o:lock/>
              </v:shape>
            </w:pict>
          </mc:Fallback>
        </mc:AlternateContent>
      </w:r>
    </w:p>
    <w:p w14:paraId="00000039">
      <w:pPr>
        <w:rPr>
          <w:rFonts w:ascii="Arial" w:cs="Arial" w:eastAsia="Arial Nova" w:hAnsi="Arial"/>
          <w:i/>
          <w:iCs/>
          <w:color w:val="000000" w:themeColor="text1"/>
          <w:sz w:val="22"/>
          <w:szCs w:val="22"/>
        </w:rPr>
      </w:pPr>
    </w:p>
    <w:p w14:paraId="0000003A">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mc:AlternateContent>
          <mc:Choice Requires="wps">
            <w:drawing xmlns:mc="http://schemas.openxmlformats.org/markup-compatibility/2006">
              <wp:anchor allowOverlap="1" behindDoc="0" distT="0" distB="0" distL="118872" distR="118872" layoutInCell="1" locked="0" relativeHeight="15" simplePos="0">
                <wp:simplePos x="0" y="0"/>
                <wp:positionH relativeFrom="margin">
                  <wp:posOffset>575945</wp:posOffset>
                </wp:positionH>
                <wp:positionV relativeFrom="margin">
                  <wp:posOffset>6903085</wp:posOffset>
                </wp:positionV>
                <wp:extent cx="4998085" cy="803275"/>
                <wp:effectExtent l="0" t="0" r="9526" b="9526"/>
                <wp:wrapNone/>
                <wp:docPr id="638942720" name="TextBox 15"/>
                <wp:cNvGraphicFramePr>
                  <a:graphicFrameLocks xmlns:a="http://schemas.openxmlformats.org/drawingml/2006/main"/>
                </wp:cNvGraphicFramePr>
                <a:graphic xmlns:a="http://schemas.openxmlformats.org/drawingml/2006/main">
                  <a:graphicData uri="http://schemas.microsoft.com/office/word/2010/wordprocessingShape">
                    <wps:wsp>
                      <wps:cNvPr id="638942705" name="TextBox 15"/>
                      <wps:cNvSpPr txBox="1"/>
                      <wps:spPr>
                        <a:xfrm>
                          <a:off x="0" y="0"/>
                          <a:ext cx="4998085" cy="803275"/>
                        </a:xfrm>
                        <a:prstGeom prst="rect">
                          <a:avLst/>
                        </a:prstGeom>
                        <a:solidFill>
                          <a:srgbClr val="FFFFFF"/>
                        </a:solidFill>
                        <a:ln>
                          <a:solidFill>
                            <a:srgbClr val="000000"/>
                          </a:solidFill>
                        </a:ln>
                      </wps:spPr>
                      <wps:txbx id="3">
                        <w:txbxContent>
                          <w:p w14:paraId="0000003B">
                            <w:pPr>
                              <w:jc w:val="center"/>
                              <w:rPr>
                                <w:sz w:val="28"/>
                                <w:szCs w:val="28"/>
                              </w:rPr>
                            </w:pPr>
                            <w:r>
                              <w:rPr>
                                <w:sz w:val="28"/>
                                <w:szCs w:val="28"/>
                              </w:rPr>
                              <w:t>HEALTH AND SOCIAL CARE IMPROVEMENTS</w:t>
                            </w:r>
                          </w:p>
                        </w:txbxContent>
                      </wps:txbx>
                      <wps:bodyPr rtlCol="0"/>
                    </wps:wsp>
                  </a:graphicData>
                </a:graphic>
              </wp:anchor>
            </w:drawing>
          </mc:Choice>
          <mc:Fallback>
            <w:pict>
              <v:shape id="B9CD3337-DD54-F6A6-C19A1D20AEAD" coordsize="21600,21600" style="position:absolute;width:393.55pt;height:63.25pt;margin-top:543.55pt;margin-left:45.35pt;mso-wrap-distance-left:9.36pt;mso-wrap-distance-right:9.36pt;mso-wrap-distance-top:0pt;mso-wrap-distance-bottom:0pt;mso-position-horizontal-relative:margin;mso-position-vertical-relative:margin;rotation:0.000000;z-index:15;" fillcolor="#ffffff" strokecolor="#000000" strokeweight="0pt" o:spt="1" path="m0,0 l0,21600 r21600,0 l21600,0 x e">
                <v:stroke color="#000000" filltype="solid" joinstyle="round" linestyle="single" mitterlimit="800000" weight="0pt"/>
                <w10:wrap side="both"/>
                <v:fill type="solid" color="#ffffff" opacity="1.000000"/>
                <o:lock/>
              </v:shape>
            </w:pict>
          </mc:Fallback>
        </mc:AlternateContent>
      </w:r>
    </w:p>
    <w:p w14:paraId="0000003C">
      <w:pPr>
        <w:rPr>
          <w:rFonts w:ascii="Arial" w:cs="Arial" w:eastAsia="Arial Nova" w:hAnsi="Arial"/>
          <w:i/>
          <w:iCs/>
          <w:color w:val="000000" w:themeColor="text1"/>
          <w:sz w:val="22"/>
          <w:szCs w:val="22"/>
        </w:rPr>
      </w:pPr>
    </w:p>
    <w:p w14:paraId="0000003D">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 xml:space="preserve">   </w:t>
      </w:r>
    </w:p>
    <w:p w14:paraId="0000003E">
      <w:pPr>
        <w:rPr>
          <w:rFonts w:ascii="Arial" w:cs="Arial" w:eastAsia="Arial Nova" w:hAnsi="Arial"/>
          <w:i/>
          <w:iCs/>
          <w:color w:val="000000" w:themeColor="text1"/>
          <w:sz w:val="22"/>
          <w:szCs w:val="22"/>
        </w:rPr>
      </w:pPr>
    </w:p>
    <w:p w14:paraId="0000003F">
      <w:pPr>
        <w:rPr>
          <w:rFonts w:ascii="Arial" w:cs="Arial" w:eastAsia="Arial Nova" w:hAnsi="Arial"/>
          <w:i/>
          <w:iCs/>
          <w:color w:val="000000" w:themeColor="text1"/>
          <w:sz w:val="22"/>
          <w:szCs w:val="22"/>
        </w:rPr>
      </w:pPr>
    </w:p>
    <w:p w14:paraId="00000040">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 xml:space="preserve">Lack of funding is a major problem in the NHS and Health and Social Care affecting both </w:t>
      </w:r>
    </w:p>
    <w:p w14:paraId="00000041">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 xml:space="preserve">service delivery and workforce sustainability(Rush et al.). This financial pressures within both NHS and Social Care is leading to staff shortage,long waiting hours for patients and Limited trainings and development for staffs. </w:t>
      </w:r>
    </w:p>
    <w:p w14:paraId="00000042">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Creativity been the ability to produce or or use original or unsure ideas to make something new is very vital in the Health and Social Care sector whether a new solution to a problem, a new method or device. Creativity is a survival approach to many challenges that we face,Jervis(2015).Creativity always drives innovation.</w:t>
      </w:r>
    </w:p>
    <w:p w14:paraId="00000043">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Value Creation on the other hand is been able to produce products or services that have a higher value than the inputs used for example been able to use few paper clips to make a lot of different items such as ear rings,rings and others for our class activity.</w:t>
      </w:r>
    </w:p>
    <w:p w14:paraId="00000044">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In the above concept map, value for creation was created to solve Lack of  funding issues which linked to well-being and problem solving such as staff shortage and limited training and development. In this value for creativity,  motivation was put in place both intrinsic and extrinsic to help solve the funding issue. Under intrinsic, which is internal factors, flexibility,grants applications and increase wage which can influence Health and Social Care improvement was put in place, whereas some of the extrinsic factors which is trainings,use of technology and shared resources which also leads to Health and Social Care Improvement was also considered.</w:t>
      </w:r>
    </w:p>
    <w:p w14:paraId="00000045">
      <w:pPr>
        <w:rPr>
          <w:rFonts w:ascii="Arial" w:cs="Arial" w:eastAsia="Arial Nova" w:hAnsi="Arial"/>
          <w:i/>
          <w:iCs/>
          <w:color w:val="000000" w:themeColor="text1"/>
          <w:sz w:val="22"/>
          <w:szCs w:val="22"/>
        </w:rPr>
      </w:pPr>
      <w:r>
        <w:rPr>
          <w:rFonts w:ascii="Arial" w:cs="Arial" w:eastAsia="Arial Nova" w:hAnsi="Arial"/>
          <w:i/>
          <w:iCs/>
          <w:color w:val="000000" w:themeColor="text1"/>
          <w:sz w:val="22"/>
          <w:szCs w:val="22"/>
        </w:rPr>
        <w:t>This value for creativity improves Health and Social Care outcome despite it’s lack of funding. Overall, creativity, value creation helps Health and Social Care continue to function effectively even when funding is insufficient JAMA (2007)</w:t>
      </w:r>
      <w:r>
        <w:rPr>
          <w:rFonts w:ascii="Arial" w:cs="Arial" w:eastAsia="Arial Nova" w:hAnsi="Arial"/>
          <w:i/>
          <w:iCs/>
          <w:color w:val="000000" w:themeColor="text1"/>
          <w:sz w:val="22"/>
          <w:szCs w:val="22"/>
        </w:rPr>
        <w:t>. This outcome leads to Health and Social Care Improvement.</w:t>
      </w:r>
    </w:p>
    <w:p w14:paraId="00000046">
      <w:pPr>
        <w:spacing w:before="100" w:after="100" w:line="240" w:lineRule="auto"/>
        <w:rPr>
          <w:rFonts w:ascii="Arial" w:cs="Arial" w:eastAsia="Times New Roman" w:hAnsi="Arial"/>
          <w:sz w:val="22"/>
          <w:szCs w:val="22"/>
          <w:u w:val="single"/>
          <w:lang w:val="en-US" w:eastAsia="fr-FR"/>
        </w:rPr>
      </w:pPr>
    </w:p>
    <w:p w14:paraId="00000047">
      <w:pPr>
        <w:spacing w:before="100" w:after="100" w:line="240" w:lineRule="auto"/>
        <w:rPr>
          <w:rFonts w:ascii="Arial" w:cs="Arial" w:eastAsia="Times New Roman" w:hAnsi="Arial"/>
          <w:sz w:val="22"/>
          <w:szCs w:val="22"/>
          <w:u w:val="single"/>
          <w:lang w:val="en-US" w:eastAsia="fr-FR"/>
        </w:rPr>
      </w:pPr>
    </w:p>
    <w:p w14:paraId="00000048">
      <w:pPr>
        <w:spacing w:before="100" w:after="100" w:line="240" w:lineRule="auto"/>
        <w:rPr>
          <w:rFonts w:ascii="Arial" w:cs="Arial" w:eastAsia="Times New Roman" w:hAnsi="Arial"/>
          <w:sz w:val="22"/>
          <w:szCs w:val="22"/>
          <w:u w:val="single"/>
          <w:lang w:val="en-US" w:eastAsia="fr-FR"/>
        </w:rPr>
      </w:pPr>
    </w:p>
    <w:p w14:paraId="00000049">
      <w:pPr>
        <w:spacing w:before="100" w:after="100" w:line="240" w:lineRule="auto"/>
        <w:rPr>
          <w:rFonts w:ascii="Arial" w:cs="Arial" w:eastAsia="Times New Roman" w:hAnsi="Arial"/>
          <w:sz w:val="22"/>
          <w:szCs w:val="22"/>
          <w:u w:val="single"/>
          <w:lang w:val="en-US" w:eastAsia="fr-FR"/>
        </w:rPr>
      </w:pPr>
    </w:p>
    <w:p w14:paraId="0000004A">
      <w:pPr>
        <w:spacing w:before="100" w:after="100" w:line="240" w:lineRule="auto"/>
        <w:rPr>
          <w:rFonts w:ascii="Arial" w:cs="Arial" w:eastAsia="Times New Roman" w:hAnsi="Arial"/>
          <w:sz w:val="22"/>
          <w:szCs w:val="22"/>
          <w:u w:val="single"/>
          <w:lang w:val="en-US" w:eastAsia="fr-FR"/>
        </w:rPr>
      </w:pPr>
    </w:p>
    <w:p w14:paraId="0000004B">
      <w:pPr>
        <w:spacing w:before="100" w:after="100" w:line="240" w:lineRule="auto"/>
        <w:rPr>
          <w:rFonts w:ascii="Arial" w:cs="Arial" w:eastAsia="Times New Roman" w:hAnsi="Arial"/>
          <w:sz w:val="22"/>
          <w:szCs w:val="22"/>
          <w:u w:val="single"/>
          <w:lang w:val="en-US" w:eastAsia="fr-FR"/>
        </w:rPr>
      </w:pPr>
    </w:p>
    <w:p w14:paraId="0000004C">
      <w:pPr>
        <w:spacing w:before="100" w:after="100" w:line="240" w:lineRule="auto"/>
        <w:rPr>
          <w:rFonts w:ascii="Arial" w:cs="Arial" w:eastAsia="Times New Roman" w:hAnsi="Arial"/>
          <w:sz w:val="22"/>
          <w:szCs w:val="22"/>
          <w:u w:val="single"/>
          <w:lang w:val="en-US" w:eastAsia="fr-FR"/>
        </w:rPr>
      </w:pPr>
    </w:p>
    <w:p w14:paraId="0000004D">
      <w:pPr>
        <w:spacing w:before="100" w:after="100" w:line="240" w:lineRule="auto"/>
        <w:rPr>
          <w:rFonts w:ascii="Arial" w:cs="Arial" w:eastAsia="Times New Roman" w:hAnsi="Arial"/>
          <w:b/>
          <w:bCs/>
          <w:sz w:val="22"/>
          <w:szCs w:val="22"/>
          <w:u w:val="single"/>
          <w:lang w:val="en-US" w:eastAsia="fr-FR"/>
        </w:rPr>
      </w:pPr>
    </w:p>
    <w:p w14:paraId="0000004E">
      <w:pPr>
        <w:spacing w:before="100" w:after="100" w:line="240" w:lineRule="auto"/>
        <w:rPr>
          <w:rFonts w:ascii="Arial" w:cs="Arial" w:eastAsia="Times New Roman" w:hAnsi="Arial"/>
          <w:b/>
          <w:bCs/>
          <w:sz w:val="22"/>
          <w:szCs w:val="22"/>
          <w:u w:val="single"/>
          <w:lang w:val="en-US" w:eastAsia="fr-FR"/>
        </w:rPr>
      </w:pPr>
    </w:p>
    <w:p w14:paraId="0000004F">
      <w:pPr>
        <w:spacing w:before="100" w:after="100" w:line="240" w:lineRule="auto"/>
        <w:rPr>
          <w:rFonts w:ascii="Arial" w:cs="Arial" w:eastAsia="Times New Roman" w:hAnsi="Arial"/>
          <w:b/>
          <w:bCs/>
          <w:sz w:val="22"/>
          <w:szCs w:val="22"/>
          <w:u w:val="single"/>
          <w:lang w:val="en-US" w:eastAsia="fr-FR"/>
        </w:rPr>
      </w:pPr>
    </w:p>
    <w:p w14:paraId="00000050">
      <w:pPr>
        <w:spacing w:before="100" w:after="100" w:line="240" w:lineRule="auto"/>
        <w:rPr>
          <w:rFonts w:ascii="Arial" w:cs="Arial" w:eastAsia="Times New Roman" w:hAnsi="Arial"/>
          <w:b/>
          <w:bCs/>
          <w:sz w:val="22"/>
          <w:szCs w:val="22"/>
          <w:u w:val="single"/>
          <w:lang w:val="en-US" w:eastAsia="fr-FR"/>
        </w:rPr>
      </w:pPr>
    </w:p>
    <w:p w14:paraId="00000051">
      <w:pPr>
        <w:spacing w:before="100" w:after="100" w:line="240" w:lineRule="auto"/>
        <w:rPr>
          <w:rFonts w:ascii="Arial" w:cs="Arial" w:eastAsia="Times New Roman" w:hAnsi="Arial"/>
          <w:b/>
          <w:bCs/>
          <w:sz w:val="22"/>
          <w:szCs w:val="22"/>
          <w:u w:val="single"/>
          <w:lang w:val="en-US" w:eastAsia="fr-FR"/>
        </w:rPr>
      </w:pPr>
    </w:p>
    <w:p w14:paraId="00000052">
      <w:pPr>
        <w:spacing w:before="100" w:after="100" w:line="240" w:lineRule="auto"/>
        <w:rPr>
          <w:rFonts w:ascii="Arial" w:cs="Arial" w:eastAsia="Times New Roman" w:hAnsi="Arial"/>
          <w:b/>
          <w:bCs/>
          <w:sz w:val="22"/>
          <w:szCs w:val="22"/>
          <w:u w:val="single"/>
          <w:lang w:val="en-US" w:eastAsia="fr-FR"/>
        </w:rPr>
      </w:pPr>
      <w:r>
        <w:rPr>
          <w:rFonts w:ascii="Arial" w:cs="Arial" w:eastAsia="Times New Roman" w:hAnsi="Arial"/>
          <w:b/>
          <w:bCs/>
          <w:sz w:val="22"/>
          <w:szCs w:val="22"/>
          <w:u w:val="single"/>
          <w:lang w:val="en-US" w:eastAsia="fr-FR"/>
        </w:rPr>
        <w:t>SELF-REFLECTION ON A GROUP ACTIVITY.</w:t>
      </w:r>
    </w:p>
    <w:p w14:paraId="00000053">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Using Gibbs’ Reflective Cycle (1988), I reflected on the classroom activity where we used few paper clips to make earrings,rings and bracelet. The purpose of the task was to encourage creativity,divergent thinking, convergent thinking and how few resources can be used in the health and social care sector to create something beneficial.The activity was  involved in exploring multiple ideas and possibilities before deciding on one.</w:t>
      </w:r>
      <w:r>
        <w:rPr>
          <w:rFonts w:ascii="Arial" w:cs="Arial" w:eastAsia="Times New Roman" w:hAnsi="Arial"/>
          <w:sz w:val="22"/>
          <w:szCs w:val="22"/>
          <w:lang w:eastAsia="fr-FR"/>
        </w:rPr>
        <w:t xml:space="preserve"> </w:t>
      </w:r>
      <w:r>
        <w:rPr>
          <w:rFonts w:ascii="Arial" w:cs="Arial" w:hAnsi="Arial"/>
          <w:sz w:val="22"/>
          <w:szCs w:val="22"/>
          <w:lang w:val="en-US"/>
        </w:rPr>
        <w:t>According to</w:t>
      </w:r>
      <w:r>
        <w:rPr>
          <w:rFonts w:ascii="Arial" w:cs="Arial" w:hAnsi="Arial"/>
          <w:b/>
          <w:bCs/>
          <w:sz w:val="22"/>
          <w:szCs w:val="22"/>
          <w:lang w:val="en-US"/>
        </w:rPr>
        <w:t xml:space="preserve"> </w:t>
      </w:r>
      <w:r>
        <w:rPr>
          <w:rStyle w:val="Strong"/>
          <w:rFonts w:ascii="Arial" w:cs="Arial" w:hAnsi="Arial"/>
          <w:b w:val="off"/>
          <w:bCs w:val="off"/>
          <w:sz w:val="22"/>
          <w:szCs w:val="22"/>
          <w:lang w:val="en-US"/>
        </w:rPr>
        <w:t>Gibbs’ (1988) Reflective Cycle</w:t>
      </w:r>
      <w:r>
        <w:rPr>
          <w:rFonts w:ascii="Arial" w:cs="Arial" w:hAnsi="Arial"/>
          <w:sz w:val="22"/>
          <w:szCs w:val="22"/>
          <w:lang w:val="en-US"/>
        </w:rPr>
        <w:t xml:space="preserve">, my learning followed a process of </w:t>
      </w:r>
      <w:r>
        <w:rPr>
          <w:rStyle w:val="Strong"/>
          <w:rFonts w:ascii="Arial" w:cs="Arial" w:hAnsi="Arial"/>
          <w:b w:val="off"/>
          <w:bCs w:val="off"/>
          <w:sz w:val="22"/>
          <w:szCs w:val="22"/>
          <w:lang w:val="en-US"/>
        </w:rPr>
        <w:t>experience, reflection, analysis, and action planning</w:t>
      </w:r>
      <w:r>
        <w:rPr>
          <w:rFonts w:ascii="Arial" w:cs="Arial" w:hAnsi="Arial"/>
          <w:b/>
          <w:bCs/>
          <w:sz w:val="22"/>
          <w:szCs w:val="22"/>
          <w:lang w:val="en-US"/>
        </w:rPr>
        <w:t>.</w:t>
      </w:r>
      <w:r>
        <w:rPr>
          <w:rFonts w:ascii="Arial" w:cs="Arial" w:hAnsi="Arial"/>
          <w:sz w:val="22"/>
          <w:szCs w:val="22"/>
          <w:lang w:val="en-US"/>
        </w:rPr>
        <w:t xml:space="preserve"> The experience helped me understand that divergent thinking values multiple possible answers rather than a single “correct” one </w:t>
      </w:r>
      <w:r>
        <w:rPr>
          <w:rFonts w:ascii="Arial" w:cs="Arial" w:hAnsi="Arial"/>
          <w:color w:val="000000"/>
          <w:sz w:val="22"/>
          <w:szCs w:val="22"/>
          <w:lang w:val="en-US"/>
        </w:rPr>
        <w:t>Gibbs (1988)</w:t>
      </w:r>
      <w:r>
        <w:rPr>
          <w:rFonts w:ascii="Arial" w:cs="Arial" w:hAnsi="Arial"/>
          <w:sz w:val="22"/>
          <w:szCs w:val="22"/>
          <w:lang w:val="en-US"/>
        </w:rPr>
        <w:t>.</w:t>
      </w:r>
    </w:p>
    <w:p w14:paraId="00000054">
      <w:pPr>
        <w:spacing w:before="100" w:after="100" w:line="240" w:lineRule="auto"/>
        <w:rPr>
          <w:rFonts w:ascii="Arial" w:cs="Arial" w:eastAsia="Times New Roman" w:hAnsi="Arial"/>
          <w:sz w:val="22"/>
          <w:szCs w:val="22"/>
          <w:lang w:val="en-US" w:eastAsia="fr-FR"/>
        </w:rPr>
      </w:pPr>
    </w:p>
    <w:p w14:paraId="00000055">
      <w:pPr>
        <w:spacing w:before="100" w:after="100" w:line="240" w:lineRule="auto"/>
        <w:rPr>
          <w:rFonts w:ascii="Arial" w:cs="Arial" w:eastAsia="Times New Roman" w:hAnsi="Arial"/>
          <w:color w:val="ff0000"/>
          <w:sz w:val="22"/>
          <w:szCs w:val="22"/>
          <w:lang w:val="en-US" w:eastAsia="fr-FR"/>
        </w:rPr>
      </w:pPr>
      <w:r>
        <w:rPr>
          <w:rFonts w:ascii="Arial" w:cs="Arial" w:eastAsia="Times New Roman" w:hAnsi="Arial"/>
          <w:sz w:val="22"/>
          <w:szCs w:val="22"/>
          <w:lang w:val="en-US" w:eastAsia="fr-FR"/>
        </w:rPr>
        <w:t>As group,we applied the Gibbs reflection cycle which is desc</w:t>
      </w:r>
      <w:r>
        <w:rPr>
          <w:rFonts w:ascii="Arial" w:cs="Arial" w:eastAsia="Times New Roman" w:hAnsi="Arial"/>
          <w:sz w:val="22"/>
          <w:szCs w:val="22"/>
          <w:lang w:val="en-US" w:eastAsia="fr-FR"/>
        </w:rPr>
        <w:t xml:space="preserve">ription,feelings,evaluation,analysis and conclusion to perform this task successfully. </w:t>
      </w:r>
    </w:p>
    <w:p w14:paraId="00000056">
      <w:pPr>
        <w:spacing w:before="100" w:after="100" w:line="240" w:lineRule="auto"/>
        <w:rPr>
          <w:rFonts w:ascii="Arial" w:cs="Arial" w:eastAsia="Times New Roman" w:hAnsi="Arial"/>
          <w:sz w:val="22"/>
          <w:szCs w:val="22"/>
          <w:lang w:val="en-US" w:eastAsia="fr-FR"/>
        </w:rPr>
      </w:pPr>
    </w:p>
    <w:p w14:paraId="00000057">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Description:The description of the task was to use few paper clips to create something useful within 10 minutes.</w:t>
      </w:r>
    </w:p>
    <w:p w14:paraId="00000058">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 xml:space="preserve">Feelings:The initial feelings of the task at the start was how i could use few paper clips to make something useful. </w:t>
      </w:r>
      <w:r>
        <w:rPr>
          <w:rFonts w:ascii="Arial" w:cs="Arial" w:eastAsia="Times New Roman" w:hAnsi="Arial"/>
          <w:sz w:val="22"/>
          <w:szCs w:val="22"/>
          <w:lang w:val="en-US" w:eastAsia="fr-FR"/>
        </w:rPr>
        <w:t xml:space="preserve">However, as I began brainstorming with my group members, we </w:t>
      </w:r>
      <w:r>
        <w:rPr>
          <w:rFonts w:ascii="Arial" w:cs="Arial" w:eastAsia="Times New Roman" w:hAnsi="Arial"/>
          <w:sz w:val="22"/>
          <w:szCs w:val="22"/>
          <w:lang w:val="en-US" w:eastAsia="fr-FR"/>
        </w:rPr>
        <w:t>realised</w:t>
      </w:r>
      <w:r>
        <w:rPr>
          <w:rFonts w:ascii="Arial" w:cs="Arial" w:eastAsia="Times New Roman" w:hAnsi="Arial"/>
          <w:sz w:val="22"/>
          <w:szCs w:val="22"/>
          <w:lang w:val="en-US" w:eastAsia="fr-FR"/>
        </w:rPr>
        <w:t xml:space="preserve"> there were many creative options.</w:t>
      </w:r>
    </w:p>
    <w:p w14:paraId="00000059">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Evaluation: We successfully made different shapes of earrings like triangles, rectangles, and even circular ones.  We also considered different joining techniques if we had the necessary resources available. This stage of free exploration allowed me to experiment without worrying about being right or wrong.</w:t>
      </w:r>
    </w:p>
    <w:p w14:paraId="0000005A">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Analysis: There wasn’t wasn’t enough resources to consider joining techniques to make different things like necklace and bracelet.</w:t>
      </w:r>
    </w:p>
    <w:p w14:paraId="0000005B">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 xml:space="preserve">Conclusion: In conclusion, I enjoyed how open-ended the task was. Everyone in class came up with unique designs, which inspired me to think differently. I learned that divergent thinking requires an open mind and the courage to take creative risks. Our final product </w:t>
      </w:r>
      <w:r>
        <w:rPr>
          <w:rFonts w:ascii="Arial" w:cs="Arial" w:eastAsia="Times New Roman" w:hAnsi="Arial"/>
          <w:sz w:val="22"/>
          <w:szCs w:val="22"/>
          <w:lang w:val="en-US" w:eastAsia="fr-FR"/>
        </w:rPr>
        <w:t>was not perfect but reflected creativity, innovation and how simple items can be used to create something useful in Health and Social Care sector.</w:t>
      </w:r>
    </w:p>
    <w:p w14:paraId="0000005C">
      <w:pPr>
        <w:rPr>
          <w:rFonts w:ascii="Arial" w:cs="Arial" w:eastAsia="Arial Nova" w:hAnsi="Arial"/>
          <w:i/>
          <w:iCs/>
          <w:color w:val="000000" w:themeColor="text1"/>
          <w:sz w:val="22"/>
          <w:szCs w:val="22"/>
        </w:rPr>
      </w:pPr>
    </w:p>
    <w:p w14:paraId="0000005D">
      <w:pPr>
        <w:rPr>
          <w:rFonts w:ascii="Arial" w:cs="Arial" w:eastAsia="Arial Nova" w:hAnsi="Arial"/>
          <w:i/>
          <w:iCs/>
          <w:color w:val="000000" w:themeColor="text1"/>
          <w:sz w:val="22"/>
          <w:szCs w:val="22"/>
        </w:rPr>
      </w:pPr>
    </w:p>
    <w:p w14:paraId="0000005E">
      <w:pPr>
        <w:rPr>
          <w:rFonts w:ascii="Arial" w:cs="Arial" w:eastAsia="Arial Nova" w:hAnsi="Arial"/>
          <w:i/>
          <w:iCs/>
          <w:color w:val="000000" w:themeColor="text1"/>
          <w:sz w:val="22"/>
          <w:szCs w:val="22"/>
        </w:rPr>
      </w:pPr>
    </w:p>
    <w:p w14:paraId="0000005F">
      <w:pPr>
        <w:rPr>
          <w:rFonts w:ascii="Arial" w:cs="Arial" w:eastAsia="Arial Nova" w:hAnsi="Arial"/>
          <w:i/>
          <w:iCs/>
          <w:color w:val="000000" w:themeColor="text1"/>
          <w:sz w:val="22"/>
          <w:szCs w:val="22"/>
        </w:rPr>
      </w:pPr>
    </w:p>
    <w:p w14:paraId="00000060">
      <w:pPr>
        <w:rPr>
          <w:rFonts w:ascii="Arial" w:cs="Arial" w:hAnsi="Arial"/>
          <w:b/>
          <w:bCs/>
          <w:sz w:val="22"/>
          <w:szCs w:val="22"/>
          <w:u w:val="single"/>
          <w:lang w:val="en-US"/>
        </w:rPr>
      </w:pPr>
    </w:p>
    <w:p w14:paraId="00000061">
      <w:pPr>
        <w:rPr>
          <w:rFonts w:ascii="Arial" w:cs="Arial" w:hAnsi="Arial"/>
          <w:b/>
          <w:bCs/>
          <w:sz w:val="22"/>
          <w:szCs w:val="22"/>
          <w:u w:val="single"/>
          <w:lang w:val="en-US"/>
        </w:rPr>
      </w:pPr>
    </w:p>
    <w:p w14:paraId="00000062">
      <w:pPr>
        <w:rPr>
          <w:rFonts w:ascii="Arial" w:cs="Arial" w:hAnsi="Arial"/>
          <w:b/>
          <w:bCs/>
          <w:sz w:val="22"/>
          <w:szCs w:val="22"/>
          <w:u w:val="single"/>
          <w:lang w:val="en-US"/>
        </w:rPr>
      </w:pPr>
    </w:p>
    <w:p w14:paraId="00000063">
      <w:pPr>
        <w:rPr>
          <w:rFonts w:ascii="Arial" w:cs="Arial" w:hAnsi="Arial"/>
          <w:b/>
          <w:bCs/>
          <w:sz w:val="22"/>
          <w:szCs w:val="22"/>
          <w:u w:val="single"/>
          <w:lang w:val="en-US"/>
        </w:rPr>
      </w:pPr>
    </w:p>
    <w:p w14:paraId="00000064">
      <w:pPr>
        <w:rPr>
          <w:rFonts w:ascii="Arial" w:cs="Arial" w:hAnsi="Arial"/>
          <w:b/>
          <w:bCs/>
          <w:sz w:val="22"/>
          <w:szCs w:val="22"/>
          <w:u w:val="single"/>
          <w:lang w:val="en-US"/>
        </w:rPr>
      </w:pPr>
    </w:p>
    <w:p w14:paraId="00000065">
      <w:pPr>
        <w:rPr>
          <w:rFonts w:ascii="Arial" w:cs="Arial" w:hAnsi="Arial"/>
          <w:b/>
          <w:bCs/>
          <w:sz w:val="22"/>
          <w:szCs w:val="22"/>
          <w:u w:val="single"/>
          <w:lang w:val="en-US"/>
        </w:rPr>
      </w:pPr>
      <w:r>
        <w:rPr>
          <w:rFonts w:ascii="Arial" w:cs="Arial" w:hAnsi="Arial"/>
          <w:b/>
          <w:bCs/>
          <w:sz w:val="22"/>
          <w:szCs w:val="22"/>
          <w:u w:val="single"/>
          <w:lang w:val="en-US"/>
        </w:rPr>
        <w:t xml:space="preserve">Case Study Analysis: </w:t>
      </w:r>
      <w:r>
        <w:rPr>
          <w:rFonts w:ascii="Arial" w:cs="Arial" w:hAnsi="Arial"/>
          <w:b/>
          <w:bCs/>
          <w:i/>
          <w:iCs/>
          <w:sz w:val="22"/>
          <w:szCs w:val="22"/>
          <w:u w:val="single"/>
          <w:lang w:val="en-US"/>
        </w:rPr>
        <w:t>“NHS at Home” – Creative Remote Monitoring to Reduce Hospital Admissions</w:t>
      </w:r>
    </w:p>
    <w:p w14:paraId="00000066">
      <w:pPr>
        <w:rPr>
          <w:rFonts w:ascii="Arial" w:cs="Arial" w:hAnsi="Arial"/>
          <w:sz w:val="22"/>
          <w:szCs w:val="22"/>
          <w:lang w:val="en-US"/>
        </w:rPr>
      </w:pPr>
      <w:r>
        <w:rPr>
          <w:rFonts w:ascii="Arial" w:cs="Arial" w:hAnsi="Arial"/>
          <w:sz w:val="22"/>
          <w:szCs w:val="22"/>
          <w:lang w:val="en-US"/>
        </w:rPr>
        <w:t>The</w:t>
      </w:r>
      <w:r>
        <w:rPr>
          <w:rFonts w:ascii="Arial" w:cs="Arial" w:hAnsi="Arial"/>
          <w:b w:val="off"/>
          <w:bCs w:val="off"/>
          <w:sz w:val="22"/>
          <w:szCs w:val="22"/>
          <w:lang w:val="en-US"/>
        </w:rPr>
        <w:t xml:space="preserve"> </w:t>
      </w:r>
      <w:r>
        <w:rPr>
          <w:rFonts w:ascii="Arial" w:cs="Arial" w:hAnsi="Arial"/>
          <w:b w:val="off"/>
          <w:bCs w:val="off"/>
          <w:sz w:val="22"/>
          <w:szCs w:val="22"/>
          <w:lang w:val="en-US"/>
        </w:rPr>
        <w:t>“NHS at Home”</w:t>
      </w:r>
      <w:r>
        <w:rPr>
          <w:rFonts w:ascii="Arial" w:cs="Arial" w:hAnsi="Arial"/>
          <w:b w:val="off"/>
          <w:bCs w:val="off"/>
          <w:sz w:val="22"/>
          <w:szCs w:val="22"/>
          <w:lang w:val="en-US"/>
        </w:rPr>
        <w:t xml:space="preserve"> i</w:t>
      </w:r>
      <w:r>
        <w:rPr>
          <w:rFonts w:ascii="Arial" w:cs="Arial" w:hAnsi="Arial"/>
          <w:sz w:val="22"/>
          <w:szCs w:val="22"/>
          <w:lang w:val="en-US"/>
        </w:rPr>
        <w:t>nitiative exemplifies a transformative and creative approach within the UK’s health and social care system, designed to address increasing pressure on hospital resources resulting from chronic illnesses such as diabetes, cardiovascular disease, and respiratory conditions. Rather than expanding traditional hospital capacity, this initiative creatively restructured the delivery of healthcare by introducing remote monitoring technologies that enabled patients to manage their conditions from home. This innovative shift demonstrated the power of creativity in service design, digital transformation, and patient engagement.</w:t>
      </w:r>
    </w:p>
    <w:p w14:paraId="00000067">
      <w:pPr>
        <w:rPr>
          <w:rFonts w:ascii="Arial" w:cs="Arial" w:hAnsi="Arial"/>
          <w:b w:val="off"/>
          <w:bCs w:val="off"/>
          <w:sz w:val="22"/>
          <w:szCs w:val="22"/>
          <w:lang w:val="en-US"/>
        </w:rPr>
      </w:pPr>
      <w:r>
        <w:rPr>
          <w:rFonts w:ascii="Arial" w:cs="Arial" w:hAnsi="Arial"/>
          <w:sz w:val="22"/>
          <w:szCs w:val="22"/>
          <w:lang w:val="en-US"/>
        </w:rPr>
        <w:t xml:space="preserve">A key aspect of this initiative was the integration of </w:t>
      </w:r>
      <w:r>
        <w:rPr>
          <w:rFonts w:ascii="Arial" w:cs="Arial" w:hAnsi="Arial"/>
          <w:b w:val="off"/>
          <w:bCs w:val="off"/>
          <w:sz w:val="22"/>
          <w:szCs w:val="22"/>
          <w:lang w:val="en-US"/>
        </w:rPr>
        <w:t>wearable devices</w:t>
      </w:r>
      <w:r>
        <w:rPr>
          <w:rFonts w:ascii="Arial" w:cs="Arial" w:hAnsi="Arial"/>
          <w:b w:val="off"/>
          <w:bCs w:val="off"/>
          <w:sz w:val="22"/>
          <w:szCs w:val="22"/>
          <w:lang w:val="en-US"/>
        </w:rPr>
        <w:t xml:space="preserve"> and </w:t>
      </w:r>
      <w:r>
        <w:rPr>
          <w:rFonts w:ascii="Arial" w:cs="Arial" w:hAnsi="Arial"/>
          <w:b w:val="off"/>
          <w:bCs w:val="off"/>
          <w:sz w:val="22"/>
          <w:szCs w:val="22"/>
          <w:lang w:val="en-US"/>
        </w:rPr>
        <w:t>digital health</w:t>
      </w:r>
      <w:r>
        <w:rPr>
          <w:rFonts w:ascii="Arial" w:cs="Arial" w:hAnsi="Arial"/>
          <w:b/>
          <w:bCs/>
          <w:sz w:val="22"/>
          <w:szCs w:val="22"/>
          <w:lang w:val="en-US"/>
        </w:rPr>
        <w:t xml:space="preserve"> </w:t>
      </w:r>
      <w:r>
        <w:rPr>
          <w:rFonts w:ascii="Arial" w:cs="Arial" w:hAnsi="Arial"/>
          <w:b w:val="off"/>
          <w:bCs w:val="off"/>
          <w:sz w:val="22"/>
          <w:szCs w:val="22"/>
          <w:lang w:val="en-US"/>
        </w:rPr>
        <w:t>platforms</w:t>
      </w:r>
      <w:r>
        <w:rPr>
          <w:rFonts w:ascii="Arial" w:cs="Arial" w:hAnsi="Arial"/>
          <w:b w:val="off"/>
          <w:bCs w:val="off"/>
          <w:sz w:val="22"/>
          <w:szCs w:val="22"/>
          <w:lang w:val="en-US"/>
        </w:rPr>
        <w:t xml:space="preserve"> </w:t>
      </w:r>
      <w:r>
        <w:rPr>
          <w:rFonts w:ascii="Arial" w:cs="Arial" w:hAnsi="Arial"/>
          <w:sz w:val="22"/>
          <w:szCs w:val="22"/>
          <w:lang w:val="en-US"/>
        </w:rPr>
        <w:t xml:space="preserve">to continuously collect vital health data, including heart rate, blood pressure, and glucose levels. The data were transmitted securely to an online platform accessible to both patients and healthcare professionals, allowing for proactive and data-driven decision-making NHS England,( 2023). The creative value lay not simply in the adoption of technology, but in its strategic use to enable continuous, preventive, and </w:t>
      </w:r>
      <w:r>
        <w:rPr>
          <w:rFonts w:ascii="Arial" w:cs="Arial" w:hAnsi="Arial"/>
          <w:sz w:val="22"/>
          <w:szCs w:val="22"/>
          <w:lang w:val="en-US"/>
        </w:rPr>
        <w:t>personalised</w:t>
      </w:r>
      <w:r>
        <w:rPr>
          <w:rFonts w:ascii="Arial" w:cs="Arial" w:hAnsi="Arial"/>
          <w:sz w:val="22"/>
          <w:szCs w:val="22"/>
          <w:lang w:val="en-US"/>
        </w:rPr>
        <w:t xml:space="preserve"> care.</w:t>
      </w:r>
    </w:p>
    <w:p w14:paraId="00000068">
      <w:pPr>
        <w:rPr>
          <w:rFonts w:ascii="Arial" w:cs="Arial" w:hAnsi="Arial"/>
          <w:sz w:val="22"/>
          <w:szCs w:val="22"/>
          <w:lang w:val="en-US"/>
        </w:rPr>
      </w:pPr>
      <w:r>
        <w:rPr>
          <w:rFonts w:ascii="Arial" w:cs="Arial" w:hAnsi="Arial"/>
          <w:b w:val="off"/>
          <w:bCs w:val="off"/>
          <w:sz w:val="22"/>
          <w:szCs w:val="22"/>
          <w:lang w:val="en-US"/>
        </w:rPr>
        <w:t xml:space="preserve">For patients with more complex needs, </w:t>
      </w:r>
      <w:r>
        <w:rPr>
          <w:rFonts w:ascii="Arial" w:cs="Arial" w:hAnsi="Arial"/>
          <w:b w:val="off"/>
          <w:bCs w:val="off"/>
          <w:sz w:val="22"/>
          <w:szCs w:val="22"/>
          <w:lang w:val="en-US"/>
        </w:rPr>
        <w:t>home-based health monitoring system</w:t>
      </w:r>
      <w:r>
        <w:rPr>
          <w:rFonts w:ascii="Arial" w:cs="Arial" w:hAnsi="Arial"/>
          <w:b w:val="off"/>
          <w:bCs w:val="off"/>
          <w:sz w:val="22"/>
          <w:szCs w:val="22"/>
          <w:lang w:val="en-US"/>
        </w:rPr>
        <w:t>s</w:t>
      </w:r>
      <w:r>
        <w:rPr>
          <w:rFonts w:ascii="Arial" w:cs="Arial" w:hAnsi="Arial"/>
          <w:b w:val="off"/>
          <w:bCs w:val="off"/>
          <w:sz w:val="22"/>
          <w:szCs w:val="22"/>
          <w:lang w:val="en-US"/>
        </w:rPr>
        <w:t xml:space="preserve"> </w:t>
      </w:r>
      <w:r>
        <w:rPr>
          <w:rFonts w:ascii="Arial" w:cs="Arial" w:hAnsi="Arial"/>
          <w:sz w:val="22"/>
          <w:szCs w:val="22"/>
          <w:lang w:val="en-US"/>
        </w:rPr>
        <w:t xml:space="preserve">such as portable ECG machines and spirometers facilitated advanced health checks outside the hospital environment. This creative </w:t>
      </w:r>
      <w:r>
        <w:rPr>
          <w:rFonts w:ascii="Arial" w:cs="Arial" w:hAnsi="Arial"/>
          <w:sz w:val="22"/>
          <w:szCs w:val="22"/>
          <w:lang w:val="en-US"/>
        </w:rPr>
        <w:t>decentralisation</w:t>
      </w:r>
      <w:r>
        <w:rPr>
          <w:rFonts w:ascii="Arial" w:cs="Arial" w:hAnsi="Arial"/>
          <w:sz w:val="22"/>
          <w:szCs w:val="22"/>
          <w:lang w:val="en-US"/>
        </w:rPr>
        <w:t xml:space="preserve"> of care reduced travel burdens, improved patient convenience, and </w:t>
      </w:r>
      <w:r>
        <w:rPr>
          <w:rFonts w:ascii="Arial" w:cs="Arial" w:hAnsi="Arial"/>
          <w:sz w:val="22"/>
          <w:szCs w:val="22"/>
          <w:lang w:val="en-US"/>
        </w:rPr>
        <w:t>optimised</w:t>
      </w:r>
      <w:r>
        <w:rPr>
          <w:rFonts w:ascii="Arial" w:cs="Arial" w:hAnsi="Arial"/>
          <w:sz w:val="22"/>
          <w:szCs w:val="22"/>
          <w:lang w:val="en-US"/>
        </w:rPr>
        <w:t xml:space="preserve"> clinical resources by shifting routine assessments into the community.</w:t>
      </w:r>
    </w:p>
    <w:p w14:paraId="00000069">
      <w:pPr>
        <w:rPr>
          <w:rFonts w:ascii="Arial" w:cs="Arial" w:hAnsi="Arial"/>
          <w:sz w:val="22"/>
          <w:szCs w:val="22"/>
          <w:lang w:val="en-US"/>
        </w:rPr>
      </w:pPr>
      <w:r>
        <w:rPr>
          <w:rFonts w:ascii="Arial" w:cs="Arial" w:hAnsi="Arial"/>
          <w:sz w:val="22"/>
          <w:szCs w:val="22"/>
          <w:lang w:val="en-US"/>
        </w:rPr>
        <w:t>The incorporation of</w:t>
      </w:r>
      <w:r>
        <w:rPr>
          <w:rFonts w:ascii="Arial" w:cs="Arial" w:hAnsi="Arial"/>
          <w:b w:val="off"/>
          <w:bCs w:val="off"/>
          <w:sz w:val="22"/>
          <w:szCs w:val="22"/>
          <w:lang w:val="en-US"/>
        </w:rPr>
        <w:t xml:space="preserve"> </w:t>
      </w:r>
      <w:r>
        <w:rPr>
          <w:rFonts w:ascii="Arial" w:cs="Arial" w:hAnsi="Arial"/>
          <w:b w:val="off"/>
          <w:bCs w:val="off"/>
          <w:sz w:val="22"/>
          <w:szCs w:val="22"/>
          <w:lang w:val="en-US"/>
        </w:rPr>
        <w:t>artificial intelligence (AI)</w:t>
      </w:r>
      <w:r>
        <w:rPr>
          <w:rFonts w:ascii="Arial" w:cs="Arial" w:hAnsi="Arial"/>
          <w:b w:val="off"/>
          <w:bCs w:val="off"/>
          <w:sz w:val="22"/>
          <w:szCs w:val="22"/>
          <w:lang w:val="en-US"/>
        </w:rPr>
        <w:t xml:space="preserve"> and </w:t>
      </w:r>
      <w:r>
        <w:rPr>
          <w:rFonts w:ascii="Arial" w:cs="Arial" w:hAnsi="Arial"/>
          <w:b w:val="off"/>
          <w:bCs w:val="off"/>
          <w:sz w:val="22"/>
          <w:szCs w:val="22"/>
          <w:lang w:val="en-US"/>
        </w:rPr>
        <w:t>predictive analytics</w:t>
      </w:r>
      <w:r>
        <w:rPr>
          <w:rFonts w:ascii="Arial" w:cs="Arial" w:hAnsi="Arial"/>
          <w:b w:val="off"/>
          <w:bCs w:val="off"/>
          <w:sz w:val="22"/>
          <w:szCs w:val="22"/>
          <w:lang w:val="en-US"/>
        </w:rPr>
        <w:t xml:space="preserve"> represented another innovative component. These technologies </w:t>
      </w:r>
      <w:r>
        <w:rPr>
          <w:rFonts w:ascii="Arial" w:cs="Arial" w:hAnsi="Arial"/>
          <w:b w:val="off"/>
          <w:bCs w:val="off"/>
          <w:sz w:val="22"/>
          <w:szCs w:val="22"/>
          <w:lang w:val="en-US"/>
        </w:rPr>
        <w:t>analysed</w:t>
      </w:r>
      <w:r>
        <w:rPr>
          <w:rFonts w:ascii="Arial" w:cs="Arial" w:hAnsi="Arial"/>
          <w:b w:val="off"/>
          <w:bCs w:val="off"/>
          <w:sz w:val="22"/>
          <w:szCs w:val="22"/>
          <w:lang w:val="en-US"/>
        </w:rPr>
        <w:t xml:space="preserve"> real-time patient </w:t>
      </w:r>
      <w:r>
        <w:rPr>
          <w:rFonts w:ascii="Arial" w:cs="Arial" w:hAnsi="Arial"/>
          <w:sz w:val="22"/>
          <w:szCs w:val="22"/>
          <w:lang w:val="en-US"/>
        </w:rPr>
        <w:t>data to detect early signs of deterioration, allowing clinicians to intervene promptly before conditions worsened ,’The King’s Fund,( 2022). This preventive, data-led model reduced emergency admissions, improved patient safety, and enhanced the overall efficiency of healthcare delivery.</w:t>
      </w:r>
    </w:p>
    <w:p w14:paraId="0000006A">
      <w:pPr>
        <w:rPr>
          <w:rFonts w:ascii="Arial" w:cs="Arial" w:hAnsi="Arial"/>
          <w:sz w:val="22"/>
          <w:szCs w:val="22"/>
          <w:lang w:val="en-US"/>
        </w:rPr>
      </w:pPr>
      <w:r>
        <w:rPr>
          <w:rFonts w:ascii="Arial" w:cs="Arial" w:hAnsi="Arial"/>
          <w:sz w:val="22"/>
          <w:szCs w:val="22"/>
          <w:lang w:val="en-US"/>
        </w:rPr>
        <w:t>Furthermore,</w:t>
      </w:r>
      <w:r>
        <w:rPr>
          <w:rFonts w:ascii="Arial" w:cs="Arial" w:hAnsi="Arial"/>
          <w:b w:val="off"/>
          <w:bCs w:val="off"/>
          <w:sz w:val="22"/>
          <w:szCs w:val="22"/>
          <w:lang w:val="en-US"/>
        </w:rPr>
        <w:t xml:space="preserve"> </w:t>
      </w:r>
      <w:r>
        <w:rPr>
          <w:rFonts w:ascii="Arial" w:cs="Arial" w:hAnsi="Arial"/>
          <w:b w:val="off"/>
          <w:bCs w:val="off"/>
          <w:sz w:val="22"/>
          <w:szCs w:val="22"/>
          <w:lang w:val="en-US"/>
        </w:rPr>
        <w:t>patient education and empowerment</w:t>
      </w:r>
      <w:r>
        <w:rPr>
          <w:rFonts w:ascii="Arial" w:cs="Arial" w:hAnsi="Arial"/>
          <w:b w:val="off"/>
          <w:bCs w:val="off"/>
          <w:sz w:val="22"/>
          <w:szCs w:val="22"/>
          <w:lang w:val="en-US"/>
        </w:rPr>
        <w:t xml:space="preserve"> we</w:t>
      </w:r>
      <w:r>
        <w:rPr>
          <w:rFonts w:ascii="Arial" w:cs="Arial" w:hAnsi="Arial"/>
          <w:sz w:val="22"/>
          <w:szCs w:val="22"/>
          <w:lang w:val="en-US"/>
        </w:rPr>
        <w:t xml:space="preserve">re integral to the </w:t>
      </w:r>
      <w:r>
        <w:rPr>
          <w:rFonts w:ascii="Arial" w:cs="Arial" w:hAnsi="Arial"/>
          <w:sz w:val="22"/>
          <w:szCs w:val="22"/>
          <w:lang w:val="en-US"/>
        </w:rPr>
        <w:t>programme’s</w:t>
      </w:r>
      <w:r>
        <w:rPr>
          <w:rFonts w:ascii="Arial" w:cs="Arial" w:hAnsi="Arial"/>
          <w:sz w:val="22"/>
          <w:szCs w:val="22"/>
          <w:lang w:val="en-US"/>
        </w:rPr>
        <w:t xml:space="preserve"> success. Service users received guidance on interpreting their health data and making informed decisions about medication, diet, and lifestyle. This approach creatively redefined the patient’s role from a passive recipient of care to an active partner in their health management, fostering autonomy and shared responsibility.</w:t>
      </w:r>
    </w:p>
    <w:p w14:paraId="0000006B">
      <w:pPr>
        <w:rPr>
          <w:rFonts w:ascii="Arial" w:cs="Arial" w:hAnsi="Arial"/>
          <w:sz w:val="22"/>
          <w:szCs w:val="22"/>
          <w:lang w:val="en-US"/>
        </w:rPr>
      </w:pPr>
      <w:r>
        <w:rPr>
          <w:rFonts w:ascii="Arial" w:cs="Arial" w:hAnsi="Arial"/>
          <w:sz w:val="22"/>
          <w:szCs w:val="22"/>
          <w:lang w:val="en-US"/>
        </w:rPr>
        <w:t>The</w:t>
      </w:r>
      <w:r>
        <w:rPr>
          <w:rFonts w:ascii="Arial" w:cs="Arial" w:hAnsi="Arial"/>
          <w:b w:val="off"/>
          <w:bCs w:val="off"/>
          <w:sz w:val="22"/>
          <w:szCs w:val="22"/>
          <w:lang w:val="en-US"/>
        </w:rPr>
        <w:t xml:space="preserve"> </w:t>
      </w:r>
      <w:r>
        <w:rPr>
          <w:rFonts w:ascii="Arial" w:cs="Arial" w:hAnsi="Arial"/>
          <w:b w:val="off"/>
          <w:bCs w:val="off"/>
          <w:sz w:val="22"/>
          <w:szCs w:val="22"/>
          <w:lang w:val="en-US"/>
        </w:rPr>
        <w:t>value created</w:t>
      </w:r>
      <w:r>
        <w:rPr>
          <w:rFonts w:ascii="Arial" w:cs="Arial" w:hAnsi="Arial"/>
          <w:b w:val="off"/>
          <w:bCs w:val="off"/>
          <w:sz w:val="22"/>
          <w:szCs w:val="22"/>
          <w:lang w:val="en-US"/>
        </w:rPr>
        <w:t xml:space="preserve"> by </w:t>
      </w:r>
      <w:r>
        <w:rPr>
          <w:rFonts w:ascii="Arial" w:cs="Arial" w:hAnsi="Arial"/>
          <w:sz w:val="22"/>
          <w:szCs w:val="22"/>
          <w:lang w:val="en-US"/>
        </w:rPr>
        <w:t>“NHS at Home” was multifaceted. For patients, it enhanced accessibility, self-management, and quality of life. For the NHS, it alleviated pressure on hospital services, reduced costs associated with unnecessary admissions, and improved resource allocation. Ultimately, this initiative demonstrated how creativity through digital innovation, preventive analytics, and person-</w:t>
      </w:r>
      <w:r>
        <w:rPr>
          <w:rFonts w:ascii="Arial" w:cs="Arial" w:hAnsi="Arial"/>
          <w:sz w:val="22"/>
          <w:szCs w:val="22"/>
          <w:lang w:val="en-US"/>
        </w:rPr>
        <w:t>centred</w:t>
      </w:r>
      <w:r>
        <w:rPr>
          <w:rFonts w:ascii="Arial" w:cs="Arial" w:hAnsi="Arial"/>
          <w:sz w:val="22"/>
          <w:szCs w:val="22"/>
          <w:lang w:val="en-US"/>
        </w:rPr>
        <w:t xml:space="preserve"> empowerment can drive sustainable change within modern healthcare systems.</w:t>
      </w:r>
    </w:p>
    <w:p w14:paraId="0000006C">
      <w:pPr>
        <w:spacing w:before="100" w:after="100" w:line="240" w:lineRule="auto"/>
        <w:rPr>
          <w:rFonts w:ascii="Arial" w:cs="Arial" w:eastAsia="Times New Roman" w:hAnsi="Arial"/>
          <w:sz w:val="22"/>
          <w:szCs w:val="22"/>
          <w:lang w:val="en-US" w:eastAsia="fr-FR"/>
        </w:rPr>
      </w:pPr>
    </w:p>
    <w:p w14:paraId="0000006D">
      <w:pPr>
        <w:spacing w:before="100" w:after="100" w:line="240" w:lineRule="auto"/>
        <w:rPr>
          <w:rFonts w:ascii="Arial" w:cs="Arial" w:eastAsia="Times New Roman" w:hAnsi="Arial"/>
          <w:sz w:val="22"/>
          <w:szCs w:val="22"/>
          <w:lang w:val="en-US" w:eastAsia="fr-FR"/>
        </w:rPr>
      </w:pPr>
    </w:p>
    <w:p w14:paraId="0000006E">
      <w:pPr>
        <w:spacing w:before="100" w:after="100" w:line="240" w:lineRule="auto"/>
        <w:rPr>
          <w:rFonts w:ascii="Arial" w:cs="Arial" w:eastAsia="Times New Roman" w:hAnsi="Arial"/>
          <w:sz w:val="22"/>
          <w:szCs w:val="22"/>
          <w:lang w:val="en-US" w:eastAsia="fr-FR"/>
        </w:rPr>
      </w:pPr>
    </w:p>
    <w:p w14:paraId="0000006F">
      <w:pPr>
        <w:spacing w:before="100" w:after="100" w:line="240" w:lineRule="auto"/>
        <w:rPr>
          <w:rFonts w:ascii="Arial" w:cs="Arial" w:eastAsia="Times New Roman" w:hAnsi="Arial"/>
          <w:sz w:val="22"/>
          <w:szCs w:val="22"/>
          <w:lang w:val="en-US" w:eastAsia="fr-FR"/>
        </w:rPr>
      </w:pPr>
    </w:p>
    <w:p w14:paraId="00000070">
      <w:pPr>
        <w:spacing w:before="100" w:after="100" w:line="240" w:lineRule="auto"/>
        <w:rPr>
          <w:rFonts w:ascii="Arial" w:cs="Arial" w:eastAsia="Times New Roman" w:hAnsi="Arial"/>
          <w:sz w:val="22"/>
          <w:szCs w:val="22"/>
          <w:lang w:val="en-US" w:eastAsia="fr-FR"/>
        </w:rPr>
      </w:pPr>
    </w:p>
    <w:p w14:paraId="00000071">
      <w:pPr>
        <w:pStyle w:val="Normal(Web)"/>
        <w:rPr>
          <w:rFonts w:ascii="Arial" w:cs="Arial" w:hAnsi="Arial"/>
          <w:sz w:val="22"/>
          <w:szCs w:val="22"/>
          <w:u w:val="single"/>
          <w:lang w:val="en-US"/>
        </w:rPr>
      </w:pPr>
      <w:r>
        <w:rPr>
          <w:rStyle w:val="Strong"/>
          <w:rFonts w:ascii="Arial" w:cs="Arial" w:hAnsi="Arial"/>
          <w:sz w:val="22"/>
          <w:szCs w:val="22"/>
          <w:u w:val="single"/>
          <w:lang w:val="en-US"/>
        </w:rPr>
        <w:t>ACCESS TO HEALTHCARE FOR VULNERABLE POPULATIONS IN THE UK: THEORETICAL REASONS</w:t>
      </w:r>
    </w:p>
    <w:p w14:paraId="00000072">
      <w:pPr>
        <w:pStyle w:val="Normal(Web)"/>
        <w:rPr>
          <w:rFonts w:ascii="Arial" w:cs="Arial" w:hAnsi="Arial"/>
          <w:sz w:val="22"/>
          <w:szCs w:val="22"/>
          <w:lang w:val="en-US"/>
        </w:rPr>
      </w:pPr>
      <w:r>
        <w:rPr>
          <w:rFonts w:ascii="Arial" w:cs="Arial" w:hAnsi="Arial"/>
          <w:sz w:val="22"/>
          <w:szCs w:val="22"/>
          <w:lang w:val="en-US"/>
        </w:rPr>
        <w:t xml:space="preserve">Access to healthcare remains unequally distributed across the UK, especially for vulnerable populations such as migrants, low-income households, and residents of remote areas. Theoretical frameworks like the </w:t>
      </w:r>
      <w:r>
        <w:rPr>
          <w:rStyle w:val="Strong"/>
          <w:rFonts w:ascii="Arial" w:cs="Arial" w:hAnsi="Arial"/>
          <w:b w:val="off"/>
          <w:bCs w:val="off"/>
          <w:sz w:val="22"/>
          <w:szCs w:val="22"/>
          <w:lang w:val="en-US"/>
        </w:rPr>
        <w:t>Social Determinants of Health</w:t>
      </w:r>
      <w:r>
        <w:rPr>
          <w:rFonts w:ascii="Arial" w:cs="Arial" w:hAnsi="Arial"/>
          <w:sz w:val="22"/>
          <w:szCs w:val="22"/>
          <w:lang w:val="en-US"/>
        </w:rPr>
        <w:t xml:space="preserve"> and </w:t>
      </w:r>
      <w:r>
        <w:rPr>
          <w:rStyle w:val="Strong"/>
          <w:rFonts w:ascii="Arial" w:cs="Arial" w:hAnsi="Arial"/>
          <w:b w:val="off"/>
          <w:bCs w:val="off"/>
          <w:sz w:val="22"/>
          <w:szCs w:val="22"/>
          <w:lang w:val="en-US"/>
        </w:rPr>
        <w:t>Structural Inequality Theories</w:t>
      </w:r>
      <w:r>
        <w:rPr>
          <w:rFonts w:ascii="Arial" w:cs="Arial" w:hAnsi="Arial"/>
          <w:sz w:val="22"/>
          <w:szCs w:val="22"/>
          <w:lang w:val="en-US"/>
        </w:rPr>
        <w:t xml:space="preserve"> help explain why these populations face barriers.</w:t>
      </w:r>
    </w:p>
    <w:p w14:paraId="00000073">
      <w:pPr>
        <w:pStyle w:val="Normal(Web)"/>
        <w:rPr>
          <w:rFonts w:ascii="Arial" w:cs="Arial" w:hAnsi="Arial"/>
          <w:sz w:val="22"/>
          <w:szCs w:val="22"/>
          <w:lang w:val="en-US"/>
        </w:rPr>
      </w:pPr>
      <w:r>
        <w:rPr>
          <w:rFonts w:ascii="Arial" w:cs="Arial" w:hAnsi="Arial"/>
          <w:sz w:val="22"/>
          <w:szCs w:val="22"/>
          <w:lang w:val="en-US"/>
        </w:rPr>
        <w:t xml:space="preserve">A recent study by </w:t>
      </w:r>
      <w:r>
        <w:rPr>
          <w:rFonts w:ascii="Arial" w:cs="Arial" w:hAnsi="Arial"/>
          <w:color w:val="000000"/>
          <w:sz w:val="22"/>
          <w:szCs w:val="22"/>
          <w:lang w:val="en-US"/>
        </w:rPr>
        <w:t xml:space="preserve">Crossley and </w:t>
      </w:r>
      <w:r>
        <w:rPr>
          <w:rFonts w:ascii="Arial" w:cs="Arial" w:hAnsi="Arial"/>
          <w:color w:val="000000"/>
          <w:sz w:val="22"/>
          <w:szCs w:val="22"/>
          <w:lang w:val="en-US"/>
        </w:rPr>
        <w:t>Baybutt</w:t>
      </w:r>
      <w:r>
        <w:rPr>
          <w:rFonts w:ascii="Arial" w:cs="Arial" w:hAnsi="Arial"/>
          <w:color w:val="000000"/>
          <w:sz w:val="22"/>
          <w:szCs w:val="22"/>
          <w:lang w:val="en-US"/>
        </w:rPr>
        <w:t xml:space="preserve"> (2024)</w:t>
      </w:r>
      <w:r>
        <w:rPr>
          <w:rFonts w:ascii="Arial" w:cs="Arial" w:hAnsi="Arial"/>
          <w:sz w:val="22"/>
          <w:szCs w:val="22"/>
          <w:lang w:val="en-US"/>
        </w:rPr>
        <w:t xml:space="preserve"> investigated healthcare access in underserved communities. Their findings highlight that people living in socioeconomically deprived areas suffer from practical obstacles: longer travel times, limited availability of local clinics, and unpredictable costs (</w:t>
      </w:r>
      <w:r>
        <w:rPr>
          <w:rFonts w:ascii="Arial" w:cs="Arial" w:hAnsi="Arial"/>
          <w:sz w:val="22"/>
          <w:szCs w:val="22"/>
          <w:lang w:val="en-US"/>
        </w:rPr>
        <w:t>e.g.</w:t>
      </w:r>
      <w:r>
        <w:rPr>
          <w:rFonts w:ascii="Arial" w:cs="Arial" w:hAnsi="Arial"/>
          <w:sz w:val="22"/>
          <w:szCs w:val="22"/>
          <w:lang w:val="en-US"/>
        </w:rPr>
        <w:t xml:space="preserve"> transport or childcare) that deter attendance. These findings are congruent with the Social Determinants of Health theory, which posits that health outcomes are shaped by broader socioeconomic and environmental forces</w:t>
      </w:r>
      <w:r>
        <w:rPr>
          <w:rFonts w:ascii="Arial" w:cs="Arial" w:hAnsi="Arial"/>
          <w:sz w:val="22"/>
          <w:szCs w:val="22"/>
        </w:rPr>
        <w:t xml:space="preserve"> </w:t>
      </w:r>
      <w:r>
        <w:rPr>
          <w:rFonts w:ascii="Arial" w:cs="Arial" w:hAnsi="Arial"/>
          <w:sz w:val="22"/>
          <w:szCs w:val="22"/>
          <w:lang w:val="en-US"/>
        </w:rPr>
        <w:t>not purely by individual choice. When infrastructure and public investment do not match population need, vulnerable groups are disproportionately disadvantaged.</w:t>
      </w:r>
    </w:p>
    <w:p w14:paraId="00000074">
      <w:pPr>
        <w:pStyle w:val="Normal(Web)"/>
        <w:rPr>
          <w:rFonts w:ascii="Arial" w:cs="Arial" w:hAnsi="Arial"/>
          <w:sz w:val="22"/>
          <w:szCs w:val="22"/>
          <w:lang w:val="en-US"/>
        </w:rPr>
      </w:pPr>
      <w:r>
        <w:rPr>
          <w:rFonts w:ascii="Arial" w:cs="Arial" w:hAnsi="Arial"/>
          <w:sz w:val="22"/>
          <w:szCs w:val="22"/>
          <w:lang w:val="en-US"/>
        </w:rPr>
        <w:t xml:space="preserve">Another study by </w:t>
      </w:r>
      <w:r>
        <w:rPr>
          <w:rFonts w:ascii="Arial" w:cs="Arial" w:hAnsi="Arial"/>
          <w:color w:val="000000"/>
          <w:sz w:val="22"/>
          <w:szCs w:val="22"/>
          <w:lang w:val="en-US"/>
        </w:rPr>
        <w:t>Silva et al.( 2025)</w:t>
      </w:r>
      <w:r>
        <w:rPr>
          <w:rFonts w:ascii="Arial" w:cs="Arial" w:hAnsi="Arial"/>
          <w:sz w:val="22"/>
          <w:szCs w:val="22"/>
          <w:lang w:val="en-US"/>
        </w:rPr>
        <w:t xml:space="preserve"> explored experiences of migrants in accessing primary care and antibiotics. They identified language and communication barriers, misunderstanding of the UK health system, and fear of legal repercussions or stigma as major factors that restrict help-seeking </w:t>
      </w:r>
      <w:r>
        <w:rPr>
          <w:rFonts w:ascii="Arial" w:cs="Arial" w:hAnsi="Arial"/>
          <w:sz w:val="22"/>
          <w:szCs w:val="22"/>
          <w:lang w:val="en-US"/>
        </w:rPr>
        <w:t>behaviour</w:t>
      </w:r>
      <w:r>
        <w:rPr>
          <w:rFonts w:ascii="Arial" w:cs="Arial" w:hAnsi="Arial"/>
          <w:sz w:val="22"/>
          <w:szCs w:val="22"/>
          <w:lang w:val="en-US"/>
        </w:rPr>
        <w:t>. This aligns with Structural Inequality Theory, which suggests that institutional practices, socio-legal policies, and cultural norms create systemic obstacles. Migrants often cannot easily register with general practitioners due to missing documentation or because the system is not designed with their circumstances in mind.</w:t>
      </w:r>
    </w:p>
    <w:p w14:paraId="00000075">
      <w:pPr>
        <w:rPr>
          <w:rFonts w:ascii="Arial" w:cs="Arial" w:eastAsia="Arial Nova" w:hAnsi="Arial"/>
          <w:i/>
          <w:iCs/>
          <w:color w:val="000000" w:themeColor="text1"/>
          <w:sz w:val="22"/>
          <w:szCs w:val="22"/>
        </w:rPr>
      </w:pPr>
      <w:r>
        <w:rPr>
          <w:rFonts w:ascii="Arial" w:cs="Arial" w:hAnsi="Arial"/>
          <w:sz w:val="22"/>
          <w:szCs w:val="22"/>
          <w:lang w:val="en-US"/>
        </w:rPr>
        <w:t>Together, these research findings demonstrate that barriers to healthcare access are not individual failings but arise from structural and social systems: under-resourced local services, inefficient policy design, and cultural exclusion. The Health and Care Act (2022) and NHS England’s policy frameworks emphasize reducing health disparities, but the evidence suggests more targeted interventions culturally sensitive communication, flexible appointment systems, outreach (mobile or community-based clinics), and removing cost and documentation barriers are needed to make access equitable.</w:t>
      </w:r>
    </w:p>
    <w:p w14:paraId="00000076">
      <w:pPr>
        <w:rPr>
          <w:rFonts w:ascii="Arial" w:cs="Arial" w:eastAsia="Arial Nova" w:hAnsi="Arial"/>
          <w:i/>
          <w:iCs/>
          <w:color w:val="000000" w:themeColor="text1"/>
          <w:sz w:val="22"/>
          <w:szCs w:val="22"/>
        </w:rPr>
      </w:pPr>
    </w:p>
    <w:p w14:paraId="00000077">
      <w:pPr>
        <w:rPr>
          <w:rFonts w:ascii="Arial" w:cs="Arial" w:eastAsia="Arial Nova" w:hAnsi="Arial"/>
          <w:i/>
          <w:iCs/>
          <w:color w:val="000000" w:themeColor="text1"/>
          <w:sz w:val="22"/>
          <w:szCs w:val="22"/>
        </w:rPr>
      </w:pPr>
    </w:p>
    <w:p w14:paraId="00000078">
      <w:pPr>
        <w:rPr>
          <w:rFonts w:ascii="Arial" w:cs="Arial" w:eastAsia="Arial Nova" w:hAnsi="Arial"/>
          <w:i/>
          <w:iCs/>
          <w:color w:val="000000" w:themeColor="text1"/>
          <w:sz w:val="22"/>
          <w:szCs w:val="22"/>
        </w:rPr>
      </w:pPr>
    </w:p>
    <w:p w14:paraId="00000079">
      <w:pPr>
        <w:rPr>
          <w:rFonts w:ascii="Arial" w:cs="Arial" w:eastAsia="Arial Nova" w:hAnsi="Arial"/>
          <w:i/>
          <w:iCs/>
          <w:color w:val="ff0000"/>
          <w:sz w:val="22"/>
          <w:szCs w:val="22"/>
        </w:rPr>
      </w:pPr>
    </w:p>
    <w:p w14:paraId="0000007A">
      <w:pPr>
        <w:rPr>
          <w:rFonts w:ascii="Arial" w:cs="Arial" w:eastAsia="Arial Nova" w:hAnsi="Arial"/>
          <w:i/>
          <w:iCs/>
          <w:sz w:val="22"/>
          <w:szCs w:val="22"/>
        </w:rPr>
      </w:pPr>
    </w:p>
    <w:p w14:paraId="0000007B">
      <w:pPr>
        <w:rPr>
          <w:rFonts w:ascii="Arial" w:cs="Arial" w:eastAsia="Arial Nova" w:hAnsi="Arial"/>
          <w:i/>
          <w:iCs/>
          <w:sz w:val="22"/>
          <w:szCs w:val="22"/>
        </w:rPr>
      </w:pPr>
    </w:p>
    <w:p w14:paraId="0000007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7D">
      <w:pPr>
        <w:rPr>
          <w:rFonts w:ascii="Arial" w:cs="Arial" w:eastAsia="Arial Nova" w:hAnsi="Arial"/>
          <w:i/>
          <w:iCs/>
          <w:sz w:val="22"/>
          <w:szCs w:val="22"/>
        </w:rPr>
      </w:pPr>
    </w:p>
    <w:p w14:paraId="0000007E">
      <w:pPr>
        <w:rPr>
          <w:rFonts w:ascii="Arial" w:cs="Arial" w:eastAsia="Arial Nova" w:hAnsi="Arial"/>
          <w:i/>
          <w:iCs/>
          <w:sz w:val="22"/>
          <w:szCs w:val="22"/>
        </w:rPr>
      </w:pPr>
    </w:p>
    <w:p w14:paraId="0000007F">
      <w:pPr>
        <w:rPr>
          <w:rFonts w:ascii="Arial" w:cs="Arial" w:eastAsia="Arial Nova" w:hAnsi="Arial"/>
          <w:i/>
          <w:iCs/>
          <w:sz w:val="22"/>
          <w:szCs w:val="22"/>
        </w:rPr>
      </w:pPr>
    </w:p>
    <w:p w14:paraId="00000080">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6d6d6d"/>
          <w:sz w:val="18"/>
          <w:u w:val="single"/>
          <w:rtl w:val="off"/>
          <w:lang w:val="en-US"/>
        </w:rPr>
        <w:fldChar w:fldCharType="begin"/>
      </w:r>
      <w:r>
        <w:rPr>
          <w:rFonts w:ascii="Segoe UI"/>
          <w:color w:val="6d6d6d"/>
          <w:sz w:val="18"/>
          <w:u w:val="single"/>
          <w:rtl w:val="off"/>
          <w:lang w:val="en-US"/>
        </w:rPr>
        <w:instrText xml:space="preserve"> HYPERLINK "https://1drv.ms/u/c/9759f925e31fae97/EcKgF6lWi5RBvRXVqiBhCAIBgC8_iu_VF-epAbqRTHbVjw?e=rqGXD0" </w:instrText>
      </w:r>
      <w:r>
        <w:rPr>
          <w:rFonts w:ascii="Segoe UI"/>
          <w:color w:val="6d6d6d"/>
          <w:sz w:val="18"/>
          <w:u w:val="single"/>
          <w:rtl w:val="off"/>
          <w:lang w:val="en-US"/>
        </w:rPr>
        <w:fldChar w:fldCharType="separate"/>
      </w:r>
      <w:r>
        <w:rPr>
          <w:rFonts w:ascii="Segoe UI"/>
          <w:color w:val="6d6d6d"/>
          <w:sz w:val="18"/>
          <w:u w:val="single"/>
          <w:rtl w:val="off"/>
          <w:lang w:val="en-US"/>
        </w:rPr>
        <w:t>cherry's 2mins podcast for component 2 assessment.mp3</w:t>
      </w:r>
      <w:r>
        <w:rPr>
          <w:rFonts w:ascii="Segoe UI"/>
          <w:color w:val="000000"/>
          <w:sz w:val="18"/>
          <w:rtl w:val="off"/>
          <w:lang w:val="en-US"/>
        </w:rPr>
        <w:fldChar w:fldCharType="end"/>
      </w:r>
      <w:r>
        <w:rPr>
          <w:rFonts w:ascii="Segoe UI"/>
          <w:color w:val="000000"/>
          <w:sz w:val="18"/>
          <w:rtl w:val="off"/>
          <w:lang w:val="en-US"/>
        </w:rPr>
        <w:t xml:space="preserve"> </w:t>
      </w:r>
    </w:p>
    <w:p w14:paraId="00000081">
      <w:pPr>
        <w:rPr>
          <w:rFonts w:ascii="Arial" w:cs="Arial" w:eastAsia="Arial Nova" w:hAnsi="Arial"/>
          <w:i/>
          <w:iCs/>
          <w:sz w:val="22"/>
          <w:szCs w:val="22"/>
        </w:rPr>
      </w:pPr>
    </w:p>
    <w:p w14:paraId="00000082">
      <w:pPr>
        <w:rPr>
          <w:rFonts w:ascii="Arial" w:cs="Arial" w:eastAsia="Arial Nova" w:hAnsi="Arial"/>
          <w:i/>
          <w:iCs/>
          <w:sz w:val="22"/>
          <w:szCs w:val="22"/>
        </w:rPr>
      </w:pPr>
    </w:p>
    <w:p w14:paraId="00000083">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 </w:t>
      </w:r>
    </w:p>
    <w:p w14:paraId="00000084">
      <w:pPr>
        <w:rPr>
          <w:rFonts w:ascii="Arial" w:cs="Arial" w:eastAsia="Arial Nova" w:hAnsi="Arial"/>
          <w:i/>
          <w:iCs/>
          <w:sz w:val="22"/>
          <w:szCs w:val="22"/>
        </w:rPr>
      </w:pPr>
    </w:p>
    <w:p w14:paraId="00000085">
      <w:pPr>
        <w:rPr>
          <w:rFonts w:ascii="Arial" w:cs="Arial" w:eastAsia="Arial Nova" w:hAnsi="Arial"/>
          <w:i/>
          <w:iCs/>
          <w:sz w:val="22"/>
          <w:szCs w:val="22"/>
        </w:rPr>
      </w:pPr>
    </w:p>
    <w:p w14:paraId="00000086">
      <w:pPr>
        <w:rPr>
          <w:rFonts w:ascii="Arial" w:cs="Arial" w:eastAsia="Arial Nova" w:hAnsi="Arial"/>
          <w:color w:val="000000" w:themeColor="text1"/>
          <w:sz w:val="22"/>
          <w:szCs w:val="22"/>
        </w:rPr>
      </w:pPr>
    </w:p>
    <w:p w14:paraId="00000087">
      <w:pPr>
        <w:rPr>
          <w:rFonts w:ascii="Arial" w:cs="Arial" w:eastAsia="Arial Nova" w:hAnsi="Arial"/>
          <w:color w:val="000000" w:themeColor="text1"/>
          <w:sz w:val="22"/>
          <w:szCs w:val="22"/>
        </w:rPr>
      </w:pPr>
    </w:p>
    <w:p w14:paraId="00000088">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14:paraId="00000089">
      <w:pPr>
        <w:rPr>
          <w:rFonts w:ascii="Arial" w:cs="Arial" w:eastAsia="Arial Nova" w:hAnsi="Arial"/>
          <w:i/>
          <w:iCs/>
          <w:sz w:val="22"/>
          <w:szCs w:val="22"/>
        </w:rPr>
      </w:pPr>
    </w:p>
    <w:p w14:paraId="0000008A">
      <w:pPr>
        <w:rPr>
          <w:rFonts w:ascii="Arial" w:cs="Arial" w:eastAsia="Arial Nova" w:hAnsi="Arial"/>
          <w:color w:val="000000" w:themeColor="text1"/>
          <w:sz w:val="22"/>
          <w:szCs w:val="22"/>
        </w:rPr>
      </w:pPr>
    </w:p>
    <w:p w14:paraId="0000008B">
      <w:pPr>
        <w:rPr>
          <w:rFonts w:ascii="Arial" w:cs="Arial" w:eastAsia="Arial Nova" w:hAnsi="Arial"/>
          <w:color w:val="000000" w:themeColor="text1"/>
          <w:sz w:val="22"/>
          <w:szCs w:val="22"/>
        </w:rPr>
      </w:pPr>
    </w:p>
    <w:p w14:paraId="0000008C">
      <w:pPr>
        <w:rPr>
          <w:rFonts w:ascii="Arial" w:cs="Arial" w:eastAsia="Arial Nova" w:hAnsi="Arial"/>
          <w:color w:val="000000" w:themeColor="text1"/>
          <w:sz w:val="22"/>
          <w:szCs w:val="22"/>
        </w:rPr>
      </w:pPr>
    </w:p>
    <w:p w14:paraId="0000008D">
      <w:pPr>
        <w:rPr>
          <w:rFonts w:ascii="Arial" w:cs="Arial" w:eastAsia="Arial Nova" w:hAnsi="Arial"/>
          <w:i/>
          <w:iCs/>
          <w:color w:val="ff0000"/>
          <w:sz w:val="22"/>
          <w:szCs w:val="22"/>
        </w:rPr>
      </w:pPr>
    </w:p>
    <w:p w14:paraId="0000008E">
      <w:pPr>
        <w:rPr>
          <w:rFonts w:ascii="Arial" w:cs="Arial" w:eastAsia="Arial Nova" w:hAnsi="Arial"/>
          <w:i/>
          <w:iCs/>
          <w:color w:val="000000" w:themeColor="text1"/>
          <w:sz w:val="22"/>
          <w:szCs w:val="22"/>
        </w:rPr>
      </w:pPr>
    </w:p>
    <w:p w14:paraId="0000008F">
      <w:pPr>
        <w:spacing w:before="100" w:after="100" w:line="240" w:lineRule="auto"/>
        <w:rPr>
          <w:rFonts w:ascii="Arial" w:cs="Arial" w:eastAsia="Times New Roman" w:hAnsi="Arial"/>
          <w:b/>
          <w:bCs/>
          <w:sz w:val="22"/>
          <w:szCs w:val="22"/>
          <w:u w:val="single"/>
          <w:lang w:val="en-US" w:eastAsia="fr-FR"/>
        </w:rPr>
      </w:pPr>
    </w:p>
    <w:p w14:paraId="00000090">
      <w:pPr>
        <w:spacing w:before="100" w:after="100" w:line="240" w:lineRule="auto"/>
        <w:rPr>
          <w:rFonts w:ascii="Arial" w:cs="Arial" w:eastAsia="Times New Roman" w:hAnsi="Arial"/>
          <w:b/>
          <w:bCs/>
          <w:sz w:val="22"/>
          <w:szCs w:val="22"/>
          <w:u w:val="single"/>
          <w:lang w:val="en-US" w:eastAsia="fr-FR"/>
        </w:rPr>
      </w:pPr>
    </w:p>
    <w:p w14:paraId="00000091">
      <w:pPr>
        <w:spacing w:before="100" w:after="100" w:line="240" w:lineRule="auto"/>
        <w:rPr>
          <w:rFonts w:ascii="Arial" w:cs="Arial" w:eastAsia="Times New Roman" w:hAnsi="Arial"/>
          <w:b/>
          <w:bCs/>
          <w:sz w:val="22"/>
          <w:szCs w:val="22"/>
          <w:u w:val="single"/>
          <w:lang w:val="en-US" w:eastAsia="fr-FR"/>
        </w:rPr>
      </w:pPr>
    </w:p>
    <w:p w14:paraId="00000092">
      <w:pPr>
        <w:spacing w:before="100" w:after="100" w:line="240" w:lineRule="auto"/>
        <w:rPr>
          <w:rFonts w:ascii="Arial" w:cs="Arial" w:eastAsia="Times New Roman" w:hAnsi="Arial"/>
          <w:b/>
          <w:bCs/>
          <w:sz w:val="22"/>
          <w:szCs w:val="22"/>
          <w:u w:val="single"/>
          <w:lang w:val="en-US" w:eastAsia="fr-FR"/>
        </w:rPr>
      </w:pPr>
    </w:p>
    <w:p w14:paraId="00000093">
      <w:pPr>
        <w:spacing w:before="100" w:after="100" w:line="240" w:lineRule="auto"/>
        <w:rPr>
          <w:rFonts w:ascii="Arial" w:cs="Arial" w:eastAsia="Times New Roman" w:hAnsi="Arial"/>
          <w:b/>
          <w:bCs/>
          <w:sz w:val="22"/>
          <w:szCs w:val="22"/>
          <w:u w:val="single"/>
          <w:lang w:val="en-US" w:eastAsia="fr-FR"/>
        </w:rPr>
      </w:pPr>
    </w:p>
    <w:p w14:paraId="00000094">
      <w:pPr>
        <w:spacing w:before="100" w:after="100" w:line="240" w:lineRule="auto"/>
        <w:rPr>
          <w:rFonts w:ascii="Arial" w:cs="Arial" w:eastAsia="Times New Roman" w:hAnsi="Arial"/>
          <w:b/>
          <w:bCs/>
          <w:sz w:val="22"/>
          <w:szCs w:val="22"/>
          <w:u w:val="single"/>
          <w:lang w:val="en-US" w:eastAsia="fr-FR"/>
        </w:rPr>
      </w:pPr>
    </w:p>
    <w:p w14:paraId="00000095">
      <w:pPr>
        <w:spacing w:before="100" w:after="100" w:line="240" w:lineRule="auto"/>
        <w:rPr>
          <w:rFonts w:ascii="Arial" w:cs="Arial" w:eastAsia="Times New Roman" w:hAnsi="Arial"/>
          <w:b/>
          <w:bCs/>
          <w:sz w:val="22"/>
          <w:szCs w:val="22"/>
          <w:u w:val="single"/>
          <w:lang w:val="en-US" w:eastAsia="fr-FR"/>
        </w:rPr>
      </w:pPr>
    </w:p>
    <w:p w14:paraId="00000096">
      <w:pPr>
        <w:spacing w:before="100" w:after="100" w:line="240" w:lineRule="auto"/>
        <w:rPr>
          <w:rFonts w:ascii="Arial" w:cs="Arial" w:eastAsia="Times New Roman" w:hAnsi="Arial"/>
          <w:b/>
          <w:bCs/>
          <w:sz w:val="22"/>
          <w:szCs w:val="22"/>
          <w:u w:val="single"/>
          <w:lang w:val="en-US" w:eastAsia="fr-FR"/>
        </w:rPr>
      </w:pPr>
    </w:p>
    <w:p w14:paraId="00000097">
      <w:pPr>
        <w:spacing w:before="100" w:after="100" w:line="240" w:lineRule="auto"/>
        <w:rPr>
          <w:rFonts w:ascii="Arial" w:cs="Arial" w:eastAsia="Times New Roman" w:hAnsi="Arial"/>
          <w:b/>
          <w:bCs/>
          <w:sz w:val="22"/>
          <w:szCs w:val="22"/>
          <w:u w:val="single"/>
          <w:lang w:val="en-US" w:eastAsia="fr-FR"/>
        </w:rPr>
      </w:pPr>
    </w:p>
    <w:p w14:paraId="00000098">
      <w:pPr>
        <w:spacing w:before="100" w:after="100" w:line="240" w:lineRule="auto"/>
        <w:rPr>
          <w:rFonts w:ascii="Arial" w:cs="Arial" w:eastAsia="Times New Roman" w:hAnsi="Arial"/>
          <w:b/>
          <w:bCs/>
          <w:sz w:val="22"/>
          <w:szCs w:val="22"/>
          <w:u w:val="single"/>
          <w:lang w:val="en-US" w:eastAsia="fr-FR"/>
        </w:rPr>
      </w:pPr>
    </w:p>
    <w:p w14:paraId="00000099">
      <w:pPr>
        <w:spacing w:before="100" w:after="100" w:line="240" w:lineRule="auto"/>
        <w:rPr>
          <w:rFonts w:ascii="Arial" w:cs="Arial" w:eastAsia="Times New Roman" w:hAnsi="Arial"/>
          <w:b/>
          <w:bCs/>
          <w:sz w:val="22"/>
          <w:szCs w:val="22"/>
          <w:u w:val="single"/>
          <w:lang w:val="en-US" w:eastAsia="fr-FR"/>
        </w:rPr>
      </w:pPr>
    </w:p>
    <w:p w14:paraId="0000009A">
      <w:pPr>
        <w:spacing w:before="100" w:after="100" w:line="240" w:lineRule="auto"/>
        <w:rPr>
          <w:rFonts w:ascii="Arial" w:cs="Arial" w:eastAsia="Times New Roman" w:hAnsi="Arial"/>
          <w:b/>
          <w:bCs/>
          <w:sz w:val="22"/>
          <w:szCs w:val="22"/>
          <w:u w:val="single"/>
          <w:lang w:val="en-US" w:eastAsia="fr-FR"/>
        </w:rPr>
      </w:pPr>
    </w:p>
    <w:p w14:paraId="0000009B">
      <w:pPr>
        <w:spacing w:before="100" w:after="100" w:line="240" w:lineRule="auto"/>
        <w:rPr>
          <w:rFonts w:ascii="Arial" w:cs="Arial" w:eastAsia="Times New Roman" w:hAnsi="Arial"/>
          <w:b/>
          <w:bCs/>
          <w:sz w:val="22"/>
          <w:szCs w:val="22"/>
          <w:u w:val="single"/>
          <w:lang w:val="en-US" w:eastAsia="fr-FR"/>
        </w:rPr>
      </w:pPr>
    </w:p>
    <w:p w14:paraId="0000009C">
      <w:pPr>
        <w:spacing w:before="100" w:after="100" w:line="240" w:lineRule="auto"/>
        <w:rPr>
          <w:rFonts w:ascii="Arial" w:cs="Arial" w:eastAsia="Times New Roman" w:hAnsi="Arial"/>
          <w:b/>
          <w:bCs/>
          <w:sz w:val="22"/>
          <w:szCs w:val="22"/>
          <w:u w:val="single"/>
          <w:lang w:val="en-US" w:eastAsia="fr-FR"/>
        </w:rPr>
      </w:pPr>
    </w:p>
    <w:p w14:paraId="0000009D">
      <w:pPr>
        <w:spacing w:before="100" w:after="100" w:line="240" w:lineRule="auto"/>
        <w:rPr>
          <w:rFonts w:ascii="Arial" w:cs="Arial" w:eastAsia="Times New Roman" w:hAnsi="Arial"/>
          <w:b/>
          <w:bCs/>
          <w:sz w:val="22"/>
          <w:szCs w:val="22"/>
          <w:u w:val="single"/>
          <w:lang w:val="en-US" w:eastAsia="fr-FR"/>
        </w:rPr>
      </w:pPr>
    </w:p>
    <w:p w14:paraId="0000009E">
      <w:pPr>
        <w:spacing w:before="100" w:after="100" w:line="240" w:lineRule="auto"/>
        <w:rPr>
          <w:rFonts w:ascii="Arial" w:cs="Arial" w:eastAsia="Times New Roman" w:hAnsi="Arial"/>
          <w:b/>
          <w:bCs/>
          <w:sz w:val="22"/>
          <w:szCs w:val="22"/>
          <w:u w:val="single"/>
          <w:lang w:val="en-US" w:eastAsia="fr-FR"/>
        </w:rPr>
      </w:pPr>
    </w:p>
    <w:p w14:paraId="0000009F">
      <w:pPr>
        <w:spacing w:before="100" w:after="100" w:line="240" w:lineRule="auto"/>
        <w:rPr>
          <w:rFonts w:ascii="Arial" w:cs="Arial" w:eastAsia="Times New Roman" w:hAnsi="Arial"/>
          <w:b/>
          <w:bCs/>
          <w:sz w:val="22"/>
          <w:szCs w:val="22"/>
          <w:u w:val="single"/>
          <w:lang w:val="en-US" w:eastAsia="fr-FR"/>
        </w:rPr>
      </w:pPr>
    </w:p>
    <w:p w14:paraId="000000A0">
      <w:pPr>
        <w:spacing w:before="100" w:after="100" w:line="240" w:lineRule="auto"/>
        <w:rPr>
          <w:rFonts w:ascii="Arial" w:cs="Arial" w:eastAsia="Times New Roman" w:hAnsi="Arial"/>
          <w:b/>
          <w:bCs/>
          <w:sz w:val="22"/>
          <w:szCs w:val="22"/>
          <w:u w:val="single"/>
          <w:lang w:val="en-US" w:eastAsia="fr-FR"/>
        </w:rPr>
      </w:pPr>
    </w:p>
    <w:p w14:paraId="000000A1">
      <w:pPr>
        <w:spacing w:before="100" w:after="100" w:line="240" w:lineRule="auto"/>
        <w:rPr>
          <w:rFonts w:ascii="Arial" w:cs="Arial" w:eastAsia="Times New Roman" w:hAnsi="Arial"/>
          <w:b/>
          <w:bCs/>
          <w:sz w:val="22"/>
          <w:szCs w:val="22"/>
          <w:u w:val="single"/>
          <w:lang w:val="en-US" w:eastAsia="fr-FR"/>
        </w:rPr>
      </w:pPr>
    </w:p>
    <w:p w14:paraId="000000A2">
      <w:pPr>
        <w:spacing w:before="100" w:after="100" w:line="240" w:lineRule="auto"/>
        <w:rPr>
          <w:rFonts w:ascii="Arial" w:cs="Arial" w:eastAsia="Times New Roman" w:hAnsi="Arial"/>
          <w:b/>
          <w:bCs/>
          <w:sz w:val="22"/>
          <w:szCs w:val="22"/>
          <w:u w:val="single"/>
          <w:lang w:eastAsia="fr-FR"/>
        </w:rPr>
      </w:pPr>
      <w:r>
        <w:rPr>
          <w:rFonts w:ascii="Arial" w:cs="Arial" w:eastAsia="Times New Roman" w:hAnsi="Arial"/>
          <w:b/>
          <w:bCs/>
          <w:sz w:val="22"/>
          <w:szCs w:val="22"/>
          <w:u w:val="single"/>
          <w:lang w:val="en-US" w:eastAsia="fr-FR"/>
        </w:rPr>
        <w:t>SUMMARY OF KEY COMPONENTS OF THE NHS LEADERSHIP  FRAMEWORK</w:t>
      </w:r>
      <w:r>
        <w:rPr>
          <w:rFonts w:ascii="Arial" w:cs="Arial" w:eastAsia="Times New Roman" w:hAnsi="Arial"/>
          <w:b/>
          <w:bCs/>
          <w:sz w:val="22"/>
          <w:szCs w:val="22"/>
          <w:u w:val="single"/>
          <w:lang w:eastAsia="fr-FR"/>
        </w:rPr>
        <w:t>.</w:t>
      </w:r>
    </w:p>
    <w:p w14:paraId="000000A3">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The NHS Leadership Competency Framework outlines six essential domains that guide board members, senior leaders, and aspiring executives towards delivering compassionate, high-quality care in a sustainable way.</w:t>
      </w:r>
    </w:p>
    <w:p w14:paraId="000000A4">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These domains include: Driving high-quality and sustainable outcomes, which refers to inspiring innovation and continuous improvement; Setting strategy and delivering long-term transformation, which involves planning, aligning resources, and using data to guide decisions; Promoting equality and inclusion, ensuring that services reduce disparities and reflect the diverse communities they serve; Providing robust governance and assurance, which underscores accountability, ethics, safety, and transparency in leadership; Creating a compassionate, just and positive culture, focused on kindness, respect, psychological safety, and ensuring staff wellbeing; and Building trusted relationships with partners and communities, which emphasizes collaboration, co-production, and maintaining public trust.</w:t>
      </w:r>
    </w:p>
    <w:p w14:paraId="000000A5">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 xml:space="preserve">These competency domains are founded upon NHS values such as respect, dignity, quality of care, and working together </w:t>
      </w:r>
      <w:r>
        <w:rPr>
          <w:rFonts w:ascii="Arial" w:cs="Arial" w:eastAsia="Times New Roman" w:hAnsi="Arial"/>
          <w:color w:val="000000"/>
          <w:sz w:val="22"/>
          <w:szCs w:val="22"/>
          <w:lang w:val="en-US" w:eastAsia="fr-FR"/>
        </w:rPr>
        <w:t>(NHS England ).NHS leadership competency framework for board members;</w:t>
      </w:r>
      <w:r>
        <w:rPr>
          <w:rFonts w:ascii="Arial" w:cs="Arial" w:eastAsia="Times New Roman" w:hAnsi="Arial"/>
          <w:sz w:val="22"/>
          <w:szCs w:val="22"/>
          <w:lang w:val="en-US" w:eastAsia="fr-FR"/>
        </w:rPr>
        <w:t>The framework is used for recruitment, leadership development, appraisal, and ensuring leaders can be assessed and developed across these interconnected competencies</w:t>
      </w:r>
      <w:r>
        <w:rPr>
          <w:rFonts w:ascii="Arial" w:cs="Arial" w:eastAsia="Times New Roman" w:hAnsi="Arial"/>
          <w:color w:val="000000"/>
          <w:sz w:val="22"/>
          <w:szCs w:val="22"/>
          <w:lang w:val="en-US" w:eastAsia="fr-FR"/>
        </w:rPr>
        <w:t>( NHS leadership competency framework for board members)</w:t>
      </w:r>
      <w:r>
        <w:rPr>
          <w:rFonts w:ascii="Arial" w:cs="Arial" w:eastAsia="Times New Roman" w:hAnsi="Arial"/>
          <w:sz w:val="22"/>
          <w:szCs w:val="22"/>
          <w:lang w:val="en-US" w:eastAsia="fr-FR"/>
        </w:rPr>
        <w:t xml:space="preserve">. </w:t>
      </w:r>
    </w:p>
    <w:p w14:paraId="000000A6">
      <w:pPr>
        <w:spacing w:after="0" w:line="240" w:lineRule="auto"/>
        <w:rPr>
          <w:rFonts w:ascii="Arial" w:cs="Arial" w:eastAsia="Times New Roman" w:hAnsi="Arial"/>
          <w:sz w:val="22"/>
          <w:szCs w:val="22"/>
          <w:lang w:val="en-US" w:eastAsia="fr-FR"/>
        </w:rPr>
      </w:pPr>
    </w:p>
    <w:p w14:paraId="000000A7">
      <w:pPr>
        <w:spacing w:before="100" w:after="100" w:line="240" w:lineRule="auto"/>
        <w:rPr>
          <w:rFonts w:ascii="Arial" w:cs="Arial" w:eastAsia="Times New Roman" w:hAnsi="Arial"/>
          <w:b/>
          <w:bCs/>
          <w:sz w:val="22"/>
          <w:szCs w:val="22"/>
          <w:u w:val="single"/>
          <w:lang w:val="en-US" w:eastAsia="fr-FR"/>
        </w:rPr>
      </w:pPr>
      <w:r>
        <w:rPr>
          <w:rFonts w:ascii="Arial" w:cs="Arial" w:eastAsia="Times New Roman" w:hAnsi="Arial"/>
          <w:b/>
          <w:bCs/>
          <w:sz w:val="22"/>
          <w:szCs w:val="22"/>
          <w:u w:val="single"/>
          <w:lang w:val="en-US" w:eastAsia="fr-FR"/>
        </w:rPr>
        <w:t xml:space="preserve"> CREATING A COMPASSIONATE, JUST AND POSITIVE CULTURE” TO ENCOURAGE CREATIVITY AND IMPROVE CARE (150 WORDS).</w:t>
      </w:r>
    </w:p>
    <w:p w14:paraId="000000A8">
      <w:pPr>
        <w:spacing w:before="100" w:after="100" w:line="240" w:lineRule="auto"/>
        <w:rPr>
          <w:rFonts w:ascii="Arial" w:cs="Arial" w:eastAsia="Times New Roman" w:hAnsi="Arial"/>
          <w:color w:val="000000"/>
          <w:sz w:val="22"/>
          <w:szCs w:val="22"/>
          <w:lang w:val="en-US" w:eastAsia="fr-FR"/>
        </w:rPr>
      </w:pPr>
      <w:r>
        <w:rPr>
          <w:rFonts w:ascii="Arial" w:cs="Arial" w:eastAsia="Times New Roman" w:hAnsi="Arial"/>
          <w:sz w:val="22"/>
          <w:szCs w:val="22"/>
          <w:lang w:val="en-US" w:eastAsia="fr-FR"/>
        </w:rPr>
        <w:t xml:space="preserve">A leader who focuses on the “Creating a Compassionate, Just and Positive Culture” domain can significantly enhance creativity and improve patient care within an NHS </w:t>
      </w:r>
      <w:r>
        <w:rPr>
          <w:rFonts w:ascii="Arial" w:cs="Arial" w:eastAsia="Times New Roman" w:hAnsi="Arial"/>
          <w:sz w:val="22"/>
          <w:szCs w:val="22"/>
          <w:lang w:val="en-US" w:eastAsia="fr-FR"/>
        </w:rPr>
        <w:t>organisation</w:t>
      </w:r>
      <w:r>
        <w:rPr>
          <w:rFonts w:ascii="Arial" w:cs="Arial" w:eastAsia="Times New Roman" w:hAnsi="Arial"/>
          <w:sz w:val="22"/>
          <w:szCs w:val="22"/>
          <w:lang w:val="en-US" w:eastAsia="fr-FR"/>
        </w:rPr>
        <w:t xml:space="preserve">. For example, a departmental head might implement regular team meetings where staff are encouraged to safely share ideas including unconventional ones without fear of criticism. By promoting psychological safety (ensuring that people feel heard, respected, and supported), the leader fosters an environment in which uncertainty or risk-taking is accepted as a path to innovation. They might also reward staff for creative improvements like suggesting a new process to cut down waiting time and publicly </w:t>
      </w:r>
      <w:r>
        <w:rPr>
          <w:rFonts w:ascii="Arial" w:cs="Arial" w:eastAsia="Times New Roman" w:hAnsi="Arial"/>
          <w:sz w:val="22"/>
          <w:szCs w:val="22"/>
          <w:lang w:val="en-US" w:eastAsia="fr-FR"/>
        </w:rPr>
        <w:t>recognise</w:t>
      </w:r>
      <w:r>
        <w:rPr>
          <w:rFonts w:ascii="Arial" w:cs="Arial" w:eastAsia="Times New Roman" w:hAnsi="Arial"/>
          <w:sz w:val="22"/>
          <w:szCs w:val="22"/>
          <w:lang w:val="en-US" w:eastAsia="fr-FR"/>
        </w:rPr>
        <w:t xml:space="preserve"> contributions. This approach not only boosts morale, but leads to practical care improvements: improved workflows, better patient experience, fewer errors, and more responsive services. When staff feel trusted and valued, they are more likely to take initiative, experiment, and collaborate resulting in higher quality, compassionate care </w:t>
      </w:r>
      <w:r>
        <w:rPr>
          <w:rFonts w:ascii="Arial" w:cs="Arial" w:eastAsia="Times New Roman" w:hAnsi="Arial"/>
          <w:color w:val="000000"/>
          <w:sz w:val="22"/>
          <w:szCs w:val="22"/>
          <w:lang w:val="en-US" w:eastAsia="fr-FR"/>
        </w:rPr>
        <w:t>West et al. (2017)</w:t>
      </w:r>
    </w:p>
    <w:p w14:paraId="000000A9">
      <w:pPr>
        <w:spacing w:before="100" w:after="100" w:line="240" w:lineRule="auto"/>
        <w:rPr>
          <w:rFonts w:ascii="Arial" w:cs="Arial" w:eastAsia="Times New Roman" w:hAnsi="Arial"/>
          <w:sz w:val="22"/>
          <w:szCs w:val="22"/>
          <w:u w:val="single"/>
          <w:lang w:val="en-US" w:eastAsia="fr-FR"/>
        </w:rPr>
      </w:pPr>
    </w:p>
    <w:p w14:paraId="000000AA">
      <w:pPr>
        <w:spacing w:before="100" w:after="100" w:line="240" w:lineRule="auto"/>
        <w:rPr>
          <w:rFonts w:ascii="Arial" w:cs="Arial" w:eastAsia="Times New Roman" w:hAnsi="Arial"/>
          <w:sz w:val="22"/>
          <w:szCs w:val="22"/>
          <w:u w:val="single"/>
          <w:lang w:val="en-US" w:eastAsia="fr-FR"/>
        </w:rPr>
      </w:pPr>
    </w:p>
    <w:p w14:paraId="000000AB">
      <w:pPr>
        <w:spacing w:before="100" w:after="100" w:line="240" w:lineRule="auto"/>
        <w:rPr>
          <w:rFonts w:ascii="Arial" w:cs="Arial" w:eastAsia="Times New Roman" w:hAnsi="Arial"/>
          <w:sz w:val="22"/>
          <w:szCs w:val="22"/>
          <w:u w:val="single"/>
          <w:lang w:val="en-US" w:eastAsia="fr-FR"/>
        </w:rPr>
      </w:pPr>
    </w:p>
    <w:p w14:paraId="000000AC">
      <w:pPr>
        <w:spacing w:before="100" w:after="100" w:line="240" w:lineRule="auto"/>
        <w:rPr>
          <w:rFonts w:ascii="Arial" w:cs="Arial" w:eastAsia="Times New Roman" w:hAnsi="Arial"/>
          <w:sz w:val="22"/>
          <w:szCs w:val="22"/>
          <w:u w:val="single"/>
          <w:lang w:val="en-US" w:eastAsia="fr-FR"/>
        </w:rPr>
      </w:pPr>
    </w:p>
    <w:p w14:paraId="000000AD">
      <w:pPr>
        <w:spacing w:before="100" w:after="100" w:line="240" w:lineRule="auto"/>
        <w:rPr>
          <w:rFonts w:ascii="Arial" w:cs="Arial" w:eastAsia="Times New Roman" w:hAnsi="Arial"/>
          <w:b/>
          <w:bCs/>
          <w:sz w:val="22"/>
          <w:szCs w:val="22"/>
          <w:u w:val="single"/>
          <w:lang w:val="en-US" w:eastAsia="fr-FR"/>
        </w:rPr>
      </w:pPr>
    </w:p>
    <w:p w14:paraId="000000AE">
      <w:pPr>
        <w:spacing w:before="100" w:after="100" w:line="240" w:lineRule="auto"/>
        <w:rPr>
          <w:rFonts w:ascii="Arial" w:cs="Arial" w:eastAsia="Times New Roman" w:hAnsi="Arial"/>
          <w:b/>
          <w:bCs/>
          <w:sz w:val="22"/>
          <w:szCs w:val="22"/>
          <w:u w:val="single"/>
          <w:lang w:val="en-US" w:eastAsia="fr-FR"/>
        </w:rPr>
      </w:pPr>
    </w:p>
    <w:p w14:paraId="000000AF">
      <w:pPr>
        <w:spacing w:before="100" w:after="100" w:line="240" w:lineRule="auto"/>
        <w:rPr>
          <w:rFonts w:ascii="Arial" w:cs="Arial" w:eastAsia="Times New Roman" w:hAnsi="Arial"/>
          <w:b/>
          <w:bCs/>
          <w:sz w:val="22"/>
          <w:szCs w:val="22"/>
          <w:u w:val="single"/>
          <w:lang w:val="en-US" w:eastAsia="fr-FR"/>
        </w:rPr>
      </w:pPr>
    </w:p>
    <w:p w14:paraId="000000B0">
      <w:pPr>
        <w:spacing w:before="100" w:after="100" w:line="240" w:lineRule="auto"/>
        <w:rPr>
          <w:rFonts w:ascii="Arial" w:cs="Arial" w:eastAsia="Times New Roman" w:hAnsi="Arial"/>
          <w:b/>
          <w:bCs/>
          <w:sz w:val="22"/>
          <w:szCs w:val="22"/>
          <w:u w:val="single"/>
          <w:lang w:val="en-US" w:eastAsia="fr-FR"/>
        </w:rPr>
      </w:pPr>
    </w:p>
    <w:p w14:paraId="000000B1">
      <w:pPr>
        <w:spacing w:before="100" w:after="100" w:line="240" w:lineRule="auto"/>
        <w:rPr>
          <w:rFonts w:ascii="Arial" w:cs="Arial" w:eastAsia="Times New Roman" w:hAnsi="Arial"/>
          <w:b/>
          <w:bCs/>
          <w:sz w:val="22"/>
          <w:szCs w:val="22"/>
          <w:u w:val="single"/>
          <w:lang w:val="en-US" w:eastAsia="fr-FR"/>
        </w:rPr>
      </w:pPr>
    </w:p>
    <w:p w14:paraId="000000B2">
      <w:pPr>
        <w:spacing w:before="100" w:after="100" w:line="240" w:lineRule="auto"/>
        <w:rPr>
          <w:rFonts w:ascii="Arial" w:cs="Arial" w:eastAsia="Times New Roman" w:hAnsi="Arial"/>
          <w:b/>
          <w:bCs/>
          <w:sz w:val="22"/>
          <w:szCs w:val="22"/>
          <w:u w:val="single"/>
          <w:lang w:val="en-US" w:eastAsia="fr-FR"/>
        </w:rPr>
      </w:pPr>
    </w:p>
    <w:p w14:paraId="000000B3">
      <w:pPr>
        <w:spacing w:before="100" w:after="100" w:line="240" w:lineRule="auto"/>
        <w:rPr>
          <w:rFonts w:ascii="Arial" w:cs="Arial" w:eastAsia="Times New Roman" w:hAnsi="Arial"/>
          <w:b/>
          <w:bCs/>
          <w:sz w:val="22"/>
          <w:szCs w:val="22"/>
          <w:u w:val="single"/>
          <w:lang w:val="en-US" w:eastAsia="fr-FR"/>
        </w:rPr>
      </w:pPr>
    </w:p>
    <w:p w14:paraId="000000B4">
      <w:pPr>
        <w:spacing w:before="100" w:after="100" w:line="240" w:lineRule="auto"/>
        <w:rPr>
          <w:rFonts w:ascii="Arial" w:cs="Arial" w:eastAsia="Times New Roman" w:hAnsi="Arial"/>
          <w:b/>
          <w:bCs/>
          <w:sz w:val="22"/>
          <w:szCs w:val="22"/>
          <w:u w:val="single"/>
          <w:lang w:val="en-US" w:eastAsia="fr-FR"/>
        </w:rPr>
      </w:pPr>
      <w:r>
        <w:rPr>
          <w:rFonts w:ascii="Arial" w:cs="Arial" w:eastAsia="Times New Roman" w:hAnsi="Arial"/>
          <w:b/>
          <w:bCs/>
          <w:sz w:val="22"/>
          <w:szCs w:val="22"/>
          <w:u w:val="single"/>
          <w:lang w:val="en-US" w:eastAsia="fr-FR"/>
        </w:rPr>
        <w:t>SELF-REFLECTION JOURNAL — MODULE WEEK 9.</w:t>
      </w:r>
    </w:p>
    <w:p w14:paraId="000000B5">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 xml:space="preserve">This week deepened my understanding about reflective practice, creativity and value creation in health and social care. I used to view creativity as something abstract mainly about new or artistic ideas but I now </w:t>
      </w:r>
      <w:r>
        <w:rPr>
          <w:rFonts w:ascii="Arial" w:cs="Arial" w:eastAsia="Times New Roman" w:hAnsi="Arial"/>
          <w:sz w:val="22"/>
          <w:szCs w:val="22"/>
          <w:lang w:val="en-US" w:eastAsia="fr-FR"/>
        </w:rPr>
        <w:t>recognise</w:t>
      </w:r>
      <w:r>
        <w:rPr>
          <w:rFonts w:ascii="Arial" w:cs="Arial" w:eastAsia="Times New Roman" w:hAnsi="Arial"/>
          <w:sz w:val="22"/>
          <w:szCs w:val="22"/>
          <w:lang w:val="en-US" w:eastAsia="fr-FR"/>
        </w:rPr>
        <w:t xml:space="preserve"> it as a structured process that drives meaningful improvement in real-life care settings. I learned that creativity in health and social care involves the ability to think differently, generate new ideas, and apply innovative approaches to improve and enhance </w:t>
      </w:r>
    </w:p>
    <w:p w14:paraId="000000B6">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health and social care practice. This help professionals develop innovative yet practical solutions to complex problems and improves the well-being of individuals.</w:t>
      </w:r>
    </w:p>
    <w:p w14:paraId="000000B7">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I also discovered that value creation in health and social care goes beyond cost-effectiveness or clinical outcomes. It involves designing services that are empathetic, person-</w:t>
      </w:r>
      <w:r>
        <w:rPr>
          <w:rFonts w:ascii="Arial" w:cs="Arial" w:eastAsia="Times New Roman" w:hAnsi="Arial"/>
          <w:sz w:val="22"/>
          <w:szCs w:val="22"/>
          <w:lang w:val="en-US" w:eastAsia="fr-FR"/>
        </w:rPr>
        <w:t>centred</w:t>
      </w:r>
      <w:r>
        <w:rPr>
          <w:rFonts w:ascii="Arial" w:cs="Arial" w:eastAsia="Times New Roman" w:hAnsi="Arial"/>
          <w:sz w:val="22"/>
          <w:szCs w:val="22"/>
          <w:lang w:val="en-US" w:eastAsia="fr-FR"/>
        </w:rPr>
        <w:t>, and co-produced with service users. True value lies in meeting people’s emotional and social needs, not just their medical needs. I also found it very insightful how partnerships in Health and Social Care Campaigns can enhance reach and impact, resource sharing and sustainability.</w:t>
      </w:r>
    </w:p>
    <w:p w14:paraId="000000B8">
      <w:pPr>
        <w:spacing w:before="100" w:after="100" w:line="240" w:lineRule="auto"/>
        <w:rPr>
          <w:rFonts w:ascii="Arial" w:cs="Arial" w:eastAsia="Times New Roman" w:hAnsi="Arial"/>
          <w:sz w:val="22"/>
          <w:szCs w:val="22"/>
          <w:lang w:val="en-US" w:eastAsia="fr-FR"/>
        </w:rPr>
      </w:pPr>
      <w:r>
        <w:rPr>
          <w:rFonts w:ascii="Arial" w:cs="Arial" w:eastAsia="Times New Roman" w:hAnsi="Arial"/>
          <w:sz w:val="22"/>
          <w:szCs w:val="22"/>
          <w:lang w:val="en-US" w:eastAsia="fr-FR"/>
        </w:rPr>
        <w:t>In my future practice, I aim to encourage small-scale innovations, promote teamwork, and consider user experience when measuring success. This reflection has helped me see that creativity is not an optional extra it is essential for achieving compassionate, sustainable, and effective care West</w:t>
      </w:r>
      <w:r>
        <w:rPr>
          <w:rFonts w:ascii="Arial" w:cs="Arial" w:eastAsia="Times New Roman" w:hAnsi="Arial"/>
          <w:color w:val="000000"/>
          <w:sz w:val="22"/>
          <w:szCs w:val="22"/>
          <w:lang w:val="en-US" w:eastAsia="fr-FR"/>
        </w:rPr>
        <w:t xml:space="preserve"> et al. (2017)</w:t>
      </w:r>
      <w:r>
        <w:rPr>
          <w:rFonts w:ascii="Arial" w:cs="Arial" w:eastAsia="Times New Roman" w:hAnsi="Arial"/>
          <w:sz w:val="22"/>
          <w:szCs w:val="22"/>
          <w:lang w:val="en-US" w:eastAsia="fr-FR"/>
        </w:rPr>
        <w:t>.</w:t>
      </w:r>
    </w:p>
    <w:p w14:paraId="000000B9">
      <w:pPr>
        <w:pStyle w:val="Normal(Web)"/>
        <w:rPr>
          <w:rFonts w:ascii="Arial" w:cs="Arial" w:hAnsi="Arial"/>
          <w:sz w:val="22"/>
          <w:szCs w:val="22"/>
          <w:lang w:val="en-US"/>
        </w:rPr>
      </w:pPr>
    </w:p>
    <w:p w14:paraId="000000BA">
      <w:pPr>
        <w:pStyle w:val="Normal(Web)"/>
        <w:rPr>
          <w:rFonts w:ascii="Arial" w:cs="Arial" w:hAnsi="Arial"/>
          <w:sz w:val="22"/>
          <w:szCs w:val="22"/>
          <w:lang w:val="en-US"/>
        </w:rPr>
      </w:pPr>
    </w:p>
    <w:p w14:paraId="000000BB">
      <w:pPr>
        <w:pStyle w:val="Normal(Web)"/>
        <w:rPr>
          <w:rFonts w:ascii="Arial" w:cs="Arial" w:hAnsi="Arial"/>
          <w:sz w:val="22"/>
          <w:szCs w:val="22"/>
          <w:lang w:val="en-US"/>
        </w:rPr>
      </w:pPr>
    </w:p>
    <w:p w14:paraId="000000BC">
      <w:pPr>
        <w:pStyle w:val="Normal(Web)"/>
        <w:rPr>
          <w:rFonts w:ascii="Arial" w:cs="Arial" w:hAnsi="Arial"/>
          <w:sz w:val="22"/>
          <w:szCs w:val="22"/>
          <w:lang w:val="en-US"/>
        </w:rPr>
      </w:pPr>
    </w:p>
    <w:p w14:paraId="000000BD">
      <w:pPr>
        <w:pStyle w:val="Normal(Web)"/>
        <w:rPr>
          <w:rFonts w:ascii="Arial" w:cs="Arial" w:hAnsi="Arial"/>
          <w:sz w:val="22"/>
          <w:szCs w:val="22"/>
          <w:lang w:val="en-US"/>
        </w:rPr>
      </w:pPr>
    </w:p>
    <w:p w14:paraId="000000BE">
      <w:pPr>
        <w:pStyle w:val="Normal(Web)"/>
        <w:rPr>
          <w:rFonts w:ascii="Arial" w:cs="Arial" w:hAnsi="Arial"/>
          <w:sz w:val="22"/>
          <w:szCs w:val="22"/>
          <w:lang w:val="en-US"/>
        </w:rPr>
      </w:pPr>
    </w:p>
    <w:p w14:paraId="000000BF">
      <w:pPr>
        <w:pStyle w:val="Normal(Web)"/>
        <w:rPr>
          <w:rFonts w:ascii="Arial" w:cs="Arial" w:hAnsi="Arial"/>
          <w:sz w:val="22"/>
          <w:szCs w:val="22"/>
          <w:lang w:val="en-US"/>
        </w:rPr>
      </w:pPr>
    </w:p>
    <w:p w14:paraId="000000C0">
      <w:pPr>
        <w:pStyle w:val="Normal(Web)"/>
        <w:rPr>
          <w:rFonts w:ascii="Arial" w:cs="Arial" w:hAnsi="Arial"/>
          <w:sz w:val="22"/>
          <w:szCs w:val="22"/>
          <w:lang w:val="en-US"/>
        </w:rPr>
      </w:pPr>
    </w:p>
    <w:p w14:paraId="000000C1">
      <w:pPr>
        <w:pStyle w:val="Normal(Web)"/>
        <w:rPr>
          <w:rFonts w:ascii="Arial" w:cs="Arial" w:hAnsi="Arial"/>
          <w:sz w:val="22"/>
          <w:szCs w:val="22"/>
          <w:lang w:val="en-US"/>
        </w:rPr>
      </w:pPr>
    </w:p>
    <w:p w14:paraId="000000C2">
      <w:pPr>
        <w:pStyle w:val="Normal(Web)"/>
        <w:rPr>
          <w:rFonts w:ascii="Arial" w:cs="Arial" w:hAnsi="Arial"/>
          <w:sz w:val="22"/>
          <w:szCs w:val="22"/>
          <w:lang w:val="en-US"/>
        </w:rPr>
      </w:pPr>
    </w:p>
    <w:p w14:paraId="000000C3">
      <w:pPr>
        <w:pStyle w:val="Normal(Web)"/>
        <w:rPr>
          <w:rFonts w:ascii="Arial" w:cs="Arial" w:hAnsi="Arial"/>
          <w:sz w:val="22"/>
          <w:szCs w:val="22"/>
          <w:lang w:val="en-US"/>
        </w:rPr>
      </w:pPr>
    </w:p>
    <w:p w14:paraId="000000C4">
      <w:pPr>
        <w:pStyle w:val="Normal(Web)"/>
        <w:rPr>
          <w:rFonts w:ascii="Arial" w:cs="Arial" w:hAnsi="Arial"/>
          <w:sz w:val="22"/>
          <w:szCs w:val="22"/>
          <w:lang w:val="en-US"/>
        </w:rPr>
      </w:pPr>
    </w:p>
    <w:p w14:paraId="000000C5">
      <w:pPr>
        <w:pStyle w:val="Normal(Web)"/>
        <w:rPr>
          <w:rFonts w:ascii="Arial" w:cs="Arial" w:hAnsi="Arial"/>
          <w:sz w:val="22"/>
          <w:szCs w:val="22"/>
          <w:lang w:val="en-US"/>
        </w:rPr>
      </w:pPr>
    </w:p>
    <w:p w14:paraId="000000C6">
      <w:pPr>
        <w:pStyle w:val="Normal(Web)"/>
        <w:rPr>
          <w:rFonts w:ascii="Arial" w:cs="Arial" w:hAnsi="Arial"/>
          <w:sz w:val="22"/>
          <w:szCs w:val="22"/>
          <w:lang w:val="en-US"/>
        </w:rPr>
      </w:pPr>
    </w:p>
    <w:p w14:paraId="000000C7">
      <w:pPr>
        <w:pStyle w:val="Normal(Web)"/>
        <w:rPr>
          <w:rFonts w:ascii="Arial" w:cs="Arial" w:hAnsi="Arial"/>
          <w:sz w:val="22"/>
          <w:szCs w:val="22"/>
          <w:lang w:val="en-US"/>
        </w:rPr>
      </w:pPr>
    </w:p>
    <w:p w14:paraId="000000C8">
      <w:pPr>
        <w:pStyle w:val="Normal(Web)"/>
        <w:rPr>
          <w:rFonts w:ascii="Arial" w:cs="Arial" w:hAnsi="Arial"/>
          <w:sz w:val="22"/>
          <w:szCs w:val="22"/>
          <w:lang w:val="en-US"/>
        </w:rPr>
      </w:pPr>
    </w:p>
    <w:p w14:paraId="000000C9">
      <w:pPr>
        <w:pStyle w:val="Normal(Web)"/>
        <w:rPr>
          <w:rFonts w:ascii="Arial" w:cs="Arial" w:eastAsia="Times New Roman" w:hAnsi="Arial"/>
          <w:sz w:val="22"/>
          <w:szCs w:val="22"/>
          <w:lang w:val="en-US"/>
        </w:rPr>
      </w:pPr>
    </w:p>
    <w:p w14:paraId="000000CA">
      <w:pPr>
        <w:ind w:hanging="480"/>
        <w:rPr>
          <w:rFonts w:ascii="Arial" w:cs="Arial" w:eastAsia="Times New Roman" w:hAnsi="Arial"/>
          <w:sz w:val="22"/>
          <w:szCs w:val="22"/>
          <w:lang w:val="en-US"/>
        </w:rPr>
      </w:pPr>
    </w:p>
    <w:p w14:paraId="000000CB">
      <w:pPr>
        <w:spacing w:before="100" w:after="100" w:line="240" w:lineRule="auto"/>
        <w:rPr>
          <w:rFonts w:ascii="Arial" w:cs="Arial" w:eastAsia="Times New Roman" w:hAnsi="Arial"/>
          <w:color w:val="000000"/>
          <w:sz w:val="22"/>
          <w:szCs w:val="22"/>
          <w:lang w:eastAsia="fr-FR"/>
        </w:rPr>
      </w:pPr>
      <w:r>
        <w:rPr>
          <w:rFonts w:ascii="Arial" w:cs="Arial" w:eastAsia="Times New Roman" w:hAnsi="Arial"/>
          <w:sz w:val="22"/>
          <w:szCs w:val="22"/>
          <w:lang w:val="en-US"/>
        </w:rPr>
        <w:t> </w:t>
      </w:r>
    </w:p>
    <w:p w14:paraId="000000CC">
      <w:pPr>
        <w:pStyle w:val="Normal(Web)"/>
        <w:rPr>
          <w:rFonts w:ascii="Arial" w:cs="Arial" w:hAnsi="Arial"/>
          <w:sz w:val="22"/>
          <w:szCs w:val="22"/>
        </w:rPr>
      </w:pPr>
    </w:p>
    <w:p w14:paraId="000000CD">
      <w:pPr>
        <w:rPr>
          <w:rFonts w:ascii="Arial" w:cs="Arial" w:hAnsi="Arial"/>
          <w:sz w:val="22"/>
          <w:szCs w:val="22"/>
          <w:lang w:val="en-US"/>
        </w:rPr>
      </w:pPr>
    </w:p>
    <w:p w14:paraId="000000CE">
      <w:pPr>
        <w:pStyle w:val="Normal(Web)"/>
        <w:rPr>
          <w:rFonts w:ascii="Arial" w:cs="Arial" w:hAnsi="Arial"/>
          <w:b/>
          <w:bCs/>
          <w:sz w:val="22"/>
          <w:szCs w:val="22"/>
          <w:u w:val="single"/>
        </w:rPr>
      </w:pPr>
      <w:r>
        <w:rPr>
          <w:rFonts w:ascii="Arial" w:cs="Arial" w:hAnsi="Arial"/>
          <w:b/>
          <w:bCs/>
          <w:sz w:val="22"/>
          <w:szCs w:val="22"/>
          <w:u w:val="single"/>
        </w:rPr>
        <w:t>REFERENCE LIST</w:t>
      </w:r>
    </w:p>
    <w:p w14:paraId="000000CF">
      <w:pPr>
        <w:ind w:hanging="480"/>
        <w:rPr>
          <w:rFonts w:ascii="Arial" w:cs="Arial" w:eastAsia="Times New Roman" w:hAnsi="Arial"/>
          <w:sz w:val="22"/>
          <w:szCs w:val="22"/>
          <w:lang w:val="en-US"/>
        </w:rPr>
      </w:pPr>
      <w:r>
        <w:rPr>
          <w:rFonts w:ascii="Arial" w:cs="Arial" w:eastAsia="Times New Roman" w:hAnsi="Arial"/>
          <w:sz w:val="22"/>
          <w:szCs w:val="22"/>
          <w:lang w:val="en-US"/>
        </w:rPr>
        <w:t xml:space="preserve">Crossley, Sam, and </w:t>
      </w:r>
      <w:r>
        <w:rPr>
          <w:rFonts w:ascii="Arial" w:cs="Arial" w:eastAsia="Times New Roman" w:hAnsi="Arial"/>
          <w:sz w:val="22"/>
          <w:szCs w:val="22"/>
          <w:lang w:val="en-US"/>
        </w:rPr>
        <w:t>Baybutt</w:t>
      </w:r>
      <w:r>
        <w:rPr>
          <w:rFonts w:ascii="Arial" w:cs="Arial" w:eastAsia="Times New Roman" w:hAnsi="Arial"/>
          <w:sz w:val="22"/>
          <w:szCs w:val="22"/>
          <w:lang w:val="en-US"/>
        </w:rPr>
        <w:t xml:space="preserve">,(2024), “Access to Healthcare: Underserved Communities,” </w:t>
      </w:r>
      <w:r>
        <w:rPr>
          <w:rFonts w:ascii="Arial" w:cs="Arial" w:eastAsia="Times New Roman" w:hAnsi="Arial"/>
          <w:i/>
          <w:iCs/>
          <w:sz w:val="22"/>
          <w:szCs w:val="22"/>
          <w:lang w:val="en-US"/>
        </w:rPr>
        <w:t>International Journal of Health Promotion and Education.</w:t>
      </w:r>
    </w:p>
    <w:p w14:paraId="000000D0">
      <w:pPr>
        <w:ind w:hanging="480"/>
        <w:rPr>
          <w:rFonts w:eastAsia="Times New Roman"/>
          <w:color w:val="000000"/>
          <w:lang w:val="en-US"/>
        </w:rPr>
      </w:pPr>
      <w:r>
        <w:rPr>
          <w:rFonts w:eastAsia="Times New Roman"/>
          <w:i/>
          <w:iCs/>
          <w:color w:val="000000"/>
          <w:lang w:val="en-US"/>
        </w:rPr>
        <w:t xml:space="preserve">Designing Digital Health Services with People and Communities </w:t>
      </w:r>
      <w:r>
        <w:rPr>
          <w:rFonts w:eastAsia="Times New Roman"/>
          <w:i/>
          <w:iCs/>
          <w:color w:val="000000"/>
          <w:lang w:val="en-US"/>
        </w:rPr>
        <w:t>The</w:t>
      </w:r>
      <w:r>
        <w:rPr>
          <w:rFonts w:eastAsia="Times New Roman"/>
          <w:i/>
          <w:iCs/>
          <w:color w:val="000000"/>
          <w:lang w:val="en-US"/>
        </w:rPr>
        <w:t xml:space="preserve"> Role of National and ICS Leaders Key Findings Why Does Designing Services with People Matter?</w:t>
      </w:r>
      <w:r>
        <w:rPr>
          <w:rFonts w:eastAsia="Times New Roman"/>
          <w:color w:val="000000"/>
          <w:lang w:val="en-US"/>
        </w:rPr>
        <w:t xml:space="preserve"> www.kingsfun</w:t>
      </w:r>
      <w:r>
        <w:rPr>
          <w:rFonts w:eastAsia="Times New Roman"/>
          <w:color w:val="000000"/>
          <w:lang w:val="en-US"/>
        </w:rPr>
        <w:t>d.org.uk</w:t>
      </w:r>
    </w:p>
    <w:p w14:paraId="000000D1">
      <w:pPr>
        <w:ind w:hanging="480"/>
        <w:rPr>
          <w:rFonts w:ascii="Arial" w:cs="Arial" w:eastAsia="Times New Roman" w:hAnsi="Arial"/>
          <w:sz w:val="22"/>
          <w:szCs w:val="22"/>
          <w:lang w:val="en-US"/>
        </w:rPr>
      </w:pPr>
      <w:r>
        <w:rPr>
          <w:rFonts w:ascii="Arial" w:cs="Arial" w:eastAsia="Times New Roman" w:hAnsi="Arial"/>
          <w:sz w:val="22"/>
          <w:szCs w:val="22"/>
          <w:lang w:val="en-US"/>
        </w:rPr>
        <w:t>Gibbs,G.(1988) Learning by doing: A Guide to Teaching and Learning Methods.</w:t>
      </w:r>
    </w:p>
    <w:p w14:paraId="000000D2">
      <w:pPr>
        <w:ind w:hanging="480"/>
        <w:rPr>
          <w:rFonts w:eastAsia="Times New Roman"/>
          <w:color w:val="000000"/>
          <w:lang w:val="en-US"/>
        </w:rPr>
      </w:pPr>
      <w:r>
        <w:rPr>
          <w:rFonts w:eastAsia="Times New Roman"/>
          <w:color w:val="000000"/>
          <w:lang w:val="en-US"/>
        </w:rPr>
        <w:t>‘NHS England ,(2025)</w:t>
      </w:r>
      <w:r>
        <w:rPr>
          <w:rFonts w:eastAsia="Times New Roman"/>
          <w:color w:val="000000"/>
          <w:lang w:val="en-US"/>
        </w:rPr>
        <w:t xml:space="preserve"> Quality and Outcomes Framework Guidance for 2023/24’.</w:t>
      </w:r>
    </w:p>
    <w:p w14:paraId="000000D3">
      <w:pPr>
        <w:ind w:hanging="480"/>
        <w:rPr>
          <w:rFonts w:ascii="Arial" w:cs="Arial" w:eastAsia="Times New Roman" w:hAnsi="Arial"/>
          <w:sz w:val="22"/>
          <w:szCs w:val="22"/>
          <w:lang w:val="en-US"/>
        </w:rPr>
      </w:pPr>
      <w:r>
        <w:rPr>
          <w:rFonts w:ascii="Arial" w:cs="Arial" w:eastAsia="Times New Roman" w:hAnsi="Arial"/>
          <w:sz w:val="22"/>
          <w:szCs w:val="22"/>
          <w:lang w:val="en-US"/>
        </w:rPr>
        <w:t>“NHS England, (2025) NHS Leadership Competency Framework for Board Members</w:t>
      </w:r>
    </w:p>
    <w:p w14:paraId="000000D4">
      <w:pPr>
        <w:ind w:hanging="480"/>
        <w:rPr>
          <w:rFonts w:eastAsia="Times New Roman"/>
          <w:color w:val="000000"/>
          <w:lang w:val="en-US"/>
        </w:rPr>
      </w:pPr>
      <w:r>
        <w:rPr>
          <w:rFonts w:ascii="Arial" w:cs="Arial" w:eastAsia="Times New Roman" w:hAnsi="Arial"/>
          <w:sz w:val="22"/>
          <w:szCs w:val="22"/>
          <w:lang w:val="en-US"/>
        </w:rPr>
        <w:t>Powis</w:t>
      </w:r>
      <w:r>
        <w:rPr>
          <w:rFonts w:ascii="Arial" w:cs="Arial" w:eastAsia="Times New Roman" w:hAnsi="Arial"/>
          <w:sz w:val="22"/>
          <w:szCs w:val="22"/>
          <w:lang w:val="en-US"/>
        </w:rPr>
        <w:t xml:space="preserve">, Steve, (2020) </w:t>
      </w:r>
      <w:r>
        <w:rPr>
          <w:rFonts w:ascii="Arial" w:cs="Arial" w:eastAsia="Times New Roman" w:hAnsi="Arial"/>
          <w:i/>
          <w:iCs/>
          <w:sz w:val="22"/>
          <w:szCs w:val="22"/>
          <w:lang w:val="en-US"/>
        </w:rPr>
        <w:t>NHS England and NHS Improvement Board Meetings Held in Common NHS England and NHS Improvement Paper Title: Clinical Innovations during COVID-19 Agenda Item.</w:t>
      </w:r>
    </w:p>
    <w:p w14:paraId="000000D5">
      <w:pPr>
        <w:ind w:hanging="480"/>
        <w:rPr>
          <w:rFonts w:ascii="Arial" w:cs="Arial" w:eastAsia="Times New Roman" w:hAnsi="Arial"/>
          <w:sz w:val="22"/>
          <w:szCs w:val="22"/>
          <w:lang w:val="en-US"/>
        </w:rPr>
      </w:pPr>
      <w:r>
        <w:rPr>
          <w:rFonts w:ascii="Arial" w:cs="Arial" w:eastAsia="Times New Roman" w:hAnsi="Arial"/>
          <w:sz w:val="22"/>
          <w:szCs w:val="22"/>
          <w:lang w:val="en-US"/>
        </w:rPr>
        <w:t>Silva</w:t>
      </w:r>
      <w:r>
        <w:rPr>
          <w:rFonts w:ascii="Arial" w:cs="Arial" w:eastAsia="Times New Roman" w:hAnsi="Arial"/>
          <w:sz w:val="22"/>
          <w:szCs w:val="22"/>
          <w:lang w:val="en-US"/>
        </w:rPr>
        <w:t xml:space="preserve"> et al.(2025) “Experiences of Antibiotic Use and Healthcare Access among Migrants to the UK.</w:t>
      </w:r>
    </w:p>
    <w:p w14:paraId="000000D6">
      <w:pPr>
        <w:ind w:hanging="480"/>
        <w:rPr>
          <w:rFonts w:ascii="Arial" w:cs="Arial" w:eastAsia="Times New Roman" w:hAnsi="Arial"/>
          <w:sz w:val="22"/>
          <w:szCs w:val="22"/>
          <w:lang w:val="en-US"/>
        </w:rPr>
      </w:pPr>
      <w:r>
        <w:rPr>
          <w:rFonts w:eastAsia="Times New Roman"/>
          <w:color w:val="000000"/>
          <w:lang w:val="en-US"/>
        </w:rPr>
        <w:t xml:space="preserve">‘The Digital Revolution(2025) Eight Technologies That Will Change Health </w:t>
      </w:r>
      <w:r>
        <w:rPr>
          <w:rFonts w:eastAsia="Times New Roman"/>
          <w:color w:val="000000"/>
          <w:lang w:val="en-US"/>
        </w:rPr>
        <w:t>And</w:t>
      </w:r>
      <w:r>
        <w:rPr>
          <w:rFonts w:eastAsia="Times New Roman"/>
          <w:color w:val="000000"/>
          <w:lang w:val="en-US"/>
        </w:rPr>
        <w:t xml:space="preserve"> Care | The King’s Fund. </w:t>
      </w:r>
    </w:p>
    <w:p w14:paraId="000000D7">
      <w:pPr>
        <w:ind w:hanging="480"/>
        <w:rPr>
          <w:rFonts w:ascii="Arial" w:cs="Arial" w:eastAsia="Times New Roman" w:hAnsi="Arial"/>
          <w:sz w:val="22"/>
          <w:szCs w:val="22"/>
          <w:lang w:val="en-US"/>
        </w:rPr>
      </w:pPr>
    </w:p>
    <w:p w14:paraId="000000D8">
      <w:pPr>
        <w:spacing w:before="100" w:after="100" w:line="240" w:lineRule="auto"/>
        <w:rPr>
          <w:rFonts w:ascii="Arial" w:cs="Arial" w:eastAsia="Times New Roman" w:hAnsi="Arial"/>
          <w:color w:val="000000"/>
          <w:sz w:val="22"/>
          <w:szCs w:val="22"/>
          <w:lang w:eastAsia="fr-FR"/>
        </w:rPr>
      </w:pPr>
      <w:r>
        <w:rPr>
          <w:rFonts w:ascii="Arial" w:cs="Arial" w:eastAsia="Times New Roman" w:hAnsi="Arial"/>
          <w:sz w:val="22"/>
          <w:szCs w:val="22"/>
          <w:lang w:val="en-US"/>
        </w:rPr>
        <w:t> </w:t>
      </w:r>
    </w:p>
    <w:p w14:paraId="000000D9">
      <w:pPr>
        <w:pStyle w:val="Normal(Web)"/>
        <w:rPr>
          <w:rFonts w:ascii="Arial" w:cs="Arial" w:hAnsi="Arial"/>
          <w:sz w:val="22"/>
          <w:szCs w:val="22"/>
        </w:rPr>
      </w:pPr>
    </w:p>
    <w:p w14:paraId="000000DA">
      <w:pPr>
        <w:rPr>
          <w:rFonts w:ascii="Arial" w:cs="Arial" w:hAnsi="Arial"/>
          <w:sz w:val="22"/>
          <w:szCs w:val="22"/>
          <w:lang w:val="en-US"/>
        </w:rPr>
      </w:pPr>
    </w:p>
    <w:p w14:paraId="000000DB">
      <w:pPr>
        <w:rPr>
          <w:rFonts w:ascii="Arial" w:cs="Arial" w:hAnsi="Arial"/>
          <w:sz w:val="22"/>
          <w:szCs w:val="22"/>
          <w:lang w:val="en-US"/>
        </w:rPr>
      </w:pPr>
    </w:p>
    <w:p w14:paraId="000000DC">
      <w:pPr>
        <w:rPr>
          <w:rFonts w:ascii="Arial" w:cs="Arial" w:hAnsi="Arial"/>
          <w:sz w:val="22"/>
          <w:szCs w:val="22"/>
          <w:lang w:val="en-US"/>
        </w:rPr>
      </w:pPr>
    </w:p>
    <w:p w14:paraId="000000DD">
      <w:pPr>
        <w:rPr>
          <w:rFonts w:ascii="Arial" w:cs="Arial" w:eastAsia="Aptos" w:hAnsi="Arial"/>
          <w:color w:val="000000" w:themeColor="text1"/>
          <w:sz w:val="22"/>
          <w:szCs w:val="22"/>
        </w:rPr>
      </w:pPr>
    </w:p>
    <w:p w14:paraId="000000DE">
      <w:pPr>
        <w:rPr>
          <w:rFonts w:ascii="Arial" w:cs="Arial" w:eastAsia="Aptos" w:hAnsi="Arial"/>
          <w:color w:val="000000" w:themeColor="text1"/>
          <w:sz w:val="22"/>
          <w:szCs w:val="22"/>
        </w:rPr>
      </w:pPr>
    </w:p>
    <w:p w14:paraId="000000DF">
      <w:pPr>
        <w:spacing w:before="100" w:after="100" w:line="240" w:lineRule="auto"/>
        <w:rPr>
          <w:sz w:val="44"/>
          <w:szCs w:val="44"/>
        </w:rPr>
      </w:pPr>
    </w:p>
    <w:sectPr>
      <w:pgSz w:w="12240" w:h="15840"/>
      <w:pgMar w:top="1440" w:right="1440" w:bottom="1440" w:left="154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00000000" w:usb1="00000000"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00000000" w:usb1="00000000"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Segoe UI">
    <w:charset w:val="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multiLevelType w:val="hybridMultilevel"/>
    <w:lvl w:ilvl="0" w:tentative="0">
      <w:start w:val="1"/>
      <w:numFmt w:val="bullet"/>
      <w:isLgl w:val="off"/>
      <w:suff w:val="tab"/>
      <w:lvlText w:val="-"/>
      <w:lvlJc w:val="left"/>
      <w:pPr>
        <w:ind w:left="720" w:hanging="360"/>
      </w:pPr>
      <w:rPr>
        <w:rFonts w:ascii="Calibri" w:hAnsi="Calibri"/>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1440" w:hanging="360"/>
      </w:pPr>
      <w:rPr>
        <w:rFonts w:ascii="Calibri" w:hAnsi="Calibri"/>
      </w:rPr>
    </w:lvl>
    <w:lvl w:ilvl="1" w:tentative="1">
      <w:start w:val="1"/>
      <w:numFmt w:val="bullet"/>
      <w:isLgl w:val="off"/>
      <w:suff w:val="tab"/>
      <w:lvlText w:val="o"/>
      <w:lvlJc w:val="left"/>
      <w:pPr>
        <w:ind w:left="2160" w:hanging="360"/>
      </w:pPr>
      <w:rPr>
        <w:rFonts w:ascii="Courier New" w:hAnsi="Courier New"/>
      </w:rPr>
    </w:lvl>
    <w:lvl w:ilvl="2" w:tentative="1">
      <w:start w:val="1"/>
      <w:numFmt w:val="bullet"/>
      <w:isLgl w:val="off"/>
      <w:suff w:val="tab"/>
      <w:lvlText w:val=""/>
      <w:lvlJc w:val="left"/>
      <w:pPr>
        <w:ind w:left="2880" w:hanging="360"/>
      </w:pPr>
      <w:rPr>
        <w:rFonts w:ascii="Wingdings" w:hAnsi="Wingdings"/>
      </w:rPr>
    </w:lvl>
    <w:lvl w:ilvl="3" w:tentative="1">
      <w:start w:val="1"/>
      <w:numFmt w:val="bullet"/>
      <w:isLgl w:val="off"/>
      <w:suff w:val="tab"/>
      <w:lvlText w:val=""/>
      <w:lvlJc w:val="left"/>
      <w:pPr>
        <w:ind w:left="3600" w:hanging="360"/>
      </w:pPr>
      <w:rPr>
        <w:rFonts w:ascii="Symbol" w:hAnsi="Symbol"/>
      </w:rPr>
    </w:lvl>
    <w:lvl w:ilvl="4" w:tentative="1">
      <w:start w:val="1"/>
      <w:numFmt w:val="bullet"/>
      <w:isLgl w:val="off"/>
      <w:suff w:val="tab"/>
      <w:lvlText w:val="o"/>
      <w:lvlJc w:val="left"/>
      <w:pPr>
        <w:ind w:left="4320" w:hanging="360"/>
      </w:pPr>
      <w:rPr>
        <w:rFonts w:ascii="Courier New" w:hAnsi="Courier New"/>
      </w:rPr>
    </w:lvl>
    <w:lvl w:ilvl="5" w:tentative="1">
      <w:start w:val="1"/>
      <w:numFmt w:val="bullet"/>
      <w:isLgl w:val="off"/>
      <w:suff w:val="tab"/>
      <w:lvlText w:val=""/>
      <w:lvlJc w:val="left"/>
      <w:pPr>
        <w:ind w:left="5040" w:hanging="360"/>
      </w:pPr>
      <w:rPr>
        <w:rFonts w:ascii="Wingdings" w:hAnsi="Wingdings"/>
      </w:rPr>
    </w:lvl>
    <w:lvl w:ilvl="6" w:tentative="1">
      <w:start w:val="1"/>
      <w:numFmt w:val="bullet"/>
      <w:isLgl w:val="off"/>
      <w:suff w:val="tab"/>
      <w:lvlText w:val=""/>
      <w:lvlJc w:val="left"/>
      <w:pPr>
        <w:ind w:left="5760" w:hanging="360"/>
      </w:pPr>
      <w:rPr>
        <w:rFonts w:ascii="Symbol" w:hAnsi="Symbol"/>
      </w:rPr>
    </w:lvl>
    <w:lvl w:ilvl="7" w:tentative="1">
      <w:start w:val="1"/>
      <w:numFmt w:val="bullet"/>
      <w:isLgl w:val="off"/>
      <w:suff w:val="tab"/>
      <w:lvlText w:val="o"/>
      <w:lvlJc w:val="left"/>
      <w:pPr>
        <w:ind w:left="6480" w:hanging="360"/>
      </w:pPr>
      <w:rPr>
        <w:rFonts w:ascii="Courier New" w:hAnsi="Courier New"/>
      </w:rPr>
    </w:lvl>
    <w:lvl w:ilvl="8" w:tentative="1">
      <w:start w:val="1"/>
      <w:numFmt w:val="bullet"/>
      <w:isLgl w:val="off"/>
      <w:suff w:val="tab"/>
      <w:lvlText w:val=""/>
      <w:lvlJc w:val="left"/>
      <w:pPr>
        <w:ind w:left="720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EFD"/>
    <w:rsid w:val="001C40BE"/>
    <w:rsid w:val="00255A0D"/>
    <w:rsid w:val="00337274"/>
    <w:rsid w:val="00352BC6"/>
    <w:rsid w:val="00456C61"/>
    <w:rsid w:val="00563EB8"/>
    <w:rsid w:val="00577423"/>
    <w:rsid w:val="007F0718"/>
    <w:rsid w:val="008F2FE9"/>
    <w:rsid w:val="00A507D8"/>
    <w:rsid w:val="00CA384C"/>
    <w:rsid w:val="00DC2ECF"/>
    <w:rsid w:val="00E27A2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4"/>
        <w:szCs w:val="24"/>
        <w:lang w:val="en-US" w:bidi="ar-SA" w:eastAsia="ja-JP"/>
      </w:rPr>
    </w:rPrDefault>
    <w:pPrDefault>
      <w:pPr>
        <w:spacing w:after="160" w:line="279"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paragraph" w:styleId="Heading3">
    <w:name w:val="Heading 3"/>
    <w:basedOn w:val="Normal"/>
    <w:next w:val="Normal"/>
    <w:link w:val="Heading3Char"/>
    <w:uiPriority w:val="9"/>
    <w:unhideWhenUsed w:val="on"/>
    <w:qFormat w:val="on"/>
    <w:pPr>
      <w:keepNext w:val="on"/>
      <w:keepLines w:val="on"/>
      <w:spacing w:before="160" w:after="80"/>
    </w:pPr>
    <w:rPr>
      <w:rFonts w:cstheme="majorBidi" w:eastAsiaTheme="majorEastAsia"/>
      <w:color w:val="104760" w:themeColor="accent1" w:themeShade="bf"/>
      <w:sz w:val="28"/>
      <w:szCs w:val="28"/>
    </w:rPr>
  </w:style>
  <w:style w:type="paragraph" w:styleId="Heading4">
    <w:name w:val="Heading 4"/>
    <w:basedOn w:val="Normal"/>
    <w:next w:val="Normal"/>
    <w:link w:val="Heading4Char"/>
    <w:uiPriority w:val="9"/>
    <w:unhideWhenUsed w:val="on"/>
    <w:qFormat w:val="on"/>
    <w:pPr>
      <w:keepNext w:val="on"/>
      <w:keepLines w:val="on"/>
      <w:spacing w:before="80" w:after="40"/>
    </w:pPr>
    <w:rPr>
      <w:rFonts w:cstheme="majorBidi" w:eastAsiaTheme="majorEastAsia"/>
      <w:i/>
      <w:iCs/>
      <w:color w:val="104760" w:themeColor="accent1" w:themeShade="bf"/>
    </w:rPr>
  </w:style>
  <w:style w:type="paragraph" w:styleId="Heading5">
    <w:name w:val="Heading 5"/>
    <w:basedOn w:val="Normal"/>
    <w:next w:val="Normal"/>
    <w:link w:val="Heading5Char"/>
    <w:uiPriority w:val="9"/>
    <w:unhideWhenUsed w:val="on"/>
    <w:qFormat w:val="on"/>
    <w:pPr>
      <w:keepNext w:val="on"/>
      <w:keepLines w:val="on"/>
      <w:spacing w:before="80" w:after="40"/>
    </w:pPr>
    <w:rPr>
      <w:rFonts w:cstheme="majorBidi" w:eastAsiaTheme="majorEastAsia"/>
      <w:color w:val="104760" w:themeColor="accent1" w:themeShade="bf"/>
    </w:rPr>
  </w:style>
  <w:style w:type="paragraph" w:styleId="Heading6">
    <w:name w:val="Heading 6"/>
    <w:basedOn w:val="Normal"/>
    <w:next w:val="Normal"/>
    <w:link w:val="Heading6Char"/>
    <w:uiPriority w:val="9"/>
    <w:unhideWhenUsed w:val="on"/>
    <w:qFormat w:val="on"/>
    <w:pPr>
      <w:keepNext w:val="on"/>
      <w:keepLines w:val="on"/>
      <w:spacing w:before="40" w:after="0"/>
    </w:pPr>
    <w:rPr>
      <w:rFonts w:cstheme="majorBidi" w:eastAsiaTheme="majorEastAsia"/>
      <w:i/>
      <w:iCs/>
      <w:color w:val="595959" w:themeColor="text1" w:themeTint="a6"/>
    </w:rPr>
  </w:style>
  <w:style w:type="paragraph" w:styleId="Heading7">
    <w:name w:val="Heading 7"/>
    <w:basedOn w:val="Normal"/>
    <w:next w:val="Normal"/>
    <w:link w:val="Heading7Char"/>
    <w:uiPriority w:val="9"/>
    <w:unhideWhenUsed w:val="on"/>
    <w:qFormat w:val="on"/>
    <w:pPr>
      <w:keepNext w:val="on"/>
      <w:keepLines w:val="on"/>
      <w:spacing w:before="40" w:after="0"/>
    </w:pPr>
    <w:rPr>
      <w:rFonts w:cstheme="majorBidi" w:eastAsiaTheme="majorEastAsia"/>
      <w:color w:val="595959" w:themeColor="text1" w:themeTint="a6"/>
    </w:rPr>
  </w:style>
  <w:style w:type="paragraph" w:styleId="Heading8">
    <w:name w:val="Heading 8"/>
    <w:basedOn w:val="Normal"/>
    <w:next w:val="Normal"/>
    <w:link w:val="Heading8Char"/>
    <w:uiPriority w:val="9"/>
    <w:unhideWhenUsed w:val="on"/>
    <w:qFormat w:val="on"/>
    <w:pPr>
      <w:keepNext w:val="on"/>
      <w:keepLines w:val="on"/>
      <w:spacing w:after="0"/>
    </w:pPr>
    <w:rPr>
      <w:rFonts w:cstheme="majorBidi" w:eastAsiaTheme="majorEastAsia"/>
      <w:i/>
      <w:iCs/>
      <w:color w:val="272727" w:themeColor="text1" w:themeTint="d8"/>
    </w:rPr>
  </w:style>
  <w:style w:type="paragraph" w:styleId="Heading9">
    <w:name w:val="Heading 9"/>
    <w:basedOn w:val="Normal"/>
    <w:next w:val="Normal"/>
    <w:link w:val="Heading9Char"/>
    <w:uiPriority w:val="9"/>
    <w:unhideWhenUsed w:val="on"/>
    <w:qFormat w:val="on"/>
    <w:pPr>
      <w:keepNext w:val="on"/>
      <w:keepLines w:val="on"/>
      <w:spacing w:after="0"/>
    </w:pPr>
    <w:rPr>
      <w:rFonts w:cstheme="majorBidi" w:eastAsiaTheme="majorEastAsia"/>
      <w:color w:val="272727" w:themeColor="text1" w:themeTint="d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rPr>
      <w:rFonts w:cstheme="majorBidi" w:eastAsiaTheme="majorEastAsia"/>
      <w:color w:val="104760" w:themeColor="accent1" w:themeShade="bf"/>
    </w:rPr>
  </w:style>
  <w:style w:type="character" w:customStyle="1" w:styleId="Heading6Char">
    <w:name w:val="Heading 6 Char"/>
    <w:basedOn w:val="DefaultParagraphFont"/>
    <w:link w:val="Heading6"/>
    <w:uiPriority w:val="9"/>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rPr>
      <w:rFonts w:cstheme="majorBidi" w:eastAsiaTheme="majorEastAsia"/>
      <w:color w:val="595959" w:themeColor="text1" w:themeTint="a6"/>
    </w:rPr>
  </w:style>
  <w:style w:type="character" w:customStyle="1" w:styleId="Heading8Char">
    <w:name w:val="Heading 8 Char"/>
    <w:basedOn w:val="DefaultParagraphFont"/>
    <w:link w:val="Heading8"/>
    <w:uiPriority w:val="9"/>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rPr>
      <w:rFonts w:cstheme="majorBidi" w:eastAsiaTheme="majorEastAsia"/>
      <w:color w:val="272727" w:themeColor="text1" w:themeTint="d8"/>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val="on"/>
    <w:rPr>
      <w:i/>
      <w:iCs/>
      <w:color w:val="104760"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ListParagraph">
    <w:name w:val="List Paragraph"/>
    <w:basedOn w:val="Normal"/>
    <w:uiPriority w:val="34"/>
    <w:qFormat w:val="on"/>
    <w:pPr>
      <w:ind w:left="720"/>
      <w:contextualSpacing w:val="on"/>
    </w:pPr>
  </w:style>
  <w:style w:type="character" w:styleId="Hyperlink">
    <w:name w:val="Hyperlink"/>
    <w:basedOn w:val="DefaultParagraphFont"/>
    <w:uiPriority w:val="99"/>
    <w:unhideWhenUsed w:val="on"/>
    <w:rPr>
      <w:color w:val="467886" w:themeColor="hyperlink"/>
      <w:u w:val="single"/>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styleId="FollowedHyperlink">
    <w:name w:val="FollowedHyperlink"/>
    <w:basedOn w:val="DefaultParagraphFont"/>
    <w:uiPriority w:val="99"/>
    <w:semiHidden w:val="on"/>
    <w:unhideWhenUsed w:val="on"/>
    <w:rPr>
      <w:color w:val="96607d" w:themeColor="followedHyperlink"/>
      <w:u w:val="single"/>
    </w:rPr>
  </w:style>
  <w:style w:type="table" w:styleId="TableGrid">
    <w:name w:val="Table Grid"/>
    <w:basedOn w:val="NormalTable"/>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val="on"/>
    <w:unhideWhenUsed w:val="on"/>
    <w:pPr>
      <w:spacing w:before="100" w:after="100" w:line="240" w:lineRule="auto"/>
    </w:pPr>
    <w:rPr>
      <w:rFonts w:ascii="Times New Roman" w:cs="Times New Roman" w:eastAsia="Times New Roman" w:hAnsi="Times New Roman"/>
      <w:sz w:val="24"/>
      <w:szCs w:val="24"/>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theme" Target="theme/theme1.xml"/><Relationship Id="rId2" Type="http://schemas.openxmlformats.org/officeDocument/2006/relationships/styles" Target="styles.xml"/><Relationship Id="rId29" Type="http://schemas.openxmlformats.org/officeDocument/2006/relationships/image" Target="media/image2.png"/><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9" Type="http://schemas.openxmlformats.org/officeDocument/2006/relationships/fontTable" Target="fontTable.xml"/><Relationship Id="rId4" Type="http://schemas.openxmlformats.org/officeDocument/2006/relationships/webSettings" Target="webSettings.xml"/><Relationship Id="rId8" Type="http://schemas.openxmlformats.org/officeDocument/2006/relationships/hyperlink" Target="https://www.rev.com/onlinevoicerecorder" TargetMode="Externa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376</Words>
  <Characters>2146</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Parese Ahmed</dc:creator>
  <cp:lastModifiedBy>cherry Spencer</cp:lastModifiedBy>
</cp:coreProperties>
</file>