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480" w:lineRule="auto"/>
        <w:jc w:val="center"/>
        <w:rPr>
          <w:sz w:val="40"/>
          <w:szCs w:val="40"/>
        </w:rPr>
      </w:pPr>
      <w:bookmarkStart w:colFirst="0" w:colLast="0" w:name="_v25i4lkf13ff" w:id="0"/>
      <w:bookmarkEnd w:id="0"/>
      <w:r w:rsidDel="00000000" w:rsidR="00000000" w:rsidRPr="00000000">
        <w:rPr>
          <w:rtl w:val="0"/>
        </w:rPr>
      </w:r>
    </w:p>
    <w:p w:rsidR="00000000" w:rsidDel="00000000" w:rsidP="00000000" w:rsidRDefault="00000000" w:rsidRPr="00000000" w14:paraId="00000002">
      <w:pPr>
        <w:pStyle w:val="Title"/>
        <w:spacing w:line="480" w:lineRule="auto"/>
        <w:jc w:val="center"/>
        <w:rPr>
          <w:sz w:val="40"/>
          <w:szCs w:val="40"/>
        </w:rPr>
      </w:pPr>
      <w:bookmarkStart w:colFirst="0" w:colLast="0" w:name="_iz9r0277vf3k" w:id="1"/>
      <w:bookmarkEnd w:id="1"/>
      <w:r w:rsidDel="00000000" w:rsidR="00000000" w:rsidRPr="00000000">
        <w:rPr>
          <w:rtl w:val="0"/>
        </w:rPr>
      </w:r>
    </w:p>
    <w:p w:rsidR="00000000" w:rsidDel="00000000" w:rsidP="00000000" w:rsidRDefault="00000000" w:rsidRPr="00000000" w14:paraId="00000003">
      <w:pPr>
        <w:pStyle w:val="Title"/>
        <w:spacing w:line="480" w:lineRule="auto"/>
        <w:jc w:val="center"/>
        <w:rPr>
          <w:sz w:val="40"/>
          <w:szCs w:val="40"/>
        </w:rPr>
      </w:pPr>
      <w:bookmarkStart w:colFirst="0" w:colLast="0" w:name="_vzkhwdxuarua" w:id="2"/>
      <w:bookmarkEnd w:id="2"/>
      <w:r w:rsidDel="00000000" w:rsidR="00000000" w:rsidRPr="00000000">
        <w:rPr>
          <w:sz w:val="40"/>
          <w:szCs w:val="40"/>
          <w:rtl w:val="0"/>
        </w:rPr>
        <w:t xml:space="preserve">Evidence-Based Policing and Applications </w:t>
      </w:r>
    </w:p>
    <w:p w:rsidR="00000000" w:rsidDel="00000000" w:rsidP="00000000" w:rsidRDefault="00000000" w:rsidRPr="00000000" w14:paraId="00000004">
      <w:pPr>
        <w:pStyle w:val="Heading2"/>
        <w:spacing w:line="480" w:lineRule="auto"/>
        <w:jc w:val="center"/>
        <w:rPr/>
      </w:pPr>
      <w:bookmarkStart w:colFirst="0" w:colLast="0" w:name="_c5144bbwypfy" w:id="3"/>
      <w:bookmarkEnd w:id="3"/>
      <w:r w:rsidDel="00000000" w:rsidR="00000000" w:rsidRPr="00000000">
        <w:rPr>
          <w:rtl w:val="0"/>
        </w:rPr>
        <w:t xml:space="preserve">Criminology</w:t>
      </w:r>
    </w:p>
    <w:p w:rsidR="00000000" w:rsidDel="00000000" w:rsidP="00000000" w:rsidRDefault="00000000" w:rsidRPr="00000000" w14:paraId="00000005">
      <w:pPr>
        <w:spacing w:line="480" w:lineRule="auto"/>
        <w:jc w:val="center"/>
        <w:rPr/>
      </w:pPr>
      <w:r w:rsidDel="00000000" w:rsidR="00000000" w:rsidRPr="00000000">
        <w:rPr>
          <w:rtl w:val="0"/>
        </w:rPr>
      </w:r>
    </w:p>
    <w:p w:rsidR="00000000" w:rsidDel="00000000" w:rsidP="00000000" w:rsidRDefault="00000000" w:rsidRPr="00000000" w14:paraId="00000006">
      <w:pPr>
        <w:spacing w:line="480" w:lineRule="auto"/>
        <w:jc w:val="center"/>
        <w:rPr/>
      </w:pPr>
      <w:r w:rsidDel="00000000" w:rsidR="00000000" w:rsidRPr="00000000">
        <w:rPr>
          <w:rtl w:val="0"/>
        </w:rPr>
      </w:r>
    </w:p>
    <w:p w:rsidR="00000000" w:rsidDel="00000000" w:rsidP="00000000" w:rsidRDefault="00000000" w:rsidRPr="00000000" w14:paraId="00000007">
      <w:pPr>
        <w:spacing w:line="480" w:lineRule="auto"/>
        <w:jc w:val="center"/>
        <w:rPr/>
      </w:pPr>
      <w:r w:rsidDel="00000000" w:rsidR="00000000" w:rsidRPr="00000000">
        <w:rPr>
          <w:rtl w:val="0"/>
        </w:rPr>
      </w:r>
    </w:p>
    <w:p w:rsidR="00000000" w:rsidDel="00000000" w:rsidP="00000000" w:rsidRDefault="00000000" w:rsidRPr="00000000" w14:paraId="00000008">
      <w:pPr>
        <w:spacing w:line="480" w:lineRule="auto"/>
        <w:jc w:val="center"/>
        <w:rPr/>
      </w:pPr>
      <w:r w:rsidDel="00000000" w:rsidR="00000000" w:rsidRPr="00000000">
        <w:rPr>
          <w:rtl w:val="0"/>
        </w:rPr>
      </w:r>
    </w:p>
    <w:p w:rsidR="00000000" w:rsidDel="00000000" w:rsidP="00000000" w:rsidRDefault="00000000" w:rsidRPr="00000000" w14:paraId="00000009">
      <w:pPr>
        <w:spacing w:line="480" w:lineRule="auto"/>
        <w:jc w:val="center"/>
        <w:rPr/>
      </w:pPr>
      <w:r w:rsidDel="00000000" w:rsidR="00000000" w:rsidRPr="00000000">
        <w:rPr>
          <w:rtl w:val="0"/>
        </w:rPr>
      </w:r>
    </w:p>
    <w:p w:rsidR="00000000" w:rsidDel="00000000" w:rsidP="00000000" w:rsidRDefault="00000000" w:rsidRPr="00000000" w14:paraId="0000000A">
      <w:pPr>
        <w:spacing w:line="480" w:lineRule="auto"/>
        <w:jc w:val="center"/>
        <w:rPr/>
      </w:pPr>
      <w:r w:rsidDel="00000000" w:rsidR="00000000" w:rsidRPr="00000000">
        <w:rPr>
          <w:rtl w:val="0"/>
        </w:rPr>
      </w:r>
    </w:p>
    <w:p w:rsidR="00000000" w:rsidDel="00000000" w:rsidP="00000000" w:rsidRDefault="00000000" w:rsidRPr="00000000" w14:paraId="0000000B">
      <w:pPr>
        <w:spacing w:line="480" w:lineRule="auto"/>
        <w:jc w:val="center"/>
        <w:rPr/>
      </w:pPr>
      <w:r w:rsidDel="00000000" w:rsidR="00000000" w:rsidRPr="00000000">
        <w:rPr>
          <w:rtl w:val="0"/>
        </w:rPr>
      </w:r>
    </w:p>
    <w:p w:rsidR="00000000" w:rsidDel="00000000" w:rsidP="00000000" w:rsidRDefault="00000000" w:rsidRPr="00000000" w14:paraId="0000000C">
      <w:pPr>
        <w:spacing w:line="480" w:lineRule="auto"/>
        <w:jc w:val="center"/>
        <w:rPr/>
      </w:pPr>
      <w:r w:rsidDel="00000000" w:rsidR="00000000" w:rsidRPr="00000000">
        <w:rPr>
          <w:rtl w:val="0"/>
        </w:rPr>
      </w:r>
    </w:p>
    <w:p w:rsidR="00000000" w:rsidDel="00000000" w:rsidP="00000000" w:rsidRDefault="00000000" w:rsidRPr="00000000" w14:paraId="0000000D">
      <w:pPr>
        <w:spacing w:line="480" w:lineRule="auto"/>
        <w:jc w:val="center"/>
        <w:rPr/>
      </w:pPr>
      <w:r w:rsidDel="00000000" w:rsidR="00000000" w:rsidRPr="00000000">
        <w:rPr>
          <w:rtl w:val="0"/>
        </w:rPr>
      </w:r>
    </w:p>
    <w:p w:rsidR="00000000" w:rsidDel="00000000" w:rsidP="00000000" w:rsidRDefault="00000000" w:rsidRPr="00000000" w14:paraId="0000000E">
      <w:pPr>
        <w:spacing w:line="480" w:lineRule="auto"/>
        <w:jc w:val="center"/>
        <w:rPr/>
      </w:pPr>
      <w:r w:rsidDel="00000000" w:rsidR="00000000" w:rsidRPr="00000000">
        <w:rPr>
          <w:rtl w:val="0"/>
        </w:rPr>
      </w:r>
    </w:p>
    <w:p w:rsidR="00000000" w:rsidDel="00000000" w:rsidP="00000000" w:rsidRDefault="00000000" w:rsidRPr="00000000" w14:paraId="0000000F">
      <w:pPr>
        <w:spacing w:line="480" w:lineRule="auto"/>
        <w:jc w:val="center"/>
        <w:rPr/>
      </w:pPr>
      <w:r w:rsidDel="00000000" w:rsidR="00000000" w:rsidRPr="00000000">
        <w:rPr>
          <w:rtl w:val="0"/>
        </w:rPr>
      </w:r>
    </w:p>
    <w:p w:rsidR="00000000" w:rsidDel="00000000" w:rsidP="00000000" w:rsidRDefault="00000000" w:rsidRPr="00000000" w14:paraId="00000010">
      <w:pPr>
        <w:spacing w:line="480" w:lineRule="auto"/>
        <w:jc w:val="center"/>
        <w:rPr/>
      </w:pPr>
      <w:r w:rsidDel="00000000" w:rsidR="00000000" w:rsidRPr="00000000">
        <w:rPr>
          <w:rtl w:val="0"/>
        </w:rPr>
      </w:r>
    </w:p>
    <w:p w:rsidR="00000000" w:rsidDel="00000000" w:rsidP="00000000" w:rsidRDefault="00000000" w:rsidRPr="00000000" w14:paraId="00000011">
      <w:pPr>
        <w:spacing w:line="480" w:lineRule="auto"/>
        <w:jc w:val="center"/>
        <w:rPr/>
      </w:pPr>
      <w:r w:rsidDel="00000000" w:rsidR="00000000" w:rsidRPr="00000000">
        <w:rPr>
          <w:rtl w:val="0"/>
        </w:rPr>
      </w:r>
    </w:p>
    <w:p w:rsidR="00000000" w:rsidDel="00000000" w:rsidP="00000000" w:rsidRDefault="00000000" w:rsidRPr="00000000" w14:paraId="00000012">
      <w:pPr>
        <w:spacing w:line="480" w:lineRule="auto"/>
        <w:jc w:val="center"/>
        <w:rPr/>
      </w:pPr>
      <w:r w:rsidDel="00000000" w:rsidR="00000000" w:rsidRPr="00000000">
        <w:rPr>
          <w:rtl w:val="0"/>
        </w:rPr>
      </w:r>
    </w:p>
    <w:p w:rsidR="00000000" w:rsidDel="00000000" w:rsidP="00000000" w:rsidRDefault="00000000" w:rsidRPr="00000000" w14:paraId="00000013">
      <w:pPr>
        <w:spacing w:line="480" w:lineRule="auto"/>
        <w:jc w:val="center"/>
        <w:rPr/>
      </w:pPr>
      <w:r w:rsidDel="00000000" w:rsidR="00000000" w:rsidRPr="00000000">
        <w:rPr>
          <w:rtl w:val="0"/>
        </w:rPr>
      </w:r>
    </w:p>
    <w:p w:rsidR="00000000" w:rsidDel="00000000" w:rsidP="00000000" w:rsidRDefault="00000000" w:rsidRPr="00000000" w14:paraId="00000014">
      <w:pPr>
        <w:spacing w:line="480" w:lineRule="auto"/>
        <w:rPr/>
      </w:pPr>
      <w:r w:rsidDel="00000000" w:rsidR="00000000" w:rsidRPr="00000000">
        <w:rPr>
          <w:rtl w:val="0"/>
        </w:rPr>
        <w:t xml:space="preserve">Student ID: 2232079</w:t>
      </w:r>
    </w:p>
    <w:p w:rsidR="00000000" w:rsidDel="00000000" w:rsidP="00000000" w:rsidRDefault="00000000" w:rsidRPr="00000000" w14:paraId="00000015">
      <w:pPr>
        <w:spacing w:line="480" w:lineRule="auto"/>
        <w:rPr/>
      </w:pPr>
      <w:r w:rsidDel="00000000" w:rsidR="00000000" w:rsidRPr="00000000">
        <w:rPr>
          <w:rtl w:val="0"/>
        </w:rPr>
        <w:t xml:space="preserve">Lecturers: Luke Roach</w:t>
      </w:r>
    </w:p>
    <w:p w:rsidR="00000000" w:rsidDel="00000000" w:rsidP="00000000" w:rsidRDefault="00000000" w:rsidRPr="00000000" w14:paraId="00000016">
      <w:pPr>
        <w:spacing w:line="480" w:lineRule="auto"/>
        <w:rPr>
          <w:color w:val="ff0000"/>
        </w:rPr>
      </w:pPr>
      <w:r w:rsidDel="00000000" w:rsidR="00000000" w:rsidRPr="00000000">
        <w:rPr>
          <w:rtl w:val="0"/>
        </w:rPr>
        <w:t xml:space="preserve">Word Count: 2055</w:t>
      </w:r>
      <w:r w:rsidDel="00000000" w:rsidR="00000000" w:rsidRPr="00000000">
        <w:rPr>
          <w:rtl w:val="0"/>
        </w:rPr>
      </w:r>
    </w:p>
    <w:p w:rsidR="00000000" w:rsidDel="00000000" w:rsidP="00000000" w:rsidRDefault="00000000" w:rsidRPr="00000000" w14:paraId="00000017">
      <w:pPr>
        <w:spacing w:line="480" w:lineRule="auto"/>
        <w:rPr/>
      </w:pPr>
      <w:r w:rsidDel="00000000" w:rsidR="00000000" w:rsidRPr="00000000">
        <w:rPr>
          <w:rtl w:val="0"/>
        </w:rPr>
        <w:t xml:space="preserve">Submission due date: 10th March 2023</w:t>
      </w:r>
    </w:p>
    <w:p w:rsidR="00000000" w:rsidDel="00000000" w:rsidP="00000000" w:rsidRDefault="00000000" w:rsidRPr="00000000" w14:paraId="00000018">
      <w:pPr>
        <w:spacing w:line="480" w:lineRule="auto"/>
        <w:rPr/>
      </w:pPr>
      <w:r w:rsidDel="00000000" w:rsidR="00000000" w:rsidRPr="00000000">
        <w:rPr>
          <w:rtl w:val="0"/>
        </w:rPr>
      </w:r>
    </w:p>
    <w:p w:rsidR="00000000" w:rsidDel="00000000" w:rsidP="00000000" w:rsidRDefault="00000000" w:rsidRPr="00000000" w14:paraId="00000019">
      <w:pPr>
        <w:spacing w:line="480" w:lineRule="auto"/>
        <w:jc w:val="center"/>
        <w:rPr>
          <w:sz w:val="28"/>
          <w:szCs w:val="28"/>
        </w:rPr>
      </w:pPr>
      <w:r w:rsidDel="00000000" w:rsidR="00000000" w:rsidRPr="00000000">
        <w:rPr>
          <w:sz w:val="28"/>
          <w:szCs w:val="28"/>
          <w:rtl w:val="0"/>
        </w:rPr>
        <w:t xml:space="preserve">Introduction</w:t>
      </w:r>
    </w:p>
    <w:p w:rsidR="00000000" w:rsidDel="00000000" w:rsidP="00000000" w:rsidRDefault="00000000" w:rsidRPr="00000000" w14:paraId="0000001A">
      <w:pPr>
        <w:spacing w:line="480" w:lineRule="auto"/>
        <w:rPr/>
      </w:pPr>
      <w:r w:rsidDel="00000000" w:rsidR="00000000" w:rsidRPr="00000000">
        <w:rPr>
          <w:rtl w:val="0"/>
        </w:rPr>
      </w:r>
    </w:p>
    <w:p w:rsidR="00000000" w:rsidDel="00000000" w:rsidP="00000000" w:rsidRDefault="00000000" w:rsidRPr="00000000" w14:paraId="0000001B">
      <w:pPr>
        <w:spacing w:line="480" w:lineRule="auto"/>
        <w:jc w:val="both"/>
        <w:rPr/>
      </w:pPr>
      <w:r w:rsidDel="00000000" w:rsidR="00000000" w:rsidRPr="00000000">
        <w:rPr>
          <w:rtl w:val="0"/>
        </w:rPr>
        <w:t xml:space="preserve">Policing is a vital governmental function which aims to achieve public safety and peace by maintaining order, deterring crime and applying the law. In time, with changes in law, policies, politics, and social and technological infrastructures, the criminal justice system has experienced beneficial modernisation and has employed innovative crime deterrence strategies. Evidence-based policing is one of the modern methods that have supported law enforcement agencies such as the Metropolitan Police in establishing strategies against various crimes such as terrorism, drug trafficking, knife crime and others. The use of empirical data has proven efficient in creating, implementing and testing policing policies and in improving decision-making processes (Hinkle et al., 2020). Although the general public has an understanding of crime-prevention strategies, policing and punishment, many are unaware of the deep roots they have in traditional criminology (Lacey and Zedner, 2012; Newburn, 2013). Therefore, this essay will attempt to explore, analyse and evaluate the influence of classical criminology in the construction and implementation of evidence-based policing by using knife crime as an example of how EBP is used.  </w:t>
      </w:r>
    </w:p>
    <w:p w:rsidR="00000000" w:rsidDel="00000000" w:rsidP="00000000" w:rsidRDefault="00000000" w:rsidRPr="00000000" w14:paraId="0000001C">
      <w:pPr>
        <w:spacing w:line="480" w:lineRule="auto"/>
        <w:rPr/>
      </w:pPr>
      <w:r w:rsidDel="00000000" w:rsidR="00000000" w:rsidRPr="00000000">
        <w:rPr>
          <w:rtl w:val="0"/>
        </w:rPr>
      </w:r>
    </w:p>
    <w:p w:rsidR="00000000" w:rsidDel="00000000" w:rsidP="00000000" w:rsidRDefault="00000000" w:rsidRPr="00000000" w14:paraId="0000001D">
      <w:pPr>
        <w:spacing w:line="480" w:lineRule="auto"/>
        <w:jc w:val="both"/>
        <w:rPr/>
      </w:pPr>
      <w:r w:rsidDel="00000000" w:rsidR="00000000" w:rsidRPr="00000000">
        <w:rPr>
          <w:rtl w:val="0"/>
        </w:rPr>
        <w:t xml:space="preserve">Classic Criminology, established in the 18th century, was one of the first initiatives to theorise and determine the causes of criminal conduct, to propose non-barbaric,  proportional methods of punishment, devise a just system, policies and practices against crime (Paternoster, 2009; Hopkins, 2018). During the pre-enlightenment period criminality was perceived as a result of evil and punitive measures were barbaric. Hence,  classical criminology arose during The Enlightenment period as a means of explaining human behaviour towards criminality and establishing a balanced criminal justice system. The classical assumption was that humans are rational beings with free will, whose actions are motivated by a cost-benefit analysis thus, they are responsible for the crimes they commit (Jones, 1986; Newburn, 2013). Scholars like Montesquieu, Voltaire, Cesare Becarria and Jeremy Bentham encouraged the development of enlightened thinking and initiatives towards criminality and proportional punishment. The notion that punishments should match the seriousness of the offence has formed the cornerstone of the contemporary criminal justice systems in Europe, Australia and the USA. Hence, nowadays, practises such as capital punishment, whipping, burning, stroke infliction, ducking stools, and banishment are considered illegal and inhumane in most developed countries. Furthermore, due to the classic theories established by Cesare Beccaria and Jeremy Bentham, there was a positive switch produced in the means of punishment, changing its purpose from spreading fear to combating and preventing crime effectively (Jones, 1986; Newburn, 2013; Hopkins, 2018). </w:t>
      </w:r>
    </w:p>
    <w:p w:rsidR="00000000" w:rsidDel="00000000" w:rsidP="00000000" w:rsidRDefault="00000000" w:rsidRPr="00000000" w14:paraId="0000001E">
      <w:pPr>
        <w:spacing w:line="480" w:lineRule="auto"/>
        <w:jc w:val="both"/>
        <w:rPr/>
      </w:pPr>
      <w:r w:rsidDel="00000000" w:rsidR="00000000" w:rsidRPr="00000000">
        <w:rPr>
          <w:rtl w:val="0"/>
        </w:rPr>
      </w:r>
    </w:p>
    <w:p w:rsidR="00000000" w:rsidDel="00000000" w:rsidP="00000000" w:rsidRDefault="00000000" w:rsidRPr="00000000" w14:paraId="0000001F">
      <w:pPr>
        <w:spacing w:line="480" w:lineRule="auto"/>
        <w:jc w:val="both"/>
        <w:rPr/>
      </w:pPr>
      <w:r w:rsidDel="00000000" w:rsidR="00000000" w:rsidRPr="00000000">
        <w:rPr>
          <w:highlight w:val="white"/>
          <w:rtl w:val="0"/>
        </w:rPr>
        <w:t xml:space="preserve">Cesare Beccaria, known as the father of criminology was the first to argue that a utilitarian reform would be more effective in deterring crime and improving the criminal justice system. In his work </w:t>
      </w:r>
      <w:r w:rsidDel="00000000" w:rsidR="00000000" w:rsidRPr="00000000">
        <w:rPr>
          <w:i w:val="1"/>
          <w:highlight w:val="white"/>
          <w:rtl w:val="0"/>
        </w:rPr>
        <w:t xml:space="preserve">Essay on Crimes and Punishments </w:t>
      </w:r>
      <w:r w:rsidDel="00000000" w:rsidR="00000000" w:rsidRPr="00000000">
        <w:rPr>
          <w:highlight w:val="white"/>
          <w:rtl w:val="0"/>
        </w:rPr>
        <w:t xml:space="preserve">(1764), he emphasised the negative effects of excessive, barbaric, and inconsistent punitive measures, arguing that such approaches only increase criminality (Newburn, 2013). Notably, Beccaria's classical criminal jurisprudence presented a humanitarian perspective, highlighting the importance of equality, consistency, and prompt action. </w:t>
      </w:r>
      <w:r w:rsidDel="00000000" w:rsidR="00000000" w:rsidRPr="00000000">
        <w:rPr>
          <w:rtl w:val="0"/>
        </w:rPr>
        <w:t xml:space="preserve">Moreover, Beccaria argued that punishment and law should be clearly stated and importantly, proportionate to the crime. He proposed replacing corporal punishments with life-long prison sentences and claimed that would be more beneficial in decreasing crime (Pratt, Gau and Franklin, 2011).</w:t>
      </w:r>
    </w:p>
    <w:p w:rsidR="00000000" w:rsidDel="00000000" w:rsidP="00000000" w:rsidRDefault="00000000" w:rsidRPr="00000000" w14:paraId="00000020">
      <w:pPr>
        <w:spacing w:after="240" w:before="240" w:line="480" w:lineRule="auto"/>
        <w:jc w:val="both"/>
        <w:rPr/>
      </w:pPr>
      <w:r w:rsidDel="00000000" w:rsidR="00000000" w:rsidRPr="00000000">
        <w:rPr>
          <w:rtl w:val="0"/>
        </w:rPr>
      </w:r>
    </w:p>
    <w:p w:rsidR="00000000" w:rsidDel="00000000" w:rsidP="00000000" w:rsidRDefault="00000000" w:rsidRPr="00000000" w14:paraId="00000021">
      <w:pPr>
        <w:spacing w:after="240" w:before="240" w:line="480" w:lineRule="auto"/>
        <w:jc w:val="both"/>
        <w:rPr/>
      </w:pPr>
      <w:r w:rsidDel="00000000" w:rsidR="00000000" w:rsidRPr="00000000">
        <w:rPr>
          <w:rtl w:val="0"/>
        </w:rPr>
        <w:t xml:space="preserve">Similarly, Jeremy Bentham’s utilitarian jurisprudence on crime contributed to the development of the criminal justice system and punishment approaches. Although Bentham is universally known for his unfulfilled vision of establishing a panopticon prison, his most significant contributions to the criminal justice system are inspired by his writings on </w:t>
      </w:r>
      <w:r w:rsidDel="00000000" w:rsidR="00000000" w:rsidRPr="00000000">
        <w:rPr>
          <w:i w:val="1"/>
          <w:rtl w:val="0"/>
        </w:rPr>
        <w:t xml:space="preserve">The Principles of Morals and Legislation</w:t>
      </w:r>
      <w:r w:rsidDel="00000000" w:rsidR="00000000" w:rsidRPr="00000000">
        <w:rPr>
          <w:rtl w:val="0"/>
        </w:rPr>
        <w:t xml:space="preserve"> 1781. Bentham’s core theory emphasised the idea that humans weigh pleasures such as money, power, and sex over pain. Therefore, he proposed a punishment system where pleasure would be outweighed by pain thus, harsher punishment sentences (Bentham, 1996). Like Beccaria, the scholar believed in the effectiveness of proportionate punishment and long prison sentences as well as in the negative effects of the death penalty. However, he maintained that harsher punishments would be more successful in deterring crimes such as homicide (Newburn, 2013).</w:t>
      </w:r>
    </w:p>
    <w:p w:rsidR="00000000" w:rsidDel="00000000" w:rsidP="00000000" w:rsidRDefault="00000000" w:rsidRPr="00000000" w14:paraId="00000022">
      <w:pPr>
        <w:spacing w:after="240" w:before="240" w:line="480" w:lineRule="auto"/>
        <w:jc w:val="both"/>
        <w:rPr/>
      </w:pPr>
      <w:r w:rsidDel="00000000" w:rsidR="00000000" w:rsidRPr="00000000">
        <w:rPr>
          <w:rtl w:val="0"/>
        </w:rPr>
      </w:r>
    </w:p>
    <w:p w:rsidR="00000000" w:rsidDel="00000000" w:rsidP="00000000" w:rsidRDefault="00000000" w:rsidRPr="00000000" w14:paraId="00000023">
      <w:pPr>
        <w:spacing w:after="240" w:before="240" w:line="480" w:lineRule="auto"/>
        <w:jc w:val="both"/>
        <w:rPr/>
      </w:pPr>
      <w:r w:rsidDel="00000000" w:rsidR="00000000" w:rsidRPr="00000000">
        <w:rPr>
          <w:rtl w:val="0"/>
        </w:rPr>
        <w:t xml:space="preserve">Both Beccaria and Bentham’s classic theories had notable contributions to building today’s criminology field,  social, and legal perspectives on crime, punishment and prevention around Europe and the USA. Over the years, proportional punishments has become a fundamental component of the criminal justice system as well as, the right to a fair trial and human treatment. By the end of the 18th century,  executions and severe corporal punishments experienced a significant decline and by the 19th century, imprisonment was seen as highly effective in deterring and punishing offences (Newburn, 2013). Moreover, it can be argued that the principle of constant surveillance behind Bentham’s panopticon has inspired the creation of innovative security measures such as closed-circuit television cameras and has given birth to 24-hours surveillance (Galic, Timan and Koop, 2017). Furthermore, due to classical thinking, preventing and combating crime have become the main objectives of law enforcement agencies and have influenced governmental institutions in establishing evidence-based policing (College of Policing, 2023).</w:t>
      </w:r>
    </w:p>
    <w:p w:rsidR="00000000" w:rsidDel="00000000" w:rsidP="00000000" w:rsidRDefault="00000000" w:rsidRPr="00000000" w14:paraId="00000024">
      <w:pPr>
        <w:spacing w:line="480" w:lineRule="auto"/>
        <w:jc w:val="both"/>
        <w:rPr/>
      </w:pPr>
      <w:r w:rsidDel="00000000" w:rsidR="00000000" w:rsidRPr="00000000">
        <w:rPr>
          <w:rtl w:val="0"/>
        </w:rPr>
      </w:r>
    </w:p>
    <w:p w:rsidR="00000000" w:rsidDel="00000000" w:rsidP="00000000" w:rsidRDefault="00000000" w:rsidRPr="00000000" w14:paraId="00000025">
      <w:pPr>
        <w:spacing w:line="480" w:lineRule="auto"/>
        <w:jc w:val="both"/>
        <w:rPr/>
      </w:pPr>
      <w:r w:rsidDel="00000000" w:rsidR="00000000" w:rsidRPr="00000000">
        <w:rPr>
          <w:rtl w:val="0"/>
        </w:rPr>
        <w:t xml:space="preserve">Evidence-based policing is a strategic method used by the police to analyse and understand criminal patterns and causes by using empirical data to improve operational practices, and policing policies and take informed decisions. The scientific approach behind this method assesses and evaluates a set of elements such as data, locations and policing practices by reviewing existing research that could help in improving practices by eliminating biassed policing and deterring criminal levels (Lum and Koper, 2017; Brown et al., 2018). When conducting an EBP, law enforcement experts collaborate with academic institutions, and researchers, to provide a clear methodology, limitations and conclusions since this type of strategy places a strong emphasis on transparency, accountability, police performance and empirical research (College of Policing, 2023).</w:t>
      </w:r>
    </w:p>
    <w:p w:rsidR="00000000" w:rsidDel="00000000" w:rsidP="00000000" w:rsidRDefault="00000000" w:rsidRPr="00000000" w14:paraId="00000026">
      <w:pPr>
        <w:spacing w:line="480" w:lineRule="auto"/>
        <w:jc w:val="both"/>
        <w:rPr/>
      </w:pPr>
      <w:r w:rsidDel="00000000" w:rsidR="00000000" w:rsidRPr="00000000">
        <w:rPr>
          <w:rtl w:val="0"/>
        </w:rPr>
      </w:r>
    </w:p>
    <w:p w:rsidR="00000000" w:rsidDel="00000000" w:rsidP="00000000" w:rsidRDefault="00000000" w:rsidRPr="00000000" w14:paraId="00000027">
      <w:pPr>
        <w:spacing w:line="480" w:lineRule="auto"/>
        <w:jc w:val="both"/>
        <w:rPr/>
      </w:pPr>
      <w:r w:rsidDel="00000000" w:rsidR="00000000" w:rsidRPr="00000000">
        <w:rPr>
          <w:rtl w:val="0"/>
        </w:rPr>
        <w:t xml:space="preserve">Evidence-based policing was created by Herman Goldstein in 1979 when he developed Problem-Oriented Policing with the aim of tackling specific causes of crime, and strengthening police strategies via evaluation, empirical research, implementation and assessment. According to the available findings, problem-oriented policing can analyse a wide spectrum of crimes, causes and issues, hence, the model can be used to understand crime from a broader point of view (Lum and Koper, 2017; Brown et al., 2018). However, some experts argue that it should not be considered a crime reduction tool since it can encounter challenges in implementing its solutions (Brandon, 2015). Nevertheless, a recent review evaluated 30 studies and its findings showed that problem-oriented policing was able to reduce over 34% of crimes in the USA and Canada. Yet, the results also suggested insignificant effects on police authority, police teamwork efficiency and fear of crime (Hinkle et al., 2020). Nonetheless, POP was the first evidence-based policing to exist and to influence the development of other models such as SARA.</w:t>
      </w:r>
    </w:p>
    <w:p w:rsidR="00000000" w:rsidDel="00000000" w:rsidP="00000000" w:rsidRDefault="00000000" w:rsidRPr="00000000" w14:paraId="00000028">
      <w:pPr>
        <w:spacing w:line="480" w:lineRule="auto"/>
        <w:jc w:val="both"/>
        <w:rPr/>
      </w:pPr>
      <w:r w:rsidDel="00000000" w:rsidR="00000000" w:rsidRPr="00000000">
        <w:rPr>
          <w:rtl w:val="0"/>
        </w:rPr>
      </w:r>
    </w:p>
    <w:p w:rsidR="00000000" w:rsidDel="00000000" w:rsidP="00000000" w:rsidRDefault="00000000" w:rsidRPr="00000000" w14:paraId="00000029">
      <w:pPr>
        <w:spacing w:line="480" w:lineRule="auto"/>
        <w:jc w:val="both"/>
        <w:rPr/>
      </w:pPr>
      <w:r w:rsidDel="00000000" w:rsidR="00000000" w:rsidRPr="00000000">
        <w:rPr>
          <w:rtl w:val="0"/>
        </w:rPr>
        <w:t xml:space="preserve">The SARA policing model was created by John Eck and William Spelman in 1989 with the aims of scanning, analysing, responding and assessing crime. Identifying and prioritising issues, collecting data, using intelligence tools and assessing the effectiveness of policies and practices enables SARA to provide authorities with a broader perspective on crime (Brandon, 2015). The literature on Policing claims that SARA is a methodical policing approach that enables law enforcement agencies such as the Metropolitan Police to address crime, discover the complex causes of criminality and find customised solutions (Hinkle et al., 2020). However, the approach has been criticised for its lack of attention to detail, the tendency to simplify complex crimes and for its nonlinear process which can be time and resource consuming (Brandon, 2015). Even so, research shows that many officers do not agree with the critics' opinions. In a survey conducted by Sidebottom and Tilley (2010), it was found that more than 80% of officers preferred the SARA policing model over others, around 30% sustained they did not believe the model needed any change and 60% claimed that SARA does not simplify issues (Brandon, 2015). </w:t>
      </w:r>
    </w:p>
    <w:p w:rsidR="00000000" w:rsidDel="00000000" w:rsidP="00000000" w:rsidRDefault="00000000" w:rsidRPr="00000000" w14:paraId="0000002A">
      <w:pPr>
        <w:spacing w:line="480" w:lineRule="auto"/>
        <w:jc w:val="both"/>
        <w:rPr/>
      </w:pPr>
      <w:r w:rsidDel="00000000" w:rsidR="00000000" w:rsidRPr="00000000">
        <w:rPr>
          <w:rtl w:val="0"/>
        </w:rPr>
      </w:r>
    </w:p>
    <w:p w:rsidR="00000000" w:rsidDel="00000000" w:rsidP="00000000" w:rsidRDefault="00000000" w:rsidRPr="00000000" w14:paraId="0000002B">
      <w:pPr>
        <w:spacing w:line="480" w:lineRule="auto"/>
        <w:jc w:val="both"/>
        <w:rPr/>
      </w:pPr>
      <w:r w:rsidDel="00000000" w:rsidR="00000000" w:rsidRPr="00000000">
        <w:rPr>
          <w:rtl w:val="0"/>
        </w:rPr>
        <w:t xml:space="preserve">Nonetheless, the implementation of EBP has assisted in creating successful deterrence strategies and has influenced the increase of police accountability and transparency by providing objective measures of police performance. The use of empirical research has enabled officers in making more informed decisions on how to use resources and when to use legal powers. Thus, police awareness became more important, which led to a decrease in police misconduct, biases and discrimination. Moreover, the use of gathered data to analyse, understand patterns and create strategies has enabled the police to identify areas of biased, disproportionate policing and take measures to address these issues (Brown et al., 2018; Hinkle et al., 2020). A clear example that can show the positive effects of EBP can be given by looking at knife crime. The Cautioning and Relationship Abuse programme combined with the Cambridge Crime Harm Index are two of the tools which are used to assess homicidal crimes by the Metropolitan Police. According to Professor Lawrence Sherman, the evidence-based policing used by the Metropolitan Police to evaluate knife crime combines digital policing with longitudinal research in which big data is used and analysed to understand hotspots and risk factors (University of Cambridge, 2021). One of the research that was used to understand knife crime and to predict where the next offence might occur in London, was conducted by John Massay, Lawrence Sherman and Timothy Coupe and published in 2019. The researchers conducted a study over the course of 2 years in which the London Metropolitan Police’s records of non-fatal knife crimes from 3506 areas were reviewed between 2016 and 2017, and fatal knife crimes between 2017 and 2018 using big data. It was found that in areas where non-fatal knife crimes occurred, the risk of fatal knife crime increased by 1400% (Massay, Sherman and Coupe, 2019). Hence, the researchers recommended resource reallocation, focusing on intensive policing and patrols in risk areas since they believed that these methods can be effective in preventing people from carrying and using weapons. </w:t>
      </w:r>
    </w:p>
    <w:p w:rsidR="00000000" w:rsidDel="00000000" w:rsidP="00000000" w:rsidRDefault="00000000" w:rsidRPr="00000000" w14:paraId="0000002C">
      <w:pPr>
        <w:spacing w:line="480" w:lineRule="auto"/>
        <w:jc w:val="both"/>
        <w:rPr/>
      </w:pPr>
      <w:r w:rsidDel="00000000" w:rsidR="00000000" w:rsidRPr="00000000">
        <w:rPr>
          <w:rtl w:val="0"/>
        </w:rPr>
      </w:r>
    </w:p>
    <w:p w:rsidR="00000000" w:rsidDel="00000000" w:rsidP="00000000" w:rsidRDefault="00000000" w:rsidRPr="00000000" w14:paraId="0000002D">
      <w:pPr>
        <w:spacing w:line="480" w:lineRule="auto"/>
        <w:jc w:val="both"/>
        <w:rPr/>
      </w:pPr>
      <w:r w:rsidDel="00000000" w:rsidR="00000000" w:rsidRPr="00000000">
        <w:rPr>
          <w:rtl w:val="0"/>
        </w:rPr>
        <w:t xml:space="preserve">Since the beginning of 2019, several measures against knife crime have been taken: £200 million were invested in EBP, in funds such as the Youth Endowment, Serious Violence Duties and in County Lines Programmes. In 2021, the Metropolitan Police also introduced court orders against adults and children beginning with the age of 12 carrying knives (Home Office, 2021). However, a crucial issue that both London’s Metropolitan Police and classical criminology have in common is that they both discount decisive factors such as age, mental health, and emotional and intellectual maturity. Hence, the ability to make an informed decision. Moreover, social inequality is another factor that seems to be unnoticed by classics and consequently, by law enforcement agencies. Present statistics indicate that most knife crime offenders come from poor, single-parent families hence, it cannot be entirely argued that individuals act based on free will (British Youth Council, 2019). Therefore, although evidence-based policing comes with many benefits as discussed above, the problem is that it can be time and cost-consuming. Especially, if the focus of the research tends to overlook important factors and different individual categories. Furthermore, implementing the findings of studies can be a practical challenge if officers are not trained and if the government does not collaborate with law enforcement agencies. </w:t>
      </w:r>
    </w:p>
    <w:p w:rsidR="00000000" w:rsidDel="00000000" w:rsidP="00000000" w:rsidRDefault="00000000" w:rsidRPr="00000000" w14:paraId="0000002E">
      <w:pPr>
        <w:spacing w:line="480" w:lineRule="auto"/>
        <w:jc w:val="both"/>
        <w:rPr>
          <w:sz w:val="24"/>
          <w:szCs w:val="24"/>
        </w:rPr>
      </w:pPr>
      <w:r w:rsidDel="00000000" w:rsidR="00000000" w:rsidRPr="00000000">
        <w:rPr>
          <w:rtl w:val="0"/>
        </w:rPr>
      </w:r>
    </w:p>
    <w:p w:rsidR="00000000" w:rsidDel="00000000" w:rsidP="00000000" w:rsidRDefault="00000000" w:rsidRPr="00000000" w14:paraId="0000002F">
      <w:pPr>
        <w:spacing w:line="480" w:lineRule="auto"/>
        <w:jc w:val="both"/>
        <w:rPr>
          <w:sz w:val="24"/>
          <w:szCs w:val="24"/>
        </w:rPr>
      </w:pPr>
      <w:r w:rsidDel="00000000" w:rsidR="00000000" w:rsidRPr="00000000">
        <w:rPr>
          <w:rtl w:val="0"/>
        </w:rPr>
      </w:r>
    </w:p>
    <w:p w:rsidR="00000000" w:rsidDel="00000000" w:rsidP="00000000" w:rsidRDefault="00000000" w:rsidRPr="00000000" w14:paraId="00000030">
      <w:pPr>
        <w:spacing w:line="480" w:lineRule="auto"/>
        <w:jc w:val="center"/>
        <w:rPr>
          <w:sz w:val="28"/>
          <w:szCs w:val="28"/>
        </w:rPr>
      </w:pPr>
      <w:r w:rsidDel="00000000" w:rsidR="00000000" w:rsidRPr="00000000">
        <w:rPr>
          <w:sz w:val="28"/>
          <w:szCs w:val="28"/>
          <w:rtl w:val="0"/>
        </w:rPr>
        <w:t xml:space="preserve">Conclusion</w:t>
      </w:r>
    </w:p>
    <w:p w:rsidR="00000000" w:rsidDel="00000000" w:rsidP="00000000" w:rsidRDefault="00000000" w:rsidRPr="00000000" w14:paraId="00000031">
      <w:pPr>
        <w:spacing w:line="480" w:lineRule="auto"/>
        <w:jc w:val="center"/>
        <w:rPr/>
      </w:pPr>
      <w:r w:rsidDel="00000000" w:rsidR="00000000" w:rsidRPr="00000000">
        <w:rPr>
          <w:rtl w:val="0"/>
        </w:rPr>
      </w:r>
    </w:p>
    <w:p w:rsidR="00000000" w:rsidDel="00000000" w:rsidP="00000000" w:rsidRDefault="00000000" w:rsidRPr="00000000" w14:paraId="00000032">
      <w:pPr>
        <w:spacing w:line="480" w:lineRule="auto"/>
        <w:jc w:val="both"/>
        <w:rPr/>
      </w:pPr>
      <w:r w:rsidDel="00000000" w:rsidR="00000000" w:rsidRPr="00000000">
        <w:rPr>
          <w:rtl w:val="0"/>
        </w:rPr>
        <w:t xml:space="preserve">To conclude, it can be said that classical criminology gave birth to the modern criminal justice system and has had significant contributions to today’s policing approaches. Evidence-based policing is one of the methods that essentially share the same values with classical criminology and has proven to be successful in assisting police in making informed decisions, establishing useful policies and applying practices that help to reduce crime The empirical research used in evidence-based policing has demonstrated its effectiveness in raising police awareness, accountability, and clarity, as well as, in eliminating disproportionate punishment and police discrimination (Lum and Koper, 2017; Hinkle et al., 2020). However, the common issue that both evidence-based policing and classical criminology face is the lack of broader analysis. As discussed in this essay, evidence-based policing like classical criminology tends to overlook characteristic factors such as mental health, age and social class (Newburn, 2013).  Hence, evidence-based policing faces challenges that should be addressed to improve its long-term efficiency. Therefore, it would be recommended that law enforcement agencies invest more resources into training, research, education, and technology and in establishing stronger relationships with the community. Regular support workshops on employability, mental health, social benefits, finances and other activities in hotspots and low social class areas could particularly benefit adults, young teenagers, children and parents.</w:t>
      </w:r>
    </w:p>
    <w:p w:rsidR="00000000" w:rsidDel="00000000" w:rsidP="00000000" w:rsidRDefault="00000000" w:rsidRPr="00000000" w14:paraId="00000033">
      <w:pPr>
        <w:spacing w:line="480" w:lineRule="auto"/>
        <w:rPr/>
      </w:pPr>
      <w:r w:rsidDel="00000000" w:rsidR="00000000" w:rsidRPr="00000000">
        <w:rPr>
          <w:rtl w:val="0"/>
        </w:rPr>
      </w:r>
    </w:p>
    <w:p w:rsidR="00000000" w:rsidDel="00000000" w:rsidP="00000000" w:rsidRDefault="00000000" w:rsidRPr="00000000" w14:paraId="00000034">
      <w:pPr>
        <w:spacing w:line="480" w:lineRule="auto"/>
        <w:rPr/>
      </w:pPr>
      <w:r w:rsidDel="00000000" w:rsidR="00000000" w:rsidRPr="00000000">
        <w:rPr>
          <w:rtl w:val="0"/>
        </w:rPr>
      </w:r>
    </w:p>
    <w:p w:rsidR="00000000" w:rsidDel="00000000" w:rsidP="00000000" w:rsidRDefault="00000000" w:rsidRPr="00000000" w14:paraId="00000035">
      <w:pPr>
        <w:spacing w:line="480" w:lineRule="auto"/>
        <w:rPr/>
      </w:pPr>
      <w:r w:rsidDel="00000000" w:rsidR="00000000" w:rsidRPr="00000000">
        <w:rPr>
          <w:rtl w:val="0"/>
        </w:rPr>
      </w:r>
    </w:p>
    <w:p w:rsidR="00000000" w:rsidDel="00000000" w:rsidP="00000000" w:rsidRDefault="00000000" w:rsidRPr="00000000" w14:paraId="00000036">
      <w:pPr>
        <w:spacing w:line="480" w:lineRule="auto"/>
        <w:rPr/>
      </w:pPr>
      <w:r w:rsidDel="00000000" w:rsidR="00000000" w:rsidRPr="00000000">
        <w:rPr>
          <w:rtl w:val="0"/>
        </w:rPr>
      </w:r>
    </w:p>
    <w:p w:rsidR="00000000" w:rsidDel="00000000" w:rsidP="00000000" w:rsidRDefault="00000000" w:rsidRPr="00000000" w14:paraId="00000037">
      <w:pPr>
        <w:spacing w:line="480" w:lineRule="auto"/>
        <w:rPr/>
      </w:pPr>
      <w:r w:rsidDel="00000000" w:rsidR="00000000" w:rsidRPr="00000000">
        <w:rPr>
          <w:rtl w:val="0"/>
        </w:rPr>
      </w:r>
    </w:p>
    <w:p w:rsidR="00000000" w:rsidDel="00000000" w:rsidP="00000000" w:rsidRDefault="00000000" w:rsidRPr="00000000" w14:paraId="00000038">
      <w:pPr>
        <w:spacing w:line="480" w:lineRule="auto"/>
        <w:rPr/>
      </w:pPr>
      <w:r w:rsidDel="00000000" w:rsidR="00000000" w:rsidRPr="00000000">
        <w:rPr>
          <w:rtl w:val="0"/>
        </w:rPr>
      </w:r>
    </w:p>
    <w:p w:rsidR="00000000" w:rsidDel="00000000" w:rsidP="00000000" w:rsidRDefault="00000000" w:rsidRPr="00000000" w14:paraId="00000039">
      <w:pPr>
        <w:spacing w:line="480" w:lineRule="auto"/>
        <w:rPr/>
      </w:pPr>
      <w:r w:rsidDel="00000000" w:rsidR="00000000" w:rsidRPr="00000000">
        <w:rPr>
          <w:rtl w:val="0"/>
        </w:rPr>
      </w:r>
    </w:p>
    <w:p w:rsidR="00000000" w:rsidDel="00000000" w:rsidP="00000000" w:rsidRDefault="00000000" w:rsidRPr="00000000" w14:paraId="0000003A">
      <w:pPr>
        <w:spacing w:line="480" w:lineRule="auto"/>
        <w:rPr/>
      </w:pPr>
      <w:r w:rsidDel="00000000" w:rsidR="00000000" w:rsidRPr="00000000">
        <w:rPr>
          <w:rtl w:val="0"/>
        </w:rPr>
      </w:r>
    </w:p>
    <w:p w:rsidR="00000000" w:rsidDel="00000000" w:rsidP="00000000" w:rsidRDefault="00000000" w:rsidRPr="00000000" w14:paraId="0000003B">
      <w:pPr>
        <w:spacing w:line="480" w:lineRule="auto"/>
        <w:rPr/>
      </w:pPr>
      <w:r w:rsidDel="00000000" w:rsidR="00000000" w:rsidRPr="00000000">
        <w:rPr>
          <w:rtl w:val="0"/>
        </w:rPr>
      </w:r>
    </w:p>
    <w:p w:rsidR="00000000" w:rsidDel="00000000" w:rsidP="00000000" w:rsidRDefault="00000000" w:rsidRPr="00000000" w14:paraId="0000003C">
      <w:pPr>
        <w:spacing w:line="480" w:lineRule="auto"/>
        <w:rPr/>
      </w:pPr>
      <w:r w:rsidDel="00000000" w:rsidR="00000000" w:rsidRPr="00000000">
        <w:rPr>
          <w:rtl w:val="0"/>
        </w:rPr>
      </w:r>
    </w:p>
    <w:p w:rsidR="00000000" w:rsidDel="00000000" w:rsidP="00000000" w:rsidRDefault="00000000" w:rsidRPr="00000000" w14:paraId="0000003D">
      <w:pPr>
        <w:spacing w:line="480" w:lineRule="auto"/>
        <w:rPr/>
      </w:pPr>
      <w:r w:rsidDel="00000000" w:rsidR="00000000" w:rsidRPr="00000000">
        <w:rPr>
          <w:rtl w:val="0"/>
        </w:rPr>
      </w:r>
    </w:p>
    <w:p w:rsidR="00000000" w:rsidDel="00000000" w:rsidP="00000000" w:rsidRDefault="00000000" w:rsidRPr="00000000" w14:paraId="0000003E">
      <w:pPr>
        <w:spacing w:line="480" w:lineRule="auto"/>
        <w:rPr/>
      </w:pPr>
      <w:r w:rsidDel="00000000" w:rsidR="00000000" w:rsidRPr="00000000">
        <w:rPr>
          <w:rtl w:val="0"/>
        </w:rPr>
      </w:r>
    </w:p>
    <w:p w:rsidR="00000000" w:rsidDel="00000000" w:rsidP="00000000" w:rsidRDefault="00000000" w:rsidRPr="00000000" w14:paraId="0000003F">
      <w:pPr>
        <w:spacing w:line="480" w:lineRule="auto"/>
        <w:rPr/>
      </w:pPr>
      <w:r w:rsidDel="00000000" w:rsidR="00000000" w:rsidRPr="00000000">
        <w:rPr>
          <w:rtl w:val="0"/>
        </w:rPr>
      </w:r>
    </w:p>
    <w:p w:rsidR="00000000" w:rsidDel="00000000" w:rsidP="00000000" w:rsidRDefault="00000000" w:rsidRPr="00000000" w14:paraId="00000040">
      <w:pPr>
        <w:spacing w:line="480" w:lineRule="auto"/>
        <w:rPr/>
      </w:pPr>
      <w:r w:rsidDel="00000000" w:rsidR="00000000" w:rsidRPr="00000000">
        <w:rPr>
          <w:rtl w:val="0"/>
        </w:rPr>
      </w:r>
    </w:p>
    <w:p w:rsidR="00000000" w:rsidDel="00000000" w:rsidP="00000000" w:rsidRDefault="00000000" w:rsidRPr="00000000" w14:paraId="00000041">
      <w:pPr>
        <w:spacing w:line="480" w:lineRule="auto"/>
        <w:rPr/>
      </w:pPr>
      <w:r w:rsidDel="00000000" w:rsidR="00000000" w:rsidRPr="00000000">
        <w:rPr>
          <w:rtl w:val="0"/>
        </w:rPr>
      </w:r>
    </w:p>
    <w:p w:rsidR="00000000" w:rsidDel="00000000" w:rsidP="00000000" w:rsidRDefault="00000000" w:rsidRPr="00000000" w14:paraId="00000042">
      <w:pPr>
        <w:spacing w:line="480" w:lineRule="auto"/>
        <w:rPr/>
      </w:pPr>
      <w:r w:rsidDel="00000000" w:rsidR="00000000" w:rsidRPr="00000000">
        <w:rPr>
          <w:rtl w:val="0"/>
        </w:rPr>
      </w:r>
    </w:p>
    <w:p w:rsidR="00000000" w:rsidDel="00000000" w:rsidP="00000000" w:rsidRDefault="00000000" w:rsidRPr="00000000" w14:paraId="00000043">
      <w:pPr>
        <w:spacing w:line="480" w:lineRule="auto"/>
        <w:rPr/>
      </w:pPr>
      <w:r w:rsidDel="00000000" w:rsidR="00000000" w:rsidRPr="00000000">
        <w:rPr>
          <w:rtl w:val="0"/>
        </w:rPr>
      </w:r>
    </w:p>
    <w:p w:rsidR="00000000" w:rsidDel="00000000" w:rsidP="00000000" w:rsidRDefault="00000000" w:rsidRPr="00000000" w14:paraId="00000044">
      <w:pPr>
        <w:spacing w:line="480" w:lineRule="auto"/>
        <w:rPr/>
      </w:pPr>
      <w:r w:rsidDel="00000000" w:rsidR="00000000" w:rsidRPr="00000000">
        <w:rPr>
          <w:rtl w:val="0"/>
        </w:rPr>
      </w:r>
    </w:p>
    <w:p w:rsidR="00000000" w:rsidDel="00000000" w:rsidP="00000000" w:rsidRDefault="00000000" w:rsidRPr="00000000" w14:paraId="00000045">
      <w:pPr>
        <w:spacing w:line="480" w:lineRule="auto"/>
        <w:rPr/>
      </w:pPr>
      <w:r w:rsidDel="00000000" w:rsidR="00000000" w:rsidRPr="00000000">
        <w:rPr>
          <w:rtl w:val="0"/>
        </w:rPr>
      </w:r>
    </w:p>
    <w:p w:rsidR="00000000" w:rsidDel="00000000" w:rsidP="00000000" w:rsidRDefault="00000000" w:rsidRPr="00000000" w14:paraId="00000046">
      <w:pPr>
        <w:spacing w:line="480" w:lineRule="auto"/>
        <w:rPr/>
      </w:pPr>
      <w:r w:rsidDel="00000000" w:rsidR="00000000" w:rsidRPr="00000000">
        <w:rPr>
          <w:rtl w:val="0"/>
        </w:rPr>
      </w:r>
    </w:p>
    <w:p w:rsidR="00000000" w:rsidDel="00000000" w:rsidP="00000000" w:rsidRDefault="00000000" w:rsidRPr="00000000" w14:paraId="00000047">
      <w:pPr>
        <w:spacing w:after="240" w:before="240" w:lineRule="auto"/>
        <w:jc w:val="center"/>
        <w:rPr>
          <w:sz w:val="28"/>
          <w:szCs w:val="28"/>
        </w:rPr>
      </w:pPr>
      <w:r w:rsidDel="00000000" w:rsidR="00000000" w:rsidRPr="00000000">
        <w:rPr>
          <w:sz w:val="28"/>
          <w:szCs w:val="28"/>
          <w:rtl w:val="0"/>
        </w:rPr>
        <w:t xml:space="preserve">Bibliography </w:t>
      </w:r>
    </w:p>
    <w:p w:rsidR="00000000" w:rsidDel="00000000" w:rsidP="00000000" w:rsidRDefault="00000000" w:rsidRPr="00000000" w14:paraId="00000048">
      <w:pPr>
        <w:spacing w:after="240" w:before="240" w:lineRule="auto"/>
        <w:rPr>
          <w:color w:val="37393c"/>
          <w:sz w:val="24"/>
          <w:szCs w:val="24"/>
        </w:rPr>
      </w:pPr>
      <w:r w:rsidDel="00000000" w:rsidR="00000000" w:rsidRPr="00000000">
        <w:rPr>
          <w:rtl w:val="0"/>
        </w:rPr>
      </w:r>
    </w:p>
    <w:p w:rsidR="00000000" w:rsidDel="00000000" w:rsidP="00000000" w:rsidRDefault="00000000" w:rsidRPr="00000000" w14:paraId="00000049">
      <w:pPr>
        <w:spacing w:after="240" w:before="240" w:lineRule="auto"/>
        <w:jc w:val="both"/>
        <w:rPr/>
      </w:pPr>
      <w:r w:rsidDel="00000000" w:rsidR="00000000" w:rsidRPr="00000000">
        <w:rPr>
          <w:rtl w:val="0"/>
        </w:rPr>
        <w:t xml:space="preserve">Bentham, J. (1996) The collected works of Jeremy Bentham: An introduction to the principles of morals and legislation. Edited by J. H. Burns and H. L. A. Hart. Oxford, England: Clarendon Press.</w:t>
      </w:r>
    </w:p>
    <w:p w:rsidR="00000000" w:rsidDel="00000000" w:rsidP="00000000" w:rsidRDefault="00000000" w:rsidRPr="00000000" w14:paraId="0000004A">
      <w:pPr>
        <w:spacing w:after="240" w:before="240" w:lineRule="auto"/>
        <w:jc w:val="both"/>
        <w:rPr/>
      </w:pPr>
      <w:r w:rsidDel="00000000" w:rsidR="00000000" w:rsidRPr="00000000">
        <w:rPr>
          <w:rtl w:val="0"/>
        </w:rPr>
      </w:r>
    </w:p>
    <w:p w:rsidR="00000000" w:rsidDel="00000000" w:rsidP="00000000" w:rsidRDefault="00000000" w:rsidRPr="00000000" w14:paraId="0000004B">
      <w:pPr>
        <w:spacing w:after="240" w:before="240" w:lineRule="auto"/>
        <w:jc w:val="both"/>
        <w:rPr/>
      </w:pPr>
      <w:r w:rsidDel="00000000" w:rsidR="00000000" w:rsidRPr="00000000">
        <w:rPr>
          <w:rtl w:val="0"/>
        </w:rPr>
        <w:t xml:space="preserve">Brandon, D. (2009) “The Use and Effectiveness of Problem-Oriented Policing,” Inquiries Journal/Student Pulse, 7(4), pp. 1–4.</w:t>
      </w:r>
    </w:p>
    <w:p w:rsidR="00000000" w:rsidDel="00000000" w:rsidP="00000000" w:rsidRDefault="00000000" w:rsidRPr="00000000" w14:paraId="0000004C">
      <w:pPr>
        <w:spacing w:after="240" w:before="240" w:lineRule="auto"/>
        <w:jc w:val="both"/>
        <w:rPr/>
      </w:pPr>
      <w:r w:rsidDel="00000000" w:rsidR="00000000" w:rsidRPr="00000000">
        <w:rPr>
          <w:rtl w:val="0"/>
        </w:rPr>
      </w:r>
    </w:p>
    <w:p w:rsidR="00000000" w:rsidDel="00000000" w:rsidP="00000000" w:rsidRDefault="00000000" w:rsidRPr="00000000" w14:paraId="0000004D">
      <w:pPr>
        <w:spacing w:after="240" w:before="240" w:lineRule="auto"/>
        <w:jc w:val="both"/>
        <w:rPr/>
      </w:pPr>
      <w:r w:rsidDel="00000000" w:rsidR="00000000" w:rsidRPr="00000000">
        <w:rPr>
          <w:rtl w:val="0"/>
        </w:rPr>
        <w:t xml:space="preserve">British Youth Council (2019) Our Generation’s Epidemic: Knife Crime. Available at: https://www.byc.org.uk/wp-content/uploads/2020/02/Youth-Select-Committee-Our-Generations-Epedemic-Knife-Crime.pdf.</w:t>
      </w:r>
    </w:p>
    <w:p w:rsidR="00000000" w:rsidDel="00000000" w:rsidP="00000000" w:rsidRDefault="00000000" w:rsidRPr="00000000" w14:paraId="0000004E">
      <w:pPr>
        <w:spacing w:after="240" w:before="240" w:lineRule="auto"/>
        <w:jc w:val="both"/>
        <w:rPr/>
      </w:pPr>
      <w:r w:rsidDel="00000000" w:rsidR="00000000" w:rsidRPr="00000000">
        <w:rPr>
          <w:rtl w:val="0"/>
        </w:rPr>
      </w:r>
    </w:p>
    <w:p w:rsidR="00000000" w:rsidDel="00000000" w:rsidP="00000000" w:rsidRDefault="00000000" w:rsidRPr="00000000" w14:paraId="0000004F">
      <w:pPr>
        <w:spacing w:after="240" w:before="240" w:lineRule="auto"/>
        <w:jc w:val="both"/>
        <w:rPr/>
      </w:pPr>
      <w:r w:rsidDel="00000000" w:rsidR="00000000" w:rsidRPr="00000000">
        <w:rPr>
          <w:rtl w:val="0"/>
        </w:rPr>
        <w:t xml:space="preserve">Brown, J. et al. (2018) “Extending the remit of evidence-based policing,” International journal of police science &amp; management, 20(1), pp. 38–51. doi: 10.1177/1461355717750173.</w:t>
      </w:r>
    </w:p>
    <w:p w:rsidR="00000000" w:rsidDel="00000000" w:rsidP="00000000" w:rsidRDefault="00000000" w:rsidRPr="00000000" w14:paraId="00000050">
      <w:pPr>
        <w:spacing w:after="240" w:before="240" w:lineRule="auto"/>
        <w:jc w:val="both"/>
        <w:rPr/>
      </w:pPr>
      <w:r w:rsidDel="00000000" w:rsidR="00000000" w:rsidRPr="00000000">
        <w:rPr>
          <w:rtl w:val="0"/>
        </w:rPr>
      </w:r>
    </w:p>
    <w:p w:rsidR="00000000" w:rsidDel="00000000" w:rsidP="00000000" w:rsidRDefault="00000000" w:rsidRPr="00000000" w14:paraId="00000051">
      <w:pPr>
        <w:spacing w:after="240" w:before="240" w:lineRule="auto"/>
        <w:jc w:val="both"/>
        <w:rPr/>
      </w:pPr>
      <w:r w:rsidDel="00000000" w:rsidR="00000000" w:rsidRPr="00000000">
        <w:rPr>
          <w:rtl w:val="0"/>
        </w:rPr>
        <w:t xml:space="preserve">College of Policing (no date) Evidence-based policing, College of Policing. Available at: https://www.college.police.uk/research/evidence-based-policing-EBP (Accessed: March 1, 2023). </w:t>
      </w:r>
    </w:p>
    <w:p w:rsidR="00000000" w:rsidDel="00000000" w:rsidP="00000000" w:rsidRDefault="00000000" w:rsidRPr="00000000" w14:paraId="00000052">
      <w:pPr>
        <w:spacing w:after="240" w:before="240" w:lineRule="auto"/>
        <w:jc w:val="both"/>
        <w:rPr/>
      </w:pPr>
      <w:r w:rsidDel="00000000" w:rsidR="00000000" w:rsidRPr="00000000">
        <w:rPr>
          <w:rtl w:val="0"/>
        </w:rPr>
      </w:r>
    </w:p>
    <w:p w:rsidR="00000000" w:rsidDel="00000000" w:rsidP="00000000" w:rsidRDefault="00000000" w:rsidRPr="00000000" w14:paraId="00000053">
      <w:pPr>
        <w:spacing w:after="240" w:before="240" w:lineRule="auto"/>
        <w:jc w:val="both"/>
        <w:rPr/>
      </w:pPr>
      <w:r w:rsidDel="00000000" w:rsidR="00000000" w:rsidRPr="00000000">
        <w:rPr>
          <w:rtl w:val="0"/>
        </w:rPr>
        <w:t xml:space="preserve">Galič, M., Timan, T. and Koops, B.-J. (2017) “Bentham, Deleuze and beyond: An overview of surveillance theories from the panopticon to participation,” Philosophy &amp; technology, 30(1), pp. 9–37. doi: 10.1007/s13347-016-0219-1.</w:t>
      </w:r>
    </w:p>
    <w:p w:rsidR="00000000" w:rsidDel="00000000" w:rsidP="00000000" w:rsidRDefault="00000000" w:rsidRPr="00000000" w14:paraId="00000054">
      <w:pPr>
        <w:spacing w:after="240" w:before="240" w:lineRule="auto"/>
        <w:jc w:val="both"/>
        <w:rPr/>
      </w:pPr>
      <w:r w:rsidDel="00000000" w:rsidR="00000000" w:rsidRPr="00000000">
        <w:rPr>
          <w:rtl w:val="0"/>
        </w:rPr>
        <w:t xml:space="preserve">Hinkle, J.C. et al. (2020) “Problem‐oriented policing for reducing crime and disorder: An updated systematic review and meta‐analysis,” Campbell Systematic Reviews, 16(2). </w:t>
      </w:r>
    </w:p>
    <w:p w:rsidR="00000000" w:rsidDel="00000000" w:rsidP="00000000" w:rsidRDefault="00000000" w:rsidRPr="00000000" w14:paraId="00000055">
      <w:pPr>
        <w:spacing w:after="240" w:before="240" w:lineRule="auto"/>
        <w:jc w:val="both"/>
        <w:rPr/>
      </w:pPr>
      <w:r w:rsidDel="00000000" w:rsidR="00000000" w:rsidRPr="00000000">
        <w:rPr>
          <w:rtl w:val="0"/>
        </w:rPr>
        <w:t xml:space="preserve">Home Office (2021) Knife crime prevention orders begin in London, GOV.UK. GOV.UK. Available at: https://www.gov.uk/government/news/knife-crime-prevention-orders-begin-in-london#:~:text=Police%20can%20apply%20to%20the,them%20from%20carrying%20a%20knife. (Accessed: March 1, 2023). </w:t>
      </w:r>
    </w:p>
    <w:p w:rsidR="00000000" w:rsidDel="00000000" w:rsidP="00000000" w:rsidRDefault="00000000" w:rsidRPr="00000000" w14:paraId="00000056">
      <w:pPr>
        <w:spacing w:after="240" w:before="240" w:lineRule="auto"/>
        <w:jc w:val="both"/>
        <w:rPr/>
      </w:pPr>
      <w:r w:rsidDel="00000000" w:rsidR="00000000" w:rsidRPr="00000000">
        <w:rPr>
          <w:rtl w:val="0"/>
        </w:rPr>
        <w:t xml:space="preserve">Hopkins, R. (2018) ‘An introduction to criminological theory’. Abingdon, Oxon; New York, Ny: Routledge.</w:t>
      </w:r>
    </w:p>
    <w:p w:rsidR="00000000" w:rsidDel="00000000" w:rsidP="00000000" w:rsidRDefault="00000000" w:rsidRPr="00000000" w14:paraId="00000057">
      <w:pPr>
        <w:spacing w:after="240" w:before="240" w:lineRule="auto"/>
        <w:jc w:val="both"/>
        <w:rPr/>
      </w:pPr>
      <w:r w:rsidDel="00000000" w:rsidR="00000000" w:rsidRPr="00000000">
        <w:rPr>
          <w:rtl w:val="0"/>
        </w:rPr>
      </w:r>
    </w:p>
    <w:p w:rsidR="00000000" w:rsidDel="00000000" w:rsidP="00000000" w:rsidRDefault="00000000" w:rsidRPr="00000000" w14:paraId="00000058">
      <w:pPr>
        <w:spacing w:after="240" w:before="240" w:lineRule="auto"/>
        <w:jc w:val="both"/>
        <w:rPr/>
      </w:pPr>
      <w:r w:rsidDel="00000000" w:rsidR="00000000" w:rsidRPr="00000000">
        <w:rPr>
          <w:rtl w:val="0"/>
        </w:rPr>
        <w:t xml:space="preserve">Jones, D. A. (1986) ‘History of criminology: A philosophical perspective’. Westport, CT: Praeger.</w:t>
      </w:r>
    </w:p>
    <w:p w:rsidR="00000000" w:rsidDel="00000000" w:rsidP="00000000" w:rsidRDefault="00000000" w:rsidRPr="00000000" w14:paraId="00000059">
      <w:pPr>
        <w:spacing w:after="240" w:before="240" w:lineRule="auto"/>
        <w:jc w:val="both"/>
        <w:rPr/>
      </w:pPr>
      <w:r w:rsidDel="00000000" w:rsidR="00000000" w:rsidRPr="00000000">
        <w:rPr>
          <w:rtl w:val="0"/>
        </w:rPr>
      </w:r>
    </w:p>
    <w:p w:rsidR="00000000" w:rsidDel="00000000" w:rsidP="00000000" w:rsidRDefault="00000000" w:rsidRPr="00000000" w14:paraId="0000005A">
      <w:pPr>
        <w:spacing w:after="240" w:before="240" w:lineRule="auto"/>
        <w:jc w:val="both"/>
        <w:rPr/>
      </w:pPr>
      <w:r w:rsidDel="00000000" w:rsidR="00000000" w:rsidRPr="00000000">
        <w:rPr>
          <w:rtl w:val="0"/>
        </w:rPr>
        <w:t xml:space="preserve">Lacey, N. and Zedner, L. (2012). Legal constructions of crime. In: M. Maguire, R. Morgan and R. Reiner, eds., The Oxford Handbook of Criminology. London: Oxford University Press, p.159.</w:t>
      </w:r>
    </w:p>
    <w:p w:rsidR="00000000" w:rsidDel="00000000" w:rsidP="00000000" w:rsidRDefault="00000000" w:rsidRPr="00000000" w14:paraId="0000005B">
      <w:pPr>
        <w:spacing w:after="240" w:before="240" w:lineRule="auto"/>
        <w:jc w:val="both"/>
        <w:rPr/>
      </w:pPr>
      <w:r w:rsidDel="00000000" w:rsidR="00000000" w:rsidRPr="00000000">
        <w:rPr>
          <w:rtl w:val="0"/>
        </w:rPr>
      </w:r>
    </w:p>
    <w:p w:rsidR="00000000" w:rsidDel="00000000" w:rsidP="00000000" w:rsidRDefault="00000000" w:rsidRPr="00000000" w14:paraId="0000005C">
      <w:pPr>
        <w:spacing w:after="240" w:before="240" w:lineRule="auto"/>
        <w:jc w:val="both"/>
        <w:rPr/>
      </w:pPr>
      <w:r w:rsidDel="00000000" w:rsidR="00000000" w:rsidRPr="00000000">
        <w:rPr>
          <w:rtl w:val="0"/>
        </w:rPr>
        <w:t xml:space="preserve">Lum, C. and Koper, C. S. (2017) ‘Evidence-based policing: Translating research into practice’. London, England: Oxford University Press.</w:t>
      </w:r>
    </w:p>
    <w:p w:rsidR="00000000" w:rsidDel="00000000" w:rsidP="00000000" w:rsidRDefault="00000000" w:rsidRPr="00000000" w14:paraId="0000005D">
      <w:pPr>
        <w:spacing w:after="240" w:before="240" w:lineRule="auto"/>
        <w:jc w:val="both"/>
        <w:rPr/>
      </w:pPr>
      <w:r w:rsidDel="00000000" w:rsidR="00000000" w:rsidRPr="00000000">
        <w:rPr>
          <w:rtl w:val="0"/>
        </w:rPr>
      </w:r>
    </w:p>
    <w:p w:rsidR="00000000" w:rsidDel="00000000" w:rsidP="00000000" w:rsidRDefault="00000000" w:rsidRPr="00000000" w14:paraId="0000005E">
      <w:pPr>
        <w:spacing w:after="240" w:before="240" w:lineRule="auto"/>
        <w:jc w:val="both"/>
        <w:rPr/>
      </w:pPr>
      <w:r w:rsidDel="00000000" w:rsidR="00000000" w:rsidRPr="00000000">
        <w:rPr>
          <w:rtl w:val="0"/>
        </w:rPr>
        <w:t xml:space="preserve">Massey, J., Sherman, L. W. and Coupe, T. (2019) “Forecasting knife homicide risk from prior knife assaults in 4835 local areas of London, 2016–2018,” Cambridge journal of evidence-based policing, 3(1–2), pp. 1–20.</w:t>
      </w:r>
    </w:p>
    <w:p w:rsidR="00000000" w:rsidDel="00000000" w:rsidP="00000000" w:rsidRDefault="00000000" w:rsidRPr="00000000" w14:paraId="0000005F">
      <w:pPr>
        <w:spacing w:after="240" w:before="240" w:lineRule="auto"/>
        <w:jc w:val="both"/>
        <w:rPr/>
      </w:pPr>
      <w:r w:rsidDel="00000000" w:rsidR="00000000" w:rsidRPr="00000000">
        <w:rPr>
          <w:rtl w:val="0"/>
        </w:rPr>
      </w:r>
    </w:p>
    <w:p w:rsidR="00000000" w:rsidDel="00000000" w:rsidP="00000000" w:rsidRDefault="00000000" w:rsidRPr="00000000" w14:paraId="00000060">
      <w:pPr>
        <w:spacing w:after="240" w:before="240" w:lineRule="auto"/>
        <w:jc w:val="both"/>
        <w:rPr/>
      </w:pPr>
      <w:r w:rsidDel="00000000" w:rsidR="00000000" w:rsidRPr="00000000">
        <w:rPr>
          <w:rtl w:val="0"/>
        </w:rPr>
        <w:t xml:space="preserve">Newburn, T. (2013) Criminology. London: Routledge. </w:t>
      </w:r>
    </w:p>
    <w:p w:rsidR="00000000" w:rsidDel="00000000" w:rsidP="00000000" w:rsidRDefault="00000000" w:rsidRPr="00000000" w14:paraId="00000061">
      <w:pPr>
        <w:spacing w:after="240" w:before="240" w:lineRule="auto"/>
        <w:jc w:val="both"/>
        <w:rPr/>
      </w:pPr>
      <w:r w:rsidDel="00000000" w:rsidR="00000000" w:rsidRPr="00000000">
        <w:rPr>
          <w:rtl w:val="0"/>
        </w:rPr>
      </w:r>
    </w:p>
    <w:p w:rsidR="00000000" w:rsidDel="00000000" w:rsidP="00000000" w:rsidRDefault="00000000" w:rsidRPr="00000000" w14:paraId="00000062">
      <w:pPr>
        <w:spacing w:after="240" w:before="240" w:lineRule="auto"/>
        <w:jc w:val="both"/>
        <w:rPr/>
      </w:pPr>
      <w:r w:rsidDel="00000000" w:rsidR="00000000" w:rsidRPr="00000000">
        <w:rPr>
          <w:rtl w:val="0"/>
        </w:rPr>
        <w:t xml:space="preserve">Paternoster, R. (2009) “Deterrence and Rational Choice Theories,” in Mitchell Miller, J. (ed.) 21st Century Criminology: A Reference Handbook. London: SAGE Publications, Inc., pp. 236–245.</w:t>
      </w:r>
    </w:p>
    <w:p w:rsidR="00000000" w:rsidDel="00000000" w:rsidP="00000000" w:rsidRDefault="00000000" w:rsidRPr="00000000" w14:paraId="00000063">
      <w:pPr>
        <w:spacing w:after="240" w:before="240" w:lineRule="auto"/>
        <w:jc w:val="both"/>
        <w:rPr/>
      </w:pPr>
      <w:r w:rsidDel="00000000" w:rsidR="00000000" w:rsidRPr="00000000">
        <w:rPr>
          <w:rtl w:val="0"/>
        </w:rPr>
      </w:r>
    </w:p>
    <w:p w:rsidR="00000000" w:rsidDel="00000000" w:rsidP="00000000" w:rsidRDefault="00000000" w:rsidRPr="00000000" w14:paraId="00000064">
      <w:pPr>
        <w:spacing w:after="240" w:before="240" w:lineRule="auto"/>
        <w:jc w:val="both"/>
        <w:rPr/>
      </w:pPr>
      <w:r w:rsidDel="00000000" w:rsidR="00000000" w:rsidRPr="00000000">
        <w:rPr>
          <w:rtl w:val="0"/>
        </w:rPr>
        <w:t xml:space="preserve">Pratt, T. C., Gau, J. M. and Franklin, T. W., (2011). ‘Key Ideas in Criminology and Criminal Justice’. Thousand Oaks, CA: SAGE Publications, Inc. </w:t>
      </w:r>
    </w:p>
    <w:p w:rsidR="00000000" w:rsidDel="00000000" w:rsidP="00000000" w:rsidRDefault="00000000" w:rsidRPr="00000000" w14:paraId="00000065">
      <w:pPr>
        <w:spacing w:after="240" w:before="240" w:lineRule="auto"/>
        <w:jc w:val="both"/>
        <w:rPr/>
      </w:pPr>
      <w:r w:rsidDel="00000000" w:rsidR="00000000" w:rsidRPr="00000000">
        <w:rPr>
          <w:rtl w:val="0"/>
        </w:rPr>
      </w:r>
    </w:p>
    <w:p w:rsidR="00000000" w:rsidDel="00000000" w:rsidP="00000000" w:rsidRDefault="00000000" w:rsidRPr="00000000" w14:paraId="00000066">
      <w:pPr>
        <w:spacing w:after="240" w:before="240" w:lineRule="auto"/>
        <w:jc w:val="both"/>
        <w:rPr/>
      </w:pPr>
      <w:r w:rsidDel="00000000" w:rsidR="00000000" w:rsidRPr="00000000">
        <w:rPr>
          <w:rtl w:val="0"/>
        </w:rPr>
        <w:t xml:space="preserve">University of Cambridge, A. (2021) Evidence-based policing - impact map: University of Cambridge, Impact Map | University of Cambridge. Available at: https://impactmap.cam.ac.uk/evidence-based-policing/ (Accessed: March 1, 2023). </w:t>
      </w:r>
    </w:p>
    <w:p w:rsidR="00000000" w:rsidDel="00000000" w:rsidP="00000000" w:rsidRDefault="00000000" w:rsidRPr="00000000" w14:paraId="00000067">
      <w:pPr>
        <w:spacing w:line="480" w:lineRule="auto"/>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sectPr>
      <w:foot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s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