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18110" w14:textId="295DA476" w:rsidR="003E1AD8" w:rsidRPr="00074402" w:rsidRDefault="003E1AD8" w:rsidP="003E1AD8">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7EF80B87" wp14:editId="0CDF3F7E">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82117A1" w14:textId="77777777" w:rsidR="003E1AD8" w:rsidRPr="00074402" w:rsidRDefault="003E1AD8" w:rsidP="003E1AD8">
      <w:pPr>
        <w:spacing w:line="360" w:lineRule="auto"/>
        <w:rPr>
          <w:rFonts w:ascii="Arial" w:hAnsi="Arial" w:cs="Arial"/>
          <w:szCs w:val="24"/>
        </w:rPr>
      </w:pPr>
    </w:p>
    <w:p w14:paraId="28946D02" w14:textId="77777777" w:rsidR="003E1AD8" w:rsidRPr="00074402" w:rsidRDefault="003E1AD8" w:rsidP="003E1AD8">
      <w:pPr>
        <w:spacing w:line="360" w:lineRule="auto"/>
        <w:rPr>
          <w:rFonts w:ascii="Arial" w:hAnsi="Arial" w:cs="Arial"/>
          <w:szCs w:val="24"/>
        </w:rPr>
      </w:pPr>
    </w:p>
    <w:p w14:paraId="6126A065" w14:textId="77777777" w:rsidR="003E1AD8" w:rsidRPr="00074402" w:rsidRDefault="003E1AD8" w:rsidP="003E1AD8">
      <w:pPr>
        <w:spacing w:line="360" w:lineRule="auto"/>
        <w:rPr>
          <w:rFonts w:ascii="Arial" w:hAnsi="Arial" w:cs="Arial"/>
          <w:szCs w:val="24"/>
        </w:rPr>
      </w:pPr>
    </w:p>
    <w:p w14:paraId="21E42526" w14:textId="77777777" w:rsidR="003E1AD8" w:rsidRDefault="003E1AD8" w:rsidP="003E1AD8">
      <w:pPr>
        <w:tabs>
          <w:tab w:val="left" w:pos="6540"/>
        </w:tabs>
        <w:spacing w:line="360" w:lineRule="auto"/>
        <w:rPr>
          <w:rFonts w:ascii="Arial" w:hAnsi="Arial" w:cs="Arial"/>
          <w:sz w:val="28"/>
          <w:szCs w:val="28"/>
        </w:rPr>
      </w:pPr>
    </w:p>
    <w:p w14:paraId="4871F035" w14:textId="77777777" w:rsidR="003E1AD8" w:rsidRPr="00814A9E" w:rsidRDefault="003E1AD8" w:rsidP="003E1AD8">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Pr>
          <w:rFonts w:ascii="Arial" w:hAnsi="Arial" w:cs="Arial"/>
          <w:sz w:val="28"/>
          <w:szCs w:val="28"/>
          <w:lang w:val="nl-NL"/>
        </w:rPr>
        <w:t xml:space="preserve"> </w:t>
      </w:r>
      <w:r>
        <w:rPr>
          <w:rFonts w:ascii="Arial" w:hAnsi="Arial" w:cs="Arial"/>
          <w:sz w:val="32"/>
          <w:szCs w:val="32"/>
        </w:rPr>
        <w:t>Grace Nkoyo George Duke Bassey Henshaw</w:t>
      </w:r>
    </w:p>
    <w:p w14:paraId="5618ED15" w14:textId="77777777" w:rsidR="003E1AD8" w:rsidRDefault="003E1AD8" w:rsidP="003E1AD8">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Pr>
          <w:rFonts w:ascii="Arial" w:hAnsi="Arial" w:cs="Arial"/>
          <w:sz w:val="28"/>
          <w:szCs w:val="28"/>
          <w:lang w:val="nl-NL"/>
        </w:rPr>
        <w:t xml:space="preserve"> 2020571</w:t>
      </w:r>
    </w:p>
    <w:p w14:paraId="154C1194" w14:textId="77777777" w:rsidR="003E1AD8" w:rsidRPr="00A60CF1" w:rsidRDefault="003E1AD8" w:rsidP="003E1AD8">
      <w:pPr>
        <w:pStyle w:val="NormalWeb"/>
        <w:numPr>
          <w:ilvl w:val="0"/>
          <w:numId w:val="1"/>
        </w:numPr>
        <w:spacing w:before="200" w:after="0"/>
        <w:jc w:val="center"/>
        <w:textAlignment w:val="baseline"/>
        <w:rPr>
          <w:rFonts w:ascii="Arial" w:hAnsi="Arial"/>
          <w:color w:val="000000"/>
          <w:kern w:val="24"/>
          <w:sz w:val="36"/>
          <w:szCs w:val="36"/>
        </w:rPr>
      </w:pPr>
      <w:r w:rsidRPr="00FF6EAB">
        <w:rPr>
          <w:rFonts w:ascii="Arial" w:hAnsi="Arial"/>
          <w:b/>
          <w:bCs/>
          <w:color w:val="000000"/>
          <w:kern w:val="24"/>
          <w:sz w:val="36"/>
          <w:szCs w:val="36"/>
        </w:rPr>
        <w:t>Assignment Title</w:t>
      </w:r>
      <w:r w:rsidRPr="00FF6EAB">
        <w:rPr>
          <w:rFonts w:ascii="Arial" w:hAnsi="Arial"/>
          <w:color w:val="000000"/>
          <w:kern w:val="24"/>
          <w:sz w:val="36"/>
          <w:szCs w:val="36"/>
        </w:rPr>
        <w:t xml:space="preserve">: </w:t>
      </w:r>
      <w:r w:rsidRPr="00A60CF1">
        <w:rPr>
          <w:rFonts w:ascii="Arial" w:hAnsi="Arial"/>
          <w:color w:val="000000"/>
          <w:kern w:val="24"/>
          <w:sz w:val="36"/>
          <w:szCs w:val="36"/>
        </w:rPr>
        <w:t xml:space="preserve">Investigating the impact of </w:t>
      </w:r>
      <w:r>
        <w:rPr>
          <w:rFonts w:ascii="Arial" w:hAnsi="Arial"/>
          <w:color w:val="000000"/>
          <w:kern w:val="24"/>
          <w:sz w:val="36"/>
          <w:szCs w:val="36"/>
        </w:rPr>
        <w:t>COVID-19</w:t>
      </w:r>
      <w:r w:rsidRPr="00A60CF1">
        <w:rPr>
          <w:rFonts w:ascii="Arial" w:hAnsi="Arial"/>
          <w:color w:val="000000"/>
          <w:kern w:val="24"/>
          <w:sz w:val="36"/>
          <w:szCs w:val="36"/>
        </w:rPr>
        <w:t xml:space="preserve"> on care workers, carers and families in the community.</w:t>
      </w:r>
    </w:p>
    <w:p w14:paraId="224B112A" w14:textId="77777777" w:rsidR="003E1AD8" w:rsidRPr="00814A9E" w:rsidRDefault="003E1AD8" w:rsidP="003E1AD8">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Pr>
          <w:rFonts w:ascii="Arial" w:hAnsi="Arial" w:cs="Arial"/>
          <w:sz w:val="28"/>
          <w:szCs w:val="28"/>
        </w:rPr>
        <w:t>Introduction to Research</w:t>
      </w:r>
    </w:p>
    <w:p w14:paraId="34DE4D27" w14:textId="77777777" w:rsidR="003E1AD8" w:rsidRDefault="003E1AD8" w:rsidP="003E1AD8">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 xml:space="preserve">: </w:t>
      </w:r>
      <w:r w:rsidRPr="00996A39">
        <w:rPr>
          <w:rFonts w:ascii="Arial" w:eastAsia="Times New Roman" w:hAnsi="Arial"/>
          <w:color w:val="000000"/>
          <w:kern w:val="24"/>
          <w:sz w:val="28"/>
          <w:szCs w:val="28"/>
        </w:rPr>
        <w:t>BMHP5005</w:t>
      </w:r>
    </w:p>
    <w:p w14:paraId="4F42A34A" w14:textId="77777777" w:rsidR="003E1AD8" w:rsidRDefault="003E1AD8" w:rsidP="003E1AD8">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 xml:space="preserve">: </w:t>
      </w:r>
      <w:r w:rsidRPr="00A60CF1">
        <w:rPr>
          <w:rFonts w:ascii="Arial" w:hAnsi="Arial"/>
          <w:color w:val="000000"/>
          <w:kern w:val="24"/>
          <w:sz w:val="36"/>
          <w:szCs w:val="36"/>
        </w:rPr>
        <w:t>Eleni Koutsogeorgou- Andreou</w:t>
      </w:r>
    </w:p>
    <w:p w14:paraId="4A7F2AB8" w14:textId="77777777" w:rsidR="003E1AD8" w:rsidRDefault="003E1AD8" w:rsidP="003E1AD8">
      <w:pPr>
        <w:tabs>
          <w:tab w:val="left" w:pos="6540"/>
        </w:tabs>
        <w:spacing w:line="360" w:lineRule="auto"/>
        <w:rPr>
          <w:rFonts w:ascii="Arial" w:hAnsi="Arial" w:cs="Arial"/>
          <w:sz w:val="28"/>
          <w:szCs w:val="28"/>
        </w:rPr>
      </w:pPr>
    </w:p>
    <w:p w14:paraId="0B96B0B6" w14:textId="77777777" w:rsidR="003E1AD8" w:rsidRDefault="003E1AD8" w:rsidP="003E1AD8">
      <w:pPr>
        <w:tabs>
          <w:tab w:val="left" w:pos="6540"/>
        </w:tabs>
        <w:spacing w:line="360" w:lineRule="auto"/>
        <w:rPr>
          <w:rFonts w:ascii="Arial" w:hAnsi="Arial" w:cs="Arial"/>
          <w:sz w:val="28"/>
          <w:szCs w:val="28"/>
        </w:rPr>
      </w:pPr>
    </w:p>
    <w:p w14:paraId="2F05DDC1" w14:textId="77777777" w:rsidR="003E1AD8" w:rsidRDefault="003E1AD8" w:rsidP="003E1AD8">
      <w:pPr>
        <w:tabs>
          <w:tab w:val="left" w:pos="6540"/>
        </w:tabs>
        <w:spacing w:line="360" w:lineRule="auto"/>
        <w:rPr>
          <w:rFonts w:ascii="Arial" w:hAnsi="Arial" w:cs="Arial"/>
          <w:sz w:val="28"/>
          <w:szCs w:val="28"/>
        </w:rPr>
      </w:pPr>
    </w:p>
    <w:p w14:paraId="0F191254" w14:textId="77777777" w:rsidR="003E1AD8" w:rsidRDefault="003E1AD8" w:rsidP="003E1AD8">
      <w:pPr>
        <w:tabs>
          <w:tab w:val="left" w:pos="6540"/>
        </w:tabs>
        <w:spacing w:line="360" w:lineRule="auto"/>
        <w:rPr>
          <w:rFonts w:ascii="Arial" w:hAnsi="Arial" w:cs="Arial"/>
          <w:sz w:val="28"/>
          <w:szCs w:val="28"/>
        </w:rPr>
      </w:pPr>
    </w:p>
    <w:p w14:paraId="4FE0D27E" w14:textId="77777777" w:rsidR="003E1AD8" w:rsidRDefault="003E1AD8" w:rsidP="003E1AD8">
      <w:pPr>
        <w:spacing w:line="360" w:lineRule="auto"/>
        <w:rPr>
          <w:rFonts w:ascii="Arial" w:hAnsi="Arial" w:cs="Arial"/>
          <w:sz w:val="28"/>
          <w:szCs w:val="28"/>
        </w:rPr>
      </w:pPr>
      <w:r>
        <w:rPr>
          <w:rFonts w:ascii="Arial" w:hAnsi="Arial" w:cs="Arial"/>
          <w:sz w:val="28"/>
          <w:szCs w:val="28"/>
        </w:rPr>
        <w:br w:type="page"/>
      </w:r>
    </w:p>
    <w:p w14:paraId="361DFBB3" w14:textId="314EA4A6" w:rsidR="00B912AA" w:rsidRPr="006F70D6" w:rsidRDefault="006F70D6">
      <w:pPr>
        <w:rPr>
          <w:rFonts w:cs="Times New Roman"/>
          <w:b/>
          <w:szCs w:val="24"/>
        </w:rPr>
      </w:pPr>
      <w:r w:rsidRPr="006F70D6">
        <w:rPr>
          <w:rFonts w:cs="Times New Roman"/>
          <w:b/>
          <w:szCs w:val="24"/>
        </w:rPr>
        <w:lastRenderedPageBreak/>
        <w:t>TABLE OF CONTENTS</w:t>
      </w:r>
    </w:p>
    <w:p w14:paraId="447EA8F7" w14:textId="22083257" w:rsidR="006F70D6" w:rsidRPr="006F70D6" w:rsidRDefault="00B912AA" w:rsidP="006F70D6">
      <w:pPr>
        <w:pStyle w:val="TOC1"/>
        <w:tabs>
          <w:tab w:val="left" w:pos="480"/>
          <w:tab w:val="right" w:leader="dot" w:pos="9016"/>
        </w:tabs>
        <w:spacing w:before="0" w:after="0" w:line="360" w:lineRule="auto"/>
        <w:rPr>
          <w:rFonts w:ascii="Times New Roman" w:eastAsiaTheme="minorEastAsia" w:hAnsi="Times New Roman" w:cs="Times New Roman"/>
          <w:b w:val="0"/>
          <w:bCs w:val="0"/>
          <w:caps w:val="0"/>
          <w:noProof/>
          <w:sz w:val="24"/>
          <w:szCs w:val="24"/>
          <w:lang w:eastAsia="en-GB"/>
        </w:rPr>
      </w:pPr>
      <w:r w:rsidRPr="006F70D6">
        <w:rPr>
          <w:rFonts w:ascii="Times New Roman" w:hAnsi="Times New Roman" w:cs="Times New Roman"/>
          <w:b w:val="0"/>
          <w:sz w:val="24"/>
          <w:szCs w:val="24"/>
        </w:rPr>
        <w:fldChar w:fldCharType="begin"/>
      </w:r>
      <w:r w:rsidRPr="006F70D6">
        <w:rPr>
          <w:rFonts w:ascii="Times New Roman" w:hAnsi="Times New Roman" w:cs="Times New Roman"/>
          <w:b w:val="0"/>
          <w:sz w:val="24"/>
          <w:szCs w:val="24"/>
        </w:rPr>
        <w:instrText xml:space="preserve"> TOC \o "1-3" \h \z \u </w:instrText>
      </w:r>
      <w:r w:rsidRPr="006F70D6">
        <w:rPr>
          <w:rFonts w:ascii="Times New Roman" w:hAnsi="Times New Roman" w:cs="Times New Roman"/>
          <w:b w:val="0"/>
          <w:sz w:val="24"/>
          <w:szCs w:val="24"/>
        </w:rPr>
        <w:fldChar w:fldCharType="separate"/>
      </w:r>
      <w:hyperlink w:anchor="_Toc158973462" w:history="1">
        <w:r w:rsidR="006F70D6" w:rsidRPr="006F70D6">
          <w:rPr>
            <w:rStyle w:val="Hyperlink"/>
            <w:rFonts w:ascii="Times New Roman" w:hAnsi="Times New Roman" w:cs="Times New Roman"/>
            <w:b w:val="0"/>
            <w:noProof/>
            <w:sz w:val="24"/>
            <w:szCs w:val="24"/>
          </w:rPr>
          <w:t>1.</w:t>
        </w:r>
        <w:r w:rsidR="00AA5885">
          <w:rPr>
            <w:rFonts w:ascii="Times New Roman" w:eastAsiaTheme="minorEastAsia" w:hAnsi="Times New Roman" w:cs="Times New Roman"/>
            <w:b w:val="0"/>
            <w:bCs w:val="0"/>
            <w:caps w:val="0"/>
            <w:noProof/>
            <w:sz w:val="24"/>
            <w:szCs w:val="24"/>
            <w:lang w:eastAsia="en-GB"/>
          </w:rPr>
          <w:t xml:space="preserve"> </w:t>
        </w:r>
        <w:r w:rsidR="006F70D6" w:rsidRPr="006F70D6">
          <w:rPr>
            <w:rStyle w:val="Hyperlink"/>
            <w:rFonts w:ascii="Times New Roman" w:hAnsi="Times New Roman" w:cs="Times New Roman"/>
            <w:b w:val="0"/>
            <w:noProof/>
            <w:sz w:val="24"/>
            <w:szCs w:val="24"/>
          </w:rPr>
          <w:t>Introduction</w:t>
        </w:r>
        <w:r w:rsidR="006F70D6" w:rsidRPr="006F70D6">
          <w:rPr>
            <w:rFonts w:ascii="Times New Roman" w:hAnsi="Times New Roman" w:cs="Times New Roman"/>
            <w:b w:val="0"/>
            <w:noProof/>
            <w:webHidden/>
            <w:sz w:val="24"/>
            <w:szCs w:val="24"/>
          </w:rPr>
          <w:tab/>
        </w:r>
        <w:r w:rsidR="006F70D6" w:rsidRPr="006F70D6">
          <w:rPr>
            <w:rFonts w:ascii="Times New Roman" w:hAnsi="Times New Roman" w:cs="Times New Roman"/>
            <w:b w:val="0"/>
            <w:noProof/>
            <w:webHidden/>
            <w:sz w:val="24"/>
            <w:szCs w:val="24"/>
          </w:rPr>
          <w:fldChar w:fldCharType="begin"/>
        </w:r>
        <w:r w:rsidR="006F70D6" w:rsidRPr="006F70D6">
          <w:rPr>
            <w:rFonts w:ascii="Times New Roman" w:hAnsi="Times New Roman" w:cs="Times New Roman"/>
            <w:b w:val="0"/>
            <w:noProof/>
            <w:webHidden/>
            <w:sz w:val="24"/>
            <w:szCs w:val="24"/>
          </w:rPr>
          <w:instrText xml:space="preserve"> PAGEREF _Toc158973462 \h </w:instrText>
        </w:r>
        <w:r w:rsidR="006F70D6" w:rsidRPr="006F70D6">
          <w:rPr>
            <w:rFonts w:ascii="Times New Roman" w:hAnsi="Times New Roman" w:cs="Times New Roman"/>
            <w:b w:val="0"/>
            <w:noProof/>
            <w:webHidden/>
            <w:sz w:val="24"/>
            <w:szCs w:val="24"/>
          </w:rPr>
        </w:r>
        <w:r w:rsidR="006F70D6" w:rsidRPr="006F70D6">
          <w:rPr>
            <w:rFonts w:ascii="Times New Roman" w:hAnsi="Times New Roman" w:cs="Times New Roman"/>
            <w:b w:val="0"/>
            <w:noProof/>
            <w:webHidden/>
            <w:sz w:val="24"/>
            <w:szCs w:val="24"/>
          </w:rPr>
          <w:fldChar w:fldCharType="separate"/>
        </w:r>
        <w:r w:rsidR="006F70D6" w:rsidRPr="006F70D6">
          <w:rPr>
            <w:rFonts w:ascii="Times New Roman" w:hAnsi="Times New Roman" w:cs="Times New Roman"/>
            <w:b w:val="0"/>
            <w:noProof/>
            <w:webHidden/>
            <w:sz w:val="24"/>
            <w:szCs w:val="24"/>
          </w:rPr>
          <w:t>2</w:t>
        </w:r>
        <w:r w:rsidR="006F70D6" w:rsidRPr="006F70D6">
          <w:rPr>
            <w:rFonts w:ascii="Times New Roman" w:hAnsi="Times New Roman" w:cs="Times New Roman"/>
            <w:b w:val="0"/>
            <w:noProof/>
            <w:webHidden/>
            <w:sz w:val="24"/>
            <w:szCs w:val="24"/>
          </w:rPr>
          <w:fldChar w:fldCharType="end"/>
        </w:r>
      </w:hyperlink>
    </w:p>
    <w:p w14:paraId="4A24D576" w14:textId="6A092041" w:rsidR="006F70D6" w:rsidRPr="006F70D6" w:rsidRDefault="00DE0095" w:rsidP="006F70D6">
      <w:pPr>
        <w:pStyle w:val="TOC2"/>
        <w:tabs>
          <w:tab w:val="right" w:leader="dot" w:pos="9016"/>
        </w:tabs>
        <w:spacing w:line="360" w:lineRule="auto"/>
        <w:rPr>
          <w:rFonts w:ascii="Times New Roman" w:eastAsiaTheme="minorEastAsia" w:hAnsi="Times New Roman" w:cs="Times New Roman"/>
          <w:smallCaps w:val="0"/>
          <w:noProof/>
          <w:sz w:val="24"/>
          <w:szCs w:val="24"/>
          <w:lang w:eastAsia="en-GB"/>
        </w:rPr>
      </w:pPr>
      <w:hyperlink w:anchor="_Toc158973463" w:history="1">
        <w:r w:rsidR="006F70D6" w:rsidRPr="006F70D6">
          <w:rPr>
            <w:rStyle w:val="Hyperlink"/>
            <w:rFonts w:ascii="Times New Roman" w:hAnsi="Times New Roman" w:cs="Times New Roman"/>
            <w:noProof/>
            <w:sz w:val="24"/>
            <w:szCs w:val="24"/>
            <w:shd w:val="clear" w:color="auto" w:fill="FFFFFF"/>
          </w:rPr>
          <w:t>Aims</w:t>
        </w:r>
        <w:r w:rsidR="00AA5885" w:rsidRPr="006F70D6">
          <w:rPr>
            <w:rFonts w:ascii="Times New Roman" w:hAnsi="Times New Roman" w:cs="Times New Roman"/>
            <w:noProof/>
            <w:webHidden/>
            <w:sz w:val="24"/>
            <w:szCs w:val="24"/>
          </w:rPr>
          <w:tab/>
        </w:r>
        <w:r w:rsidR="006F70D6" w:rsidRPr="006F70D6">
          <w:rPr>
            <w:rFonts w:ascii="Times New Roman" w:hAnsi="Times New Roman" w:cs="Times New Roman"/>
            <w:noProof/>
            <w:webHidden/>
            <w:sz w:val="24"/>
            <w:szCs w:val="24"/>
          </w:rPr>
          <w:fldChar w:fldCharType="begin"/>
        </w:r>
        <w:r w:rsidR="006F70D6" w:rsidRPr="006F70D6">
          <w:rPr>
            <w:rFonts w:ascii="Times New Roman" w:hAnsi="Times New Roman" w:cs="Times New Roman"/>
            <w:noProof/>
            <w:webHidden/>
            <w:sz w:val="24"/>
            <w:szCs w:val="24"/>
          </w:rPr>
          <w:instrText xml:space="preserve"> PAGEREF _Toc158973463 \h </w:instrText>
        </w:r>
        <w:r w:rsidR="006F70D6" w:rsidRPr="006F70D6">
          <w:rPr>
            <w:rFonts w:ascii="Times New Roman" w:hAnsi="Times New Roman" w:cs="Times New Roman"/>
            <w:noProof/>
            <w:webHidden/>
            <w:sz w:val="24"/>
            <w:szCs w:val="24"/>
          </w:rPr>
        </w:r>
        <w:r w:rsidR="006F70D6" w:rsidRPr="006F70D6">
          <w:rPr>
            <w:rFonts w:ascii="Times New Roman" w:hAnsi="Times New Roman" w:cs="Times New Roman"/>
            <w:noProof/>
            <w:webHidden/>
            <w:sz w:val="24"/>
            <w:szCs w:val="24"/>
          </w:rPr>
          <w:fldChar w:fldCharType="separate"/>
        </w:r>
        <w:r w:rsidR="00AA5885" w:rsidRPr="006F70D6">
          <w:rPr>
            <w:rFonts w:ascii="Times New Roman" w:hAnsi="Times New Roman" w:cs="Times New Roman"/>
            <w:noProof/>
            <w:webHidden/>
            <w:sz w:val="24"/>
            <w:szCs w:val="24"/>
          </w:rPr>
          <w:t>2</w:t>
        </w:r>
        <w:r w:rsidR="006F70D6" w:rsidRPr="006F70D6">
          <w:rPr>
            <w:rFonts w:ascii="Times New Roman" w:hAnsi="Times New Roman" w:cs="Times New Roman"/>
            <w:noProof/>
            <w:webHidden/>
            <w:sz w:val="24"/>
            <w:szCs w:val="24"/>
          </w:rPr>
          <w:fldChar w:fldCharType="end"/>
        </w:r>
      </w:hyperlink>
    </w:p>
    <w:p w14:paraId="021DDF85" w14:textId="55332208" w:rsidR="006F70D6" w:rsidRPr="006F70D6" w:rsidRDefault="00DE0095" w:rsidP="006F70D6">
      <w:pPr>
        <w:pStyle w:val="TOC2"/>
        <w:tabs>
          <w:tab w:val="right" w:leader="dot" w:pos="9016"/>
        </w:tabs>
        <w:spacing w:line="360" w:lineRule="auto"/>
        <w:rPr>
          <w:rFonts w:ascii="Times New Roman" w:eastAsiaTheme="minorEastAsia" w:hAnsi="Times New Roman" w:cs="Times New Roman"/>
          <w:smallCaps w:val="0"/>
          <w:noProof/>
          <w:sz w:val="24"/>
          <w:szCs w:val="24"/>
          <w:lang w:eastAsia="en-GB"/>
        </w:rPr>
      </w:pPr>
      <w:hyperlink w:anchor="_Toc158973464" w:history="1">
        <w:r w:rsidR="006F70D6" w:rsidRPr="006F70D6">
          <w:rPr>
            <w:rStyle w:val="Hyperlink"/>
            <w:rFonts w:ascii="Times New Roman" w:hAnsi="Times New Roman" w:cs="Times New Roman"/>
            <w:noProof/>
            <w:kern w:val="24"/>
            <w:sz w:val="24"/>
            <w:szCs w:val="24"/>
          </w:rPr>
          <w:t>Objective</w:t>
        </w:r>
        <w:r w:rsidR="00AA5885" w:rsidRPr="006F70D6">
          <w:rPr>
            <w:rFonts w:ascii="Times New Roman" w:hAnsi="Times New Roman" w:cs="Times New Roman"/>
            <w:noProof/>
            <w:webHidden/>
            <w:sz w:val="24"/>
            <w:szCs w:val="24"/>
          </w:rPr>
          <w:tab/>
        </w:r>
        <w:r w:rsidR="006F70D6" w:rsidRPr="006F70D6">
          <w:rPr>
            <w:rFonts w:ascii="Times New Roman" w:hAnsi="Times New Roman" w:cs="Times New Roman"/>
            <w:noProof/>
            <w:webHidden/>
            <w:sz w:val="24"/>
            <w:szCs w:val="24"/>
          </w:rPr>
          <w:fldChar w:fldCharType="begin"/>
        </w:r>
        <w:r w:rsidR="006F70D6" w:rsidRPr="006F70D6">
          <w:rPr>
            <w:rFonts w:ascii="Times New Roman" w:hAnsi="Times New Roman" w:cs="Times New Roman"/>
            <w:noProof/>
            <w:webHidden/>
            <w:sz w:val="24"/>
            <w:szCs w:val="24"/>
          </w:rPr>
          <w:instrText xml:space="preserve"> PAGEREF _Toc158973464 \h </w:instrText>
        </w:r>
        <w:r w:rsidR="006F70D6" w:rsidRPr="006F70D6">
          <w:rPr>
            <w:rFonts w:ascii="Times New Roman" w:hAnsi="Times New Roman" w:cs="Times New Roman"/>
            <w:noProof/>
            <w:webHidden/>
            <w:sz w:val="24"/>
            <w:szCs w:val="24"/>
          </w:rPr>
        </w:r>
        <w:r w:rsidR="006F70D6" w:rsidRPr="006F70D6">
          <w:rPr>
            <w:rFonts w:ascii="Times New Roman" w:hAnsi="Times New Roman" w:cs="Times New Roman"/>
            <w:noProof/>
            <w:webHidden/>
            <w:sz w:val="24"/>
            <w:szCs w:val="24"/>
          </w:rPr>
          <w:fldChar w:fldCharType="separate"/>
        </w:r>
        <w:r w:rsidR="00AA5885" w:rsidRPr="006F70D6">
          <w:rPr>
            <w:rFonts w:ascii="Times New Roman" w:hAnsi="Times New Roman" w:cs="Times New Roman"/>
            <w:noProof/>
            <w:webHidden/>
            <w:sz w:val="24"/>
            <w:szCs w:val="24"/>
          </w:rPr>
          <w:t>2</w:t>
        </w:r>
        <w:r w:rsidR="006F70D6" w:rsidRPr="006F70D6">
          <w:rPr>
            <w:rFonts w:ascii="Times New Roman" w:hAnsi="Times New Roman" w:cs="Times New Roman"/>
            <w:noProof/>
            <w:webHidden/>
            <w:sz w:val="24"/>
            <w:szCs w:val="24"/>
          </w:rPr>
          <w:fldChar w:fldCharType="end"/>
        </w:r>
      </w:hyperlink>
    </w:p>
    <w:p w14:paraId="4F14A803" w14:textId="1897EC65" w:rsidR="006F70D6" w:rsidRPr="006F70D6" w:rsidRDefault="00DE0095" w:rsidP="006F70D6">
      <w:pPr>
        <w:pStyle w:val="TOC2"/>
        <w:tabs>
          <w:tab w:val="right" w:leader="dot" w:pos="9016"/>
        </w:tabs>
        <w:spacing w:line="360" w:lineRule="auto"/>
        <w:rPr>
          <w:rFonts w:ascii="Times New Roman" w:eastAsiaTheme="minorEastAsia" w:hAnsi="Times New Roman" w:cs="Times New Roman"/>
          <w:smallCaps w:val="0"/>
          <w:noProof/>
          <w:sz w:val="24"/>
          <w:szCs w:val="24"/>
          <w:lang w:eastAsia="en-GB"/>
        </w:rPr>
      </w:pPr>
      <w:hyperlink w:anchor="_Toc158973465" w:history="1">
        <w:r w:rsidR="006F70D6" w:rsidRPr="006F70D6">
          <w:rPr>
            <w:rStyle w:val="Hyperlink"/>
            <w:rFonts w:ascii="Times New Roman" w:hAnsi="Times New Roman" w:cs="Times New Roman"/>
            <w:noProof/>
            <w:sz w:val="24"/>
            <w:szCs w:val="24"/>
          </w:rPr>
          <w:t>The Justification For The Study</w:t>
        </w:r>
        <w:r w:rsidR="00AA5885" w:rsidRPr="006F70D6">
          <w:rPr>
            <w:rFonts w:ascii="Times New Roman" w:hAnsi="Times New Roman" w:cs="Times New Roman"/>
            <w:noProof/>
            <w:webHidden/>
            <w:sz w:val="24"/>
            <w:szCs w:val="24"/>
          </w:rPr>
          <w:tab/>
        </w:r>
        <w:r w:rsidR="006F70D6" w:rsidRPr="006F70D6">
          <w:rPr>
            <w:rFonts w:ascii="Times New Roman" w:hAnsi="Times New Roman" w:cs="Times New Roman"/>
            <w:noProof/>
            <w:webHidden/>
            <w:sz w:val="24"/>
            <w:szCs w:val="24"/>
          </w:rPr>
          <w:fldChar w:fldCharType="begin"/>
        </w:r>
        <w:r w:rsidR="006F70D6" w:rsidRPr="006F70D6">
          <w:rPr>
            <w:rFonts w:ascii="Times New Roman" w:hAnsi="Times New Roman" w:cs="Times New Roman"/>
            <w:noProof/>
            <w:webHidden/>
            <w:sz w:val="24"/>
            <w:szCs w:val="24"/>
          </w:rPr>
          <w:instrText xml:space="preserve"> PAGEREF _Toc158973465 \h </w:instrText>
        </w:r>
        <w:r w:rsidR="006F70D6" w:rsidRPr="006F70D6">
          <w:rPr>
            <w:rFonts w:ascii="Times New Roman" w:hAnsi="Times New Roman" w:cs="Times New Roman"/>
            <w:noProof/>
            <w:webHidden/>
            <w:sz w:val="24"/>
            <w:szCs w:val="24"/>
          </w:rPr>
        </w:r>
        <w:r w:rsidR="006F70D6" w:rsidRPr="006F70D6">
          <w:rPr>
            <w:rFonts w:ascii="Times New Roman" w:hAnsi="Times New Roman" w:cs="Times New Roman"/>
            <w:noProof/>
            <w:webHidden/>
            <w:sz w:val="24"/>
            <w:szCs w:val="24"/>
          </w:rPr>
          <w:fldChar w:fldCharType="separate"/>
        </w:r>
        <w:r w:rsidR="00AA5885" w:rsidRPr="006F70D6">
          <w:rPr>
            <w:rFonts w:ascii="Times New Roman" w:hAnsi="Times New Roman" w:cs="Times New Roman"/>
            <w:noProof/>
            <w:webHidden/>
            <w:sz w:val="24"/>
            <w:szCs w:val="24"/>
          </w:rPr>
          <w:t>2</w:t>
        </w:r>
        <w:r w:rsidR="006F70D6" w:rsidRPr="006F70D6">
          <w:rPr>
            <w:rFonts w:ascii="Times New Roman" w:hAnsi="Times New Roman" w:cs="Times New Roman"/>
            <w:noProof/>
            <w:webHidden/>
            <w:sz w:val="24"/>
            <w:szCs w:val="24"/>
          </w:rPr>
          <w:fldChar w:fldCharType="end"/>
        </w:r>
      </w:hyperlink>
    </w:p>
    <w:p w14:paraId="667E6BDB" w14:textId="77777777" w:rsidR="006F70D6" w:rsidRPr="006F70D6" w:rsidRDefault="00DE0095" w:rsidP="006F70D6">
      <w:pPr>
        <w:pStyle w:val="TOC1"/>
        <w:tabs>
          <w:tab w:val="right" w:leader="dot" w:pos="9016"/>
        </w:tabs>
        <w:spacing w:before="0" w:after="0" w:line="360" w:lineRule="auto"/>
        <w:rPr>
          <w:rFonts w:ascii="Times New Roman" w:eastAsiaTheme="minorEastAsia" w:hAnsi="Times New Roman" w:cs="Times New Roman"/>
          <w:b w:val="0"/>
          <w:bCs w:val="0"/>
          <w:caps w:val="0"/>
          <w:noProof/>
          <w:sz w:val="24"/>
          <w:szCs w:val="24"/>
          <w:lang w:eastAsia="en-GB"/>
        </w:rPr>
      </w:pPr>
      <w:hyperlink w:anchor="_Toc158973466" w:history="1">
        <w:r w:rsidR="006F70D6" w:rsidRPr="006F70D6">
          <w:rPr>
            <w:rStyle w:val="Hyperlink"/>
            <w:rFonts w:ascii="Times New Roman" w:hAnsi="Times New Roman" w:cs="Times New Roman"/>
            <w:b w:val="0"/>
            <w:noProof/>
            <w:sz w:val="24"/>
            <w:szCs w:val="24"/>
          </w:rPr>
          <w:t>2. Background</w:t>
        </w:r>
        <w:r w:rsidR="006F70D6" w:rsidRPr="006F70D6">
          <w:rPr>
            <w:rFonts w:ascii="Times New Roman" w:hAnsi="Times New Roman" w:cs="Times New Roman"/>
            <w:b w:val="0"/>
            <w:noProof/>
            <w:webHidden/>
            <w:sz w:val="24"/>
            <w:szCs w:val="24"/>
          </w:rPr>
          <w:tab/>
        </w:r>
        <w:r w:rsidR="006F70D6" w:rsidRPr="006F70D6">
          <w:rPr>
            <w:rFonts w:ascii="Times New Roman" w:hAnsi="Times New Roman" w:cs="Times New Roman"/>
            <w:b w:val="0"/>
            <w:noProof/>
            <w:webHidden/>
            <w:sz w:val="24"/>
            <w:szCs w:val="24"/>
          </w:rPr>
          <w:fldChar w:fldCharType="begin"/>
        </w:r>
        <w:r w:rsidR="006F70D6" w:rsidRPr="006F70D6">
          <w:rPr>
            <w:rFonts w:ascii="Times New Roman" w:hAnsi="Times New Roman" w:cs="Times New Roman"/>
            <w:b w:val="0"/>
            <w:noProof/>
            <w:webHidden/>
            <w:sz w:val="24"/>
            <w:szCs w:val="24"/>
          </w:rPr>
          <w:instrText xml:space="preserve"> PAGEREF _Toc158973466 \h </w:instrText>
        </w:r>
        <w:r w:rsidR="006F70D6" w:rsidRPr="006F70D6">
          <w:rPr>
            <w:rFonts w:ascii="Times New Roman" w:hAnsi="Times New Roman" w:cs="Times New Roman"/>
            <w:b w:val="0"/>
            <w:noProof/>
            <w:webHidden/>
            <w:sz w:val="24"/>
            <w:szCs w:val="24"/>
          </w:rPr>
        </w:r>
        <w:r w:rsidR="006F70D6" w:rsidRPr="006F70D6">
          <w:rPr>
            <w:rFonts w:ascii="Times New Roman" w:hAnsi="Times New Roman" w:cs="Times New Roman"/>
            <w:b w:val="0"/>
            <w:noProof/>
            <w:webHidden/>
            <w:sz w:val="24"/>
            <w:szCs w:val="24"/>
          </w:rPr>
          <w:fldChar w:fldCharType="separate"/>
        </w:r>
        <w:r w:rsidR="006F70D6" w:rsidRPr="006F70D6">
          <w:rPr>
            <w:rFonts w:ascii="Times New Roman" w:hAnsi="Times New Roman" w:cs="Times New Roman"/>
            <w:b w:val="0"/>
            <w:noProof/>
            <w:webHidden/>
            <w:sz w:val="24"/>
            <w:szCs w:val="24"/>
          </w:rPr>
          <w:t>3</w:t>
        </w:r>
        <w:r w:rsidR="006F70D6" w:rsidRPr="006F70D6">
          <w:rPr>
            <w:rFonts w:ascii="Times New Roman" w:hAnsi="Times New Roman" w:cs="Times New Roman"/>
            <w:b w:val="0"/>
            <w:noProof/>
            <w:webHidden/>
            <w:sz w:val="24"/>
            <w:szCs w:val="24"/>
          </w:rPr>
          <w:fldChar w:fldCharType="end"/>
        </w:r>
      </w:hyperlink>
    </w:p>
    <w:p w14:paraId="1AFCAF91" w14:textId="77777777" w:rsidR="006F70D6" w:rsidRPr="006F70D6" w:rsidRDefault="00DE0095" w:rsidP="006F70D6">
      <w:pPr>
        <w:pStyle w:val="TOC1"/>
        <w:tabs>
          <w:tab w:val="right" w:leader="dot" w:pos="9016"/>
        </w:tabs>
        <w:spacing w:before="0" w:after="0" w:line="360" w:lineRule="auto"/>
        <w:rPr>
          <w:rFonts w:ascii="Times New Roman" w:eastAsiaTheme="minorEastAsia" w:hAnsi="Times New Roman" w:cs="Times New Roman"/>
          <w:b w:val="0"/>
          <w:bCs w:val="0"/>
          <w:caps w:val="0"/>
          <w:noProof/>
          <w:sz w:val="24"/>
          <w:szCs w:val="24"/>
          <w:lang w:eastAsia="en-GB"/>
        </w:rPr>
      </w:pPr>
      <w:hyperlink w:anchor="_Toc158973467" w:history="1">
        <w:r w:rsidR="006F70D6" w:rsidRPr="006F70D6">
          <w:rPr>
            <w:rStyle w:val="Hyperlink"/>
            <w:rFonts w:ascii="Times New Roman" w:hAnsi="Times New Roman" w:cs="Times New Roman"/>
            <w:b w:val="0"/>
            <w:noProof/>
            <w:sz w:val="24"/>
            <w:szCs w:val="24"/>
          </w:rPr>
          <w:t>3. Methods</w:t>
        </w:r>
        <w:r w:rsidR="006F70D6" w:rsidRPr="006F70D6">
          <w:rPr>
            <w:rFonts w:ascii="Times New Roman" w:hAnsi="Times New Roman" w:cs="Times New Roman"/>
            <w:b w:val="0"/>
            <w:noProof/>
            <w:webHidden/>
            <w:sz w:val="24"/>
            <w:szCs w:val="24"/>
          </w:rPr>
          <w:tab/>
        </w:r>
        <w:r w:rsidR="006F70D6" w:rsidRPr="006F70D6">
          <w:rPr>
            <w:rFonts w:ascii="Times New Roman" w:hAnsi="Times New Roman" w:cs="Times New Roman"/>
            <w:b w:val="0"/>
            <w:noProof/>
            <w:webHidden/>
            <w:sz w:val="24"/>
            <w:szCs w:val="24"/>
          </w:rPr>
          <w:fldChar w:fldCharType="begin"/>
        </w:r>
        <w:r w:rsidR="006F70D6" w:rsidRPr="006F70D6">
          <w:rPr>
            <w:rFonts w:ascii="Times New Roman" w:hAnsi="Times New Roman" w:cs="Times New Roman"/>
            <w:b w:val="0"/>
            <w:noProof/>
            <w:webHidden/>
            <w:sz w:val="24"/>
            <w:szCs w:val="24"/>
          </w:rPr>
          <w:instrText xml:space="preserve"> PAGEREF _Toc158973467 \h </w:instrText>
        </w:r>
        <w:r w:rsidR="006F70D6" w:rsidRPr="006F70D6">
          <w:rPr>
            <w:rFonts w:ascii="Times New Roman" w:hAnsi="Times New Roman" w:cs="Times New Roman"/>
            <w:b w:val="0"/>
            <w:noProof/>
            <w:webHidden/>
            <w:sz w:val="24"/>
            <w:szCs w:val="24"/>
          </w:rPr>
        </w:r>
        <w:r w:rsidR="006F70D6" w:rsidRPr="006F70D6">
          <w:rPr>
            <w:rFonts w:ascii="Times New Roman" w:hAnsi="Times New Roman" w:cs="Times New Roman"/>
            <w:b w:val="0"/>
            <w:noProof/>
            <w:webHidden/>
            <w:sz w:val="24"/>
            <w:szCs w:val="24"/>
          </w:rPr>
          <w:fldChar w:fldCharType="separate"/>
        </w:r>
        <w:r w:rsidR="006F70D6" w:rsidRPr="006F70D6">
          <w:rPr>
            <w:rFonts w:ascii="Times New Roman" w:hAnsi="Times New Roman" w:cs="Times New Roman"/>
            <w:b w:val="0"/>
            <w:noProof/>
            <w:webHidden/>
            <w:sz w:val="24"/>
            <w:szCs w:val="24"/>
          </w:rPr>
          <w:t>3</w:t>
        </w:r>
        <w:r w:rsidR="006F70D6" w:rsidRPr="006F70D6">
          <w:rPr>
            <w:rFonts w:ascii="Times New Roman" w:hAnsi="Times New Roman" w:cs="Times New Roman"/>
            <w:b w:val="0"/>
            <w:noProof/>
            <w:webHidden/>
            <w:sz w:val="24"/>
            <w:szCs w:val="24"/>
          </w:rPr>
          <w:fldChar w:fldCharType="end"/>
        </w:r>
      </w:hyperlink>
    </w:p>
    <w:p w14:paraId="6AE7FC94" w14:textId="77777777" w:rsidR="006F70D6" w:rsidRPr="006F70D6" w:rsidRDefault="00DE0095" w:rsidP="006F70D6">
      <w:pPr>
        <w:pStyle w:val="TOC3"/>
        <w:tabs>
          <w:tab w:val="right" w:leader="dot" w:pos="9016"/>
        </w:tabs>
        <w:spacing w:line="360" w:lineRule="auto"/>
        <w:rPr>
          <w:rFonts w:ascii="Times New Roman" w:eastAsiaTheme="minorEastAsia" w:hAnsi="Times New Roman" w:cs="Times New Roman"/>
          <w:i w:val="0"/>
          <w:iCs w:val="0"/>
          <w:noProof/>
          <w:sz w:val="24"/>
          <w:szCs w:val="24"/>
          <w:lang w:eastAsia="en-GB"/>
        </w:rPr>
      </w:pPr>
      <w:hyperlink w:anchor="_Toc158973468" w:history="1">
        <w:r w:rsidR="006F70D6" w:rsidRPr="006F70D6">
          <w:rPr>
            <w:rStyle w:val="Hyperlink"/>
            <w:rFonts w:ascii="Times New Roman" w:hAnsi="Times New Roman" w:cs="Times New Roman"/>
            <w:i w:val="0"/>
            <w:noProof/>
            <w:sz w:val="24"/>
            <w:szCs w:val="24"/>
          </w:rPr>
          <w:t>Data analysis</w:t>
        </w:r>
        <w:r w:rsidR="006F70D6" w:rsidRPr="006F70D6">
          <w:rPr>
            <w:rFonts w:ascii="Times New Roman" w:hAnsi="Times New Roman" w:cs="Times New Roman"/>
            <w:i w:val="0"/>
            <w:noProof/>
            <w:webHidden/>
            <w:sz w:val="24"/>
            <w:szCs w:val="24"/>
          </w:rPr>
          <w:tab/>
        </w:r>
        <w:r w:rsidR="006F70D6" w:rsidRPr="006F70D6">
          <w:rPr>
            <w:rFonts w:ascii="Times New Roman" w:hAnsi="Times New Roman" w:cs="Times New Roman"/>
            <w:i w:val="0"/>
            <w:noProof/>
            <w:webHidden/>
            <w:sz w:val="24"/>
            <w:szCs w:val="24"/>
          </w:rPr>
          <w:fldChar w:fldCharType="begin"/>
        </w:r>
        <w:r w:rsidR="006F70D6" w:rsidRPr="006F70D6">
          <w:rPr>
            <w:rFonts w:ascii="Times New Roman" w:hAnsi="Times New Roman" w:cs="Times New Roman"/>
            <w:i w:val="0"/>
            <w:noProof/>
            <w:webHidden/>
            <w:sz w:val="24"/>
            <w:szCs w:val="24"/>
          </w:rPr>
          <w:instrText xml:space="preserve"> PAGEREF _Toc158973468 \h </w:instrText>
        </w:r>
        <w:r w:rsidR="006F70D6" w:rsidRPr="006F70D6">
          <w:rPr>
            <w:rFonts w:ascii="Times New Roman" w:hAnsi="Times New Roman" w:cs="Times New Roman"/>
            <w:i w:val="0"/>
            <w:noProof/>
            <w:webHidden/>
            <w:sz w:val="24"/>
            <w:szCs w:val="24"/>
          </w:rPr>
        </w:r>
        <w:r w:rsidR="006F70D6" w:rsidRPr="006F70D6">
          <w:rPr>
            <w:rFonts w:ascii="Times New Roman" w:hAnsi="Times New Roman" w:cs="Times New Roman"/>
            <w:i w:val="0"/>
            <w:noProof/>
            <w:webHidden/>
            <w:sz w:val="24"/>
            <w:szCs w:val="24"/>
          </w:rPr>
          <w:fldChar w:fldCharType="separate"/>
        </w:r>
        <w:r w:rsidR="006F70D6" w:rsidRPr="006F70D6">
          <w:rPr>
            <w:rFonts w:ascii="Times New Roman" w:hAnsi="Times New Roman" w:cs="Times New Roman"/>
            <w:i w:val="0"/>
            <w:noProof/>
            <w:webHidden/>
            <w:sz w:val="24"/>
            <w:szCs w:val="24"/>
          </w:rPr>
          <w:t>3</w:t>
        </w:r>
        <w:r w:rsidR="006F70D6" w:rsidRPr="006F70D6">
          <w:rPr>
            <w:rFonts w:ascii="Times New Roman" w:hAnsi="Times New Roman" w:cs="Times New Roman"/>
            <w:i w:val="0"/>
            <w:noProof/>
            <w:webHidden/>
            <w:sz w:val="24"/>
            <w:szCs w:val="24"/>
          </w:rPr>
          <w:fldChar w:fldCharType="end"/>
        </w:r>
      </w:hyperlink>
    </w:p>
    <w:p w14:paraId="60D1AEBA" w14:textId="77777777" w:rsidR="006F70D6" w:rsidRPr="006F70D6" w:rsidRDefault="00DE0095" w:rsidP="006F70D6">
      <w:pPr>
        <w:pStyle w:val="TOC3"/>
        <w:tabs>
          <w:tab w:val="right" w:leader="dot" w:pos="9016"/>
        </w:tabs>
        <w:spacing w:line="360" w:lineRule="auto"/>
        <w:rPr>
          <w:rFonts w:ascii="Times New Roman" w:eastAsiaTheme="minorEastAsia" w:hAnsi="Times New Roman" w:cs="Times New Roman"/>
          <w:i w:val="0"/>
          <w:iCs w:val="0"/>
          <w:noProof/>
          <w:sz w:val="24"/>
          <w:szCs w:val="24"/>
          <w:lang w:eastAsia="en-GB"/>
        </w:rPr>
      </w:pPr>
      <w:hyperlink w:anchor="_Toc158973469" w:history="1">
        <w:r w:rsidR="006F70D6" w:rsidRPr="006F70D6">
          <w:rPr>
            <w:rStyle w:val="Hyperlink"/>
            <w:rFonts w:ascii="Times New Roman" w:hAnsi="Times New Roman" w:cs="Times New Roman"/>
            <w:i w:val="0"/>
            <w:noProof/>
            <w:sz w:val="24"/>
            <w:szCs w:val="24"/>
          </w:rPr>
          <w:t>Ethical considerations</w:t>
        </w:r>
        <w:r w:rsidR="006F70D6" w:rsidRPr="006F70D6">
          <w:rPr>
            <w:rFonts w:ascii="Times New Roman" w:hAnsi="Times New Roman" w:cs="Times New Roman"/>
            <w:i w:val="0"/>
            <w:noProof/>
            <w:webHidden/>
            <w:sz w:val="24"/>
            <w:szCs w:val="24"/>
          </w:rPr>
          <w:tab/>
        </w:r>
        <w:r w:rsidR="006F70D6" w:rsidRPr="006F70D6">
          <w:rPr>
            <w:rFonts w:ascii="Times New Roman" w:hAnsi="Times New Roman" w:cs="Times New Roman"/>
            <w:i w:val="0"/>
            <w:noProof/>
            <w:webHidden/>
            <w:sz w:val="24"/>
            <w:szCs w:val="24"/>
          </w:rPr>
          <w:fldChar w:fldCharType="begin"/>
        </w:r>
        <w:r w:rsidR="006F70D6" w:rsidRPr="006F70D6">
          <w:rPr>
            <w:rFonts w:ascii="Times New Roman" w:hAnsi="Times New Roman" w:cs="Times New Roman"/>
            <w:i w:val="0"/>
            <w:noProof/>
            <w:webHidden/>
            <w:sz w:val="24"/>
            <w:szCs w:val="24"/>
          </w:rPr>
          <w:instrText xml:space="preserve"> PAGEREF _Toc158973469 \h </w:instrText>
        </w:r>
        <w:r w:rsidR="006F70D6" w:rsidRPr="006F70D6">
          <w:rPr>
            <w:rFonts w:ascii="Times New Roman" w:hAnsi="Times New Roman" w:cs="Times New Roman"/>
            <w:i w:val="0"/>
            <w:noProof/>
            <w:webHidden/>
            <w:sz w:val="24"/>
            <w:szCs w:val="24"/>
          </w:rPr>
        </w:r>
        <w:r w:rsidR="006F70D6" w:rsidRPr="006F70D6">
          <w:rPr>
            <w:rFonts w:ascii="Times New Roman" w:hAnsi="Times New Roman" w:cs="Times New Roman"/>
            <w:i w:val="0"/>
            <w:noProof/>
            <w:webHidden/>
            <w:sz w:val="24"/>
            <w:szCs w:val="24"/>
          </w:rPr>
          <w:fldChar w:fldCharType="separate"/>
        </w:r>
        <w:r w:rsidR="006F70D6" w:rsidRPr="006F70D6">
          <w:rPr>
            <w:rFonts w:ascii="Times New Roman" w:hAnsi="Times New Roman" w:cs="Times New Roman"/>
            <w:i w:val="0"/>
            <w:noProof/>
            <w:webHidden/>
            <w:sz w:val="24"/>
            <w:szCs w:val="24"/>
          </w:rPr>
          <w:t>4</w:t>
        </w:r>
        <w:r w:rsidR="006F70D6" w:rsidRPr="006F70D6">
          <w:rPr>
            <w:rFonts w:ascii="Times New Roman" w:hAnsi="Times New Roman" w:cs="Times New Roman"/>
            <w:i w:val="0"/>
            <w:noProof/>
            <w:webHidden/>
            <w:sz w:val="24"/>
            <w:szCs w:val="24"/>
          </w:rPr>
          <w:fldChar w:fldCharType="end"/>
        </w:r>
      </w:hyperlink>
    </w:p>
    <w:p w14:paraId="6729043D" w14:textId="77777777" w:rsidR="006F70D6" w:rsidRPr="006F70D6" w:rsidRDefault="00DE0095" w:rsidP="006F70D6">
      <w:pPr>
        <w:pStyle w:val="TOC1"/>
        <w:tabs>
          <w:tab w:val="right" w:leader="dot" w:pos="9016"/>
        </w:tabs>
        <w:spacing w:before="0" w:after="0" w:line="360" w:lineRule="auto"/>
        <w:rPr>
          <w:rFonts w:ascii="Times New Roman" w:eastAsiaTheme="minorEastAsia" w:hAnsi="Times New Roman" w:cs="Times New Roman"/>
          <w:b w:val="0"/>
          <w:bCs w:val="0"/>
          <w:caps w:val="0"/>
          <w:noProof/>
          <w:sz w:val="24"/>
          <w:szCs w:val="24"/>
          <w:lang w:eastAsia="en-GB"/>
        </w:rPr>
      </w:pPr>
      <w:hyperlink w:anchor="_Toc158973470" w:history="1">
        <w:r w:rsidR="006F70D6" w:rsidRPr="006F70D6">
          <w:rPr>
            <w:rStyle w:val="Hyperlink"/>
            <w:rFonts w:ascii="Times New Roman" w:hAnsi="Times New Roman" w:cs="Times New Roman"/>
            <w:b w:val="0"/>
            <w:noProof/>
            <w:sz w:val="24"/>
            <w:szCs w:val="24"/>
          </w:rPr>
          <w:t>4. Results</w:t>
        </w:r>
        <w:r w:rsidR="006F70D6" w:rsidRPr="006F70D6">
          <w:rPr>
            <w:rFonts w:ascii="Times New Roman" w:hAnsi="Times New Roman" w:cs="Times New Roman"/>
            <w:b w:val="0"/>
            <w:noProof/>
            <w:webHidden/>
            <w:sz w:val="24"/>
            <w:szCs w:val="24"/>
          </w:rPr>
          <w:tab/>
        </w:r>
        <w:r w:rsidR="006F70D6" w:rsidRPr="006F70D6">
          <w:rPr>
            <w:rFonts w:ascii="Times New Roman" w:hAnsi="Times New Roman" w:cs="Times New Roman"/>
            <w:b w:val="0"/>
            <w:noProof/>
            <w:webHidden/>
            <w:sz w:val="24"/>
            <w:szCs w:val="24"/>
          </w:rPr>
          <w:fldChar w:fldCharType="begin"/>
        </w:r>
        <w:r w:rsidR="006F70D6" w:rsidRPr="006F70D6">
          <w:rPr>
            <w:rFonts w:ascii="Times New Roman" w:hAnsi="Times New Roman" w:cs="Times New Roman"/>
            <w:b w:val="0"/>
            <w:noProof/>
            <w:webHidden/>
            <w:sz w:val="24"/>
            <w:szCs w:val="24"/>
          </w:rPr>
          <w:instrText xml:space="preserve"> PAGEREF _Toc158973470 \h </w:instrText>
        </w:r>
        <w:r w:rsidR="006F70D6" w:rsidRPr="006F70D6">
          <w:rPr>
            <w:rFonts w:ascii="Times New Roman" w:hAnsi="Times New Roman" w:cs="Times New Roman"/>
            <w:b w:val="0"/>
            <w:noProof/>
            <w:webHidden/>
            <w:sz w:val="24"/>
            <w:szCs w:val="24"/>
          </w:rPr>
        </w:r>
        <w:r w:rsidR="006F70D6" w:rsidRPr="006F70D6">
          <w:rPr>
            <w:rFonts w:ascii="Times New Roman" w:hAnsi="Times New Roman" w:cs="Times New Roman"/>
            <w:b w:val="0"/>
            <w:noProof/>
            <w:webHidden/>
            <w:sz w:val="24"/>
            <w:szCs w:val="24"/>
          </w:rPr>
          <w:fldChar w:fldCharType="separate"/>
        </w:r>
        <w:r w:rsidR="006F70D6" w:rsidRPr="006F70D6">
          <w:rPr>
            <w:rFonts w:ascii="Times New Roman" w:hAnsi="Times New Roman" w:cs="Times New Roman"/>
            <w:b w:val="0"/>
            <w:noProof/>
            <w:webHidden/>
            <w:sz w:val="24"/>
            <w:szCs w:val="24"/>
          </w:rPr>
          <w:t>4</w:t>
        </w:r>
        <w:r w:rsidR="006F70D6" w:rsidRPr="006F70D6">
          <w:rPr>
            <w:rFonts w:ascii="Times New Roman" w:hAnsi="Times New Roman" w:cs="Times New Roman"/>
            <w:b w:val="0"/>
            <w:noProof/>
            <w:webHidden/>
            <w:sz w:val="24"/>
            <w:szCs w:val="24"/>
          </w:rPr>
          <w:fldChar w:fldCharType="end"/>
        </w:r>
      </w:hyperlink>
    </w:p>
    <w:p w14:paraId="2B947CDE" w14:textId="77777777" w:rsidR="006F70D6" w:rsidRPr="006F70D6" w:rsidRDefault="00DE0095" w:rsidP="006F70D6">
      <w:pPr>
        <w:pStyle w:val="TOC1"/>
        <w:tabs>
          <w:tab w:val="right" w:leader="dot" w:pos="9016"/>
        </w:tabs>
        <w:spacing w:before="0" w:after="0" w:line="360" w:lineRule="auto"/>
        <w:rPr>
          <w:rFonts w:ascii="Times New Roman" w:eastAsiaTheme="minorEastAsia" w:hAnsi="Times New Roman" w:cs="Times New Roman"/>
          <w:b w:val="0"/>
          <w:bCs w:val="0"/>
          <w:caps w:val="0"/>
          <w:noProof/>
          <w:sz w:val="24"/>
          <w:szCs w:val="24"/>
          <w:lang w:eastAsia="en-GB"/>
        </w:rPr>
      </w:pPr>
      <w:hyperlink w:anchor="_Toc158973471" w:history="1">
        <w:r w:rsidR="006F70D6" w:rsidRPr="006F70D6">
          <w:rPr>
            <w:rStyle w:val="Hyperlink"/>
            <w:rFonts w:ascii="Times New Roman" w:hAnsi="Times New Roman" w:cs="Times New Roman"/>
            <w:b w:val="0"/>
            <w:noProof/>
            <w:sz w:val="24"/>
            <w:szCs w:val="24"/>
          </w:rPr>
          <w:t>5. Discussion</w:t>
        </w:r>
        <w:r w:rsidR="006F70D6" w:rsidRPr="006F70D6">
          <w:rPr>
            <w:rFonts w:ascii="Times New Roman" w:hAnsi="Times New Roman" w:cs="Times New Roman"/>
            <w:b w:val="0"/>
            <w:noProof/>
            <w:webHidden/>
            <w:sz w:val="24"/>
            <w:szCs w:val="24"/>
          </w:rPr>
          <w:tab/>
        </w:r>
        <w:r w:rsidR="006F70D6" w:rsidRPr="006F70D6">
          <w:rPr>
            <w:rFonts w:ascii="Times New Roman" w:hAnsi="Times New Roman" w:cs="Times New Roman"/>
            <w:b w:val="0"/>
            <w:noProof/>
            <w:webHidden/>
            <w:sz w:val="24"/>
            <w:szCs w:val="24"/>
          </w:rPr>
          <w:fldChar w:fldCharType="begin"/>
        </w:r>
        <w:r w:rsidR="006F70D6" w:rsidRPr="006F70D6">
          <w:rPr>
            <w:rFonts w:ascii="Times New Roman" w:hAnsi="Times New Roman" w:cs="Times New Roman"/>
            <w:b w:val="0"/>
            <w:noProof/>
            <w:webHidden/>
            <w:sz w:val="24"/>
            <w:szCs w:val="24"/>
          </w:rPr>
          <w:instrText xml:space="preserve"> PAGEREF _Toc158973471 \h </w:instrText>
        </w:r>
        <w:r w:rsidR="006F70D6" w:rsidRPr="006F70D6">
          <w:rPr>
            <w:rFonts w:ascii="Times New Roman" w:hAnsi="Times New Roman" w:cs="Times New Roman"/>
            <w:b w:val="0"/>
            <w:noProof/>
            <w:webHidden/>
            <w:sz w:val="24"/>
            <w:szCs w:val="24"/>
          </w:rPr>
        </w:r>
        <w:r w:rsidR="006F70D6" w:rsidRPr="006F70D6">
          <w:rPr>
            <w:rFonts w:ascii="Times New Roman" w:hAnsi="Times New Roman" w:cs="Times New Roman"/>
            <w:b w:val="0"/>
            <w:noProof/>
            <w:webHidden/>
            <w:sz w:val="24"/>
            <w:szCs w:val="24"/>
          </w:rPr>
          <w:fldChar w:fldCharType="separate"/>
        </w:r>
        <w:r w:rsidR="006F70D6" w:rsidRPr="006F70D6">
          <w:rPr>
            <w:rFonts w:ascii="Times New Roman" w:hAnsi="Times New Roman" w:cs="Times New Roman"/>
            <w:b w:val="0"/>
            <w:noProof/>
            <w:webHidden/>
            <w:sz w:val="24"/>
            <w:szCs w:val="24"/>
          </w:rPr>
          <w:t>6</w:t>
        </w:r>
        <w:r w:rsidR="006F70D6" w:rsidRPr="006F70D6">
          <w:rPr>
            <w:rFonts w:ascii="Times New Roman" w:hAnsi="Times New Roman" w:cs="Times New Roman"/>
            <w:b w:val="0"/>
            <w:noProof/>
            <w:webHidden/>
            <w:sz w:val="24"/>
            <w:szCs w:val="24"/>
          </w:rPr>
          <w:fldChar w:fldCharType="end"/>
        </w:r>
      </w:hyperlink>
    </w:p>
    <w:p w14:paraId="7A8708EB" w14:textId="77777777" w:rsidR="006F70D6" w:rsidRPr="006F70D6" w:rsidRDefault="00DE0095" w:rsidP="006F70D6">
      <w:pPr>
        <w:pStyle w:val="TOC1"/>
        <w:tabs>
          <w:tab w:val="right" w:leader="dot" w:pos="9016"/>
        </w:tabs>
        <w:spacing w:before="0" w:after="0" w:line="360" w:lineRule="auto"/>
        <w:rPr>
          <w:rFonts w:ascii="Times New Roman" w:eastAsiaTheme="minorEastAsia" w:hAnsi="Times New Roman" w:cs="Times New Roman"/>
          <w:b w:val="0"/>
          <w:bCs w:val="0"/>
          <w:caps w:val="0"/>
          <w:noProof/>
          <w:sz w:val="24"/>
          <w:szCs w:val="24"/>
          <w:lang w:eastAsia="en-GB"/>
        </w:rPr>
      </w:pPr>
      <w:hyperlink w:anchor="_Toc158973472" w:history="1">
        <w:r w:rsidR="006F70D6" w:rsidRPr="006F70D6">
          <w:rPr>
            <w:rStyle w:val="Hyperlink"/>
            <w:rFonts w:ascii="Times New Roman" w:hAnsi="Times New Roman" w:cs="Times New Roman"/>
            <w:b w:val="0"/>
            <w:noProof/>
            <w:sz w:val="24"/>
            <w:szCs w:val="24"/>
          </w:rPr>
          <w:t>6. Conclusion</w:t>
        </w:r>
        <w:r w:rsidR="006F70D6" w:rsidRPr="006F70D6">
          <w:rPr>
            <w:rFonts w:ascii="Times New Roman" w:hAnsi="Times New Roman" w:cs="Times New Roman"/>
            <w:b w:val="0"/>
            <w:noProof/>
            <w:webHidden/>
            <w:sz w:val="24"/>
            <w:szCs w:val="24"/>
          </w:rPr>
          <w:tab/>
        </w:r>
        <w:r w:rsidR="006F70D6" w:rsidRPr="006F70D6">
          <w:rPr>
            <w:rFonts w:ascii="Times New Roman" w:hAnsi="Times New Roman" w:cs="Times New Roman"/>
            <w:b w:val="0"/>
            <w:noProof/>
            <w:webHidden/>
            <w:sz w:val="24"/>
            <w:szCs w:val="24"/>
          </w:rPr>
          <w:fldChar w:fldCharType="begin"/>
        </w:r>
        <w:r w:rsidR="006F70D6" w:rsidRPr="006F70D6">
          <w:rPr>
            <w:rFonts w:ascii="Times New Roman" w:hAnsi="Times New Roman" w:cs="Times New Roman"/>
            <w:b w:val="0"/>
            <w:noProof/>
            <w:webHidden/>
            <w:sz w:val="24"/>
            <w:szCs w:val="24"/>
          </w:rPr>
          <w:instrText xml:space="preserve"> PAGEREF _Toc158973472 \h </w:instrText>
        </w:r>
        <w:r w:rsidR="006F70D6" w:rsidRPr="006F70D6">
          <w:rPr>
            <w:rFonts w:ascii="Times New Roman" w:hAnsi="Times New Roman" w:cs="Times New Roman"/>
            <w:b w:val="0"/>
            <w:noProof/>
            <w:webHidden/>
            <w:sz w:val="24"/>
            <w:szCs w:val="24"/>
          </w:rPr>
        </w:r>
        <w:r w:rsidR="006F70D6" w:rsidRPr="006F70D6">
          <w:rPr>
            <w:rFonts w:ascii="Times New Roman" w:hAnsi="Times New Roman" w:cs="Times New Roman"/>
            <w:b w:val="0"/>
            <w:noProof/>
            <w:webHidden/>
            <w:sz w:val="24"/>
            <w:szCs w:val="24"/>
          </w:rPr>
          <w:fldChar w:fldCharType="separate"/>
        </w:r>
        <w:r w:rsidR="006F70D6" w:rsidRPr="006F70D6">
          <w:rPr>
            <w:rFonts w:ascii="Times New Roman" w:hAnsi="Times New Roman" w:cs="Times New Roman"/>
            <w:b w:val="0"/>
            <w:noProof/>
            <w:webHidden/>
            <w:sz w:val="24"/>
            <w:szCs w:val="24"/>
          </w:rPr>
          <w:t>10</w:t>
        </w:r>
        <w:r w:rsidR="006F70D6" w:rsidRPr="006F70D6">
          <w:rPr>
            <w:rFonts w:ascii="Times New Roman" w:hAnsi="Times New Roman" w:cs="Times New Roman"/>
            <w:b w:val="0"/>
            <w:noProof/>
            <w:webHidden/>
            <w:sz w:val="24"/>
            <w:szCs w:val="24"/>
          </w:rPr>
          <w:fldChar w:fldCharType="end"/>
        </w:r>
      </w:hyperlink>
    </w:p>
    <w:p w14:paraId="296E0906" w14:textId="77777777" w:rsidR="006F70D6" w:rsidRPr="006F70D6" w:rsidRDefault="00DE0095" w:rsidP="006F70D6">
      <w:pPr>
        <w:pStyle w:val="TOC1"/>
        <w:tabs>
          <w:tab w:val="right" w:leader="dot" w:pos="9016"/>
        </w:tabs>
        <w:spacing w:before="0" w:after="0" w:line="360" w:lineRule="auto"/>
        <w:rPr>
          <w:rFonts w:ascii="Times New Roman" w:eastAsiaTheme="minorEastAsia" w:hAnsi="Times New Roman" w:cs="Times New Roman"/>
          <w:b w:val="0"/>
          <w:bCs w:val="0"/>
          <w:caps w:val="0"/>
          <w:noProof/>
          <w:sz w:val="24"/>
          <w:szCs w:val="24"/>
          <w:lang w:eastAsia="en-GB"/>
        </w:rPr>
      </w:pPr>
      <w:hyperlink w:anchor="_Toc158973473" w:history="1">
        <w:r w:rsidR="006F70D6" w:rsidRPr="006F70D6">
          <w:rPr>
            <w:rStyle w:val="Hyperlink"/>
            <w:rFonts w:ascii="Times New Roman" w:eastAsia="Calibri" w:hAnsi="Times New Roman" w:cs="Times New Roman"/>
            <w:b w:val="0"/>
            <w:noProof/>
            <w:sz w:val="24"/>
            <w:szCs w:val="24"/>
          </w:rPr>
          <w:t>7. References</w:t>
        </w:r>
        <w:r w:rsidR="006F70D6" w:rsidRPr="006F70D6">
          <w:rPr>
            <w:rFonts w:ascii="Times New Roman" w:hAnsi="Times New Roman" w:cs="Times New Roman"/>
            <w:b w:val="0"/>
            <w:noProof/>
            <w:webHidden/>
            <w:sz w:val="24"/>
            <w:szCs w:val="24"/>
          </w:rPr>
          <w:tab/>
        </w:r>
        <w:r w:rsidR="006F70D6" w:rsidRPr="006F70D6">
          <w:rPr>
            <w:rFonts w:ascii="Times New Roman" w:hAnsi="Times New Roman" w:cs="Times New Roman"/>
            <w:b w:val="0"/>
            <w:noProof/>
            <w:webHidden/>
            <w:sz w:val="24"/>
            <w:szCs w:val="24"/>
          </w:rPr>
          <w:fldChar w:fldCharType="begin"/>
        </w:r>
        <w:r w:rsidR="006F70D6" w:rsidRPr="006F70D6">
          <w:rPr>
            <w:rFonts w:ascii="Times New Roman" w:hAnsi="Times New Roman" w:cs="Times New Roman"/>
            <w:b w:val="0"/>
            <w:noProof/>
            <w:webHidden/>
            <w:sz w:val="24"/>
            <w:szCs w:val="24"/>
          </w:rPr>
          <w:instrText xml:space="preserve"> PAGEREF _Toc158973473 \h </w:instrText>
        </w:r>
        <w:r w:rsidR="006F70D6" w:rsidRPr="006F70D6">
          <w:rPr>
            <w:rFonts w:ascii="Times New Roman" w:hAnsi="Times New Roman" w:cs="Times New Roman"/>
            <w:b w:val="0"/>
            <w:noProof/>
            <w:webHidden/>
            <w:sz w:val="24"/>
            <w:szCs w:val="24"/>
          </w:rPr>
        </w:r>
        <w:r w:rsidR="006F70D6" w:rsidRPr="006F70D6">
          <w:rPr>
            <w:rFonts w:ascii="Times New Roman" w:hAnsi="Times New Roman" w:cs="Times New Roman"/>
            <w:b w:val="0"/>
            <w:noProof/>
            <w:webHidden/>
            <w:sz w:val="24"/>
            <w:szCs w:val="24"/>
          </w:rPr>
          <w:fldChar w:fldCharType="separate"/>
        </w:r>
        <w:r w:rsidR="006F70D6" w:rsidRPr="006F70D6">
          <w:rPr>
            <w:rFonts w:ascii="Times New Roman" w:hAnsi="Times New Roman" w:cs="Times New Roman"/>
            <w:b w:val="0"/>
            <w:noProof/>
            <w:webHidden/>
            <w:sz w:val="24"/>
            <w:szCs w:val="24"/>
          </w:rPr>
          <w:t>10</w:t>
        </w:r>
        <w:r w:rsidR="006F70D6" w:rsidRPr="006F70D6">
          <w:rPr>
            <w:rFonts w:ascii="Times New Roman" w:hAnsi="Times New Roman" w:cs="Times New Roman"/>
            <w:b w:val="0"/>
            <w:noProof/>
            <w:webHidden/>
            <w:sz w:val="24"/>
            <w:szCs w:val="24"/>
          </w:rPr>
          <w:fldChar w:fldCharType="end"/>
        </w:r>
      </w:hyperlink>
    </w:p>
    <w:p w14:paraId="079FB0AB" w14:textId="77777777" w:rsidR="00B912AA" w:rsidRPr="00701475" w:rsidRDefault="00B912AA" w:rsidP="006F70D6">
      <w:pPr>
        <w:spacing w:after="0" w:line="360" w:lineRule="auto"/>
        <w:rPr>
          <w:rFonts w:ascii="Arial" w:eastAsiaTheme="majorEastAsia" w:hAnsi="Arial" w:cs="Arial"/>
          <w:b/>
          <w:szCs w:val="24"/>
        </w:rPr>
      </w:pPr>
      <w:r w:rsidRPr="006F70D6">
        <w:rPr>
          <w:rFonts w:cs="Times New Roman"/>
          <w:szCs w:val="24"/>
        </w:rPr>
        <w:fldChar w:fldCharType="end"/>
      </w:r>
      <w:r w:rsidRPr="00701475">
        <w:rPr>
          <w:rFonts w:ascii="Arial" w:hAnsi="Arial" w:cs="Arial"/>
          <w:szCs w:val="24"/>
        </w:rPr>
        <w:br w:type="page"/>
      </w:r>
    </w:p>
    <w:p w14:paraId="4751EF6F" w14:textId="7E239FE1" w:rsidR="00B87E75" w:rsidRPr="00701475" w:rsidRDefault="00B87E75" w:rsidP="007B7CB1">
      <w:pPr>
        <w:pStyle w:val="Heading1"/>
        <w:numPr>
          <w:ilvl w:val="0"/>
          <w:numId w:val="12"/>
        </w:numPr>
        <w:ind w:left="284" w:firstLine="76"/>
        <w:rPr>
          <w:rFonts w:ascii="Arial" w:hAnsi="Arial" w:cs="Arial"/>
        </w:rPr>
      </w:pPr>
      <w:bookmarkStart w:id="0" w:name="_Toc158973462"/>
      <w:r w:rsidRPr="00701475">
        <w:rPr>
          <w:rFonts w:ascii="Arial" w:hAnsi="Arial" w:cs="Arial"/>
        </w:rPr>
        <w:lastRenderedPageBreak/>
        <w:t>Introduction</w:t>
      </w:r>
      <w:bookmarkEnd w:id="0"/>
    </w:p>
    <w:p w14:paraId="4F537A3E" w14:textId="7388B07C" w:rsidR="007A54C5" w:rsidRPr="00701475" w:rsidRDefault="007627F4" w:rsidP="00A13BFB">
      <w:pPr>
        <w:tabs>
          <w:tab w:val="left" w:pos="6540"/>
        </w:tabs>
        <w:spacing w:after="0" w:line="360" w:lineRule="auto"/>
        <w:jc w:val="both"/>
        <w:rPr>
          <w:rFonts w:ascii="Arial" w:hAnsi="Arial" w:cs="Arial"/>
          <w:szCs w:val="24"/>
          <w:shd w:val="clear" w:color="auto" w:fill="FFFFFF"/>
        </w:rPr>
      </w:pPr>
      <w:r w:rsidRPr="00701475">
        <w:rPr>
          <w:rFonts w:ascii="Arial" w:hAnsi="Arial" w:cs="Arial"/>
          <w:szCs w:val="24"/>
          <w:shd w:val="clear" w:color="auto" w:fill="FFFFFF"/>
        </w:rPr>
        <w:t xml:space="preserve">In the UK, the COVID-19 epidemic presented hitherto unheard-of difficulties for medical practitioners. Doctors, nurses, and other medical personnel found themselves on the front lines, risking their lives to rescue others, as the virus quickly swept across the country. Moreover, a number of societal domains, such as </w:t>
      </w:r>
      <w:r w:rsidR="007D509D" w:rsidRPr="00701475">
        <w:rPr>
          <w:rFonts w:ascii="Arial" w:hAnsi="Arial" w:cs="Arial"/>
          <w:szCs w:val="24"/>
          <w:shd w:val="clear" w:color="auto" w:fill="FFFFFF"/>
        </w:rPr>
        <w:t xml:space="preserve">the essential </w:t>
      </w:r>
      <w:proofErr w:type="gramStart"/>
      <w:r w:rsidR="007D509D" w:rsidRPr="00701475">
        <w:rPr>
          <w:rFonts w:ascii="Arial" w:hAnsi="Arial" w:cs="Arial"/>
          <w:szCs w:val="24"/>
          <w:shd w:val="clear" w:color="auto" w:fill="FFFFFF"/>
        </w:rPr>
        <w:t xml:space="preserve">services </w:t>
      </w:r>
      <w:r w:rsidRPr="00701475">
        <w:rPr>
          <w:rFonts w:ascii="Arial" w:hAnsi="Arial" w:cs="Arial"/>
          <w:szCs w:val="24"/>
          <w:shd w:val="clear" w:color="auto" w:fill="FFFFFF"/>
        </w:rPr>
        <w:t xml:space="preserve"> the</w:t>
      </w:r>
      <w:proofErr w:type="gramEnd"/>
      <w:r w:rsidRPr="00701475">
        <w:rPr>
          <w:rFonts w:ascii="Arial" w:hAnsi="Arial" w:cs="Arial"/>
          <w:szCs w:val="24"/>
          <w:shd w:val="clear" w:color="auto" w:fill="FFFFFF"/>
        </w:rPr>
        <w:t xml:space="preserve"> community's most vulnerable members, were severely affected. The </w:t>
      </w:r>
      <w:r w:rsidR="003F1F91" w:rsidRPr="00701475">
        <w:rPr>
          <w:rFonts w:ascii="Arial" w:hAnsi="Arial" w:cs="Arial"/>
          <w:szCs w:val="24"/>
          <w:shd w:val="clear" w:color="auto" w:fill="FFFFFF"/>
        </w:rPr>
        <w:t>aim</w:t>
      </w:r>
      <w:r w:rsidRPr="00701475">
        <w:rPr>
          <w:rFonts w:ascii="Arial" w:hAnsi="Arial" w:cs="Arial"/>
          <w:szCs w:val="24"/>
          <w:shd w:val="clear" w:color="auto" w:fill="FFFFFF"/>
        </w:rPr>
        <w:t xml:space="preserve"> of this article is to outline the major obstacles that UK healthcare workers had to overcome during the COVID-19 epidemic and to talk about how they overcame these hardships.</w:t>
      </w:r>
    </w:p>
    <w:p w14:paraId="0194D608" w14:textId="77777777" w:rsidR="007B7CB1" w:rsidRPr="00701475" w:rsidRDefault="007B7CB1" w:rsidP="00A13BFB">
      <w:pPr>
        <w:tabs>
          <w:tab w:val="left" w:pos="6540"/>
        </w:tabs>
        <w:spacing w:after="0" w:line="360" w:lineRule="auto"/>
        <w:jc w:val="both"/>
        <w:rPr>
          <w:rFonts w:ascii="Arial" w:hAnsi="Arial" w:cs="Arial"/>
          <w:szCs w:val="24"/>
          <w:shd w:val="clear" w:color="auto" w:fill="FFFFFF"/>
        </w:rPr>
      </w:pPr>
    </w:p>
    <w:p w14:paraId="2BBAE28D" w14:textId="1C56E900" w:rsidR="007B7CB1" w:rsidRDefault="007B7CB1" w:rsidP="006F70D6">
      <w:pPr>
        <w:pStyle w:val="Heading2"/>
        <w:rPr>
          <w:rFonts w:ascii="Arial" w:hAnsi="Arial" w:cs="Arial"/>
          <w:shd w:val="clear" w:color="auto" w:fill="FFFFFF"/>
        </w:rPr>
      </w:pPr>
      <w:bookmarkStart w:id="1" w:name="_Toc158973463"/>
      <w:r w:rsidRPr="00701475">
        <w:rPr>
          <w:rFonts w:ascii="Arial" w:hAnsi="Arial" w:cs="Arial"/>
          <w:shd w:val="clear" w:color="auto" w:fill="FFFFFF"/>
        </w:rPr>
        <w:t>Aims</w:t>
      </w:r>
      <w:bookmarkEnd w:id="1"/>
      <w:r w:rsidRPr="00701475">
        <w:rPr>
          <w:rFonts w:ascii="Arial" w:hAnsi="Arial" w:cs="Arial"/>
          <w:shd w:val="clear" w:color="auto" w:fill="FFFFFF"/>
        </w:rPr>
        <w:t xml:space="preserve"> </w:t>
      </w:r>
    </w:p>
    <w:p w14:paraId="3412664F" w14:textId="77777777" w:rsidR="00701475" w:rsidRDefault="00701475" w:rsidP="00701475"/>
    <w:p w14:paraId="2C19A6EA" w14:textId="35A864E4" w:rsidR="00701475" w:rsidRPr="00701475" w:rsidRDefault="00701475" w:rsidP="00701475">
      <w:pPr>
        <w:rPr>
          <w:rFonts w:ascii="Arial" w:hAnsi="Arial" w:cs="Arial"/>
        </w:rPr>
      </w:pPr>
      <w:r>
        <w:rPr>
          <w:rFonts w:ascii="Arial" w:hAnsi="Arial" w:cs="Arial"/>
        </w:rPr>
        <w:t>This research aims to i</w:t>
      </w:r>
      <w:r w:rsidRPr="00701475">
        <w:rPr>
          <w:rFonts w:ascii="Arial" w:hAnsi="Arial" w:cs="Arial"/>
        </w:rPr>
        <w:t>nvestigat</w:t>
      </w:r>
      <w:r>
        <w:rPr>
          <w:rFonts w:ascii="Arial" w:hAnsi="Arial" w:cs="Arial"/>
        </w:rPr>
        <w:t xml:space="preserve">e </w:t>
      </w:r>
      <w:r w:rsidRPr="00701475">
        <w:rPr>
          <w:rFonts w:ascii="Arial" w:hAnsi="Arial" w:cs="Arial"/>
        </w:rPr>
        <w:t xml:space="preserve">the impact of COVID-19 on care workers, </w:t>
      </w:r>
      <w:proofErr w:type="gramStart"/>
      <w:r w:rsidRPr="00701475">
        <w:rPr>
          <w:rFonts w:ascii="Arial" w:hAnsi="Arial" w:cs="Arial"/>
        </w:rPr>
        <w:t>carers</w:t>
      </w:r>
      <w:proofErr w:type="gramEnd"/>
      <w:r w:rsidRPr="00701475">
        <w:rPr>
          <w:rFonts w:ascii="Arial" w:hAnsi="Arial" w:cs="Arial"/>
        </w:rPr>
        <w:t xml:space="preserve"> and families in the community.</w:t>
      </w:r>
    </w:p>
    <w:p w14:paraId="63CDE476" w14:textId="77777777" w:rsidR="007B7CB1" w:rsidRPr="00701475" w:rsidRDefault="007B7CB1" w:rsidP="00A13BFB">
      <w:pPr>
        <w:tabs>
          <w:tab w:val="left" w:pos="6540"/>
        </w:tabs>
        <w:spacing w:after="0" w:line="360" w:lineRule="auto"/>
        <w:jc w:val="both"/>
        <w:rPr>
          <w:rFonts w:ascii="Arial" w:hAnsi="Arial" w:cs="Arial"/>
          <w:szCs w:val="24"/>
          <w:shd w:val="clear" w:color="auto" w:fill="FFFFFF"/>
        </w:rPr>
      </w:pPr>
    </w:p>
    <w:p w14:paraId="27E5F893" w14:textId="77777777" w:rsidR="005C03AD" w:rsidRPr="00701475" w:rsidRDefault="00AD0BF8" w:rsidP="005C03AD">
      <w:pPr>
        <w:pStyle w:val="NormalWeb"/>
        <w:spacing w:before="0" w:beforeAutospacing="0" w:after="0" w:afterAutospacing="0" w:line="360" w:lineRule="auto"/>
        <w:textAlignment w:val="baseline"/>
        <w:outlineLvl w:val="1"/>
        <w:rPr>
          <w:rFonts w:ascii="Arial" w:hAnsi="Arial" w:cs="Arial"/>
          <w:b/>
          <w:kern w:val="24"/>
        </w:rPr>
      </w:pPr>
      <w:bookmarkStart w:id="2" w:name="_Toc158973464"/>
      <w:bookmarkStart w:id="3" w:name="_Hlk144841446"/>
      <w:r w:rsidRPr="00701475">
        <w:rPr>
          <w:rFonts w:ascii="Arial" w:hAnsi="Arial" w:cs="Arial"/>
          <w:b/>
          <w:kern w:val="24"/>
        </w:rPr>
        <w:t>Objective</w:t>
      </w:r>
      <w:bookmarkEnd w:id="2"/>
      <w:r w:rsidRPr="00701475">
        <w:rPr>
          <w:rFonts w:ascii="Arial" w:hAnsi="Arial" w:cs="Arial"/>
          <w:b/>
          <w:kern w:val="24"/>
        </w:rPr>
        <w:t xml:space="preserve"> </w:t>
      </w:r>
    </w:p>
    <w:bookmarkEnd w:id="3"/>
    <w:p w14:paraId="4A29A156" w14:textId="4DD41BDA" w:rsidR="00701475" w:rsidRPr="00701475" w:rsidRDefault="00701475" w:rsidP="00701475">
      <w:pPr>
        <w:tabs>
          <w:tab w:val="left" w:pos="6540"/>
        </w:tabs>
        <w:spacing w:after="0" w:line="360" w:lineRule="auto"/>
        <w:jc w:val="both"/>
        <w:rPr>
          <w:rFonts w:ascii="Arial" w:eastAsia="Times New Roman" w:hAnsi="Arial" w:cs="Arial"/>
          <w:bCs/>
          <w:kern w:val="24"/>
          <w:szCs w:val="24"/>
          <w:lang w:eastAsia="en-GB"/>
        </w:rPr>
      </w:pPr>
      <w:r w:rsidRPr="00701475">
        <w:rPr>
          <w:rFonts w:ascii="Arial" w:eastAsia="Times New Roman" w:hAnsi="Arial" w:cs="Arial"/>
          <w:bCs/>
          <w:kern w:val="24"/>
          <w:szCs w:val="24"/>
          <w:lang w:eastAsia="en-GB"/>
        </w:rPr>
        <w:t xml:space="preserve">•To </w:t>
      </w:r>
      <w:r>
        <w:rPr>
          <w:rFonts w:ascii="Arial" w:eastAsia="Times New Roman" w:hAnsi="Arial" w:cs="Arial"/>
          <w:bCs/>
          <w:kern w:val="24"/>
          <w:szCs w:val="24"/>
          <w:lang w:eastAsia="en-GB"/>
        </w:rPr>
        <w:t>identify</w:t>
      </w:r>
      <w:r w:rsidRPr="00701475">
        <w:rPr>
          <w:rFonts w:ascii="Arial" w:eastAsia="Times New Roman" w:hAnsi="Arial" w:cs="Arial"/>
          <w:bCs/>
          <w:kern w:val="24"/>
          <w:szCs w:val="24"/>
          <w:lang w:eastAsia="en-GB"/>
        </w:rPr>
        <w:t xml:space="preserve"> the variables that affected the experiences of patients for the period of the Covid19 pandemic</w:t>
      </w:r>
    </w:p>
    <w:p w14:paraId="3A1F4BFD" w14:textId="1A97A968" w:rsidR="00701475" w:rsidRPr="00701475" w:rsidRDefault="00701475" w:rsidP="00701475">
      <w:pPr>
        <w:tabs>
          <w:tab w:val="left" w:pos="6540"/>
        </w:tabs>
        <w:spacing w:after="0" w:line="360" w:lineRule="auto"/>
        <w:jc w:val="both"/>
        <w:rPr>
          <w:rFonts w:ascii="Arial" w:eastAsia="Times New Roman" w:hAnsi="Arial" w:cs="Arial"/>
          <w:bCs/>
          <w:kern w:val="24"/>
          <w:szCs w:val="24"/>
          <w:lang w:eastAsia="en-GB"/>
        </w:rPr>
      </w:pPr>
      <w:r w:rsidRPr="00701475">
        <w:rPr>
          <w:rFonts w:ascii="Arial" w:eastAsia="Times New Roman" w:hAnsi="Arial" w:cs="Arial"/>
          <w:bCs/>
          <w:kern w:val="24"/>
          <w:szCs w:val="24"/>
          <w:lang w:eastAsia="en-GB"/>
        </w:rPr>
        <w:t xml:space="preserve">•To </w:t>
      </w:r>
      <w:r>
        <w:rPr>
          <w:rFonts w:ascii="Arial" w:eastAsia="Times New Roman" w:hAnsi="Arial" w:cs="Arial"/>
          <w:bCs/>
          <w:kern w:val="24"/>
          <w:szCs w:val="24"/>
          <w:lang w:eastAsia="en-GB"/>
        </w:rPr>
        <w:t>discuss</w:t>
      </w:r>
      <w:r w:rsidRPr="00701475">
        <w:rPr>
          <w:rFonts w:ascii="Arial" w:eastAsia="Times New Roman" w:hAnsi="Arial" w:cs="Arial"/>
          <w:bCs/>
          <w:kern w:val="24"/>
          <w:szCs w:val="24"/>
          <w:lang w:eastAsia="en-GB"/>
        </w:rPr>
        <w:t xml:space="preserve"> the effect of Covid19 on community healthcare workers, </w:t>
      </w:r>
      <w:proofErr w:type="gramStart"/>
      <w:r w:rsidRPr="00701475">
        <w:rPr>
          <w:rFonts w:ascii="Arial" w:eastAsia="Times New Roman" w:hAnsi="Arial" w:cs="Arial"/>
          <w:bCs/>
          <w:kern w:val="24"/>
          <w:szCs w:val="24"/>
          <w:lang w:eastAsia="en-GB"/>
        </w:rPr>
        <w:t>relations</w:t>
      </w:r>
      <w:proofErr w:type="gramEnd"/>
      <w:r w:rsidRPr="00701475">
        <w:rPr>
          <w:rFonts w:ascii="Arial" w:eastAsia="Times New Roman" w:hAnsi="Arial" w:cs="Arial"/>
          <w:bCs/>
          <w:kern w:val="24"/>
          <w:szCs w:val="24"/>
          <w:lang w:eastAsia="en-GB"/>
        </w:rPr>
        <w:t xml:space="preserve"> and the general public</w:t>
      </w:r>
    </w:p>
    <w:p w14:paraId="4D73C29E" w14:textId="21551EEC" w:rsidR="007A54C5" w:rsidRDefault="00701475" w:rsidP="00701475">
      <w:pPr>
        <w:tabs>
          <w:tab w:val="left" w:pos="6540"/>
        </w:tabs>
        <w:spacing w:after="0" w:line="360" w:lineRule="auto"/>
        <w:jc w:val="both"/>
        <w:rPr>
          <w:rFonts w:ascii="Arial" w:eastAsia="Times New Roman" w:hAnsi="Arial" w:cs="Arial"/>
          <w:bCs/>
          <w:kern w:val="24"/>
          <w:szCs w:val="24"/>
          <w:lang w:eastAsia="en-GB"/>
        </w:rPr>
      </w:pPr>
      <w:r w:rsidRPr="00701475">
        <w:rPr>
          <w:rFonts w:ascii="Arial" w:eastAsia="Times New Roman" w:hAnsi="Arial" w:cs="Arial"/>
          <w:bCs/>
          <w:kern w:val="24"/>
          <w:szCs w:val="24"/>
          <w:lang w:eastAsia="en-GB"/>
        </w:rPr>
        <w:t xml:space="preserve">•To </w:t>
      </w:r>
      <w:r>
        <w:rPr>
          <w:rFonts w:ascii="Arial" w:eastAsia="Times New Roman" w:hAnsi="Arial" w:cs="Arial"/>
          <w:bCs/>
          <w:kern w:val="24"/>
          <w:szCs w:val="24"/>
          <w:lang w:eastAsia="en-GB"/>
        </w:rPr>
        <w:t xml:space="preserve">explain the </w:t>
      </w:r>
      <w:r w:rsidRPr="00701475">
        <w:rPr>
          <w:rFonts w:ascii="Arial" w:eastAsia="Times New Roman" w:hAnsi="Arial" w:cs="Arial"/>
          <w:bCs/>
          <w:kern w:val="24"/>
          <w:szCs w:val="24"/>
          <w:lang w:eastAsia="en-GB"/>
        </w:rPr>
        <w:t>challenges encountered by healthcare professionals throughout the pandemic in the UK</w:t>
      </w:r>
    </w:p>
    <w:p w14:paraId="20EBC4FF" w14:textId="77777777" w:rsidR="00701475" w:rsidRPr="00701475" w:rsidRDefault="00701475" w:rsidP="00701475">
      <w:pPr>
        <w:tabs>
          <w:tab w:val="left" w:pos="6540"/>
        </w:tabs>
        <w:spacing w:after="0" w:line="360" w:lineRule="auto"/>
        <w:jc w:val="both"/>
        <w:rPr>
          <w:rFonts w:ascii="Arial" w:hAnsi="Arial" w:cs="Arial"/>
          <w:szCs w:val="24"/>
        </w:rPr>
      </w:pPr>
    </w:p>
    <w:p w14:paraId="2FAF99C9" w14:textId="77777777" w:rsidR="00873CB4" w:rsidRPr="00701475" w:rsidRDefault="00873CB4" w:rsidP="006F70D6">
      <w:pPr>
        <w:pStyle w:val="Heading2"/>
        <w:rPr>
          <w:rFonts w:ascii="Arial" w:hAnsi="Arial" w:cs="Arial"/>
        </w:rPr>
      </w:pPr>
      <w:bookmarkStart w:id="4" w:name="_Toc158973465"/>
      <w:r w:rsidRPr="00701475">
        <w:rPr>
          <w:rFonts w:ascii="Arial" w:hAnsi="Arial" w:cs="Arial"/>
        </w:rPr>
        <w:t>The Justification for the Study</w:t>
      </w:r>
      <w:bookmarkEnd w:id="4"/>
    </w:p>
    <w:p w14:paraId="6D7C40E9" w14:textId="4E13C63F" w:rsidR="00873CB4" w:rsidRPr="00701475" w:rsidRDefault="00873CB4" w:rsidP="00A13BFB">
      <w:pPr>
        <w:tabs>
          <w:tab w:val="left" w:pos="6540"/>
        </w:tabs>
        <w:spacing w:after="0" w:line="360" w:lineRule="auto"/>
        <w:jc w:val="both"/>
        <w:rPr>
          <w:rFonts w:ascii="Arial" w:hAnsi="Arial" w:cs="Arial"/>
          <w:szCs w:val="24"/>
        </w:rPr>
      </w:pPr>
      <w:r w:rsidRPr="00701475">
        <w:rPr>
          <w:rFonts w:ascii="Arial" w:hAnsi="Arial" w:cs="Arial"/>
          <w:szCs w:val="24"/>
        </w:rPr>
        <w:t>It is yet unknown how the epidemic will ultimately impact the United Kingdom. Socioeconomic gaps have widened, issues with the current healthcare system have come to light, and discussions concerning emergency response plans and public health preparedness have been ignited. Howarth et al. (2021) report</w:t>
      </w:r>
      <w:r w:rsidR="001F4096" w:rsidRPr="00701475">
        <w:rPr>
          <w:rFonts w:ascii="Arial" w:hAnsi="Arial" w:cs="Arial"/>
          <w:szCs w:val="24"/>
        </w:rPr>
        <w:t>ed</w:t>
      </w:r>
      <w:r w:rsidRPr="00701475">
        <w:rPr>
          <w:rFonts w:ascii="Arial" w:hAnsi="Arial" w:cs="Arial"/>
          <w:szCs w:val="24"/>
        </w:rPr>
        <w:t xml:space="preserve"> that the COVID-19 pandemic's initial wave had a significant effect on healthcare service utilization. It was found that the number of people seeking medical care immediately decreased by 70% following the announcement of the pandemic and the initial lockdown. This issue arose from the </w:t>
      </w:r>
      <w:r w:rsidR="001F4096" w:rsidRPr="00701475">
        <w:rPr>
          <w:rFonts w:ascii="Arial" w:hAnsi="Arial" w:cs="Arial"/>
          <w:szCs w:val="24"/>
        </w:rPr>
        <w:t>public’s</w:t>
      </w:r>
      <w:r w:rsidRPr="00701475">
        <w:rPr>
          <w:rFonts w:ascii="Arial" w:hAnsi="Arial" w:cs="Arial"/>
          <w:szCs w:val="24"/>
        </w:rPr>
        <w:t xml:space="preserve"> </w:t>
      </w:r>
      <w:r w:rsidR="001F4096" w:rsidRPr="00701475">
        <w:rPr>
          <w:rFonts w:ascii="Arial" w:hAnsi="Arial" w:cs="Arial"/>
          <w:szCs w:val="24"/>
        </w:rPr>
        <w:t>incapability</w:t>
      </w:r>
      <w:r w:rsidRPr="00701475">
        <w:rPr>
          <w:rFonts w:ascii="Arial" w:hAnsi="Arial" w:cs="Arial"/>
          <w:szCs w:val="24"/>
        </w:rPr>
        <w:t xml:space="preserve"> to obtain adequate treatment for other disorders. The National Health Service (NHS) faced challenges in managing treatment for illnesses other than COVID-19, including inadequate personal protective </w:t>
      </w:r>
      <w:r w:rsidRPr="00701475">
        <w:rPr>
          <w:rFonts w:ascii="Arial" w:hAnsi="Arial" w:cs="Arial"/>
          <w:szCs w:val="24"/>
        </w:rPr>
        <w:lastRenderedPageBreak/>
        <w:t>equipment (PPE), an overabundance of patients, physical and psychological strain, and other concerns. However, medical staff demonstrated perseverance and commitment to patient care. It is imperative to bear in mind that the COVID-19 pandemic is dynamic and subject to sudden changes in information and advancements.</w:t>
      </w:r>
    </w:p>
    <w:p w14:paraId="66601C3E" w14:textId="77777777" w:rsidR="00A13BFB" w:rsidRPr="00701475" w:rsidRDefault="00A13BFB" w:rsidP="00A13BFB">
      <w:pPr>
        <w:tabs>
          <w:tab w:val="left" w:pos="6540"/>
        </w:tabs>
        <w:spacing w:after="0" w:line="360" w:lineRule="auto"/>
        <w:jc w:val="both"/>
        <w:rPr>
          <w:rFonts w:ascii="Arial" w:hAnsi="Arial" w:cs="Arial"/>
          <w:szCs w:val="24"/>
        </w:rPr>
      </w:pPr>
    </w:p>
    <w:p w14:paraId="52D31052" w14:textId="1B1F40C9" w:rsidR="00873CB4" w:rsidRPr="00701475" w:rsidRDefault="00873CB4" w:rsidP="007B7CB1">
      <w:pPr>
        <w:pStyle w:val="Heading1"/>
        <w:rPr>
          <w:rFonts w:ascii="Arial" w:hAnsi="Arial" w:cs="Arial"/>
        </w:rPr>
      </w:pPr>
      <w:bookmarkStart w:id="5" w:name="_Toc158973466"/>
      <w:r w:rsidRPr="00701475">
        <w:rPr>
          <w:rFonts w:ascii="Arial" w:hAnsi="Arial" w:cs="Arial"/>
        </w:rPr>
        <w:t>2. Background</w:t>
      </w:r>
      <w:bookmarkEnd w:id="5"/>
    </w:p>
    <w:p w14:paraId="19050E87" w14:textId="239BF9D5" w:rsidR="00873CB4" w:rsidRPr="00701475" w:rsidRDefault="00873CB4" w:rsidP="00A13BFB">
      <w:pPr>
        <w:tabs>
          <w:tab w:val="left" w:pos="6540"/>
        </w:tabs>
        <w:spacing w:after="0" w:line="360" w:lineRule="auto"/>
        <w:jc w:val="both"/>
        <w:rPr>
          <w:rFonts w:ascii="Arial" w:hAnsi="Arial" w:cs="Arial"/>
          <w:szCs w:val="24"/>
        </w:rPr>
      </w:pPr>
      <w:r w:rsidRPr="00701475">
        <w:rPr>
          <w:rFonts w:ascii="Arial" w:hAnsi="Arial" w:cs="Arial"/>
          <w:szCs w:val="24"/>
        </w:rPr>
        <w:t xml:space="preserve">The COVID-19 pandemic, caused by the coronavirus SARS-CoV-2, has had a significant impact on the UK since it began to spread in late 2019. </w:t>
      </w:r>
      <w:r w:rsidR="001F4096" w:rsidRPr="00701475">
        <w:rPr>
          <w:rFonts w:ascii="Arial" w:hAnsi="Arial" w:cs="Arial"/>
          <w:szCs w:val="24"/>
        </w:rPr>
        <w:t>NHS Digital (2021) reported that</w:t>
      </w:r>
      <w:r w:rsidRPr="00701475">
        <w:rPr>
          <w:rFonts w:ascii="Arial" w:hAnsi="Arial" w:cs="Arial"/>
          <w:szCs w:val="24"/>
        </w:rPr>
        <w:t xml:space="preserve"> the COVID-19 pandemic's impacts were most noticeable in 2019–2021. Upon its initial detection in late January 2020, early instances of COVID-19 in the UK were mostly linked to tourists departing the affected regions. The first lockdown was imposed by the government on March 16, 2020. A second lockdown was imposed on November 5, 2020 as a result of the disease's faster spread. As of September 2021, the UK was one of the most severely afflicted countries in Europe, with almost 136,000 COVID-19-related fatalities reported.</w:t>
      </w:r>
    </w:p>
    <w:p w14:paraId="45E3AF52" w14:textId="77777777" w:rsidR="007B7CB1" w:rsidRPr="00701475" w:rsidRDefault="007B7CB1" w:rsidP="00A13BFB">
      <w:pPr>
        <w:tabs>
          <w:tab w:val="left" w:pos="6540"/>
        </w:tabs>
        <w:spacing w:after="0" w:line="360" w:lineRule="auto"/>
        <w:jc w:val="both"/>
        <w:rPr>
          <w:rFonts w:ascii="Arial" w:hAnsi="Arial" w:cs="Arial"/>
          <w:szCs w:val="24"/>
        </w:rPr>
      </w:pPr>
    </w:p>
    <w:p w14:paraId="60B2CDC3" w14:textId="16F964EF" w:rsidR="00B87E75" w:rsidRPr="00701475" w:rsidRDefault="0026393A" w:rsidP="007B7CB1">
      <w:pPr>
        <w:pStyle w:val="Heading1"/>
        <w:rPr>
          <w:rFonts w:ascii="Arial" w:hAnsi="Arial" w:cs="Arial"/>
        </w:rPr>
      </w:pPr>
      <w:bookmarkStart w:id="6" w:name="_Toc158973467"/>
      <w:r w:rsidRPr="00701475">
        <w:rPr>
          <w:rFonts w:ascii="Arial" w:hAnsi="Arial" w:cs="Arial"/>
        </w:rPr>
        <w:t>3</w:t>
      </w:r>
      <w:r w:rsidR="00B87E75" w:rsidRPr="00701475">
        <w:rPr>
          <w:rFonts w:ascii="Arial" w:hAnsi="Arial" w:cs="Arial"/>
        </w:rPr>
        <w:t>. Method</w:t>
      </w:r>
      <w:r w:rsidR="003E4ECF" w:rsidRPr="00701475">
        <w:rPr>
          <w:rFonts w:ascii="Arial" w:hAnsi="Arial" w:cs="Arial"/>
        </w:rPr>
        <w:t>s</w:t>
      </w:r>
      <w:bookmarkEnd w:id="6"/>
    </w:p>
    <w:p w14:paraId="310264C5" w14:textId="77777777" w:rsidR="00701475" w:rsidRDefault="00873CB4" w:rsidP="00A13BFB">
      <w:pPr>
        <w:spacing w:after="0" w:line="360" w:lineRule="auto"/>
        <w:jc w:val="both"/>
        <w:rPr>
          <w:rFonts w:ascii="Arial" w:eastAsia="Calibri" w:hAnsi="Arial" w:cs="Arial"/>
          <w:szCs w:val="24"/>
        </w:rPr>
      </w:pPr>
      <w:r w:rsidRPr="00701475">
        <w:rPr>
          <w:rFonts w:ascii="Arial" w:eastAsia="Calibri" w:hAnsi="Arial" w:cs="Arial"/>
          <w:szCs w:val="24"/>
        </w:rPr>
        <w:t xml:space="preserve">This study followed the format of a systematic literature review. Information is acquired from sources in order to conduct a preliminary analysis and put out a plausible theory. For this reason, research can make use of secondary sources. </w:t>
      </w:r>
    </w:p>
    <w:p w14:paraId="045115E7" w14:textId="333FA5A3" w:rsidR="00873CB4" w:rsidRPr="00701475" w:rsidRDefault="00701475" w:rsidP="00A13BFB">
      <w:pPr>
        <w:spacing w:after="0" w:line="360" w:lineRule="auto"/>
        <w:jc w:val="both"/>
        <w:rPr>
          <w:rFonts w:ascii="Arial" w:eastAsia="Calibri" w:hAnsi="Arial" w:cs="Arial"/>
          <w:szCs w:val="24"/>
        </w:rPr>
      </w:pPr>
      <w:r>
        <w:rPr>
          <w:rFonts w:ascii="Arial" w:eastAsia="Calibri" w:hAnsi="Arial" w:cs="Arial"/>
          <w:szCs w:val="24"/>
        </w:rPr>
        <w:t xml:space="preserve">This will include the analysis of three journal articles. </w:t>
      </w:r>
      <w:r w:rsidR="00873CB4" w:rsidRPr="00701475">
        <w:rPr>
          <w:rFonts w:ascii="Arial" w:eastAsia="Calibri" w:hAnsi="Arial" w:cs="Arial"/>
          <w:szCs w:val="24"/>
        </w:rPr>
        <w:t>Edmonds &amp; Kennedy (2016) state</w:t>
      </w:r>
      <w:r w:rsidR="006E4CAF" w:rsidRPr="00701475">
        <w:rPr>
          <w:rFonts w:ascii="Arial" w:eastAsia="Calibri" w:hAnsi="Arial" w:cs="Arial"/>
          <w:szCs w:val="24"/>
        </w:rPr>
        <w:t>d</w:t>
      </w:r>
      <w:r w:rsidR="00873CB4" w:rsidRPr="00701475">
        <w:rPr>
          <w:rFonts w:ascii="Arial" w:eastAsia="Calibri" w:hAnsi="Arial" w:cs="Arial"/>
          <w:szCs w:val="24"/>
        </w:rPr>
        <w:t xml:space="preserve"> that focus groups, experiments, observations, interviews, and observations are a few types of primary sources. Secondary sources are compiled data and information from earlier studies on related or related subjects. For the secondary study, textbooks, news articles, journal papers, etc. are some of the data sources. For the current research, the secondary design is advised since it is easy to execute, saves time, and lowers study costs. Additionally, an analysis may be exploratory, descriptive, or experimental.</w:t>
      </w:r>
      <w:r w:rsidR="00FB5486" w:rsidRPr="00701475">
        <w:rPr>
          <w:rFonts w:ascii="Arial" w:hAnsi="Arial" w:cs="Arial"/>
          <w:szCs w:val="24"/>
        </w:rPr>
        <w:t xml:space="preserve"> </w:t>
      </w:r>
      <w:r w:rsidR="00FB5486" w:rsidRPr="00701475">
        <w:rPr>
          <w:rFonts w:ascii="Arial" w:eastAsia="Calibri" w:hAnsi="Arial" w:cs="Arial"/>
          <w:szCs w:val="24"/>
        </w:rPr>
        <w:t>This present study is mostly exploratory and aims to collect data on the hypotheses under investigation, such as the challenges encountered by UK healthcare workers during the COVID-19 pandemic.</w:t>
      </w:r>
    </w:p>
    <w:p w14:paraId="06329670" w14:textId="77777777" w:rsidR="00701475" w:rsidRDefault="00701475" w:rsidP="00A13BFB">
      <w:pPr>
        <w:spacing w:after="0" w:line="360" w:lineRule="auto"/>
        <w:jc w:val="both"/>
        <w:rPr>
          <w:rFonts w:ascii="Arial" w:eastAsia="Calibri" w:hAnsi="Arial" w:cs="Arial"/>
          <w:szCs w:val="24"/>
        </w:rPr>
      </w:pPr>
    </w:p>
    <w:p w14:paraId="523881ED" w14:textId="77777777" w:rsidR="00701475" w:rsidRPr="00701475" w:rsidRDefault="00701475" w:rsidP="00A13BFB">
      <w:pPr>
        <w:spacing w:after="0" w:line="360" w:lineRule="auto"/>
        <w:jc w:val="both"/>
        <w:rPr>
          <w:rFonts w:ascii="Arial" w:eastAsia="Calibri" w:hAnsi="Arial" w:cs="Arial"/>
          <w:szCs w:val="24"/>
        </w:rPr>
      </w:pPr>
    </w:p>
    <w:p w14:paraId="34511499" w14:textId="131F0575" w:rsidR="00701475" w:rsidRPr="00701475" w:rsidRDefault="00701475" w:rsidP="00A13BFB">
      <w:pPr>
        <w:spacing w:after="0" w:line="360" w:lineRule="auto"/>
        <w:jc w:val="both"/>
        <w:rPr>
          <w:rFonts w:ascii="Arial" w:eastAsia="Calibri" w:hAnsi="Arial" w:cs="Arial"/>
          <w:b/>
          <w:bCs/>
          <w:szCs w:val="24"/>
        </w:rPr>
      </w:pPr>
      <w:r w:rsidRPr="00701475">
        <w:rPr>
          <w:rFonts w:ascii="Arial" w:eastAsia="Calibri" w:hAnsi="Arial" w:cs="Arial"/>
          <w:b/>
          <w:bCs/>
          <w:szCs w:val="24"/>
        </w:rPr>
        <w:t>Search Strategy</w:t>
      </w:r>
    </w:p>
    <w:p w14:paraId="7353E9B3" w14:textId="77777777" w:rsidR="00701475" w:rsidRPr="00701475" w:rsidRDefault="00701475" w:rsidP="00A13BFB">
      <w:pPr>
        <w:spacing w:after="0" w:line="360" w:lineRule="auto"/>
        <w:jc w:val="both"/>
        <w:rPr>
          <w:rFonts w:ascii="Arial" w:eastAsia="Calibri" w:hAnsi="Arial" w:cs="Arial"/>
          <w:szCs w:val="24"/>
        </w:rPr>
      </w:pPr>
    </w:p>
    <w:p w14:paraId="3DB688A1" w14:textId="5DC1EAA7" w:rsidR="00FB5486" w:rsidRPr="00701475" w:rsidRDefault="00FB5486" w:rsidP="00A13BFB">
      <w:pPr>
        <w:spacing w:after="0" w:line="360" w:lineRule="auto"/>
        <w:jc w:val="both"/>
        <w:rPr>
          <w:rFonts w:ascii="Arial" w:eastAsia="Calibri" w:hAnsi="Arial" w:cs="Arial"/>
          <w:szCs w:val="24"/>
        </w:rPr>
      </w:pPr>
      <w:r w:rsidRPr="00701475">
        <w:rPr>
          <w:rFonts w:ascii="Arial" w:eastAsia="Calibri" w:hAnsi="Arial" w:cs="Arial"/>
          <w:szCs w:val="24"/>
        </w:rPr>
        <w:t xml:space="preserve">The selection of a reliable and effective search strategy for sources is an essential part of doing a secondary investigation. Google Scholar and PubMed were the two online databases that were used in this inquiry to look for sources of the data used in the current study. The databases are used because they are reliable and offer access to a large number of peer-reviewed articles for evaluation and selection. The sources were located using the following search terms: i) </w:t>
      </w:r>
      <w:r w:rsidR="006E4CAF" w:rsidRPr="00701475">
        <w:rPr>
          <w:rFonts w:ascii="Arial" w:eastAsia="Calibri" w:hAnsi="Arial" w:cs="Arial"/>
          <w:szCs w:val="24"/>
        </w:rPr>
        <w:t>Analysing</w:t>
      </w:r>
      <w:r w:rsidRPr="00701475">
        <w:rPr>
          <w:rFonts w:ascii="Arial" w:eastAsia="Calibri" w:hAnsi="Arial" w:cs="Arial"/>
          <w:szCs w:val="24"/>
        </w:rPr>
        <w:t xml:space="preserve"> how COVID-19 affects families, caregivers in the community, and caregivers. ii) Enumerate the challenges that UK medical professionals encountered during the COVID-19 epidemic. iii) Determine the factors influencing how patients see the COVID-19 pandemic.</w:t>
      </w:r>
      <w:r w:rsidR="006E4CAF" w:rsidRPr="00701475">
        <w:rPr>
          <w:rFonts w:ascii="Arial" w:eastAsia="Calibri" w:hAnsi="Arial" w:cs="Arial"/>
          <w:szCs w:val="24"/>
        </w:rPr>
        <w:t xml:space="preserve"> </w:t>
      </w:r>
      <w:r w:rsidRPr="00701475">
        <w:rPr>
          <w:rFonts w:ascii="Arial" w:eastAsia="Calibri" w:hAnsi="Arial" w:cs="Arial"/>
          <w:szCs w:val="24"/>
        </w:rPr>
        <w:t xml:space="preserve">These terms were used to find the most relevant arguments and supporting data for the study subject. In order to use only the most reliable sources available, only peer-reviewed publications were selected as the primary sources for this essay. According to Long et al. (2020), journal publications are deemed respectable by the CASP assessment criterion due to its unique components, which include a title, abstract, methodology, findings, and conclusion that are communicated clearly. Second, recent sources on the topic at hand should be cited. All of the references were chosen from publications that have been published during the previous three years because COVID-19 is still a relatively new </w:t>
      </w:r>
      <w:r w:rsidR="006E4CAF" w:rsidRPr="00701475">
        <w:rPr>
          <w:rFonts w:ascii="Arial" w:eastAsia="Calibri" w:hAnsi="Arial" w:cs="Arial"/>
          <w:szCs w:val="24"/>
        </w:rPr>
        <w:t>phenomenon</w:t>
      </w:r>
      <w:r w:rsidRPr="00701475">
        <w:rPr>
          <w:rFonts w:ascii="Arial" w:eastAsia="Calibri" w:hAnsi="Arial" w:cs="Arial"/>
          <w:szCs w:val="24"/>
        </w:rPr>
        <w:t>. Furthermore, to avoid misinterpretation and issues with information translation, English-language sources were opted for.</w:t>
      </w:r>
    </w:p>
    <w:p w14:paraId="179FA37D" w14:textId="77777777" w:rsidR="00701475" w:rsidRPr="00701475" w:rsidRDefault="00701475" w:rsidP="00A13BFB">
      <w:pPr>
        <w:spacing w:after="0" w:line="360" w:lineRule="auto"/>
        <w:jc w:val="both"/>
        <w:rPr>
          <w:rFonts w:ascii="Arial" w:eastAsia="Calibri" w:hAnsi="Arial" w:cs="Arial"/>
          <w:szCs w:val="24"/>
        </w:rPr>
      </w:pPr>
    </w:p>
    <w:p w14:paraId="2A393B6F" w14:textId="77777777" w:rsidR="00701475" w:rsidRPr="00701475" w:rsidRDefault="00701475" w:rsidP="00701475">
      <w:pPr>
        <w:spacing w:after="0" w:line="360" w:lineRule="auto"/>
        <w:jc w:val="both"/>
        <w:rPr>
          <w:rFonts w:ascii="Arial" w:eastAsia="Calibri" w:hAnsi="Arial" w:cs="Arial"/>
          <w:szCs w:val="24"/>
        </w:rPr>
      </w:pPr>
    </w:p>
    <w:p w14:paraId="23D57010" w14:textId="70A9ECA9" w:rsidR="00701475" w:rsidRPr="00701475" w:rsidRDefault="00701475" w:rsidP="00701475">
      <w:pPr>
        <w:spacing w:after="0" w:line="360" w:lineRule="auto"/>
        <w:jc w:val="both"/>
        <w:rPr>
          <w:rFonts w:ascii="Arial" w:eastAsia="Calibri" w:hAnsi="Arial" w:cs="Arial"/>
          <w:szCs w:val="24"/>
        </w:rPr>
      </w:pPr>
      <w:r w:rsidRPr="00701475">
        <w:rPr>
          <w:rFonts w:ascii="Arial" w:eastAsia="Calibri" w:hAnsi="Arial" w:cs="Arial"/>
          <w:szCs w:val="24"/>
        </w:rPr>
        <w:t>Data analysis</w:t>
      </w:r>
    </w:p>
    <w:p w14:paraId="21B278D1" w14:textId="77777777" w:rsidR="00701475" w:rsidRPr="00701475" w:rsidRDefault="00701475" w:rsidP="00701475">
      <w:pPr>
        <w:spacing w:after="0" w:line="360" w:lineRule="auto"/>
        <w:jc w:val="both"/>
        <w:rPr>
          <w:rFonts w:ascii="Arial" w:eastAsia="Calibri" w:hAnsi="Arial" w:cs="Arial"/>
          <w:szCs w:val="24"/>
        </w:rPr>
      </w:pPr>
    </w:p>
    <w:p w14:paraId="4408D926" w14:textId="7D381FDD" w:rsidR="00701475" w:rsidRPr="00701475" w:rsidRDefault="00701475" w:rsidP="00701475">
      <w:pPr>
        <w:spacing w:after="0" w:line="360" w:lineRule="auto"/>
        <w:jc w:val="both"/>
        <w:rPr>
          <w:rFonts w:ascii="Arial" w:eastAsia="Calibri" w:hAnsi="Arial" w:cs="Arial"/>
          <w:szCs w:val="24"/>
        </w:rPr>
      </w:pPr>
      <w:r w:rsidRPr="00701475">
        <w:rPr>
          <w:rFonts w:ascii="Arial" w:eastAsia="Calibri" w:hAnsi="Arial" w:cs="Arial"/>
          <w:szCs w:val="24"/>
        </w:rPr>
        <w:t xml:space="preserve">Data analysis will be done by doing a thematic analysis which means finding </w:t>
      </w:r>
      <w:proofErr w:type="gramStart"/>
      <w:r w:rsidRPr="00701475">
        <w:rPr>
          <w:rFonts w:ascii="Arial" w:eastAsia="Calibri" w:hAnsi="Arial" w:cs="Arial"/>
          <w:szCs w:val="24"/>
        </w:rPr>
        <w:t>common similarities</w:t>
      </w:r>
      <w:proofErr w:type="gramEnd"/>
      <w:r w:rsidRPr="00701475">
        <w:rPr>
          <w:rFonts w:ascii="Arial" w:eastAsia="Calibri" w:hAnsi="Arial" w:cs="Arial"/>
          <w:szCs w:val="24"/>
        </w:rPr>
        <w:t xml:space="preserve"> among the selected articles. </w:t>
      </w:r>
    </w:p>
    <w:p w14:paraId="4D2D755A" w14:textId="77777777" w:rsidR="00BE5B45" w:rsidRPr="00701475" w:rsidRDefault="00BE5B45" w:rsidP="00A13BFB">
      <w:pPr>
        <w:tabs>
          <w:tab w:val="left" w:pos="6540"/>
        </w:tabs>
        <w:spacing w:after="0" w:line="360" w:lineRule="auto"/>
        <w:jc w:val="both"/>
        <w:rPr>
          <w:rFonts w:ascii="Arial" w:hAnsi="Arial" w:cs="Arial"/>
          <w:szCs w:val="24"/>
        </w:rPr>
      </w:pPr>
    </w:p>
    <w:p w14:paraId="39F89E65" w14:textId="279CE3CA" w:rsidR="00B87E75" w:rsidRPr="00701475" w:rsidRDefault="00B87E75" w:rsidP="007B7CB1">
      <w:pPr>
        <w:pStyle w:val="Heading3"/>
        <w:numPr>
          <w:ilvl w:val="0"/>
          <w:numId w:val="0"/>
        </w:numPr>
        <w:rPr>
          <w:rFonts w:ascii="Arial" w:hAnsi="Arial" w:cs="Arial"/>
        </w:rPr>
      </w:pPr>
      <w:bookmarkStart w:id="7" w:name="_Toc158973469"/>
      <w:r w:rsidRPr="00701475">
        <w:rPr>
          <w:rFonts w:ascii="Arial" w:hAnsi="Arial" w:cs="Arial"/>
        </w:rPr>
        <w:t>Ethical considerations</w:t>
      </w:r>
      <w:bookmarkEnd w:id="7"/>
      <w:r w:rsidRPr="00701475">
        <w:rPr>
          <w:rFonts w:ascii="Arial" w:hAnsi="Arial" w:cs="Arial"/>
        </w:rPr>
        <w:t xml:space="preserve"> </w:t>
      </w:r>
    </w:p>
    <w:p w14:paraId="1B60E79A" w14:textId="37EDBF91" w:rsidR="00FB5486" w:rsidRPr="00701475" w:rsidRDefault="00FB5486" w:rsidP="00A13BFB">
      <w:pPr>
        <w:tabs>
          <w:tab w:val="left" w:pos="6540"/>
        </w:tabs>
        <w:spacing w:after="0" w:line="360" w:lineRule="auto"/>
        <w:jc w:val="both"/>
        <w:rPr>
          <w:rFonts w:ascii="Arial" w:eastAsia="Calibri" w:hAnsi="Arial" w:cs="Arial"/>
          <w:szCs w:val="24"/>
        </w:rPr>
      </w:pPr>
      <w:r w:rsidRPr="00701475">
        <w:rPr>
          <w:rFonts w:ascii="Arial" w:eastAsia="Calibri" w:hAnsi="Arial" w:cs="Arial"/>
          <w:szCs w:val="24"/>
        </w:rPr>
        <w:t xml:space="preserve">The validity and acceptability of the findings are greatly impacted by the use of ethical research methods. Unacceptable </w:t>
      </w:r>
      <w:proofErr w:type="spellStart"/>
      <w:r w:rsidRPr="00701475">
        <w:rPr>
          <w:rFonts w:ascii="Arial" w:eastAsia="Calibri" w:hAnsi="Arial" w:cs="Arial"/>
          <w:szCs w:val="24"/>
        </w:rPr>
        <w:t>behavior</w:t>
      </w:r>
      <w:proofErr w:type="spellEnd"/>
      <w:r w:rsidRPr="00701475">
        <w:rPr>
          <w:rFonts w:ascii="Arial" w:eastAsia="Calibri" w:hAnsi="Arial" w:cs="Arial"/>
          <w:szCs w:val="24"/>
        </w:rPr>
        <w:t xml:space="preserve"> is displayed by potential users, endangering the outcomes (Miller, 2012). Since it is anticipated to have a substantial influence on people's health and quality of life, medical research is compassionate. </w:t>
      </w:r>
      <w:r w:rsidRPr="00701475">
        <w:rPr>
          <w:rFonts w:ascii="Arial" w:eastAsia="Calibri" w:hAnsi="Arial" w:cs="Arial"/>
          <w:szCs w:val="24"/>
        </w:rPr>
        <w:lastRenderedPageBreak/>
        <w:t xml:space="preserve">The appropriateness of the sources in terms of ethics was taken into account in this examination. The researcher also makes sure that no bias is employed in order to guarantee that the results are entirely </w:t>
      </w:r>
      <w:r w:rsidR="002437AA" w:rsidRPr="00701475">
        <w:rPr>
          <w:rFonts w:ascii="Arial" w:eastAsia="Calibri" w:hAnsi="Arial" w:cs="Arial"/>
          <w:szCs w:val="24"/>
        </w:rPr>
        <w:t>grounded</w:t>
      </w:r>
      <w:r w:rsidRPr="00701475">
        <w:rPr>
          <w:rFonts w:ascii="Arial" w:eastAsia="Calibri" w:hAnsi="Arial" w:cs="Arial"/>
          <w:szCs w:val="24"/>
        </w:rPr>
        <w:t xml:space="preserve"> on the </w:t>
      </w:r>
      <w:r w:rsidR="002437AA" w:rsidRPr="00701475">
        <w:rPr>
          <w:rFonts w:ascii="Arial" w:eastAsia="Calibri" w:hAnsi="Arial" w:cs="Arial"/>
          <w:szCs w:val="24"/>
        </w:rPr>
        <w:t>data</w:t>
      </w:r>
      <w:r w:rsidRPr="00701475">
        <w:rPr>
          <w:rFonts w:ascii="Arial" w:eastAsia="Calibri" w:hAnsi="Arial" w:cs="Arial"/>
          <w:szCs w:val="24"/>
        </w:rPr>
        <w:t xml:space="preserve"> </w:t>
      </w:r>
      <w:r w:rsidR="002437AA" w:rsidRPr="00701475">
        <w:rPr>
          <w:rFonts w:ascii="Arial" w:eastAsia="Calibri" w:hAnsi="Arial" w:cs="Arial"/>
          <w:szCs w:val="24"/>
        </w:rPr>
        <w:t>as well as</w:t>
      </w:r>
      <w:r w:rsidRPr="00701475">
        <w:rPr>
          <w:rFonts w:ascii="Arial" w:eastAsia="Calibri" w:hAnsi="Arial" w:cs="Arial"/>
          <w:szCs w:val="24"/>
        </w:rPr>
        <w:t xml:space="preserve"> </w:t>
      </w:r>
      <w:r w:rsidR="002437AA" w:rsidRPr="00701475">
        <w:rPr>
          <w:rFonts w:ascii="Arial" w:eastAsia="Calibri" w:hAnsi="Arial" w:cs="Arial"/>
          <w:szCs w:val="24"/>
        </w:rPr>
        <w:t>evidence</w:t>
      </w:r>
      <w:r w:rsidRPr="00701475">
        <w:rPr>
          <w:rFonts w:ascii="Arial" w:eastAsia="Calibri" w:hAnsi="Arial" w:cs="Arial"/>
          <w:szCs w:val="24"/>
        </w:rPr>
        <w:t xml:space="preserve"> from the selected sources (Edmonds &amp; Kennedy, 2016).</w:t>
      </w:r>
    </w:p>
    <w:p w14:paraId="4FC14C6B" w14:textId="77777777" w:rsidR="00B87E75" w:rsidRPr="00701475" w:rsidRDefault="00B87E75" w:rsidP="00A13BFB">
      <w:pPr>
        <w:tabs>
          <w:tab w:val="left" w:pos="6540"/>
        </w:tabs>
        <w:spacing w:after="0" w:line="360" w:lineRule="auto"/>
        <w:jc w:val="both"/>
        <w:rPr>
          <w:rFonts w:ascii="Arial" w:hAnsi="Arial" w:cs="Arial"/>
          <w:szCs w:val="24"/>
        </w:rPr>
      </w:pPr>
    </w:p>
    <w:p w14:paraId="581C99BF" w14:textId="794A5B0B" w:rsidR="00B87E75" w:rsidRPr="00701475" w:rsidRDefault="004A736E" w:rsidP="007B7CB1">
      <w:pPr>
        <w:pStyle w:val="Heading1"/>
        <w:rPr>
          <w:rFonts w:ascii="Arial" w:hAnsi="Arial" w:cs="Arial"/>
        </w:rPr>
      </w:pPr>
      <w:bookmarkStart w:id="8" w:name="_Toc158973470"/>
      <w:r w:rsidRPr="00701475">
        <w:rPr>
          <w:rFonts w:ascii="Arial" w:hAnsi="Arial" w:cs="Arial"/>
        </w:rPr>
        <w:t>4</w:t>
      </w:r>
      <w:r w:rsidR="00B87E75" w:rsidRPr="00701475">
        <w:rPr>
          <w:rFonts w:ascii="Arial" w:hAnsi="Arial" w:cs="Arial"/>
        </w:rPr>
        <w:t>. Results</w:t>
      </w:r>
      <w:bookmarkEnd w:id="8"/>
    </w:p>
    <w:p w14:paraId="59A6C113" w14:textId="34A9657B" w:rsidR="0033326F" w:rsidRPr="00701475" w:rsidRDefault="00701475" w:rsidP="006E4CAF">
      <w:pPr>
        <w:spacing w:after="0" w:line="360" w:lineRule="auto"/>
        <w:jc w:val="both"/>
        <w:rPr>
          <w:rFonts w:ascii="Arial" w:hAnsi="Arial" w:cs="Arial"/>
          <w:szCs w:val="24"/>
        </w:rPr>
      </w:pPr>
      <w:r w:rsidRPr="00701475">
        <w:rPr>
          <w:rFonts w:ascii="Arial" w:hAnsi="Arial" w:cs="Arial"/>
          <w:szCs w:val="24"/>
        </w:rPr>
        <w:t xml:space="preserve">From the articles analysed the following findings emerged. </w:t>
      </w:r>
      <w:r w:rsidR="002437AA" w:rsidRPr="00701475">
        <w:rPr>
          <w:rFonts w:ascii="Arial" w:hAnsi="Arial" w:cs="Arial"/>
          <w:szCs w:val="24"/>
        </w:rPr>
        <w:t>A single source conducted forty (N</w:t>
      </w:r>
      <w:r w:rsidR="0033326F" w:rsidRPr="00701475">
        <w:rPr>
          <w:rFonts w:ascii="Arial" w:hAnsi="Arial" w:cs="Arial"/>
          <w:szCs w:val="24"/>
        </w:rPr>
        <w:t xml:space="preserve"> = 40) comprehensive, personalized, </w:t>
      </w:r>
      <w:proofErr w:type="gramStart"/>
      <w:r w:rsidR="0033326F" w:rsidRPr="00701475">
        <w:rPr>
          <w:rFonts w:ascii="Arial" w:hAnsi="Arial" w:cs="Arial"/>
          <w:szCs w:val="24"/>
        </w:rPr>
        <w:t>partially-</w:t>
      </w:r>
      <w:r w:rsidR="002437AA" w:rsidRPr="00701475">
        <w:rPr>
          <w:rFonts w:ascii="Arial" w:hAnsi="Arial" w:cs="Arial"/>
          <w:szCs w:val="24"/>
        </w:rPr>
        <w:t>structured</w:t>
      </w:r>
      <w:proofErr w:type="gramEnd"/>
      <w:r w:rsidR="002437AA" w:rsidRPr="00701475">
        <w:rPr>
          <w:rFonts w:ascii="Arial" w:hAnsi="Arial" w:cs="Arial"/>
          <w:szCs w:val="24"/>
        </w:rPr>
        <w:t xml:space="preserve"> virtual interviews with HSCFW, comprising nurses (N = 15), managers (N = 10), and support workers (N = 15).  Every participant worked in at-home care or assisted living facilities as a social worker or healthcare professional. Following thematic evaluation of the data, themes surfaced, and quotes from participant interviews used to further develop these themes. After data analysis, the research study found that fear among workers, residents, and clients, a lack of personal protective equipment </w:t>
      </w:r>
      <w:r w:rsidR="0033326F" w:rsidRPr="00701475">
        <w:rPr>
          <w:rFonts w:ascii="Arial" w:hAnsi="Arial" w:cs="Arial"/>
          <w:szCs w:val="24"/>
        </w:rPr>
        <w:t>(PPE), enforced social distancing,</w:t>
      </w:r>
      <w:r w:rsidR="002437AA" w:rsidRPr="00701475">
        <w:rPr>
          <w:rFonts w:ascii="Arial" w:hAnsi="Arial" w:cs="Arial"/>
          <w:szCs w:val="24"/>
        </w:rPr>
        <w:t xml:space="preserve"> upholding social shielding obligations, testing delays, and a staffing shortage were among the difficulties faced by frontline healthcare workers during the pandemic.</w:t>
      </w:r>
      <w:r w:rsidR="0033326F" w:rsidRPr="00701475">
        <w:rPr>
          <w:rFonts w:ascii="Arial" w:hAnsi="Arial" w:cs="Arial"/>
          <w:szCs w:val="24"/>
        </w:rPr>
        <w:t xml:space="preserve"> According to Nyashanu et al. (2020), the implementation of appropriate pandemic strategies by the health and social care sectors might have prevented various issues for both frontline workers and patients. </w:t>
      </w:r>
    </w:p>
    <w:p w14:paraId="1D9B3B4C" w14:textId="11137FEC" w:rsidR="0006691F" w:rsidRPr="00701475" w:rsidRDefault="0033326F" w:rsidP="006E4CAF">
      <w:pPr>
        <w:spacing w:after="0" w:line="360" w:lineRule="auto"/>
        <w:jc w:val="both"/>
        <w:rPr>
          <w:rFonts w:ascii="Arial" w:hAnsi="Arial" w:cs="Arial"/>
          <w:szCs w:val="24"/>
        </w:rPr>
      </w:pPr>
      <w:r w:rsidRPr="00701475">
        <w:rPr>
          <w:rFonts w:ascii="Arial" w:hAnsi="Arial" w:cs="Arial"/>
          <w:szCs w:val="24"/>
        </w:rPr>
        <w:t xml:space="preserve">A plethora of evidence has underscored the need of considering the mental health of COVID-19 pandemic healthcare professionals, and several organizations have issued guidelines and suggestions in this regard. The definition of well-being and the evidence behind such recommendations are currently under dispute. The real-world implementation of well-being standards reveals unfulfilled needs of medical practitioners and provides recommendations for supporting front-line staff during current and future pandemics (San. et al., 2021).  The findings of a qualitative research are based on interactions with front-line healthcare professionals in the UK (n = 33) and examine a brief evaluation of well-being recommendations developed in response to the outbreak of the COVID-19 pandemic (n = 14). The importance of each person's mental health and psychological assistance was emphasized heavily. Healthcare workers, on the other hand, emphasized the importance of the community's support, their duties outside of the hospital, and the organizational structure at work. Some employees said that scheduling conflicts, exhaustion, or understaffing prevented them from taking part in these treatments (San. et al., 2021). </w:t>
      </w:r>
      <w:r w:rsidRPr="00701475">
        <w:rPr>
          <w:rFonts w:ascii="Arial" w:hAnsi="Arial" w:cs="Arial"/>
          <w:szCs w:val="24"/>
        </w:rPr>
        <w:lastRenderedPageBreak/>
        <w:t>Because of this, staff members' daily experiences were not always addressed by the well-being support measures that the guidelines recommended.</w:t>
      </w:r>
      <w:r w:rsidR="0029141E" w:rsidRPr="00701475">
        <w:rPr>
          <w:rFonts w:ascii="Arial" w:hAnsi="Arial" w:cs="Arial"/>
          <w:szCs w:val="24"/>
        </w:rPr>
        <w:t xml:space="preserve"> Healthcare workers' expressed requirements for well-being aligned with socio-ecological conceptualizations of quality of life. While this approach to well-being has been discussed in the literature on supporting medical personnel during previous health emergencies, it has not been monitored during current epidemic. Guidelines for well-being should look at the needs of medical practitioners and variables that affect how recommendations are carried out (San et al., 2021).</w:t>
      </w:r>
    </w:p>
    <w:p w14:paraId="46A66463" w14:textId="77777777" w:rsidR="008C460C" w:rsidRPr="00701475" w:rsidRDefault="0029141E" w:rsidP="006E4CAF">
      <w:pPr>
        <w:spacing w:after="0" w:line="360" w:lineRule="auto"/>
        <w:jc w:val="both"/>
        <w:rPr>
          <w:rFonts w:ascii="Arial" w:hAnsi="Arial" w:cs="Arial"/>
          <w:szCs w:val="24"/>
        </w:rPr>
      </w:pPr>
      <w:r w:rsidRPr="00701475">
        <w:rPr>
          <w:rFonts w:ascii="Arial" w:hAnsi="Arial" w:cs="Arial"/>
          <w:szCs w:val="24"/>
        </w:rPr>
        <w:t xml:space="preserve">Quinn-Scoggins et al. (2021) gathered information on cancer symptoms and help-seeking </w:t>
      </w:r>
      <w:r w:rsidR="006E4CAF" w:rsidRPr="00701475">
        <w:rPr>
          <w:rFonts w:ascii="Arial" w:hAnsi="Arial" w:cs="Arial"/>
          <w:szCs w:val="24"/>
        </w:rPr>
        <w:t>behaviour</w:t>
      </w:r>
      <w:r w:rsidRPr="00701475">
        <w:rPr>
          <w:rFonts w:ascii="Arial" w:hAnsi="Arial" w:cs="Arial"/>
          <w:szCs w:val="24"/>
        </w:rPr>
        <w:t xml:space="preserve"> in the UK using a population-based survey. Forty-one </w:t>
      </w:r>
      <w:r w:rsidR="006E4CAF" w:rsidRPr="00701475">
        <w:rPr>
          <w:rFonts w:ascii="Arial" w:hAnsi="Arial" w:cs="Arial"/>
          <w:szCs w:val="24"/>
        </w:rPr>
        <w:t>per cent</w:t>
      </w:r>
      <w:r w:rsidRPr="00701475">
        <w:rPr>
          <w:rFonts w:ascii="Arial" w:hAnsi="Arial" w:cs="Arial"/>
          <w:szCs w:val="24"/>
        </w:rPr>
        <w:t xml:space="preserve"> of the 7,543 persons had likely cancer symptoms; according to the data, forty-eight </w:t>
      </w:r>
      <w:r w:rsidR="006E4CAF" w:rsidRPr="00701475">
        <w:rPr>
          <w:rFonts w:ascii="Arial" w:hAnsi="Arial" w:cs="Arial"/>
          <w:szCs w:val="24"/>
        </w:rPr>
        <w:t>per cent</w:t>
      </w:r>
      <w:r w:rsidRPr="00701475">
        <w:rPr>
          <w:rFonts w:ascii="Arial" w:hAnsi="Arial" w:cs="Arial"/>
          <w:szCs w:val="24"/>
        </w:rPr>
        <w:t xml:space="preserve"> did not seek medical attention from general practitioners. Watson et al. conducted semi-structured interviews to learn more about the attitudes of parents toward seeking medical care during the epidemic. According to Watson et al. (2021) the reason why </w:t>
      </w:r>
      <w:r w:rsidR="006E4CAF" w:rsidRPr="00701475">
        <w:rPr>
          <w:rFonts w:ascii="Arial" w:hAnsi="Arial" w:cs="Arial"/>
          <w:szCs w:val="24"/>
        </w:rPr>
        <w:t>fewer</w:t>
      </w:r>
      <w:r w:rsidRPr="00701475">
        <w:rPr>
          <w:rFonts w:ascii="Arial" w:hAnsi="Arial" w:cs="Arial"/>
          <w:szCs w:val="24"/>
        </w:rPr>
        <w:t xml:space="preserve"> parents sought out </w:t>
      </w:r>
      <w:r w:rsidR="006E4CAF" w:rsidRPr="00701475">
        <w:rPr>
          <w:rFonts w:ascii="Arial" w:hAnsi="Arial" w:cs="Arial"/>
          <w:szCs w:val="24"/>
        </w:rPr>
        <w:t>paediatric</w:t>
      </w:r>
      <w:r w:rsidRPr="00701475">
        <w:rPr>
          <w:rFonts w:ascii="Arial" w:hAnsi="Arial" w:cs="Arial"/>
          <w:szCs w:val="24"/>
        </w:rPr>
        <w:t xml:space="preserve"> treatments was their fear of going into hospitals. In order to preserve their children's life, parents of sick children would see a physician. </w:t>
      </w:r>
      <w:proofErr w:type="gramStart"/>
      <w:r w:rsidRPr="00701475">
        <w:rPr>
          <w:rFonts w:ascii="Arial" w:hAnsi="Arial" w:cs="Arial"/>
          <w:szCs w:val="24"/>
        </w:rPr>
        <w:t>A research</w:t>
      </w:r>
      <w:proofErr w:type="gramEnd"/>
      <w:r w:rsidRPr="00701475">
        <w:rPr>
          <w:rFonts w:ascii="Arial" w:hAnsi="Arial" w:cs="Arial"/>
          <w:szCs w:val="24"/>
        </w:rPr>
        <w:t xml:space="preserve"> by Schuster et al. (2021) examined the delay and avoidance of medical care by older people during COVID-19. There is a high incidence of care cancellation and release, according to the questionnaire from the longitudinal aging research. </w:t>
      </w:r>
      <w:r w:rsidR="006E4CAF" w:rsidRPr="00701475">
        <w:rPr>
          <w:rFonts w:ascii="Arial" w:hAnsi="Arial" w:cs="Arial"/>
          <w:szCs w:val="24"/>
        </w:rPr>
        <w:t>Thirty-five per cent (</w:t>
      </w:r>
      <w:r w:rsidRPr="00701475">
        <w:rPr>
          <w:rFonts w:ascii="Arial" w:hAnsi="Arial" w:cs="Arial"/>
          <w:szCs w:val="24"/>
        </w:rPr>
        <w:t>35%</w:t>
      </w:r>
      <w:r w:rsidR="006E4CAF" w:rsidRPr="00701475">
        <w:rPr>
          <w:rFonts w:ascii="Arial" w:hAnsi="Arial" w:cs="Arial"/>
          <w:szCs w:val="24"/>
        </w:rPr>
        <w:t>)</w:t>
      </w:r>
      <w:r w:rsidRPr="00701475">
        <w:rPr>
          <w:rFonts w:ascii="Arial" w:hAnsi="Arial" w:cs="Arial"/>
          <w:szCs w:val="24"/>
        </w:rPr>
        <w:t xml:space="preserve"> of the 880 older persons in the sample said they delayed or forewent medical care at that time (Schuster et al., 2021). The significant percentage of treatment non-adherence prompted serious concerns since older persons are more likely to suffer from multimo</w:t>
      </w:r>
      <w:r w:rsidR="008C460C" w:rsidRPr="00701475">
        <w:rPr>
          <w:rFonts w:ascii="Arial" w:hAnsi="Arial" w:cs="Arial"/>
          <w:szCs w:val="24"/>
        </w:rPr>
        <w:t xml:space="preserve">rbidity and chronic disorders. </w:t>
      </w:r>
    </w:p>
    <w:p w14:paraId="6256C88C" w14:textId="74C64BFD" w:rsidR="008C460C" w:rsidRPr="00701475" w:rsidRDefault="0029141E" w:rsidP="006E4CAF">
      <w:pPr>
        <w:spacing w:after="0" w:line="360" w:lineRule="auto"/>
        <w:jc w:val="both"/>
        <w:rPr>
          <w:rFonts w:ascii="Arial" w:hAnsi="Arial" w:cs="Arial"/>
          <w:szCs w:val="24"/>
        </w:rPr>
      </w:pPr>
      <w:r w:rsidRPr="00701475">
        <w:rPr>
          <w:rFonts w:ascii="Arial" w:hAnsi="Arial" w:cs="Arial"/>
          <w:szCs w:val="24"/>
        </w:rPr>
        <w:t>Duncan &amp; Cheng (2021) carried out two online surveys in the first half of COVID-19 to find out what the public thought about NHS general practice. When it came to seeking medical assistance, 105 out of 150 respondents thought of contacting general practitioners, according to the study. Still, over half of the 105 participants opted not to see the general practitioners or postponed doing so.</w:t>
      </w:r>
      <w:r w:rsidR="00C2422D" w:rsidRPr="00701475">
        <w:rPr>
          <w:rFonts w:ascii="Arial" w:hAnsi="Arial" w:cs="Arial"/>
          <w:szCs w:val="24"/>
        </w:rPr>
        <w:t xml:space="preserve"> Additionally, </w:t>
      </w:r>
      <w:r w:rsidR="008C460C" w:rsidRPr="00701475">
        <w:rPr>
          <w:rFonts w:ascii="Arial" w:hAnsi="Arial" w:cs="Arial"/>
          <w:szCs w:val="24"/>
        </w:rPr>
        <w:t>the data also reported</w:t>
      </w:r>
      <w:r w:rsidR="00C2422D" w:rsidRPr="00701475">
        <w:rPr>
          <w:rFonts w:ascii="Arial" w:hAnsi="Arial" w:cs="Arial"/>
          <w:szCs w:val="24"/>
        </w:rPr>
        <w:t xml:space="preserve"> 27% of respondents postponed visiting a general practitioner due to worry about contracting COVID-19. A survey conducted by Holder-Dixon et al. (2022) focused on the COVID-19 pandemic's consequences and examined medical avoidance among marginalized areas. The findings demonstrated that a large </w:t>
      </w:r>
      <w:r w:rsidR="00C2422D" w:rsidRPr="00701475">
        <w:rPr>
          <w:rFonts w:ascii="Arial" w:hAnsi="Arial" w:cs="Arial"/>
          <w:szCs w:val="24"/>
        </w:rPr>
        <w:lastRenderedPageBreak/>
        <w:t xml:space="preserve">number of people were in </w:t>
      </w:r>
      <w:r w:rsidR="008C460C" w:rsidRPr="00701475">
        <w:rPr>
          <w:rFonts w:ascii="Arial" w:hAnsi="Arial" w:cs="Arial"/>
          <w:szCs w:val="24"/>
        </w:rPr>
        <w:t>favour</w:t>
      </w:r>
      <w:r w:rsidR="00C2422D" w:rsidRPr="00701475">
        <w:rPr>
          <w:rFonts w:ascii="Arial" w:hAnsi="Arial" w:cs="Arial"/>
          <w:szCs w:val="24"/>
        </w:rPr>
        <w:t xml:space="preserve"> of moderate levels of COVID-19 avoidance, general avoidance, and mild avoi</w:t>
      </w:r>
      <w:r w:rsidR="008C460C" w:rsidRPr="00701475">
        <w:rPr>
          <w:rFonts w:ascii="Arial" w:hAnsi="Arial" w:cs="Arial"/>
          <w:szCs w:val="24"/>
        </w:rPr>
        <w:t xml:space="preserve">dance owing to discrimination. </w:t>
      </w:r>
    </w:p>
    <w:p w14:paraId="36DAF485" w14:textId="36587D26" w:rsidR="002437AA" w:rsidRPr="00701475" w:rsidRDefault="00C2422D" w:rsidP="006E4CAF">
      <w:pPr>
        <w:spacing w:after="0" w:line="360" w:lineRule="auto"/>
        <w:jc w:val="both"/>
        <w:rPr>
          <w:rFonts w:ascii="Arial" w:hAnsi="Arial" w:cs="Arial"/>
          <w:szCs w:val="24"/>
        </w:rPr>
      </w:pPr>
      <w:r w:rsidRPr="00701475">
        <w:rPr>
          <w:rFonts w:ascii="Arial" w:hAnsi="Arial" w:cs="Arial"/>
          <w:szCs w:val="24"/>
        </w:rPr>
        <w:t>As a result of their beliefs, the individuals in this situation refrained from obtaining medical attention more regularly. Prior to the first lockout, over 2,500,000 outpatient visits were scheduled weekly, and about 2,000,000 of those appointments were attended. Weekly assignments were reduced by over 40% and weekly attendance at meetings was reduced by 50% during the first lockdown in comparison to the average prior to the epidemic. The core NHS services were considerably disrupted by the COVID-19 epidemic, according to BMA (2021). Millions of individuals with health problems, including some with life-threatening conditions, were affected as a result of a decline in the number of people seeking care and treatment sessions being postponed or cancelled. It is estimated that there were 2.47 million fewer first-time outpatient attendances and between 1.32 million and 15 million new elective hospitalizations compared to projections. Furthermore, it was estimated that 20,800–25,900 fewer people than started receiving cancer treatments. Although healthcare avoidance is the main reason, there are a few other potential explanations for this ailment, according to BMA (2020). NHS UK has to address a number of unresolved issues in order to get access and care quality back to pre-COVID-19 levels.</w:t>
      </w:r>
    </w:p>
    <w:p w14:paraId="08E359CD" w14:textId="77777777" w:rsidR="002437AA" w:rsidRPr="00701475" w:rsidRDefault="002437AA" w:rsidP="00A13BFB">
      <w:pPr>
        <w:spacing w:after="0" w:line="360" w:lineRule="auto"/>
        <w:rPr>
          <w:rFonts w:ascii="Arial" w:hAnsi="Arial" w:cs="Arial"/>
          <w:szCs w:val="24"/>
        </w:rPr>
      </w:pPr>
    </w:p>
    <w:p w14:paraId="5C43254D" w14:textId="209882EA" w:rsidR="00B87E75" w:rsidRPr="00701475" w:rsidRDefault="004A736E" w:rsidP="007B7CB1">
      <w:pPr>
        <w:pStyle w:val="Heading1"/>
        <w:rPr>
          <w:rFonts w:ascii="Arial" w:hAnsi="Arial" w:cs="Arial"/>
        </w:rPr>
      </w:pPr>
      <w:bookmarkStart w:id="9" w:name="_Toc158973471"/>
      <w:r w:rsidRPr="00701475">
        <w:rPr>
          <w:rFonts w:ascii="Arial" w:hAnsi="Arial" w:cs="Arial"/>
        </w:rPr>
        <w:t>5</w:t>
      </w:r>
      <w:r w:rsidR="00B87E75" w:rsidRPr="00701475">
        <w:rPr>
          <w:rFonts w:ascii="Arial" w:hAnsi="Arial" w:cs="Arial"/>
        </w:rPr>
        <w:t>. Discussion</w:t>
      </w:r>
      <w:bookmarkEnd w:id="9"/>
    </w:p>
    <w:p w14:paraId="17CCD073" w14:textId="315AD4D8" w:rsidR="00C7519A" w:rsidRPr="00701475" w:rsidRDefault="00C2422D" w:rsidP="00A13BFB">
      <w:pPr>
        <w:shd w:val="clear" w:color="auto" w:fill="FFFFFF"/>
        <w:spacing w:after="0" w:line="360" w:lineRule="auto"/>
        <w:jc w:val="both"/>
        <w:rPr>
          <w:rFonts w:ascii="Arial" w:hAnsi="Arial" w:cs="Arial"/>
          <w:szCs w:val="24"/>
        </w:rPr>
      </w:pPr>
      <w:r w:rsidRPr="00701475">
        <w:rPr>
          <w:rFonts w:ascii="Arial" w:hAnsi="Arial" w:cs="Arial"/>
          <w:szCs w:val="24"/>
        </w:rPr>
        <w:t xml:space="preserve">One of the major challenges faced by medical staff in the UK during the COVID-19 epidemic was the absence of personal protective equipment (PPE). The unanticipated surge in demand became too much for the healthcare system to handle because of years of National Health Service (NHS) austerity. The problem was made worse by inadequate financing for emergency supplies, subpar distribution networks, and an excessive dependence on just-in-time supply chains. The local PPE industry's slow response to higher output made the shortage much worse. The shortage put the lives of medical personnel at peril and compromised their ability to provide quality care for patients. For example, doctors and nurses in the UK were recommended by Public Health England (PHE) to reuse facemasks and other personal protective equipment (PPE) items (Nyashanu et al., 2020). Healthcare professionals should think about using reusable coveralls or gowns rather than disposable ones, reserving the latter for procedures where there is a significant chance of aerosol formation (Nyashanu et al., 2020). Tan et al. (2020) </w:t>
      </w:r>
      <w:r w:rsidRPr="00701475">
        <w:rPr>
          <w:rFonts w:ascii="Arial" w:hAnsi="Arial" w:cs="Arial"/>
          <w:szCs w:val="24"/>
        </w:rPr>
        <w:lastRenderedPageBreak/>
        <w:t>allege</w:t>
      </w:r>
      <w:r w:rsidR="0010779F" w:rsidRPr="00701475">
        <w:rPr>
          <w:rFonts w:ascii="Arial" w:hAnsi="Arial" w:cs="Arial"/>
          <w:szCs w:val="24"/>
        </w:rPr>
        <w:t>d</w:t>
      </w:r>
      <w:r w:rsidRPr="00701475">
        <w:rPr>
          <w:rFonts w:ascii="Arial" w:hAnsi="Arial" w:cs="Arial"/>
          <w:szCs w:val="24"/>
        </w:rPr>
        <w:t xml:space="preserve"> that millions of PPE units have been sent to the frontlines, although repeated assertions from the government to the contrary.</w:t>
      </w:r>
    </w:p>
    <w:p w14:paraId="387D091C" w14:textId="77777777" w:rsidR="00950469" w:rsidRPr="00701475" w:rsidRDefault="00950469" w:rsidP="00A13BFB">
      <w:pPr>
        <w:shd w:val="clear" w:color="auto" w:fill="FFFFFF"/>
        <w:spacing w:after="0" w:line="360" w:lineRule="auto"/>
        <w:jc w:val="both"/>
        <w:rPr>
          <w:rFonts w:ascii="Arial" w:hAnsi="Arial" w:cs="Arial"/>
          <w:szCs w:val="24"/>
        </w:rPr>
      </w:pPr>
    </w:p>
    <w:p w14:paraId="1297CFD5" w14:textId="7DD39160" w:rsidR="00C2422D" w:rsidRPr="00701475" w:rsidRDefault="00C2422D" w:rsidP="00A13BFB">
      <w:pPr>
        <w:shd w:val="clear" w:color="auto" w:fill="FFFFFF"/>
        <w:spacing w:after="0" w:line="360" w:lineRule="auto"/>
        <w:jc w:val="both"/>
        <w:rPr>
          <w:rFonts w:ascii="Arial" w:hAnsi="Arial" w:cs="Arial"/>
          <w:szCs w:val="24"/>
        </w:rPr>
      </w:pPr>
      <w:r w:rsidRPr="00701475">
        <w:rPr>
          <w:rFonts w:ascii="Arial" w:hAnsi="Arial" w:cs="Arial"/>
          <w:szCs w:val="24"/>
        </w:rPr>
        <w:t xml:space="preserve">Furthermore, vulnerable populations including senior citizens in assisted living facilities, residents of impoverished </w:t>
      </w:r>
      <w:r w:rsidR="008C460C" w:rsidRPr="00701475">
        <w:rPr>
          <w:rFonts w:ascii="Arial" w:hAnsi="Arial" w:cs="Arial"/>
          <w:szCs w:val="24"/>
        </w:rPr>
        <w:t>neighbourhoods</w:t>
      </w:r>
      <w:r w:rsidRPr="00701475">
        <w:rPr>
          <w:rFonts w:ascii="Arial" w:hAnsi="Arial" w:cs="Arial"/>
          <w:szCs w:val="24"/>
        </w:rPr>
        <w:t>, and front-line workers in a variety of industries were disproportionately affected by the absence of PPE. Early in March 2020, members of hackerspaces and maker spaces started looking into equipment manufacturing alternatives. Projects to create masks and face shields/visors were initiated (</w:t>
      </w:r>
      <w:proofErr w:type="spellStart"/>
      <w:r w:rsidRPr="00701475">
        <w:rPr>
          <w:rFonts w:ascii="Arial" w:hAnsi="Arial" w:cs="Arial"/>
          <w:szCs w:val="24"/>
        </w:rPr>
        <w:t>Richterich</w:t>
      </w:r>
      <w:proofErr w:type="spellEnd"/>
      <w:r w:rsidRPr="00701475">
        <w:rPr>
          <w:rFonts w:ascii="Arial" w:hAnsi="Arial" w:cs="Arial"/>
          <w:szCs w:val="24"/>
        </w:rPr>
        <w:t>, 2020). The realization that government emergency supply efforts are insufficient and that critically needed equipment will come too late is what drives volunteers in the UK to produce their own DIY medical equipment (</w:t>
      </w:r>
      <w:proofErr w:type="spellStart"/>
      <w:r w:rsidRPr="00701475">
        <w:rPr>
          <w:rFonts w:ascii="Arial" w:hAnsi="Arial" w:cs="Arial"/>
          <w:szCs w:val="24"/>
        </w:rPr>
        <w:t>Richterich</w:t>
      </w:r>
      <w:proofErr w:type="spellEnd"/>
      <w:r w:rsidRPr="00701475">
        <w:rPr>
          <w:rFonts w:ascii="Arial" w:hAnsi="Arial" w:cs="Arial"/>
          <w:szCs w:val="24"/>
        </w:rPr>
        <w:t>, 2020). The laws and regulations pertaining to medical equipment in the UK are governed by the Medicines and Healthcare Products Regulatory Agency.</w:t>
      </w:r>
    </w:p>
    <w:p w14:paraId="682E651D" w14:textId="77777777" w:rsidR="006C3160" w:rsidRPr="00701475" w:rsidRDefault="00E848D4" w:rsidP="008C460C">
      <w:pPr>
        <w:shd w:val="clear" w:color="auto" w:fill="FFFFFF"/>
        <w:spacing w:after="0" w:line="360" w:lineRule="auto"/>
        <w:jc w:val="both"/>
        <w:rPr>
          <w:rFonts w:ascii="Arial" w:hAnsi="Arial" w:cs="Arial"/>
          <w:szCs w:val="24"/>
        </w:rPr>
      </w:pPr>
      <w:r w:rsidRPr="00701475">
        <w:rPr>
          <w:rFonts w:ascii="Arial" w:hAnsi="Arial" w:cs="Arial"/>
          <w:szCs w:val="24"/>
        </w:rPr>
        <w:t>The rapid increase of COVID-19 cases resulted in a major patient influx that severely taxed the hospital system. Hospitals and other healthcare institutions found it impossible to handle the rise, which led to crowded wards and dw</w:t>
      </w:r>
      <w:r w:rsidR="008C460C" w:rsidRPr="00701475">
        <w:rPr>
          <w:rFonts w:ascii="Arial" w:hAnsi="Arial" w:cs="Arial"/>
          <w:szCs w:val="24"/>
        </w:rPr>
        <w:t>indling resources. Long hours,</w:t>
      </w:r>
      <w:r w:rsidRPr="00701475">
        <w:rPr>
          <w:rFonts w:ascii="Arial" w:hAnsi="Arial" w:cs="Arial"/>
          <w:szCs w:val="24"/>
        </w:rPr>
        <w:t xml:space="preserve"> shortage of beds, and triage decisions—picking and selecting which patients receive care when resources are scarce—were challenges faced by medical personnel. This demand put a great deal of stress and emotional strain on healthcare professionals. Throughout the autumn of 2020, the NHS effectively managed the additional caseload of COVID-19 patients. According to official records, 451 COVID-19 inpatients were recorded in England on September 2, 2020; hence, hospitals were starting to be affected by the second wave at the start of September (McLellan &amp; </w:t>
      </w:r>
      <w:proofErr w:type="spellStart"/>
      <w:r w:rsidRPr="00701475">
        <w:rPr>
          <w:rFonts w:ascii="Arial" w:hAnsi="Arial" w:cs="Arial"/>
          <w:szCs w:val="24"/>
        </w:rPr>
        <w:t>Godlee</w:t>
      </w:r>
      <w:proofErr w:type="spellEnd"/>
      <w:r w:rsidRPr="00701475">
        <w:rPr>
          <w:rFonts w:ascii="Arial" w:hAnsi="Arial" w:cs="Arial"/>
          <w:szCs w:val="24"/>
        </w:rPr>
        <w:t xml:space="preserve">, 2020). Over the next ten weeks, the numbers rose steadily and rapidly, peaking on November 23, 2020, with 14,712 inpatients in England (McLellan &amp; </w:t>
      </w:r>
      <w:proofErr w:type="spellStart"/>
      <w:r w:rsidRPr="00701475">
        <w:rPr>
          <w:rFonts w:ascii="Arial" w:hAnsi="Arial" w:cs="Arial"/>
          <w:szCs w:val="24"/>
        </w:rPr>
        <w:t>Godlee</w:t>
      </w:r>
      <w:proofErr w:type="spellEnd"/>
      <w:r w:rsidRPr="00701475">
        <w:rPr>
          <w:rFonts w:ascii="Arial" w:hAnsi="Arial" w:cs="Arial"/>
          <w:szCs w:val="24"/>
        </w:rPr>
        <w:t xml:space="preserve">, 2020). The number of COVID-19 patients began to fall after martial rule was declared in England on November 5 and reached 12,968 on December 5 (McLellan &amp; </w:t>
      </w:r>
      <w:proofErr w:type="spellStart"/>
      <w:r w:rsidRPr="00701475">
        <w:rPr>
          <w:rFonts w:ascii="Arial" w:hAnsi="Arial" w:cs="Arial"/>
          <w:szCs w:val="24"/>
        </w:rPr>
        <w:t>Godlee</w:t>
      </w:r>
      <w:proofErr w:type="spellEnd"/>
      <w:r w:rsidRPr="00701475">
        <w:rPr>
          <w:rFonts w:ascii="Arial" w:hAnsi="Arial" w:cs="Arial"/>
          <w:szCs w:val="24"/>
        </w:rPr>
        <w:t xml:space="preserve">, 2020). If this decrease rate had continued, the English NHS would have stayed on course for little under 11,000 COVID-19 hospitalized patients by December 31 (McLellan &amp; </w:t>
      </w:r>
      <w:proofErr w:type="spellStart"/>
      <w:r w:rsidRPr="00701475">
        <w:rPr>
          <w:rFonts w:ascii="Arial" w:hAnsi="Arial" w:cs="Arial"/>
          <w:szCs w:val="24"/>
        </w:rPr>
        <w:t>Godlee</w:t>
      </w:r>
      <w:proofErr w:type="spellEnd"/>
      <w:r w:rsidRPr="00701475">
        <w:rPr>
          <w:rFonts w:ascii="Arial" w:hAnsi="Arial" w:cs="Arial"/>
          <w:szCs w:val="24"/>
        </w:rPr>
        <w:t xml:space="preserve">, 2020). Even Nevertheless, during the preceding two weeks, the number of inpatients had risen again, even though the majority of the country was still under tiers 2 or 3 of restrictive restrictions. By December 14th, 2020, the COVID bed occupancy had climbed to 15,053 beds </w:t>
      </w:r>
      <w:r w:rsidRPr="00701475">
        <w:rPr>
          <w:rFonts w:ascii="Arial" w:hAnsi="Arial" w:cs="Arial"/>
          <w:szCs w:val="24"/>
        </w:rPr>
        <w:lastRenderedPageBreak/>
        <w:t xml:space="preserve">(McLellan &amp; </w:t>
      </w:r>
      <w:proofErr w:type="spellStart"/>
      <w:r w:rsidRPr="00701475">
        <w:rPr>
          <w:rFonts w:ascii="Arial" w:hAnsi="Arial" w:cs="Arial"/>
          <w:szCs w:val="24"/>
        </w:rPr>
        <w:t>Godlee</w:t>
      </w:r>
      <w:proofErr w:type="spellEnd"/>
      <w:r w:rsidRPr="00701475">
        <w:rPr>
          <w:rFonts w:ascii="Arial" w:hAnsi="Arial" w:cs="Arial"/>
          <w:szCs w:val="24"/>
        </w:rPr>
        <w:t xml:space="preserve">, 2020). There are now 95,000 regular acute beds in the NHS. Hospitals currently have around 10% fewer beds than they had a year ago as a result of measures aimed at preventing and controlling infections implemented in an attempt to stop the spread of COVID-19 in hospitals (McLellan &amp; </w:t>
      </w:r>
      <w:proofErr w:type="spellStart"/>
      <w:r w:rsidRPr="00701475">
        <w:rPr>
          <w:rFonts w:ascii="Arial" w:hAnsi="Arial" w:cs="Arial"/>
          <w:szCs w:val="24"/>
        </w:rPr>
        <w:t>Godlee</w:t>
      </w:r>
      <w:proofErr w:type="spellEnd"/>
      <w:r w:rsidRPr="00701475">
        <w:rPr>
          <w:rFonts w:ascii="Arial" w:hAnsi="Arial" w:cs="Arial"/>
          <w:szCs w:val="24"/>
        </w:rPr>
        <w:t>, 2020).</w:t>
      </w:r>
      <w:r w:rsidR="008C460C" w:rsidRPr="00701475">
        <w:rPr>
          <w:rFonts w:ascii="Arial" w:hAnsi="Arial" w:cs="Arial"/>
          <w:szCs w:val="24"/>
        </w:rPr>
        <w:t xml:space="preserve"> </w:t>
      </w:r>
    </w:p>
    <w:p w14:paraId="46800EFB" w14:textId="2E74E383" w:rsidR="006C3160" w:rsidRPr="00701475" w:rsidRDefault="00E848D4" w:rsidP="008C460C">
      <w:pPr>
        <w:shd w:val="clear" w:color="auto" w:fill="FFFFFF"/>
        <w:spacing w:after="0" w:line="360" w:lineRule="auto"/>
        <w:jc w:val="both"/>
        <w:rPr>
          <w:rFonts w:ascii="Arial" w:hAnsi="Arial" w:cs="Arial"/>
          <w:szCs w:val="24"/>
        </w:rPr>
      </w:pPr>
      <w:r w:rsidRPr="00701475">
        <w:rPr>
          <w:rFonts w:ascii="Arial" w:hAnsi="Arial" w:cs="Arial"/>
          <w:szCs w:val="24"/>
        </w:rPr>
        <w:t xml:space="preserve">The lifestyle and mental health choices of healthcare workers are limited to mental health settings. The results show a notable increase in potentially harmful </w:t>
      </w:r>
      <w:proofErr w:type="spellStart"/>
      <w:r w:rsidRPr="00701475">
        <w:rPr>
          <w:rFonts w:ascii="Arial" w:hAnsi="Arial" w:cs="Arial"/>
          <w:szCs w:val="24"/>
        </w:rPr>
        <w:t>behaviors</w:t>
      </w:r>
      <w:proofErr w:type="spellEnd"/>
      <w:r w:rsidRPr="00701475">
        <w:rPr>
          <w:rFonts w:ascii="Arial" w:hAnsi="Arial" w:cs="Arial"/>
          <w:szCs w:val="24"/>
        </w:rPr>
        <w:t xml:space="preserve"> including cigarette smoking, alcohol consumption, and overeating, as well as a considerable degree of burnout, sleeplessness, melancholy, and anxiety (Pappa et al., 2021). The investigation also identifies a number of putative mediating or predictive factors. It illustrates the resilience of the responders and emphasizes its importance at this trying time for the global healthcare sector (Pappa et al., 2021). Due to self-reported mental health rather than professional diagnosis, a clinical condition may not exist </w:t>
      </w:r>
      <w:r w:rsidR="006C3160" w:rsidRPr="00701475">
        <w:rPr>
          <w:rFonts w:ascii="Arial" w:hAnsi="Arial" w:cs="Arial"/>
          <w:szCs w:val="24"/>
        </w:rPr>
        <w:t>even though</w:t>
      </w:r>
      <w:r w:rsidRPr="00701475">
        <w:rPr>
          <w:rFonts w:ascii="Arial" w:hAnsi="Arial" w:cs="Arial"/>
          <w:szCs w:val="24"/>
        </w:rPr>
        <w:t xml:space="preserve"> a "cut-off" score is surpassed (Pappa et al., 2021). </w:t>
      </w:r>
      <w:proofErr w:type="gramStart"/>
      <w:r w:rsidRPr="00701475">
        <w:rPr>
          <w:rFonts w:ascii="Arial" w:hAnsi="Arial" w:cs="Arial"/>
          <w:szCs w:val="24"/>
        </w:rPr>
        <w:t>Nevertheless</w:t>
      </w:r>
      <w:proofErr w:type="gramEnd"/>
      <w:r w:rsidRPr="00701475">
        <w:rPr>
          <w:rFonts w:ascii="Arial" w:hAnsi="Arial" w:cs="Arial"/>
          <w:szCs w:val="24"/>
        </w:rPr>
        <w:t xml:space="preserve"> the goal here was to look for signs that could be concerning rather than to diagnose a mental illness. Medical staff experienced both physical and psychological weariness as a result of their intense workload and </w:t>
      </w:r>
      <w:r w:rsidR="006C3160" w:rsidRPr="00701475">
        <w:rPr>
          <w:rFonts w:ascii="Arial" w:hAnsi="Arial" w:cs="Arial"/>
          <w:szCs w:val="24"/>
        </w:rPr>
        <w:t>on-going</w:t>
      </w:r>
      <w:r w:rsidRPr="00701475">
        <w:rPr>
          <w:rFonts w:ascii="Arial" w:hAnsi="Arial" w:cs="Arial"/>
          <w:szCs w:val="24"/>
        </w:rPr>
        <w:t xml:space="preserve"> virus interaction (Pappa et al., 2021). Their physical and emotional well-being was negatively damaged by their lengthy work hours, little breaks, and ongoing concern about contracting the virus. The Centre for Evidence-based Medicine reports that critical </w:t>
      </w:r>
      <w:r w:rsidR="006C3160" w:rsidRPr="00701475">
        <w:rPr>
          <w:rFonts w:ascii="Arial" w:hAnsi="Arial" w:cs="Arial"/>
          <w:szCs w:val="24"/>
        </w:rPr>
        <w:t>staffs in the NHS and other sectors were</w:t>
      </w:r>
      <w:r w:rsidRPr="00701475">
        <w:rPr>
          <w:rFonts w:ascii="Arial" w:hAnsi="Arial" w:cs="Arial"/>
          <w:szCs w:val="24"/>
        </w:rPr>
        <w:t xml:space="preserve"> impacted by 13.8% of positive cases (Nyashanu et al., 2020).</w:t>
      </w:r>
      <w:r w:rsidR="008939D3" w:rsidRPr="00701475">
        <w:rPr>
          <w:rFonts w:ascii="Arial" w:hAnsi="Arial" w:cs="Arial"/>
          <w:szCs w:val="24"/>
        </w:rPr>
        <w:t xml:space="preserve"> By April 16th, 2020, there were </w:t>
      </w:r>
      <w:r w:rsidR="006C3160" w:rsidRPr="00701475">
        <w:rPr>
          <w:rFonts w:ascii="Arial" w:hAnsi="Arial" w:cs="Arial"/>
          <w:szCs w:val="24"/>
        </w:rPr>
        <w:t>additional</w:t>
      </w:r>
      <w:r w:rsidR="008939D3" w:rsidRPr="00701475">
        <w:rPr>
          <w:rFonts w:ascii="Arial" w:hAnsi="Arial" w:cs="Arial"/>
          <w:szCs w:val="24"/>
        </w:rPr>
        <w:t xml:space="preserve"> 16.2% more positive vital important </w:t>
      </w:r>
      <w:r w:rsidR="006C3160" w:rsidRPr="00701475">
        <w:rPr>
          <w:rFonts w:ascii="Arial" w:hAnsi="Arial" w:cs="Arial"/>
          <w:szCs w:val="24"/>
        </w:rPr>
        <w:t>persons;</w:t>
      </w:r>
      <w:r w:rsidR="008939D3" w:rsidRPr="00701475">
        <w:rPr>
          <w:rFonts w:ascii="Arial" w:hAnsi="Arial" w:cs="Arial"/>
          <w:szCs w:val="24"/>
        </w:rPr>
        <w:t xml:space="preserve"> according to Nyashanu et al. </w:t>
      </w:r>
      <w:r w:rsidR="006C3160" w:rsidRPr="00701475">
        <w:rPr>
          <w:rFonts w:ascii="Arial" w:hAnsi="Arial" w:cs="Arial"/>
          <w:szCs w:val="24"/>
        </w:rPr>
        <w:t xml:space="preserve">(2020). </w:t>
      </w:r>
      <w:r w:rsidR="008939D3" w:rsidRPr="00701475">
        <w:rPr>
          <w:rFonts w:ascii="Arial" w:hAnsi="Arial" w:cs="Arial"/>
          <w:szCs w:val="24"/>
        </w:rPr>
        <w:t>The workload and stress of frontline vital staff were greatly impacted by this, which reduced the healthcare system's a</w:t>
      </w:r>
      <w:r w:rsidR="006C3160" w:rsidRPr="00701475">
        <w:rPr>
          <w:rFonts w:ascii="Arial" w:hAnsi="Arial" w:cs="Arial"/>
          <w:szCs w:val="24"/>
        </w:rPr>
        <w:t xml:space="preserve">bility to tackle the problem. </w:t>
      </w:r>
    </w:p>
    <w:p w14:paraId="6CE559CE" w14:textId="77777777" w:rsidR="006C3160" w:rsidRPr="00701475" w:rsidRDefault="008939D3" w:rsidP="008C460C">
      <w:pPr>
        <w:shd w:val="clear" w:color="auto" w:fill="FFFFFF"/>
        <w:spacing w:after="0" w:line="360" w:lineRule="auto"/>
        <w:jc w:val="both"/>
        <w:rPr>
          <w:rFonts w:ascii="Arial" w:hAnsi="Arial" w:cs="Arial"/>
          <w:szCs w:val="24"/>
        </w:rPr>
      </w:pPr>
      <w:r w:rsidRPr="00701475">
        <w:rPr>
          <w:rFonts w:ascii="Arial" w:hAnsi="Arial" w:cs="Arial"/>
          <w:szCs w:val="24"/>
        </w:rPr>
        <w:t xml:space="preserve">During the epidemic, healthcare workers endured unusually high levels of stress due to witnessing patients suffer and coping with the psychological fallout from losing coworkers (Pappa et al., 2021). The study's strength was its capacity to detect the presence of a pre-existing mental health disorder; other comparable </w:t>
      </w:r>
      <w:r w:rsidR="006C3160" w:rsidRPr="00701475">
        <w:rPr>
          <w:rFonts w:ascii="Arial" w:hAnsi="Arial" w:cs="Arial"/>
          <w:szCs w:val="24"/>
        </w:rPr>
        <w:t>researches have</w:t>
      </w:r>
      <w:r w:rsidRPr="00701475">
        <w:rPr>
          <w:rFonts w:ascii="Arial" w:hAnsi="Arial" w:cs="Arial"/>
          <w:szCs w:val="24"/>
        </w:rPr>
        <w:t xml:space="preserve"> emphasized this as a drawback (Pappa et al., 2021). Ultimately, this research only offers a moment in time view of the pandemic; longer term studies are required to assess the consequences on mental health. Furthermore, there was an increase in possibly harmful lifestyle choices such as binge drinking, smoking, and overeating. On the other hand, 70% of the samples showed exceptional resilience, and this is </w:t>
      </w:r>
      <w:r w:rsidRPr="00701475">
        <w:rPr>
          <w:rFonts w:ascii="Arial" w:hAnsi="Arial" w:cs="Arial"/>
          <w:szCs w:val="24"/>
        </w:rPr>
        <w:lastRenderedPageBreak/>
        <w:t>emphasized as significant. Women were associated with higher levels of emotional</w:t>
      </w:r>
      <w:r w:rsidR="006C3160" w:rsidRPr="00701475">
        <w:rPr>
          <w:rFonts w:ascii="Arial" w:hAnsi="Arial" w:cs="Arial"/>
          <w:szCs w:val="24"/>
        </w:rPr>
        <w:t xml:space="preserve"> exhaustion and hopelessness. </w:t>
      </w:r>
    </w:p>
    <w:p w14:paraId="240994C0" w14:textId="0EA0E71D" w:rsidR="00E848D4" w:rsidRPr="00701475" w:rsidRDefault="008939D3" w:rsidP="008C460C">
      <w:pPr>
        <w:shd w:val="clear" w:color="auto" w:fill="FFFFFF"/>
        <w:spacing w:after="0" w:line="360" w:lineRule="auto"/>
        <w:jc w:val="both"/>
        <w:rPr>
          <w:rFonts w:ascii="Arial" w:eastAsia="Times New Roman" w:hAnsi="Arial" w:cs="Arial"/>
          <w:szCs w:val="24"/>
          <w:lang w:eastAsia="en-GB"/>
        </w:rPr>
      </w:pPr>
      <w:r w:rsidRPr="00701475">
        <w:rPr>
          <w:rFonts w:ascii="Arial" w:hAnsi="Arial" w:cs="Arial"/>
          <w:szCs w:val="24"/>
        </w:rPr>
        <w:t xml:space="preserve">Emotional symptoms, sleeplessness, and fatigue were more common among people with a history of mental health issues (Pappa et al., 2021). In the UK, calls to mental health helplines increased dramatically. Due to the absence of resources to address these queries and the ensuing dearth of readily available mental health care, a sizable segment of the populace is without critical help. If ignored, this aggravates pre-existing mental health issues and may have long-term negative effects on society. Our study found high levels of psychological discomfort, inappropriate coping mechanisms, resilience, and satisfaction with the amount of organizational support received. During the current COVID-19 epidemic, staff of a large mental health trust experienced an unexpectedly high prevalence of burnout and, most commonly, sleeplessness. There was also a rise in possibly harmful lifestyle modifications. The majority of participants also reported having enough organizational support and strong resilience. </w:t>
      </w:r>
    </w:p>
    <w:p w14:paraId="084718F3" w14:textId="65490295" w:rsidR="00C2422D" w:rsidRPr="00701475" w:rsidRDefault="008160B3" w:rsidP="00A13BFB">
      <w:pPr>
        <w:shd w:val="clear" w:color="auto" w:fill="FFFFFF"/>
        <w:spacing w:after="0" w:line="360" w:lineRule="auto"/>
        <w:jc w:val="both"/>
        <w:rPr>
          <w:rFonts w:ascii="Arial" w:eastAsia="Times New Roman" w:hAnsi="Arial" w:cs="Arial"/>
          <w:szCs w:val="24"/>
          <w:lang w:eastAsia="en-GB"/>
        </w:rPr>
      </w:pPr>
      <w:r w:rsidRPr="00701475">
        <w:rPr>
          <w:rFonts w:ascii="Arial" w:hAnsi="Arial" w:cs="Arial"/>
          <w:szCs w:val="24"/>
        </w:rPr>
        <w:t xml:space="preserve">While attention shifted to treating COVID-19 patients, healthcare practitioners found it challenging to offer adequate care for ailments unrelated to the pandemic. There were major interruptions to basic healthcare services including cancer screenings, immunizations, and elective surgeries, which caused delays in patients' diagnoses and treatments. Shah et al. (2022) reported that data from England, Wales, and Scotland showed a </w:t>
      </w:r>
      <w:proofErr w:type="gramStart"/>
      <w:r w:rsidRPr="00701475">
        <w:rPr>
          <w:rFonts w:ascii="Arial" w:hAnsi="Arial" w:cs="Arial"/>
          <w:szCs w:val="24"/>
        </w:rPr>
        <w:t>much decreased</w:t>
      </w:r>
      <w:proofErr w:type="gramEnd"/>
      <w:r w:rsidRPr="00701475">
        <w:rPr>
          <w:rFonts w:ascii="Arial" w:hAnsi="Arial" w:cs="Arial"/>
          <w:szCs w:val="24"/>
        </w:rPr>
        <w:t xml:space="preserve"> number of unplanned admissions. For example, in England, unplanned hospital admissions dropped by 9.5%. In August and September 2020, the total admission rate in England, Scotland, and Wales fell by 20.8%, 21.6%, and 22.0%, respectively, compared to the same time in the year before to the pandemic (Shah et al., 2022). Data from cancer registries across the country indicate that since the start of the COVID-19 pandemic, there has been a notable decline in the number of cancer cases (Shah et al., 2022). The main explanation for the decrease is that individuals with relevant symptoms are staying away from hospitals for COVID-19-related reasons (Shah et al., 2022). Healthcare professionals attempted to reconcile the needs of treating the pandemic with the need to remember people who had other conditions. Alternative provision strategies, such as designated non-COVID treatment zones or distinct healthcare facilities for non-COVID patients, have been introduced by several hospitals in the United Kingdom. Healthcare providers may now effectively handle non-COVID diseases as </w:t>
      </w:r>
      <w:r w:rsidRPr="00701475">
        <w:rPr>
          <w:rFonts w:ascii="Arial" w:hAnsi="Arial" w:cs="Arial"/>
          <w:szCs w:val="24"/>
        </w:rPr>
        <w:lastRenderedPageBreak/>
        <w:t>well as pandemic instances thanks to these activities. Through effective resource allocation and prioritization, the healthcare system can guarantee sufficient treatment for patients of all kinds.</w:t>
      </w:r>
    </w:p>
    <w:p w14:paraId="682D1769" w14:textId="1CC40C20" w:rsidR="003E4ECF" w:rsidRPr="00701475" w:rsidRDefault="003E4ECF" w:rsidP="00A13BFB">
      <w:pPr>
        <w:shd w:val="clear" w:color="auto" w:fill="FFFFFF"/>
        <w:spacing w:after="0" w:line="360" w:lineRule="auto"/>
        <w:jc w:val="both"/>
        <w:rPr>
          <w:rFonts w:ascii="Arial" w:eastAsia="Times New Roman" w:hAnsi="Arial" w:cs="Arial"/>
          <w:szCs w:val="24"/>
          <w:lang w:eastAsia="en-GB"/>
        </w:rPr>
      </w:pPr>
    </w:p>
    <w:p w14:paraId="16FAF0EA" w14:textId="451AD53D" w:rsidR="00B87E75" w:rsidRPr="00701475" w:rsidRDefault="004A736E" w:rsidP="007B7CB1">
      <w:pPr>
        <w:pStyle w:val="Heading1"/>
        <w:rPr>
          <w:rFonts w:ascii="Arial" w:hAnsi="Arial" w:cs="Arial"/>
        </w:rPr>
      </w:pPr>
      <w:bookmarkStart w:id="10" w:name="_Toc158973472"/>
      <w:r w:rsidRPr="00701475">
        <w:rPr>
          <w:rFonts w:ascii="Arial" w:hAnsi="Arial" w:cs="Arial"/>
        </w:rPr>
        <w:t>6</w:t>
      </w:r>
      <w:r w:rsidR="00B87E75" w:rsidRPr="00701475">
        <w:rPr>
          <w:rFonts w:ascii="Arial" w:hAnsi="Arial" w:cs="Arial"/>
        </w:rPr>
        <w:t>. Conclusion</w:t>
      </w:r>
      <w:bookmarkEnd w:id="10"/>
    </w:p>
    <w:p w14:paraId="2811FC12" w14:textId="369269DB" w:rsidR="008160B3" w:rsidRPr="00701475" w:rsidRDefault="008160B3" w:rsidP="00A13BFB">
      <w:pPr>
        <w:spacing w:after="0" w:line="360" w:lineRule="auto"/>
        <w:jc w:val="both"/>
        <w:rPr>
          <w:rFonts w:ascii="Arial" w:eastAsia="Calibri" w:hAnsi="Arial" w:cs="Arial"/>
          <w:szCs w:val="24"/>
        </w:rPr>
      </w:pPr>
      <w:r w:rsidRPr="00701475">
        <w:rPr>
          <w:rFonts w:ascii="Arial" w:hAnsi="Arial" w:cs="Arial"/>
          <w:szCs w:val="24"/>
        </w:rPr>
        <w:t>These results would have a significant impact on healthcare policy and practice. The imagined risk of infection kept many patients from seeking medical attention. In the UK, the COVID-19 epidemic brought enormous hurdles for medical workers. These committed professionals had to juggle the requirement to balance healthcare services for non-COVID diseases, shortages of personal protective equipment (PPE), an excessive patient intake, and physical and mental tiredness. In spite of these diffic</w:t>
      </w:r>
      <w:r w:rsidR="006C3160" w:rsidRPr="00701475">
        <w:rPr>
          <w:rFonts w:ascii="Arial" w:hAnsi="Arial" w:cs="Arial"/>
          <w:szCs w:val="24"/>
        </w:rPr>
        <w:t>ulties, healthcare workers showed</w:t>
      </w:r>
      <w:r w:rsidRPr="00701475">
        <w:rPr>
          <w:rFonts w:ascii="Arial" w:hAnsi="Arial" w:cs="Arial"/>
          <w:szCs w:val="24"/>
        </w:rPr>
        <w:t xml:space="preserve"> incredible fortitude, altruism, and flexibility. They ought to be congratulated for their unwavering work ethic and dedication to patient care in the face of hardship. In order to properly prepare for upcoming emergencies and guarantee the wellbeing of the healthcare professionals on whom we mostly rely, it is imperative that we consider these difficulties. Future studies should look into the avoidance of healthcare by certain groups, such as those based on gender, ethnicity, or educational attainment. Healthcare providers would greatly benefit from the analysis's assistance in identifying patients who are likely to forego care. Future studies should also concentrate on examining the impact of postponing and avoiding obtaining medical attention during COVID-19 on public health and the healthcare system. In this instance, the research would help to improve the formulation of best practices and policies for the provision of healthcare services.</w:t>
      </w:r>
    </w:p>
    <w:p w14:paraId="55000D36" w14:textId="77777777" w:rsidR="008160B3" w:rsidRPr="00701475" w:rsidRDefault="008160B3" w:rsidP="00A13BFB">
      <w:pPr>
        <w:spacing w:after="0" w:line="360" w:lineRule="auto"/>
        <w:jc w:val="both"/>
        <w:rPr>
          <w:rFonts w:ascii="Arial" w:eastAsia="Calibri" w:hAnsi="Arial" w:cs="Arial"/>
          <w:szCs w:val="24"/>
        </w:rPr>
      </w:pPr>
    </w:p>
    <w:p w14:paraId="5CD7A88A" w14:textId="3ABFA017" w:rsidR="006F70D6" w:rsidRPr="00701475" w:rsidRDefault="006F70D6" w:rsidP="006F70D6">
      <w:pPr>
        <w:pStyle w:val="Heading1"/>
        <w:rPr>
          <w:rFonts w:ascii="Arial" w:eastAsia="Calibri" w:hAnsi="Arial" w:cs="Arial"/>
        </w:rPr>
      </w:pPr>
      <w:bookmarkStart w:id="11" w:name="_Toc158973473"/>
      <w:r w:rsidRPr="00701475">
        <w:rPr>
          <w:rFonts w:ascii="Arial" w:eastAsia="Calibri" w:hAnsi="Arial" w:cs="Arial"/>
        </w:rPr>
        <w:t>7. References</w:t>
      </w:r>
      <w:bookmarkEnd w:id="11"/>
      <w:r w:rsidRPr="00701475">
        <w:rPr>
          <w:rFonts w:ascii="Arial" w:eastAsia="Calibri" w:hAnsi="Arial" w:cs="Arial"/>
        </w:rPr>
        <w:tab/>
      </w:r>
    </w:p>
    <w:p w14:paraId="5869AF24"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BMA (2020). </w:t>
      </w:r>
      <w:r w:rsidRPr="00701475">
        <w:rPr>
          <w:rFonts w:ascii="Arial" w:eastAsia="Calibri" w:hAnsi="Arial" w:cs="Arial"/>
          <w:i/>
          <w:iCs/>
          <w:szCs w:val="24"/>
        </w:rPr>
        <w:t>The hidden impact of COVID-19 on patient care in the NHS in England</w:t>
      </w:r>
      <w:r w:rsidRPr="00701475">
        <w:rPr>
          <w:rFonts w:ascii="Arial" w:eastAsia="Calibri" w:hAnsi="Arial" w:cs="Arial"/>
          <w:szCs w:val="24"/>
        </w:rPr>
        <w:t xml:space="preserve">. Pp 1-8. </w:t>
      </w:r>
    </w:p>
    <w:p w14:paraId="6970DF54"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Cao, Y., Li, Q., Chen, J., Guo, X., Miao, C., Yang, H., ... &amp; Li, L. (2020). Hospital emergency management plan during the COVID</w:t>
      </w:r>
      <w:r w:rsidRPr="00701475">
        <w:rPr>
          <w:rFonts w:ascii="Cambria Math" w:eastAsia="Calibri" w:hAnsi="Cambria Math" w:cs="Cambria Math"/>
          <w:szCs w:val="24"/>
        </w:rPr>
        <w:t>‐</w:t>
      </w:r>
      <w:r w:rsidRPr="00701475">
        <w:rPr>
          <w:rFonts w:ascii="Arial" w:eastAsia="Calibri" w:hAnsi="Arial" w:cs="Arial"/>
          <w:szCs w:val="24"/>
        </w:rPr>
        <w:t>19 epidemic. </w:t>
      </w:r>
      <w:r w:rsidRPr="00701475">
        <w:rPr>
          <w:rFonts w:ascii="Arial" w:eastAsia="Calibri" w:hAnsi="Arial" w:cs="Arial"/>
          <w:i/>
          <w:iCs/>
          <w:szCs w:val="24"/>
        </w:rPr>
        <w:t>Academic Emergency Medicine</w:t>
      </w:r>
      <w:r w:rsidRPr="00701475">
        <w:rPr>
          <w:rFonts w:ascii="Arial" w:eastAsia="Calibri" w:hAnsi="Arial" w:cs="Arial"/>
          <w:szCs w:val="24"/>
        </w:rPr>
        <w:t>, </w:t>
      </w:r>
      <w:r w:rsidRPr="00701475">
        <w:rPr>
          <w:rFonts w:ascii="Arial" w:eastAsia="Calibri" w:hAnsi="Arial" w:cs="Arial"/>
          <w:i/>
          <w:iCs/>
          <w:szCs w:val="24"/>
        </w:rPr>
        <w:t>27</w:t>
      </w:r>
      <w:r w:rsidRPr="00701475">
        <w:rPr>
          <w:rFonts w:ascii="Arial" w:eastAsia="Calibri" w:hAnsi="Arial" w:cs="Arial"/>
          <w:szCs w:val="24"/>
        </w:rPr>
        <w:t>(4), 309-311.</w:t>
      </w:r>
    </w:p>
    <w:p w14:paraId="2A347EE5"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proofErr w:type="spellStart"/>
      <w:r w:rsidRPr="00701475">
        <w:rPr>
          <w:rFonts w:ascii="Arial" w:eastAsia="Calibri" w:hAnsi="Arial" w:cs="Arial"/>
          <w:szCs w:val="24"/>
        </w:rPr>
        <w:lastRenderedPageBreak/>
        <w:t>Careruk</w:t>
      </w:r>
      <w:proofErr w:type="spellEnd"/>
      <w:r w:rsidRPr="00701475">
        <w:rPr>
          <w:rFonts w:ascii="Arial" w:eastAsia="Calibri" w:hAnsi="Arial" w:cs="Arial"/>
          <w:szCs w:val="24"/>
        </w:rPr>
        <w:t>, 2020, Caring behind closed doors: Forgotten families in coronavirus outbreak. Online: https://www.carersuk.org/for-professionals/policy/policy-library/caring-behind-closed-doors-report [</w:t>
      </w:r>
      <w:proofErr w:type="spellStart"/>
      <w:r w:rsidRPr="00701475">
        <w:rPr>
          <w:rFonts w:ascii="Arial" w:eastAsia="Calibri" w:hAnsi="Arial" w:cs="Arial"/>
          <w:szCs w:val="24"/>
        </w:rPr>
        <w:t>Accesssed</w:t>
      </w:r>
      <w:proofErr w:type="spellEnd"/>
      <w:r w:rsidRPr="00701475">
        <w:rPr>
          <w:rFonts w:ascii="Arial" w:eastAsia="Calibri" w:hAnsi="Arial" w:cs="Arial"/>
          <w:szCs w:val="24"/>
        </w:rPr>
        <w:t>: 1st August 2022]</w:t>
      </w:r>
    </w:p>
    <w:p w14:paraId="3AF4E7D1"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D., 2002. Interpreting quantitative data. Sage.</w:t>
      </w:r>
    </w:p>
    <w:p w14:paraId="606E017C"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proofErr w:type="spellStart"/>
      <w:r w:rsidRPr="00701475">
        <w:rPr>
          <w:rFonts w:ascii="Arial" w:eastAsia="Calibri" w:hAnsi="Arial" w:cs="Arial"/>
          <w:szCs w:val="24"/>
        </w:rPr>
        <w:t>DiscoverPhDs</w:t>
      </w:r>
      <w:proofErr w:type="spellEnd"/>
      <w:r w:rsidRPr="00701475">
        <w:rPr>
          <w:rFonts w:ascii="Arial" w:eastAsia="Calibri" w:hAnsi="Arial" w:cs="Arial"/>
          <w:szCs w:val="24"/>
        </w:rPr>
        <w:t xml:space="preserve"> (2021) What is research? - purpose of research, </w:t>
      </w:r>
      <w:proofErr w:type="spellStart"/>
      <w:r w:rsidRPr="00701475">
        <w:rPr>
          <w:rFonts w:ascii="Arial" w:eastAsia="Calibri" w:hAnsi="Arial" w:cs="Arial"/>
          <w:szCs w:val="24"/>
        </w:rPr>
        <w:t>DiscoverPhDs</w:t>
      </w:r>
      <w:proofErr w:type="spellEnd"/>
      <w:r w:rsidRPr="00701475">
        <w:rPr>
          <w:rFonts w:ascii="Arial" w:eastAsia="Calibri" w:hAnsi="Arial" w:cs="Arial"/>
          <w:szCs w:val="24"/>
        </w:rPr>
        <w:t xml:space="preserve">. Available at: https://www.discoverphds.com/blog/what-is-research-purpose-of-research (Accessed: 11 August 2023). </w:t>
      </w:r>
    </w:p>
    <w:p w14:paraId="773BD39A"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Dopfer, C., </w:t>
      </w:r>
      <w:proofErr w:type="spellStart"/>
      <w:r w:rsidRPr="00701475">
        <w:rPr>
          <w:rFonts w:ascii="Arial" w:eastAsia="Calibri" w:hAnsi="Arial" w:cs="Arial"/>
          <w:szCs w:val="24"/>
        </w:rPr>
        <w:t>Wetzke</w:t>
      </w:r>
      <w:proofErr w:type="spellEnd"/>
      <w:r w:rsidRPr="00701475">
        <w:rPr>
          <w:rFonts w:ascii="Arial" w:eastAsia="Calibri" w:hAnsi="Arial" w:cs="Arial"/>
          <w:szCs w:val="24"/>
        </w:rPr>
        <w:t xml:space="preserve">, M., </w:t>
      </w:r>
      <w:proofErr w:type="spellStart"/>
      <w:r w:rsidRPr="00701475">
        <w:rPr>
          <w:rFonts w:ascii="Arial" w:eastAsia="Calibri" w:hAnsi="Arial" w:cs="Arial"/>
          <w:szCs w:val="24"/>
        </w:rPr>
        <w:t>Zychlinsky</w:t>
      </w:r>
      <w:proofErr w:type="spellEnd"/>
      <w:r w:rsidRPr="00701475">
        <w:rPr>
          <w:rFonts w:ascii="Arial" w:eastAsia="Calibri" w:hAnsi="Arial" w:cs="Arial"/>
          <w:szCs w:val="24"/>
        </w:rPr>
        <w:t xml:space="preserve"> Scharff, A., Mueller, F., Dressler, F., Baumann, U., ... &amp; Happle, C. (2020). COVID-19-related reduction in </w:t>
      </w:r>
      <w:proofErr w:type="spellStart"/>
      <w:r w:rsidRPr="00701475">
        <w:rPr>
          <w:rFonts w:ascii="Arial" w:eastAsia="Calibri" w:hAnsi="Arial" w:cs="Arial"/>
          <w:szCs w:val="24"/>
        </w:rPr>
        <w:t>pediatric</w:t>
      </w:r>
      <w:proofErr w:type="spellEnd"/>
      <w:r w:rsidRPr="00701475">
        <w:rPr>
          <w:rFonts w:ascii="Arial" w:eastAsia="Calibri" w:hAnsi="Arial" w:cs="Arial"/>
          <w:szCs w:val="24"/>
        </w:rPr>
        <w:t xml:space="preserve"> emergency healthcare utilisation–a concerning trend. </w:t>
      </w:r>
      <w:r w:rsidRPr="00701475">
        <w:rPr>
          <w:rFonts w:ascii="Arial" w:eastAsia="Calibri" w:hAnsi="Arial" w:cs="Arial"/>
          <w:i/>
          <w:iCs/>
          <w:szCs w:val="24"/>
        </w:rPr>
        <w:t xml:space="preserve">BMC </w:t>
      </w:r>
      <w:proofErr w:type="spellStart"/>
      <w:r w:rsidRPr="00701475">
        <w:rPr>
          <w:rFonts w:ascii="Arial" w:eastAsia="Calibri" w:hAnsi="Arial" w:cs="Arial"/>
          <w:i/>
          <w:iCs/>
          <w:szCs w:val="24"/>
        </w:rPr>
        <w:t>Pediatrics</w:t>
      </w:r>
      <w:proofErr w:type="spellEnd"/>
      <w:r w:rsidRPr="00701475">
        <w:rPr>
          <w:rFonts w:ascii="Arial" w:eastAsia="Calibri" w:hAnsi="Arial" w:cs="Arial"/>
          <w:szCs w:val="24"/>
        </w:rPr>
        <w:t>, </w:t>
      </w:r>
      <w:r w:rsidRPr="00701475">
        <w:rPr>
          <w:rFonts w:ascii="Arial" w:eastAsia="Calibri" w:hAnsi="Arial" w:cs="Arial"/>
          <w:i/>
          <w:iCs/>
          <w:szCs w:val="24"/>
        </w:rPr>
        <w:t>20</w:t>
      </w:r>
      <w:r w:rsidRPr="00701475">
        <w:rPr>
          <w:rFonts w:ascii="Arial" w:eastAsia="Calibri" w:hAnsi="Arial" w:cs="Arial"/>
          <w:szCs w:val="24"/>
        </w:rPr>
        <w:t>(1), 1-10.</w:t>
      </w:r>
    </w:p>
    <w:p w14:paraId="4D31A7D1"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lang w:val="en-US"/>
        </w:rPr>
        <w:t>Duncan, L. J., &amp; Cheng, K. F. (2021). Public perception of NHS general practice during the first six months of the COVID-19 pandemic in England. </w:t>
      </w:r>
      <w:r w:rsidRPr="00701475">
        <w:rPr>
          <w:rFonts w:ascii="Arial" w:eastAsia="Calibri" w:hAnsi="Arial" w:cs="Arial"/>
          <w:i/>
          <w:iCs/>
          <w:szCs w:val="24"/>
          <w:lang w:val="en-US"/>
        </w:rPr>
        <w:t>F1000Research</w:t>
      </w:r>
      <w:r w:rsidRPr="00701475">
        <w:rPr>
          <w:rFonts w:ascii="Arial" w:eastAsia="Calibri" w:hAnsi="Arial" w:cs="Arial"/>
          <w:szCs w:val="24"/>
          <w:lang w:val="en-US"/>
        </w:rPr>
        <w:t>, </w:t>
      </w:r>
      <w:r w:rsidRPr="00701475">
        <w:rPr>
          <w:rFonts w:ascii="Arial" w:eastAsia="Calibri" w:hAnsi="Arial" w:cs="Arial"/>
          <w:i/>
          <w:iCs/>
          <w:szCs w:val="24"/>
          <w:lang w:val="en-US"/>
        </w:rPr>
        <w:t>10</w:t>
      </w:r>
      <w:r w:rsidRPr="00701475">
        <w:rPr>
          <w:rFonts w:ascii="Arial" w:eastAsia="Calibri" w:hAnsi="Arial" w:cs="Arial"/>
          <w:szCs w:val="24"/>
          <w:lang w:val="en-US"/>
        </w:rPr>
        <w:t>.</w:t>
      </w:r>
    </w:p>
    <w:p w14:paraId="04FFD3EC"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Duncan, L. J., &amp; Cheng, K. F. (2021). Public perception of NHS general practice during the first six months of the COVID-19 pandemic in England. </w:t>
      </w:r>
      <w:r w:rsidRPr="00701475">
        <w:rPr>
          <w:rFonts w:ascii="Arial" w:eastAsia="Calibri" w:hAnsi="Arial" w:cs="Arial"/>
          <w:i/>
          <w:iCs/>
          <w:szCs w:val="24"/>
        </w:rPr>
        <w:t>F1000Research</w:t>
      </w:r>
      <w:r w:rsidRPr="00701475">
        <w:rPr>
          <w:rFonts w:ascii="Arial" w:eastAsia="Calibri" w:hAnsi="Arial" w:cs="Arial"/>
          <w:szCs w:val="24"/>
        </w:rPr>
        <w:t>, </w:t>
      </w:r>
      <w:r w:rsidRPr="00701475">
        <w:rPr>
          <w:rFonts w:ascii="Arial" w:eastAsia="Calibri" w:hAnsi="Arial" w:cs="Arial"/>
          <w:i/>
          <w:iCs/>
          <w:szCs w:val="24"/>
        </w:rPr>
        <w:t>10</w:t>
      </w:r>
      <w:r w:rsidRPr="00701475">
        <w:rPr>
          <w:rFonts w:ascii="Arial" w:eastAsia="Calibri" w:hAnsi="Arial" w:cs="Arial"/>
          <w:szCs w:val="24"/>
        </w:rPr>
        <w:t>.</w:t>
      </w:r>
    </w:p>
    <w:p w14:paraId="6571B3CA"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Edmonds, W. W. A., &amp; Kennedy, T. T. D. (2016). </w:t>
      </w:r>
      <w:r w:rsidRPr="00701475">
        <w:rPr>
          <w:rFonts w:ascii="Arial" w:eastAsia="Calibri" w:hAnsi="Arial" w:cs="Arial"/>
          <w:i/>
          <w:iCs/>
          <w:szCs w:val="24"/>
        </w:rPr>
        <w:t>An Applied Guide to Research Designs: Quantitative, Qualitative, and Mixed Methods</w:t>
      </w:r>
      <w:r w:rsidRPr="00701475">
        <w:rPr>
          <w:rFonts w:ascii="Arial" w:eastAsia="Calibri" w:hAnsi="Arial" w:cs="Arial"/>
          <w:szCs w:val="24"/>
        </w:rPr>
        <w:t xml:space="preserve">. Thousand Oaks: SAGE Publications, Inc. </w:t>
      </w:r>
    </w:p>
    <w:p w14:paraId="560B28EB"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Heaton, J., 2008. Secondary analysis of qualitative data: An overview. Historical Social Research/</w:t>
      </w:r>
      <w:proofErr w:type="spellStart"/>
      <w:r w:rsidRPr="00701475">
        <w:rPr>
          <w:rFonts w:ascii="Arial" w:eastAsia="Calibri" w:hAnsi="Arial" w:cs="Arial"/>
          <w:szCs w:val="24"/>
        </w:rPr>
        <w:t>Historische</w:t>
      </w:r>
      <w:proofErr w:type="spellEnd"/>
      <w:r w:rsidRPr="00701475">
        <w:rPr>
          <w:rFonts w:ascii="Arial" w:eastAsia="Calibri" w:hAnsi="Arial" w:cs="Arial"/>
          <w:szCs w:val="24"/>
        </w:rPr>
        <w:t xml:space="preserve"> </w:t>
      </w:r>
      <w:proofErr w:type="spellStart"/>
      <w:r w:rsidRPr="00701475">
        <w:rPr>
          <w:rFonts w:ascii="Arial" w:eastAsia="Calibri" w:hAnsi="Arial" w:cs="Arial"/>
          <w:szCs w:val="24"/>
        </w:rPr>
        <w:t>Sozialforschung</w:t>
      </w:r>
      <w:proofErr w:type="spellEnd"/>
      <w:r w:rsidRPr="00701475">
        <w:rPr>
          <w:rFonts w:ascii="Arial" w:eastAsia="Calibri" w:hAnsi="Arial" w:cs="Arial"/>
          <w:szCs w:val="24"/>
        </w:rPr>
        <w:t>, pp.33-45.</w:t>
      </w:r>
    </w:p>
    <w:p w14:paraId="052DA5BA"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Holder-Dixon, A. R., Adams, O. R., Cobb, T. L., Goldberg, A. J., </w:t>
      </w:r>
      <w:proofErr w:type="spellStart"/>
      <w:r w:rsidRPr="00701475">
        <w:rPr>
          <w:rFonts w:ascii="Arial" w:eastAsia="Calibri" w:hAnsi="Arial" w:cs="Arial"/>
          <w:szCs w:val="24"/>
        </w:rPr>
        <w:t>Fikslin</w:t>
      </w:r>
      <w:proofErr w:type="spellEnd"/>
      <w:r w:rsidRPr="00701475">
        <w:rPr>
          <w:rFonts w:ascii="Arial" w:eastAsia="Calibri" w:hAnsi="Arial" w:cs="Arial"/>
          <w:szCs w:val="24"/>
        </w:rPr>
        <w:t xml:space="preserve">, R. A., </w:t>
      </w:r>
      <w:proofErr w:type="spellStart"/>
      <w:r w:rsidRPr="00701475">
        <w:rPr>
          <w:rFonts w:ascii="Arial" w:eastAsia="Calibri" w:hAnsi="Arial" w:cs="Arial"/>
          <w:szCs w:val="24"/>
        </w:rPr>
        <w:t>Reinka</w:t>
      </w:r>
      <w:proofErr w:type="spellEnd"/>
      <w:r w:rsidRPr="00701475">
        <w:rPr>
          <w:rFonts w:ascii="Arial" w:eastAsia="Calibri" w:hAnsi="Arial" w:cs="Arial"/>
          <w:szCs w:val="24"/>
        </w:rPr>
        <w:t>, M. A., &amp; Price, D. M. (2022). Medical avoidance among marginalized groups: the impact of the COVID-19 pandemic. </w:t>
      </w:r>
      <w:r w:rsidRPr="00701475">
        <w:rPr>
          <w:rFonts w:ascii="Arial" w:eastAsia="Calibri" w:hAnsi="Arial" w:cs="Arial"/>
          <w:i/>
          <w:iCs/>
          <w:szCs w:val="24"/>
        </w:rPr>
        <w:t xml:space="preserve">Journal of </w:t>
      </w:r>
      <w:proofErr w:type="spellStart"/>
      <w:r w:rsidRPr="00701475">
        <w:rPr>
          <w:rFonts w:ascii="Arial" w:eastAsia="Calibri" w:hAnsi="Arial" w:cs="Arial"/>
          <w:i/>
          <w:iCs/>
          <w:szCs w:val="24"/>
        </w:rPr>
        <w:t>Behavioral</w:t>
      </w:r>
      <w:proofErr w:type="spellEnd"/>
      <w:r w:rsidRPr="00701475">
        <w:rPr>
          <w:rFonts w:ascii="Arial" w:eastAsia="Calibri" w:hAnsi="Arial" w:cs="Arial"/>
          <w:i/>
          <w:iCs/>
          <w:szCs w:val="24"/>
        </w:rPr>
        <w:t xml:space="preserve"> Medicine</w:t>
      </w:r>
      <w:r w:rsidRPr="00701475">
        <w:rPr>
          <w:rFonts w:ascii="Arial" w:eastAsia="Calibri" w:hAnsi="Arial" w:cs="Arial"/>
          <w:szCs w:val="24"/>
        </w:rPr>
        <w:t>, 1-11.</w:t>
      </w:r>
    </w:p>
    <w:p w14:paraId="433B88B1"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Howarth, A., Munro, M., Theodorou, A., &amp; Mills, P. R. (2021). Trends in healthcare utilisation during COVID-19: a longitudinal study from the UK. </w:t>
      </w:r>
      <w:r w:rsidRPr="00701475">
        <w:rPr>
          <w:rFonts w:ascii="Arial" w:eastAsia="Calibri" w:hAnsi="Arial" w:cs="Arial"/>
          <w:i/>
          <w:iCs/>
          <w:szCs w:val="24"/>
        </w:rPr>
        <w:t>BMJ open</w:t>
      </w:r>
      <w:r w:rsidRPr="00701475">
        <w:rPr>
          <w:rFonts w:ascii="Arial" w:eastAsia="Calibri" w:hAnsi="Arial" w:cs="Arial"/>
          <w:szCs w:val="24"/>
        </w:rPr>
        <w:t>, </w:t>
      </w:r>
      <w:r w:rsidRPr="00701475">
        <w:rPr>
          <w:rFonts w:ascii="Arial" w:eastAsia="Calibri" w:hAnsi="Arial" w:cs="Arial"/>
          <w:i/>
          <w:iCs/>
          <w:szCs w:val="24"/>
        </w:rPr>
        <w:t>11</w:t>
      </w:r>
      <w:r w:rsidRPr="00701475">
        <w:rPr>
          <w:rFonts w:ascii="Arial" w:eastAsia="Calibri" w:hAnsi="Arial" w:cs="Arial"/>
          <w:szCs w:val="24"/>
        </w:rPr>
        <w:t>(7), e048151</w:t>
      </w:r>
    </w:p>
    <w:p w14:paraId="5DF7CA03"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Long, H. A., French, D. P., &amp; Brooks, J. M. (2020). Optimising the value of the critical appraisal skills programme (CASP) tool for quality appraisal in qualitative evidence synthesis. </w:t>
      </w:r>
      <w:r w:rsidRPr="00701475">
        <w:rPr>
          <w:rFonts w:ascii="Arial" w:eastAsia="Calibri" w:hAnsi="Arial" w:cs="Arial"/>
          <w:i/>
          <w:iCs/>
          <w:szCs w:val="24"/>
        </w:rPr>
        <w:t>Research Methods in Medicine &amp; Health Sciences</w:t>
      </w:r>
      <w:r w:rsidRPr="00701475">
        <w:rPr>
          <w:rFonts w:ascii="Arial" w:eastAsia="Calibri" w:hAnsi="Arial" w:cs="Arial"/>
          <w:szCs w:val="24"/>
        </w:rPr>
        <w:t>, </w:t>
      </w:r>
      <w:r w:rsidRPr="00701475">
        <w:rPr>
          <w:rFonts w:ascii="Arial" w:eastAsia="Calibri" w:hAnsi="Arial" w:cs="Arial"/>
          <w:i/>
          <w:iCs/>
          <w:szCs w:val="24"/>
        </w:rPr>
        <w:t>1</w:t>
      </w:r>
      <w:r w:rsidRPr="00701475">
        <w:rPr>
          <w:rFonts w:ascii="Arial" w:eastAsia="Calibri" w:hAnsi="Arial" w:cs="Arial"/>
          <w:szCs w:val="24"/>
        </w:rPr>
        <w:t>(1), 31-42.</w:t>
      </w:r>
    </w:p>
    <w:p w14:paraId="060DBB85"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lastRenderedPageBreak/>
        <w:t xml:space="preserve">McLellan, A. and </w:t>
      </w:r>
      <w:proofErr w:type="spellStart"/>
      <w:r w:rsidRPr="00701475">
        <w:rPr>
          <w:rFonts w:ascii="Arial" w:eastAsia="Calibri" w:hAnsi="Arial" w:cs="Arial"/>
          <w:szCs w:val="24"/>
        </w:rPr>
        <w:t>Godlee</w:t>
      </w:r>
      <w:proofErr w:type="spellEnd"/>
      <w:r w:rsidRPr="00701475">
        <w:rPr>
          <w:rFonts w:ascii="Arial" w:eastAsia="Calibri" w:hAnsi="Arial" w:cs="Arial"/>
          <w:szCs w:val="24"/>
        </w:rPr>
        <w:t>, F., 2020. Covid 19: Christmas relaxation will overwhelm services. </w:t>
      </w:r>
      <w:r w:rsidRPr="00701475">
        <w:rPr>
          <w:rFonts w:ascii="Arial" w:eastAsia="Calibri" w:hAnsi="Arial" w:cs="Arial"/>
          <w:i/>
          <w:iCs/>
          <w:szCs w:val="24"/>
        </w:rPr>
        <w:t>BMJ</w:t>
      </w:r>
      <w:r w:rsidRPr="00701475">
        <w:rPr>
          <w:rFonts w:ascii="Arial" w:eastAsia="Calibri" w:hAnsi="Arial" w:cs="Arial"/>
          <w:szCs w:val="24"/>
        </w:rPr>
        <w:t>, </w:t>
      </w:r>
      <w:r w:rsidRPr="00701475">
        <w:rPr>
          <w:rFonts w:ascii="Arial" w:eastAsia="Calibri" w:hAnsi="Arial" w:cs="Arial"/>
          <w:i/>
          <w:iCs/>
          <w:szCs w:val="24"/>
        </w:rPr>
        <w:t>371</w:t>
      </w:r>
      <w:r w:rsidRPr="00701475">
        <w:rPr>
          <w:rFonts w:ascii="Arial" w:eastAsia="Calibri" w:hAnsi="Arial" w:cs="Arial"/>
          <w:szCs w:val="24"/>
        </w:rPr>
        <w:t>.</w:t>
      </w:r>
    </w:p>
    <w:p w14:paraId="57DF9C68"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Miller, T. (2012). </w:t>
      </w:r>
      <w:r w:rsidRPr="00701475">
        <w:rPr>
          <w:rFonts w:ascii="Arial" w:eastAsia="Calibri" w:hAnsi="Arial" w:cs="Arial"/>
          <w:i/>
          <w:iCs/>
          <w:szCs w:val="24"/>
        </w:rPr>
        <w:t>Ethics in qualitative research</w:t>
      </w:r>
      <w:r w:rsidRPr="00701475">
        <w:rPr>
          <w:rFonts w:ascii="Arial" w:eastAsia="Calibri" w:hAnsi="Arial" w:cs="Arial"/>
          <w:szCs w:val="24"/>
        </w:rPr>
        <w:t>. London: Sage Publications Ltd.</w:t>
      </w:r>
    </w:p>
    <w:p w14:paraId="38801960"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Moroni, F., </w:t>
      </w:r>
      <w:proofErr w:type="spellStart"/>
      <w:r w:rsidRPr="00701475">
        <w:rPr>
          <w:rFonts w:ascii="Arial" w:eastAsia="Calibri" w:hAnsi="Arial" w:cs="Arial"/>
          <w:szCs w:val="24"/>
        </w:rPr>
        <w:t>Gramegna</w:t>
      </w:r>
      <w:proofErr w:type="spellEnd"/>
      <w:r w:rsidRPr="00701475">
        <w:rPr>
          <w:rFonts w:ascii="Arial" w:eastAsia="Calibri" w:hAnsi="Arial" w:cs="Arial"/>
          <w:szCs w:val="24"/>
        </w:rPr>
        <w:t xml:space="preserve">, M., Ajello, S., Beneduce, A., Baldetti, L., Vilca, L. M., &amp; </w:t>
      </w:r>
      <w:proofErr w:type="spellStart"/>
      <w:r w:rsidRPr="00701475">
        <w:rPr>
          <w:rFonts w:ascii="Arial" w:eastAsia="Calibri" w:hAnsi="Arial" w:cs="Arial"/>
          <w:szCs w:val="24"/>
        </w:rPr>
        <w:t>Azzalini</w:t>
      </w:r>
      <w:proofErr w:type="spellEnd"/>
      <w:r w:rsidRPr="00701475">
        <w:rPr>
          <w:rFonts w:ascii="Arial" w:eastAsia="Calibri" w:hAnsi="Arial" w:cs="Arial"/>
          <w:szCs w:val="24"/>
        </w:rPr>
        <w:t>, L. (2020). Collateral damage: medical care avoidance behaviour among patients with myocardial infarction during the COVID-19 pandemic. </w:t>
      </w:r>
      <w:r w:rsidRPr="00701475">
        <w:rPr>
          <w:rFonts w:ascii="Arial" w:eastAsia="Calibri" w:hAnsi="Arial" w:cs="Arial"/>
          <w:i/>
          <w:iCs/>
          <w:szCs w:val="24"/>
        </w:rPr>
        <w:t>Case Reports</w:t>
      </w:r>
      <w:r w:rsidRPr="00701475">
        <w:rPr>
          <w:rFonts w:ascii="Arial" w:eastAsia="Calibri" w:hAnsi="Arial" w:cs="Arial"/>
          <w:szCs w:val="24"/>
        </w:rPr>
        <w:t>, </w:t>
      </w:r>
      <w:r w:rsidRPr="00701475">
        <w:rPr>
          <w:rFonts w:ascii="Arial" w:eastAsia="Calibri" w:hAnsi="Arial" w:cs="Arial"/>
          <w:i/>
          <w:iCs/>
          <w:szCs w:val="24"/>
        </w:rPr>
        <w:t>2</w:t>
      </w:r>
      <w:r w:rsidRPr="00701475">
        <w:rPr>
          <w:rFonts w:ascii="Arial" w:eastAsia="Calibri" w:hAnsi="Arial" w:cs="Arial"/>
          <w:szCs w:val="24"/>
        </w:rPr>
        <w:t>(10), 1620-1624.</w:t>
      </w:r>
    </w:p>
    <w:p w14:paraId="255A3851"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Moynihan, R., Sanders, S., </w:t>
      </w:r>
      <w:proofErr w:type="spellStart"/>
      <w:r w:rsidRPr="00701475">
        <w:rPr>
          <w:rFonts w:ascii="Arial" w:eastAsia="Calibri" w:hAnsi="Arial" w:cs="Arial"/>
          <w:szCs w:val="24"/>
        </w:rPr>
        <w:t>Michaleff</w:t>
      </w:r>
      <w:proofErr w:type="spellEnd"/>
      <w:r w:rsidRPr="00701475">
        <w:rPr>
          <w:rFonts w:ascii="Arial" w:eastAsia="Calibri" w:hAnsi="Arial" w:cs="Arial"/>
          <w:szCs w:val="24"/>
        </w:rPr>
        <w:t xml:space="preserve">, Z. A., Scott, A. M., Clark, J., To, E. J., &amp; </w:t>
      </w:r>
      <w:proofErr w:type="spellStart"/>
      <w:r w:rsidRPr="00701475">
        <w:rPr>
          <w:rFonts w:ascii="Arial" w:eastAsia="Calibri" w:hAnsi="Arial" w:cs="Arial"/>
          <w:szCs w:val="24"/>
        </w:rPr>
        <w:t>Albarqouni</w:t>
      </w:r>
      <w:proofErr w:type="spellEnd"/>
      <w:r w:rsidRPr="00701475">
        <w:rPr>
          <w:rFonts w:ascii="Arial" w:eastAsia="Calibri" w:hAnsi="Arial" w:cs="Arial"/>
          <w:szCs w:val="24"/>
        </w:rPr>
        <w:t>, L. (2021). Impact of COVID-19 pandemic on utilization of healthcare services: a systematic review. </w:t>
      </w:r>
      <w:r w:rsidRPr="00701475">
        <w:rPr>
          <w:rFonts w:ascii="Arial" w:eastAsia="Calibri" w:hAnsi="Arial" w:cs="Arial"/>
          <w:i/>
          <w:iCs/>
          <w:szCs w:val="24"/>
        </w:rPr>
        <w:t>BMJ open</w:t>
      </w:r>
      <w:r w:rsidRPr="00701475">
        <w:rPr>
          <w:rFonts w:ascii="Arial" w:eastAsia="Calibri" w:hAnsi="Arial" w:cs="Arial"/>
          <w:szCs w:val="24"/>
        </w:rPr>
        <w:t>, </w:t>
      </w:r>
      <w:r w:rsidRPr="00701475">
        <w:rPr>
          <w:rFonts w:ascii="Arial" w:eastAsia="Calibri" w:hAnsi="Arial" w:cs="Arial"/>
          <w:i/>
          <w:iCs/>
          <w:szCs w:val="24"/>
        </w:rPr>
        <w:t>11</w:t>
      </w:r>
      <w:r w:rsidRPr="00701475">
        <w:rPr>
          <w:rFonts w:ascii="Arial" w:eastAsia="Calibri" w:hAnsi="Arial" w:cs="Arial"/>
          <w:szCs w:val="24"/>
        </w:rPr>
        <w:t>(3), e045343.</w:t>
      </w:r>
    </w:p>
    <w:p w14:paraId="112F36FF"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Moynihan, R., Sanders, S., </w:t>
      </w:r>
      <w:proofErr w:type="spellStart"/>
      <w:r w:rsidRPr="00701475">
        <w:rPr>
          <w:rFonts w:ascii="Arial" w:eastAsia="Calibri" w:hAnsi="Arial" w:cs="Arial"/>
          <w:szCs w:val="24"/>
        </w:rPr>
        <w:t>Michaleff</w:t>
      </w:r>
      <w:proofErr w:type="spellEnd"/>
      <w:r w:rsidRPr="00701475">
        <w:rPr>
          <w:rFonts w:ascii="Arial" w:eastAsia="Calibri" w:hAnsi="Arial" w:cs="Arial"/>
          <w:szCs w:val="24"/>
        </w:rPr>
        <w:t xml:space="preserve">, Z. A., Scott, A. M., Clark, J., To, E. J., ... &amp; </w:t>
      </w:r>
      <w:proofErr w:type="spellStart"/>
      <w:r w:rsidRPr="00701475">
        <w:rPr>
          <w:rFonts w:ascii="Arial" w:eastAsia="Calibri" w:hAnsi="Arial" w:cs="Arial"/>
          <w:szCs w:val="24"/>
        </w:rPr>
        <w:t>Albarqouni</w:t>
      </w:r>
      <w:proofErr w:type="spellEnd"/>
      <w:r w:rsidRPr="00701475">
        <w:rPr>
          <w:rFonts w:ascii="Arial" w:eastAsia="Calibri" w:hAnsi="Arial" w:cs="Arial"/>
          <w:szCs w:val="24"/>
        </w:rPr>
        <w:t>, L. (2021). Impact of COVID-19 pandemic on utilisation of healthcare services: a systematic review. </w:t>
      </w:r>
      <w:r w:rsidRPr="00701475">
        <w:rPr>
          <w:rFonts w:ascii="Arial" w:eastAsia="Calibri" w:hAnsi="Arial" w:cs="Arial"/>
          <w:i/>
          <w:iCs/>
          <w:szCs w:val="24"/>
        </w:rPr>
        <w:t>BMJ open</w:t>
      </w:r>
      <w:r w:rsidRPr="00701475">
        <w:rPr>
          <w:rFonts w:ascii="Arial" w:eastAsia="Calibri" w:hAnsi="Arial" w:cs="Arial"/>
          <w:szCs w:val="24"/>
        </w:rPr>
        <w:t>, </w:t>
      </w:r>
      <w:r w:rsidRPr="00701475">
        <w:rPr>
          <w:rFonts w:ascii="Arial" w:eastAsia="Calibri" w:hAnsi="Arial" w:cs="Arial"/>
          <w:i/>
          <w:iCs/>
          <w:szCs w:val="24"/>
        </w:rPr>
        <w:t>11</w:t>
      </w:r>
      <w:r w:rsidRPr="00701475">
        <w:rPr>
          <w:rFonts w:ascii="Arial" w:eastAsia="Calibri" w:hAnsi="Arial" w:cs="Arial"/>
          <w:szCs w:val="24"/>
        </w:rPr>
        <w:t xml:space="preserve">(3), e04534. Nyashanu, M., </w:t>
      </w:r>
      <w:proofErr w:type="spellStart"/>
      <w:r w:rsidRPr="00701475">
        <w:rPr>
          <w:rFonts w:ascii="Arial" w:eastAsia="Calibri" w:hAnsi="Arial" w:cs="Arial"/>
          <w:szCs w:val="24"/>
        </w:rPr>
        <w:t>Pfende</w:t>
      </w:r>
      <w:proofErr w:type="spellEnd"/>
      <w:r w:rsidRPr="00701475">
        <w:rPr>
          <w:rFonts w:ascii="Arial" w:eastAsia="Calibri" w:hAnsi="Arial" w:cs="Arial"/>
          <w:szCs w:val="24"/>
        </w:rPr>
        <w:t>, F. and Ekpenyong, M., 2020. Exploring the challenges faced by frontline workers in health and social care amid the COVID-19 pandemic: experiences of frontline workers in the English Midlands region, UK. </w:t>
      </w:r>
      <w:r w:rsidRPr="00701475">
        <w:rPr>
          <w:rFonts w:ascii="Arial" w:eastAsia="Calibri" w:hAnsi="Arial" w:cs="Arial"/>
          <w:i/>
          <w:iCs/>
          <w:szCs w:val="24"/>
        </w:rPr>
        <w:t>Journal of Interprofessional Care</w:t>
      </w:r>
      <w:r w:rsidRPr="00701475">
        <w:rPr>
          <w:rFonts w:ascii="Arial" w:eastAsia="Calibri" w:hAnsi="Arial" w:cs="Arial"/>
          <w:szCs w:val="24"/>
        </w:rPr>
        <w:t>, </w:t>
      </w:r>
      <w:r w:rsidRPr="00701475">
        <w:rPr>
          <w:rFonts w:ascii="Arial" w:eastAsia="Calibri" w:hAnsi="Arial" w:cs="Arial"/>
          <w:i/>
          <w:iCs/>
          <w:szCs w:val="24"/>
        </w:rPr>
        <w:t>34</w:t>
      </w:r>
      <w:r w:rsidRPr="00701475">
        <w:rPr>
          <w:rFonts w:ascii="Arial" w:eastAsia="Calibri" w:hAnsi="Arial" w:cs="Arial"/>
          <w:szCs w:val="24"/>
        </w:rPr>
        <w:t>(5), pp.655-661.</w:t>
      </w:r>
    </w:p>
    <w:p w14:paraId="5B5D979F"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Nabi, Z. (2023) How to do a research project: 6 steps, Top Universities. Available at: https://www.topuniversities.com/blog/how-do-research-project-6-steps (Accessed: 11 August 2023). </w:t>
      </w:r>
    </w:p>
    <w:p w14:paraId="308E9770"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u w:val="single"/>
        </w:rPr>
      </w:pPr>
      <w:r w:rsidRPr="00701475">
        <w:rPr>
          <w:rFonts w:ascii="Arial" w:eastAsia="Calibri" w:hAnsi="Arial" w:cs="Arial"/>
          <w:szCs w:val="24"/>
        </w:rPr>
        <w:t xml:space="preserve">NHS Digital (2021). </w:t>
      </w:r>
      <w:r w:rsidRPr="00701475">
        <w:rPr>
          <w:rFonts w:ascii="Arial" w:eastAsia="Calibri" w:hAnsi="Arial" w:cs="Arial"/>
          <w:i/>
          <w:iCs/>
          <w:szCs w:val="24"/>
        </w:rPr>
        <w:t>Impact of COVID-19</w:t>
      </w:r>
      <w:r w:rsidRPr="00701475">
        <w:rPr>
          <w:rFonts w:ascii="Arial" w:eastAsia="Calibri" w:hAnsi="Arial" w:cs="Arial"/>
          <w:szCs w:val="24"/>
        </w:rPr>
        <w:t xml:space="preserve">. Retrieved from </w:t>
      </w:r>
      <w:hyperlink r:id="rId10" w:history="1">
        <w:r w:rsidRPr="00701475">
          <w:rPr>
            <w:rStyle w:val="Hyperlink"/>
            <w:rFonts w:ascii="Arial" w:eastAsia="Calibri" w:hAnsi="Arial" w:cs="Arial"/>
            <w:szCs w:val="24"/>
          </w:rPr>
          <w:t>https://digital.nhs.uk/data-and-information/publications/statistical/hospital-outpatient-activity/2020-21/covid-19-impact</w:t>
        </w:r>
      </w:hyperlink>
    </w:p>
    <w:p w14:paraId="69547402"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Nyashanu, M., </w:t>
      </w:r>
      <w:proofErr w:type="spellStart"/>
      <w:r w:rsidRPr="00701475">
        <w:rPr>
          <w:rFonts w:ascii="Arial" w:eastAsia="Calibri" w:hAnsi="Arial" w:cs="Arial"/>
          <w:szCs w:val="24"/>
        </w:rPr>
        <w:t>Pfende</w:t>
      </w:r>
      <w:proofErr w:type="spellEnd"/>
      <w:r w:rsidRPr="00701475">
        <w:rPr>
          <w:rFonts w:ascii="Arial" w:eastAsia="Calibri" w:hAnsi="Arial" w:cs="Arial"/>
          <w:szCs w:val="24"/>
        </w:rPr>
        <w:t>, F. and Ekpenyong, M., 2020. Exploring the challenges faced by frontline workers in health and social care amid the COVID-19 pandemic: experiences of frontline workers in the English Midlands region, UK. </w:t>
      </w:r>
      <w:r w:rsidRPr="00701475">
        <w:rPr>
          <w:rFonts w:ascii="Arial" w:eastAsia="Calibri" w:hAnsi="Arial" w:cs="Arial"/>
          <w:i/>
          <w:iCs/>
          <w:szCs w:val="24"/>
        </w:rPr>
        <w:t>Journal of Interprofessional Care</w:t>
      </w:r>
      <w:r w:rsidRPr="00701475">
        <w:rPr>
          <w:rFonts w:ascii="Arial" w:eastAsia="Calibri" w:hAnsi="Arial" w:cs="Arial"/>
          <w:szCs w:val="24"/>
        </w:rPr>
        <w:t>, </w:t>
      </w:r>
      <w:r w:rsidRPr="00701475">
        <w:rPr>
          <w:rFonts w:ascii="Arial" w:eastAsia="Calibri" w:hAnsi="Arial" w:cs="Arial"/>
          <w:i/>
          <w:iCs/>
          <w:szCs w:val="24"/>
        </w:rPr>
        <w:t>34</w:t>
      </w:r>
      <w:r w:rsidRPr="00701475">
        <w:rPr>
          <w:rFonts w:ascii="Arial" w:eastAsia="Calibri" w:hAnsi="Arial" w:cs="Arial"/>
          <w:szCs w:val="24"/>
        </w:rPr>
        <w:t>(5), pp.655-661.</w:t>
      </w:r>
    </w:p>
    <w:p w14:paraId="67F36623"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Pappa, S., Barnett, J., Berges, I. and Sakkas, N., 2021. Tired, worried and burned out, but still resilient: A cross-sectional study of mental health workers in the UK during the COVID-19 pandemic. </w:t>
      </w:r>
      <w:r w:rsidRPr="00701475">
        <w:rPr>
          <w:rFonts w:ascii="Arial" w:eastAsia="Calibri" w:hAnsi="Arial" w:cs="Arial"/>
          <w:i/>
          <w:iCs/>
          <w:szCs w:val="24"/>
        </w:rPr>
        <w:t>International Journal of Environmental Research and Public Health</w:t>
      </w:r>
      <w:r w:rsidRPr="00701475">
        <w:rPr>
          <w:rFonts w:ascii="Arial" w:eastAsia="Calibri" w:hAnsi="Arial" w:cs="Arial"/>
          <w:szCs w:val="24"/>
        </w:rPr>
        <w:t>, </w:t>
      </w:r>
      <w:r w:rsidRPr="00701475">
        <w:rPr>
          <w:rFonts w:ascii="Arial" w:eastAsia="Calibri" w:hAnsi="Arial" w:cs="Arial"/>
          <w:i/>
          <w:iCs/>
          <w:szCs w:val="24"/>
        </w:rPr>
        <w:t>18</w:t>
      </w:r>
      <w:r w:rsidRPr="00701475">
        <w:rPr>
          <w:rFonts w:ascii="Arial" w:eastAsia="Calibri" w:hAnsi="Arial" w:cs="Arial"/>
          <w:szCs w:val="24"/>
        </w:rPr>
        <w:t>(9), p.4457.</w:t>
      </w:r>
    </w:p>
    <w:p w14:paraId="7FA23EC1"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Quinn-Scoggins, H. D., Cannings-John, R., Moriarty, Y., Whitelock, V., Whitaker, K. L., </w:t>
      </w:r>
      <w:proofErr w:type="spellStart"/>
      <w:r w:rsidRPr="00701475">
        <w:rPr>
          <w:rFonts w:ascii="Arial" w:eastAsia="Calibri" w:hAnsi="Arial" w:cs="Arial"/>
          <w:szCs w:val="24"/>
        </w:rPr>
        <w:t>Grozeva</w:t>
      </w:r>
      <w:proofErr w:type="spellEnd"/>
      <w:r w:rsidRPr="00701475">
        <w:rPr>
          <w:rFonts w:ascii="Arial" w:eastAsia="Calibri" w:hAnsi="Arial" w:cs="Arial"/>
          <w:szCs w:val="24"/>
        </w:rPr>
        <w:t xml:space="preserve">, D., &amp; Brain, K. (2021). Cancer symptom experience </w:t>
      </w:r>
      <w:r w:rsidRPr="00701475">
        <w:rPr>
          <w:rFonts w:ascii="Arial" w:eastAsia="Calibri" w:hAnsi="Arial" w:cs="Arial"/>
          <w:szCs w:val="24"/>
        </w:rPr>
        <w:lastRenderedPageBreak/>
        <w:t>and help-seeking behaviour during the COVID-19 pandemic in the UK: a cross-sectional population survey. </w:t>
      </w:r>
      <w:r w:rsidRPr="00701475">
        <w:rPr>
          <w:rFonts w:ascii="Arial" w:eastAsia="Calibri" w:hAnsi="Arial" w:cs="Arial"/>
          <w:i/>
          <w:iCs/>
          <w:szCs w:val="24"/>
        </w:rPr>
        <w:t>BMJ open</w:t>
      </w:r>
      <w:r w:rsidRPr="00701475">
        <w:rPr>
          <w:rFonts w:ascii="Arial" w:eastAsia="Calibri" w:hAnsi="Arial" w:cs="Arial"/>
          <w:szCs w:val="24"/>
        </w:rPr>
        <w:t>, </w:t>
      </w:r>
      <w:r w:rsidRPr="00701475">
        <w:rPr>
          <w:rFonts w:ascii="Arial" w:eastAsia="Calibri" w:hAnsi="Arial" w:cs="Arial"/>
          <w:i/>
          <w:iCs/>
          <w:szCs w:val="24"/>
        </w:rPr>
        <w:t>11</w:t>
      </w:r>
      <w:r w:rsidRPr="00701475">
        <w:rPr>
          <w:rFonts w:ascii="Arial" w:eastAsia="Calibri" w:hAnsi="Arial" w:cs="Arial"/>
          <w:szCs w:val="24"/>
        </w:rPr>
        <w:t>(9), e053095.</w:t>
      </w:r>
    </w:p>
    <w:p w14:paraId="0E4E5D7D"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proofErr w:type="spellStart"/>
      <w:r w:rsidRPr="00701475">
        <w:rPr>
          <w:rFonts w:ascii="Arial" w:eastAsia="Calibri" w:hAnsi="Arial" w:cs="Arial"/>
          <w:szCs w:val="24"/>
        </w:rPr>
        <w:t>Richterich</w:t>
      </w:r>
      <w:proofErr w:type="spellEnd"/>
      <w:r w:rsidRPr="00701475">
        <w:rPr>
          <w:rFonts w:ascii="Arial" w:eastAsia="Calibri" w:hAnsi="Arial" w:cs="Arial"/>
          <w:szCs w:val="24"/>
        </w:rPr>
        <w:t xml:space="preserve">, A., 2020. When </w:t>
      </w:r>
      <w:proofErr w:type="gramStart"/>
      <w:r w:rsidRPr="00701475">
        <w:rPr>
          <w:rFonts w:ascii="Arial" w:eastAsia="Calibri" w:hAnsi="Arial" w:cs="Arial"/>
          <w:szCs w:val="24"/>
        </w:rPr>
        <w:t>open source</w:t>
      </w:r>
      <w:proofErr w:type="gramEnd"/>
      <w:r w:rsidRPr="00701475">
        <w:rPr>
          <w:rFonts w:ascii="Arial" w:eastAsia="Calibri" w:hAnsi="Arial" w:cs="Arial"/>
          <w:szCs w:val="24"/>
        </w:rPr>
        <w:t xml:space="preserve"> design is vital: critical making of DIY healthcare equipment during the COVID-19 pandemic. </w:t>
      </w:r>
      <w:r w:rsidRPr="00701475">
        <w:rPr>
          <w:rFonts w:ascii="Arial" w:eastAsia="Calibri" w:hAnsi="Arial" w:cs="Arial"/>
          <w:i/>
          <w:iCs/>
          <w:szCs w:val="24"/>
        </w:rPr>
        <w:t>Health Sociology Review</w:t>
      </w:r>
      <w:r w:rsidRPr="00701475">
        <w:rPr>
          <w:rFonts w:ascii="Arial" w:eastAsia="Calibri" w:hAnsi="Arial" w:cs="Arial"/>
          <w:szCs w:val="24"/>
        </w:rPr>
        <w:t>, </w:t>
      </w:r>
      <w:r w:rsidRPr="00701475">
        <w:rPr>
          <w:rFonts w:ascii="Arial" w:eastAsia="Calibri" w:hAnsi="Arial" w:cs="Arial"/>
          <w:i/>
          <w:iCs/>
          <w:szCs w:val="24"/>
        </w:rPr>
        <w:t>29</w:t>
      </w:r>
      <w:r w:rsidRPr="00701475">
        <w:rPr>
          <w:rFonts w:ascii="Arial" w:eastAsia="Calibri" w:hAnsi="Arial" w:cs="Arial"/>
          <w:szCs w:val="24"/>
        </w:rPr>
        <w:t>(2), pp.158-167.</w:t>
      </w:r>
    </w:p>
    <w:p w14:paraId="6F65431F"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San Juan, N.V., Aceituno, D., Djellouli, N., </w:t>
      </w:r>
      <w:proofErr w:type="spellStart"/>
      <w:r w:rsidRPr="00701475">
        <w:rPr>
          <w:rFonts w:ascii="Arial" w:eastAsia="Calibri" w:hAnsi="Arial" w:cs="Arial"/>
          <w:szCs w:val="24"/>
        </w:rPr>
        <w:t>Sumray</w:t>
      </w:r>
      <w:proofErr w:type="spellEnd"/>
      <w:r w:rsidRPr="00701475">
        <w:rPr>
          <w:rFonts w:ascii="Arial" w:eastAsia="Calibri" w:hAnsi="Arial" w:cs="Arial"/>
          <w:szCs w:val="24"/>
        </w:rPr>
        <w:t xml:space="preserve">, K., Regenold, N., Syversen, A., Symmons, S.M., Dowrick, A., Mitchinson, L., Singleton, G. and </w:t>
      </w:r>
      <w:proofErr w:type="spellStart"/>
      <w:r w:rsidRPr="00701475">
        <w:rPr>
          <w:rFonts w:ascii="Arial" w:eastAsia="Calibri" w:hAnsi="Arial" w:cs="Arial"/>
          <w:szCs w:val="24"/>
        </w:rPr>
        <w:t>Vindrola-Padros</w:t>
      </w:r>
      <w:proofErr w:type="spellEnd"/>
      <w:r w:rsidRPr="00701475">
        <w:rPr>
          <w:rFonts w:ascii="Arial" w:eastAsia="Calibri" w:hAnsi="Arial" w:cs="Arial"/>
          <w:szCs w:val="24"/>
        </w:rPr>
        <w:t>, C., 2021. Mental health and well-being of healthcare workers during the COVID-19 pandemic in the UK: contrasting guidelines with experiences in practice. </w:t>
      </w:r>
      <w:proofErr w:type="spellStart"/>
      <w:r w:rsidRPr="00701475">
        <w:rPr>
          <w:rFonts w:ascii="Arial" w:eastAsia="Calibri" w:hAnsi="Arial" w:cs="Arial"/>
          <w:i/>
          <w:iCs/>
          <w:szCs w:val="24"/>
        </w:rPr>
        <w:t>BJPsych</w:t>
      </w:r>
      <w:proofErr w:type="spellEnd"/>
      <w:r w:rsidRPr="00701475">
        <w:rPr>
          <w:rFonts w:ascii="Arial" w:eastAsia="Calibri" w:hAnsi="Arial" w:cs="Arial"/>
          <w:i/>
          <w:iCs/>
          <w:szCs w:val="24"/>
        </w:rPr>
        <w:t xml:space="preserve"> Open</w:t>
      </w:r>
      <w:r w:rsidRPr="00701475">
        <w:rPr>
          <w:rFonts w:ascii="Arial" w:eastAsia="Calibri" w:hAnsi="Arial" w:cs="Arial"/>
          <w:szCs w:val="24"/>
        </w:rPr>
        <w:t>, </w:t>
      </w:r>
      <w:r w:rsidRPr="00701475">
        <w:rPr>
          <w:rFonts w:ascii="Arial" w:eastAsia="Calibri" w:hAnsi="Arial" w:cs="Arial"/>
          <w:i/>
          <w:iCs/>
          <w:szCs w:val="24"/>
        </w:rPr>
        <w:t>7</w:t>
      </w:r>
      <w:r w:rsidRPr="00701475">
        <w:rPr>
          <w:rFonts w:ascii="Arial" w:eastAsia="Calibri" w:hAnsi="Arial" w:cs="Arial"/>
          <w:szCs w:val="24"/>
        </w:rPr>
        <w:t>(1), p.e15.</w:t>
      </w:r>
    </w:p>
    <w:p w14:paraId="1ACCFDBE"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Saunders, N., Guttmann, A., Brownell, M., Cohen, E., Fu, L., Guan, J., &amp; Stukel, T. A. (2021). </w:t>
      </w:r>
      <w:proofErr w:type="spellStart"/>
      <w:r w:rsidRPr="00701475">
        <w:rPr>
          <w:rFonts w:ascii="Arial" w:eastAsia="Calibri" w:hAnsi="Arial" w:cs="Arial"/>
          <w:szCs w:val="24"/>
        </w:rPr>
        <w:t>Pediatric</w:t>
      </w:r>
      <w:proofErr w:type="spellEnd"/>
      <w:r w:rsidRPr="00701475">
        <w:rPr>
          <w:rFonts w:ascii="Arial" w:eastAsia="Calibri" w:hAnsi="Arial" w:cs="Arial"/>
          <w:szCs w:val="24"/>
        </w:rPr>
        <w:t xml:space="preserve"> primary care in Ontario and Manitoba after the onset of the COVID-19 pandemic: a population-based study. </w:t>
      </w:r>
      <w:r w:rsidRPr="00701475">
        <w:rPr>
          <w:rFonts w:ascii="Arial" w:eastAsia="Calibri" w:hAnsi="Arial" w:cs="Arial"/>
          <w:i/>
          <w:iCs/>
          <w:szCs w:val="24"/>
        </w:rPr>
        <w:t>Canadian Medical Association Open Access Journal</w:t>
      </w:r>
      <w:r w:rsidRPr="00701475">
        <w:rPr>
          <w:rFonts w:ascii="Arial" w:eastAsia="Calibri" w:hAnsi="Arial" w:cs="Arial"/>
          <w:szCs w:val="24"/>
        </w:rPr>
        <w:t>, </w:t>
      </w:r>
      <w:r w:rsidRPr="00701475">
        <w:rPr>
          <w:rFonts w:ascii="Arial" w:eastAsia="Calibri" w:hAnsi="Arial" w:cs="Arial"/>
          <w:i/>
          <w:iCs/>
          <w:szCs w:val="24"/>
        </w:rPr>
        <w:t>9</w:t>
      </w:r>
      <w:r w:rsidRPr="00701475">
        <w:rPr>
          <w:rFonts w:ascii="Arial" w:eastAsia="Calibri" w:hAnsi="Arial" w:cs="Arial"/>
          <w:szCs w:val="24"/>
        </w:rPr>
        <w:t>(4), E1149-E1158.</w:t>
      </w:r>
    </w:p>
    <w:p w14:paraId="452F10B4"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Shah, S. A., Brophy, S., Kennedy, J., Fisher, L., Walker, A., Mackenna, B., &amp; </w:t>
      </w:r>
      <w:proofErr w:type="spellStart"/>
      <w:r w:rsidRPr="00701475">
        <w:rPr>
          <w:rFonts w:ascii="Arial" w:eastAsia="Calibri" w:hAnsi="Arial" w:cs="Arial"/>
          <w:szCs w:val="24"/>
        </w:rPr>
        <w:t>Katikireddi</w:t>
      </w:r>
      <w:proofErr w:type="spellEnd"/>
      <w:r w:rsidRPr="00701475">
        <w:rPr>
          <w:rFonts w:ascii="Arial" w:eastAsia="Calibri" w:hAnsi="Arial" w:cs="Arial"/>
          <w:szCs w:val="24"/>
        </w:rPr>
        <w:t>, S. V. (2022). Impact of first UK COVID-19 lockdown on hospital admissions: Interrupted time series study of 32 million people. </w:t>
      </w:r>
      <w:proofErr w:type="spellStart"/>
      <w:r w:rsidRPr="00701475">
        <w:rPr>
          <w:rFonts w:ascii="Arial" w:eastAsia="Calibri" w:hAnsi="Arial" w:cs="Arial"/>
          <w:i/>
          <w:iCs/>
          <w:szCs w:val="24"/>
        </w:rPr>
        <w:t>EClinicalMedicine</w:t>
      </w:r>
      <w:proofErr w:type="spellEnd"/>
      <w:r w:rsidRPr="00701475">
        <w:rPr>
          <w:rFonts w:ascii="Arial" w:eastAsia="Calibri" w:hAnsi="Arial" w:cs="Arial"/>
          <w:szCs w:val="24"/>
        </w:rPr>
        <w:t>, </w:t>
      </w:r>
      <w:r w:rsidRPr="00701475">
        <w:rPr>
          <w:rFonts w:ascii="Arial" w:eastAsia="Calibri" w:hAnsi="Arial" w:cs="Arial"/>
          <w:i/>
          <w:iCs/>
          <w:szCs w:val="24"/>
        </w:rPr>
        <w:t>49</w:t>
      </w:r>
      <w:r w:rsidRPr="00701475">
        <w:rPr>
          <w:rFonts w:ascii="Arial" w:eastAsia="Calibri" w:hAnsi="Arial" w:cs="Arial"/>
          <w:szCs w:val="24"/>
        </w:rPr>
        <w:t>, 101462.</w:t>
      </w:r>
    </w:p>
    <w:p w14:paraId="39A0A973"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Shutterstock 2023</w:t>
      </w:r>
    </w:p>
    <w:p w14:paraId="6391755F"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Splinter MJ, Velek P, Ikram MK, </w:t>
      </w:r>
      <w:proofErr w:type="spellStart"/>
      <w:r w:rsidRPr="00701475">
        <w:rPr>
          <w:rFonts w:ascii="Arial" w:eastAsia="Calibri" w:hAnsi="Arial" w:cs="Arial"/>
          <w:szCs w:val="24"/>
        </w:rPr>
        <w:t>Kieboom</w:t>
      </w:r>
      <w:proofErr w:type="spellEnd"/>
      <w:r w:rsidRPr="00701475">
        <w:rPr>
          <w:rFonts w:ascii="Arial" w:eastAsia="Calibri" w:hAnsi="Arial" w:cs="Arial"/>
          <w:szCs w:val="24"/>
        </w:rPr>
        <w:t xml:space="preserve"> BCT, Peeters RP, &amp; </w:t>
      </w:r>
      <w:proofErr w:type="spellStart"/>
      <w:r w:rsidRPr="00701475">
        <w:rPr>
          <w:rFonts w:ascii="Arial" w:eastAsia="Calibri" w:hAnsi="Arial" w:cs="Arial"/>
          <w:szCs w:val="24"/>
        </w:rPr>
        <w:t>Bindels</w:t>
      </w:r>
      <w:proofErr w:type="spellEnd"/>
      <w:r w:rsidRPr="00701475">
        <w:rPr>
          <w:rFonts w:ascii="Arial" w:eastAsia="Calibri" w:hAnsi="Arial" w:cs="Arial"/>
          <w:szCs w:val="24"/>
        </w:rPr>
        <w:t xml:space="preserve"> PJE, et al. (2021) Prevalence and determinants of healthcare avoidance during the COVID-19 pandemic: A population-based cross-sectional study. </w:t>
      </w:r>
      <w:proofErr w:type="spellStart"/>
      <w:r w:rsidRPr="00701475">
        <w:rPr>
          <w:rFonts w:ascii="Arial" w:eastAsia="Calibri" w:hAnsi="Arial" w:cs="Arial"/>
          <w:szCs w:val="24"/>
        </w:rPr>
        <w:t>PLoS</w:t>
      </w:r>
      <w:proofErr w:type="spellEnd"/>
      <w:r w:rsidRPr="00701475">
        <w:rPr>
          <w:rFonts w:ascii="Arial" w:eastAsia="Calibri" w:hAnsi="Arial" w:cs="Arial"/>
          <w:szCs w:val="24"/>
        </w:rPr>
        <w:t xml:space="preserve"> Med 18(11): e1003854. </w:t>
      </w:r>
      <w:hyperlink r:id="rId11" w:history="1">
        <w:r w:rsidRPr="00701475">
          <w:rPr>
            <w:rStyle w:val="Hyperlink"/>
            <w:rFonts w:ascii="Arial" w:eastAsia="Calibri" w:hAnsi="Arial" w:cs="Arial"/>
            <w:szCs w:val="24"/>
          </w:rPr>
          <w:t>https://doi.org/10.1371/journal.pmed.1003854</w:t>
        </w:r>
      </w:hyperlink>
    </w:p>
    <w:p w14:paraId="5E509A1F"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Tan, L.T.H., Letchumanan, V., Ser, H.L., Law, J.W.F., Ab Mutalib, N.S. and Lee, L.H., 2020. PMMB COVID-19 Bulletin: United Kingdom (22nd April 2020). </w:t>
      </w:r>
      <w:r w:rsidRPr="00701475">
        <w:rPr>
          <w:rFonts w:ascii="Arial" w:eastAsia="Calibri" w:hAnsi="Arial" w:cs="Arial"/>
          <w:i/>
          <w:iCs/>
          <w:szCs w:val="24"/>
        </w:rPr>
        <w:t>Progress In Microbes &amp; Molecular Biology</w:t>
      </w:r>
      <w:r w:rsidRPr="00701475">
        <w:rPr>
          <w:rFonts w:ascii="Arial" w:eastAsia="Calibri" w:hAnsi="Arial" w:cs="Arial"/>
          <w:szCs w:val="24"/>
        </w:rPr>
        <w:t>, </w:t>
      </w:r>
      <w:r w:rsidRPr="00701475">
        <w:rPr>
          <w:rFonts w:ascii="Arial" w:eastAsia="Calibri" w:hAnsi="Arial" w:cs="Arial"/>
          <w:i/>
          <w:iCs/>
          <w:szCs w:val="24"/>
        </w:rPr>
        <w:t>3</w:t>
      </w:r>
      <w:r w:rsidRPr="00701475">
        <w:rPr>
          <w:rFonts w:ascii="Arial" w:eastAsia="Calibri" w:hAnsi="Arial" w:cs="Arial"/>
          <w:szCs w:val="24"/>
        </w:rPr>
        <w:t>(1).</w:t>
      </w:r>
    </w:p>
    <w:p w14:paraId="55358495"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 xml:space="preserve">Taylor S, Landry CA, Paluszek MM, Rachor GS &amp; Asmundson GJG (2020). Worry, avoidance, and coping during the COVID-19 pandemic: A comprehensive network analysis. J Anxiety </w:t>
      </w:r>
      <w:proofErr w:type="spellStart"/>
      <w:r w:rsidRPr="00701475">
        <w:rPr>
          <w:rFonts w:ascii="Arial" w:eastAsia="Calibri" w:hAnsi="Arial" w:cs="Arial"/>
          <w:szCs w:val="24"/>
        </w:rPr>
        <w:t>Disord</w:t>
      </w:r>
      <w:proofErr w:type="spellEnd"/>
      <w:r w:rsidRPr="00701475">
        <w:rPr>
          <w:rFonts w:ascii="Arial" w:eastAsia="Calibri" w:hAnsi="Arial" w:cs="Arial"/>
          <w:szCs w:val="24"/>
        </w:rPr>
        <w:t>. 2020; 76:1–7. </w:t>
      </w:r>
    </w:p>
    <w:p w14:paraId="012C227F"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Taylor, S., Landry, C. A., Rachor, G. S., Paluszek, M. M., &amp; Asmundson, G. J. (2020). Fear and avoidance of healthcare workers: An important, under-recognized form of stigmatization during the COVID-19 pandemic. </w:t>
      </w:r>
      <w:r w:rsidRPr="00701475">
        <w:rPr>
          <w:rFonts w:ascii="Arial" w:eastAsia="Calibri" w:hAnsi="Arial" w:cs="Arial"/>
          <w:i/>
          <w:iCs/>
          <w:szCs w:val="24"/>
        </w:rPr>
        <w:t>Journal of anxiety disorders</w:t>
      </w:r>
      <w:r w:rsidRPr="00701475">
        <w:rPr>
          <w:rFonts w:ascii="Arial" w:eastAsia="Calibri" w:hAnsi="Arial" w:cs="Arial"/>
          <w:szCs w:val="24"/>
        </w:rPr>
        <w:t>, </w:t>
      </w:r>
      <w:r w:rsidRPr="00701475">
        <w:rPr>
          <w:rFonts w:ascii="Arial" w:eastAsia="Calibri" w:hAnsi="Arial" w:cs="Arial"/>
          <w:i/>
          <w:iCs/>
          <w:szCs w:val="24"/>
        </w:rPr>
        <w:t>75</w:t>
      </w:r>
      <w:r w:rsidRPr="00701475">
        <w:rPr>
          <w:rFonts w:ascii="Arial" w:eastAsia="Calibri" w:hAnsi="Arial" w:cs="Arial"/>
          <w:szCs w:val="24"/>
        </w:rPr>
        <w:t>, 102289.</w:t>
      </w:r>
    </w:p>
    <w:p w14:paraId="153417DD"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lastRenderedPageBreak/>
        <w:t>Wade, M., Prime, H., Johnson, D., May, S.S., Jenkins, J.M. and Browne, D.T., 2021. The disparate impact of COVID-19 on the mental health of female and male caregivers. Social Science &amp; Medicine, 275, p.113801.</w:t>
      </w:r>
    </w:p>
    <w:p w14:paraId="0A8435D5"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Watson, G., Pickard, L., Williams, B., Hargreaves, D., &amp; Blair, M. (2021). ‘Do I, don’t I?’A qualitative study addressing parental perceptions about seeking healthcare during the COVID-19 pandemic. Archives of disease in childhood, 106(11), 1118-1124.</w:t>
      </w:r>
    </w:p>
    <w:p w14:paraId="0D11E25E"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Watson, G., Pickard, L., Williams, B., Hargreaves, D., &amp; Blair, M. (2021). ‘Do I, don’t I?’A qualitative study addressing parental perceptions about seeking healthcare during the COVID-19 pandemic. </w:t>
      </w:r>
      <w:r w:rsidRPr="00701475">
        <w:rPr>
          <w:rFonts w:ascii="Arial" w:eastAsia="Calibri" w:hAnsi="Arial" w:cs="Arial"/>
          <w:i/>
          <w:iCs/>
          <w:szCs w:val="24"/>
        </w:rPr>
        <w:t>Archives of disease in childhood</w:t>
      </w:r>
      <w:r w:rsidRPr="00701475">
        <w:rPr>
          <w:rFonts w:ascii="Arial" w:eastAsia="Calibri" w:hAnsi="Arial" w:cs="Arial"/>
          <w:szCs w:val="24"/>
        </w:rPr>
        <w:t>, </w:t>
      </w:r>
      <w:r w:rsidRPr="00701475">
        <w:rPr>
          <w:rFonts w:ascii="Arial" w:eastAsia="Calibri" w:hAnsi="Arial" w:cs="Arial"/>
          <w:i/>
          <w:iCs/>
          <w:szCs w:val="24"/>
        </w:rPr>
        <w:t>106</w:t>
      </w:r>
      <w:r w:rsidRPr="00701475">
        <w:rPr>
          <w:rFonts w:ascii="Arial" w:eastAsia="Calibri" w:hAnsi="Arial" w:cs="Arial"/>
          <w:szCs w:val="24"/>
        </w:rPr>
        <w:t>(11), 1118-1124.</w:t>
      </w:r>
    </w:p>
    <w:p w14:paraId="0225F1E7" w14:textId="77777777" w:rsidR="006F70D6" w:rsidRPr="00701475" w:rsidRDefault="006F70D6" w:rsidP="006F70D6">
      <w:pPr>
        <w:numPr>
          <w:ilvl w:val="0"/>
          <w:numId w:val="13"/>
        </w:numPr>
        <w:spacing w:after="0" w:line="360" w:lineRule="auto"/>
        <w:ind w:left="567" w:hanging="567"/>
        <w:jc w:val="both"/>
        <w:rPr>
          <w:rFonts w:ascii="Arial" w:eastAsia="Calibri" w:hAnsi="Arial" w:cs="Arial"/>
          <w:szCs w:val="24"/>
        </w:rPr>
      </w:pPr>
      <w:r w:rsidRPr="00701475">
        <w:rPr>
          <w:rFonts w:ascii="Arial" w:eastAsia="Calibri" w:hAnsi="Arial" w:cs="Arial"/>
          <w:szCs w:val="24"/>
        </w:rPr>
        <w:t>World Health Organization, 2020. Mental health and psychosocial considerations during the COVID-19 outbreak, 18 March 2020 (No. WHO/2019-nCoV/</w:t>
      </w:r>
      <w:proofErr w:type="spellStart"/>
      <w:r w:rsidRPr="00701475">
        <w:rPr>
          <w:rFonts w:ascii="Arial" w:eastAsia="Calibri" w:hAnsi="Arial" w:cs="Arial"/>
          <w:szCs w:val="24"/>
        </w:rPr>
        <w:t>MentalHealth</w:t>
      </w:r>
      <w:proofErr w:type="spellEnd"/>
      <w:r w:rsidRPr="00701475">
        <w:rPr>
          <w:rFonts w:ascii="Arial" w:eastAsia="Calibri" w:hAnsi="Arial" w:cs="Arial"/>
          <w:szCs w:val="24"/>
        </w:rPr>
        <w:t>/2020.1). World Health Organization.</w:t>
      </w:r>
    </w:p>
    <w:p w14:paraId="422F8E7C" w14:textId="57EA9D92" w:rsidR="009C675C" w:rsidRPr="00A13BFB" w:rsidRDefault="009C675C" w:rsidP="00A13BFB">
      <w:pPr>
        <w:spacing w:after="0" w:line="360" w:lineRule="auto"/>
        <w:rPr>
          <w:rFonts w:cs="Times New Roman"/>
          <w:szCs w:val="24"/>
        </w:rPr>
      </w:pPr>
    </w:p>
    <w:sectPr w:rsidR="009C675C" w:rsidRPr="00A13BF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15C5E" w14:textId="77777777" w:rsidR="00E5021E" w:rsidRDefault="00E5021E" w:rsidP="003E4ECF">
      <w:pPr>
        <w:spacing w:after="0" w:line="240" w:lineRule="auto"/>
      </w:pPr>
      <w:r>
        <w:separator/>
      </w:r>
    </w:p>
  </w:endnote>
  <w:endnote w:type="continuationSeparator" w:id="0">
    <w:p w14:paraId="61101C5F" w14:textId="77777777" w:rsidR="00E5021E" w:rsidRDefault="00E5021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730220" w:rsidRDefault="00730220">
        <w:pPr>
          <w:pStyle w:val="Footer"/>
          <w:jc w:val="center"/>
        </w:pPr>
        <w:r>
          <w:fldChar w:fldCharType="begin"/>
        </w:r>
        <w:r>
          <w:instrText xml:space="preserve"> PAGE   \* MERGEFORMAT </w:instrText>
        </w:r>
        <w:r>
          <w:fldChar w:fldCharType="separate"/>
        </w:r>
        <w:r w:rsidR="00AA5885">
          <w:rPr>
            <w:noProof/>
          </w:rPr>
          <w:t>1</w:t>
        </w:r>
        <w:r>
          <w:rPr>
            <w:noProof/>
          </w:rPr>
          <w:fldChar w:fldCharType="end"/>
        </w:r>
      </w:p>
    </w:sdtContent>
  </w:sdt>
  <w:p w14:paraId="65BDCB89" w14:textId="77777777" w:rsidR="00730220" w:rsidRDefault="007302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27E6D" w14:textId="77777777" w:rsidR="00E5021E" w:rsidRDefault="00E5021E" w:rsidP="003E4ECF">
      <w:pPr>
        <w:spacing w:after="0" w:line="240" w:lineRule="auto"/>
      </w:pPr>
      <w:r>
        <w:separator/>
      </w:r>
    </w:p>
  </w:footnote>
  <w:footnote w:type="continuationSeparator" w:id="0">
    <w:p w14:paraId="52C12253" w14:textId="77777777" w:rsidR="00E5021E" w:rsidRDefault="00E5021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51AF5"/>
    <w:multiLevelType w:val="hybridMultilevel"/>
    <w:tmpl w:val="D9621866"/>
    <w:lvl w:ilvl="0" w:tplc="3EE42666">
      <w:start w:val="1"/>
      <w:numFmt w:val="bullet"/>
      <w:lvlText w:val=""/>
      <w:lvlJc w:val="left"/>
      <w:pPr>
        <w:tabs>
          <w:tab w:val="num" w:pos="720"/>
        </w:tabs>
        <w:ind w:left="720" w:hanging="360"/>
      </w:pPr>
      <w:rPr>
        <w:rFonts w:ascii="Wingdings" w:hAnsi="Wingdings" w:hint="default"/>
      </w:rPr>
    </w:lvl>
    <w:lvl w:ilvl="1" w:tplc="5C7A1CD8" w:tentative="1">
      <w:start w:val="1"/>
      <w:numFmt w:val="bullet"/>
      <w:lvlText w:val=""/>
      <w:lvlJc w:val="left"/>
      <w:pPr>
        <w:tabs>
          <w:tab w:val="num" w:pos="1440"/>
        </w:tabs>
        <w:ind w:left="1440" w:hanging="360"/>
      </w:pPr>
      <w:rPr>
        <w:rFonts w:ascii="Wingdings" w:hAnsi="Wingdings" w:hint="default"/>
      </w:rPr>
    </w:lvl>
    <w:lvl w:ilvl="2" w:tplc="D7B6154C" w:tentative="1">
      <w:start w:val="1"/>
      <w:numFmt w:val="bullet"/>
      <w:lvlText w:val=""/>
      <w:lvlJc w:val="left"/>
      <w:pPr>
        <w:tabs>
          <w:tab w:val="num" w:pos="2160"/>
        </w:tabs>
        <w:ind w:left="2160" w:hanging="360"/>
      </w:pPr>
      <w:rPr>
        <w:rFonts w:ascii="Wingdings" w:hAnsi="Wingdings" w:hint="default"/>
      </w:rPr>
    </w:lvl>
    <w:lvl w:ilvl="3" w:tplc="6AEC78DC" w:tentative="1">
      <w:start w:val="1"/>
      <w:numFmt w:val="bullet"/>
      <w:lvlText w:val=""/>
      <w:lvlJc w:val="left"/>
      <w:pPr>
        <w:tabs>
          <w:tab w:val="num" w:pos="2880"/>
        </w:tabs>
        <w:ind w:left="2880" w:hanging="360"/>
      </w:pPr>
      <w:rPr>
        <w:rFonts w:ascii="Wingdings" w:hAnsi="Wingdings" w:hint="default"/>
      </w:rPr>
    </w:lvl>
    <w:lvl w:ilvl="4" w:tplc="274E62AA" w:tentative="1">
      <w:start w:val="1"/>
      <w:numFmt w:val="bullet"/>
      <w:lvlText w:val=""/>
      <w:lvlJc w:val="left"/>
      <w:pPr>
        <w:tabs>
          <w:tab w:val="num" w:pos="3600"/>
        </w:tabs>
        <w:ind w:left="3600" w:hanging="360"/>
      </w:pPr>
      <w:rPr>
        <w:rFonts w:ascii="Wingdings" w:hAnsi="Wingdings" w:hint="default"/>
      </w:rPr>
    </w:lvl>
    <w:lvl w:ilvl="5" w:tplc="6BC27846" w:tentative="1">
      <w:start w:val="1"/>
      <w:numFmt w:val="bullet"/>
      <w:lvlText w:val=""/>
      <w:lvlJc w:val="left"/>
      <w:pPr>
        <w:tabs>
          <w:tab w:val="num" w:pos="4320"/>
        </w:tabs>
        <w:ind w:left="4320" w:hanging="360"/>
      </w:pPr>
      <w:rPr>
        <w:rFonts w:ascii="Wingdings" w:hAnsi="Wingdings" w:hint="default"/>
      </w:rPr>
    </w:lvl>
    <w:lvl w:ilvl="6" w:tplc="A7E200C6" w:tentative="1">
      <w:start w:val="1"/>
      <w:numFmt w:val="bullet"/>
      <w:lvlText w:val=""/>
      <w:lvlJc w:val="left"/>
      <w:pPr>
        <w:tabs>
          <w:tab w:val="num" w:pos="5040"/>
        </w:tabs>
        <w:ind w:left="5040" w:hanging="360"/>
      </w:pPr>
      <w:rPr>
        <w:rFonts w:ascii="Wingdings" w:hAnsi="Wingdings" w:hint="default"/>
      </w:rPr>
    </w:lvl>
    <w:lvl w:ilvl="7" w:tplc="00808CC6" w:tentative="1">
      <w:start w:val="1"/>
      <w:numFmt w:val="bullet"/>
      <w:lvlText w:val=""/>
      <w:lvlJc w:val="left"/>
      <w:pPr>
        <w:tabs>
          <w:tab w:val="num" w:pos="5760"/>
        </w:tabs>
        <w:ind w:left="5760" w:hanging="360"/>
      </w:pPr>
      <w:rPr>
        <w:rFonts w:ascii="Wingdings" w:hAnsi="Wingdings" w:hint="default"/>
      </w:rPr>
    </w:lvl>
    <w:lvl w:ilvl="8" w:tplc="23DC2CC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57A15A3"/>
    <w:multiLevelType w:val="hybridMultilevel"/>
    <w:tmpl w:val="65E8FA3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6162F49"/>
    <w:multiLevelType w:val="hybridMultilevel"/>
    <w:tmpl w:val="0DBAE0EC"/>
    <w:lvl w:ilvl="0" w:tplc="08090005">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7B85F1E"/>
    <w:multiLevelType w:val="hybridMultilevel"/>
    <w:tmpl w:val="93C8E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5B620C"/>
    <w:multiLevelType w:val="hybridMultilevel"/>
    <w:tmpl w:val="7B3E8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99603F"/>
    <w:multiLevelType w:val="hybridMultilevel"/>
    <w:tmpl w:val="8362C44E"/>
    <w:lvl w:ilvl="0" w:tplc="5C5E1AA0">
      <w:start w:val="1"/>
      <w:numFmt w:val="bullet"/>
      <w:pStyle w:val="Heading3"/>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29660B"/>
    <w:multiLevelType w:val="hybridMultilevel"/>
    <w:tmpl w:val="E6B8E4E8"/>
    <w:lvl w:ilvl="0" w:tplc="203AC754">
      <w:start w:val="1"/>
      <w:numFmt w:val="bullet"/>
      <w:lvlText w:val=""/>
      <w:lvlJc w:val="left"/>
      <w:pPr>
        <w:tabs>
          <w:tab w:val="num" w:pos="720"/>
        </w:tabs>
        <w:ind w:left="720" w:hanging="360"/>
      </w:pPr>
      <w:rPr>
        <w:rFonts w:ascii="Wingdings" w:hAnsi="Wingdings" w:hint="default"/>
      </w:rPr>
    </w:lvl>
    <w:lvl w:ilvl="1" w:tplc="95A6A31E" w:tentative="1">
      <w:start w:val="1"/>
      <w:numFmt w:val="bullet"/>
      <w:lvlText w:val=""/>
      <w:lvlJc w:val="left"/>
      <w:pPr>
        <w:tabs>
          <w:tab w:val="num" w:pos="1440"/>
        </w:tabs>
        <w:ind w:left="1440" w:hanging="360"/>
      </w:pPr>
      <w:rPr>
        <w:rFonts w:ascii="Wingdings" w:hAnsi="Wingdings" w:hint="default"/>
      </w:rPr>
    </w:lvl>
    <w:lvl w:ilvl="2" w:tplc="638C6B2C" w:tentative="1">
      <w:start w:val="1"/>
      <w:numFmt w:val="bullet"/>
      <w:lvlText w:val=""/>
      <w:lvlJc w:val="left"/>
      <w:pPr>
        <w:tabs>
          <w:tab w:val="num" w:pos="2160"/>
        </w:tabs>
        <w:ind w:left="2160" w:hanging="360"/>
      </w:pPr>
      <w:rPr>
        <w:rFonts w:ascii="Wingdings" w:hAnsi="Wingdings" w:hint="default"/>
      </w:rPr>
    </w:lvl>
    <w:lvl w:ilvl="3" w:tplc="EA1CDD86" w:tentative="1">
      <w:start w:val="1"/>
      <w:numFmt w:val="bullet"/>
      <w:lvlText w:val=""/>
      <w:lvlJc w:val="left"/>
      <w:pPr>
        <w:tabs>
          <w:tab w:val="num" w:pos="2880"/>
        </w:tabs>
        <w:ind w:left="2880" w:hanging="360"/>
      </w:pPr>
      <w:rPr>
        <w:rFonts w:ascii="Wingdings" w:hAnsi="Wingdings" w:hint="default"/>
      </w:rPr>
    </w:lvl>
    <w:lvl w:ilvl="4" w:tplc="D8802448" w:tentative="1">
      <w:start w:val="1"/>
      <w:numFmt w:val="bullet"/>
      <w:lvlText w:val=""/>
      <w:lvlJc w:val="left"/>
      <w:pPr>
        <w:tabs>
          <w:tab w:val="num" w:pos="3600"/>
        </w:tabs>
        <w:ind w:left="3600" w:hanging="360"/>
      </w:pPr>
      <w:rPr>
        <w:rFonts w:ascii="Wingdings" w:hAnsi="Wingdings" w:hint="default"/>
      </w:rPr>
    </w:lvl>
    <w:lvl w:ilvl="5" w:tplc="32A08DDA" w:tentative="1">
      <w:start w:val="1"/>
      <w:numFmt w:val="bullet"/>
      <w:lvlText w:val=""/>
      <w:lvlJc w:val="left"/>
      <w:pPr>
        <w:tabs>
          <w:tab w:val="num" w:pos="4320"/>
        </w:tabs>
        <w:ind w:left="4320" w:hanging="360"/>
      </w:pPr>
      <w:rPr>
        <w:rFonts w:ascii="Wingdings" w:hAnsi="Wingdings" w:hint="default"/>
      </w:rPr>
    </w:lvl>
    <w:lvl w:ilvl="6" w:tplc="546C26F4" w:tentative="1">
      <w:start w:val="1"/>
      <w:numFmt w:val="bullet"/>
      <w:lvlText w:val=""/>
      <w:lvlJc w:val="left"/>
      <w:pPr>
        <w:tabs>
          <w:tab w:val="num" w:pos="5040"/>
        </w:tabs>
        <w:ind w:left="5040" w:hanging="360"/>
      </w:pPr>
      <w:rPr>
        <w:rFonts w:ascii="Wingdings" w:hAnsi="Wingdings" w:hint="default"/>
      </w:rPr>
    </w:lvl>
    <w:lvl w:ilvl="7" w:tplc="D3C480F6" w:tentative="1">
      <w:start w:val="1"/>
      <w:numFmt w:val="bullet"/>
      <w:lvlText w:val=""/>
      <w:lvlJc w:val="left"/>
      <w:pPr>
        <w:tabs>
          <w:tab w:val="num" w:pos="5760"/>
        </w:tabs>
        <w:ind w:left="5760" w:hanging="360"/>
      </w:pPr>
      <w:rPr>
        <w:rFonts w:ascii="Wingdings" w:hAnsi="Wingdings" w:hint="default"/>
      </w:rPr>
    </w:lvl>
    <w:lvl w:ilvl="8" w:tplc="F09A07A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8DC57FC"/>
    <w:multiLevelType w:val="hybridMultilevel"/>
    <w:tmpl w:val="34785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897973"/>
    <w:multiLevelType w:val="hybridMultilevel"/>
    <w:tmpl w:val="EBE421B2"/>
    <w:lvl w:ilvl="0" w:tplc="17F20E16">
      <w:start w:val="1"/>
      <w:numFmt w:val="bullet"/>
      <w:lvlText w:val=""/>
      <w:lvlJc w:val="left"/>
      <w:pPr>
        <w:tabs>
          <w:tab w:val="num" w:pos="720"/>
        </w:tabs>
        <w:ind w:left="720" w:hanging="360"/>
      </w:pPr>
      <w:rPr>
        <w:rFonts w:ascii="Wingdings" w:hAnsi="Wingdings" w:hint="default"/>
      </w:rPr>
    </w:lvl>
    <w:lvl w:ilvl="1" w:tplc="CD888E50" w:tentative="1">
      <w:start w:val="1"/>
      <w:numFmt w:val="bullet"/>
      <w:lvlText w:val=""/>
      <w:lvlJc w:val="left"/>
      <w:pPr>
        <w:tabs>
          <w:tab w:val="num" w:pos="1440"/>
        </w:tabs>
        <w:ind w:left="1440" w:hanging="360"/>
      </w:pPr>
      <w:rPr>
        <w:rFonts w:ascii="Wingdings" w:hAnsi="Wingdings" w:hint="default"/>
      </w:rPr>
    </w:lvl>
    <w:lvl w:ilvl="2" w:tplc="00C6E4A8" w:tentative="1">
      <w:start w:val="1"/>
      <w:numFmt w:val="bullet"/>
      <w:lvlText w:val=""/>
      <w:lvlJc w:val="left"/>
      <w:pPr>
        <w:tabs>
          <w:tab w:val="num" w:pos="2160"/>
        </w:tabs>
        <w:ind w:left="2160" w:hanging="360"/>
      </w:pPr>
      <w:rPr>
        <w:rFonts w:ascii="Wingdings" w:hAnsi="Wingdings" w:hint="default"/>
      </w:rPr>
    </w:lvl>
    <w:lvl w:ilvl="3" w:tplc="A3FEE548" w:tentative="1">
      <w:start w:val="1"/>
      <w:numFmt w:val="bullet"/>
      <w:lvlText w:val=""/>
      <w:lvlJc w:val="left"/>
      <w:pPr>
        <w:tabs>
          <w:tab w:val="num" w:pos="2880"/>
        </w:tabs>
        <w:ind w:left="2880" w:hanging="360"/>
      </w:pPr>
      <w:rPr>
        <w:rFonts w:ascii="Wingdings" w:hAnsi="Wingdings" w:hint="default"/>
      </w:rPr>
    </w:lvl>
    <w:lvl w:ilvl="4" w:tplc="A92C7A3E" w:tentative="1">
      <w:start w:val="1"/>
      <w:numFmt w:val="bullet"/>
      <w:lvlText w:val=""/>
      <w:lvlJc w:val="left"/>
      <w:pPr>
        <w:tabs>
          <w:tab w:val="num" w:pos="3600"/>
        </w:tabs>
        <w:ind w:left="3600" w:hanging="360"/>
      </w:pPr>
      <w:rPr>
        <w:rFonts w:ascii="Wingdings" w:hAnsi="Wingdings" w:hint="default"/>
      </w:rPr>
    </w:lvl>
    <w:lvl w:ilvl="5" w:tplc="25DCE226" w:tentative="1">
      <w:start w:val="1"/>
      <w:numFmt w:val="bullet"/>
      <w:lvlText w:val=""/>
      <w:lvlJc w:val="left"/>
      <w:pPr>
        <w:tabs>
          <w:tab w:val="num" w:pos="4320"/>
        </w:tabs>
        <w:ind w:left="4320" w:hanging="360"/>
      </w:pPr>
      <w:rPr>
        <w:rFonts w:ascii="Wingdings" w:hAnsi="Wingdings" w:hint="default"/>
      </w:rPr>
    </w:lvl>
    <w:lvl w:ilvl="6" w:tplc="72F6A906" w:tentative="1">
      <w:start w:val="1"/>
      <w:numFmt w:val="bullet"/>
      <w:lvlText w:val=""/>
      <w:lvlJc w:val="left"/>
      <w:pPr>
        <w:tabs>
          <w:tab w:val="num" w:pos="5040"/>
        </w:tabs>
        <w:ind w:left="5040" w:hanging="360"/>
      </w:pPr>
      <w:rPr>
        <w:rFonts w:ascii="Wingdings" w:hAnsi="Wingdings" w:hint="default"/>
      </w:rPr>
    </w:lvl>
    <w:lvl w:ilvl="7" w:tplc="FE4E9608" w:tentative="1">
      <w:start w:val="1"/>
      <w:numFmt w:val="bullet"/>
      <w:lvlText w:val=""/>
      <w:lvlJc w:val="left"/>
      <w:pPr>
        <w:tabs>
          <w:tab w:val="num" w:pos="5760"/>
        </w:tabs>
        <w:ind w:left="5760" w:hanging="360"/>
      </w:pPr>
      <w:rPr>
        <w:rFonts w:ascii="Wingdings" w:hAnsi="Wingdings" w:hint="default"/>
      </w:rPr>
    </w:lvl>
    <w:lvl w:ilvl="8" w:tplc="21448A26"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3DD3398"/>
    <w:multiLevelType w:val="hybridMultilevel"/>
    <w:tmpl w:val="3544FC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5A4A16"/>
    <w:multiLevelType w:val="hybridMultilevel"/>
    <w:tmpl w:val="28E43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5F283B"/>
    <w:multiLevelType w:val="hybridMultilevel"/>
    <w:tmpl w:val="578E79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C6920DF"/>
    <w:multiLevelType w:val="hybridMultilevel"/>
    <w:tmpl w:val="B602E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2471743">
    <w:abstractNumId w:val="0"/>
  </w:num>
  <w:num w:numId="2" w16cid:durableId="789200180">
    <w:abstractNumId w:val="8"/>
  </w:num>
  <w:num w:numId="3" w16cid:durableId="1166017327">
    <w:abstractNumId w:val="4"/>
  </w:num>
  <w:num w:numId="4" w16cid:durableId="626012030">
    <w:abstractNumId w:val="6"/>
  </w:num>
  <w:num w:numId="5" w16cid:durableId="908150159">
    <w:abstractNumId w:val="9"/>
  </w:num>
  <w:num w:numId="6" w16cid:durableId="223301443">
    <w:abstractNumId w:val="7"/>
  </w:num>
  <w:num w:numId="7" w16cid:durableId="666829622">
    <w:abstractNumId w:val="2"/>
  </w:num>
  <w:num w:numId="8" w16cid:durableId="1027440292">
    <w:abstractNumId w:val="1"/>
  </w:num>
  <w:num w:numId="9" w16cid:durableId="1590457790">
    <w:abstractNumId w:val="5"/>
  </w:num>
  <w:num w:numId="10" w16cid:durableId="1865943394">
    <w:abstractNumId w:val="12"/>
  </w:num>
  <w:num w:numId="11" w16cid:durableId="1569850423">
    <w:abstractNumId w:val="10"/>
  </w:num>
  <w:num w:numId="12" w16cid:durableId="798642996">
    <w:abstractNumId w:val="3"/>
  </w:num>
  <w:num w:numId="13" w16cid:durableId="25266236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jA1NbQ0sbA0MjMxMDRX0lEKTi0uzszPAykwrAUAUgtOFSwAAAA="/>
  </w:docVars>
  <w:rsids>
    <w:rsidRoot w:val="00074402"/>
    <w:rsid w:val="00035905"/>
    <w:rsid w:val="000572BF"/>
    <w:rsid w:val="00057356"/>
    <w:rsid w:val="00064D5F"/>
    <w:rsid w:val="0006691F"/>
    <w:rsid w:val="00074402"/>
    <w:rsid w:val="000A07E0"/>
    <w:rsid w:val="000B3D6A"/>
    <w:rsid w:val="0010779F"/>
    <w:rsid w:val="001231EC"/>
    <w:rsid w:val="001502A7"/>
    <w:rsid w:val="00187E8B"/>
    <w:rsid w:val="001B5263"/>
    <w:rsid w:val="001C5E00"/>
    <w:rsid w:val="001C624A"/>
    <w:rsid w:val="001D7C03"/>
    <w:rsid w:val="001F4096"/>
    <w:rsid w:val="00216C85"/>
    <w:rsid w:val="002437AA"/>
    <w:rsid w:val="002440F8"/>
    <w:rsid w:val="0026393A"/>
    <w:rsid w:val="00273EDD"/>
    <w:rsid w:val="0029141E"/>
    <w:rsid w:val="002C227D"/>
    <w:rsid w:val="002C3965"/>
    <w:rsid w:val="002D35D1"/>
    <w:rsid w:val="00321C4C"/>
    <w:rsid w:val="0033326F"/>
    <w:rsid w:val="0033388E"/>
    <w:rsid w:val="00354EDA"/>
    <w:rsid w:val="00362E4B"/>
    <w:rsid w:val="00392BBC"/>
    <w:rsid w:val="003C1610"/>
    <w:rsid w:val="003D7AC3"/>
    <w:rsid w:val="003E1AD8"/>
    <w:rsid w:val="003E4ECF"/>
    <w:rsid w:val="003F1F91"/>
    <w:rsid w:val="004517C3"/>
    <w:rsid w:val="00456525"/>
    <w:rsid w:val="0047165A"/>
    <w:rsid w:val="00473A12"/>
    <w:rsid w:val="00487985"/>
    <w:rsid w:val="00495787"/>
    <w:rsid w:val="004A736E"/>
    <w:rsid w:val="004D02E1"/>
    <w:rsid w:val="004E6B79"/>
    <w:rsid w:val="005236CF"/>
    <w:rsid w:val="00523E07"/>
    <w:rsid w:val="00547382"/>
    <w:rsid w:val="005575C7"/>
    <w:rsid w:val="005A35AB"/>
    <w:rsid w:val="005C03AD"/>
    <w:rsid w:val="006149AC"/>
    <w:rsid w:val="00614CED"/>
    <w:rsid w:val="00664FEE"/>
    <w:rsid w:val="006925AA"/>
    <w:rsid w:val="006A6E8F"/>
    <w:rsid w:val="006C3160"/>
    <w:rsid w:val="006E07F3"/>
    <w:rsid w:val="006E4CAF"/>
    <w:rsid w:val="006F0546"/>
    <w:rsid w:val="006F70D6"/>
    <w:rsid w:val="006F7148"/>
    <w:rsid w:val="00701475"/>
    <w:rsid w:val="00725177"/>
    <w:rsid w:val="00730220"/>
    <w:rsid w:val="007627F4"/>
    <w:rsid w:val="007A54C5"/>
    <w:rsid w:val="007B660C"/>
    <w:rsid w:val="007B7CB1"/>
    <w:rsid w:val="007D2B82"/>
    <w:rsid w:val="007D509D"/>
    <w:rsid w:val="00805C90"/>
    <w:rsid w:val="00814A9E"/>
    <w:rsid w:val="008160B3"/>
    <w:rsid w:val="00851A25"/>
    <w:rsid w:val="00870964"/>
    <w:rsid w:val="00873CB4"/>
    <w:rsid w:val="0088757D"/>
    <w:rsid w:val="008939D3"/>
    <w:rsid w:val="008C460C"/>
    <w:rsid w:val="008C5658"/>
    <w:rsid w:val="008E05FE"/>
    <w:rsid w:val="0090040D"/>
    <w:rsid w:val="009042A5"/>
    <w:rsid w:val="00950469"/>
    <w:rsid w:val="00953495"/>
    <w:rsid w:val="00965A8C"/>
    <w:rsid w:val="009C675C"/>
    <w:rsid w:val="009D052C"/>
    <w:rsid w:val="009D1D1E"/>
    <w:rsid w:val="009E1CCF"/>
    <w:rsid w:val="009E2785"/>
    <w:rsid w:val="009F5F3C"/>
    <w:rsid w:val="00A035FD"/>
    <w:rsid w:val="00A13BFB"/>
    <w:rsid w:val="00A24472"/>
    <w:rsid w:val="00A3295D"/>
    <w:rsid w:val="00A37CE0"/>
    <w:rsid w:val="00AA5885"/>
    <w:rsid w:val="00AD05B8"/>
    <w:rsid w:val="00AD0BF8"/>
    <w:rsid w:val="00AE34F6"/>
    <w:rsid w:val="00B0279C"/>
    <w:rsid w:val="00B16E16"/>
    <w:rsid w:val="00B44624"/>
    <w:rsid w:val="00B633A6"/>
    <w:rsid w:val="00B83237"/>
    <w:rsid w:val="00B87E75"/>
    <w:rsid w:val="00B90A5A"/>
    <w:rsid w:val="00B912AA"/>
    <w:rsid w:val="00BD2BDD"/>
    <w:rsid w:val="00BD3E66"/>
    <w:rsid w:val="00BE57F8"/>
    <w:rsid w:val="00BE5B45"/>
    <w:rsid w:val="00BF23D2"/>
    <w:rsid w:val="00C241B4"/>
    <w:rsid w:val="00C2422D"/>
    <w:rsid w:val="00C25BC5"/>
    <w:rsid w:val="00C62620"/>
    <w:rsid w:val="00C7519A"/>
    <w:rsid w:val="00C77E5A"/>
    <w:rsid w:val="00CB71C3"/>
    <w:rsid w:val="00CF01CF"/>
    <w:rsid w:val="00D04013"/>
    <w:rsid w:val="00D52782"/>
    <w:rsid w:val="00DA3463"/>
    <w:rsid w:val="00DD0BEA"/>
    <w:rsid w:val="00DE0095"/>
    <w:rsid w:val="00E5021E"/>
    <w:rsid w:val="00E50CFA"/>
    <w:rsid w:val="00E52590"/>
    <w:rsid w:val="00E71EC1"/>
    <w:rsid w:val="00E848D4"/>
    <w:rsid w:val="00EA0225"/>
    <w:rsid w:val="00EA0DB4"/>
    <w:rsid w:val="00EE7924"/>
    <w:rsid w:val="00F023F5"/>
    <w:rsid w:val="00F52C6F"/>
    <w:rsid w:val="00F53621"/>
    <w:rsid w:val="00F66E1B"/>
    <w:rsid w:val="00F92246"/>
    <w:rsid w:val="00FB5486"/>
    <w:rsid w:val="00FD3294"/>
    <w:rsid w:val="00FD3E0B"/>
    <w:rsid w:val="00FE3CFE"/>
    <w:rsid w:val="00FE67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B4BA38"/>
  <w15:docId w15:val="{39B20084-BE85-492B-AF9A-96743F979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B7CB1"/>
    <w:pPr>
      <w:keepNext/>
      <w:keepLines/>
      <w:spacing w:after="0" w:line="360" w:lineRule="auto"/>
      <w:outlineLvl w:val="0"/>
    </w:pPr>
    <w:rPr>
      <w:rFonts w:eastAsiaTheme="majorEastAsia" w:cs="Times New Roman"/>
      <w:b/>
      <w:szCs w:val="24"/>
    </w:rPr>
  </w:style>
  <w:style w:type="paragraph" w:styleId="Heading2">
    <w:name w:val="heading 2"/>
    <w:basedOn w:val="Normal"/>
    <w:next w:val="Normal"/>
    <w:link w:val="Heading2Char"/>
    <w:autoRedefine/>
    <w:uiPriority w:val="9"/>
    <w:unhideWhenUsed/>
    <w:qFormat/>
    <w:rsid w:val="006F70D6"/>
    <w:pPr>
      <w:keepNext/>
      <w:keepLines/>
      <w:spacing w:before="40" w:after="0" w:line="360" w:lineRule="auto"/>
      <w:outlineLvl w:val="1"/>
    </w:pPr>
    <w:rPr>
      <w:rFonts w:eastAsiaTheme="majorEastAsia" w:cs="Times New Roman"/>
      <w:b/>
      <w:szCs w:val="24"/>
    </w:rPr>
  </w:style>
  <w:style w:type="paragraph" w:styleId="Heading3">
    <w:name w:val="heading 3"/>
    <w:basedOn w:val="Normal"/>
    <w:link w:val="Heading3Char"/>
    <w:autoRedefine/>
    <w:uiPriority w:val="9"/>
    <w:qFormat/>
    <w:rsid w:val="007B7CB1"/>
    <w:pPr>
      <w:numPr>
        <w:numId w:val="9"/>
      </w:numPr>
      <w:spacing w:after="0" w:line="360" w:lineRule="auto"/>
      <w:jc w:val="both"/>
      <w:outlineLvl w:val="2"/>
    </w:pPr>
    <w:rPr>
      <w:rFonts w:eastAsia="Times New Roman" w:cs="Times New Roman"/>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CB1"/>
    <w:rPr>
      <w:rFonts w:eastAsiaTheme="majorEastAsia" w:cs="Times New Roman"/>
      <w:b/>
      <w:szCs w:val="24"/>
    </w:rPr>
  </w:style>
  <w:style w:type="character" w:customStyle="1" w:styleId="Heading2Char">
    <w:name w:val="Heading 2 Char"/>
    <w:basedOn w:val="DefaultParagraphFont"/>
    <w:link w:val="Heading2"/>
    <w:uiPriority w:val="9"/>
    <w:rsid w:val="006F70D6"/>
    <w:rPr>
      <w:rFonts w:eastAsiaTheme="majorEastAsia" w:cs="Times New Roman"/>
      <w:b/>
      <w:szCs w:val="24"/>
    </w:rPr>
  </w:style>
  <w:style w:type="character" w:customStyle="1" w:styleId="Heading3Char">
    <w:name w:val="Heading 3 Char"/>
    <w:basedOn w:val="DefaultParagraphFont"/>
    <w:link w:val="Heading3"/>
    <w:uiPriority w:val="9"/>
    <w:rsid w:val="007B7CB1"/>
    <w:rPr>
      <w:rFonts w:eastAsia="Times New Roman" w:cs="Times New Roman"/>
      <w:szCs w:val="24"/>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FE3CFE"/>
    <w:pPr>
      <w:spacing w:before="100" w:beforeAutospacing="1" w:after="100" w:afterAutospacing="1" w:line="240" w:lineRule="auto"/>
    </w:pPr>
    <w:rPr>
      <w:rFonts w:eastAsia="Times New Roman" w:cs="Times New Roman"/>
      <w:szCs w:val="24"/>
      <w:lang w:eastAsia="en-GB"/>
    </w:rPr>
  </w:style>
  <w:style w:type="paragraph" w:styleId="TOC1">
    <w:name w:val="toc 1"/>
    <w:basedOn w:val="Normal"/>
    <w:next w:val="Normal"/>
    <w:autoRedefine/>
    <w:uiPriority w:val="39"/>
    <w:unhideWhenUsed/>
    <w:rsid w:val="00FE3CFE"/>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FE3CFE"/>
    <w:pPr>
      <w:spacing w:after="0"/>
      <w:ind w:left="240"/>
    </w:pPr>
    <w:rPr>
      <w:rFonts w:asciiTheme="minorHAnsi" w:hAnsiTheme="minorHAnsi" w:cstheme="minorHAnsi"/>
      <w:smallCaps/>
      <w:sz w:val="20"/>
      <w:szCs w:val="20"/>
    </w:rPr>
  </w:style>
  <w:style w:type="character" w:styleId="Hyperlink">
    <w:name w:val="Hyperlink"/>
    <w:basedOn w:val="DefaultParagraphFont"/>
    <w:uiPriority w:val="99"/>
    <w:unhideWhenUsed/>
    <w:rsid w:val="00FE3CFE"/>
    <w:rPr>
      <w:color w:val="0563C1" w:themeColor="hyperlink"/>
      <w:u w:val="single"/>
    </w:rPr>
  </w:style>
  <w:style w:type="paragraph" w:styleId="NoSpacing">
    <w:name w:val="No Spacing"/>
    <w:uiPriority w:val="1"/>
    <w:qFormat/>
    <w:rsid w:val="00D04013"/>
    <w:pPr>
      <w:spacing w:after="0" w:line="240" w:lineRule="auto"/>
    </w:pPr>
  </w:style>
  <w:style w:type="paragraph" w:styleId="ListParagraph">
    <w:name w:val="List Paragraph"/>
    <w:basedOn w:val="Normal"/>
    <w:uiPriority w:val="34"/>
    <w:qFormat/>
    <w:rsid w:val="001502A7"/>
    <w:pPr>
      <w:ind w:left="720"/>
      <w:contextualSpacing/>
    </w:pPr>
  </w:style>
  <w:style w:type="character" w:customStyle="1" w:styleId="bold">
    <w:name w:val="bold"/>
    <w:basedOn w:val="DefaultParagraphFont"/>
    <w:rsid w:val="00614CED"/>
  </w:style>
  <w:style w:type="character" w:customStyle="1" w:styleId="italic">
    <w:name w:val="italic"/>
    <w:basedOn w:val="DefaultParagraphFont"/>
    <w:rsid w:val="00614CED"/>
  </w:style>
  <w:style w:type="character" w:styleId="FollowedHyperlink">
    <w:name w:val="FollowedHyperlink"/>
    <w:basedOn w:val="DefaultParagraphFont"/>
    <w:uiPriority w:val="99"/>
    <w:semiHidden/>
    <w:unhideWhenUsed/>
    <w:rsid w:val="00FD3E0B"/>
    <w:rPr>
      <w:color w:val="954F72" w:themeColor="followedHyperlink"/>
      <w:u w:val="single"/>
    </w:rPr>
  </w:style>
  <w:style w:type="paragraph" w:styleId="TOC3">
    <w:name w:val="toc 3"/>
    <w:basedOn w:val="Normal"/>
    <w:next w:val="Normal"/>
    <w:autoRedefine/>
    <w:uiPriority w:val="39"/>
    <w:unhideWhenUsed/>
    <w:rsid w:val="00B912AA"/>
    <w:pPr>
      <w:spacing w:after="0"/>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B912AA"/>
    <w:pPr>
      <w:spacing w:after="0"/>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B912AA"/>
    <w:pPr>
      <w:spacing w:after="0"/>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B912AA"/>
    <w:pPr>
      <w:spacing w:after="0"/>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B912AA"/>
    <w:pPr>
      <w:spacing w:after="0"/>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B912AA"/>
    <w:pPr>
      <w:spacing w:after="0"/>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B912AA"/>
    <w:pPr>
      <w:spacing w:after="0"/>
      <w:ind w:left="192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487618">
      <w:bodyDiv w:val="1"/>
      <w:marLeft w:val="0"/>
      <w:marRight w:val="0"/>
      <w:marTop w:val="0"/>
      <w:marBottom w:val="0"/>
      <w:divBdr>
        <w:top w:val="none" w:sz="0" w:space="0" w:color="auto"/>
        <w:left w:val="none" w:sz="0" w:space="0" w:color="auto"/>
        <w:bottom w:val="none" w:sz="0" w:space="0" w:color="auto"/>
        <w:right w:val="none" w:sz="0" w:space="0" w:color="auto"/>
      </w:divBdr>
      <w:divsChild>
        <w:div w:id="1468932923">
          <w:marLeft w:val="418"/>
          <w:marRight w:val="0"/>
          <w:marTop w:val="240"/>
          <w:marBottom w:val="40"/>
          <w:divBdr>
            <w:top w:val="none" w:sz="0" w:space="0" w:color="auto"/>
            <w:left w:val="none" w:sz="0" w:space="0" w:color="auto"/>
            <w:bottom w:val="none" w:sz="0" w:space="0" w:color="auto"/>
            <w:right w:val="none" w:sz="0" w:space="0" w:color="auto"/>
          </w:divBdr>
        </w:div>
        <w:div w:id="715086508">
          <w:marLeft w:val="418"/>
          <w:marRight w:val="0"/>
          <w:marTop w:val="240"/>
          <w:marBottom w:val="40"/>
          <w:divBdr>
            <w:top w:val="none" w:sz="0" w:space="0" w:color="auto"/>
            <w:left w:val="none" w:sz="0" w:space="0" w:color="auto"/>
            <w:bottom w:val="none" w:sz="0" w:space="0" w:color="auto"/>
            <w:right w:val="none" w:sz="0" w:space="0" w:color="auto"/>
          </w:divBdr>
        </w:div>
        <w:div w:id="1398434957">
          <w:marLeft w:val="418"/>
          <w:marRight w:val="0"/>
          <w:marTop w:val="240"/>
          <w:marBottom w:val="40"/>
          <w:divBdr>
            <w:top w:val="none" w:sz="0" w:space="0" w:color="auto"/>
            <w:left w:val="none" w:sz="0" w:space="0" w:color="auto"/>
            <w:bottom w:val="none" w:sz="0" w:space="0" w:color="auto"/>
            <w:right w:val="none" w:sz="0" w:space="0" w:color="auto"/>
          </w:divBdr>
        </w:div>
      </w:divsChild>
    </w:div>
    <w:div w:id="697051650">
      <w:bodyDiv w:val="1"/>
      <w:marLeft w:val="0"/>
      <w:marRight w:val="0"/>
      <w:marTop w:val="0"/>
      <w:marBottom w:val="0"/>
      <w:divBdr>
        <w:top w:val="none" w:sz="0" w:space="0" w:color="auto"/>
        <w:left w:val="none" w:sz="0" w:space="0" w:color="auto"/>
        <w:bottom w:val="none" w:sz="0" w:space="0" w:color="auto"/>
        <w:right w:val="none" w:sz="0" w:space="0" w:color="auto"/>
      </w:divBdr>
      <w:divsChild>
        <w:div w:id="936136029">
          <w:marLeft w:val="0"/>
          <w:marRight w:val="0"/>
          <w:marTop w:val="0"/>
          <w:marBottom w:val="0"/>
          <w:divBdr>
            <w:top w:val="none" w:sz="0" w:space="0" w:color="auto"/>
            <w:left w:val="none" w:sz="0" w:space="0" w:color="auto"/>
            <w:bottom w:val="none" w:sz="0" w:space="0" w:color="auto"/>
            <w:right w:val="none" w:sz="0" w:space="0" w:color="auto"/>
          </w:divBdr>
        </w:div>
        <w:div w:id="429203749">
          <w:marLeft w:val="0"/>
          <w:marRight w:val="0"/>
          <w:marTop w:val="0"/>
          <w:marBottom w:val="0"/>
          <w:divBdr>
            <w:top w:val="none" w:sz="0" w:space="0" w:color="auto"/>
            <w:left w:val="none" w:sz="0" w:space="0" w:color="auto"/>
            <w:bottom w:val="none" w:sz="0" w:space="0" w:color="auto"/>
            <w:right w:val="none" w:sz="0" w:space="0" w:color="auto"/>
          </w:divBdr>
        </w:div>
        <w:div w:id="478812285">
          <w:marLeft w:val="0"/>
          <w:marRight w:val="0"/>
          <w:marTop w:val="0"/>
          <w:marBottom w:val="0"/>
          <w:divBdr>
            <w:top w:val="none" w:sz="0" w:space="0" w:color="auto"/>
            <w:left w:val="none" w:sz="0" w:space="0" w:color="auto"/>
            <w:bottom w:val="none" w:sz="0" w:space="0" w:color="auto"/>
            <w:right w:val="none" w:sz="0" w:space="0" w:color="auto"/>
          </w:divBdr>
        </w:div>
        <w:div w:id="352731095">
          <w:marLeft w:val="0"/>
          <w:marRight w:val="0"/>
          <w:marTop w:val="0"/>
          <w:marBottom w:val="0"/>
          <w:divBdr>
            <w:top w:val="none" w:sz="0" w:space="0" w:color="auto"/>
            <w:left w:val="none" w:sz="0" w:space="0" w:color="auto"/>
            <w:bottom w:val="none" w:sz="0" w:space="0" w:color="auto"/>
            <w:right w:val="none" w:sz="0" w:space="0" w:color="auto"/>
          </w:divBdr>
        </w:div>
        <w:div w:id="1058896306">
          <w:marLeft w:val="0"/>
          <w:marRight w:val="0"/>
          <w:marTop w:val="0"/>
          <w:marBottom w:val="0"/>
          <w:divBdr>
            <w:top w:val="none" w:sz="0" w:space="0" w:color="auto"/>
            <w:left w:val="none" w:sz="0" w:space="0" w:color="auto"/>
            <w:bottom w:val="none" w:sz="0" w:space="0" w:color="auto"/>
            <w:right w:val="none" w:sz="0" w:space="0" w:color="auto"/>
          </w:divBdr>
        </w:div>
        <w:div w:id="1469670197">
          <w:marLeft w:val="0"/>
          <w:marRight w:val="0"/>
          <w:marTop w:val="0"/>
          <w:marBottom w:val="0"/>
          <w:divBdr>
            <w:top w:val="none" w:sz="0" w:space="0" w:color="auto"/>
            <w:left w:val="none" w:sz="0" w:space="0" w:color="auto"/>
            <w:bottom w:val="none" w:sz="0" w:space="0" w:color="auto"/>
            <w:right w:val="none" w:sz="0" w:space="0" w:color="auto"/>
          </w:divBdr>
        </w:div>
        <w:div w:id="427627365">
          <w:marLeft w:val="0"/>
          <w:marRight w:val="0"/>
          <w:marTop w:val="0"/>
          <w:marBottom w:val="0"/>
          <w:divBdr>
            <w:top w:val="none" w:sz="0" w:space="0" w:color="auto"/>
            <w:left w:val="none" w:sz="0" w:space="0" w:color="auto"/>
            <w:bottom w:val="none" w:sz="0" w:space="0" w:color="auto"/>
            <w:right w:val="none" w:sz="0" w:space="0" w:color="auto"/>
          </w:divBdr>
        </w:div>
        <w:div w:id="303582019">
          <w:marLeft w:val="0"/>
          <w:marRight w:val="0"/>
          <w:marTop w:val="0"/>
          <w:marBottom w:val="0"/>
          <w:divBdr>
            <w:top w:val="none" w:sz="0" w:space="0" w:color="auto"/>
            <w:left w:val="none" w:sz="0" w:space="0" w:color="auto"/>
            <w:bottom w:val="none" w:sz="0" w:space="0" w:color="auto"/>
            <w:right w:val="none" w:sz="0" w:space="0" w:color="auto"/>
          </w:divBdr>
        </w:div>
        <w:div w:id="1866014864">
          <w:marLeft w:val="0"/>
          <w:marRight w:val="0"/>
          <w:marTop w:val="0"/>
          <w:marBottom w:val="0"/>
          <w:divBdr>
            <w:top w:val="none" w:sz="0" w:space="0" w:color="auto"/>
            <w:left w:val="none" w:sz="0" w:space="0" w:color="auto"/>
            <w:bottom w:val="none" w:sz="0" w:space="0" w:color="auto"/>
            <w:right w:val="none" w:sz="0" w:space="0" w:color="auto"/>
          </w:divBdr>
        </w:div>
        <w:div w:id="1178277245">
          <w:marLeft w:val="0"/>
          <w:marRight w:val="0"/>
          <w:marTop w:val="0"/>
          <w:marBottom w:val="0"/>
          <w:divBdr>
            <w:top w:val="none" w:sz="0" w:space="0" w:color="auto"/>
            <w:left w:val="none" w:sz="0" w:space="0" w:color="auto"/>
            <w:bottom w:val="none" w:sz="0" w:space="0" w:color="auto"/>
            <w:right w:val="none" w:sz="0" w:space="0" w:color="auto"/>
          </w:divBdr>
        </w:div>
        <w:div w:id="1589266860">
          <w:marLeft w:val="0"/>
          <w:marRight w:val="0"/>
          <w:marTop w:val="0"/>
          <w:marBottom w:val="0"/>
          <w:divBdr>
            <w:top w:val="none" w:sz="0" w:space="0" w:color="auto"/>
            <w:left w:val="none" w:sz="0" w:space="0" w:color="auto"/>
            <w:bottom w:val="none" w:sz="0" w:space="0" w:color="auto"/>
            <w:right w:val="none" w:sz="0" w:space="0" w:color="auto"/>
          </w:divBdr>
        </w:div>
        <w:div w:id="1892812804">
          <w:marLeft w:val="0"/>
          <w:marRight w:val="0"/>
          <w:marTop w:val="0"/>
          <w:marBottom w:val="0"/>
          <w:divBdr>
            <w:top w:val="none" w:sz="0" w:space="0" w:color="auto"/>
            <w:left w:val="none" w:sz="0" w:space="0" w:color="auto"/>
            <w:bottom w:val="none" w:sz="0" w:space="0" w:color="auto"/>
            <w:right w:val="none" w:sz="0" w:space="0" w:color="auto"/>
          </w:divBdr>
        </w:div>
        <w:div w:id="2128498637">
          <w:marLeft w:val="0"/>
          <w:marRight w:val="0"/>
          <w:marTop w:val="0"/>
          <w:marBottom w:val="0"/>
          <w:divBdr>
            <w:top w:val="none" w:sz="0" w:space="0" w:color="auto"/>
            <w:left w:val="none" w:sz="0" w:space="0" w:color="auto"/>
            <w:bottom w:val="none" w:sz="0" w:space="0" w:color="auto"/>
            <w:right w:val="none" w:sz="0" w:space="0" w:color="auto"/>
          </w:divBdr>
        </w:div>
        <w:div w:id="9767710">
          <w:marLeft w:val="0"/>
          <w:marRight w:val="0"/>
          <w:marTop w:val="0"/>
          <w:marBottom w:val="0"/>
          <w:divBdr>
            <w:top w:val="none" w:sz="0" w:space="0" w:color="auto"/>
            <w:left w:val="none" w:sz="0" w:space="0" w:color="auto"/>
            <w:bottom w:val="none" w:sz="0" w:space="0" w:color="auto"/>
            <w:right w:val="none" w:sz="0" w:space="0" w:color="auto"/>
          </w:divBdr>
        </w:div>
        <w:div w:id="1983532997">
          <w:marLeft w:val="0"/>
          <w:marRight w:val="0"/>
          <w:marTop w:val="0"/>
          <w:marBottom w:val="0"/>
          <w:divBdr>
            <w:top w:val="none" w:sz="0" w:space="0" w:color="auto"/>
            <w:left w:val="none" w:sz="0" w:space="0" w:color="auto"/>
            <w:bottom w:val="none" w:sz="0" w:space="0" w:color="auto"/>
            <w:right w:val="none" w:sz="0" w:space="0" w:color="auto"/>
          </w:divBdr>
        </w:div>
        <w:div w:id="1780105634">
          <w:marLeft w:val="0"/>
          <w:marRight w:val="0"/>
          <w:marTop w:val="0"/>
          <w:marBottom w:val="0"/>
          <w:divBdr>
            <w:top w:val="none" w:sz="0" w:space="0" w:color="auto"/>
            <w:left w:val="none" w:sz="0" w:space="0" w:color="auto"/>
            <w:bottom w:val="none" w:sz="0" w:space="0" w:color="auto"/>
            <w:right w:val="none" w:sz="0" w:space="0" w:color="auto"/>
          </w:divBdr>
        </w:div>
        <w:div w:id="266815291">
          <w:marLeft w:val="0"/>
          <w:marRight w:val="0"/>
          <w:marTop w:val="0"/>
          <w:marBottom w:val="0"/>
          <w:divBdr>
            <w:top w:val="none" w:sz="0" w:space="0" w:color="auto"/>
            <w:left w:val="none" w:sz="0" w:space="0" w:color="auto"/>
            <w:bottom w:val="none" w:sz="0" w:space="0" w:color="auto"/>
            <w:right w:val="none" w:sz="0" w:space="0" w:color="auto"/>
          </w:divBdr>
        </w:div>
        <w:div w:id="1098939654">
          <w:marLeft w:val="0"/>
          <w:marRight w:val="0"/>
          <w:marTop w:val="0"/>
          <w:marBottom w:val="0"/>
          <w:divBdr>
            <w:top w:val="none" w:sz="0" w:space="0" w:color="auto"/>
            <w:left w:val="none" w:sz="0" w:space="0" w:color="auto"/>
            <w:bottom w:val="none" w:sz="0" w:space="0" w:color="auto"/>
            <w:right w:val="none" w:sz="0" w:space="0" w:color="auto"/>
          </w:divBdr>
        </w:div>
        <w:div w:id="1961523836">
          <w:marLeft w:val="0"/>
          <w:marRight w:val="0"/>
          <w:marTop w:val="0"/>
          <w:marBottom w:val="0"/>
          <w:divBdr>
            <w:top w:val="none" w:sz="0" w:space="0" w:color="auto"/>
            <w:left w:val="none" w:sz="0" w:space="0" w:color="auto"/>
            <w:bottom w:val="none" w:sz="0" w:space="0" w:color="auto"/>
            <w:right w:val="none" w:sz="0" w:space="0" w:color="auto"/>
          </w:divBdr>
        </w:div>
        <w:div w:id="586840384">
          <w:marLeft w:val="0"/>
          <w:marRight w:val="0"/>
          <w:marTop w:val="0"/>
          <w:marBottom w:val="0"/>
          <w:divBdr>
            <w:top w:val="none" w:sz="0" w:space="0" w:color="auto"/>
            <w:left w:val="none" w:sz="0" w:space="0" w:color="auto"/>
            <w:bottom w:val="none" w:sz="0" w:space="0" w:color="auto"/>
            <w:right w:val="none" w:sz="0" w:space="0" w:color="auto"/>
          </w:divBdr>
        </w:div>
      </w:divsChild>
    </w:div>
    <w:div w:id="778112611">
      <w:bodyDiv w:val="1"/>
      <w:marLeft w:val="0"/>
      <w:marRight w:val="0"/>
      <w:marTop w:val="0"/>
      <w:marBottom w:val="0"/>
      <w:divBdr>
        <w:top w:val="none" w:sz="0" w:space="0" w:color="auto"/>
        <w:left w:val="none" w:sz="0" w:space="0" w:color="auto"/>
        <w:bottom w:val="none" w:sz="0" w:space="0" w:color="auto"/>
        <w:right w:val="none" w:sz="0" w:space="0" w:color="auto"/>
      </w:divBdr>
      <w:divsChild>
        <w:div w:id="224416073">
          <w:marLeft w:val="418"/>
          <w:marRight w:val="0"/>
          <w:marTop w:val="240"/>
          <w:marBottom w:val="40"/>
          <w:divBdr>
            <w:top w:val="none" w:sz="0" w:space="0" w:color="auto"/>
            <w:left w:val="none" w:sz="0" w:space="0" w:color="auto"/>
            <w:bottom w:val="none" w:sz="0" w:space="0" w:color="auto"/>
            <w:right w:val="none" w:sz="0" w:space="0" w:color="auto"/>
          </w:divBdr>
        </w:div>
        <w:div w:id="1041124839">
          <w:marLeft w:val="418"/>
          <w:marRight w:val="0"/>
          <w:marTop w:val="240"/>
          <w:marBottom w:val="40"/>
          <w:divBdr>
            <w:top w:val="none" w:sz="0" w:space="0" w:color="auto"/>
            <w:left w:val="none" w:sz="0" w:space="0" w:color="auto"/>
            <w:bottom w:val="none" w:sz="0" w:space="0" w:color="auto"/>
            <w:right w:val="none" w:sz="0" w:space="0" w:color="auto"/>
          </w:divBdr>
        </w:div>
        <w:div w:id="1911887944">
          <w:marLeft w:val="418"/>
          <w:marRight w:val="0"/>
          <w:marTop w:val="240"/>
          <w:marBottom w:val="40"/>
          <w:divBdr>
            <w:top w:val="none" w:sz="0" w:space="0" w:color="auto"/>
            <w:left w:val="none" w:sz="0" w:space="0" w:color="auto"/>
            <w:bottom w:val="none" w:sz="0" w:space="0" w:color="auto"/>
            <w:right w:val="none" w:sz="0" w:space="0" w:color="auto"/>
          </w:divBdr>
        </w:div>
        <w:div w:id="1836531408">
          <w:marLeft w:val="418"/>
          <w:marRight w:val="0"/>
          <w:marTop w:val="240"/>
          <w:marBottom w:val="40"/>
          <w:divBdr>
            <w:top w:val="none" w:sz="0" w:space="0" w:color="auto"/>
            <w:left w:val="none" w:sz="0" w:space="0" w:color="auto"/>
            <w:bottom w:val="none" w:sz="0" w:space="0" w:color="auto"/>
            <w:right w:val="none" w:sz="0" w:space="0" w:color="auto"/>
          </w:divBdr>
        </w:div>
        <w:div w:id="238711184">
          <w:marLeft w:val="418"/>
          <w:marRight w:val="0"/>
          <w:marTop w:val="240"/>
          <w:marBottom w:val="40"/>
          <w:divBdr>
            <w:top w:val="none" w:sz="0" w:space="0" w:color="auto"/>
            <w:left w:val="none" w:sz="0" w:space="0" w:color="auto"/>
            <w:bottom w:val="none" w:sz="0" w:space="0" w:color="auto"/>
            <w:right w:val="none" w:sz="0" w:space="0" w:color="auto"/>
          </w:divBdr>
        </w:div>
        <w:div w:id="953944170">
          <w:marLeft w:val="418"/>
          <w:marRight w:val="0"/>
          <w:marTop w:val="240"/>
          <w:marBottom w:val="40"/>
          <w:divBdr>
            <w:top w:val="none" w:sz="0" w:space="0" w:color="auto"/>
            <w:left w:val="none" w:sz="0" w:space="0" w:color="auto"/>
            <w:bottom w:val="none" w:sz="0" w:space="0" w:color="auto"/>
            <w:right w:val="none" w:sz="0" w:space="0" w:color="auto"/>
          </w:divBdr>
        </w:div>
        <w:div w:id="259024938">
          <w:marLeft w:val="418"/>
          <w:marRight w:val="0"/>
          <w:marTop w:val="240"/>
          <w:marBottom w:val="40"/>
          <w:divBdr>
            <w:top w:val="none" w:sz="0" w:space="0" w:color="auto"/>
            <w:left w:val="none" w:sz="0" w:space="0" w:color="auto"/>
            <w:bottom w:val="none" w:sz="0" w:space="0" w:color="auto"/>
            <w:right w:val="none" w:sz="0" w:space="0" w:color="auto"/>
          </w:divBdr>
        </w:div>
        <w:div w:id="2006978629">
          <w:marLeft w:val="418"/>
          <w:marRight w:val="0"/>
          <w:marTop w:val="240"/>
          <w:marBottom w:val="40"/>
          <w:divBdr>
            <w:top w:val="none" w:sz="0" w:space="0" w:color="auto"/>
            <w:left w:val="none" w:sz="0" w:space="0" w:color="auto"/>
            <w:bottom w:val="none" w:sz="0" w:space="0" w:color="auto"/>
            <w:right w:val="none" w:sz="0" w:space="0" w:color="auto"/>
          </w:divBdr>
        </w:div>
        <w:div w:id="307979598">
          <w:marLeft w:val="418"/>
          <w:marRight w:val="0"/>
          <w:marTop w:val="240"/>
          <w:marBottom w:val="40"/>
          <w:divBdr>
            <w:top w:val="none" w:sz="0" w:space="0" w:color="auto"/>
            <w:left w:val="none" w:sz="0" w:space="0" w:color="auto"/>
            <w:bottom w:val="none" w:sz="0" w:space="0" w:color="auto"/>
            <w:right w:val="none" w:sz="0" w:space="0" w:color="auto"/>
          </w:divBdr>
        </w:div>
        <w:div w:id="856507842">
          <w:marLeft w:val="418"/>
          <w:marRight w:val="0"/>
          <w:marTop w:val="240"/>
          <w:marBottom w:val="40"/>
          <w:divBdr>
            <w:top w:val="none" w:sz="0" w:space="0" w:color="auto"/>
            <w:left w:val="none" w:sz="0" w:space="0" w:color="auto"/>
            <w:bottom w:val="none" w:sz="0" w:space="0" w:color="auto"/>
            <w:right w:val="none" w:sz="0" w:space="0" w:color="auto"/>
          </w:divBdr>
        </w:div>
      </w:divsChild>
    </w:div>
    <w:div w:id="898251930">
      <w:bodyDiv w:val="1"/>
      <w:marLeft w:val="0"/>
      <w:marRight w:val="0"/>
      <w:marTop w:val="0"/>
      <w:marBottom w:val="0"/>
      <w:divBdr>
        <w:top w:val="none" w:sz="0" w:space="0" w:color="auto"/>
        <w:left w:val="none" w:sz="0" w:space="0" w:color="auto"/>
        <w:bottom w:val="none" w:sz="0" w:space="0" w:color="auto"/>
        <w:right w:val="none" w:sz="0" w:space="0" w:color="auto"/>
      </w:divBdr>
      <w:divsChild>
        <w:div w:id="1749498372">
          <w:marLeft w:val="0"/>
          <w:marRight w:val="0"/>
          <w:marTop w:val="0"/>
          <w:marBottom w:val="0"/>
          <w:divBdr>
            <w:top w:val="none" w:sz="0" w:space="0" w:color="auto"/>
            <w:left w:val="none" w:sz="0" w:space="0" w:color="auto"/>
            <w:bottom w:val="none" w:sz="0" w:space="0" w:color="auto"/>
            <w:right w:val="none" w:sz="0" w:space="0" w:color="auto"/>
          </w:divBdr>
        </w:div>
      </w:divsChild>
    </w:div>
    <w:div w:id="1004210486">
      <w:bodyDiv w:val="1"/>
      <w:marLeft w:val="0"/>
      <w:marRight w:val="0"/>
      <w:marTop w:val="0"/>
      <w:marBottom w:val="0"/>
      <w:divBdr>
        <w:top w:val="none" w:sz="0" w:space="0" w:color="auto"/>
        <w:left w:val="none" w:sz="0" w:space="0" w:color="auto"/>
        <w:bottom w:val="none" w:sz="0" w:space="0" w:color="auto"/>
        <w:right w:val="none" w:sz="0" w:space="0" w:color="auto"/>
      </w:divBdr>
    </w:div>
    <w:div w:id="1011681759">
      <w:bodyDiv w:val="1"/>
      <w:marLeft w:val="0"/>
      <w:marRight w:val="0"/>
      <w:marTop w:val="0"/>
      <w:marBottom w:val="0"/>
      <w:divBdr>
        <w:top w:val="none" w:sz="0" w:space="0" w:color="auto"/>
        <w:left w:val="none" w:sz="0" w:space="0" w:color="auto"/>
        <w:bottom w:val="none" w:sz="0" w:space="0" w:color="auto"/>
        <w:right w:val="none" w:sz="0" w:space="0" w:color="auto"/>
      </w:divBdr>
    </w:div>
    <w:div w:id="1287812790">
      <w:bodyDiv w:val="1"/>
      <w:marLeft w:val="0"/>
      <w:marRight w:val="0"/>
      <w:marTop w:val="0"/>
      <w:marBottom w:val="0"/>
      <w:divBdr>
        <w:top w:val="none" w:sz="0" w:space="0" w:color="auto"/>
        <w:left w:val="none" w:sz="0" w:space="0" w:color="auto"/>
        <w:bottom w:val="none" w:sz="0" w:space="0" w:color="auto"/>
        <w:right w:val="none" w:sz="0" w:space="0" w:color="auto"/>
      </w:divBdr>
      <w:divsChild>
        <w:div w:id="78646241">
          <w:marLeft w:val="0"/>
          <w:marRight w:val="0"/>
          <w:marTop w:val="0"/>
          <w:marBottom w:val="0"/>
          <w:divBdr>
            <w:top w:val="none" w:sz="0" w:space="0" w:color="auto"/>
            <w:left w:val="none" w:sz="0" w:space="0" w:color="auto"/>
            <w:bottom w:val="none" w:sz="0" w:space="0" w:color="auto"/>
            <w:right w:val="none" w:sz="0" w:space="0" w:color="auto"/>
          </w:divBdr>
        </w:div>
      </w:divsChild>
    </w:div>
    <w:div w:id="1467745770">
      <w:bodyDiv w:val="1"/>
      <w:marLeft w:val="0"/>
      <w:marRight w:val="0"/>
      <w:marTop w:val="0"/>
      <w:marBottom w:val="0"/>
      <w:divBdr>
        <w:top w:val="none" w:sz="0" w:space="0" w:color="auto"/>
        <w:left w:val="none" w:sz="0" w:space="0" w:color="auto"/>
        <w:bottom w:val="none" w:sz="0" w:space="0" w:color="auto"/>
        <w:right w:val="none" w:sz="0" w:space="0" w:color="auto"/>
      </w:divBdr>
      <w:divsChild>
        <w:div w:id="1517648044">
          <w:marLeft w:val="0"/>
          <w:marRight w:val="0"/>
          <w:marTop w:val="0"/>
          <w:marBottom w:val="0"/>
          <w:divBdr>
            <w:top w:val="none" w:sz="0" w:space="0" w:color="auto"/>
            <w:left w:val="none" w:sz="0" w:space="0" w:color="auto"/>
            <w:bottom w:val="none" w:sz="0" w:space="0" w:color="auto"/>
            <w:right w:val="none" w:sz="0" w:space="0" w:color="auto"/>
          </w:divBdr>
        </w:div>
        <w:div w:id="302277249">
          <w:marLeft w:val="0"/>
          <w:marRight w:val="0"/>
          <w:marTop w:val="0"/>
          <w:marBottom w:val="0"/>
          <w:divBdr>
            <w:top w:val="none" w:sz="0" w:space="0" w:color="auto"/>
            <w:left w:val="none" w:sz="0" w:space="0" w:color="auto"/>
            <w:bottom w:val="none" w:sz="0" w:space="0" w:color="auto"/>
            <w:right w:val="none" w:sz="0" w:space="0" w:color="auto"/>
          </w:divBdr>
        </w:div>
        <w:div w:id="443577910">
          <w:marLeft w:val="0"/>
          <w:marRight w:val="0"/>
          <w:marTop w:val="0"/>
          <w:marBottom w:val="0"/>
          <w:divBdr>
            <w:top w:val="none" w:sz="0" w:space="0" w:color="auto"/>
            <w:left w:val="none" w:sz="0" w:space="0" w:color="auto"/>
            <w:bottom w:val="none" w:sz="0" w:space="0" w:color="auto"/>
            <w:right w:val="none" w:sz="0" w:space="0" w:color="auto"/>
          </w:divBdr>
        </w:div>
        <w:div w:id="644316254">
          <w:marLeft w:val="0"/>
          <w:marRight w:val="0"/>
          <w:marTop w:val="0"/>
          <w:marBottom w:val="0"/>
          <w:divBdr>
            <w:top w:val="none" w:sz="0" w:space="0" w:color="auto"/>
            <w:left w:val="none" w:sz="0" w:space="0" w:color="auto"/>
            <w:bottom w:val="none" w:sz="0" w:space="0" w:color="auto"/>
            <w:right w:val="none" w:sz="0" w:space="0" w:color="auto"/>
          </w:divBdr>
        </w:div>
      </w:divsChild>
    </w:div>
    <w:div w:id="1504399686">
      <w:bodyDiv w:val="1"/>
      <w:marLeft w:val="0"/>
      <w:marRight w:val="0"/>
      <w:marTop w:val="0"/>
      <w:marBottom w:val="0"/>
      <w:divBdr>
        <w:top w:val="none" w:sz="0" w:space="0" w:color="auto"/>
        <w:left w:val="none" w:sz="0" w:space="0" w:color="auto"/>
        <w:bottom w:val="none" w:sz="0" w:space="0" w:color="auto"/>
        <w:right w:val="none" w:sz="0" w:space="0" w:color="auto"/>
      </w:divBdr>
      <w:divsChild>
        <w:div w:id="2123570023">
          <w:marLeft w:val="0"/>
          <w:marRight w:val="0"/>
          <w:marTop w:val="0"/>
          <w:marBottom w:val="0"/>
          <w:divBdr>
            <w:top w:val="none" w:sz="0" w:space="0" w:color="auto"/>
            <w:left w:val="none" w:sz="0" w:space="0" w:color="auto"/>
            <w:bottom w:val="none" w:sz="0" w:space="0" w:color="auto"/>
            <w:right w:val="none" w:sz="0" w:space="0" w:color="auto"/>
          </w:divBdr>
          <w:divsChild>
            <w:div w:id="1541166806">
              <w:marLeft w:val="0"/>
              <w:marRight w:val="0"/>
              <w:marTop w:val="0"/>
              <w:marBottom w:val="0"/>
              <w:divBdr>
                <w:top w:val="none" w:sz="0" w:space="0" w:color="auto"/>
                <w:left w:val="none" w:sz="0" w:space="0" w:color="auto"/>
                <w:bottom w:val="none" w:sz="0" w:space="0" w:color="auto"/>
                <w:right w:val="none" w:sz="0" w:space="0" w:color="auto"/>
              </w:divBdr>
              <w:divsChild>
                <w:div w:id="1651708298">
                  <w:marLeft w:val="0"/>
                  <w:marRight w:val="0"/>
                  <w:marTop w:val="0"/>
                  <w:marBottom w:val="0"/>
                  <w:divBdr>
                    <w:top w:val="none" w:sz="0" w:space="0" w:color="auto"/>
                    <w:left w:val="none" w:sz="0" w:space="0" w:color="auto"/>
                    <w:bottom w:val="none" w:sz="0" w:space="0" w:color="auto"/>
                    <w:right w:val="none" w:sz="0" w:space="0" w:color="auto"/>
                  </w:divBdr>
                </w:div>
                <w:div w:id="1527865433">
                  <w:marLeft w:val="0"/>
                  <w:marRight w:val="0"/>
                  <w:marTop w:val="0"/>
                  <w:marBottom w:val="0"/>
                  <w:divBdr>
                    <w:top w:val="none" w:sz="0" w:space="0" w:color="auto"/>
                    <w:left w:val="none" w:sz="0" w:space="0" w:color="auto"/>
                    <w:bottom w:val="none" w:sz="0" w:space="0" w:color="auto"/>
                    <w:right w:val="none" w:sz="0" w:space="0" w:color="auto"/>
                  </w:divBdr>
                </w:div>
                <w:div w:id="1334644094">
                  <w:marLeft w:val="0"/>
                  <w:marRight w:val="0"/>
                  <w:marTop w:val="0"/>
                  <w:marBottom w:val="0"/>
                  <w:divBdr>
                    <w:top w:val="none" w:sz="0" w:space="0" w:color="auto"/>
                    <w:left w:val="none" w:sz="0" w:space="0" w:color="auto"/>
                    <w:bottom w:val="none" w:sz="0" w:space="0" w:color="auto"/>
                    <w:right w:val="none" w:sz="0" w:space="0" w:color="auto"/>
                  </w:divBdr>
                </w:div>
                <w:div w:id="819421531">
                  <w:marLeft w:val="0"/>
                  <w:marRight w:val="0"/>
                  <w:marTop w:val="0"/>
                  <w:marBottom w:val="0"/>
                  <w:divBdr>
                    <w:top w:val="none" w:sz="0" w:space="0" w:color="auto"/>
                    <w:left w:val="none" w:sz="0" w:space="0" w:color="auto"/>
                    <w:bottom w:val="none" w:sz="0" w:space="0" w:color="auto"/>
                    <w:right w:val="none" w:sz="0" w:space="0" w:color="auto"/>
                  </w:divBdr>
                </w:div>
                <w:div w:id="23914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162738">
      <w:bodyDiv w:val="1"/>
      <w:marLeft w:val="0"/>
      <w:marRight w:val="0"/>
      <w:marTop w:val="0"/>
      <w:marBottom w:val="0"/>
      <w:divBdr>
        <w:top w:val="none" w:sz="0" w:space="0" w:color="auto"/>
        <w:left w:val="none" w:sz="0" w:space="0" w:color="auto"/>
        <w:bottom w:val="none" w:sz="0" w:space="0" w:color="auto"/>
        <w:right w:val="none" w:sz="0" w:space="0" w:color="auto"/>
      </w:divBdr>
      <w:divsChild>
        <w:div w:id="2031027113">
          <w:marLeft w:val="418"/>
          <w:marRight w:val="0"/>
          <w:marTop w:val="240"/>
          <w:marBottom w:val="40"/>
          <w:divBdr>
            <w:top w:val="none" w:sz="0" w:space="0" w:color="auto"/>
            <w:left w:val="none" w:sz="0" w:space="0" w:color="auto"/>
            <w:bottom w:val="none" w:sz="0" w:space="0" w:color="auto"/>
            <w:right w:val="none" w:sz="0" w:space="0" w:color="auto"/>
          </w:divBdr>
        </w:div>
        <w:div w:id="2054503110">
          <w:marLeft w:val="418"/>
          <w:marRight w:val="0"/>
          <w:marTop w:val="240"/>
          <w:marBottom w:val="40"/>
          <w:divBdr>
            <w:top w:val="none" w:sz="0" w:space="0" w:color="auto"/>
            <w:left w:val="none" w:sz="0" w:space="0" w:color="auto"/>
            <w:bottom w:val="none" w:sz="0" w:space="0" w:color="auto"/>
            <w:right w:val="none" w:sz="0" w:space="0" w:color="auto"/>
          </w:divBdr>
        </w:div>
        <w:div w:id="2114551743">
          <w:marLeft w:val="418"/>
          <w:marRight w:val="0"/>
          <w:marTop w:val="240"/>
          <w:marBottom w:val="40"/>
          <w:divBdr>
            <w:top w:val="none" w:sz="0" w:space="0" w:color="auto"/>
            <w:left w:val="none" w:sz="0" w:space="0" w:color="auto"/>
            <w:bottom w:val="none" w:sz="0" w:space="0" w:color="auto"/>
            <w:right w:val="none" w:sz="0" w:space="0" w:color="auto"/>
          </w:divBdr>
        </w:div>
        <w:div w:id="318122203">
          <w:marLeft w:val="418"/>
          <w:marRight w:val="0"/>
          <w:marTop w:val="240"/>
          <w:marBottom w:val="40"/>
          <w:divBdr>
            <w:top w:val="none" w:sz="0" w:space="0" w:color="auto"/>
            <w:left w:val="none" w:sz="0" w:space="0" w:color="auto"/>
            <w:bottom w:val="none" w:sz="0" w:space="0" w:color="auto"/>
            <w:right w:val="none" w:sz="0" w:space="0" w:color="auto"/>
          </w:divBdr>
        </w:div>
        <w:div w:id="1541434160">
          <w:marLeft w:val="418"/>
          <w:marRight w:val="0"/>
          <w:marTop w:val="240"/>
          <w:marBottom w:val="40"/>
          <w:divBdr>
            <w:top w:val="none" w:sz="0" w:space="0" w:color="auto"/>
            <w:left w:val="none" w:sz="0" w:space="0" w:color="auto"/>
            <w:bottom w:val="none" w:sz="0" w:space="0" w:color="auto"/>
            <w:right w:val="none" w:sz="0" w:space="0" w:color="auto"/>
          </w:divBdr>
        </w:div>
        <w:div w:id="406610655">
          <w:marLeft w:val="418"/>
          <w:marRight w:val="0"/>
          <w:marTop w:val="240"/>
          <w:marBottom w:val="40"/>
          <w:divBdr>
            <w:top w:val="none" w:sz="0" w:space="0" w:color="auto"/>
            <w:left w:val="none" w:sz="0" w:space="0" w:color="auto"/>
            <w:bottom w:val="none" w:sz="0" w:space="0" w:color="auto"/>
            <w:right w:val="none" w:sz="0" w:space="0" w:color="auto"/>
          </w:divBdr>
        </w:div>
        <w:div w:id="901595873">
          <w:marLeft w:val="418"/>
          <w:marRight w:val="0"/>
          <w:marTop w:val="240"/>
          <w:marBottom w:val="40"/>
          <w:divBdr>
            <w:top w:val="none" w:sz="0" w:space="0" w:color="auto"/>
            <w:left w:val="none" w:sz="0" w:space="0" w:color="auto"/>
            <w:bottom w:val="none" w:sz="0" w:space="0" w:color="auto"/>
            <w:right w:val="none" w:sz="0" w:space="0" w:color="auto"/>
          </w:divBdr>
        </w:div>
        <w:div w:id="1170021101">
          <w:marLeft w:val="418"/>
          <w:marRight w:val="0"/>
          <w:marTop w:val="240"/>
          <w:marBottom w:val="40"/>
          <w:divBdr>
            <w:top w:val="none" w:sz="0" w:space="0" w:color="auto"/>
            <w:left w:val="none" w:sz="0" w:space="0" w:color="auto"/>
            <w:bottom w:val="none" w:sz="0" w:space="0" w:color="auto"/>
            <w:right w:val="none" w:sz="0" w:space="0" w:color="auto"/>
          </w:divBdr>
        </w:div>
        <w:div w:id="136194164">
          <w:marLeft w:val="418"/>
          <w:marRight w:val="0"/>
          <w:marTop w:val="240"/>
          <w:marBottom w:val="40"/>
          <w:divBdr>
            <w:top w:val="none" w:sz="0" w:space="0" w:color="auto"/>
            <w:left w:val="none" w:sz="0" w:space="0" w:color="auto"/>
            <w:bottom w:val="none" w:sz="0" w:space="0" w:color="auto"/>
            <w:right w:val="none" w:sz="0" w:space="0" w:color="auto"/>
          </w:divBdr>
        </w:div>
        <w:div w:id="1898010236">
          <w:marLeft w:val="418"/>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71/journal.pmed.1003854" TargetMode="External"/><Relationship Id="rId5" Type="http://schemas.openxmlformats.org/officeDocument/2006/relationships/webSettings" Target="webSettings.xml"/><Relationship Id="rId10" Type="http://schemas.openxmlformats.org/officeDocument/2006/relationships/hyperlink" Target="https://digital.nhs.uk/data-and-information/publications/statistical/hospital-outpatient-activity/2020-21/covid-19-impac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08AE65-459E-4681-90FE-6846F395A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4760</Words>
  <Characters>27661</Characters>
  <Application>Microsoft Office Word</Application>
  <DocSecurity>0</DocSecurity>
  <Lines>493</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Grace Henshaw</cp:lastModifiedBy>
  <cp:revision>2</cp:revision>
  <cp:lastPrinted>2024-02-16T01:09:00Z</cp:lastPrinted>
  <dcterms:created xsi:type="dcterms:W3CDTF">2024-04-26T10:40:00Z</dcterms:created>
  <dcterms:modified xsi:type="dcterms:W3CDTF">2024-04-26T10:40:00Z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20f603aed43fca6fafdb5be9c390022b05e2fe69269236f1bf8f3819a6996d87</vt:lpwstr>
  </property>
</Properties>
</file>