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4EB1" w:rsidRPr="004F0A10" w:rsidRDefault="00924EB1" w:rsidP="004F0A10">
      <w:pPr>
        <w:pBdr>
          <w:top w:val="nil"/>
          <w:left w:val="nil"/>
          <w:bottom w:val="nil"/>
          <w:right w:val="nil"/>
          <w:between w:val="nil"/>
        </w:pBdr>
        <w:rPr>
          <w:rFonts w:ascii="Arial" w:hAnsi="Arial" w:cs="Arial"/>
          <w:b/>
          <w:color w:val="000000"/>
        </w:rPr>
      </w:pPr>
    </w:p>
    <w:p w:rsidR="004F0A10" w:rsidRPr="00406CCA" w:rsidRDefault="004F0A10" w:rsidP="004F0A10">
      <w:pPr>
        <w:jc w:val="center"/>
        <w:rPr>
          <w:rFonts w:ascii="Arial" w:hAnsi="Arial" w:cs="Arial"/>
          <w:b/>
          <w:bCs/>
          <w:sz w:val="32"/>
          <w:szCs w:val="32"/>
        </w:rPr>
      </w:pPr>
      <w:r w:rsidRPr="00406CCA">
        <w:rPr>
          <w:rFonts w:ascii="Arial" w:hAnsi="Arial" w:cs="Arial"/>
          <w:b/>
          <w:bCs/>
          <w:sz w:val="32"/>
          <w:szCs w:val="32"/>
        </w:rPr>
        <w:t>UNIVERSITY OF WALES TRINITY SAINT DAVID</w:t>
      </w:r>
    </w:p>
    <w:p w:rsidR="004F0A10" w:rsidRPr="00406CCA" w:rsidRDefault="004F0A10" w:rsidP="004F0A10">
      <w:pPr>
        <w:jc w:val="center"/>
        <w:rPr>
          <w:rFonts w:ascii="Arial" w:hAnsi="Arial" w:cs="Arial"/>
          <w:b/>
          <w:bCs/>
          <w:sz w:val="32"/>
          <w:szCs w:val="32"/>
        </w:rPr>
      </w:pPr>
      <w:r w:rsidRPr="00406CCA">
        <w:rPr>
          <w:rFonts w:ascii="Arial" w:hAnsi="Arial" w:cs="Arial"/>
          <w:b/>
          <w:bCs/>
          <w:sz w:val="32"/>
          <w:szCs w:val="32"/>
        </w:rPr>
        <w:t xml:space="preserve">         London Campus</w:t>
      </w:r>
    </w:p>
    <w:p w:rsidR="004F0A10" w:rsidRPr="004F0A10" w:rsidRDefault="004F0A10" w:rsidP="004F0A10">
      <w:pPr>
        <w:pStyle w:val="Normal1"/>
        <w:jc w:val="center"/>
        <w:rPr>
          <w:rFonts w:ascii="Arial" w:hAnsi="Arial" w:cs="Arial"/>
          <w:b/>
          <w:color w:val="000000" w:themeColor="text1"/>
          <w:sz w:val="28"/>
          <w:szCs w:val="28"/>
          <w:lang w:val="en-GB"/>
        </w:rPr>
      </w:pPr>
    </w:p>
    <w:p w:rsidR="004F0A10" w:rsidRPr="004F0A10" w:rsidRDefault="004F0A10" w:rsidP="004F0A10">
      <w:pPr>
        <w:pStyle w:val="Normal1"/>
        <w:jc w:val="center"/>
        <w:rPr>
          <w:rFonts w:ascii="Arial" w:hAnsi="Arial" w:cs="Arial"/>
          <w:b/>
          <w:sz w:val="28"/>
          <w:szCs w:val="28"/>
        </w:rPr>
      </w:pPr>
      <w:r w:rsidRPr="004F0A10">
        <w:rPr>
          <w:rFonts w:ascii="Arial" w:hAnsi="Arial" w:cs="Arial"/>
          <w:b/>
          <w:sz w:val="28"/>
          <w:szCs w:val="28"/>
        </w:rPr>
        <w:t>LCBB6002</w:t>
      </w:r>
    </w:p>
    <w:p w:rsidR="004F0A10" w:rsidRPr="004F0A10" w:rsidRDefault="004F0A10" w:rsidP="004F0A10">
      <w:pPr>
        <w:pStyle w:val="Normal1"/>
        <w:jc w:val="center"/>
        <w:rPr>
          <w:rFonts w:ascii="Arial" w:hAnsi="Arial" w:cs="Arial"/>
          <w:b/>
          <w:sz w:val="28"/>
          <w:szCs w:val="28"/>
        </w:rPr>
      </w:pPr>
      <w:r w:rsidRPr="004F0A10">
        <w:rPr>
          <w:rFonts w:ascii="Arial" w:hAnsi="Arial" w:cs="Arial"/>
          <w:b/>
          <w:sz w:val="28"/>
          <w:szCs w:val="28"/>
        </w:rPr>
        <w:t>INTERNATIONAL FINANCIAL MANAGEMENT</w:t>
      </w:r>
    </w:p>
    <w:p w:rsidR="004F0A10" w:rsidRPr="003465F7" w:rsidRDefault="003465F7" w:rsidP="004F0A10">
      <w:pPr>
        <w:pStyle w:val="Normal1"/>
        <w:jc w:val="left"/>
        <w:rPr>
          <w:rFonts w:ascii="Arial" w:hAnsi="Arial" w:cs="Arial"/>
          <w:b/>
          <w:bCs/>
          <w:sz w:val="32"/>
          <w:szCs w:val="32"/>
        </w:rPr>
      </w:pPr>
      <w:r w:rsidRPr="003465F7">
        <w:rPr>
          <w:rFonts w:ascii="Arial" w:hAnsi="Arial" w:cs="Arial"/>
          <w:sz w:val="32"/>
          <w:szCs w:val="32"/>
        </w:rPr>
        <w:t xml:space="preserve">                             </w:t>
      </w:r>
      <w:r w:rsidRPr="003465F7">
        <w:rPr>
          <w:rFonts w:ascii="Arial" w:hAnsi="Arial" w:cs="Arial"/>
          <w:b/>
          <w:bCs/>
          <w:sz w:val="32"/>
          <w:szCs w:val="32"/>
        </w:rPr>
        <w:t>Coursework: Written Report</w:t>
      </w:r>
    </w:p>
    <w:p w:rsidR="004F0A10" w:rsidRPr="004F0A10" w:rsidRDefault="004F0A10" w:rsidP="004F0A10">
      <w:pPr>
        <w:pStyle w:val="Normal1"/>
        <w:jc w:val="left"/>
        <w:rPr>
          <w:rFonts w:ascii="Arial" w:hAnsi="Arial" w:cs="Arial"/>
          <w:sz w:val="28"/>
          <w:szCs w:val="28"/>
        </w:rPr>
      </w:pPr>
    </w:p>
    <w:p w:rsidR="004F0A10" w:rsidRPr="004F0A10" w:rsidRDefault="004F0A10" w:rsidP="004F0A10">
      <w:pPr>
        <w:pStyle w:val="Normal1"/>
        <w:jc w:val="left"/>
        <w:rPr>
          <w:rFonts w:ascii="Arial" w:hAnsi="Arial" w:cs="Arial"/>
          <w:sz w:val="28"/>
          <w:szCs w:val="28"/>
        </w:rPr>
      </w:pPr>
    </w:p>
    <w:p w:rsidR="004F0A10" w:rsidRPr="004F0A10" w:rsidRDefault="004F0A10" w:rsidP="004F0A10">
      <w:pPr>
        <w:pStyle w:val="Normal1"/>
        <w:jc w:val="left"/>
        <w:rPr>
          <w:rFonts w:ascii="Arial" w:hAnsi="Arial" w:cs="Arial"/>
          <w:sz w:val="28"/>
          <w:szCs w:val="28"/>
        </w:rPr>
      </w:pPr>
    </w:p>
    <w:p w:rsidR="004F0A10" w:rsidRPr="004F0A10" w:rsidRDefault="004F0A10" w:rsidP="004F0A10">
      <w:pPr>
        <w:pStyle w:val="Normal1"/>
        <w:rPr>
          <w:rFonts w:ascii="Arial" w:hAnsi="Arial" w:cs="Arial"/>
          <w:b/>
          <w:color w:val="000000" w:themeColor="text1"/>
          <w:sz w:val="28"/>
          <w:szCs w:val="28"/>
          <w:lang w:val="en-GB"/>
        </w:rPr>
      </w:pPr>
    </w:p>
    <w:p w:rsidR="004F0A10" w:rsidRPr="004F0A10" w:rsidRDefault="004F0A10" w:rsidP="004F0A10">
      <w:pPr>
        <w:pStyle w:val="Normal1"/>
        <w:rPr>
          <w:rFonts w:ascii="Arial" w:hAnsi="Arial" w:cs="Arial"/>
          <w:b/>
          <w:color w:val="000000" w:themeColor="text1"/>
          <w:sz w:val="28"/>
          <w:szCs w:val="28"/>
          <w:lang w:val="en-GB"/>
        </w:rPr>
      </w:pPr>
    </w:p>
    <w:p w:rsidR="004F0A10" w:rsidRPr="004F0A10" w:rsidRDefault="004F0A10" w:rsidP="004F0A10">
      <w:pPr>
        <w:rPr>
          <w:rFonts w:ascii="Arial" w:hAnsi="Arial" w:cs="Arial"/>
          <w:b/>
          <w:bCs/>
          <w:sz w:val="28"/>
          <w:szCs w:val="28"/>
        </w:rPr>
      </w:pPr>
    </w:p>
    <w:tbl>
      <w:tblPr>
        <w:tblStyle w:val="TableGrid"/>
        <w:tblW w:w="0" w:type="auto"/>
        <w:tblLook w:val="04A0" w:firstRow="1" w:lastRow="0" w:firstColumn="1" w:lastColumn="0" w:noHBand="0" w:noVBand="1"/>
      </w:tblPr>
      <w:tblGrid>
        <w:gridCol w:w="2633"/>
        <w:gridCol w:w="6386"/>
      </w:tblGrid>
      <w:tr w:rsidR="004F0A10" w:rsidRPr="004F0A10" w:rsidTr="00FA7E3D">
        <w:tc>
          <w:tcPr>
            <w:tcW w:w="2689" w:type="dxa"/>
            <w:tcBorders>
              <w:top w:val="single" w:sz="4" w:space="0" w:color="auto"/>
              <w:left w:val="single" w:sz="4" w:space="0" w:color="auto"/>
              <w:bottom w:val="single" w:sz="4" w:space="0" w:color="auto"/>
              <w:right w:val="single" w:sz="4" w:space="0" w:color="auto"/>
            </w:tcBorders>
            <w:hideMark/>
          </w:tcPr>
          <w:p w:rsidR="004F0A10" w:rsidRPr="004F0A10" w:rsidRDefault="004F0A10" w:rsidP="00FA7E3D">
            <w:pPr>
              <w:rPr>
                <w:rFonts w:ascii="Arial" w:hAnsi="Arial" w:cs="Arial"/>
                <w:b/>
                <w:bCs/>
                <w:sz w:val="28"/>
                <w:szCs w:val="28"/>
              </w:rPr>
            </w:pPr>
            <w:r w:rsidRPr="004F0A10">
              <w:rPr>
                <w:rFonts w:ascii="Arial" w:hAnsi="Arial" w:cs="Arial"/>
                <w:b/>
                <w:bCs/>
                <w:sz w:val="28"/>
                <w:szCs w:val="28"/>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rsidR="004F0A10" w:rsidRPr="004F0A10" w:rsidRDefault="004F0A10" w:rsidP="00FA7E3D">
            <w:pPr>
              <w:rPr>
                <w:rFonts w:ascii="Arial" w:hAnsi="Arial" w:cs="Arial"/>
                <w:b/>
                <w:bCs/>
                <w:sz w:val="28"/>
                <w:szCs w:val="28"/>
              </w:rPr>
            </w:pPr>
            <w:r w:rsidRPr="004F0A10">
              <w:rPr>
                <w:rFonts w:ascii="Arial" w:hAnsi="Arial" w:cs="Arial"/>
                <w:b/>
                <w:bCs/>
                <w:sz w:val="28"/>
                <w:szCs w:val="28"/>
              </w:rPr>
              <w:t>FLORENTINA JOITA</w:t>
            </w:r>
          </w:p>
        </w:tc>
      </w:tr>
      <w:tr w:rsidR="004F0A10" w:rsidRPr="004F0A10" w:rsidTr="00FA7E3D">
        <w:tc>
          <w:tcPr>
            <w:tcW w:w="2689" w:type="dxa"/>
            <w:tcBorders>
              <w:top w:val="single" w:sz="4" w:space="0" w:color="auto"/>
              <w:left w:val="single" w:sz="4" w:space="0" w:color="auto"/>
              <w:bottom w:val="single" w:sz="4" w:space="0" w:color="auto"/>
              <w:right w:val="single" w:sz="4" w:space="0" w:color="auto"/>
            </w:tcBorders>
            <w:hideMark/>
          </w:tcPr>
          <w:p w:rsidR="004F0A10" w:rsidRPr="004F0A10" w:rsidRDefault="004F0A10" w:rsidP="00FA7E3D">
            <w:pPr>
              <w:rPr>
                <w:rFonts w:ascii="Arial" w:hAnsi="Arial" w:cs="Arial"/>
                <w:b/>
                <w:bCs/>
                <w:sz w:val="28"/>
                <w:szCs w:val="28"/>
              </w:rPr>
            </w:pPr>
            <w:r w:rsidRPr="004F0A10">
              <w:rPr>
                <w:rFonts w:ascii="Arial" w:hAnsi="Arial" w:cs="Arial"/>
                <w:b/>
                <w:bCs/>
                <w:sz w:val="28"/>
                <w:szCs w:val="28"/>
              </w:rPr>
              <w:t>STUDENT ID</w:t>
            </w:r>
          </w:p>
        </w:tc>
        <w:tc>
          <w:tcPr>
            <w:tcW w:w="6661" w:type="dxa"/>
            <w:tcBorders>
              <w:top w:val="single" w:sz="4" w:space="0" w:color="auto"/>
              <w:left w:val="single" w:sz="4" w:space="0" w:color="auto"/>
              <w:bottom w:val="single" w:sz="4" w:space="0" w:color="auto"/>
              <w:right w:val="single" w:sz="4" w:space="0" w:color="auto"/>
            </w:tcBorders>
            <w:hideMark/>
          </w:tcPr>
          <w:p w:rsidR="004F0A10" w:rsidRPr="004F0A10" w:rsidRDefault="004F0A10" w:rsidP="00FA7E3D">
            <w:pPr>
              <w:rPr>
                <w:rFonts w:ascii="Arial" w:hAnsi="Arial" w:cs="Arial"/>
                <w:b/>
                <w:bCs/>
                <w:sz w:val="28"/>
                <w:szCs w:val="28"/>
              </w:rPr>
            </w:pPr>
            <w:r w:rsidRPr="004F0A10">
              <w:rPr>
                <w:rFonts w:ascii="Arial" w:hAnsi="Arial" w:cs="Arial"/>
                <w:b/>
                <w:bCs/>
                <w:sz w:val="28"/>
                <w:szCs w:val="28"/>
              </w:rPr>
              <w:t>2124448</w:t>
            </w:r>
          </w:p>
        </w:tc>
      </w:tr>
      <w:tr w:rsidR="004F0A10" w:rsidRPr="004F0A10" w:rsidTr="00FA7E3D">
        <w:tc>
          <w:tcPr>
            <w:tcW w:w="2689" w:type="dxa"/>
            <w:tcBorders>
              <w:top w:val="single" w:sz="4" w:space="0" w:color="auto"/>
              <w:left w:val="single" w:sz="4" w:space="0" w:color="auto"/>
              <w:bottom w:val="single" w:sz="4" w:space="0" w:color="auto"/>
              <w:right w:val="single" w:sz="4" w:space="0" w:color="auto"/>
            </w:tcBorders>
            <w:hideMark/>
          </w:tcPr>
          <w:p w:rsidR="004F0A10" w:rsidRPr="004F0A10" w:rsidRDefault="004F0A10" w:rsidP="00FA7E3D">
            <w:pPr>
              <w:rPr>
                <w:rFonts w:ascii="Arial" w:hAnsi="Arial" w:cs="Arial"/>
                <w:b/>
                <w:bCs/>
                <w:sz w:val="28"/>
                <w:szCs w:val="28"/>
              </w:rPr>
            </w:pPr>
            <w:r w:rsidRPr="004F0A10">
              <w:rPr>
                <w:rFonts w:ascii="Arial" w:hAnsi="Arial" w:cs="Arial"/>
                <w:b/>
                <w:bCs/>
                <w:sz w:val="28"/>
                <w:szCs w:val="28"/>
              </w:rPr>
              <w:t>LECTURER</w:t>
            </w:r>
          </w:p>
        </w:tc>
        <w:tc>
          <w:tcPr>
            <w:tcW w:w="6661" w:type="dxa"/>
            <w:tcBorders>
              <w:top w:val="single" w:sz="4" w:space="0" w:color="auto"/>
              <w:left w:val="single" w:sz="4" w:space="0" w:color="auto"/>
              <w:bottom w:val="single" w:sz="4" w:space="0" w:color="auto"/>
              <w:right w:val="single" w:sz="4" w:space="0" w:color="auto"/>
            </w:tcBorders>
            <w:hideMark/>
          </w:tcPr>
          <w:p w:rsidR="004F0A10" w:rsidRPr="004F0A10" w:rsidRDefault="004F0A10" w:rsidP="00FA7E3D">
            <w:pPr>
              <w:rPr>
                <w:rFonts w:ascii="Arial" w:hAnsi="Arial" w:cs="Arial"/>
                <w:b/>
                <w:bCs/>
                <w:sz w:val="28"/>
                <w:szCs w:val="28"/>
              </w:rPr>
            </w:pPr>
            <w:r w:rsidRPr="004F0A10">
              <w:rPr>
                <w:rFonts w:ascii="Arial" w:hAnsi="Arial" w:cs="Arial"/>
                <w:b/>
                <w:bCs/>
                <w:sz w:val="28"/>
                <w:szCs w:val="28"/>
              </w:rPr>
              <w:t>ZAINAB  ATTA</w:t>
            </w:r>
          </w:p>
        </w:tc>
      </w:tr>
    </w:tbl>
    <w:p w:rsidR="004F0A10" w:rsidRPr="004F0A10" w:rsidRDefault="004F0A10" w:rsidP="004F0A10">
      <w:pPr>
        <w:pStyle w:val="Normal1"/>
        <w:jc w:val="left"/>
        <w:rPr>
          <w:rFonts w:ascii="Arial" w:hAnsi="Arial" w:cs="Arial"/>
          <w:b/>
        </w:rPr>
      </w:pPr>
    </w:p>
    <w:p w:rsidR="00924EB1" w:rsidRPr="004F0A10" w:rsidRDefault="00924EB1" w:rsidP="00924EB1">
      <w:pPr>
        <w:pBdr>
          <w:top w:val="nil"/>
          <w:left w:val="nil"/>
          <w:bottom w:val="nil"/>
          <w:right w:val="nil"/>
          <w:between w:val="nil"/>
        </w:pBdr>
        <w:jc w:val="center"/>
        <w:rPr>
          <w:rFonts w:ascii="Arial" w:hAnsi="Arial" w:cs="Arial"/>
          <w:b/>
          <w:color w:val="000000"/>
        </w:rPr>
      </w:pPr>
    </w:p>
    <w:p w:rsidR="00924EB1" w:rsidRPr="004F0A10" w:rsidRDefault="00924EB1" w:rsidP="00924EB1">
      <w:pPr>
        <w:pBdr>
          <w:top w:val="nil"/>
          <w:left w:val="nil"/>
          <w:bottom w:val="nil"/>
          <w:right w:val="nil"/>
          <w:between w:val="nil"/>
        </w:pBdr>
        <w:jc w:val="center"/>
        <w:rPr>
          <w:rFonts w:ascii="Arial" w:hAnsi="Arial" w:cs="Arial"/>
          <w:b/>
          <w:color w:val="000000"/>
        </w:rPr>
      </w:pPr>
    </w:p>
    <w:p w:rsidR="00924EB1" w:rsidRPr="004F0A10" w:rsidRDefault="00924EB1" w:rsidP="00924EB1">
      <w:pPr>
        <w:pBdr>
          <w:top w:val="nil"/>
          <w:left w:val="nil"/>
          <w:bottom w:val="nil"/>
          <w:right w:val="nil"/>
          <w:between w:val="nil"/>
        </w:pBdr>
        <w:jc w:val="center"/>
        <w:rPr>
          <w:rFonts w:ascii="Arial" w:hAnsi="Arial" w:cs="Arial"/>
          <w:b/>
          <w:color w:val="000000"/>
        </w:rPr>
      </w:pPr>
    </w:p>
    <w:p w:rsidR="00924EB1" w:rsidRPr="004F0A10" w:rsidRDefault="00924EB1" w:rsidP="00924EB1">
      <w:pPr>
        <w:pBdr>
          <w:top w:val="nil"/>
          <w:left w:val="nil"/>
          <w:bottom w:val="nil"/>
          <w:right w:val="nil"/>
          <w:between w:val="nil"/>
        </w:pBdr>
        <w:jc w:val="center"/>
        <w:rPr>
          <w:rFonts w:ascii="Arial" w:hAnsi="Arial" w:cs="Arial"/>
          <w:b/>
          <w:color w:val="000000"/>
          <w:sz w:val="28"/>
          <w:szCs w:val="28"/>
        </w:rPr>
      </w:pPr>
    </w:p>
    <w:p w:rsidR="00924EB1" w:rsidRPr="004F0A10" w:rsidRDefault="00924EB1" w:rsidP="00924EB1">
      <w:pPr>
        <w:jc w:val="center"/>
        <w:rPr>
          <w:rFonts w:ascii="Arial" w:hAnsi="Arial" w:cs="Arial"/>
          <w:b/>
          <w:sz w:val="28"/>
          <w:szCs w:val="28"/>
        </w:rPr>
      </w:pPr>
      <w:bookmarkStart w:id="0" w:name="_heading=h.gjdgxs" w:colFirst="0" w:colLast="0"/>
      <w:bookmarkEnd w:id="0"/>
      <w:r w:rsidRPr="004F0A10">
        <w:rPr>
          <w:rFonts w:ascii="Arial" w:hAnsi="Arial" w:cs="Arial"/>
          <w:b/>
          <w:sz w:val="28"/>
          <w:szCs w:val="28"/>
        </w:rPr>
        <w:t>Executive summary</w:t>
      </w:r>
    </w:p>
    <w:p w:rsidR="00924EB1" w:rsidRPr="004F0A10" w:rsidRDefault="00924EB1" w:rsidP="00924EB1">
      <w:pPr>
        <w:rPr>
          <w:rFonts w:ascii="Arial" w:hAnsi="Arial" w:cs="Arial"/>
        </w:rPr>
      </w:pPr>
      <w:r w:rsidRPr="004F0A10">
        <w:rPr>
          <w:rFonts w:ascii="Arial" w:hAnsi="Arial" w:cs="Arial"/>
        </w:rPr>
        <w:t xml:space="preserve">The report highlighted the role and importance of International Finance Management in managing global trade while lowering financial risks. Unilever has been chosen to conduct the research. Challenges faced in the international financial market have also been reflected. Moreover, dividend distribution policy in the context of multinational companies has also been provided. </w:t>
      </w:r>
      <w:r w:rsidRPr="004F0A10">
        <w:rPr>
          <w:rFonts w:ascii="Arial" w:hAnsi="Arial" w:cs="Arial"/>
          <w:color w:val="000000" w:themeColor="text1"/>
        </w:rPr>
        <w:t xml:space="preserve">In this context, Stakeholder Theory, Letter of credit, Exchange rate dynamics, Cost of capital theory and Efficient market Hypothesis Theory have been evaluated in this report. </w:t>
      </w:r>
      <w:r w:rsidRPr="004F0A10">
        <w:rPr>
          <w:rFonts w:ascii="Arial" w:hAnsi="Arial" w:cs="Arial"/>
        </w:rPr>
        <w:t>Besides this, methods of project appraisal have also been provided.</w:t>
      </w:r>
    </w:p>
    <w:p w:rsidR="00924EB1" w:rsidRPr="004F0A10" w:rsidRDefault="00924EB1" w:rsidP="00924EB1">
      <w:pPr>
        <w:rPr>
          <w:rFonts w:ascii="Arial" w:hAnsi="Arial" w:cs="Arial"/>
        </w:rPr>
      </w:pPr>
      <w:r w:rsidRPr="004F0A10">
        <w:rPr>
          <w:rFonts w:ascii="Arial" w:hAnsi="Arial" w:cs="Arial"/>
        </w:rPr>
        <w:br w:type="page"/>
      </w:r>
    </w:p>
    <w:p w:rsidR="00924EB1" w:rsidRPr="003C3ECE" w:rsidRDefault="00924EB1" w:rsidP="00924EB1">
      <w:pPr>
        <w:jc w:val="center"/>
        <w:rPr>
          <w:rFonts w:ascii="Arial" w:hAnsi="Arial" w:cs="Arial"/>
          <w:b/>
          <w:sz w:val="28"/>
          <w:szCs w:val="28"/>
        </w:rPr>
      </w:pPr>
      <w:r w:rsidRPr="003C3ECE">
        <w:rPr>
          <w:rFonts w:ascii="Arial" w:hAnsi="Arial" w:cs="Arial"/>
          <w:b/>
          <w:sz w:val="28"/>
          <w:szCs w:val="28"/>
        </w:rPr>
        <w:lastRenderedPageBreak/>
        <w:t>Table of contents</w:t>
      </w:r>
    </w:p>
    <w:sdt>
      <w:sdtPr>
        <w:rPr>
          <w:rFonts w:ascii="Arial" w:hAnsi="Arial" w:cs="Arial"/>
        </w:rPr>
        <w:id w:val="2633235"/>
        <w:docPartObj>
          <w:docPartGallery w:val="Table of Contents"/>
          <w:docPartUnique/>
        </w:docPartObj>
      </w:sdtPr>
      <w:sdtContent>
        <w:p w:rsidR="00924EB1" w:rsidRPr="004F0A10" w:rsidRDefault="00924EB1" w:rsidP="00924EB1">
          <w:pPr>
            <w:pStyle w:val="TOC1"/>
            <w:tabs>
              <w:tab w:val="right" w:leader="dot" w:pos="9019"/>
            </w:tabs>
            <w:rPr>
              <w:rFonts w:ascii="Arial" w:eastAsiaTheme="minorEastAsia" w:hAnsi="Arial" w:cs="Arial"/>
              <w:noProof/>
              <w:kern w:val="2"/>
              <w:lang w:eastAsia="en-IN"/>
              <w14:ligatures w14:val="standardContextual"/>
            </w:rPr>
          </w:pPr>
          <w:r w:rsidRPr="004F0A10">
            <w:rPr>
              <w:rFonts w:ascii="Arial" w:hAnsi="Arial" w:cs="Arial"/>
            </w:rPr>
            <w:fldChar w:fldCharType="begin"/>
          </w:r>
          <w:r w:rsidRPr="004F0A10">
            <w:rPr>
              <w:rFonts w:ascii="Arial" w:hAnsi="Arial" w:cs="Arial"/>
            </w:rPr>
            <w:instrText xml:space="preserve"> TOC \h \u \z \t "Heading 1,1,Heading 2,2,Heading 3,3,"</w:instrText>
          </w:r>
          <w:r w:rsidRPr="004F0A10">
            <w:rPr>
              <w:rFonts w:ascii="Arial" w:hAnsi="Arial" w:cs="Arial"/>
            </w:rPr>
            <w:fldChar w:fldCharType="separate"/>
          </w:r>
          <w:hyperlink w:anchor="_Toc162343402" w:history="1">
            <w:r w:rsidRPr="004F0A10">
              <w:rPr>
                <w:rStyle w:val="Hyperlink"/>
                <w:rFonts w:ascii="Arial" w:hAnsi="Arial" w:cs="Arial"/>
                <w:noProof/>
              </w:rPr>
              <w:t>Introduction</w:t>
            </w:r>
            <w:r w:rsidRPr="004F0A10">
              <w:rPr>
                <w:rFonts w:ascii="Arial" w:hAnsi="Arial" w:cs="Arial"/>
                <w:noProof/>
                <w:webHidden/>
              </w:rPr>
              <w:tab/>
            </w:r>
            <w:r w:rsidRPr="004F0A10">
              <w:rPr>
                <w:rFonts w:ascii="Arial" w:hAnsi="Arial" w:cs="Arial"/>
                <w:noProof/>
                <w:webHidden/>
              </w:rPr>
              <w:fldChar w:fldCharType="begin"/>
            </w:r>
            <w:r w:rsidRPr="004F0A10">
              <w:rPr>
                <w:rFonts w:ascii="Arial" w:hAnsi="Arial" w:cs="Arial"/>
                <w:noProof/>
                <w:webHidden/>
              </w:rPr>
              <w:instrText xml:space="preserve"> PAGEREF _Toc162343402 \h </w:instrText>
            </w:r>
            <w:r w:rsidRPr="004F0A10">
              <w:rPr>
                <w:rFonts w:ascii="Arial" w:hAnsi="Arial" w:cs="Arial"/>
                <w:noProof/>
                <w:webHidden/>
              </w:rPr>
            </w:r>
            <w:r w:rsidRPr="004F0A10">
              <w:rPr>
                <w:rFonts w:ascii="Arial" w:hAnsi="Arial" w:cs="Arial"/>
                <w:noProof/>
                <w:webHidden/>
              </w:rPr>
              <w:fldChar w:fldCharType="separate"/>
            </w:r>
            <w:r w:rsidR="003C3ECE">
              <w:rPr>
                <w:rFonts w:ascii="Arial" w:hAnsi="Arial" w:cs="Arial"/>
                <w:noProof/>
                <w:webHidden/>
              </w:rPr>
              <w:t>4</w:t>
            </w:r>
            <w:r w:rsidRPr="004F0A10">
              <w:rPr>
                <w:rFonts w:ascii="Arial" w:hAnsi="Arial" w:cs="Arial"/>
                <w:noProof/>
                <w:webHidden/>
              </w:rPr>
              <w:fldChar w:fldCharType="end"/>
            </w:r>
          </w:hyperlink>
        </w:p>
        <w:p w:rsidR="00924EB1" w:rsidRPr="004F0A10" w:rsidRDefault="00000000" w:rsidP="00924EB1">
          <w:pPr>
            <w:pStyle w:val="TOC1"/>
            <w:tabs>
              <w:tab w:val="right" w:leader="dot" w:pos="9019"/>
            </w:tabs>
            <w:rPr>
              <w:rFonts w:ascii="Arial" w:eastAsiaTheme="minorEastAsia" w:hAnsi="Arial" w:cs="Arial"/>
              <w:noProof/>
              <w:kern w:val="2"/>
              <w:lang w:eastAsia="en-IN"/>
              <w14:ligatures w14:val="standardContextual"/>
            </w:rPr>
          </w:pPr>
          <w:hyperlink w:anchor="_Toc162343403" w:history="1">
            <w:r w:rsidR="00924EB1" w:rsidRPr="004F0A10">
              <w:rPr>
                <w:rStyle w:val="Hyperlink"/>
                <w:rFonts w:ascii="Arial" w:hAnsi="Arial" w:cs="Arial"/>
                <w:noProof/>
              </w:rPr>
              <w:t>“Critically analyse and evaluate the importance of international financial management (IFM) to the corporation”</w:t>
            </w:r>
            <w:r w:rsidR="00924EB1" w:rsidRPr="004F0A10">
              <w:rPr>
                <w:rFonts w:ascii="Arial" w:hAnsi="Arial" w:cs="Arial"/>
                <w:noProof/>
                <w:webHidden/>
              </w:rPr>
              <w:tab/>
            </w:r>
            <w:r w:rsidR="00924EB1" w:rsidRPr="004F0A10">
              <w:rPr>
                <w:rFonts w:ascii="Arial" w:hAnsi="Arial" w:cs="Arial"/>
                <w:noProof/>
                <w:webHidden/>
              </w:rPr>
              <w:fldChar w:fldCharType="begin"/>
            </w:r>
            <w:r w:rsidR="00924EB1" w:rsidRPr="004F0A10">
              <w:rPr>
                <w:rFonts w:ascii="Arial" w:hAnsi="Arial" w:cs="Arial"/>
                <w:noProof/>
                <w:webHidden/>
              </w:rPr>
              <w:instrText xml:space="preserve"> PAGEREF _Toc162343403 \h </w:instrText>
            </w:r>
            <w:r w:rsidR="00924EB1" w:rsidRPr="004F0A10">
              <w:rPr>
                <w:rFonts w:ascii="Arial" w:hAnsi="Arial" w:cs="Arial"/>
                <w:noProof/>
                <w:webHidden/>
              </w:rPr>
            </w:r>
            <w:r w:rsidR="00924EB1" w:rsidRPr="004F0A10">
              <w:rPr>
                <w:rFonts w:ascii="Arial" w:hAnsi="Arial" w:cs="Arial"/>
                <w:noProof/>
                <w:webHidden/>
              </w:rPr>
              <w:fldChar w:fldCharType="separate"/>
            </w:r>
            <w:r w:rsidR="003C3ECE">
              <w:rPr>
                <w:rFonts w:ascii="Arial" w:hAnsi="Arial" w:cs="Arial"/>
                <w:noProof/>
                <w:webHidden/>
              </w:rPr>
              <w:t>4</w:t>
            </w:r>
            <w:r w:rsidR="00924EB1" w:rsidRPr="004F0A10">
              <w:rPr>
                <w:rFonts w:ascii="Arial" w:hAnsi="Arial" w:cs="Arial"/>
                <w:noProof/>
                <w:webHidden/>
              </w:rPr>
              <w:fldChar w:fldCharType="end"/>
            </w:r>
          </w:hyperlink>
        </w:p>
        <w:p w:rsidR="00924EB1" w:rsidRPr="004F0A10" w:rsidRDefault="00000000" w:rsidP="00924EB1">
          <w:pPr>
            <w:pStyle w:val="TOC1"/>
            <w:tabs>
              <w:tab w:val="right" w:leader="dot" w:pos="9019"/>
            </w:tabs>
            <w:rPr>
              <w:rFonts w:ascii="Arial" w:eastAsiaTheme="minorEastAsia" w:hAnsi="Arial" w:cs="Arial"/>
              <w:noProof/>
              <w:kern w:val="2"/>
              <w:lang w:eastAsia="en-IN"/>
              <w14:ligatures w14:val="standardContextual"/>
            </w:rPr>
          </w:pPr>
          <w:hyperlink w:anchor="_Toc162343404" w:history="1">
            <w:r w:rsidR="00924EB1" w:rsidRPr="004F0A10">
              <w:rPr>
                <w:rStyle w:val="Hyperlink"/>
                <w:rFonts w:ascii="Arial" w:hAnsi="Arial" w:cs="Arial"/>
                <w:noProof/>
              </w:rPr>
              <w:t>“Discuss the challenges which the corporation may be experiencing in different international financial markets”</w:t>
            </w:r>
            <w:r w:rsidR="00924EB1" w:rsidRPr="004F0A10">
              <w:rPr>
                <w:rFonts w:ascii="Arial" w:hAnsi="Arial" w:cs="Arial"/>
                <w:noProof/>
                <w:webHidden/>
              </w:rPr>
              <w:tab/>
            </w:r>
            <w:r w:rsidR="00924EB1" w:rsidRPr="004F0A10">
              <w:rPr>
                <w:rFonts w:ascii="Arial" w:hAnsi="Arial" w:cs="Arial"/>
                <w:noProof/>
                <w:webHidden/>
              </w:rPr>
              <w:fldChar w:fldCharType="begin"/>
            </w:r>
            <w:r w:rsidR="00924EB1" w:rsidRPr="004F0A10">
              <w:rPr>
                <w:rFonts w:ascii="Arial" w:hAnsi="Arial" w:cs="Arial"/>
                <w:noProof/>
                <w:webHidden/>
              </w:rPr>
              <w:instrText xml:space="preserve"> PAGEREF _Toc162343404 \h </w:instrText>
            </w:r>
            <w:r w:rsidR="00924EB1" w:rsidRPr="004F0A10">
              <w:rPr>
                <w:rFonts w:ascii="Arial" w:hAnsi="Arial" w:cs="Arial"/>
                <w:noProof/>
                <w:webHidden/>
              </w:rPr>
            </w:r>
            <w:r w:rsidR="00924EB1" w:rsidRPr="004F0A10">
              <w:rPr>
                <w:rFonts w:ascii="Arial" w:hAnsi="Arial" w:cs="Arial"/>
                <w:noProof/>
                <w:webHidden/>
              </w:rPr>
              <w:fldChar w:fldCharType="separate"/>
            </w:r>
            <w:r w:rsidR="003C3ECE">
              <w:rPr>
                <w:rFonts w:ascii="Arial" w:hAnsi="Arial" w:cs="Arial"/>
                <w:noProof/>
                <w:webHidden/>
              </w:rPr>
              <w:t>5</w:t>
            </w:r>
            <w:r w:rsidR="00924EB1" w:rsidRPr="004F0A10">
              <w:rPr>
                <w:rFonts w:ascii="Arial" w:hAnsi="Arial" w:cs="Arial"/>
                <w:noProof/>
                <w:webHidden/>
              </w:rPr>
              <w:fldChar w:fldCharType="end"/>
            </w:r>
          </w:hyperlink>
        </w:p>
        <w:p w:rsidR="00924EB1" w:rsidRPr="004F0A10" w:rsidRDefault="00000000" w:rsidP="00924EB1">
          <w:pPr>
            <w:pStyle w:val="TOC1"/>
            <w:tabs>
              <w:tab w:val="right" w:leader="dot" w:pos="9019"/>
            </w:tabs>
            <w:rPr>
              <w:rFonts w:ascii="Arial" w:eastAsiaTheme="minorEastAsia" w:hAnsi="Arial" w:cs="Arial"/>
              <w:noProof/>
              <w:kern w:val="2"/>
              <w:lang w:eastAsia="en-IN"/>
              <w14:ligatures w14:val="standardContextual"/>
            </w:rPr>
          </w:pPr>
          <w:hyperlink w:anchor="_Toc162343405" w:history="1">
            <w:r w:rsidR="00924EB1" w:rsidRPr="004F0A10">
              <w:rPr>
                <w:rStyle w:val="Hyperlink"/>
                <w:rFonts w:ascii="Arial" w:hAnsi="Arial" w:cs="Arial"/>
                <w:noProof/>
              </w:rPr>
              <w:t>“Critically analyse and evaluate your chosen multinational corporation’s dividend distribution policy”</w:t>
            </w:r>
            <w:r w:rsidR="00924EB1" w:rsidRPr="004F0A10">
              <w:rPr>
                <w:rFonts w:ascii="Arial" w:hAnsi="Arial" w:cs="Arial"/>
                <w:noProof/>
                <w:webHidden/>
              </w:rPr>
              <w:tab/>
            </w:r>
            <w:r w:rsidR="00924EB1" w:rsidRPr="004F0A10">
              <w:rPr>
                <w:rFonts w:ascii="Arial" w:hAnsi="Arial" w:cs="Arial"/>
                <w:noProof/>
                <w:webHidden/>
              </w:rPr>
              <w:fldChar w:fldCharType="begin"/>
            </w:r>
            <w:r w:rsidR="00924EB1" w:rsidRPr="004F0A10">
              <w:rPr>
                <w:rFonts w:ascii="Arial" w:hAnsi="Arial" w:cs="Arial"/>
                <w:noProof/>
                <w:webHidden/>
              </w:rPr>
              <w:instrText xml:space="preserve"> PAGEREF _Toc162343405 \h </w:instrText>
            </w:r>
            <w:r w:rsidR="00924EB1" w:rsidRPr="004F0A10">
              <w:rPr>
                <w:rFonts w:ascii="Arial" w:hAnsi="Arial" w:cs="Arial"/>
                <w:noProof/>
                <w:webHidden/>
              </w:rPr>
            </w:r>
            <w:r w:rsidR="00924EB1" w:rsidRPr="004F0A10">
              <w:rPr>
                <w:rFonts w:ascii="Arial" w:hAnsi="Arial" w:cs="Arial"/>
                <w:noProof/>
                <w:webHidden/>
              </w:rPr>
              <w:fldChar w:fldCharType="separate"/>
            </w:r>
            <w:r w:rsidR="003C3ECE">
              <w:rPr>
                <w:rFonts w:ascii="Arial" w:hAnsi="Arial" w:cs="Arial"/>
                <w:noProof/>
                <w:webHidden/>
              </w:rPr>
              <w:t>6</w:t>
            </w:r>
            <w:r w:rsidR="00924EB1" w:rsidRPr="004F0A10">
              <w:rPr>
                <w:rFonts w:ascii="Arial" w:hAnsi="Arial" w:cs="Arial"/>
                <w:noProof/>
                <w:webHidden/>
              </w:rPr>
              <w:fldChar w:fldCharType="end"/>
            </w:r>
          </w:hyperlink>
        </w:p>
        <w:p w:rsidR="00924EB1" w:rsidRPr="004F0A10" w:rsidRDefault="00000000" w:rsidP="00924EB1">
          <w:pPr>
            <w:pStyle w:val="TOC1"/>
            <w:tabs>
              <w:tab w:val="right" w:leader="dot" w:pos="9019"/>
            </w:tabs>
            <w:rPr>
              <w:rFonts w:ascii="Arial" w:eastAsiaTheme="minorEastAsia" w:hAnsi="Arial" w:cs="Arial"/>
              <w:noProof/>
              <w:kern w:val="2"/>
              <w:lang w:eastAsia="en-IN"/>
              <w14:ligatures w14:val="standardContextual"/>
            </w:rPr>
          </w:pPr>
          <w:hyperlink w:anchor="_Toc162343406" w:history="1">
            <w:r w:rsidR="00924EB1" w:rsidRPr="004F0A10">
              <w:rPr>
                <w:rStyle w:val="Hyperlink"/>
                <w:rFonts w:ascii="Arial" w:hAnsi="Arial" w:cs="Arial"/>
                <w:noProof/>
              </w:rPr>
              <w:t>"Critically analyse the efficient market hypothesis theory in the context of your chosen multinational corporation’s operations”</w:t>
            </w:r>
            <w:r w:rsidR="00924EB1" w:rsidRPr="004F0A10">
              <w:rPr>
                <w:rFonts w:ascii="Arial" w:hAnsi="Arial" w:cs="Arial"/>
                <w:noProof/>
                <w:webHidden/>
              </w:rPr>
              <w:tab/>
            </w:r>
            <w:r w:rsidR="00924EB1" w:rsidRPr="004F0A10">
              <w:rPr>
                <w:rFonts w:ascii="Arial" w:hAnsi="Arial" w:cs="Arial"/>
                <w:noProof/>
                <w:webHidden/>
              </w:rPr>
              <w:fldChar w:fldCharType="begin"/>
            </w:r>
            <w:r w:rsidR="00924EB1" w:rsidRPr="004F0A10">
              <w:rPr>
                <w:rFonts w:ascii="Arial" w:hAnsi="Arial" w:cs="Arial"/>
                <w:noProof/>
                <w:webHidden/>
              </w:rPr>
              <w:instrText xml:space="preserve"> PAGEREF _Toc162343406 \h </w:instrText>
            </w:r>
            <w:r w:rsidR="00924EB1" w:rsidRPr="004F0A10">
              <w:rPr>
                <w:rFonts w:ascii="Arial" w:hAnsi="Arial" w:cs="Arial"/>
                <w:noProof/>
                <w:webHidden/>
              </w:rPr>
            </w:r>
            <w:r w:rsidR="00924EB1" w:rsidRPr="004F0A10">
              <w:rPr>
                <w:rFonts w:ascii="Arial" w:hAnsi="Arial" w:cs="Arial"/>
                <w:noProof/>
                <w:webHidden/>
              </w:rPr>
              <w:fldChar w:fldCharType="separate"/>
            </w:r>
            <w:r w:rsidR="003C3ECE">
              <w:rPr>
                <w:rFonts w:ascii="Arial" w:hAnsi="Arial" w:cs="Arial"/>
                <w:noProof/>
                <w:webHidden/>
              </w:rPr>
              <w:t>7</w:t>
            </w:r>
            <w:r w:rsidR="00924EB1" w:rsidRPr="004F0A10">
              <w:rPr>
                <w:rFonts w:ascii="Arial" w:hAnsi="Arial" w:cs="Arial"/>
                <w:noProof/>
                <w:webHidden/>
              </w:rPr>
              <w:fldChar w:fldCharType="end"/>
            </w:r>
          </w:hyperlink>
        </w:p>
        <w:p w:rsidR="00924EB1" w:rsidRPr="004F0A10" w:rsidRDefault="00000000" w:rsidP="00924EB1">
          <w:pPr>
            <w:pStyle w:val="TOC1"/>
            <w:tabs>
              <w:tab w:val="right" w:leader="dot" w:pos="9019"/>
            </w:tabs>
            <w:rPr>
              <w:rFonts w:ascii="Arial" w:eastAsiaTheme="minorEastAsia" w:hAnsi="Arial" w:cs="Arial"/>
              <w:noProof/>
              <w:kern w:val="2"/>
              <w:lang w:eastAsia="en-IN"/>
              <w14:ligatures w14:val="standardContextual"/>
            </w:rPr>
          </w:pPr>
          <w:hyperlink w:anchor="_Toc162343407" w:history="1">
            <w:r w:rsidR="00924EB1" w:rsidRPr="004F0A10">
              <w:rPr>
                <w:rStyle w:val="Hyperlink"/>
                <w:rFonts w:ascii="Arial" w:hAnsi="Arial" w:cs="Arial"/>
                <w:noProof/>
              </w:rPr>
              <w:t>“Critically analyse and evaluate your chosen multinational corporation’s methods of appraising projects”</w:t>
            </w:r>
            <w:r w:rsidR="00924EB1" w:rsidRPr="004F0A10">
              <w:rPr>
                <w:rFonts w:ascii="Arial" w:hAnsi="Arial" w:cs="Arial"/>
                <w:noProof/>
                <w:webHidden/>
              </w:rPr>
              <w:tab/>
            </w:r>
            <w:r w:rsidR="00924EB1" w:rsidRPr="004F0A10">
              <w:rPr>
                <w:rFonts w:ascii="Arial" w:hAnsi="Arial" w:cs="Arial"/>
                <w:noProof/>
                <w:webHidden/>
              </w:rPr>
              <w:fldChar w:fldCharType="begin"/>
            </w:r>
            <w:r w:rsidR="00924EB1" w:rsidRPr="004F0A10">
              <w:rPr>
                <w:rFonts w:ascii="Arial" w:hAnsi="Arial" w:cs="Arial"/>
                <w:noProof/>
                <w:webHidden/>
              </w:rPr>
              <w:instrText xml:space="preserve"> PAGEREF _Toc162343407 \h </w:instrText>
            </w:r>
            <w:r w:rsidR="00924EB1" w:rsidRPr="004F0A10">
              <w:rPr>
                <w:rFonts w:ascii="Arial" w:hAnsi="Arial" w:cs="Arial"/>
                <w:noProof/>
                <w:webHidden/>
              </w:rPr>
            </w:r>
            <w:r w:rsidR="00924EB1" w:rsidRPr="004F0A10">
              <w:rPr>
                <w:rFonts w:ascii="Arial" w:hAnsi="Arial" w:cs="Arial"/>
                <w:noProof/>
                <w:webHidden/>
              </w:rPr>
              <w:fldChar w:fldCharType="separate"/>
            </w:r>
            <w:r w:rsidR="003C3ECE">
              <w:rPr>
                <w:rFonts w:ascii="Arial" w:hAnsi="Arial" w:cs="Arial"/>
                <w:noProof/>
                <w:webHidden/>
              </w:rPr>
              <w:t>7</w:t>
            </w:r>
            <w:r w:rsidR="00924EB1" w:rsidRPr="004F0A10">
              <w:rPr>
                <w:rFonts w:ascii="Arial" w:hAnsi="Arial" w:cs="Arial"/>
                <w:noProof/>
                <w:webHidden/>
              </w:rPr>
              <w:fldChar w:fldCharType="end"/>
            </w:r>
          </w:hyperlink>
        </w:p>
        <w:p w:rsidR="00924EB1" w:rsidRPr="004F0A10" w:rsidRDefault="00000000" w:rsidP="00924EB1">
          <w:pPr>
            <w:pStyle w:val="TOC1"/>
            <w:tabs>
              <w:tab w:val="right" w:leader="dot" w:pos="9019"/>
            </w:tabs>
            <w:rPr>
              <w:rFonts w:ascii="Arial" w:eastAsiaTheme="minorEastAsia" w:hAnsi="Arial" w:cs="Arial"/>
              <w:noProof/>
              <w:kern w:val="2"/>
              <w:lang w:eastAsia="en-IN"/>
              <w14:ligatures w14:val="standardContextual"/>
            </w:rPr>
          </w:pPr>
          <w:hyperlink w:anchor="_Toc162343408" w:history="1">
            <w:r w:rsidR="00924EB1" w:rsidRPr="004F0A10">
              <w:rPr>
                <w:rStyle w:val="Hyperlink"/>
                <w:rFonts w:ascii="Arial" w:hAnsi="Arial" w:cs="Arial"/>
                <w:noProof/>
              </w:rPr>
              <w:t>Conclusion</w:t>
            </w:r>
            <w:r w:rsidR="00924EB1" w:rsidRPr="004F0A10">
              <w:rPr>
                <w:rFonts w:ascii="Arial" w:hAnsi="Arial" w:cs="Arial"/>
                <w:noProof/>
                <w:webHidden/>
              </w:rPr>
              <w:tab/>
            </w:r>
            <w:r w:rsidR="00924EB1" w:rsidRPr="004F0A10">
              <w:rPr>
                <w:rFonts w:ascii="Arial" w:hAnsi="Arial" w:cs="Arial"/>
                <w:noProof/>
                <w:webHidden/>
              </w:rPr>
              <w:fldChar w:fldCharType="begin"/>
            </w:r>
            <w:r w:rsidR="00924EB1" w:rsidRPr="004F0A10">
              <w:rPr>
                <w:rFonts w:ascii="Arial" w:hAnsi="Arial" w:cs="Arial"/>
                <w:noProof/>
                <w:webHidden/>
              </w:rPr>
              <w:instrText xml:space="preserve"> PAGEREF _Toc162343408 \h </w:instrText>
            </w:r>
            <w:r w:rsidR="00924EB1" w:rsidRPr="004F0A10">
              <w:rPr>
                <w:rFonts w:ascii="Arial" w:hAnsi="Arial" w:cs="Arial"/>
                <w:noProof/>
                <w:webHidden/>
              </w:rPr>
            </w:r>
            <w:r w:rsidR="00924EB1" w:rsidRPr="004F0A10">
              <w:rPr>
                <w:rFonts w:ascii="Arial" w:hAnsi="Arial" w:cs="Arial"/>
                <w:noProof/>
                <w:webHidden/>
              </w:rPr>
              <w:fldChar w:fldCharType="separate"/>
            </w:r>
            <w:r w:rsidR="003C3ECE">
              <w:rPr>
                <w:rFonts w:ascii="Arial" w:hAnsi="Arial" w:cs="Arial"/>
                <w:noProof/>
                <w:webHidden/>
              </w:rPr>
              <w:t>8</w:t>
            </w:r>
            <w:r w:rsidR="00924EB1" w:rsidRPr="004F0A10">
              <w:rPr>
                <w:rFonts w:ascii="Arial" w:hAnsi="Arial" w:cs="Arial"/>
                <w:noProof/>
                <w:webHidden/>
              </w:rPr>
              <w:fldChar w:fldCharType="end"/>
            </w:r>
          </w:hyperlink>
        </w:p>
        <w:p w:rsidR="00924EB1" w:rsidRPr="004F0A10" w:rsidRDefault="00000000" w:rsidP="00924EB1">
          <w:pPr>
            <w:pStyle w:val="TOC1"/>
            <w:tabs>
              <w:tab w:val="right" w:leader="dot" w:pos="9019"/>
            </w:tabs>
            <w:rPr>
              <w:rFonts w:ascii="Arial" w:eastAsiaTheme="minorEastAsia" w:hAnsi="Arial" w:cs="Arial"/>
              <w:noProof/>
              <w:kern w:val="2"/>
              <w:lang w:eastAsia="en-IN"/>
              <w14:ligatures w14:val="standardContextual"/>
            </w:rPr>
          </w:pPr>
          <w:hyperlink w:anchor="_Toc162343409" w:history="1">
            <w:r w:rsidR="00924EB1" w:rsidRPr="004F0A10">
              <w:rPr>
                <w:rStyle w:val="Hyperlink"/>
                <w:rFonts w:ascii="Arial" w:hAnsi="Arial" w:cs="Arial"/>
                <w:noProof/>
              </w:rPr>
              <w:t>Reference</w:t>
            </w:r>
            <w:r w:rsidR="00924EB1" w:rsidRPr="004F0A10">
              <w:rPr>
                <w:rFonts w:ascii="Arial" w:hAnsi="Arial" w:cs="Arial"/>
                <w:noProof/>
                <w:webHidden/>
              </w:rPr>
              <w:tab/>
            </w:r>
            <w:r w:rsidR="00924EB1" w:rsidRPr="004F0A10">
              <w:rPr>
                <w:rFonts w:ascii="Arial" w:hAnsi="Arial" w:cs="Arial"/>
                <w:noProof/>
                <w:webHidden/>
              </w:rPr>
              <w:fldChar w:fldCharType="begin"/>
            </w:r>
            <w:r w:rsidR="00924EB1" w:rsidRPr="004F0A10">
              <w:rPr>
                <w:rFonts w:ascii="Arial" w:hAnsi="Arial" w:cs="Arial"/>
                <w:noProof/>
                <w:webHidden/>
              </w:rPr>
              <w:instrText xml:space="preserve"> PAGEREF _Toc162343409 \h </w:instrText>
            </w:r>
            <w:r w:rsidR="00924EB1" w:rsidRPr="004F0A10">
              <w:rPr>
                <w:rFonts w:ascii="Arial" w:hAnsi="Arial" w:cs="Arial"/>
                <w:noProof/>
                <w:webHidden/>
              </w:rPr>
            </w:r>
            <w:r w:rsidR="00924EB1" w:rsidRPr="004F0A10">
              <w:rPr>
                <w:rFonts w:ascii="Arial" w:hAnsi="Arial" w:cs="Arial"/>
                <w:noProof/>
                <w:webHidden/>
              </w:rPr>
              <w:fldChar w:fldCharType="separate"/>
            </w:r>
            <w:r w:rsidR="003C3ECE">
              <w:rPr>
                <w:rFonts w:ascii="Arial" w:hAnsi="Arial" w:cs="Arial"/>
                <w:noProof/>
                <w:webHidden/>
              </w:rPr>
              <w:t>10</w:t>
            </w:r>
            <w:r w:rsidR="00924EB1" w:rsidRPr="004F0A10">
              <w:rPr>
                <w:rFonts w:ascii="Arial" w:hAnsi="Arial" w:cs="Arial"/>
                <w:noProof/>
                <w:webHidden/>
              </w:rPr>
              <w:fldChar w:fldCharType="end"/>
            </w:r>
          </w:hyperlink>
        </w:p>
        <w:p w:rsidR="00924EB1" w:rsidRPr="004F0A10" w:rsidRDefault="00924EB1" w:rsidP="00924EB1">
          <w:pPr>
            <w:rPr>
              <w:rFonts w:ascii="Arial" w:hAnsi="Arial" w:cs="Arial"/>
            </w:rPr>
          </w:pPr>
          <w:r w:rsidRPr="004F0A10">
            <w:rPr>
              <w:rFonts w:ascii="Arial" w:hAnsi="Arial" w:cs="Arial"/>
            </w:rPr>
            <w:fldChar w:fldCharType="end"/>
          </w:r>
        </w:p>
      </w:sdtContent>
    </w:sdt>
    <w:p w:rsidR="00924EB1" w:rsidRPr="004F0A10" w:rsidRDefault="00924EB1" w:rsidP="00924EB1">
      <w:pPr>
        <w:jc w:val="left"/>
        <w:rPr>
          <w:rFonts w:ascii="Arial" w:hAnsi="Arial" w:cs="Arial"/>
          <w:b/>
        </w:rPr>
      </w:pPr>
    </w:p>
    <w:p w:rsidR="00924EB1" w:rsidRPr="004F0A10" w:rsidRDefault="00924EB1" w:rsidP="00924EB1">
      <w:pPr>
        <w:jc w:val="left"/>
        <w:rPr>
          <w:rFonts w:ascii="Arial" w:hAnsi="Arial" w:cs="Arial"/>
          <w:b/>
        </w:rPr>
      </w:pPr>
      <w:r w:rsidRPr="004F0A10">
        <w:rPr>
          <w:rFonts w:ascii="Arial" w:hAnsi="Arial" w:cs="Arial"/>
        </w:rPr>
        <w:t xml:space="preserve">  </w:t>
      </w:r>
      <w:r w:rsidRPr="004F0A10">
        <w:rPr>
          <w:rFonts w:ascii="Arial" w:hAnsi="Arial" w:cs="Arial"/>
        </w:rPr>
        <w:br w:type="page"/>
      </w:r>
    </w:p>
    <w:p w:rsidR="00924EB1" w:rsidRPr="003C3ECE" w:rsidRDefault="00924EB1" w:rsidP="00924EB1">
      <w:pPr>
        <w:pStyle w:val="Heading1"/>
        <w:rPr>
          <w:rFonts w:ascii="Arial" w:hAnsi="Arial" w:cs="Arial"/>
        </w:rPr>
      </w:pPr>
      <w:bookmarkStart w:id="1" w:name="_Toc162343402"/>
      <w:r w:rsidRPr="003C3ECE">
        <w:rPr>
          <w:rFonts w:ascii="Arial" w:hAnsi="Arial" w:cs="Arial"/>
        </w:rPr>
        <w:lastRenderedPageBreak/>
        <w:t>Introduction</w:t>
      </w:r>
      <w:bookmarkEnd w:id="1"/>
    </w:p>
    <w:p w:rsidR="00924EB1" w:rsidRPr="004F0A10" w:rsidRDefault="00924EB1" w:rsidP="00924EB1">
      <w:pPr>
        <w:pBdr>
          <w:top w:val="nil"/>
          <w:left w:val="nil"/>
          <w:bottom w:val="nil"/>
          <w:right w:val="nil"/>
          <w:between w:val="nil"/>
        </w:pBdr>
        <w:rPr>
          <w:rFonts w:ascii="Arial" w:hAnsi="Arial" w:cs="Arial"/>
        </w:rPr>
      </w:pPr>
      <w:r w:rsidRPr="004F0A10">
        <w:rPr>
          <w:rFonts w:ascii="Arial" w:hAnsi="Arial" w:cs="Arial"/>
          <w:color w:val="000000"/>
        </w:rPr>
        <w:t xml:space="preserve">The report will aim at different International Financial Management Strategies often adopted by multinational corporations to manage foreign exchange risks. In this report, the importance of international financial management will be highlighted along with the challenges experienced in different international financial markets. The report will critically analyse the dividend distribution policy adopted by Unilever. Besides this, the efficient market hypothesis theory will be discussed in the context of the selected companies’ operations. </w:t>
      </w:r>
      <w:r w:rsidRPr="004F0A10">
        <w:rPr>
          <w:rFonts w:ascii="Arial" w:hAnsi="Arial" w:cs="Arial"/>
          <w:color w:val="000000" w:themeColor="text1"/>
        </w:rPr>
        <w:t xml:space="preserve">International Financial Management can be addressed using exchange rate dynamics theory. </w:t>
      </w:r>
      <w:r w:rsidRPr="004F0A10">
        <w:rPr>
          <w:rFonts w:ascii="Arial" w:hAnsi="Arial" w:cs="Arial"/>
          <w:color w:val="000000"/>
        </w:rPr>
        <w:t xml:space="preserve">As per </w:t>
      </w:r>
      <w:proofErr w:type="spellStart"/>
      <w:r w:rsidRPr="004F0A10">
        <w:rPr>
          <w:rFonts w:ascii="Arial" w:hAnsi="Arial" w:cs="Arial"/>
          <w:color w:val="000000"/>
          <w:highlight w:val="white"/>
        </w:rPr>
        <w:t>Mosteanu</w:t>
      </w:r>
      <w:proofErr w:type="spellEnd"/>
      <w:r w:rsidRPr="004F0A10">
        <w:rPr>
          <w:rFonts w:ascii="Arial" w:hAnsi="Arial" w:cs="Arial"/>
          <w:color w:val="000000"/>
          <w:highlight w:val="white"/>
        </w:rPr>
        <w:t xml:space="preserve"> and </w:t>
      </w:r>
      <w:proofErr w:type="spellStart"/>
      <w:r w:rsidRPr="004F0A10">
        <w:rPr>
          <w:rFonts w:ascii="Arial" w:hAnsi="Arial" w:cs="Arial"/>
          <w:color w:val="000000"/>
          <w:highlight w:val="white"/>
        </w:rPr>
        <w:t>Faccia</w:t>
      </w:r>
      <w:proofErr w:type="spellEnd"/>
      <w:r w:rsidRPr="004F0A10">
        <w:rPr>
          <w:rFonts w:ascii="Arial" w:hAnsi="Arial" w:cs="Arial"/>
          <w:color w:val="000000"/>
          <w:highlight w:val="white"/>
        </w:rPr>
        <w:t xml:space="preserve"> (2020), foreign investors as well as international bodies help by offering funds to various multinational corporations. The importance of addressing financial risks in multinational companies through IFM strategies will be highlighted in the report.</w:t>
      </w:r>
    </w:p>
    <w:p w:rsidR="00924EB1" w:rsidRPr="003C3ECE" w:rsidRDefault="00924EB1" w:rsidP="00924EB1">
      <w:pPr>
        <w:pStyle w:val="Heading1"/>
        <w:rPr>
          <w:rFonts w:ascii="Arial" w:hAnsi="Arial" w:cs="Arial"/>
        </w:rPr>
      </w:pPr>
      <w:bookmarkStart w:id="2" w:name="_Toc162343403"/>
      <w:r w:rsidRPr="003C3ECE">
        <w:rPr>
          <w:rFonts w:ascii="Arial" w:hAnsi="Arial" w:cs="Arial"/>
        </w:rPr>
        <w:t>“Critically analyse and evaluate the importance of international financial management (IFM) to the corporation”</w:t>
      </w:r>
      <w:bookmarkEnd w:id="2"/>
    </w:p>
    <w:p w:rsidR="00924EB1" w:rsidRPr="004F0A10" w:rsidRDefault="00924EB1" w:rsidP="00924EB1">
      <w:pPr>
        <w:pBdr>
          <w:top w:val="nil"/>
          <w:left w:val="nil"/>
          <w:bottom w:val="nil"/>
          <w:right w:val="nil"/>
          <w:between w:val="nil"/>
        </w:pBdr>
        <w:rPr>
          <w:rFonts w:ascii="Arial" w:hAnsi="Arial" w:cs="Arial"/>
          <w:color w:val="000000" w:themeColor="text1"/>
        </w:rPr>
      </w:pPr>
      <w:r w:rsidRPr="004F0A10">
        <w:rPr>
          <w:rFonts w:ascii="Arial" w:hAnsi="Arial" w:cs="Arial"/>
          <w:color w:val="000000"/>
        </w:rPr>
        <w:t xml:space="preserve">To analyse and evaluate the importance of international financial management in the context of Unilever, it is necessary to reflect on how effectively the company manage their global finance. Unilever pays tax which is found to be essential for improving social as well as economic impacts while helping countries to develop in which the company operate (Unilever, 2024a). International financial management highlights the global trade and other financial activities managed by a company to maintain its finances across global trade. While analysing the global trade in the context of Unilever, it has been observed that the company has 4.4 million retail stores that operate in more than 190 countries (Unilever, 2024b). Unilever needs an International Financial Management system to manage operations and revenue across international borders. Another major aspect is the association of stakeholders with the company also highlights the management of international finance of the company. As per </w:t>
      </w:r>
      <w:r w:rsidRPr="004F0A10">
        <w:rPr>
          <w:rFonts w:ascii="Arial" w:hAnsi="Arial" w:cs="Arial"/>
          <w:color w:val="222222"/>
          <w:highlight w:val="white"/>
        </w:rPr>
        <w:t xml:space="preserve">Daisy </w:t>
      </w:r>
      <w:r w:rsidRPr="004F0A10">
        <w:rPr>
          <w:rFonts w:ascii="Arial" w:hAnsi="Arial" w:cs="Arial"/>
          <w:i/>
          <w:color w:val="222222"/>
          <w:highlight w:val="white"/>
        </w:rPr>
        <w:t>et al.</w:t>
      </w:r>
      <w:r w:rsidRPr="004F0A10">
        <w:rPr>
          <w:rFonts w:ascii="Arial" w:hAnsi="Arial" w:cs="Arial"/>
          <w:color w:val="222222"/>
          <w:highlight w:val="white"/>
        </w:rPr>
        <w:t xml:space="preserve"> (2023), firms are able to reflect on cash management which helps to manage available financial resources effectively and efficiently. With this ability, firms are also able to enhance their performance which helps in economic development. </w:t>
      </w:r>
      <w:r w:rsidRPr="004F0A10">
        <w:rPr>
          <w:rFonts w:ascii="Arial" w:hAnsi="Arial" w:cs="Arial"/>
          <w:color w:val="000000" w:themeColor="text1"/>
          <w:highlight w:val="white"/>
        </w:rPr>
        <w:t xml:space="preserve">The idea behind IFM can be highlighted using exchange rate theory. The theory </w:t>
      </w:r>
      <w:r w:rsidRPr="004F0A10">
        <w:rPr>
          <w:rFonts w:ascii="Arial" w:hAnsi="Arial" w:cs="Arial"/>
          <w:color w:val="000000" w:themeColor="text1"/>
          <w:highlight w:val="white"/>
        </w:rPr>
        <w:lastRenderedPageBreak/>
        <w:t xml:space="preserve">highlights the reaction of the rate of exchange to economic news for a country that has a pure and flexible exchange rate system. As per Beckmann </w:t>
      </w:r>
      <w:r w:rsidRPr="004F0A10">
        <w:rPr>
          <w:rFonts w:ascii="Arial" w:hAnsi="Arial" w:cs="Arial"/>
          <w:i/>
          <w:color w:val="000000" w:themeColor="text1"/>
          <w:highlight w:val="white"/>
        </w:rPr>
        <w:t>et al.</w:t>
      </w:r>
      <w:r w:rsidRPr="004F0A10">
        <w:rPr>
          <w:rFonts w:ascii="Arial" w:hAnsi="Arial" w:cs="Arial"/>
          <w:color w:val="000000" w:themeColor="text1"/>
          <w:highlight w:val="white"/>
        </w:rPr>
        <w:t xml:space="preserve"> (2020), inflation as well as exchange rate dynamics are directly linked with the purchasing power parity (PPP). This shows the importance of international financial management in identifying foreign exchange rates for a global company like Unilever.  </w:t>
      </w:r>
    </w:p>
    <w:p w:rsidR="00924EB1" w:rsidRPr="003C3ECE" w:rsidRDefault="00924EB1" w:rsidP="00924EB1">
      <w:pPr>
        <w:pStyle w:val="Heading1"/>
        <w:rPr>
          <w:rFonts w:ascii="Arial" w:hAnsi="Arial" w:cs="Arial"/>
        </w:rPr>
      </w:pPr>
      <w:bookmarkStart w:id="3" w:name="_Toc162343404"/>
      <w:r w:rsidRPr="003C3ECE">
        <w:rPr>
          <w:rFonts w:ascii="Arial" w:hAnsi="Arial" w:cs="Arial"/>
        </w:rPr>
        <w:t>“Discuss the challenges which the corporation may be experiencing in different international financial markets”</w:t>
      </w:r>
      <w:bookmarkEnd w:id="3"/>
    </w:p>
    <w:p w:rsidR="00924EB1" w:rsidRPr="004F0A10" w:rsidRDefault="00924EB1" w:rsidP="00924EB1">
      <w:pPr>
        <w:pBdr>
          <w:top w:val="nil"/>
          <w:left w:val="nil"/>
          <w:bottom w:val="nil"/>
          <w:right w:val="nil"/>
          <w:between w:val="nil"/>
        </w:pBdr>
        <w:rPr>
          <w:rFonts w:ascii="Arial" w:hAnsi="Arial" w:cs="Arial"/>
          <w:color w:val="000000"/>
        </w:rPr>
      </w:pPr>
      <w:r w:rsidRPr="004F0A10">
        <w:rPr>
          <w:rFonts w:ascii="Arial" w:hAnsi="Arial" w:cs="Arial"/>
          <w:color w:val="000000"/>
        </w:rPr>
        <w:t xml:space="preserve">There are challenges experienced in different international financial markets while operating in the international platform. It has been observed that Unilever needs to pay a whooping tax amount in different countries where it operates. The tax legislations of many countries are found to be different which is complex as well as subject to interpretation by the government and management authorities. Besides this, recent developments have been witnessed in the international tax arena that </w:t>
      </w:r>
      <w:r w:rsidRPr="004F0A10">
        <w:rPr>
          <w:rFonts w:ascii="Arial" w:hAnsi="Arial" w:cs="Arial"/>
        </w:rPr>
        <w:t>increases</w:t>
      </w:r>
      <w:r w:rsidRPr="004F0A10">
        <w:rPr>
          <w:rFonts w:ascii="Arial" w:hAnsi="Arial" w:cs="Arial"/>
          <w:color w:val="000000"/>
        </w:rPr>
        <w:t xml:space="preserve"> the chances of changing tax systems in countries where Unilever operate its business. This changing tax arena increases the chances of uncertainty that directly impacts the global trade of the company (Unilever 2024a). </w:t>
      </w:r>
      <w:r w:rsidRPr="004F0A10">
        <w:rPr>
          <w:rFonts w:ascii="Arial" w:hAnsi="Arial" w:cs="Arial"/>
          <w:color w:val="000000" w:themeColor="text1"/>
        </w:rPr>
        <w:t>There is a theoretical model of the international cost of capital that refers to the necessary return attained for an investment being anticipated by a company while investing in a foreign nation. Raising the cost of capital, project sponsors remunerate the risk of higher prices and compare with the investment made on a similar project besides stable revenue (</w:t>
      </w:r>
      <w:proofErr w:type="spellStart"/>
      <w:r w:rsidRPr="004F0A10">
        <w:rPr>
          <w:rFonts w:ascii="Arial" w:hAnsi="Arial" w:cs="Arial"/>
          <w:color w:val="000000" w:themeColor="text1"/>
          <w:highlight w:val="white"/>
        </w:rPr>
        <w:t>Đukan</w:t>
      </w:r>
      <w:proofErr w:type="spellEnd"/>
      <w:r w:rsidRPr="004F0A10">
        <w:rPr>
          <w:rFonts w:ascii="Arial" w:hAnsi="Arial" w:cs="Arial"/>
          <w:color w:val="000000" w:themeColor="text1"/>
          <w:highlight w:val="white"/>
        </w:rPr>
        <w:t xml:space="preserve"> </w:t>
      </w:r>
      <w:r w:rsidRPr="004F0A10">
        <w:rPr>
          <w:rFonts w:ascii="Arial" w:hAnsi="Arial" w:cs="Arial"/>
          <w:i/>
          <w:color w:val="000000" w:themeColor="text1"/>
          <w:highlight w:val="white"/>
        </w:rPr>
        <w:t>et al.</w:t>
      </w:r>
      <w:r w:rsidRPr="004F0A10">
        <w:rPr>
          <w:rFonts w:ascii="Arial" w:hAnsi="Arial" w:cs="Arial"/>
          <w:color w:val="000000" w:themeColor="text1"/>
          <w:highlight w:val="white"/>
        </w:rPr>
        <w:t xml:space="preserve"> 2023).</w:t>
      </w:r>
      <w:r w:rsidRPr="004F0A10">
        <w:rPr>
          <w:rFonts w:ascii="Arial" w:hAnsi="Arial" w:cs="Arial"/>
          <w:color w:val="000000" w:themeColor="text1"/>
        </w:rPr>
        <w:t xml:space="preserve"> Identifying the Cost of capital can be another challenge faced by global companies. Several issues are being  identified that are experienced by different </w:t>
      </w:r>
      <w:r w:rsidRPr="004F0A10">
        <w:rPr>
          <w:rFonts w:ascii="Arial" w:hAnsi="Arial" w:cs="Arial"/>
          <w:color w:val="000000"/>
        </w:rPr>
        <w:t>international financial markets including data and cyber security, changing governance, environmental and social transparency along changing financial intermediation (</w:t>
      </w:r>
      <w:r w:rsidRPr="004F0A10">
        <w:rPr>
          <w:rFonts w:ascii="Arial" w:hAnsi="Arial" w:cs="Arial"/>
          <w:color w:val="222222"/>
          <w:highlight w:val="white"/>
        </w:rPr>
        <w:t xml:space="preserve">WEF, 2021). Besides this, it has been observed that in the present day, market data are easily accessible over online platforms and new technologies have also ensured the lowered cost of trading. This has enabled the lowering of market barriers to entry for new businesses. With this, it has been observed that more people will be able to trade from anywhere </w:t>
      </w:r>
      <w:r w:rsidRPr="004F0A10">
        <w:rPr>
          <w:rFonts w:ascii="Arial" w:hAnsi="Arial" w:cs="Arial"/>
          <w:color w:val="000000"/>
        </w:rPr>
        <w:t>(</w:t>
      </w:r>
      <w:r w:rsidRPr="004F0A10">
        <w:rPr>
          <w:rFonts w:ascii="Arial" w:hAnsi="Arial" w:cs="Arial"/>
          <w:color w:val="222222"/>
          <w:highlight w:val="white"/>
        </w:rPr>
        <w:t xml:space="preserve">WEF, 2021). With this, there are greater risks of competitive rivalry for Unilever. Language barriers can also be considered as one of the potential challenges in managing different international financial markets. </w:t>
      </w:r>
      <w:r w:rsidRPr="004F0A10">
        <w:rPr>
          <w:rFonts w:ascii="Arial" w:hAnsi="Arial" w:cs="Arial"/>
          <w:color w:val="222222"/>
          <w:highlight w:val="white"/>
        </w:rPr>
        <w:lastRenderedPageBreak/>
        <w:t xml:space="preserve">According to Angulo </w:t>
      </w:r>
      <w:r w:rsidRPr="004F0A10">
        <w:rPr>
          <w:rFonts w:ascii="Arial" w:hAnsi="Arial" w:cs="Arial"/>
          <w:i/>
          <w:color w:val="222222"/>
          <w:highlight w:val="white"/>
        </w:rPr>
        <w:t>et al.</w:t>
      </w:r>
      <w:r w:rsidRPr="004F0A10">
        <w:rPr>
          <w:rFonts w:ascii="Arial" w:hAnsi="Arial" w:cs="Arial"/>
          <w:color w:val="222222"/>
          <w:highlight w:val="white"/>
        </w:rPr>
        <w:t xml:space="preserve"> (2021), the language barrier has been identified as the biggest obstacle to negatively influencing collaboration among different practitioners. With this, it can be inferred that the language barrier can impact the international finance market for companies like Unilever. </w:t>
      </w:r>
    </w:p>
    <w:p w:rsidR="00924EB1" w:rsidRPr="003C3ECE" w:rsidRDefault="00924EB1" w:rsidP="00924EB1">
      <w:pPr>
        <w:pStyle w:val="Heading1"/>
        <w:rPr>
          <w:rFonts w:ascii="Arial" w:hAnsi="Arial" w:cs="Arial"/>
        </w:rPr>
      </w:pPr>
      <w:bookmarkStart w:id="4" w:name="_Toc162343405"/>
      <w:r w:rsidRPr="003C3ECE">
        <w:rPr>
          <w:rFonts w:ascii="Arial" w:hAnsi="Arial" w:cs="Arial"/>
        </w:rPr>
        <w:t>“Critically analyse and evaluate your chosen multinational corporation’s dividend distribution policy”</w:t>
      </w:r>
      <w:bookmarkEnd w:id="4"/>
    </w:p>
    <w:p w:rsidR="00924EB1" w:rsidRPr="004F0A10" w:rsidRDefault="00924EB1" w:rsidP="00924EB1">
      <w:pPr>
        <w:pBdr>
          <w:top w:val="nil"/>
          <w:left w:val="nil"/>
          <w:bottom w:val="nil"/>
          <w:right w:val="nil"/>
          <w:between w:val="nil"/>
        </w:pBdr>
        <w:rPr>
          <w:rFonts w:ascii="Arial" w:hAnsi="Arial" w:cs="Arial"/>
          <w:color w:val="000000"/>
        </w:rPr>
      </w:pPr>
      <w:r w:rsidRPr="004F0A10">
        <w:rPr>
          <w:rFonts w:ascii="Arial" w:hAnsi="Arial" w:cs="Arial"/>
          <w:color w:val="000000" w:themeColor="text1"/>
        </w:rPr>
        <w:t>Reliable and transparent business actions lead to improved stakeholder engagement. Stakeholder Theory states that organisations have to take optimised care of their stakeholders including employees, customers, suppliers, community members and other wider range of stakeholders (</w:t>
      </w:r>
      <w:proofErr w:type="spellStart"/>
      <w:r w:rsidRPr="004F0A10">
        <w:rPr>
          <w:rFonts w:ascii="Arial" w:hAnsi="Arial" w:cs="Arial"/>
          <w:color w:val="000000" w:themeColor="text1"/>
        </w:rPr>
        <w:t>Kivits</w:t>
      </w:r>
      <w:proofErr w:type="spellEnd"/>
      <w:r w:rsidRPr="004F0A10">
        <w:rPr>
          <w:rFonts w:ascii="Arial" w:hAnsi="Arial" w:cs="Arial"/>
          <w:color w:val="000000" w:themeColor="text1"/>
        </w:rPr>
        <w:t xml:space="preserve"> </w:t>
      </w:r>
      <w:r w:rsidRPr="004F0A10">
        <w:rPr>
          <w:rFonts w:ascii="Arial" w:hAnsi="Arial" w:cs="Arial"/>
          <w:i/>
          <w:color w:val="000000" w:themeColor="text1"/>
        </w:rPr>
        <w:t xml:space="preserve">et al. </w:t>
      </w:r>
      <w:r w:rsidRPr="004F0A10">
        <w:rPr>
          <w:rFonts w:ascii="Arial" w:hAnsi="Arial" w:cs="Arial"/>
          <w:color w:val="000000" w:themeColor="text1"/>
        </w:rPr>
        <w:t xml:space="preserve">2021). Taking such good care of a broad group of stakeholder communities is suitable for functioning more effectively and creating more value. The same applies to Unilever Plc. </w:t>
      </w:r>
      <w:r w:rsidRPr="004F0A10">
        <w:rPr>
          <w:rFonts w:ascii="Arial" w:hAnsi="Arial" w:cs="Arial"/>
          <w:color w:val="000000"/>
        </w:rPr>
        <w:t xml:space="preserve">Unilever is a multinational corporation known for its holistic efforts to optimise shareholder benefits. The transparency maintained by the company regarding dividend distribution policy is indeed contributing to this aspect of Unilever Plc and at the same time, set out to be a part of the trustworthy corporate governance framework of this global FMCG brand. To maintain utmost transparency in this context, its official website has a special segment namely “Unilever Dividends” that includes special segments such as “Dividend History” and “Dividend Direct” (Unilever, 2024c). At the same time, a dividend calendar segment is introduced by Unilever to inform shareholders and investors about quarterly dividend </w:t>
      </w:r>
      <w:proofErr w:type="spellStart"/>
      <w:r w:rsidRPr="004F0A10">
        <w:rPr>
          <w:rFonts w:ascii="Arial" w:hAnsi="Arial" w:cs="Arial"/>
          <w:color w:val="000000"/>
        </w:rPr>
        <w:t>payouts</w:t>
      </w:r>
      <w:proofErr w:type="spellEnd"/>
      <w:r w:rsidRPr="004F0A10">
        <w:rPr>
          <w:rFonts w:ascii="Arial" w:hAnsi="Arial" w:cs="Arial"/>
          <w:color w:val="000000"/>
        </w:rPr>
        <w:t xml:space="preserve">. Transparency in this regard is maintained by provisioning realistic information about when and how dividends are paid along with historical information about dividends paid to shareholders. </w:t>
      </w:r>
    </w:p>
    <w:p w:rsidR="00924EB1" w:rsidRPr="004F0A10" w:rsidRDefault="00924EB1" w:rsidP="00924EB1">
      <w:pPr>
        <w:pBdr>
          <w:top w:val="nil"/>
          <w:left w:val="nil"/>
          <w:bottom w:val="nil"/>
          <w:right w:val="nil"/>
          <w:between w:val="nil"/>
        </w:pBdr>
        <w:rPr>
          <w:rFonts w:ascii="Arial" w:hAnsi="Arial" w:cs="Arial"/>
          <w:color w:val="000000"/>
        </w:rPr>
      </w:pPr>
      <w:r w:rsidRPr="004F0A10">
        <w:rPr>
          <w:rFonts w:ascii="Arial" w:hAnsi="Arial" w:cs="Arial"/>
          <w:color w:val="000000"/>
        </w:rPr>
        <w:t xml:space="preserve">A robust dividend distribution policy is at the heart of related actions by Unilever. The objective of this policy document is to ensure clarity to all stakeholders including investors and shareholders regarding the framework the company follows on dividend distribution and </w:t>
      </w:r>
      <w:proofErr w:type="spellStart"/>
      <w:r w:rsidRPr="004F0A10">
        <w:rPr>
          <w:rFonts w:ascii="Arial" w:hAnsi="Arial" w:cs="Arial"/>
          <w:color w:val="000000"/>
        </w:rPr>
        <w:t>payouts</w:t>
      </w:r>
      <w:proofErr w:type="spellEnd"/>
      <w:r w:rsidRPr="004F0A10">
        <w:rPr>
          <w:rFonts w:ascii="Arial" w:hAnsi="Arial" w:cs="Arial"/>
          <w:color w:val="000000"/>
        </w:rPr>
        <w:t xml:space="preserve">. As per this policy, when cash generated from operations is more than the company’s foreseeable and immediate needs, the company returns the same to the investors and shareholders in the form of dividends (Unilever, 2021). Unilever is a strong believer in providing consistent and continuous efforts to enhance </w:t>
      </w:r>
      <w:r w:rsidRPr="004F0A10">
        <w:rPr>
          <w:rFonts w:ascii="Arial" w:hAnsi="Arial" w:cs="Arial"/>
          <w:color w:val="000000"/>
        </w:rPr>
        <w:lastRenderedPageBreak/>
        <w:t xml:space="preserve">shareholder value through making sustainable, growing and attractive to the organisation’s shareholders. In addition, Unilever has a “dividend reinvestment plan” in place to suitably increase shareholders’ stake in the company while encouraging shareholders to continuously contribute to the growth prospects of the company to use cash dividends in purchasing additional shares (Unilever, 2024d). Therefore, it can be stated that a robust and transparent dividend distribution policy worked well in favour of Unilever Plc to win the trust and confidence of shareholders.  </w:t>
      </w:r>
    </w:p>
    <w:p w:rsidR="00924EB1" w:rsidRPr="003C3ECE" w:rsidRDefault="00924EB1" w:rsidP="00924EB1">
      <w:pPr>
        <w:pStyle w:val="Heading1"/>
        <w:rPr>
          <w:rFonts w:ascii="Arial" w:hAnsi="Arial" w:cs="Arial"/>
        </w:rPr>
      </w:pPr>
      <w:bookmarkStart w:id="5" w:name="_Toc162343406"/>
      <w:r w:rsidRPr="003C3ECE">
        <w:rPr>
          <w:rFonts w:ascii="Arial" w:hAnsi="Arial" w:cs="Arial"/>
        </w:rPr>
        <w:t>"Critically analyse the efficient market hypothesis theory in the context of your chosen multinational corporation’s operations”</w:t>
      </w:r>
      <w:bookmarkEnd w:id="5"/>
    </w:p>
    <w:p w:rsidR="00924EB1" w:rsidRPr="004F0A10" w:rsidRDefault="00924EB1" w:rsidP="00924EB1">
      <w:pPr>
        <w:pBdr>
          <w:top w:val="nil"/>
          <w:left w:val="nil"/>
          <w:bottom w:val="nil"/>
          <w:right w:val="nil"/>
          <w:between w:val="nil"/>
        </w:pBdr>
        <w:rPr>
          <w:rFonts w:ascii="Arial" w:hAnsi="Arial" w:cs="Arial"/>
        </w:rPr>
      </w:pPr>
      <w:r w:rsidRPr="004F0A10">
        <w:rPr>
          <w:rFonts w:ascii="Arial" w:hAnsi="Arial" w:cs="Arial"/>
          <w:color w:val="000000"/>
        </w:rPr>
        <w:t xml:space="preserve">The Efficient Market Hypothesis or EMH is regarded as a pillar that concerns a modernised stock market system while providing theoretical foundations to modernised financial economics. According to this theory, in a fully transparent market, the security process would accurately, timely and fully reflect the market with respect to new and precise information intervening in it (Xu, 2021). At the same time, this theory emphasises that the financial market is explicitly capable of reflecting all necessary information that is required to maintain financial transparency. A supportive finding is provided by </w:t>
      </w:r>
      <w:proofErr w:type="spellStart"/>
      <w:r w:rsidRPr="004F0A10">
        <w:rPr>
          <w:rFonts w:ascii="Arial" w:hAnsi="Arial" w:cs="Arial"/>
          <w:color w:val="000000"/>
        </w:rPr>
        <w:t>Rambeli</w:t>
      </w:r>
      <w:proofErr w:type="spellEnd"/>
      <w:r w:rsidRPr="004F0A10">
        <w:rPr>
          <w:rFonts w:ascii="Arial" w:hAnsi="Arial" w:cs="Arial"/>
          <w:color w:val="000000"/>
        </w:rPr>
        <w:t xml:space="preserve"> </w:t>
      </w:r>
      <w:r w:rsidRPr="004F0A10">
        <w:rPr>
          <w:rFonts w:ascii="Arial" w:hAnsi="Arial" w:cs="Arial"/>
          <w:i/>
          <w:color w:val="000000"/>
        </w:rPr>
        <w:t xml:space="preserve">et al. </w:t>
      </w:r>
      <w:r w:rsidRPr="004F0A10">
        <w:rPr>
          <w:rFonts w:ascii="Arial" w:hAnsi="Arial" w:cs="Arial"/>
          <w:color w:val="000000"/>
        </w:rPr>
        <w:t xml:space="preserve">(2022) according to which security prices of a company must be able to reflect all relevant financial information while being able to change in accordance with the availability of new information. Based on these facts, it is arguable that Unilever has to maintain utmost transparency while planning stock market operations. Considering this, Unilever emphasises maintaining external reporting standards such as stock market listing standards in rolling out stock market operations (Unilever, 2024e). This is in conformity with the principles of the Efficient Market Hypothesis according to which the stock market prices set for individual company shares must reflect the financial transparency of the company. Following external reporting standards helped Unilever in this area. </w:t>
      </w:r>
    </w:p>
    <w:p w:rsidR="00924EB1" w:rsidRPr="003C3ECE" w:rsidRDefault="00924EB1" w:rsidP="00924EB1">
      <w:pPr>
        <w:pStyle w:val="Heading1"/>
        <w:rPr>
          <w:rFonts w:ascii="Arial" w:hAnsi="Arial" w:cs="Arial"/>
        </w:rPr>
      </w:pPr>
      <w:bookmarkStart w:id="6" w:name="_Toc162343407"/>
      <w:r w:rsidRPr="003C3ECE">
        <w:rPr>
          <w:rFonts w:ascii="Arial" w:hAnsi="Arial" w:cs="Arial"/>
        </w:rPr>
        <w:lastRenderedPageBreak/>
        <w:t>“Critically analyse and evaluate your chosen multinational corporation’s methods of appraising projects”</w:t>
      </w:r>
      <w:bookmarkEnd w:id="6"/>
    </w:p>
    <w:p w:rsidR="00924EB1" w:rsidRPr="004F0A10" w:rsidRDefault="00924EB1" w:rsidP="00924EB1">
      <w:pPr>
        <w:pBdr>
          <w:top w:val="nil"/>
          <w:left w:val="nil"/>
          <w:bottom w:val="nil"/>
          <w:right w:val="nil"/>
          <w:between w:val="nil"/>
        </w:pBdr>
        <w:rPr>
          <w:rFonts w:ascii="Arial" w:hAnsi="Arial" w:cs="Arial"/>
          <w:color w:val="000000"/>
        </w:rPr>
      </w:pPr>
      <w:r w:rsidRPr="004F0A10">
        <w:rPr>
          <w:rFonts w:ascii="Arial" w:hAnsi="Arial" w:cs="Arial"/>
          <w:color w:val="000000"/>
        </w:rPr>
        <w:t xml:space="preserve">As opined by </w:t>
      </w:r>
      <w:proofErr w:type="spellStart"/>
      <w:r w:rsidRPr="004F0A10">
        <w:rPr>
          <w:rFonts w:ascii="Arial" w:hAnsi="Arial" w:cs="Arial"/>
          <w:color w:val="222222"/>
          <w:highlight w:val="white"/>
        </w:rPr>
        <w:t>Magni</w:t>
      </w:r>
      <w:proofErr w:type="spellEnd"/>
      <w:r w:rsidRPr="004F0A10">
        <w:rPr>
          <w:rFonts w:ascii="Arial" w:hAnsi="Arial" w:cs="Arial"/>
          <w:color w:val="222222"/>
          <w:highlight w:val="white"/>
        </w:rPr>
        <w:t xml:space="preserve"> and </w:t>
      </w:r>
      <w:proofErr w:type="spellStart"/>
      <w:r w:rsidRPr="004F0A10">
        <w:rPr>
          <w:rFonts w:ascii="Arial" w:hAnsi="Arial" w:cs="Arial"/>
          <w:color w:val="222222"/>
          <w:highlight w:val="white"/>
        </w:rPr>
        <w:t>Marchioni</w:t>
      </w:r>
      <w:proofErr w:type="spellEnd"/>
      <w:r w:rsidRPr="004F0A10">
        <w:rPr>
          <w:rFonts w:ascii="Arial" w:hAnsi="Arial" w:cs="Arial"/>
          <w:color w:val="222222"/>
          <w:highlight w:val="white"/>
        </w:rPr>
        <w:t xml:space="preserve"> (2020), in capital asset-related projects, economic profitability can be measured using absolute metrics such as expressing value increase among monetary units, net present value as well as relative metrics to indicate the rates of return and profitability indices. All the features mentioned are aimed at increasing financial efficiency through projects undertaken by different companies. The company has a Corporate Audit charter that is the external standard to maintain the internal audit of Unilever (Unilever, 2023). </w:t>
      </w:r>
      <w:r w:rsidRPr="004F0A10">
        <w:rPr>
          <w:rFonts w:ascii="Arial" w:hAnsi="Arial" w:cs="Arial"/>
          <w:color w:val="000000" w:themeColor="text1"/>
          <w:highlight w:val="white"/>
        </w:rPr>
        <w:t xml:space="preserve">There is a technique used in the financing of international trade is ‘Letter of Credit’. A ‘Letter of Credit’ can be referred to as the mode of payment used by international trade so that payment to the associated exporter from the creditworthy institute can be guaranteed. The exporter will sign a smart contract-generated ‘letter of credit’ that initiates the transaction (Bhat </w:t>
      </w:r>
      <w:r w:rsidRPr="004F0A10">
        <w:rPr>
          <w:rFonts w:ascii="Arial" w:hAnsi="Arial" w:cs="Arial"/>
          <w:i/>
          <w:color w:val="000000" w:themeColor="text1"/>
          <w:highlight w:val="white"/>
        </w:rPr>
        <w:t>et al.</w:t>
      </w:r>
      <w:r w:rsidRPr="004F0A10">
        <w:rPr>
          <w:rFonts w:ascii="Arial" w:hAnsi="Arial" w:cs="Arial"/>
          <w:color w:val="000000" w:themeColor="text1"/>
          <w:highlight w:val="white"/>
        </w:rPr>
        <w:t xml:space="preserve"> 2021). Besides this, there is ‘Compliance with the code of business Principles as </w:t>
      </w:r>
      <w:r w:rsidRPr="004F0A10">
        <w:rPr>
          <w:rFonts w:ascii="Arial" w:hAnsi="Arial" w:cs="Arial"/>
          <w:color w:val="222222"/>
          <w:highlight w:val="white"/>
        </w:rPr>
        <w:t xml:space="preserve">well as Code Policies’ which is an important component of Unilever. The company manage their operations with the help of a board that ensures the standards of conduct can be applied throughout the business (Unilever, 2023). On critically evaluating the analysis, it can be inferred that the above-mentioned features ensure financial and market analysis of multinational corporations. There is another method used for project appraisal is technical analysis. As opined by Dong </w:t>
      </w:r>
      <w:r w:rsidRPr="004F0A10">
        <w:rPr>
          <w:rFonts w:ascii="Arial" w:hAnsi="Arial" w:cs="Arial"/>
          <w:i/>
          <w:color w:val="222222"/>
          <w:highlight w:val="white"/>
        </w:rPr>
        <w:t>et al.</w:t>
      </w:r>
      <w:r w:rsidRPr="004F0A10">
        <w:rPr>
          <w:rFonts w:ascii="Arial" w:hAnsi="Arial" w:cs="Arial"/>
          <w:color w:val="222222"/>
          <w:highlight w:val="white"/>
        </w:rPr>
        <w:t xml:space="preserve"> (2022), it has been observed that negative appraisals are the results of technical analysis. Designers use their findings to design without investigating new possibilities and ideas developed from the technical analysis. This reflects the companies' need to evaluate technical analysis methods before designing new business ideas. Along with this, Unilever has been found to invest in capital injections besides capital reductions, and intra-group transfer of assets along with the association of third-party costs such as tax, fees and stamp duty which are worth 250 million euros or more (Unilever, 2023). On critically analysing, it can be inferred that economic analysis is also important for Unilever for appraising projects. Besides this, all the above-mentioned analyses are important in project appraisals for maintaining the credibility of projects. </w:t>
      </w:r>
    </w:p>
    <w:p w:rsidR="00924EB1" w:rsidRPr="003C3ECE" w:rsidRDefault="00924EB1" w:rsidP="00924EB1">
      <w:pPr>
        <w:pStyle w:val="Heading1"/>
        <w:rPr>
          <w:rFonts w:ascii="Arial" w:hAnsi="Arial" w:cs="Arial"/>
        </w:rPr>
      </w:pPr>
      <w:bookmarkStart w:id="7" w:name="_Toc162343408"/>
      <w:r w:rsidRPr="003C3ECE">
        <w:rPr>
          <w:rFonts w:ascii="Arial" w:hAnsi="Arial" w:cs="Arial"/>
        </w:rPr>
        <w:lastRenderedPageBreak/>
        <w:t>Conclusion</w:t>
      </w:r>
      <w:bookmarkEnd w:id="7"/>
    </w:p>
    <w:p w:rsidR="00924EB1" w:rsidRPr="004F0A10" w:rsidRDefault="00924EB1" w:rsidP="00924EB1">
      <w:pPr>
        <w:pBdr>
          <w:top w:val="nil"/>
          <w:left w:val="nil"/>
          <w:bottom w:val="nil"/>
          <w:right w:val="nil"/>
          <w:between w:val="nil"/>
        </w:pBdr>
        <w:rPr>
          <w:rFonts w:ascii="Arial" w:hAnsi="Arial" w:cs="Arial"/>
          <w:color w:val="000000"/>
        </w:rPr>
      </w:pPr>
      <w:r w:rsidRPr="004F0A10">
        <w:rPr>
          <w:rFonts w:ascii="Arial" w:hAnsi="Arial" w:cs="Arial"/>
          <w:color w:val="000000"/>
        </w:rPr>
        <w:t xml:space="preserve">It can be concluded in the report that International Financial Management is the most crucial part for businesses to manage global trade while lowering financial risks. The report has focused on analysing the importance of International Financial Management in the context of the global business operated by Unilever which is operating in more than 190 countries. </w:t>
      </w:r>
      <w:r w:rsidRPr="004F0A10">
        <w:rPr>
          <w:rFonts w:ascii="Arial" w:hAnsi="Arial" w:cs="Arial"/>
          <w:color w:val="000000" w:themeColor="text1"/>
        </w:rPr>
        <w:t xml:space="preserve">The theory of exchange rate dynamics cost of capital and letter of credit as the technique used in foreign trade has also been highlighted. Besides this, various challenges faced by multinational </w:t>
      </w:r>
      <w:r w:rsidRPr="004F0A10">
        <w:rPr>
          <w:rFonts w:ascii="Arial" w:hAnsi="Arial" w:cs="Arial"/>
          <w:color w:val="000000"/>
        </w:rPr>
        <w:t xml:space="preserve">companies such as language barriers and changing tax laws have also been highlighted. The Efficient Market Hypothesis to modernise the stock market system has also been provided. </w:t>
      </w:r>
    </w:p>
    <w:p w:rsidR="00924EB1" w:rsidRPr="004F0A10" w:rsidRDefault="00924EB1" w:rsidP="00924EB1">
      <w:pPr>
        <w:pStyle w:val="Heading1"/>
        <w:rPr>
          <w:rFonts w:ascii="Arial" w:hAnsi="Arial" w:cs="Arial"/>
          <w:sz w:val="24"/>
          <w:szCs w:val="24"/>
        </w:rPr>
      </w:pPr>
      <w:bookmarkStart w:id="8" w:name="_heading=h.2s8eyo1" w:colFirst="0" w:colLast="0"/>
      <w:bookmarkEnd w:id="8"/>
      <w:r w:rsidRPr="004F0A10">
        <w:rPr>
          <w:rFonts w:ascii="Arial" w:hAnsi="Arial" w:cs="Arial"/>
          <w:sz w:val="24"/>
          <w:szCs w:val="24"/>
        </w:rPr>
        <w:br w:type="page"/>
      </w:r>
    </w:p>
    <w:p w:rsidR="00924EB1" w:rsidRPr="003C3ECE" w:rsidRDefault="00924EB1" w:rsidP="00924EB1">
      <w:pPr>
        <w:pStyle w:val="Heading1"/>
        <w:rPr>
          <w:rFonts w:ascii="Arial" w:hAnsi="Arial" w:cs="Arial"/>
        </w:rPr>
      </w:pPr>
      <w:bookmarkStart w:id="9" w:name="_Toc162343409"/>
      <w:r w:rsidRPr="003C3ECE">
        <w:rPr>
          <w:rFonts w:ascii="Arial" w:hAnsi="Arial" w:cs="Arial"/>
        </w:rPr>
        <w:lastRenderedPageBreak/>
        <w:t>Reference</w:t>
      </w:r>
      <w:bookmarkEnd w:id="9"/>
    </w:p>
    <w:p w:rsidR="00924EB1" w:rsidRPr="004F0A10" w:rsidRDefault="00924EB1" w:rsidP="00924EB1">
      <w:pPr>
        <w:pBdr>
          <w:top w:val="nil"/>
          <w:left w:val="nil"/>
          <w:bottom w:val="nil"/>
          <w:right w:val="nil"/>
          <w:between w:val="nil"/>
        </w:pBdr>
        <w:spacing w:after="280"/>
        <w:rPr>
          <w:rFonts w:ascii="Arial" w:hAnsi="Arial" w:cs="Arial"/>
          <w:color w:val="000000"/>
          <w:highlight w:val="white"/>
        </w:rPr>
      </w:pPr>
      <w:r w:rsidRPr="004F0A10">
        <w:rPr>
          <w:rFonts w:ascii="Arial" w:hAnsi="Arial" w:cs="Arial"/>
          <w:color w:val="222222"/>
          <w:highlight w:val="white"/>
        </w:rPr>
        <w:t xml:space="preserve">Angulo, E., </w:t>
      </w:r>
      <w:proofErr w:type="spellStart"/>
      <w:r w:rsidRPr="004F0A10">
        <w:rPr>
          <w:rFonts w:ascii="Arial" w:hAnsi="Arial" w:cs="Arial"/>
          <w:color w:val="222222"/>
          <w:highlight w:val="white"/>
        </w:rPr>
        <w:t>Diagne</w:t>
      </w:r>
      <w:proofErr w:type="spellEnd"/>
      <w:r w:rsidRPr="004F0A10">
        <w:rPr>
          <w:rFonts w:ascii="Arial" w:hAnsi="Arial" w:cs="Arial"/>
          <w:color w:val="222222"/>
          <w:highlight w:val="white"/>
        </w:rPr>
        <w:t xml:space="preserve">, C., Ballesteros-Mejia, L., </w:t>
      </w:r>
      <w:proofErr w:type="spellStart"/>
      <w:r w:rsidRPr="004F0A10">
        <w:rPr>
          <w:rFonts w:ascii="Arial" w:hAnsi="Arial" w:cs="Arial"/>
          <w:color w:val="222222"/>
          <w:highlight w:val="white"/>
        </w:rPr>
        <w:t>Adamjy</w:t>
      </w:r>
      <w:proofErr w:type="spellEnd"/>
      <w:r w:rsidRPr="004F0A10">
        <w:rPr>
          <w:rFonts w:ascii="Arial" w:hAnsi="Arial" w:cs="Arial"/>
          <w:color w:val="222222"/>
          <w:highlight w:val="white"/>
        </w:rPr>
        <w:t xml:space="preserve">, T., Ahmed, D.A., </w:t>
      </w:r>
      <w:proofErr w:type="spellStart"/>
      <w:r w:rsidRPr="004F0A10">
        <w:rPr>
          <w:rFonts w:ascii="Arial" w:hAnsi="Arial" w:cs="Arial"/>
          <w:color w:val="222222"/>
          <w:highlight w:val="white"/>
        </w:rPr>
        <w:t>Akulov</w:t>
      </w:r>
      <w:proofErr w:type="spellEnd"/>
      <w:r w:rsidRPr="004F0A10">
        <w:rPr>
          <w:rFonts w:ascii="Arial" w:hAnsi="Arial" w:cs="Arial"/>
          <w:color w:val="222222"/>
          <w:highlight w:val="white"/>
        </w:rPr>
        <w:t xml:space="preserve">, E., Banerjee, A.K., </w:t>
      </w:r>
      <w:proofErr w:type="spellStart"/>
      <w:r w:rsidRPr="004F0A10">
        <w:rPr>
          <w:rFonts w:ascii="Arial" w:hAnsi="Arial" w:cs="Arial"/>
          <w:color w:val="222222"/>
          <w:highlight w:val="white"/>
        </w:rPr>
        <w:t>Capinha</w:t>
      </w:r>
      <w:proofErr w:type="spellEnd"/>
      <w:r w:rsidRPr="004F0A10">
        <w:rPr>
          <w:rFonts w:ascii="Arial" w:hAnsi="Arial" w:cs="Arial"/>
          <w:color w:val="222222"/>
          <w:highlight w:val="white"/>
        </w:rPr>
        <w:t xml:space="preserve">, C., </w:t>
      </w:r>
      <w:proofErr w:type="spellStart"/>
      <w:r w:rsidRPr="004F0A10">
        <w:rPr>
          <w:rFonts w:ascii="Arial" w:hAnsi="Arial" w:cs="Arial"/>
          <w:color w:val="222222"/>
          <w:highlight w:val="white"/>
        </w:rPr>
        <w:t>Dia</w:t>
      </w:r>
      <w:proofErr w:type="spellEnd"/>
      <w:r w:rsidRPr="004F0A10">
        <w:rPr>
          <w:rFonts w:ascii="Arial" w:hAnsi="Arial" w:cs="Arial"/>
          <w:color w:val="222222"/>
          <w:highlight w:val="white"/>
        </w:rPr>
        <w:t xml:space="preserve">, C.A., </w:t>
      </w:r>
      <w:proofErr w:type="spellStart"/>
      <w:r w:rsidRPr="004F0A10">
        <w:rPr>
          <w:rFonts w:ascii="Arial" w:hAnsi="Arial" w:cs="Arial"/>
          <w:color w:val="222222"/>
          <w:highlight w:val="white"/>
        </w:rPr>
        <w:t>Dobigny</w:t>
      </w:r>
      <w:proofErr w:type="spellEnd"/>
      <w:r w:rsidRPr="004F0A10">
        <w:rPr>
          <w:rFonts w:ascii="Arial" w:hAnsi="Arial" w:cs="Arial"/>
          <w:color w:val="222222"/>
          <w:highlight w:val="white"/>
        </w:rPr>
        <w:t xml:space="preserve">, G. and </w:t>
      </w:r>
      <w:proofErr w:type="spellStart"/>
      <w:r w:rsidRPr="004F0A10">
        <w:rPr>
          <w:rFonts w:ascii="Arial" w:hAnsi="Arial" w:cs="Arial"/>
          <w:color w:val="222222"/>
          <w:highlight w:val="white"/>
        </w:rPr>
        <w:t>Duboscq-Carra</w:t>
      </w:r>
      <w:proofErr w:type="spellEnd"/>
      <w:r w:rsidRPr="004F0A10">
        <w:rPr>
          <w:rFonts w:ascii="Arial" w:hAnsi="Arial" w:cs="Arial"/>
          <w:color w:val="222222"/>
          <w:highlight w:val="white"/>
        </w:rPr>
        <w:t xml:space="preserve">, V.G., 2021. Non-English languages enrich scientific knowledge: The example of economic costs of biological invasions. </w:t>
      </w:r>
      <w:r w:rsidRPr="004F0A10">
        <w:rPr>
          <w:rFonts w:ascii="Arial" w:hAnsi="Arial" w:cs="Arial"/>
          <w:i/>
          <w:color w:val="222222"/>
          <w:highlight w:val="white"/>
        </w:rPr>
        <w:t>Science of the Total Environment</w:t>
      </w:r>
      <w:r w:rsidRPr="004F0A10">
        <w:rPr>
          <w:rFonts w:ascii="Arial" w:hAnsi="Arial" w:cs="Arial"/>
          <w:color w:val="222222"/>
          <w:highlight w:val="white"/>
        </w:rPr>
        <w:t xml:space="preserve">, </w:t>
      </w:r>
      <w:r w:rsidRPr="004F0A10">
        <w:rPr>
          <w:rFonts w:ascii="Arial" w:hAnsi="Arial" w:cs="Arial"/>
          <w:i/>
          <w:color w:val="222222"/>
          <w:highlight w:val="white"/>
        </w:rPr>
        <w:t>775</w:t>
      </w:r>
      <w:r w:rsidRPr="004F0A10">
        <w:rPr>
          <w:rFonts w:ascii="Arial" w:hAnsi="Arial" w:cs="Arial"/>
          <w:color w:val="222222"/>
          <w:highlight w:val="white"/>
        </w:rPr>
        <w:t>, p.144441.</w:t>
      </w:r>
      <w:r w:rsidRPr="004F0A10">
        <w:rPr>
          <w:rFonts w:ascii="Arial" w:eastAsia="Arial" w:hAnsi="Arial" w:cs="Arial"/>
          <w:color w:val="222222"/>
          <w:highlight w:val="white"/>
        </w:rPr>
        <w:t xml:space="preserve"> </w:t>
      </w:r>
    </w:p>
    <w:p w:rsidR="00924EB1" w:rsidRPr="004F0A10" w:rsidRDefault="00924EB1" w:rsidP="00924EB1">
      <w:pPr>
        <w:rPr>
          <w:rFonts w:ascii="Arial" w:hAnsi="Arial" w:cs="Arial"/>
          <w:color w:val="000000" w:themeColor="text1"/>
          <w:highlight w:val="white"/>
        </w:rPr>
      </w:pPr>
      <w:r w:rsidRPr="004F0A10">
        <w:rPr>
          <w:rFonts w:ascii="Arial" w:hAnsi="Arial" w:cs="Arial"/>
          <w:color w:val="000000" w:themeColor="text1"/>
          <w:highlight w:val="white"/>
        </w:rPr>
        <w:t xml:space="preserve">Beckmann, J., </w:t>
      </w:r>
      <w:proofErr w:type="spellStart"/>
      <w:r w:rsidRPr="004F0A10">
        <w:rPr>
          <w:rFonts w:ascii="Arial" w:hAnsi="Arial" w:cs="Arial"/>
          <w:color w:val="000000" w:themeColor="text1"/>
          <w:highlight w:val="white"/>
        </w:rPr>
        <w:t>Czudaj</w:t>
      </w:r>
      <w:proofErr w:type="spellEnd"/>
      <w:r w:rsidRPr="004F0A10">
        <w:rPr>
          <w:rFonts w:ascii="Arial" w:hAnsi="Arial" w:cs="Arial"/>
          <w:color w:val="000000" w:themeColor="text1"/>
          <w:highlight w:val="white"/>
        </w:rPr>
        <w:t xml:space="preserve">, R.L. and Arora, V., 2020. The relationship between oil prices and exchange rates: Revisiting theory and evidence. </w:t>
      </w:r>
      <w:r w:rsidRPr="004F0A10">
        <w:rPr>
          <w:rFonts w:ascii="Arial" w:hAnsi="Arial" w:cs="Arial"/>
          <w:i/>
          <w:color w:val="000000" w:themeColor="text1"/>
          <w:highlight w:val="white"/>
        </w:rPr>
        <w:t>Energy Economics</w:t>
      </w:r>
      <w:r w:rsidRPr="004F0A10">
        <w:rPr>
          <w:rFonts w:ascii="Arial" w:hAnsi="Arial" w:cs="Arial"/>
          <w:color w:val="000000" w:themeColor="text1"/>
          <w:highlight w:val="white"/>
        </w:rPr>
        <w:t xml:space="preserve">, </w:t>
      </w:r>
      <w:r w:rsidRPr="004F0A10">
        <w:rPr>
          <w:rFonts w:ascii="Arial" w:hAnsi="Arial" w:cs="Arial"/>
          <w:i/>
          <w:color w:val="000000" w:themeColor="text1"/>
          <w:highlight w:val="white"/>
        </w:rPr>
        <w:t>88</w:t>
      </w:r>
      <w:r w:rsidRPr="004F0A10">
        <w:rPr>
          <w:rFonts w:ascii="Arial" w:hAnsi="Arial" w:cs="Arial"/>
          <w:color w:val="000000" w:themeColor="text1"/>
          <w:highlight w:val="white"/>
        </w:rPr>
        <w:t>, p.104772.</w:t>
      </w:r>
    </w:p>
    <w:p w:rsidR="00924EB1" w:rsidRPr="004F0A10" w:rsidRDefault="00924EB1" w:rsidP="00924EB1">
      <w:pPr>
        <w:rPr>
          <w:rFonts w:ascii="Arial" w:hAnsi="Arial" w:cs="Arial"/>
          <w:color w:val="000000" w:themeColor="text1"/>
          <w:highlight w:val="white"/>
        </w:rPr>
      </w:pPr>
      <w:r w:rsidRPr="004F0A10">
        <w:rPr>
          <w:rFonts w:ascii="Arial" w:hAnsi="Arial" w:cs="Arial"/>
          <w:color w:val="000000" w:themeColor="text1"/>
          <w:highlight w:val="white"/>
        </w:rPr>
        <w:t xml:space="preserve">Bhat, A.S.I.F., Nor, R.M. and AMIRUZZAMAN, M., 2021. Blockchain Letter of Credit: A Transaction-Level Analysis. </w:t>
      </w:r>
      <w:r w:rsidRPr="004F0A10">
        <w:rPr>
          <w:rFonts w:ascii="Arial" w:hAnsi="Arial" w:cs="Arial"/>
          <w:i/>
          <w:color w:val="000000" w:themeColor="text1"/>
          <w:highlight w:val="white"/>
        </w:rPr>
        <w:t>Journal of Engineering Science and Technology, October</w:t>
      </w:r>
      <w:r w:rsidRPr="004F0A10">
        <w:rPr>
          <w:rFonts w:ascii="Arial" w:hAnsi="Arial" w:cs="Arial"/>
          <w:color w:val="000000" w:themeColor="text1"/>
          <w:highlight w:val="white"/>
        </w:rPr>
        <w:t>, pp.120-136.</w:t>
      </w:r>
    </w:p>
    <w:p w:rsidR="00924EB1" w:rsidRPr="004F0A10" w:rsidRDefault="00924EB1" w:rsidP="00924EB1">
      <w:pPr>
        <w:pBdr>
          <w:top w:val="nil"/>
          <w:left w:val="nil"/>
          <w:bottom w:val="nil"/>
          <w:right w:val="nil"/>
          <w:between w:val="nil"/>
        </w:pBdr>
        <w:shd w:val="clear" w:color="auto" w:fill="FFFFFF"/>
        <w:spacing w:before="0" w:after="280"/>
        <w:rPr>
          <w:rFonts w:ascii="Arial" w:hAnsi="Arial" w:cs="Arial"/>
          <w:color w:val="222222"/>
          <w:highlight w:val="white"/>
        </w:rPr>
      </w:pPr>
      <w:r w:rsidRPr="004F0A10">
        <w:rPr>
          <w:rFonts w:ascii="Arial" w:hAnsi="Arial" w:cs="Arial"/>
          <w:color w:val="222222"/>
          <w:highlight w:val="white"/>
        </w:rPr>
        <w:t xml:space="preserve">Daisy, C., Langat, P. and Cheruiyot, P., 2023. The Relationship Between Cash Management and the Financial Performance of Unilever Tea Limited, Kericho County, Kenya. </w:t>
      </w:r>
      <w:r w:rsidRPr="004F0A10">
        <w:rPr>
          <w:rFonts w:ascii="Arial" w:hAnsi="Arial" w:cs="Arial"/>
          <w:i/>
          <w:color w:val="222222"/>
          <w:highlight w:val="white"/>
        </w:rPr>
        <w:t>East African Journal of Business and Economics</w:t>
      </w:r>
      <w:r w:rsidRPr="004F0A10">
        <w:rPr>
          <w:rFonts w:ascii="Arial" w:hAnsi="Arial" w:cs="Arial"/>
          <w:color w:val="222222"/>
          <w:highlight w:val="white"/>
        </w:rPr>
        <w:t xml:space="preserve">, </w:t>
      </w:r>
      <w:r w:rsidRPr="004F0A10">
        <w:rPr>
          <w:rFonts w:ascii="Arial" w:hAnsi="Arial" w:cs="Arial"/>
          <w:i/>
          <w:color w:val="222222"/>
          <w:highlight w:val="white"/>
        </w:rPr>
        <w:t>6</w:t>
      </w:r>
      <w:r w:rsidRPr="004F0A10">
        <w:rPr>
          <w:rFonts w:ascii="Arial" w:hAnsi="Arial" w:cs="Arial"/>
          <w:color w:val="222222"/>
          <w:highlight w:val="white"/>
        </w:rPr>
        <w:t xml:space="preserve">(2), pp.138-150. </w:t>
      </w:r>
    </w:p>
    <w:p w:rsidR="00924EB1" w:rsidRPr="004F0A10" w:rsidRDefault="00924EB1" w:rsidP="00924EB1">
      <w:pPr>
        <w:pBdr>
          <w:top w:val="nil"/>
          <w:left w:val="nil"/>
          <w:bottom w:val="nil"/>
          <w:right w:val="nil"/>
          <w:between w:val="nil"/>
        </w:pBdr>
        <w:shd w:val="clear" w:color="auto" w:fill="FFFFFF"/>
        <w:spacing w:before="0" w:after="280"/>
        <w:rPr>
          <w:rFonts w:ascii="Arial" w:hAnsi="Arial" w:cs="Arial"/>
          <w:color w:val="000000"/>
          <w:highlight w:val="white"/>
        </w:rPr>
      </w:pPr>
      <w:r w:rsidRPr="004F0A10">
        <w:rPr>
          <w:rFonts w:ascii="Arial" w:hAnsi="Arial" w:cs="Arial"/>
          <w:color w:val="222222"/>
          <w:highlight w:val="white"/>
        </w:rPr>
        <w:t xml:space="preserve">Dong, A., </w:t>
      </w:r>
      <w:proofErr w:type="spellStart"/>
      <w:r w:rsidRPr="004F0A10">
        <w:rPr>
          <w:rFonts w:ascii="Arial" w:hAnsi="Arial" w:cs="Arial"/>
          <w:color w:val="222222"/>
          <w:highlight w:val="white"/>
        </w:rPr>
        <w:t>Kleinsmann</w:t>
      </w:r>
      <w:proofErr w:type="spellEnd"/>
      <w:r w:rsidRPr="004F0A10">
        <w:rPr>
          <w:rFonts w:ascii="Arial" w:hAnsi="Arial" w:cs="Arial"/>
          <w:color w:val="222222"/>
          <w:highlight w:val="white"/>
        </w:rPr>
        <w:t xml:space="preserve">, M. and Valkenburg, R., 2022. Affect-in-cognition through the language of appraisals. In </w:t>
      </w:r>
      <w:r w:rsidRPr="004F0A10">
        <w:rPr>
          <w:rFonts w:ascii="Arial" w:hAnsi="Arial" w:cs="Arial"/>
          <w:i/>
          <w:color w:val="222222"/>
          <w:highlight w:val="white"/>
        </w:rPr>
        <w:t>About Designing</w:t>
      </w:r>
      <w:r w:rsidRPr="004F0A10">
        <w:rPr>
          <w:rFonts w:ascii="Arial" w:hAnsi="Arial" w:cs="Arial"/>
          <w:color w:val="222222"/>
          <w:highlight w:val="white"/>
        </w:rPr>
        <w:t xml:space="preserve"> (pp. 119-133). CRC Press. </w:t>
      </w:r>
    </w:p>
    <w:p w:rsidR="00924EB1" w:rsidRPr="004F0A10" w:rsidRDefault="00924EB1" w:rsidP="00924EB1">
      <w:pPr>
        <w:rPr>
          <w:rFonts w:ascii="Arial" w:hAnsi="Arial" w:cs="Arial"/>
          <w:color w:val="000000" w:themeColor="text1"/>
          <w:highlight w:val="white"/>
        </w:rPr>
      </w:pPr>
      <w:proofErr w:type="spellStart"/>
      <w:r w:rsidRPr="004F0A10">
        <w:rPr>
          <w:rFonts w:ascii="Arial" w:hAnsi="Arial" w:cs="Arial"/>
          <w:color w:val="000000" w:themeColor="text1"/>
          <w:highlight w:val="white"/>
        </w:rPr>
        <w:t>Đukan</w:t>
      </w:r>
      <w:proofErr w:type="spellEnd"/>
      <w:r w:rsidRPr="004F0A10">
        <w:rPr>
          <w:rFonts w:ascii="Arial" w:hAnsi="Arial" w:cs="Arial"/>
          <w:color w:val="000000" w:themeColor="text1"/>
          <w:highlight w:val="white"/>
        </w:rPr>
        <w:t xml:space="preserve">, M., </w:t>
      </w:r>
      <w:proofErr w:type="spellStart"/>
      <w:r w:rsidRPr="004F0A10">
        <w:rPr>
          <w:rFonts w:ascii="Arial" w:hAnsi="Arial" w:cs="Arial"/>
          <w:color w:val="000000" w:themeColor="text1"/>
          <w:highlight w:val="white"/>
        </w:rPr>
        <w:t>Gumber</w:t>
      </w:r>
      <w:proofErr w:type="spellEnd"/>
      <w:r w:rsidRPr="004F0A10">
        <w:rPr>
          <w:rFonts w:ascii="Arial" w:hAnsi="Arial" w:cs="Arial"/>
          <w:color w:val="000000" w:themeColor="text1"/>
          <w:highlight w:val="white"/>
        </w:rPr>
        <w:t xml:space="preserve">, A., </w:t>
      </w:r>
      <w:proofErr w:type="spellStart"/>
      <w:r w:rsidRPr="004F0A10">
        <w:rPr>
          <w:rFonts w:ascii="Arial" w:hAnsi="Arial" w:cs="Arial"/>
          <w:color w:val="000000" w:themeColor="text1"/>
          <w:highlight w:val="white"/>
        </w:rPr>
        <w:t>Egli</w:t>
      </w:r>
      <w:proofErr w:type="spellEnd"/>
      <w:r w:rsidRPr="004F0A10">
        <w:rPr>
          <w:rFonts w:ascii="Arial" w:hAnsi="Arial" w:cs="Arial"/>
          <w:color w:val="000000" w:themeColor="text1"/>
          <w:highlight w:val="white"/>
        </w:rPr>
        <w:t xml:space="preserve">, F. and Steffen, B., 2023. The role of policies in reducing the cost of capital for offshore wind. </w:t>
      </w:r>
      <w:proofErr w:type="spellStart"/>
      <w:r w:rsidRPr="004F0A10">
        <w:rPr>
          <w:rFonts w:ascii="Arial" w:hAnsi="Arial" w:cs="Arial"/>
          <w:i/>
          <w:color w:val="000000" w:themeColor="text1"/>
          <w:highlight w:val="white"/>
        </w:rPr>
        <w:t>Iscience</w:t>
      </w:r>
      <w:proofErr w:type="spellEnd"/>
      <w:r w:rsidRPr="004F0A10">
        <w:rPr>
          <w:rFonts w:ascii="Arial" w:hAnsi="Arial" w:cs="Arial"/>
          <w:color w:val="000000" w:themeColor="text1"/>
          <w:highlight w:val="white"/>
        </w:rPr>
        <w:t>.</w:t>
      </w:r>
    </w:p>
    <w:p w:rsidR="00924EB1" w:rsidRPr="004F0A10" w:rsidRDefault="00924EB1" w:rsidP="00924EB1">
      <w:pPr>
        <w:rPr>
          <w:rFonts w:ascii="Arial" w:hAnsi="Arial" w:cs="Arial"/>
          <w:color w:val="000000" w:themeColor="text1"/>
        </w:rPr>
      </w:pPr>
      <w:proofErr w:type="spellStart"/>
      <w:r w:rsidRPr="004F0A10">
        <w:rPr>
          <w:rFonts w:ascii="Arial" w:hAnsi="Arial" w:cs="Arial"/>
          <w:color w:val="000000" w:themeColor="text1"/>
        </w:rPr>
        <w:t>Kivits</w:t>
      </w:r>
      <w:proofErr w:type="spellEnd"/>
      <w:r w:rsidRPr="004F0A10">
        <w:rPr>
          <w:rFonts w:ascii="Arial" w:hAnsi="Arial" w:cs="Arial"/>
          <w:color w:val="000000" w:themeColor="text1"/>
        </w:rPr>
        <w:t xml:space="preserve">, R., </w:t>
      </w:r>
      <w:proofErr w:type="spellStart"/>
      <w:r w:rsidRPr="004F0A10">
        <w:rPr>
          <w:rFonts w:ascii="Arial" w:hAnsi="Arial" w:cs="Arial"/>
          <w:color w:val="000000" w:themeColor="text1"/>
        </w:rPr>
        <w:t>Sawang</w:t>
      </w:r>
      <w:proofErr w:type="spellEnd"/>
      <w:r w:rsidRPr="004F0A10">
        <w:rPr>
          <w:rFonts w:ascii="Arial" w:hAnsi="Arial" w:cs="Arial"/>
          <w:color w:val="000000" w:themeColor="text1"/>
        </w:rPr>
        <w:t xml:space="preserve">, S., </w:t>
      </w:r>
      <w:proofErr w:type="spellStart"/>
      <w:r w:rsidRPr="004F0A10">
        <w:rPr>
          <w:rFonts w:ascii="Arial" w:hAnsi="Arial" w:cs="Arial"/>
          <w:color w:val="000000" w:themeColor="text1"/>
        </w:rPr>
        <w:t>Kivits</w:t>
      </w:r>
      <w:proofErr w:type="spellEnd"/>
      <w:r w:rsidRPr="004F0A10">
        <w:rPr>
          <w:rFonts w:ascii="Arial" w:hAnsi="Arial" w:cs="Arial"/>
          <w:color w:val="000000" w:themeColor="text1"/>
        </w:rPr>
        <w:t xml:space="preserve">, R. and </w:t>
      </w:r>
      <w:proofErr w:type="spellStart"/>
      <w:r w:rsidRPr="004F0A10">
        <w:rPr>
          <w:rFonts w:ascii="Arial" w:hAnsi="Arial" w:cs="Arial"/>
          <w:color w:val="000000" w:themeColor="text1"/>
        </w:rPr>
        <w:t>Sawang</w:t>
      </w:r>
      <w:proofErr w:type="spellEnd"/>
      <w:r w:rsidRPr="004F0A10">
        <w:rPr>
          <w:rFonts w:ascii="Arial" w:hAnsi="Arial" w:cs="Arial"/>
          <w:color w:val="000000" w:themeColor="text1"/>
        </w:rPr>
        <w:t xml:space="preserve">, S., 2021. Stakeholder theory. </w:t>
      </w:r>
      <w:r w:rsidRPr="004F0A10">
        <w:rPr>
          <w:rFonts w:ascii="Arial" w:hAnsi="Arial" w:cs="Arial"/>
          <w:i/>
          <w:color w:val="000000" w:themeColor="text1"/>
        </w:rPr>
        <w:t>The Dynamism of Stakeholder Engagement: A Case Study of the Aviation Industry,</w:t>
      </w:r>
      <w:r w:rsidRPr="004F0A10">
        <w:rPr>
          <w:rFonts w:ascii="Arial" w:hAnsi="Arial" w:cs="Arial"/>
          <w:color w:val="000000" w:themeColor="text1"/>
        </w:rPr>
        <w:t xml:space="preserve"> pp.1-8.</w:t>
      </w:r>
    </w:p>
    <w:p w:rsidR="00924EB1" w:rsidRPr="004F0A10" w:rsidRDefault="00924EB1" w:rsidP="00924EB1">
      <w:pPr>
        <w:pBdr>
          <w:top w:val="nil"/>
          <w:left w:val="nil"/>
          <w:bottom w:val="nil"/>
          <w:right w:val="nil"/>
          <w:between w:val="nil"/>
        </w:pBdr>
        <w:shd w:val="clear" w:color="auto" w:fill="FFFFFF"/>
        <w:spacing w:before="0" w:after="280"/>
        <w:rPr>
          <w:rFonts w:ascii="Arial" w:hAnsi="Arial" w:cs="Arial"/>
          <w:color w:val="222222"/>
          <w:highlight w:val="white"/>
        </w:rPr>
      </w:pPr>
      <w:proofErr w:type="spellStart"/>
      <w:r w:rsidRPr="004F0A10">
        <w:rPr>
          <w:rFonts w:ascii="Arial" w:hAnsi="Arial" w:cs="Arial"/>
          <w:color w:val="222222"/>
          <w:highlight w:val="white"/>
        </w:rPr>
        <w:t>Magni</w:t>
      </w:r>
      <w:proofErr w:type="spellEnd"/>
      <w:r w:rsidRPr="004F0A10">
        <w:rPr>
          <w:rFonts w:ascii="Arial" w:hAnsi="Arial" w:cs="Arial"/>
          <w:color w:val="222222"/>
          <w:highlight w:val="white"/>
        </w:rPr>
        <w:t xml:space="preserve">, C.A. and </w:t>
      </w:r>
      <w:proofErr w:type="spellStart"/>
      <w:r w:rsidRPr="004F0A10">
        <w:rPr>
          <w:rFonts w:ascii="Arial" w:hAnsi="Arial" w:cs="Arial"/>
          <w:color w:val="222222"/>
          <w:highlight w:val="white"/>
        </w:rPr>
        <w:t>Marchioni</w:t>
      </w:r>
      <w:proofErr w:type="spellEnd"/>
      <w:r w:rsidRPr="004F0A10">
        <w:rPr>
          <w:rFonts w:ascii="Arial" w:hAnsi="Arial" w:cs="Arial"/>
          <w:color w:val="222222"/>
          <w:highlight w:val="white"/>
        </w:rPr>
        <w:t xml:space="preserve">, A., 2020. Average rates of return, working capital, and NPV-consistency in project appraisal: A sensitivity analysis approach. </w:t>
      </w:r>
      <w:r w:rsidRPr="004F0A10">
        <w:rPr>
          <w:rFonts w:ascii="Arial" w:hAnsi="Arial" w:cs="Arial"/>
          <w:i/>
          <w:color w:val="222222"/>
          <w:highlight w:val="white"/>
        </w:rPr>
        <w:t>International Journal of Production Economics</w:t>
      </w:r>
      <w:r w:rsidRPr="004F0A10">
        <w:rPr>
          <w:rFonts w:ascii="Arial" w:hAnsi="Arial" w:cs="Arial"/>
          <w:color w:val="222222"/>
          <w:highlight w:val="white"/>
        </w:rPr>
        <w:t xml:space="preserve">, </w:t>
      </w:r>
      <w:r w:rsidRPr="004F0A10">
        <w:rPr>
          <w:rFonts w:ascii="Arial" w:hAnsi="Arial" w:cs="Arial"/>
          <w:i/>
          <w:color w:val="222222"/>
          <w:highlight w:val="white"/>
        </w:rPr>
        <w:t>229</w:t>
      </w:r>
      <w:r w:rsidRPr="004F0A10">
        <w:rPr>
          <w:rFonts w:ascii="Arial" w:hAnsi="Arial" w:cs="Arial"/>
          <w:color w:val="222222"/>
          <w:highlight w:val="white"/>
        </w:rPr>
        <w:t>, p.107769.</w:t>
      </w:r>
    </w:p>
    <w:p w:rsidR="00924EB1" w:rsidRPr="004F0A10" w:rsidRDefault="00924EB1" w:rsidP="00924EB1">
      <w:pPr>
        <w:pBdr>
          <w:top w:val="nil"/>
          <w:left w:val="nil"/>
          <w:bottom w:val="nil"/>
          <w:right w:val="nil"/>
          <w:between w:val="nil"/>
        </w:pBdr>
        <w:spacing w:after="280"/>
        <w:rPr>
          <w:rFonts w:ascii="Arial" w:hAnsi="Arial" w:cs="Arial"/>
          <w:color w:val="000000"/>
          <w:highlight w:val="white"/>
        </w:rPr>
      </w:pPr>
      <w:proofErr w:type="spellStart"/>
      <w:r w:rsidRPr="004F0A10">
        <w:rPr>
          <w:rFonts w:ascii="Arial" w:hAnsi="Arial" w:cs="Arial"/>
          <w:color w:val="000000"/>
          <w:highlight w:val="white"/>
        </w:rPr>
        <w:t>Mosteanu</w:t>
      </w:r>
      <w:proofErr w:type="spellEnd"/>
      <w:r w:rsidRPr="004F0A10">
        <w:rPr>
          <w:rFonts w:ascii="Arial" w:hAnsi="Arial" w:cs="Arial"/>
          <w:color w:val="000000"/>
          <w:highlight w:val="white"/>
        </w:rPr>
        <w:t xml:space="preserve">, N.R. and </w:t>
      </w:r>
      <w:proofErr w:type="spellStart"/>
      <w:r w:rsidRPr="004F0A10">
        <w:rPr>
          <w:rFonts w:ascii="Arial" w:hAnsi="Arial" w:cs="Arial"/>
          <w:color w:val="000000"/>
          <w:highlight w:val="white"/>
        </w:rPr>
        <w:t>Faccia</w:t>
      </w:r>
      <w:proofErr w:type="spellEnd"/>
      <w:r w:rsidRPr="004F0A10">
        <w:rPr>
          <w:rFonts w:ascii="Arial" w:hAnsi="Arial" w:cs="Arial"/>
          <w:color w:val="000000"/>
          <w:highlight w:val="white"/>
        </w:rPr>
        <w:t xml:space="preserve">, A., 2020. Digital systems and new challenges of financial management–FinTech, XBRL, blockchain and cryptocurrencies. </w:t>
      </w:r>
      <w:r w:rsidRPr="004F0A10">
        <w:rPr>
          <w:rFonts w:ascii="Arial" w:hAnsi="Arial" w:cs="Arial"/>
          <w:i/>
          <w:color w:val="000000"/>
          <w:highlight w:val="white"/>
        </w:rPr>
        <w:t>Quality–Access to Success</w:t>
      </w:r>
      <w:r w:rsidRPr="004F0A10">
        <w:rPr>
          <w:rFonts w:ascii="Arial" w:hAnsi="Arial" w:cs="Arial"/>
          <w:color w:val="000000"/>
          <w:highlight w:val="white"/>
        </w:rPr>
        <w:t xml:space="preserve">, </w:t>
      </w:r>
      <w:r w:rsidRPr="004F0A10">
        <w:rPr>
          <w:rFonts w:ascii="Arial" w:hAnsi="Arial" w:cs="Arial"/>
          <w:i/>
          <w:color w:val="000000"/>
          <w:highlight w:val="white"/>
        </w:rPr>
        <w:t>21</w:t>
      </w:r>
      <w:r w:rsidRPr="004F0A10">
        <w:rPr>
          <w:rFonts w:ascii="Arial" w:hAnsi="Arial" w:cs="Arial"/>
          <w:color w:val="000000"/>
          <w:highlight w:val="white"/>
        </w:rPr>
        <w:t xml:space="preserve">(174), pp.159-166. </w:t>
      </w:r>
    </w:p>
    <w:p w:rsidR="00924EB1" w:rsidRPr="004F0A10" w:rsidRDefault="00924EB1" w:rsidP="00924EB1">
      <w:pPr>
        <w:pBdr>
          <w:top w:val="nil"/>
          <w:left w:val="nil"/>
          <w:bottom w:val="nil"/>
          <w:right w:val="nil"/>
          <w:between w:val="nil"/>
        </w:pBdr>
        <w:spacing w:after="280"/>
        <w:rPr>
          <w:rFonts w:ascii="Arial" w:hAnsi="Arial" w:cs="Arial"/>
          <w:color w:val="000000"/>
        </w:rPr>
      </w:pPr>
      <w:proofErr w:type="spellStart"/>
      <w:r w:rsidRPr="004F0A10">
        <w:rPr>
          <w:rFonts w:ascii="Arial" w:hAnsi="Arial" w:cs="Arial"/>
          <w:color w:val="000000"/>
        </w:rPr>
        <w:lastRenderedPageBreak/>
        <w:t>Rambeli</w:t>
      </w:r>
      <w:proofErr w:type="spellEnd"/>
      <w:r w:rsidRPr="004F0A10">
        <w:rPr>
          <w:rFonts w:ascii="Arial" w:hAnsi="Arial" w:cs="Arial"/>
          <w:color w:val="000000"/>
        </w:rPr>
        <w:t xml:space="preserve">, N., </w:t>
      </w:r>
      <w:proofErr w:type="spellStart"/>
      <w:r w:rsidRPr="004F0A10">
        <w:rPr>
          <w:rFonts w:ascii="Arial" w:hAnsi="Arial" w:cs="Arial"/>
          <w:color w:val="000000"/>
        </w:rPr>
        <w:t>Marikan</w:t>
      </w:r>
      <w:proofErr w:type="spellEnd"/>
      <w:r w:rsidRPr="004F0A10">
        <w:rPr>
          <w:rFonts w:ascii="Arial" w:hAnsi="Arial" w:cs="Arial"/>
          <w:color w:val="000000"/>
        </w:rPr>
        <w:t xml:space="preserve">, D.A.A., Hashim, A., </w:t>
      </w:r>
      <w:proofErr w:type="spellStart"/>
      <w:r w:rsidRPr="004F0A10">
        <w:rPr>
          <w:rFonts w:ascii="Arial" w:hAnsi="Arial" w:cs="Arial"/>
          <w:color w:val="000000"/>
        </w:rPr>
        <w:t>Podivinsky</w:t>
      </w:r>
      <w:proofErr w:type="spellEnd"/>
      <w:r w:rsidRPr="004F0A10">
        <w:rPr>
          <w:rFonts w:ascii="Arial" w:hAnsi="Arial" w:cs="Arial"/>
          <w:color w:val="000000"/>
        </w:rPr>
        <w:t xml:space="preserve">, J.M. and </w:t>
      </w:r>
      <w:proofErr w:type="spellStart"/>
      <w:r w:rsidRPr="004F0A10">
        <w:rPr>
          <w:rFonts w:ascii="Arial" w:hAnsi="Arial" w:cs="Arial"/>
          <w:color w:val="000000"/>
        </w:rPr>
        <w:t>Katmon</w:t>
      </w:r>
      <w:proofErr w:type="spellEnd"/>
      <w:r w:rsidRPr="004F0A10">
        <w:rPr>
          <w:rFonts w:ascii="Arial" w:hAnsi="Arial" w:cs="Arial"/>
          <w:color w:val="000000"/>
        </w:rPr>
        <w:t xml:space="preserve">, N., 2022. Testing for efficient market hypothesis on Malaysian’s stock market: does crisis regime matter?. </w:t>
      </w:r>
      <w:r w:rsidRPr="004F0A10">
        <w:rPr>
          <w:rFonts w:ascii="Arial" w:hAnsi="Arial" w:cs="Arial"/>
          <w:i/>
          <w:color w:val="000000"/>
        </w:rPr>
        <w:t>International Journal of Business and Society, 23</w:t>
      </w:r>
      <w:r w:rsidRPr="004F0A10">
        <w:rPr>
          <w:rFonts w:ascii="Arial" w:hAnsi="Arial" w:cs="Arial"/>
          <w:color w:val="000000"/>
        </w:rPr>
        <w:t>(3), pp.1813-1831.</w:t>
      </w:r>
    </w:p>
    <w:p w:rsidR="00924EB1" w:rsidRPr="004F0A10" w:rsidRDefault="00924EB1" w:rsidP="00924EB1">
      <w:pPr>
        <w:pBdr>
          <w:top w:val="nil"/>
          <w:left w:val="nil"/>
          <w:bottom w:val="nil"/>
          <w:right w:val="nil"/>
          <w:between w:val="nil"/>
        </w:pBdr>
        <w:shd w:val="clear" w:color="auto" w:fill="FFFFFF"/>
        <w:spacing w:before="0" w:after="280"/>
        <w:rPr>
          <w:rFonts w:ascii="Arial" w:hAnsi="Arial" w:cs="Arial"/>
          <w:color w:val="000000"/>
          <w:highlight w:val="white"/>
        </w:rPr>
      </w:pPr>
      <w:r w:rsidRPr="004F0A10">
        <w:rPr>
          <w:rFonts w:ascii="Arial" w:hAnsi="Arial" w:cs="Arial"/>
          <w:color w:val="222222"/>
          <w:highlight w:val="white"/>
        </w:rPr>
        <w:t xml:space="preserve">Unilever 2023. </w:t>
      </w:r>
      <w:r w:rsidRPr="004F0A10">
        <w:rPr>
          <w:rFonts w:ascii="Arial" w:hAnsi="Arial" w:cs="Arial"/>
          <w:i/>
          <w:color w:val="222222"/>
          <w:highlight w:val="white"/>
        </w:rPr>
        <w:t>The Governance of Unilever</w:t>
      </w:r>
      <w:r w:rsidRPr="004F0A10">
        <w:rPr>
          <w:rFonts w:ascii="Arial" w:hAnsi="Arial" w:cs="Arial"/>
          <w:color w:val="222222"/>
          <w:highlight w:val="white"/>
        </w:rPr>
        <w:t>. Available at:</w:t>
      </w:r>
      <w:hyperlink r:id="rId6">
        <w:r w:rsidRPr="004F0A10">
          <w:rPr>
            <w:rFonts w:ascii="Arial" w:hAnsi="Arial" w:cs="Arial"/>
            <w:color w:val="1155CC"/>
            <w:highlight w:val="white"/>
          </w:rPr>
          <w:t>https://www.unilever.com/files/a05bff1b-5b19-4c89-bf85-c085706e74f4/governance-of-unilever-2023.pdf</w:t>
        </w:r>
      </w:hyperlink>
      <w:r w:rsidRPr="004F0A10">
        <w:rPr>
          <w:rFonts w:ascii="Arial" w:hAnsi="Arial" w:cs="Arial"/>
          <w:color w:val="222222"/>
          <w:highlight w:val="white"/>
        </w:rPr>
        <w:t xml:space="preserve"> </w:t>
      </w:r>
      <w:r w:rsidRPr="004F0A10">
        <w:rPr>
          <w:rFonts w:ascii="Arial" w:hAnsi="Arial" w:cs="Arial"/>
          <w:color w:val="000000"/>
          <w:highlight w:val="white"/>
        </w:rPr>
        <w:t>[Accessed on 20 March 2024]</w:t>
      </w:r>
    </w:p>
    <w:p w:rsidR="00924EB1" w:rsidRPr="004F0A10" w:rsidRDefault="00924EB1" w:rsidP="00924EB1">
      <w:pPr>
        <w:pBdr>
          <w:top w:val="nil"/>
          <w:left w:val="nil"/>
          <w:bottom w:val="nil"/>
          <w:right w:val="nil"/>
          <w:between w:val="nil"/>
        </w:pBdr>
        <w:shd w:val="clear" w:color="auto" w:fill="FFFFFF"/>
        <w:spacing w:before="0" w:after="280"/>
        <w:rPr>
          <w:rFonts w:ascii="Arial" w:hAnsi="Arial" w:cs="Arial"/>
          <w:color w:val="000000"/>
          <w:highlight w:val="white"/>
        </w:rPr>
      </w:pPr>
      <w:r w:rsidRPr="004F0A10">
        <w:rPr>
          <w:rFonts w:ascii="Arial" w:hAnsi="Arial" w:cs="Arial"/>
          <w:color w:val="000000"/>
        </w:rPr>
        <w:t xml:space="preserve">Unilever 2024a. </w:t>
      </w:r>
      <w:r w:rsidRPr="004F0A10">
        <w:rPr>
          <w:rFonts w:ascii="Arial" w:hAnsi="Arial" w:cs="Arial"/>
          <w:i/>
          <w:color w:val="000000"/>
        </w:rPr>
        <w:t>A responsible taxpayer</w:t>
      </w:r>
      <w:r w:rsidRPr="004F0A10">
        <w:rPr>
          <w:rFonts w:ascii="Arial" w:hAnsi="Arial" w:cs="Arial"/>
          <w:color w:val="000000"/>
          <w:highlight w:val="white"/>
        </w:rPr>
        <w:t>. Available at:</w:t>
      </w:r>
      <w:hyperlink r:id="rId7">
        <w:r w:rsidRPr="004F0A10">
          <w:rPr>
            <w:rFonts w:ascii="Arial" w:hAnsi="Arial" w:cs="Arial"/>
            <w:color w:val="1155CC"/>
            <w:highlight w:val="white"/>
          </w:rPr>
          <w:t>https://www.unilever.com/planet-and-society/responsible-business/responsible-taxpayer/</w:t>
        </w:r>
      </w:hyperlink>
      <w:r w:rsidRPr="004F0A10">
        <w:rPr>
          <w:rFonts w:ascii="Arial" w:hAnsi="Arial" w:cs="Arial"/>
          <w:color w:val="000000"/>
          <w:highlight w:val="white"/>
        </w:rPr>
        <w:t xml:space="preserve"> [Accessed on 20 March 2024]</w:t>
      </w:r>
    </w:p>
    <w:p w:rsidR="00924EB1" w:rsidRPr="004F0A10" w:rsidRDefault="00924EB1" w:rsidP="00924EB1">
      <w:pPr>
        <w:pBdr>
          <w:top w:val="nil"/>
          <w:left w:val="nil"/>
          <w:bottom w:val="nil"/>
          <w:right w:val="nil"/>
          <w:between w:val="nil"/>
        </w:pBdr>
        <w:shd w:val="clear" w:color="auto" w:fill="FFFFFF"/>
        <w:spacing w:before="0" w:after="280"/>
        <w:rPr>
          <w:rFonts w:ascii="Arial" w:hAnsi="Arial" w:cs="Arial"/>
          <w:color w:val="000000"/>
          <w:highlight w:val="white"/>
        </w:rPr>
      </w:pPr>
      <w:r w:rsidRPr="004F0A10">
        <w:rPr>
          <w:rFonts w:ascii="Arial" w:hAnsi="Arial" w:cs="Arial"/>
          <w:color w:val="000000"/>
        </w:rPr>
        <w:t xml:space="preserve">Unilever 2024b. </w:t>
      </w:r>
      <w:r w:rsidRPr="004F0A10">
        <w:rPr>
          <w:rFonts w:ascii="Arial" w:hAnsi="Arial" w:cs="Arial"/>
          <w:i/>
          <w:color w:val="000000"/>
        </w:rPr>
        <w:t>Global footprint and reach</w:t>
      </w:r>
      <w:r w:rsidRPr="004F0A10">
        <w:rPr>
          <w:rFonts w:ascii="Arial" w:hAnsi="Arial" w:cs="Arial"/>
          <w:color w:val="000000"/>
          <w:highlight w:val="white"/>
        </w:rPr>
        <w:t xml:space="preserve">. Available </w:t>
      </w:r>
      <w:proofErr w:type="spellStart"/>
      <w:r w:rsidRPr="004F0A10">
        <w:rPr>
          <w:rFonts w:ascii="Arial" w:hAnsi="Arial" w:cs="Arial"/>
          <w:color w:val="000000"/>
          <w:highlight w:val="white"/>
        </w:rPr>
        <w:t>at:</w:t>
      </w:r>
      <w:hyperlink r:id="rId8">
        <w:r w:rsidRPr="004F0A10">
          <w:rPr>
            <w:rFonts w:ascii="Arial" w:hAnsi="Arial" w:cs="Arial"/>
            <w:color w:val="1155CC"/>
            <w:highlight w:val="white"/>
          </w:rPr>
          <w:t>https</w:t>
        </w:r>
        <w:proofErr w:type="spellEnd"/>
        <w:r w:rsidRPr="004F0A10">
          <w:rPr>
            <w:rFonts w:ascii="Arial" w:hAnsi="Arial" w:cs="Arial"/>
            <w:color w:val="1155CC"/>
            <w:highlight w:val="white"/>
          </w:rPr>
          <w:t>://www.unilever.com/our-company/at-a-glance/</w:t>
        </w:r>
      </w:hyperlink>
      <w:r w:rsidRPr="004F0A10">
        <w:rPr>
          <w:rFonts w:ascii="Arial" w:hAnsi="Arial" w:cs="Arial"/>
          <w:color w:val="000000"/>
          <w:highlight w:val="white"/>
        </w:rPr>
        <w:t xml:space="preserve"> [Accessed on 20 March 2024]</w:t>
      </w:r>
    </w:p>
    <w:p w:rsidR="00924EB1" w:rsidRPr="004F0A10" w:rsidRDefault="00924EB1" w:rsidP="00924EB1">
      <w:pPr>
        <w:pBdr>
          <w:top w:val="nil"/>
          <w:left w:val="nil"/>
          <w:bottom w:val="nil"/>
          <w:right w:val="nil"/>
          <w:between w:val="nil"/>
        </w:pBdr>
        <w:spacing w:after="280"/>
        <w:rPr>
          <w:rFonts w:ascii="Arial" w:hAnsi="Arial" w:cs="Arial"/>
          <w:color w:val="000000"/>
          <w:highlight w:val="white"/>
        </w:rPr>
      </w:pPr>
      <w:r w:rsidRPr="004F0A10">
        <w:rPr>
          <w:rFonts w:ascii="Arial" w:hAnsi="Arial" w:cs="Arial"/>
          <w:color w:val="000000"/>
        </w:rPr>
        <w:t xml:space="preserve">Unilever, 2021. </w:t>
      </w:r>
      <w:r w:rsidRPr="004F0A10">
        <w:rPr>
          <w:rFonts w:ascii="Arial" w:hAnsi="Arial" w:cs="Arial"/>
          <w:i/>
          <w:color w:val="000000"/>
        </w:rPr>
        <w:t xml:space="preserve">Dividend Distribution Policy. </w:t>
      </w:r>
      <w:r w:rsidRPr="004F0A10">
        <w:rPr>
          <w:rFonts w:ascii="Arial" w:hAnsi="Arial" w:cs="Arial"/>
          <w:color w:val="000000"/>
          <w:highlight w:val="white"/>
        </w:rPr>
        <w:t xml:space="preserve">Available at: </w:t>
      </w:r>
      <w:r w:rsidRPr="004F0A10">
        <w:rPr>
          <w:rFonts w:ascii="Arial" w:hAnsi="Arial" w:cs="Arial"/>
          <w:color w:val="000000"/>
        </w:rPr>
        <w:t xml:space="preserve">https://www.unilever.com/files/origin/2d2836c8027518c9a1609ec699ce9f46544d4c31.pdf/dividend-distribution-policy.pdf </w:t>
      </w:r>
      <w:r w:rsidRPr="004F0A10">
        <w:rPr>
          <w:rFonts w:ascii="Arial" w:hAnsi="Arial" w:cs="Arial"/>
          <w:color w:val="000000"/>
          <w:highlight w:val="white"/>
        </w:rPr>
        <w:t>[Accessed on 12 March 2024]</w:t>
      </w:r>
    </w:p>
    <w:p w:rsidR="00924EB1" w:rsidRPr="004F0A10" w:rsidRDefault="00924EB1" w:rsidP="00924EB1">
      <w:pPr>
        <w:pBdr>
          <w:top w:val="nil"/>
          <w:left w:val="nil"/>
          <w:bottom w:val="nil"/>
          <w:right w:val="nil"/>
          <w:between w:val="nil"/>
        </w:pBdr>
        <w:spacing w:after="280"/>
        <w:rPr>
          <w:rFonts w:ascii="Arial" w:hAnsi="Arial" w:cs="Arial"/>
          <w:color w:val="000000"/>
        </w:rPr>
      </w:pPr>
      <w:r w:rsidRPr="004F0A10">
        <w:rPr>
          <w:rFonts w:ascii="Arial" w:hAnsi="Arial" w:cs="Arial"/>
          <w:color w:val="000000"/>
        </w:rPr>
        <w:t xml:space="preserve">Unilever, 2024c. </w:t>
      </w:r>
      <w:r w:rsidRPr="004F0A10">
        <w:rPr>
          <w:rFonts w:ascii="Arial" w:hAnsi="Arial" w:cs="Arial"/>
          <w:i/>
          <w:color w:val="000000"/>
        </w:rPr>
        <w:t xml:space="preserve">Shareholder centre. </w:t>
      </w:r>
      <w:r w:rsidRPr="004F0A10">
        <w:rPr>
          <w:rFonts w:ascii="Arial" w:hAnsi="Arial" w:cs="Arial"/>
          <w:color w:val="000000"/>
          <w:highlight w:val="white"/>
        </w:rPr>
        <w:t xml:space="preserve">Available at: </w:t>
      </w:r>
      <w:r w:rsidRPr="004F0A10">
        <w:rPr>
          <w:rFonts w:ascii="Arial" w:hAnsi="Arial" w:cs="Arial"/>
          <w:color w:val="000000"/>
        </w:rPr>
        <w:t xml:space="preserve">https://www.unilever.com/investors/shareholder-centre/ </w:t>
      </w:r>
      <w:r w:rsidRPr="004F0A10">
        <w:rPr>
          <w:rFonts w:ascii="Arial" w:hAnsi="Arial" w:cs="Arial"/>
          <w:color w:val="000000"/>
          <w:highlight w:val="white"/>
        </w:rPr>
        <w:t>[Accessed on 10 March 2024]</w:t>
      </w:r>
    </w:p>
    <w:p w:rsidR="00924EB1" w:rsidRPr="004F0A10" w:rsidRDefault="00924EB1" w:rsidP="00924EB1">
      <w:pPr>
        <w:pBdr>
          <w:top w:val="nil"/>
          <w:left w:val="nil"/>
          <w:bottom w:val="nil"/>
          <w:right w:val="nil"/>
          <w:between w:val="nil"/>
        </w:pBdr>
        <w:spacing w:after="280"/>
        <w:rPr>
          <w:rFonts w:ascii="Arial" w:hAnsi="Arial" w:cs="Arial"/>
          <w:color w:val="000000"/>
        </w:rPr>
      </w:pPr>
      <w:r w:rsidRPr="004F0A10">
        <w:rPr>
          <w:rFonts w:ascii="Arial" w:hAnsi="Arial" w:cs="Arial"/>
          <w:color w:val="000000"/>
        </w:rPr>
        <w:t xml:space="preserve">Unilever, 2024d. </w:t>
      </w:r>
      <w:r w:rsidRPr="004F0A10">
        <w:rPr>
          <w:rFonts w:ascii="Arial" w:hAnsi="Arial" w:cs="Arial"/>
          <w:i/>
          <w:color w:val="000000"/>
        </w:rPr>
        <w:t xml:space="preserve">Unilever PLC dividend reinvestment plans. </w:t>
      </w:r>
      <w:r w:rsidRPr="004F0A10">
        <w:rPr>
          <w:rFonts w:ascii="Arial" w:hAnsi="Arial" w:cs="Arial"/>
          <w:color w:val="000000"/>
          <w:highlight w:val="white"/>
        </w:rPr>
        <w:t xml:space="preserve">Available at: </w:t>
      </w:r>
      <w:r w:rsidRPr="004F0A10">
        <w:rPr>
          <w:rFonts w:ascii="Arial" w:hAnsi="Arial" w:cs="Arial"/>
          <w:color w:val="000000"/>
        </w:rPr>
        <w:t xml:space="preserve">https://www.unilever.com/investors/shareholder-centre/unilever-plc-dividend-reinvestment-plans/ </w:t>
      </w:r>
      <w:r w:rsidRPr="004F0A10">
        <w:rPr>
          <w:rFonts w:ascii="Arial" w:hAnsi="Arial" w:cs="Arial"/>
          <w:color w:val="000000"/>
          <w:highlight w:val="white"/>
        </w:rPr>
        <w:t>[Accessed on 11 March 2024]</w:t>
      </w:r>
    </w:p>
    <w:p w:rsidR="00924EB1" w:rsidRPr="004F0A10" w:rsidRDefault="00924EB1" w:rsidP="00924EB1">
      <w:pPr>
        <w:pBdr>
          <w:top w:val="nil"/>
          <w:left w:val="nil"/>
          <w:bottom w:val="nil"/>
          <w:right w:val="nil"/>
          <w:between w:val="nil"/>
        </w:pBdr>
        <w:spacing w:after="280"/>
        <w:rPr>
          <w:rFonts w:ascii="Arial" w:hAnsi="Arial" w:cs="Arial"/>
          <w:color w:val="000000"/>
        </w:rPr>
      </w:pPr>
      <w:r w:rsidRPr="004F0A10">
        <w:rPr>
          <w:rFonts w:ascii="Arial" w:hAnsi="Arial" w:cs="Arial"/>
          <w:color w:val="000000"/>
        </w:rPr>
        <w:t xml:space="preserve">Unilever, 2024e. </w:t>
      </w:r>
      <w:r w:rsidRPr="004F0A10">
        <w:rPr>
          <w:rFonts w:ascii="Arial" w:hAnsi="Arial" w:cs="Arial"/>
          <w:i/>
          <w:color w:val="000000"/>
        </w:rPr>
        <w:t xml:space="preserve">Code of Business Principles and Code Policies. </w:t>
      </w:r>
      <w:r w:rsidRPr="004F0A10">
        <w:rPr>
          <w:rFonts w:ascii="Arial" w:hAnsi="Arial" w:cs="Arial"/>
          <w:color w:val="000000"/>
          <w:highlight w:val="white"/>
        </w:rPr>
        <w:t xml:space="preserve">Available at: </w:t>
      </w:r>
      <w:r w:rsidRPr="004F0A10">
        <w:rPr>
          <w:rFonts w:ascii="Arial" w:hAnsi="Arial" w:cs="Arial"/>
          <w:color w:val="000000"/>
        </w:rPr>
        <w:t xml:space="preserve">https://www.unilever.com/files/92ui5egz/production/a7ad961ef886a578ab4dd316b4e5195cbc0965a0.pdf </w:t>
      </w:r>
      <w:r w:rsidRPr="004F0A10">
        <w:rPr>
          <w:rFonts w:ascii="Arial" w:hAnsi="Arial" w:cs="Arial"/>
          <w:color w:val="000000"/>
          <w:highlight w:val="white"/>
        </w:rPr>
        <w:t>[Accessed on 16 March 2024]</w:t>
      </w:r>
    </w:p>
    <w:p w:rsidR="00924EB1" w:rsidRPr="004F0A10" w:rsidRDefault="00924EB1" w:rsidP="00924EB1">
      <w:pPr>
        <w:pBdr>
          <w:top w:val="nil"/>
          <w:left w:val="nil"/>
          <w:bottom w:val="nil"/>
          <w:right w:val="nil"/>
          <w:between w:val="nil"/>
        </w:pBdr>
        <w:shd w:val="clear" w:color="auto" w:fill="FFFFFF"/>
        <w:spacing w:before="0" w:after="280"/>
        <w:rPr>
          <w:rFonts w:ascii="Arial" w:hAnsi="Arial" w:cs="Arial"/>
          <w:color w:val="000000"/>
          <w:highlight w:val="white"/>
        </w:rPr>
      </w:pPr>
      <w:r w:rsidRPr="004F0A10">
        <w:rPr>
          <w:rFonts w:ascii="Arial" w:hAnsi="Arial" w:cs="Arial"/>
          <w:color w:val="222222"/>
          <w:highlight w:val="white"/>
        </w:rPr>
        <w:t xml:space="preserve">WEF 2021. </w:t>
      </w:r>
      <w:r w:rsidRPr="004F0A10">
        <w:rPr>
          <w:rFonts w:ascii="Arial" w:hAnsi="Arial" w:cs="Arial"/>
          <w:i/>
          <w:color w:val="222222"/>
          <w:highlight w:val="white"/>
        </w:rPr>
        <w:t>6 issues that will define the future of capital markets</w:t>
      </w:r>
      <w:r w:rsidRPr="004F0A10">
        <w:rPr>
          <w:rFonts w:ascii="Arial" w:hAnsi="Arial" w:cs="Arial"/>
          <w:color w:val="222222"/>
          <w:highlight w:val="white"/>
        </w:rPr>
        <w:t>. Available at:</w:t>
      </w:r>
      <w:hyperlink r:id="rId9">
        <w:r w:rsidRPr="004F0A10">
          <w:rPr>
            <w:rFonts w:ascii="Arial" w:hAnsi="Arial" w:cs="Arial"/>
            <w:color w:val="1155CC"/>
            <w:highlight w:val="white"/>
          </w:rPr>
          <w:t>https://www.weforum.org/agenda/2021/09/six-issues-to-define-the-future-of-capital-markets/</w:t>
        </w:r>
      </w:hyperlink>
      <w:r w:rsidRPr="004F0A10">
        <w:rPr>
          <w:rFonts w:ascii="Arial" w:hAnsi="Arial" w:cs="Arial"/>
          <w:color w:val="222222"/>
          <w:highlight w:val="white"/>
        </w:rPr>
        <w:t xml:space="preserve"> </w:t>
      </w:r>
      <w:r w:rsidRPr="004F0A10">
        <w:rPr>
          <w:rFonts w:ascii="Arial" w:hAnsi="Arial" w:cs="Arial"/>
          <w:color w:val="000000"/>
          <w:highlight w:val="white"/>
        </w:rPr>
        <w:t>[Accessed on 20 March 2024]</w:t>
      </w:r>
    </w:p>
    <w:p w:rsidR="00924EB1" w:rsidRPr="004F0A10" w:rsidRDefault="00924EB1" w:rsidP="00924EB1">
      <w:pPr>
        <w:pBdr>
          <w:top w:val="nil"/>
          <w:left w:val="nil"/>
          <w:bottom w:val="nil"/>
          <w:right w:val="nil"/>
          <w:between w:val="nil"/>
        </w:pBdr>
        <w:rPr>
          <w:rFonts w:ascii="Arial" w:hAnsi="Arial" w:cs="Arial"/>
          <w:color w:val="000000"/>
        </w:rPr>
      </w:pPr>
      <w:r w:rsidRPr="004F0A10">
        <w:rPr>
          <w:rFonts w:ascii="Arial" w:hAnsi="Arial" w:cs="Arial"/>
          <w:color w:val="000000"/>
        </w:rPr>
        <w:t xml:space="preserve">Xu, J., 2021. An Empirical Analysis of the Efficient Market Hypothesis in China’s Stock Market. </w:t>
      </w:r>
      <w:r w:rsidRPr="004F0A10">
        <w:rPr>
          <w:rFonts w:ascii="Arial" w:hAnsi="Arial" w:cs="Arial"/>
          <w:i/>
          <w:color w:val="000000"/>
        </w:rPr>
        <w:t>Proceedings of Business and Economic Studies, 4(</w:t>
      </w:r>
      <w:r w:rsidRPr="004F0A10">
        <w:rPr>
          <w:rFonts w:ascii="Arial" w:hAnsi="Arial" w:cs="Arial"/>
          <w:color w:val="000000"/>
        </w:rPr>
        <w:t xml:space="preserve">3), pp.1-5. </w:t>
      </w:r>
    </w:p>
    <w:p w:rsidR="008C504D" w:rsidRPr="004F0A10" w:rsidRDefault="008C504D">
      <w:pPr>
        <w:rPr>
          <w:rFonts w:ascii="Arial" w:hAnsi="Arial" w:cs="Arial"/>
        </w:rPr>
      </w:pPr>
    </w:p>
    <w:sectPr w:rsidR="008C504D" w:rsidRPr="004F0A10" w:rsidSect="004F0A10">
      <w:headerReference w:type="default" r:id="rId10"/>
      <w:footerReference w:type="even" r:id="rId11"/>
      <w:footerReference w:type="defaul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52C5B" w:rsidRDefault="00D52C5B">
      <w:pPr>
        <w:spacing w:before="0" w:after="0" w:line="240" w:lineRule="auto"/>
      </w:pPr>
      <w:r>
        <w:separator/>
      </w:r>
    </w:p>
  </w:endnote>
  <w:endnote w:type="continuationSeparator" w:id="0">
    <w:p w:rsidR="00D52C5B" w:rsidRDefault="00D52C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6075283"/>
      <w:docPartObj>
        <w:docPartGallery w:val="Page Numbers (Bottom of Page)"/>
        <w:docPartUnique/>
      </w:docPartObj>
    </w:sdtPr>
    <w:sdtContent>
      <w:p w:rsidR="004F0A10" w:rsidRDefault="004F0A10" w:rsidP="00122A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F0A10" w:rsidRDefault="004F0A10" w:rsidP="004F0A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571678"/>
      <w:docPartObj>
        <w:docPartGallery w:val="Page Numbers (Bottom of Page)"/>
        <w:docPartUnique/>
      </w:docPartObj>
    </w:sdtPr>
    <w:sdtContent>
      <w:p w:rsidR="004F0A10" w:rsidRDefault="004F0A10" w:rsidP="00122A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51D75" w:rsidRDefault="00000000" w:rsidP="004F0A10">
    <w:pPr>
      <w:pBdr>
        <w:top w:val="nil"/>
        <w:left w:val="nil"/>
        <w:bottom w:val="nil"/>
        <w:right w:val="nil"/>
        <w:between w:val="nil"/>
      </w:pBdr>
      <w:tabs>
        <w:tab w:val="center" w:pos="4513"/>
        <w:tab w:val="right" w:pos="9026"/>
      </w:tabs>
      <w:spacing w:before="0" w:after="0" w:line="240" w:lineRule="auto"/>
      <w:ind w:right="360"/>
      <w:jc w:val="right"/>
      <w:rPr>
        <w:color w:val="000000"/>
        <w:sz w:val="20"/>
        <w:szCs w:val="20"/>
      </w:rPr>
    </w:pPr>
    <w:r>
      <w:rPr>
        <w:color w:val="000000"/>
        <w:sz w:val="20"/>
        <w:szCs w:val="20"/>
      </w:rPr>
      <w:t xml:space="preserve">Page  of </w:t>
    </w:r>
    <w:r>
      <w:rPr>
        <w:color w:val="000000"/>
        <w:sz w:val="20"/>
        <w:szCs w:val="20"/>
      </w:rPr>
      <w:fldChar w:fldCharType="begin"/>
    </w:r>
    <w:r>
      <w:rPr>
        <w:color w:val="000000"/>
        <w:sz w:val="20"/>
        <w:szCs w:val="20"/>
      </w:rPr>
      <w:instrText>NUMPAGES</w:instrText>
    </w:r>
    <w:r>
      <w:rPr>
        <w:color w:val="000000"/>
        <w:sz w:val="20"/>
        <w:szCs w:val="20"/>
      </w:rPr>
      <w:fldChar w:fldCharType="separate"/>
    </w:r>
    <w:r>
      <w:rPr>
        <w:noProof/>
        <w:color w:val="000000"/>
        <w:sz w:val="20"/>
        <w:szCs w:val="20"/>
      </w:rPr>
      <w:t>10</w:t>
    </w:r>
    <w:r>
      <w:rPr>
        <w:color w:val="000000"/>
        <w:sz w:val="20"/>
        <w:szCs w:val="20"/>
      </w:rPr>
      <w:fldChar w:fldCharType="end"/>
    </w:r>
  </w:p>
  <w:p w:rsidR="00451D75" w:rsidRDefault="00451D75">
    <w:pPr>
      <w:pBdr>
        <w:top w:val="nil"/>
        <w:left w:val="nil"/>
        <w:bottom w:val="nil"/>
        <w:right w:val="nil"/>
        <w:between w:val="nil"/>
      </w:pBdr>
      <w:tabs>
        <w:tab w:val="center" w:pos="4513"/>
        <w:tab w:val="right" w:pos="9026"/>
      </w:tabs>
      <w:spacing w:before="0" w:after="0" w:line="240" w:lineRule="auto"/>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633236"/>
      <w:docPartObj>
        <w:docPartGallery w:val="Page Numbers (Bottom of Page)"/>
        <w:docPartUnique/>
      </w:docPartObj>
    </w:sdtPr>
    <w:sdtContent>
      <w:sdt>
        <w:sdtPr>
          <w:rPr>
            <w:sz w:val="20"/>
            <w:szCs w:val="20"/>
          </w:rPr>
          <w:id w:val="565050523"/>
          <w:docPartObj>
            <w:docPartGallery w:val="Page Numbers (Top of Page)"/>
            <w:docPartUnique/>
          </w:docPartObj>
        </w:sdtPr>
        <w:sdtContent>
          <w:p w:rsidR="00451D75" w:rsidRPr="008A4154" w:rsidRDefault="00000000">
            <w:pPr>
              <w:pStyle w:val="Footer"/>
              <w:jc w:val="right"/>
              <w:rPr>
                <w:sz w:val="20"/>
                <w:szCs w:val="20"/>
              </w:rPr>
            </w:pPr>
            <w:r w:rsidRPr="008A4154">
              <w:rPr>
                <w:sz w:val="20"/>
                <w:szCs w:val="20"/>
              </w:rPr>
              <w:t xml:space="preserve">Page </w:t>
            </w:r>
            <w:r w:rsidRPr="008A4154">
              <w:rPr>
                <w:sz w:val="20"/>
                <w:szCs w:val="20"/>
              </w:rPr>
              <w:fldChar w:fldCharType="begin"/>
            </w:r>
            <w:r w:rsidRPr="008A4154">
              <w:rPr>
                <w:sz w:val="20"/>
                <w:szCs w:val="20"/>
              </w:rPr>
              <w:instrText xml:space="preserve"> PAGE </w:instrText>
            </w:r>
            <w:r w:rsidRPr="008A4154">
              <w:rPr>
                <w:sz w:val="20"/>
                <w:szCs w:val="20"/>
              </w:rPr>
              <w:fldChar w:fldCharType="separate"/>
            </w:r>
            <w:r>
              <w:rPr>
                <w:noProof/>
                <w:sz w:val="20"/>
                <w:szCs w:val="20"/>
              </w:rPr>
              <w:t>0</w:t>
            </w:r>
            <w:r w:rsidRPr="008A4154">
              <w:rPr>
                <w:sz w:val="20"/>
                <w:szCs w:val="20"/>
              </w:rPr>
              <w:fldChar w:fldCharType="end"/>
            </w:r>
            <w:r w:rsidRPr="008A4154">
              <w:rPr>
                <w:sz w:val="20"/>
                <w:szCs w:val="20"/>
              </w:rPr>
              <w:t xml:space="preserve"> of </w:t>
            </w:r>
            <w:r w:rsidRPr="008A4154">
              <w:rPr>
                <w:sz w:val="20"/>
                <w:szCs w:val="20"/>
              </w:rPr>
              <w:fldChar w:fldCharType="begin"/>
            </w:r>
            <w:r w:rsidRPr="008A4154">
              <w:rPr>
                <w:sz w:val="20"/>
                <w:szCs w:val="20"/>
              </w:rPr>
              <w:instrText xml:space="preserve"> NUMPAGES  </w:instrText>
            </w:r>
            <w:r w:rsidRPr="008A4154">
              <w:rPr>
                <w:sz w:val="20"/>
                <w:szCs w:val="20"/>
              </w:rPr>
              <w:fldChar w:fldCharType="separate"/>
            </w:r>
            <w:r>
              <w:rPr>
                <w:noProof/>
                <w:sz w:val="20"/>
                <w:szCs w:val="20"/>
              </w:rPr>
              <w:t>10</w:t>
            </w:r>
            <w:r w:rsidRPr="008A4154">
              <w:rPr>
                <w:sz w:val="20"/>
                <w:szCs w:val="20"/>
              </w:rPr>
              <w:fldChar w:fldCharType="end"/>
            </w:r>
          </w:p>
        </w:sdtContent>
      </w:sdt>
    </w:sdtContent>
  </w:sdt>
  <w:p w:rsidR="00451D75" w:rsidRDefault="00451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52C5B" w:rsidRDefault="00D52C5B">
      <w:pPr>
        <w:spacing w:before="0" w:after="0" w:line="240" w:lineRule="auto"/>
      </w:pPr>
      <w:r>
        <w:separator/>
      </w:r>
    </w:p>
  </w:footnote>
  <w:footnote w:type="continuationSeparator" w:id="0">
    <w:p w:rsidR="00D52C5B" w:rsidRDefault="00D52C5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1D75" w:rsidRDefault="00451D75">
    <w:pPr>
      <w:pBdr>
        <w:top w:val="nil"/>
        <w:left w:val="nil"/>
        <w:bottom w:val="nil"/>
        <w:right w:val="nil"/>
        <w:between w:val="nil"/>
      </w:pBdr>
      <w:rPr>
        <w:b/>
        <w:color w:val="FF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EB1"/>
    <w:rsid w:val="003465F7"/>
    <w:rsid w:val="003C3ECE"/>
    <w:rsid w:val="003D3F63"/>
    <w:rsid w:val="004036A1"/>
    <w:rsid w:val="00406CCA"/>
    <w:rsid w:val="00451D75"/>
    <w:rsid w:val="004950B6"/>
    <w:rsid w:val="004F0A10"/>
    <w:rsid w:val="008C504D"/>
    <w:rsid w:val="00923ACF"/>
    <w:rsid w:val="00924EB1"/>
    <w:rsid w:val="00AB5C90"/>
    <w:rsid w:val="00B42ACA"/>
    <w:rsid w:val="00D52C5B"/>
    <w:rsid w:val="00D53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8C984797-8995-CD4E-8E45-0313EED53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EB1"/>
    <w:pPr>
      <w:spacing w:before="240" w:after="240" w:line="360" w:lineRule="auto"/>
      <w:jc w:val="both"/>
    </w:pPr>
    <w:rPr>
      <w:rFonts w:ascii="Times New Roman" w:eastAsia="Times New Roman" w:hAnsi="Times New Roman" w:cs="Times New Roman"/>
      <w:kern w:val="0"/>
      <w:lang w:val="en-IN"/>
      <w14:ligatures w14:val="none"/>
    </w:rPr>
  </w:style>
  <w:style w:type="paragraph" w:styleId="Heading1">
    <w:name w:val="heading 1"/>
    <w:basedOn w:val="Normal"/>
    <w:next w:val="Normal"/>
    <w:link w:val="Heading1Char"/>
    <w:rsid w:val="00924EB1"/>
    <w:pPr>
      <w:keepNext/>
      <w:keepLines/>
      <w:spacing w:before="480"/>
      <w:outlineLvl w:val="0"/>
    </w:pPr>
    <w:rPr>
      <w:b/>
      <w:sz w:val="28"/>
      <w:szCs w:val="28"/>
    </w:rPr>
  </w:style>
  <w:style w:type="paragraph" w:styleId="Heading2">
    <w:name w:val="heading 2"/>
    <w:basedOn w:val="Normal"/>
    <w:next w:val="Normal"/>
    <w:link w:val="Heading2Char"/>
    <w:uiPriority w:val="9"/>
    <w:semiHidden/>
    <w:unhideWhenUsed/>
    <w:qFormat/>
    <w:rsid w:val="003C3E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C3EC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4EB1"/>
    <w:rPr>
      <w:rFonts w:ascii="Times New Roman" w:eastAsia="Times New Roman" w:hAnsi="Times New Roman" w:cs="Times New Roman"/>
      <w:b/>
      <w:kern w:val="0"/>
      <w:sz w:val="28"/>
      <w:szCs w:val="28"/>
      <w:lang w:val="en-IN"/>
      <w14:ligatures w14:val="none"/>
    </w:rPr>
  </w:style>
  <w:style w:type="paragraph" w:styleId="Footer">
    <w:name w:val="footer"/>
    <w:basedOn w:val="Normal"/>
    <w:link w:val="FooterChar"/>
    <w:uiPriority w:val="99"/>
    <w:unhideWhenUsed/>
    <w:rsid w:val="00924EB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24EB1"/>
    <w:rPr>
      <w:rFonts w:ascii="Times New Roman" w:eastAsia="Times New Roman" w:hAnsi="Times New Roman" w:cs="Times New Roman"/>
      <w:kern w:val="0"/>
      <w:lang w:val="en-IN"/>
      <w14:ligatures w14:val="none"/>
    </w:rPr>
  </w:style>
  <w:style w:type="paragraph" w:styleId="TOC1">
    <w:name w:val="toc 1"/>
    <w:basedOn w:val="Normal"/>
    <w:next w:val="Normal"/>
    <w:autoRedefine/>
    <w:uiPriority w:val="39"/>
    <w:unhideWhenUsed/>
    <w:rsid w:val="00924EB1"/>
    <w:pPr>
      <w:spacing w:after="100"/>
    </w:pPr>
  </w:style>
  <w:style w:type="character" w:styleId="Hyperlink">
    <w:name w:val="Hyperlink"/>
    <w:basedOn w:val="DefaultParagraphFont"/>
    <w:uiPriority w:val="99"/>
    <w:unhideWhenUsed/>
    <w:rsid w:val="00924EB1"/>
    <w:rPr>
      <w:color w:val="0563C1" w:themeColor="hyperlink"/>
      <w:u w:val="single"/>
    </w:rPr>
  </w:style>
  <w:style w:type="paragraph" w:customStyle="1" w:styleId="Normal1">
    <w:name w:val="Normal1"/>
    <w:rsid w:val="004F0A10"/>
    <w:pPr>
      <w:spacing w:before="240" w:after="240" w:line="360" w:lineRule="auto"/>
      <w:jc w:val="both"/>
    </w:pPr>
    <w:rPr>
      <w:rFonts w:ascii="Times New Roman" w:eastAsia="Times New Roman" w:hAnsi="Times New Roman" w:cs="Times New Roman"/>
      <w:kern w:val="0"/>
      <w:lang w:val="en-IN" w:eastAsia="en-IN"/>
      <w14:ligatures w14:val="none"/>
    </w:rPr>
  </w:style>
  <w:style w:type="table" w:styleId="TableGrid">
    <w:name w:val="Table Grid"/>
    <w:basedOn w:val="TableNormal"/>
    <w:uiPriority w:val="39"/>
    <w:rsid w:val="004F0A1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F0A10"/>
  </w:style>
  <w:style w:type="character" w:customStyle="1" w:styleId="Heading2Char">
    <w:name w:val="Heading 2 Char"/>
    <w:basedOn w:val="DefaultParagraphFont"/>
    <w:link w:val="Heading2"/>
    <w:uiPriority w:val="9"/>
    <w:semiHidden/>
    <w:rsid w:val="003C3ECE"/>
    <w:rPr>
      <w:rFonts w:asciiTheme="majorHAnsi" w:eastAsiaTheme="majorEastAsia" w:hAnsiTheme="majorHAnsi" w:cstheme="majorBidi"/>
      <w:color w:val="2F5496" w:themeColor="accent1" w:themeShade="BF"/>
      <w:kern w:val="0"/>
      <w:sz w:val="26"/>
      <w:szCs w:val="26"/>
      <w:lang w:val="en-IN"/>
      <w14:ligatures w14:val="none"/>
    </w:rPr>
  </w:style>
  <w:style w:type="character" w:customStyle="1" w:styleId="Heading3Char">
    <w:name w:val="Heading 3 Char"/>
    <w:basedOn w:val="DefaultParagraphFont"/>
    <w:link w:val="Heading3"/>
    <w:uiPriority w:val="9"/>
    <w:semiHidden/>
    <w:rsid w:val="003C3ECE"/>
    <w:rPr>
      <w:rFonts w:asciiTheme="majorHAnsi" w:eastAsiaTheme="majorEastAsia" w:hAnsiTheme="majorHAnsi" w:cstheme="majorBidi"/>
      <w:color w:val="1F3763" w:themeColor="accent1" w:themeShade="7F"/>
      <w:kern w:val="0"/>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our-company/at-a-glance/" TargetMode="Externa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unilever.com/planet-and-society/responsible-business/responsible-taxpayer/"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lever.com/files/a05bff1b-5b19-4c89-bf85-c085706e74f4/governance-of-unilever-2023.pdf"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weforum.org/agenda/2021/09/six-issues-to-define-the-future-of-capital-marke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12</Pages>
  <Words>2605</Words>
  <Characters>16075</Characters>
  <Application>Microsoft Office Word</Application>
  <DocSecurity>0</DocSecurity>
  <Lines>282</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8</cp:revision>
  <dcterms:created xsi:type="dcterms:W3CDTF">2024-03-29T20:40:00Z</dcterms:created>
  <dcterms:modified xsi:type="dcterms:W3CDTF">2024-03-29T21:00:00Z</dcterms:modified>
  <cp:category/>
</cp:coreProperties>
</file>