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4536"/>
      </w:tblGrid>
      <w:tr w:rsidR="002B32DF" w:rsidRPr="00A406E5" w14:paraId="4555A017" w14:textId="77777777" w:rsidTr="00C1696A">
        <w:tc>
          <w:tcPr>
            <w:tcW w:w="2093" w:type="dxa"/>
          </w:tcPr>
          <w:p w14:paraId="44F83D6F" w14:textId="1803B93A" w:rsidR="002B32DF" w:rsidRPr="00A406E5" w:rsidRDefault="002B32DF" w:rsidP="00C1696A">
            <w:pPr>
              <w:spacing w:before="120" w:after="120"/>
              <w:jc w:val="both"/>
              <w:rPr>
                <w:rFonts w:ascii="Arial" w:hAnsi="Arial" w:cs="Arial"/>
                <w:b/>
              </w:rPr>
            </w:pPr>
            <w:r>
              <w:rPr>
                <w:rFonts w:ascii="Arial" w:hAnsi="Arial" w:cs="Arial"/>
                <w:b/>
              </w:rPr>
              <w:t>Student Name:</w:t>
            </w:r>
          </w:p>
        </w:tc>
        <w:tc>
          <w:tcPr>
            <w:tcW w:w="7829" w:type="dxa"/>
            <w:gridSpan w:val="2"/>
          </w:tcPr>
          <w:p w14:paraId="0259AD2F" w14:textId="57D9448C" w:rsidR="002B32DF" w:rsidRPr="00A406E5" w:rsidRDefault="002B32DF" w:rsidP="00C1696A">
            <w:pPr>
              <w:spacing w:before="120" w:after="120"/>
              <w:jc w:val="both"/>
              <w:rPr>
                <w:rFonts w:ascii="Arial" w:hAnsi="Arial" w:cs="Arial"/>
                <w:b/>
              </w:rPr>
            </w:pPr>
            <w:r>
              <w:rPr>
                <w:rFonts w:ascii="Arial" w:hAnsi="Arial" w:cs="Arial"/>
                <w:b/>
                <w:bCs/>
              </w:rPr>
              <w:t>Andreea Craciun</w:t>
            </w:r>
          </w:p>
        </w:tc>
      </w:tr>
      <w:tr w:rsidR="002B32DF" w:rsidRPr="00A406E5" w14:paraId="0E26AD07" w14:textId="77777777" w:rsidTr="00C1696A">
        <w:tc>
          <w:tcPr>
            <w:tcW w:w="2093" w:type="dxa"/>
          </w:tcPr>
          <w:p w14:paraId="34A58ABB" w14:textId="720227AC" w:rsidR="002B32DF" w:rsidRDefault="002B32DF" w:rsidP="00C1696A">
            <w:pPr>
              <w:spacing w:before="120" w:after="120"/>
              <w:jc w:val="both"/>
              <w:rPr>
                <w:rFonts w:ascii="Arial" w:hAnsi="Arial" w:cs="Arial"/>
                <w:b/>
              </w:rPr>
            </w:pPr>
            <w:r>
              <w:rPr>
                <w:rFonts w:ascii="Arial" w:hAnsi="Arial" w:cs="Arial"/>
                <w:b/>
              </w:rPr>
              <w:t>Student ID:</w:t>
            </w:r>
          </w:p>
        </w:tc>
        <w:tc>
          <w:tcPr>
            <w:tcW w:w="7829" w:type="dxa"/>
            <w:gridSpan w:val="2"/>
          </w:tcPr>
          <w:p w14:paraId="4DC809A4" w14:textId="5F63733D" w:rsidR="002B32DF" w:rsidRDefault="002B32DF" w:rsidP="00C1696A">
            <w:pPr>
              <w:spacing w:before="120" w:after="120"/>
              <w:jc w:val="both"/>
              <w:rPr>
                <w:rFonts w:ascii="Arial" w:hAnsi="Arial" w:cs="Arial"/>
                <w:b/>
                <w:bCs/>
              </w:rPr>
            </w:pPr>
            <w:r>
              <w:rPr>
                <w:rFonts w:ascii="Arial" w:hAnsi="Arial" w:cs="Arial"/>
                <w:b/>
                <w:bCs/>
              </w:rPr>
              <w:t>2212082</w:t>
            </w:r>
          </w:p>
        </w:tc>
      </w:tr>
      <w:tr w:rsidR="002B32DF" w:rsidRPr="00A406E5" w14:paraId="0FE488C5" w14:textId="77777777" w:rsidTr="00C1696A">
        <w:tc>
          <w:tcPr>
            <w:tcW w:w="2093" w:type="dxa"/>
          </w:tcPr>
          <w:p w14:paraId="00EB7F28" w14:textId="77777777" w:rsidR="002B32DF" w:rsidRPr="00A406E5" w:rsidRDefault="002B32DF" w:rsidP="00C1696A">
            <w:pPr>
              <w:spacing w:before="120" w:after="120"/>
              <w:jc w:val="both"/>
              <w:rPr>
                <w:rFonts w:ascii="Arial" w:hAnsi="Arial" w:cs="Arial"/>
                <w:b/>
              </w:rPr>
            </w:pPr>
            <w:r w:rsidRPr="00A406E5">
              <w:rPr>
                <w:rFonts w:ascii="Arial" w:hAnsi="Arial" w:cs="Arial"/>
                <w:b/>
              </w:rPr>
              <w:t>Module:</w:t>
            </w:r>
          </w:p>
        </w:tc>
        <w:tc>
          <w:tcPr>
            <w:tcW w:w="7829" w:type="dxa"/>
            <w:gridSpan w:val="2"/>
          </w:tcPr>
          <w:p w14:paraId="6579E21E" w14:textId="77777777" w:rsidR="002B32DF" w:rsidRPr="00A406E5" w:rsidRDefault="002B32DF" w:rsidP="00C1696A">
            <w:pPr>
              <w:spacing w:before="120" w:after="120"/>
              <w:rPr>
                <w:rFonts w:ascii="Arial" w:hAnsi="Arial" w:cs="Arial"/>
                <w:b/>
              </w:rPr>
            </w:pPr>
            <w:r w:rsidRPr="000C4A68">
              <w:rPr>
                <w:rFonts w:ascii="Arial" w:hAnsi="Arial" w:cs="Arial"/>
                <w:b/>
                <w:bCs/>
              </w:rPr>
              <w:t>Marketing Management</w:t>
            </w:r>
          </w:p>
        </w:tc>
      </w:tr>
      <w:tr w:rsidR="002B32DF" w:rsidRPr="00A406E5" w14:paraId="3EC7862D" w14:textId="77777777" w:rsidTr="00C1696A">
        <w:trPr>
          <w:gridAfter w:val="1"/>
          <w:wAfter w:w="4536" w:type="dxa"/>
        </w:trPr>
        <w:tc>
          <w:tcPr>
            <w:tcW w:w="2093" w:type="dxa"/>
          </w:tcPr>
          <w:p w14:paraId="4D5FB3C6" w14:textId="77777777" w:rsidR="002B32DF" w:rsidRPr="00A406E5" w:rsidRDefault="002B32DF" w:rsidP="00C1696A">
            <w:pPr>
              <w:spacing w:before="120" w:after="120"/>
              <w:jc w:val="both"/>
              <w:rPr>
                <w:rFonts w:ascii="Arial" w:hAnsi="Arial" w:cs="Arial"/>
                <w:b/>
              </w:rPr>
            </w:pPr>
            <w:r w:rsidRPr="00A406E5">
              <w:rPr>
                <w:rFonts w:ascii="Arial" w:hAnsi="Arial" w:cs="Arial"/>
                <w:b/>
              </w:rPr>
              <w:t>Module code:</w:t>
            </w:r>
          </w:p>
        </w:tc>
        <w:tc>
          <w:tcPr>
            <w:tcW w:w="3293" w:type="dxa"/>
          </w:tcPr>
          <w:p w14:paraId="6B809456" w14:textId="77777777" w:rsidR="002B32DF" w:rsidRPr="00A406E5" w:rsidRDefault="002B32DF" w:rsidP="00C1696A">
            <w:pPr>
              <w:spacing w:before="120" w:after="120"/>
              <w:jc w:val="both"/>
              <w:rPr>
                <w:rFonts w:ascii="Arial" w:hAnsi="Arial" w:cs="Arial"/>
                <w:b/>
              </w:rPr>
            </w:pPr>
            <w:r w:rsidRPr="000C4A68">
              <w:rPr>
                <w:rFonts w:ascii="Arial" w:hAnsi="Arial" w:cs="Arial"/>
                <w:b/>
                <w:bCs/>
              </w:rPr>
              <w:t>LCMB7024</w:t>
            </w:r>
          </w:p>
        </w:tc>
      </w:tr>
      <w:tr w:rsidR="002B32DF" w:rsidRPr="00A406E5" w14:paraId="1BC5E0B1" w14:textId="77777777" w:rsidTr="00C1696A">
        <w:trPr>
          <w:gridAfter w:val="1"/>
          <w:wAfter w:w="4536" w:type="dxa"/>
        </w:trPr>
        <w:tc>
          <w:tcPr>
            <w:tcW w:w="2093" w:type="dxa"/>
          </w:tcPr>
          <w:p w14:paraId="07734B96" w14:textId="77777777" w:rsidR="002B32DF" w:rsidRPr="00A406E5" w:rsidRDefault="002B32DF" w:rsidP="00C1696A">
            <w:pPr>
              <w:spacing w:before="120" w:after="120"/>
              <w:jc w:val="both"/>
              <w:rPr>
                <w:rFonts w:ascii="Arial" w:hAnsi="Arial" w:cs="Arial"/>
                <w:b/>
              </w:rPr>
            </w:pPr>
            <w:r w:rsidRPr="00A406E5">
              <w:rPr>
                <w:rFonts w:ascii="Arial" w:hAnsi="Arial" w:cs="Arial"/>
                <w:b/>
              </w:rPr>
              <w:t>Lecturer:</w:t>
            </w:r>
          </w:p>
        </w:tc>
        <w:tc>
          <w:tcPr>
            <w:tcW w:w="3293" w:type="dxa"/>
          </w:tcPr>
          <w:p w14:paraId="6D2767CC" w14:textId="77777777" w:rsidR="002B32DF" w:rsidRPr="00A406E5" w:rsidRDefault="002B32DF" w:rsidP="00C1696A">
            <w:pPr>
              <w:spacing w:before="120" w:after="120"/>
              <w:rPr>
                <w:rFonts w:ascii="Arial" w:hAnsi="Arial" w:cs="Arial"/>
                <w:b/>
              </w:rPr>
            </w:pPr>
            <w:r>
              <w:rPr>
                <w:rFonts w:ascii="Arial" w:hAnsi="Arial" w:cs="Arial"/>
                <w:b/>
              </w:rPr>
              <w:t>Dian Mayasari (Birmingham)</w:t>
            </w:r>
          </w:p>
        </w:tc>
      </w:tr>
      <w:tr w:rsidR="002B32DF" w:rsidRPr="00A406E5" w14:paraId="672E3E41" w14:textId="77777777" w:rsidTr="00C1696A">
        <w:trPr>
          <w:gridAfter w:val="1"/>
          <w:wAfter w:w="4536" w:type="dxa"/>
        </w:trPr>
        <w:tc>
          <w:tcPr>
            <w:tcW w:w="2093" w:type="dxa"/>
          </w:tcPr>
          <w:p w14:paraId="1149A937" w14:textId="77777777" w:rsidR="002B32DF" w:rsidRPr="00A406E5" w:rsidRDefault="002B32DF" w:rsidP="00C1696A">
            <w:pPr>
              <w:spacing w:before="120" w:after="120"/>
              <w:jc w:val="both"/>
              <w:rPr>
                <w:rFonts w:ascii="Arial" w:hAnsi="Arial" w:cs="Arial"/>
                <w:b/>
              </w:rPr>
            </w:pPr>
            <w:r w:rsidRPr="00A406E5">
              <w:rPr>
                <w:rFonts w:ascii="Arial" w:hAnsi="Arial" w:cs="Arial"/>
                <w:b/>
              </w:rPr>
              <w:t>Assignment Title:</w:t>
            </w:r>
          </w:p>
        </w:tc>
        <w:tc>
          <w:tcPr>
            <w:tcW w:w="3293" w:type="dxa"/>
          </w:tcPr>
          <w:p w14:paraId="51ED5E53" w14:textId="77777777" w:rsidR="002B32DF" w:rsidRPr="000C4A68" w:rsidRDefault="002B32DF" w:rsidP="00C1696A">
            <w:pPr>
              <w:spacing w:before="120" w:after="120"/>
              <w:rPr>
                <w:rFonts w:ascii="Arial" w:hAnsi="Arial" w:cs="Arial"/>
                <w:b/>
              </w:rPr>
            </w:pPr>
            <w:r w:rsidRPr="04255BE5">
              <w:rPr>
                <w:rFonts w:ascii="Arial" w:hAnsi="Arial" w:cs="Arial"/>
                <w:b/>
                <w:bCs/>
              </w:rPr>
              <w:t>Marketing Environment Analysis</w:t>
            </w:r>
          </w:p>
          <w:p w14:paraId="1A486A99" w14:textId="77777777" w:rsidR="002B32DF" w:rsidRPr="00A406E5" w:rsidRDefault="002B32DF" w:rsidP="00C1696A">
            <w:pPr>
              <w:spacing w:before="120" w:after="120"/>
              <w:rPr>
                <w:rFonts w:ascii="Arial" w:hAnsi="Arial" w:cs="Arial"/>
                <w:b/>
              </w:rPr>
            </w:pPr>
          </w:p>
        </w:tc>
      </w:tr>
    </w:tbl>
    <w:p w14:paraId="3973185C" w14:textId="77777777" w:rsidR="002B32DF" w:rsidRDefault="002B32DF" w:rsidP="002B32DF">
      <w:pPr>
        <w:rPr>
          <w:b/>
          <w:bCs/>
        </w:rPr>
      </w:pPr>
    </w:p>
    <w:p w14:paraId="61CFE4BF" w14:textId="77777777" w:rsidR="002B32DF" w:rsidRDefault="002B32DF" w:rsidP="002B32DF">
      <w:pPr>
        <w:rPr>
          <w:b/>
          <w:bCs/>
        </w:rPr>
      </w:pPr>
    </w:p>
    <w:p w14:paraId="06C40390" w14:textId="77777777" w:rsidR="002B32DF" w:rsidRDefault="002B32DF" w:rsidP="002B32DF">
      <w:pPr>
        <w:rPr>
          <w:b/>
          <w:bCs/>
        </w:rPr>
      </w:pPr>
    </w:p>
    <w:p w14:paraId="4FB68385" w14:textId="77777777" w:rsidR="002B32DF" w:rsidRDefault="002B32DF" w:rsidP="002B32DF">
      <w:pPr>
        <w:rPr>
          <w:b/>
          <w:bCs/>
        </w:rPr>
      </w:pPr>
    </w:p>
    <w:p w14:paraId="67C03B68" w14:textId="77777777" w:rsidR="002B32DF" w:rsidRDefault="002B32DF" w:rsidP="002B32DF">
      <w:pPr>
        <w:rPr>
          <w:b/>
          <w:bCs/>
        </w:rPr>
      </w:pPr>
    </w:p>
    <w:p w14:paraId="14B7FCB2" w14:textId="77777777" w:rsidR="002B32DF" w:rsidRDefault="002B32DF" w:rsidP="002B32DF">
      <w:pPr>
        <w:rPr>
          <w:b/>
          <w:bCs/>
        </w:rPr>
      </w:pPr>
    </w:p>
    <w:p w14:paraId="6CA583D2" w14:textId="77777777" w:rsidR="002B32DF" w:rsidRDefault="002B32DF" w:rsidP="002B32DF">
      <w:pPr>
        <w:rPr>
          <w:b/>
          <w:bCs/>
        </w:rPr>
      </w:pPr>
    </w:p>
    <w:p w14:paraId="4BFF5D5B" w14:textId="77777777" w:rsidR="002B32DF" w:rsidRDefault="002B32DF" w:rsidP="002B32DF">
      <w:pPr>
        <w:rPr>
          <w:b/>
          <w:bCs/>
        </w:rPr>
      </w:pPr>
    </w:p>
    <w:p w14:paraId="76BE8CFA" w14:textId="77777777" w:rsidR="002B32DF" w:rsidRDefault="002B32DF" w:rsidP="002B32DF">
      <w:pPr>
        <w:rPr>
          <w:b/>
          <w:bCs/>
        </w:rPr>
      </w:pPr>
    </w:p>
    <w:p w14:paraId="5483DBB1" w14:textId="77777777" w:rsidR="002B32DF" w:rsidRDefault="002B32DF" w:rsidP="002B32DF">
      <w:pPr>
        <w:rPr>
          <w:b/>
          <w:bCs/>
        </w:rPr>
      </w:pPr>
    </w:p>
    <w:p w14:paraId="6982AD80" w14:textId="77777777" w:rsidR="002B32DF" w:rsidRDefault="002B32DF" w:rsidP="002B32DF">
      <w:pPr>
        <w:rPr>
          <w:b/>
          <w:bCs/>
        </w:rPr>
      </w:pPr>
    </w:p>
    <w:p w14:paraId="1BD7F16D" w14:textId="77777777" w:rsidR="002B32DF" w:rsidRDefault="002B32DF" w:rsidP="002B32DF">
      <w:pPr>
        <w:rPr>
          <w:b/>
          <w:bCs/>
        </w:rPr>
      </w:pPr>
    </w:p>
    <w:p w14:paraId="5E1D350B" w14:textId="77777777" w:rsidR="002B32DF" w:rsidRDefault="002B32DF" w:rsidP="002B32DF">
      <w:pPr>
        <w:rPr>
          <w:b/>
          <w:bCs/>
        </w:rPr>
      </w:pPr>
    </w:p>
    <w:p w14:paraId="1AC45097" w14:textId="77777777" w:rsidR="002B32DF" w:rsidRDefault="002B32DF" w:rsidP="002B32DF">
      <w:pPr>
        <w:rPr>
          <w:b/>
          <w:bCs/>
        </w:rPr>
      </w:pPr>
    </w:p>
    <w:p w14:paraId="5D094F77" w14:textId="77777777" w:rsidR="002B32DF" w:rsidRDefault="002B32DF" w:rsidP="002B32DF">
      <w:pPr>
        <w:rPr>
          <w:b/>
          <w:bCs/>
        </w:rPr>
      </w:pPr>
    </w:p>
    <w:p w14:paraId="63073939" w14:textId="77777777" w:rsidR="002B32DF" w:rsidRDefault="002B32DF" w:rsidP="002B32DF">
      <w:pPr>
        <w:rPr>
          <w:b/>
          <w:bCs/>
        </w:rPr>
      </w:pPr>
    </w:p>
    <w:p w14:paraId="3D06CFF2" w14:textId="77777777" w:rsidR="002B32DF" w:rsidRDefault="002B32DF" w:rsidP="002B32DF">
      <w:pPr>
        <w:rPr>
          <w:b/>
          <w:bCs/>
        </w:rPr>
      </w:pPr>
    </w:p>
    <w:p w14:paraId="24E8B6EA" w14:textId="77777777" w:rsidR="002B32DF" w:rsidRDefault="002B32DF" w:rsidP="002B32DF">
      <w:pPr>
        <w:rPr>
          <w:b/>
          <w:bCs/>
        </w:rPr>
      </w:pPr>
    </w:p>
    <w:p w14:paraId="2680F6E4" w14:textId="77777777" w:rsidR="002B32DF" w:rsidRDefault="002B32DF" w:rsidP="002B32DF">
      <w:pPr>
        <w:rPr>
          <w:b/>
          <w:bCs/>
        </w:rPr>
      </w:pPr>
    </w:p>
    <w:p w14:paraId="6FAF576E" w14:textId="77777777" w:rsidR="002B32DF" w:rsidRDefault="002B32DF" w:rsidP="002B32DF">
      <w:pPr>
        <w:rPr>
          <w:b/>
          <w:bCs/>
        </w:rPr>
      </w:pPr>
    </w:p>
    <w:p w14:paraId="601D8EC4" w14:textId="77777777" w:rsidR="002B32DF" w:rsidRDefault="002B32DF" w:rsidP="002B32DF">
      <w:pPr>
        <w:rPr>
          <w:b/>
          <w:bCs/>
        </w:rPr>
      </w:pPr>
    </w:p>
    <w:p w14:paraId="7955C59F" w14:textId="77777777" w:rsidR="002B32DF" w:rsidRDefault="002B32DF" w:rsidP="002B32DF">
      <w:pPr>
        <w:rPr>
          <w:b/>
          <w:bCs/>
        </w:rPr>
      </w:pPr>
    </w:p>
    <w:p w14:paraId="2E856D62" w14:textId="77777777" w:rsidR="002B32DF" w:rsidRDefault="002B32DF" w:rsidP="002B32DF">
      <w:pPr>
        <w:tabs>
          <w:tab w:val="left" w:pos="10065"/>
        </w:tabs>
        <w:spacing w:line="360" w:lineRule="auto"/>
        <w:ind w:right="357"/>
        <w:rPr>
          <w:rFonts w:ascii="Arial" w:hAnsi="Arial" w:cs="Arial"/>
          <w:b/>
          <w:bCs/>
          <w:sz w:val="28"/>
          <w:szCs w:val="28"/>
        </w:rPr>
      </w:pPr>
      <w:r w:rsidRPr="004429BE">
        <w:rPr>
          <w:rFonts w:ascii="Arial" w:hAnsi="Arial" w:cs="Arial"/>
          <w:b/>
          <w:bCs/>
          <w:sz w:val="28"/>
          <w:szCs w:val="28"/>
        </w:rPr>
        <w:lastRenderedPageBreak/>
        <w:t>Marketing Environmental Analysis for Pioneers and Followers:</w:t>
      </w:r>
    </w:p>
    <w:p w14:paraId="32718E19" w14:textId="77777777" w:rsidR="002B32DF" w:rsidRPr="004429BE" w:rsidRDefault="002B32DF" w:rsidP="002B32DF">
      <w:pPr>
        <w:tabs>
          <w:tab w:val="left" w:pos="10065"/>
        </w:tabs>
        <w:spacing w:line="360" w:lineRule="auto"/>
        <w:ind w:right="357"/>
        <w:rPr>
          <w:rFonts w:ascii="Arial" w:hAnsi="Arial" w:cs="Arial"/>
          <w:b/>
          <w:bCs/>
          <w:sz w:val="28"/>
          <w:szCs w:val="28"/>
        </w:rPr>
      </w:pPr>
    </w:p>
    <w:p w14:paraId="2E6C3B34" w14:textId="74F2CA5D" w:rsidR="002B32DF" w:rsidRPr="002B32DF" w:rsidRDefault="002B32DF" w:rsidP="002B32DF">
      <w:pPr>
        <w:rPr>
          <w:rFonts w:ascii="Arial" w:hAnsi="Arial" w:cs="Arial"/>
          <w:b/>
          <w:bCs/>
        </w:rPr>
      </w:pPr>
      <w:r w:rsidRPr="002B32DF">
        <w:rPr>
          <w:rFonts w:ascii="Arial" w:hAnsi="Arial" w:cs="Arial"/>
          <w:b/>
          <w:bCs/>
        </w:rPr>
        <w:t>1. Introduction</w:t>
      </w:r>
    </w:p>
    <w:p w14:paraId="0928002D" w14:textId="77777777" w:rsidR="002B32DF" w:rsidRPr="002B32DF" w:rsidRDefault="002B32DF" w:rsidP="002B32DF">
      <w:pPr>
        <w:rPr>
          <w:rFonts w:ascii="Arial" w:hAnsi="Arial" w:cs="Arial"/>
        </w:rPr>
      </w:pPr>
      <w:r w:rsidRPr="002B32DF">
        <w:rPr>
          <w:rFonts w:ascii="Arial" w:hAnsi="Arial" w:cs="Arial"/>
        </w:rPr>
        <w:t>In the contemporary business landscape, the macro marketing environment plays a pivotal role in shaping strategic marketing decisions. Organisations must continuously monitor and respond to external environmental factors to maintain competitiveness and relevance (Kotler et al., 2022). The fashion industry, characterised by rapid innovation, volatile consumer preferences, and digital transformation, exemplifies how macro forces influence marketing strategy and competitive positioning.</w:t>
      </w:r>
    </w:p>
    <w:p w14:paraId="5E9B805C" w14:textId="77777777" w:rsidR="002B32DF" w:rsidRPr="002B32DF" w:rsidRDefault="002B32DF" w:rsidP="002B32DF">
      <w:pPr>
        <w:rPr>
          <w:rFonts w:ascii="Arial" w:hAnsi="Arial" w:cs="Arial"/>
        </w:rPr>
      </w:pPr>
      <w:r w:rsidRPr="002B32DF">
        <w:rPr>
          <w:rFonts w:ascii="Arial" w:hAnsi="Arial" w:cs="Arial"/>
        </w:rPr>
        <w:t>This paper critically analyses two key macro-environmental actors—</w:t>
      </w:r>
      <w:r w:rsidRPr="002B32DF">
        <w:rPr>
          <w:rFonts w:ascii="Arial" w:hAnsi="Arial" w:cs="Arial"/>
          <w:b/>
          <w:bCs/>
        </w:rPr>
        <w:t>technological</w:t>
      </w:r>
      <w:r w:rsidRPr="002B32DF">
        <w:rPr>
          <w:rFonts w:ascii="Arial" w:hAnsi="Arial" w:cs="Arial"/>
        </w:rPr>
        <w:t xml:space="preserve"> and </w:t>
      </w:r>
      <w:r w:rsidRPr="002B32DF">
        <w:rPr>
          <w:rFonts w:ascii="Arial" w:hAnsi="Arial" w:cs="Arial"/>
          <w:b/>
          <w:bCs/>
        </w:rPr>
        <w:t>sociocultural</w:t>
      </w:r>
      <w:r w:rsidRPr="002B32DF">
        <w:rPr>
          <w:rFonts w:ascii="Arial" w:hAnsi="Arial" w:cs="Arial"/>
        </w:rPr>
        <w:t xml:space="preserve"> factors—within the global fashion industry. It examines how changes in these actors create opportunities and threats for both </w:t>
      </w:r>
      <w:r w:rsidRPr="002B32DF">
        <w:rPr>
          <w:rFonts w:ascii="Arial" w:hAnsi="Arial" w:cs="Arial"/>
          <w:b/>
          <w:bCs/>
        </w:rPr>
        <w:t>pioneering</w:t>
      </w:r>
      <w:r w:rsidRPr="002B32DF">
        <w:rPr>
          <w:rFonts w:ascii="Arial" w:hAnsi="Arial" w:cs="Arial"/>
        </w:rPr>
        <w:t xml:space="preserve"> and </w:t>
      </w:r>
      <w:r w:rsidRPr="002B32DF">
        <w:rPr>
          <w:rFonts w:ascii="Arial" w:hAnsi="Arial" w:cs="Arial"/>
          <w:b/>
          <w:bCs/>
        </w:rPr>
        <w:t>follower</w:t>
      </w:r>
      <w:r w:rsidRPr="002B32DF">
        <w:rPr>
          <w:rFonts w:ascii="Arial" w:hAnsi="Arial" w:cs="Arial"/>
        </w:rPr>
        <w:t xml:space="preserve"> organisations, using </w:t>
      </w:r>
      <w:r w:rsidRPr="002B32DF">
        <w:rPr>
          <w:rFonts w:ascii="Arial" w:hAnsi="Arial" w:cs="Arial"/>
          <w:b/>
          <w:bCs/>
        </w:rPr>
        <w:t>Nike</w:t>
      </w:r>
      <w:r w:rsidRPr="002B32DF">
        <w:rPr>
          <w:rFonts w:ascii="Arial" w:hAnsi="Arial" w:cs="Arial"/>
        </w:rPr>
        <w:t xml:space="preserve"> as the pioneer and </w:t>
      </w:r>
      <w:r w:rsidRPr="002B32DF">
        <w:rPr>
          <w:rFonts w:ascii="Arial" w:hAnsi="Arial" w:cs="Arial"/>
          <w:b/>
          <w:bCs/>
        </w:rPr>
        <w:t>Adidas</w:t>
      </w:r>
      <w:r w:rsidRPr="002B32DF">
        <w:rPr>
          <w:rFonts w:ascii="Arial" w:hAnsi="Arial" w:cs="Arial"/>
        </w:rPr>
        <w:t xml:space="preserve"> as the follower. Building on this analysis, it evaluates how these firms strategically respond to external challenges and opportunities to sustain competitiveness. The discussion integrates relevant marketing theories, including </w:t>
      </w:r>
      <w:r w:rsidRPr="002B32DF">
        <w:rPr>
          <w:rFonts w:ascii="Arial" w:hAnsi="Arial" w:cs="Arial"/>
          <w:b/>
          <w:bCs/>
        </w:rPr>
        <w:t>Porter’s Competitive Strategies</w:t>
      </w:r>
      <w:r w:rsidRPr="002B32DF">
        <w:rPr>
          <w:rFonts w:ascii="Arial" w:hAnsi="Arial" w:cs="Arial"/>
        </w:rPr>
        <w:t xml:space="preserve">, </w:t>
      </w:r>
      <w:r w:rsidRPr="002B32DF">
        <w:rPr>
          <w:rFonts w:ascii="Arial" w:hAnsi="Arial" w:cs="Arial"/>
          <w:b/>
          <w:bCs/>
        </w:rPr>
        <w:t>Ansoff’s Matrix</w:t>
      </w:r>
      <w:r w:rsidRPr="002B32DF">
        <w:rPr>
          <w:rFonts w:ascii="Arial" w:hAnsi="Arial" w:cs="Arial"/>
        </w:rPr>
        <w:t xml:space="preserve">, and the </w:t>
      </w:r>
      <w:r w:rsidRPr="002B32DF">
        <w:rPr>
          <w:rFonts w:ascii="Arial" w:hAnsi="Arial" w:cs="Arial"/>
          <w:b/>
          <w:bCs/>
        </w:rPr>
        <w:t>Resource-Based View (RBV)</w:t>
      </w:r>
      <w:r w:rsidRPr="002B32DF">
        <w:rPr>
          <w:rFonts w:ascii="Arial" w:hAnsi="Arial" w:cs="Arial"/>
        </w:rPr>
        <w:t>, supported by academic literature and industry evidence.</w:t>
      </w:r>
    </w:p>
    <w:p w14:paraId="0E98243D" w14:textId="30ECABF0" w:rsidR="002B32DF" w:rsidRPr="002B32DF" w:rsidRDefault="002B32DF" w:rsidP="002B32DF">
      <w:pPr>
        <w:rPr>
          <w:rFonts w:ascii="Arial" w:hAnsi="Arial" w:cs="Arial"/>
        </w:rPr>
      </w:pPr>
    </w:p>
    <w:p w14:paraId="7DB2F154" w14:textId="77777777" w:rsidR="002B32DF" w:rsidRPr="002B32DF" w:rsidRDefault="002B32DF" w:rsidP="002B32DF">
      <w:pPr>
        <w:rPr>
          <w:rFonts w:ascii="Arial" w:hAnsi="Arial" w:cs="Arial"/>
          <w:b/>
          <w:bCs/>
        </w:rPr>
      </w:pPr>
      <w:r w:rsidRPr="002B32DF">
        <w:rPr>
          <w:rFonts w:ascii="Arial" w:hAnsi="Arial" w:cs="Arial"/>
          <w:b/>
          <w:bCs/>
        </w:rPr>
        <w:t>2. Task 1: Macro Marketing Environment Analysis</w:t>
      </w:r>
    </w:p>
    <w:p w14:paraId="54E1140F" w14:textId="77777777" w:rsidR="002B32DF" w:rsidRPr="002B32DF" w:rsidRDefault="002B32DF" w:rsidP="002B32DF">
      <w:pPr>
        <w:rPr>
          <w:rFonts w:ascii="Arial" w:hAnsi="Arial" w:cs="Arial"/>
          <w:b/>
          <w:bCs/>
        </w:rPr>
      </w:pPr>
      <w:r w:rsidRPr="002B32DF">
        <w:rPr>
          <w:rFonts w:ascii="Arial" w:hAnsi="Arial" w:cs="Arial"/>
          <w:b/>
          <w:bCs/>
        </w:rPr>
        <w:t>2.1 Technological Factors</w:t>
      </w:r>
    </w:p>
    <w:p w14:paraId="59CB56B1" w14:textId="77777777" w:rsidR="002B32DF" w:rsidRPr="002B32DF" w:rsidRDefault="002B32DF" w:rsidP="002B32DF">
      <w:pPr>
        <w:rPr>
          <w:rFonts w:ascii="Arial" w:hAnsi="Arial" w:cs="Arial"/>
        </w:rPr>
      </w:pPr>
      <w:r w:rsidRPr="002B32DF">
        <w:rPr>
          <w:rFonts w:ascii="Arial" w:hAnsi="Arial" w:cs="Arial"/>
        </w:rPr>
        <w:t>Technological advancement remains one of the most transformative forces in modern marketing. In the fashion industry, digital innovation influences product design, supply chain management, and consumer engagement. The proliferation of artificial intelligence (AI), augmented reality (AR), and e-commerce has redefined how brands interact with consumers (Deloitte, 2024).</w:t>
      </w:r>
    </w:p>
    <w:p w14:paraId="68C9BCEF" w14:textId="77777777" w:rsidR="002B32DF" w:rsidRPr="002B32DF" w:rsidRDefault="002B32DF" w:rsidP="002B32DF">
      <w:pPr>
        <w:rPr>
          <w:rFonts w:ascii="Arial" w:hAnsi="Arial" w:cs="Arial"/>
        </w:rPr>
      </w:pPr>
      <w:r w:rsidRPr="002B32DF">
        <w:rPr>
          <w:rFonts w:ascii="Arial" w:hAnsi="Arial" w:cs="Arial"/>
          <w:b/>
          <w:bCs/>
        </w:rPr>
        <w:t>Nike’s Perspective (Pioneer):</w:t>
      </w:r>
      <w:r w:rsidRPr="002B32DF">
        <w:rPr>
          <w:rFonts w:ascii="Arial" w:hAnsi="Arial" w:cs="Arial"/>
        </w:rPr>
        <w:br/>
        <w:t xml:space="preserve">As a technological pioneer, Nike has consistently leveraged emerging technologies to drive differentiation and customer engagement. Through platforms such as </w:t>
      </w:r>
      <w:r w:rsidRPr="002B32DF">
        <w:rPr>
          <w:rFonts w:ascii="Arial" w:hAnsi="Arial" w:cs="Arial"/>
          <w:b/>
          <w:bCs/>
        </w:rPr>
        <w:t>Nike Training Club</w:t>
      </w:r>
      <w:r w:rsidRPr="002B32DF">
        <w:rPr>
          <w:rFonts w:ascii="Arial" w:hAnsi="Arial" w:cs="Arial"/>
        </w:rPr>
        <w:t xml:space="preserve">, </w:t>
      </w:r>
      <w:r w:rsidRPr="002B32DF">
        <w:rPr>
          <w:rFonts w:ascii="Arial" w:hAnsi="Arial" w:cs="Arial"/>
          <w:b/>
          <w:bCs/>
        </w:rPr>
        <w:t>Nike Fit</w:t>
      </w:r>
      <w:r w:rsidRPr="002B32DF">
        <w:rPr>
          <w:rFonts w:ascii="Arial" w:hAnsi="Arial" w:cs="Arial"/>
        </w:rPr>
        <w:t xml:space="preserve">, and </w:t>
      </w:r>
      <w:r w:rsidRPr="002B32DF">
        <w:rPr>
          <w:rFonts w:ascii="Arial" w:hAnsi="Arial" w:cs="Arial"/>
          <w:b/>
          <w:bCs/>
        </w:rPr>
        <w:t>SNKRS</w:t>
      </w:r>
      <w:r w:rsidRPr="002B32DF">
        <w:rPr>
          <w:rFonts w:ascii="Arial" w:hAnsi="Arial" w:cs="Arial"/>
        </w:rPr>
        <w:t>, the company integrates digital technologies to personalise the consumer experience. The use of AI and data analytics allows Nike to predict consumer trends and optimise product recommendations (Statista, 2024). The firm’s investment in 3D printing and digital design tools accelerates innovation and sustainability by reducing material waste.</w:t>
      </w:r>
    </w:p>
    <w:p w14:paraId="1E620799" w14:textId="77777777" w:rsidR="002B32DF" w:rsidRPr="002B32DF" w:rsidRDefault="002B32DF" w:rsidP="002B32DF">
      <w:pPr>
        <w:rPr>
          <w:rFonts w:ascii="Arial" w:hAnsi="Arial" w:cs="Arial"/>
        </w:rPr>
      </w:pPr>
      <w:r w:rsidRPr="002B32DF">
        <w:rPr>
          <w:rFonts w:ascii="Arial" w:hAnsi="Arial" w:cs="Arial"/>
        </w:rPr>
        <w:t xml:space="preserve">These developments present opportunities for Nike to strengthen its direct-to-consumer (DTC) strategy and deepen brand loyalty. However, they also introduce </w:t>
      </w:r>
      <w:r w:rsidRPr="002B32DF">
        <w:rPr>
          <w:rFonts w:ascii="Arial" w:hAnsi="Arial" w:cs="Arial"/>
          <w:b/>
          <w:bCs/>
        </w:rPr>
        <w:t>threats</w:t>
      </w:r>
      <w:r w:rsidRPr="002B32DF">
        <w:rPr>
          <w:rFonts w:ascii="Arial" w:hAnsi="Arial" w:cs="Arial"/>
        </w:rPr>
        <w:t>—including the high cost of R&amp;D, dependence on data security, and rapid technology obsolescence. Moreover, technological innovation invites imitation, reducing the lifespan of competitive advantage (Porter, 1985).</w:t>
      </w:r>
    </w:p>
    <w:p w14:paraId="31CA4C34" w14:textId="77777777" w:rsidR="002B32DF" w:rsidRPr="002B32DF" w:rsidRDefault="002B32DF" w:rsidP="002B32DF">
      <w:pPr>
        <w:rPr>
          <w:rFonts w:ascii="Arial" w:hAnsi="Arial" w:cs="Arial"/>
        </w:rPr>
      </w:pPr>
      <w:r w:rsidRPr="002B32DF">
        <w:rPr>
          <w:rFonts w:ascii="Arial" w:hAnsi="Arial" w:cs="Arial"/>
          <w:b/>
          <w:bCs/>
        </w:rPr>
        <w:t>Adidas’s Perspective (Follower):</w:t>
      </w:r>
      <w:r w:rsidRPr="002B32DF">
        <w:rPr>
          <w:rFonts w:ascii="Arial" w:hAnsi="Arial" w:cs="Arial"/>
        </w:rPr>
        <w:br/>
        <w:t xml:space="preserve">As a follower, Adidas strategically monitors Nike’s technological innovations and adopts similar approaches after evaluating market outcomes. For instance, Adidas introduced the </w:t>
      </w:r>
      <w:r w:rsidRPr="002B32DF">
        <w:rPr>
          <w:rFonts w:ascii="Arial" w:hAnsi="Arial" w:cs="Arial"/>
          <w:b/>
          <w:bCs/>
        </w:rPr>
        <w:t>CONFIRMED app</w:t>
      </w:r>
      <w:r w:rsidRPr="002B32DF">
        <w:rPr>
          <w:rFonts w:ascii="Arial" w:hAnsi="Arial" w:cs="Arial"/>
        </w:rPr>
        <w:t xml:space="preserve"> and integrated 3D printing technology following Nike’s early adoption of </w:t>
      </w:r>
      <w:r w:rsidRPr="002B32DF">
        <w:rPr>
          <w:rFonts w:ascii="Arial" w:hAnsi="Arial" w:cs="Arial"/>
        </w:rPr>
        <w:lastRenderedPageBreak/>
        <w:t xml:space="preserve">digital customisation. Adidas’s </w:t>
      </w:r>
      <w:proofErr w:type="spellStart"/>
      <w:r w:rsidRPr="002B32DF">
        <w:rPr>
          <w:rFonts w:ascii="Arial" w:hAnsi="Arial" w:cs="Arial"/>
          <w:b/>
          <w:bCs/>
        </w:rPr>
        <w:t>Futurecraft</w:t>
      </w:r>
      <w:proofErr w:type="spellEnd"/>
      <w:r w:rsidRPr="002B32DF">
        <w:rPr>
          <w:rFonts w:ascii="Arial" w:hAnsi="Arial" w:cs="Arial"/>
          <w:b/>
          <w:bCs/>
        </w:rPr>
        <w:t xml:space="preserve"> 4D</w:t>
      </w:r>
      <w:r w:rsidRPr="002B32DF">
        <w:rPr>
          <w:rFonts w:ascii="Arial" w:hAnsi="Arial" w:cs="Arial"/>
        </w:rPr>
        <w:t xml:space="preserve"> line demonstrates selective innovation, using advanced technologies to enhance performance and sustainability (Adidas, 2024).</w:t>
      </w:r>
    </w:p>
    <w:p w14:paraId="38DA35A4" w14:textId="77777777" w:rsidR="002B32DF" w:rsidRPr="002B32DF" w:rsidRDefault="002B32DF" w:rsidP="002B32DF">
      <w:pPr>
        <w:rPr>
          <w:rFonts w:ascii="Arial" w:hAnsi="Arial" w:cs="Arial"/>
        </w:rPr>
      </w:pPr>
      <w:r w:rsidRPr="002B32DF">
        <w:rPr>
          <w:rFonts w:ascii="Arial" w:hAnsi="Arial" w:cs="Arial"/>
        </w:rPr>
        <w:t xml:space="preserve">The follower position offers opportunities for cost efficiency and risk reduction, as Adidas can capitalise on proven technologies without heavy initial investment. However, this strategy also exposes the firm to </w:t>
      </w:r>
      <w:r w:rsidRPr="002B32DF">
        <w:rPr>
          <w:rFonts w:ascii="Arial" w:hAnsi="Arial" w:cs="Arial"/>
          <w:b/>
          <w:bCs/>
        </w:rPr>
        <w:t>perceptual threats</w:t>
      </w:r>
      <w:r w:rsidRPr="002B32DF">
        <w:rPr>
          <w:rFonts w:ascii="Arial" w:hAnsi="Arial" w:cs="Arial"/>
        </w:rPr>
        <w:t>—being seen as a “fast follower” rather than an innovator—which may weaken its brand differentiation (Homburg, Jozić and Kuehnl, 2017).</w:t>
      </w:r>
    </w:p>
    <w:p w14:paraId="2648AABF" w14:textId="77777777" w:rsidR="002B32DF" w:rsidRPr="002B32DF" w:rsidRDefault="002B32DF" w:rsidP="002B32DF">
      <w:pPr>
        <w:rPr>
          <w:rFonts w:ascii="Arial" w:hAnsi="Arial" w:cs="Arial"/>
        </w:rPr>
      </w:pPr>
      <w:r w:rsidRPr="002B32DF">
        <w:rPr>
          <w:rFonts w:ascii="Arial" w:hAnsi="Arial" w:cs="Arial"/>
          <w:b/>
          <w:bCs/>
        </w:rPr>
        <w:t>Comparative Insight:</w:t>
      </w:r>
      <w:r w:rsidRPr="002B32DF">
        <w:rPr>
          <w:rFonts w:ascii="Arial" w:hAnsi="Arial" w:cs="Arial"/>
        </w:rPr>
        <w:br/>
        <w:t xml:space="preserve">Technological change benefits both pioneers and followers but in different ways. Nike’s proactive approach aligns with the </w:t>
      </w:r>
      <w:r w:rsidRPr="002B32DF">
        <w:rPr>
          <w:rFonts w:ascii="Arial" w:hAnsi="Arial" w:cs="Arial"/>
          <w:i/>
          <w:iCs/>
        </w:rPr>
        <w:t>first-mover advantage theory</w:t>
      </w:r>
      <w:r w:rsidRPr="002B32DF">
        <w:rPr>
          <w:rFonts w:ascii="Arial" w:hAnsi="Arial" w:cs="Arial"/>
        </w:rPr>
        <w:t xml:space="preserve"> (Lieberman and Montgomery, 1988), enabling early customer adoption and strong brand association with innovation. Adidas’s adaptive strategy reflects a </w:t>
      </w:r>
      <w:r w:rsidRPr="002B32DF">
        <w:rPr>
          <w:rFonts w:ascii="Arial" w:hAnsi="Arial" w:cs="Arial"/>
          <w:i/>
          <w:iCs/>
        </w:rPr>
        <w:t>second-mover advantage</w:t>
      </w:r>
      <w:r w:rsidRPr="002B32DF">
        <w:rPr>
          <w:rFonts w:ascii="Arial" w:hAnsi="Arial" w:cs="Arial"/>
        </w:rPr>
        <w:t>, focusing on efficiency and reduced market uncertainty.</w:t>
      </w:r>
    </w:p>
    <w:p w14:paraId="71F2A475" w14:textId="77777777" w:rsidR="002B32DF" w:rsidRPr="002B32DF" w:rsidRDefault="002B32DF" w:rsidP="002B32DF">
      <w:pPr>
        <w:rPr>
          <w:rFonts w:ascii="Arial" w:hAnsi="Arial" w:cs="Arial"/>
        </w:rPr>
      </w:pPr>
    </w:p>
    <w:p w14:paraId="2B05393F" w14:textId="77777777" w:rsidR="002B32DF" w:rsidRPr="002B32DF" w:rsidRDefault="002B32DF" w:rsidP="002B32DF">
      <w:pPr>
        <w:rPr>
          <w:rFonts w:ascii="Arial" w:hAnsi="Arial" w:cs="Arial"/>
          <w:b/>
          <w:bCs/>
        </w:rPr>
      </w:pPr>
      <w:r w:rsidRPr="002B32DF">
        <w:rPr>
          <w:rFonts w:ascii="Arial" w:hAnsi="Arial" w:cs="Arial"/>
          <w:b/>
          <w:bCs/>
        </w:rPr>
        <w:t>2.2 Sociocultural Factors</w:t>
      </w:r>
    </w:p>
    <w:p w14:paraId="0271E1C2" w14:textId="77777777" w:rsidR="002B32DF" w:rsidRPr="002B32DF" w:rsidRDefault="002B32DF" w:rsidP="002B32DF">
      <w:pPr>
        <w:rPr>
          <w:rFonts w:ascii="Arial" w:hAnsi="Arial" w:cs="Arial"/>
        </w:rPr>
      </w:pPr>
      <w:r w:rsidRPr="002B32DF">
        <w:rPr>
          <w:rFonts w:ascii="Arial" w:hAnsi="Arial" w:cs="Arial"/>
        </w:rPr>
        <w:t>Sociocultural shifts—such as sustainability awareness, inclusivity, and ethical consumption—are redefining fashion consumer behaviour (Solomon et al., 2022). Consumers increasingly expect brands to reflect social values and environmental responsibility, especially among younger demographics like Gen Z and Millennials (Mintel, 2024).</w:t>
      </w:r>
    </w:p>
    <w:p w14:paraId="65EE87F8" w14:textId="77777777" w:rsidR="002B32DF" w:rsidRPr="002B32DF" w:rsidRDefault="002B32DF" w:rsidP="002B32DF">
      <w:pPr>
        <w:rPr>
          <w:rFonts w:ascii="Arial" w:hAnsi="Arial" w:cs="Arial"/>
        </w:rPr>
      </w:pPr>
      <w:r w:rsidRPr="002B32DF">
        <w:rPr>
          <w:rFonts w:ascii="Arial" w:hAnsi="Arial" w:cs="Arial"/>
          <w:b/>
          <w:bCs/>
        </w:rPr>
        <w:t>Nike’s Perspective (Pioneer):</w:t>
      </w:r>
      <w:r w:rsidRPr="002B32DF">
        <w:rPr>
          <w:rFonts w:ascii="Arial" w:hAnsi="Arial" w:cs="Arial"/>
        </w:rPr>
        <w:br/>
        <w:t xml:space="preserve">Nike has embedded sociocultural awareness into its brand identity. The </w:t>
      </w:r>
      <w:r w:rsidRPr="002B32DF">
        <w:rPr>
          <w:rFonts w:ascii="Arial" w:hAnsi="Arial" w:cs="Arial"/>
          <w:b/>
          <w:bCs/>
        </w:rPr>
        <w:t>Move to Zero</w:t>
      </w:r>
      <w:r w:rsidRPr="002B32DF">
        <w:rPr>
          <w:rFonts w:ascii="Arial" w:hAnsi="Arial" w:cs="Arial"/>
        </w:rPr>
        <w:t xml:space="preserve"> campaign demonstrates a commitment to sustainability and carbon neutrality, while initiatives like </w:t>
      </w:r>
      <w:r w:rsidRPr="002B32DF">
        <w:rPr>
          <w:rFonts w:ascii="Arial" w:hAnsi="Arial" w:cs="Arial"/>
          <w:b/>
          <w:bCs/>
        </w:rPr>
        <w:t>Nike’s Equality Campaign</w:t>
      </w:r>
      <w:r w:rsidRPr="002B32DF">
        <w:rPr>
          <w:rFonts w:ascii="Arial" w:hAnsi="Arial" w:cs="Arial"/>
        </w:rPr>
        <w:t xml:space="preserve"> advocate social justice and inclusivity. Nike’s strategic use of purpose-driven marketing aligns with the concept of </w:t>
      </w:r>
      <w:r w:rsidRPr="002B32DF">
        <w:rPr>
          <w:rFonts w:ascii="Arial" w:hAnsi="Arial" w:cs="Arial"/>
          <w:b/>
          <w:bCs/>
        </w:rPr>
        <w:t>brand activism</w:t>
      </w:r>
      <w:r w:rsidRPr="002B32DF">
        <w:rPr>
          <w:rFonts w:ascii="Arial" w:hAnsi="Arial" w:cs="Arial"/>
        </w:rPr>
        <w:t>, which emphasises corporate engagement with societal issues (Kotler and Sarkar, 2018).</w:t>
      </w:r>
    </w:p>
    <w:p w14:paraId="0AE333A7" w14:textId="77777777" w:rsidR="002B32DF" w:rsidRPr="002B32DF" w:rsidRDefault="002B32DF" w:rsidP="002B32DF">
      <w:pPr>
        <w:rPr>
          <w:rFonts w:ascii="Arial" w:hAnsi="Arial" w:cs="Arial"/>
        </w:rPr>
      </w:pPr>
      <w:r w:rsidRPr="002B32DF">
        <w:rPr>
          <w:rFonts w:ascii="Arial" w:hAnsi="Arial" w:cs="Arial"/>
        </w:rPr>
        <w:t xml:space="preserve">These sociocultural adaptations create opportunities for Nike to build emotional resonance and brand loyalty. By aligning its marketing with consumer values, Nike strengthens its global image as a progressive and authentic brand. However, such activism also poses </w:t>
      </w:r>
      <w:r w:rsidRPr="002B32DF">
        <w:rPr>
          <w:rFonts w:ascii="Arial" w:hAnsi="Arial" w:cs="Arial"/>
          <w:b/>
          <w:bCs/>
        </w:rPr>
        <w:t>threats</w:t>
      </w:r>
      <w:r w:rsidRPr="002B32DF">
        <w:rPr>
          <w:rFonts w:ascii="Arial" w:hAnsi="Arial" w:cs="Arial"/>
        </w:rPr>
        <w:t>—particularly the risk of consumer backlash or accusations of “greenwashing” if claims are perceived as insincere (Porter and Kramer, 2019).</w:t>
      </w:r>
    </w:p>
    <w:p w14:paraId="49415021" w14:textId="77777777" w:rsidR="002B32DF" w:rsidRPr="002B32DF" w:rsidRDefault="002B32DF" w:rsidP="002B32DF">
      <w:pPr>
        <w:rPr>
          <w:rFonts w:ascii="Arial" w:hAnsi="Arial" w:cs="Arial"/>
        </w:rPr>
      </w:pPr>
      <w:r w:rsidRPr="002B32DF">
        <w:rPr>
          <w:rFonts w:ascii="Arial" w:hAnsi="Arial" w:cs="Arial"/>
          <w:b/>
          <w:bCs/>
        </w:rPr>
        <w:t>Adidas’s Perspective (Follower):</w:t>
      </w:r>
      <w:r w:rsidRPr="002B32DF">
        <w:rPr>
          <w:rFonts w:ascii="Arial" w:hAnsi="Arial" w:cs="Arial"/>
        </w:rPr>
        <w:br/>
        <w:t xml:space="preserve">Adidas has responded to similar sociocultural pressures by prioritising sustainability initiatives such as </w:t>
      </w:r>
      <w:r w:rsidRPr="002B32DF">
        <w:rPr>
          <w:rFonts w:ascii="Arial" w:hAnsi="Arial" w:cs="Arial"/>
          <w:b/>
          <w:bCs/>
        </w:rPr>
        <w:t>collaborations with Parley for the Oceans</w:t>
      </w:r>
      <w:r w:rsidRPr="002B32DF">
        <w:rPr>
          <w:rFonts w:ascii="Arial" w:hAnsi="Arial" w:cs="Arial"/>
        </w:rPr>
        <w:t>, where footwear is made from recycled ocean plastics. This approach mirrors Nike’s sustainability focus but distinguishes itself through partnership-based strategies. Adidas also promotes diversity in marketing, aligning with global movements for equality and representation (Adidas, 2024).</w:t>
      </w:r>
    </w:p>
    <w:p w14:paraId="69ABE03F" w14:textId="77777777" w:rsidR="002B32DF" w:rsidRPr="002B32DF" w:rsidRDefault="002B32DF" w:rsidP="002B32DF">
      <w:pPr>
        <w:rPr>
          <w:rFonts w:ascii="Arial" w:hAnsi="Arial" w:cs="Arial"/>
        </w:rPr>
      </w:pPr>
      <w:r w:rsidRPr="002B32DF">
        <w:rPr>
          <w:rFonts w:ascii="Arial" w:hAnsi="Arial" w:cs="Arial"/>
        </w:rPr>
        <w:t>The follower strategy enables Adidas to benefit from the public’s growing environmental consciousness while mitigating reputational risks by implementing tested approaches. However, delayed responses can reduce brand differentiation and make it challenging to lead consumer narratives.</w:t>
      </w:r>
    </w:p>
    <w:p w14:paraId="01C6BE10" w14:textId="77777777" w:rsidR="002B32DF" w:rsidRPr="002B32DF" w:rsidRDefault="002B32DF" w:rsidP="002B32DF">
      <w:pPr>
        <w:rPr>
          <w:rFonts w:ascii="Arial" w:hAnsi="Arial" w:cs="Arial"/>
        </w:rPr>
      </w:pPr>
      <w:r w:rsidRPr="002B32DF">
        <w:rPr>
          <w:rFonts w:ascii="Arial" w:hAnsi="Arial" w:cs="Arial"/>
          <w:b/>
          <w:bCs/>
        </w:rPr>
        <w:t>Comparative Insight:</w:t>
      </w:r>
      <w:r w:rsidRPr="002B32DF">
        <w:rPr>
          <w:rFonts w:ascii="Arial" w:hAnsi="Arial" w:cs="Arial"/>
        </w:rPr>
        <w:br/>
        <w:t xml:space="preserve">Both companies leverage sociocultural awareness to enhance brand equity, yet their strategic positions differ. Nike leads through proactive activism and emotional storytelling, whereas Adidas follows through structured sustainability partnerships. The contrast reflects different interpretations of </w:t>
      </w:r>
      <w:r w:rsidRPr="002B32DF">
        <w:rPr>
          <w:rFonts w:ascii="Arial" w:hAnsi="Arial" w:cs="Arial"/>
          <w:i/>
          <w:iCs/>
        </w:rPr>
        <w:t>corporate social responsibility (CSR)</w:t>
      </w:r>
      <w:r w:rsidRPr="002B32DF">
        <w:rPr>
          <w:rFonts w:ascii="Arial" w:hAnsi="Arial" w:cs="Arial"/>
        </w:rPr>
        <w:t xml:space="preserve"> within marketing management.</w:t>
      </w:r>
    </w:p>
    <w:p w14:paraId="407611E0" w14:textId="049C082F" w:rsidR="002B32DF" w:rsidRPr="002B32DF" w:rsidRDefault="002B32DF" w:rsidP="002B32DF">
      <w:pPr>
        <w:rPr>
          <w:rFonts w:ascii="Arial" w:hAnsi="Arial" w:cs="Arial"/>
        </w:rPr>
      </w:pPr>
    </w:p>
    <w:p w14:paraId="0C98A2B6" w14:textId="77777777" w:rsidR="002B32DF" w:rsidRPr="002B32DF" w:rsidRDefault="002B32DF" w:rsidP="002B32DF">
      <w:pPr>
        <w:rPr>
          <w:rFonts w:ascii="Arial" w:hAnsi="Arial" w:cs="Arial"/>
          <w:b/>
          <w:bCs/>
        </w:rPr>
      </w:pPr>
      <w:r w:rsidRPr="002B32DF">
        <w:rPr>
          <w:rFonts w:ascii="Arial" w:hAnsi="Arial" w:cs="Arial"/>
          <w:b/>
          <w:bCs/>
        </w:rPr>
        <w:t>3. Task 2: Strategic Responses of Pioneers and Followers</w:t>
      </w:r>
    </w:p>
    <w:p w14:paraId="56A6CC8C" w14:textId="77777777" w:rsidR="002B32DF" w:rsidRPr="002B32DF" w:rsidRDefault="002B32DF" w:rsidP="002B32DF">
      <w:pPr>
        <w:rPr>
          <w:rFonts w:ascii="Arial" w:hAnsi="Arial" w:cs="Arial"/>
          <w:b/>
          <w:bCs/>
        </w:rPr>
      </w:pPr>
      <w:r w:rsidRPr="002B32DF">
        <w:rPr>
          <w:rFonts w:ascii="Arial" w:hAnsi="Arial" w:cs="Arial"/>
          <w:b/>
          <w:bCs/>
        </w:rPr>
        <w:t>3.1 Strategic Responses to Technological Change</w:t>
      </w:r>
    </w:p>
    <w:p w14:paraId="58020C0C" w14:textId="77777777" w:rsidR="002B32DF" w:rsidRPr="002B32DF" w:rsidRDefault="002B32DF" w:rsidP="002B32DF">
      <w:pPr>
        <w:rPr>
          <w:rFonts w:ascii="Arial" w:hAnsi="Arial" w:cs="Arial"/>
        </w:rPr>
      </w:pPr>
      <w:r w:rsidRPr="002B32DF">
        <w:rPr>
          <w:rFonts w:ascii="Arial" w:hAnsi="Arial" w:cs="Arial"/>
        </w:rPr>
        <w:t xml:space="preserve">According to Porter’s (1985) </w:t>
      </w:r>
      <w:r w:rsidRPr="002B32DF">
        <w:rPr>
          <w:rFonts w:ascii="Arial" w:hAnsi="Arial" w:cs="Arial"/>
          <w:i/>
          <w:iCs/>
        </w:rPr>
        <w:t>competitive strategy model</w:t>
      </w:r>
      <w:r w:rsidRPr="002B32DF">
        <w:rPr>
          <w:rFonts w:ascii="Arial" w:hAnsi="Arial" w:cs="Arial"/>
        </w:rPr>
        <w:t xml:space="preserve">, firms can achieve advantage through cost leadership, differentiation, or focus. </w:t>
      </w:r>
      <w:proofErr w:type="gramStart"/>
      <w:r w:rsidRPr="002B32DF">
        <w:rPr>
          <w:rFonts w:ascii="Arial" w:hAnsi="Arial" w:cs="Arial"/>
        </w:rPr>
        <w:t>Nike’s</w:t>
      </w:r>
      <w:proofErr w:type="gramEnd"/>
      <w:r w:rsidRPr="002B32DF">
        <w:rPr>
          <w:rFonts w:ascii="Arial" w:hAnsi="Arial" w:cs="Arial"/>
        </w:rPr>
        <w:t xml:space="preserve"> and Adidas’s technological strategies align with differentiation and focus, respectively.</w:t>
      </w:r>
    </w:p>
    <w:p w14:paraId="6195057E" w14:textId="77777777" w:rsidR="002B32DF" w:rsidRPr="002B32DF" w:rsidRDefault="002B32DF" w:rsidP="002B32DF">
      <w:pPr>
        <w:rPr>
          <w:rFonts w:ascii="Arial" w:hAnsi="Arial" w:cs="Arial"/>
        </w:rPr>
      </w:pPr>
      <w:r w:rsidRPr="002B32DF">
        <w:rPr>
          <w:rFonts w:ascii="Arial" w:hAnsi="Arial" w:cs="Arial"/>
          <w:b/>
          <w:bCs/>
        </w:rPr>
        <w:t>Nike’s Response:</w:t>
      </w:r>
      <w:r w:rsidRPr="002B32DF">
        <w:rPr>
          <w:rFonts w:ascii="Arial" w:hAnsi="Arial" w:cs="Arial"/>
        </w:rPr>
        <w:br/>
        <w:t xml:space="preserve">Nike applies a </w:t>
      </w:r>
      <w:r w:rsidRPr="002B32DF">
        <w:rPr>
          <w:rFonts w:ascii="Arial" w:hAnsi="Arial" w:cs="Arial"/>
          <w:i/>
          <w:iCs/>
        </w:rPr>
        <w:t>technology-driven differentiation strategy</w:t>
      </w:r>
      <w:r w:rsidRPr="002B32DF">
        <w:rPr>
          <w:rFonts w:ascii="Arial" w:hAnsi="Arial" w:cs="Arial"/>
        </w:rPr>
        <w:t xml:space="preserve"> through digital ecosystems, leveraging platforms such as </w:t>
      </w:r>
      <w:proofErr w:type="spellStart"/>
      <w:r w:rsidRPr="002B32DF">
        <w:rPr>
          <w:rFonts w:ascii="Arial" w:hAnsi="Arial" w:cs="Arial"/>
          <w:b/>
          <w:bCs/>
        </w:rPr>
        <w:t>NikePlus</w:t>
      </w:r>
      <w:proofErr w:type="spellEnd"/>
      <w:r w:rsidRPr="002B32DF">
        <w:rPr>
          <w:rFonts w:ascii="Arial" w:hAnsi="Arial" w:cs="Arial"/>
          <w:b/>
          <w:bCs/>
        </w:rPr>
        <w:t xml:space="preserve"> Membership</w:t>
      </w:r>
      <w:r w:rsidRPr="002B32DF">
        <w:rPr>
          <w:rFonts w:ascii="Arial" w:hAnsi="Arial" w:cs="Arial"/>
        </w:rPr>
        <w:t xml:space="preserve">, </w:t>
      </w:r>
      <w:r w:rsidRPr="002B32DF">
        <w:rPr>
          <w:rFonts w:ascii="Arial" w:hAnsi="Arial" w:cs="Arial"/>
          <w:b/>
          <w:bCs/>
        </w:rPr>
        <w:t>SNKRS</w:t>
      </w:r>
      <w:r w:rsidRPr="002B32DF">
        <w:rPr>
          <w:rFonts w:ascii="Arial" w:hAnsi="Arial" w:cs="Arial"/>
        </w:rPr>
        <w:t xml:space="preserve">, and immersive retail technology. These tools integrate user data to enhance personalisation and drive engagement (Forbes, 2023). Additionally, Nike’s </w:t>
      </w:r>
      <w:r w:rsidRPr="002B32DF">
        <w:rPr>
          <w:rFonts w:ascii="Arial" w:hAnsi="Arial" w:cs="Arial"/>
          <w:b/>
          <w:bCs/>
        </w:rPr>
        <w:t>DTC model</w:t>
      </w:r>
      <w:r w:rsidRPr="002B32DF">
        <w:rPr>
          <w:rFonts w:ascii="Arial" w:hAnsi="Arial" w:cs="Arial"/>
        </w:rPr>
        <w:t xml:space="preserve"> allows it to collect first-hand consumer data, refine marketing communications, and reduce dependency on intermediaries.</w:t>
      </w:r>
    </w:p>
    <w:p w14:paraId="2D00AA83" w14:textId="77777777" w:rsidR="002B32DF" w:rsidRPr="002B32DF" w:rsidRDefault="002B32DF" w:rsidP="002B32DF">
      <w:pPr>
        <w:rPr>
          <w:rFonts w:ascii="Arial" w:hAnsi="Arial" w:cs="Arial"/>
        </w:rPr>
      </w:pPr>
      <w:r w:rsidRPr="002B32DF">
        <w:rPr>
          <w:rFonts w:ascii="Arial" w:hAnsi="Arial" w:cs="Arial"/>
        </w:rPr>
        <w:t xml:space="preserve">Nike’s technological responses align with </w:t>
      </w:r>
      <w:r w:rsidRPr="002B32DF">
        <w:rPr>
          <w:rFonts w:ascii="Arial" w:hAnsi="Arial" w:cs="Arial"/>
          <w:b/>
          <w:bCs/>
        </w:rPr>
        <w:t>Ansoff’s Market Development strategy</w:t>
      </w:r>
      <w:r w:rsidRPr="002B32DF">
        <w:rPr>
          <w:rFonts w:ascii="Arial" w:hAnsi="Arial" w:cs="Arial"/>
        </w:rPr>
        <w:t xml:space="preserve">, using digital innovation to enter new markets and strengthen brand-consumer relationships globally. The company’s proactive approach exemplifies the </w:t>
      </w:r>
      <w:r w:rsidRPr="002B32DF">
        <w:rPr>
          <w:rFonts w:ascii="Arial" w:hAnsi="Arial" w:cs="Arial"/>
          <w:b/>
          <w:bCs/>
        </w:rPr>
        <w:t>Resource-Based View (RBV)</w:t>
      </w:r>
      <w:r w:rsidRPr="002B32DF">
        <w:rPr>
          <w:rFonts w:ascii="Arial" w:hAnsi="Arial" w:cs="Arial"/>
        </w:rPr>
        <w:t>, using its unique digital capabilities as a core competitive asset.</w:t>
      </w:r>
    </w:p>
    <w:p w14:paraId="0D9A211C" w14:textId="77777777" w:rsidR="002B32DF" w:rsidRPr="002B32DF" w:rsidRDefault="002B32DF" w:rsidP="002B32DF">
      <w:pPr>
        <w:rPr>
          <w:rFonts w:ascii="Arial" w:hAnsi="Arial" w:cs="Arial"/>
        </w:rPr>
      </w:pPr>
      <w:r w:rsidRPr="002B32DF">
        <w:rPr>
          <w:rFonts w:ascii="Arial" w:hAnsi="Arial" w:cs="Arial"/>
          <w:b/>
          <w:bCs/>
        </w:rPr>
        <w:t>Adidas’s Response:</w:t>
      </w:r>
      <w:r w:rsidRPr="002B32DF">
        <w:rPr>
          <w:rFonts w:ascii="Arial" w:hAnsi="Arial" w:cs="Arial"/>
        </w:rPr>
        <w:br/>
        <w:t xml:space="preserve">Adidas’s strategy demonstrates </w:t>
      </w:r>
      <w:r w:rsidRPr="002B32DF">
        <w:rPr>
          <w:rFonts w:ascii="Arial" w:hAnsi="Arial" w:cs="Arial"/>
          <w:i/>
          <w:iCs/>
        </w:rPr>
        <w:t>adaptive innovation</w:t>
      </w:r>
      <w:r w:rsidRPr="002B32DF">
        <w:rPr>
          <w:rFonts w:ascii="Arial" w:hAnsi="Arial" w:cs="Arial"/>
        </w:rPr>
        <w:t xml:space="preserve">, characterised by selective technology adoption. Its </w:t>
      </w:r>
      <w:proofErr w:type="spellStart"/>
      <w:r w:rsidRPr="002B32DF">
        <w:rPr>
          <w:rFonts w:ascii="Arial" w:hAnsi="Arial" w:cs="Arial"/>
          <w:b/>
          <w:bCs/>
        </w:rPr>
        <w:t>Futurecraft</w:t>
      </w:r>
      <w:proofErr w:type="spellEnd"/>
      <w:r w:rsidRPr="002B32DF">
        <w:rPr>
          <w:rFonts w:ascii="Arial" w:hAnsi="Arial" w:cs="Arial"/>
          <w:b/>
          <w:bCs/>
        </w:rPr>
        <w:t xml:space="preserve"> 4D</w:t>
      </w:r>
      <w:r w:rsidRPr="002B32DF">
        <w:rPr>
          <w:rFonts w:ascii="Arial" w:hAnsi="Arial" w:cs="Arial"/>
        </w:rPr>
        <w:t xml:space="preserve"> technology exemplifies how followers can use technology for incremental rather than radical innovation. Adidas focuses on process efficiency, leveraging digital supply chain systems to reduce production lead times and support sustainability goals (Adidas, 2024).</w:t>
      </w:r>
    </w:p>
    <w:p w14:paraId="6CF4E784" w14:textId="77777777" w:rsidR="002B32DF" w:rsidRPr="002B32DF" w:rsidRDefault="002B32DF" w:rsidP="002B32DF">
      <w:pPr>
        <w:rPr>
          <w:rFonts w:ascii="Arial" w:hAnsi="Arial" w:cs="Arial"/>
        </w:rPr>
      </w:pPr>
      <w:r w:rsidRPr="002B32DF">
        <w:rPr>
          <w:rFonts w:ascii="Arial" w:hAnsi="Arial" w:cs="Arial"/>
        </w:rPr>
        <w:t xml:space="preserve">This aligns with the </w:t>
      </w:r>
      <w:r w:rsidRPr="002B32DF">
        <w:rPr>
          <w:rFonts w:ascii="Arial" w:hAnsi="Arial" w:cs="Arial"/>
          <w:i/>
          <w:iCs/>
        </w:rPr>
        <w:t>lean innovation approach</w:t>
      </w:r>
      <w:r w:rsidRPr="002B32DF">
        <w:rPr>
          <w:rFonts w:ascii="Arial" w:hAnsi="Arial" w:cs="Arial"/>
        </w:rPr>
        <w:t xml:space="preserve">, where firms integrate agility with cost-effectiveness. Adidas also uses </w:t>
      </w:r>
      <w:r w:rsidRPr="002B32DF">
        <w:rPr>
          <w:rFonts w:ascii="Arial" w:hAnsi="Arial" w:cs="Arial"/>
          <w:b/>
          <w:bCs/>
        </w:rPr>
        <w:t>benchmarking</w:t>
      </w:r>
      <w:r w:rsidRPr="002B32DF">
        <w:rPr>
          <w:rFonts w:ascii="Arial" w:hAnsi="Arial" w:cs="Arial"/>
        </w:rPr>
        <w:t xml:space="preserve"> to track competitors’ technological outcomes, ensuring strategic alignment without excessive experimentation (Hamel and Prahalad, 1994).</w:t>
      </w:r>
    </w:p>
    <w:p w14:paraId="0A62A393" w14:textId="77777777" w:rsidR="002B32DF" w:rsidRPr="002B32DF" w:rsidRDefault="002B32DF" w:rsidP="002B32DF">
      <w:pPr>
        <w:rPr>
          <w:rFonts w:ascii="Arial" w:hAnsi="Arial" w:cs="Arial"/>
        </w:rPr>
      </w:pPr>
      <w:r w:rsidRPr="002B32DF">
        <w:rPr>
          <w:rFonts w:ascii="Arial" w:hAnsi="Arial" w:cs="Arial"/>
          <w:b/>
          <w:bCs/>
        </w:rPr>
        <w:t>Comparative Evaluation:</w:t>
      </w:r>
      <w:r w:rsidRPr="002B32DF">
        <w:rPr>
          <w:rFonts w:ascii="Arial" w:hAnsi="Arial" w:cs="Arial"/>
        </w:rPr>
        <w:br/>
        <w:t>Nike’s proactive innovation creates early mover advantages but at high cost and risk. Adidas’s reactive innovation mitigates risk but can delay market impact. The key to success lies in balancing technological ambition with agility and operational execution.</w:t>
      </w:r>
    </w:p>
    <w:p w14:paraId="0529F22F" w14:textId="70F297DD" w:rsidR="002B32DF" w:rsidRPr="002B32DF" w:rsidRDefault="002B32DF" w:rsidP="002B32DF">
      <w:pPr>
        <w:rPr>
          <w:rFonts w:ascii="Arial" w:hAnsi="Arial" w:cs="Arial"/>
        </w:rPr>
      </w:pPr>
    </w:p>
    <w:p w14:paraId="353C95E5" w14:textId="77777777" w:rsidR="002B32DF" w:rsidRPr="002B32DF" w:rsidRDefault="002B32DF" w:rsidP="002B32DF">
      <w:pPr>
        <w:rPr>
          <w:rFonts w:ascii="Arial" w:hAnsi="Arial" w:cs="Arial"/>
          <w:b/>
          <w:bCs/>
        </w:rPr>
      </w:pPr>
      <w:r w:rsidRPr="002B32DF">
        <w:rPr>
          <w:rFonts w:ascii="Arial" w:hAnsi="Arial" w:cs="Arial"/>
          <w:b/>
          <w:bCs/>
        </w:rPr>
        <w:t>3.2 Strategic Responses to Sociocultural Change</w:t>
      </w:r>
    </w:p>
    <w:p w14:paraId="704F3B18" w14:textId="77777777" w:rsidR="002B32DF" w:rsidRPr="002B32DF" w:rsidRDefault="002B32DF" w:rsidP="002B32DF">
      <w:pPr>
        <w:rPr>
          <w:rFonts w:ascii="Arial" w:hAnsi="Arial" w:cs="Arial"/>
        </w:rPr>
      </w:pPr>
      <w:r w:rsidRPr="002B32DF">
        <w:rPr>
          <w:rFonts w:ascii="Arial" w:hAnsi="Arial" w:cs="Arial"/>
          <w:b/>
          <w:bCs/>
        </w:rPr>
        <w:t>Nike’s Response:</w:t>
      </w:r>
      <w:r w:rsidRPr="002B32DF">
        <w:rPr>
          <w:rFonts w:ascii="Arial" w:hAnsi="Arial" w:cs="Arial"/>
        </w:rPr>
        <w:br/>
        <w:t xml:space="preserve">Nike’s sociocultural strategy is built around </w:t>
      </w:r>
      <w:r w:rsidRPr="002B32DF">
        <w:rPr>
          <w:rFonts w:ascii="Arial" w:hAnsi="Arial" w:cs="Arial"/>
          <w:b/>
          <w:bCs/>
        </w:rPr>
        <w:t>brand purpose</w:t>
      </w:r>
      <w:r w:rsidRPr="002B32DF">
        <w:rPr>
          <w:rFonts w:ascii="Arial" w:hAnsi="Arial" w:cs="Arial"/>
        </w:rPr>
        <w:t xml:space="preserve"> and </w:t>
      </w:r>
      <w:r w:rsidRPr="002B32DF">
        <w:rPr>
          <w:rFonts w:ascii="Arial" w:hAnsi="Arial" w:cs="Arial"/>
          <w:b/>
          <w:bCs/>
        </w:rPr>
        <w:t>emotional engagement</w:t>
      </w:r>
      <w:r w:rsidRPr="002B32DF">
        <w:rPr>
          <w:rFonts w:ascii="Arial" w:hAnsi="Arial" w:cs="Arial"/>
        </w:rPr>
        <w:t>. Campaigns such as “</w:t>
      </w:r>
      <w:r w:rsidRPr="002B32DF">
        <w:rPr>
          <w:rFonts w:ascii="Arial" w:hAnsi="Arial" w:cs="Arial"/>
          <w:i/>
          <w:iCs/>
        </w:rPr>
        <w:t>You Can’t Stop Us</w:t>
      </w:r>
      <w:r w:rsidRPr="002B32DF">
        <w:rPr>
          <w:rFonts w:ascii="Arial" w:hAnsi="Arial" w:cs="Arial"/>
        </w:rPr>
        <w:t xml:space="preserve">” and collaborations with athletes like Colin Kaepernick reinforce Nike’s positioning as a socially conscious brand. These campaigns reflect </w:t>
      </w:r>
      <w:r w:rsidRPr="002B32DF">
        <w:rPr>
          <w:rFonts w:ascii="Arial" w:hAnsi="Arial" w:cs="Arial"/>
          <w:i/>
          <w:iCs/>
        </w:rPr>
        <w:t>brand activism</w:t>
      </w:r>
      <w:r w:rsidRPr="002B32DF">
        <w:rPr>
          <w:rFonts w:ascii="Arial" w:hAnsi="Arial" w:cs="Arial"/>
        </w:rPr>
        <w:t>, a concept where firms address social issues as part of marketing communication (Kotler and Sarkar, 2018).</w:t>
      </w:r>
    </w:p>
    <w:p w14:paraId="2A9AFDCF" w14:textId="77777777" w:rsidR="002B32DF" w:rsidRPr="002B32DF" w:rsidRDefault="002B32DF" w:rsidP="002B32DF">
      <w:pPr>
        <w:rPr>
          <w:rFonts w:ascii="Arial" w:hAnsi="Arial" w:cs="Arial"/>
        </w:rPr>
      </w:pPr>
      <w:r w:rsidRPr="002B32DF">
        <w:rPr>
          <w:rFonts w:ascii="Arial" w:hAnsi="Arial" w:cs="Arial"/>
        </w:rPr>
        <w:t xml:space="preserve">Nike also integrates sustainability into its </w:t>
      </w:r>
      <w:r w:rsidRPr="002B32DF">
        <w:rPr>
          <w:rFonts w:ascii="Arial" w:hAnsi="Arial" w:cs="Arial"/>
          <w:b/>
          <w:bCs/>
        </w:rPr>
        <w:t>value chain</w:t>
      </w:r>
      <w:r w:rsidRPr="002B32DF">
        <w:rPr>
          <w:rFonts w:ascii="Arial" w:hAnsi="Arial" w:cs="Arial"/>
        </w:rPr>
        <w:t xml:space="preserve">, from materials (e.g., </w:t>
      </w:r>
      <w:proofErr w:type="spellStart"/>
      <w:r w:rsidRPr="002B32DF">
        <w:rPr>
          <w:rFonts w:ascii="Arial" w:hAnsi="Arial" w:cs="Arial"/>
        </w:rPr>
        <w:t>Flyknit</w:t>
      </w:r>
      <w:proofErr w:type="spellEnd"/>
      <w:r w:rsidRPr="002B32DF">
        <w:rPr>
          <w:rFonts w:ascii="Arial" w:hAnsi="Arial" w:cs="Arial"/>
        </w:rPr>
        <w:t xml:space="preserve"> recycled fibres) to retail operations powered by renewable energy. This proactive approach supports </w:t>
      </w:r>
      <w:r w:rsidRPr="002B32DF">
        <w:rPr>
          <w:rFonts w:ascii="Arial" w:hAnsi="Arial" w:cs="Arial"/>
          <w:i/>
          <w:iCs/>
        </w:rPr>
        <w:t>Porter and Kramer’s (2011) Shared Value theory</w:t>
      </w:r>
      <w:r w:rsidRPr="002B32DF">
        <w:rPr>
          <w:rFonts w:ascii="Arial" w:hAnsi="Arial" w:cs="Arial"/>
        </w:rPr>
        <w:t>, aligning profitability with societal benefit. However, maintaining credibility requires consistent transparency and performance reporting.</w:t>
      </w:r>
    </w:p>
    <w:p w14:paraId="1707ABDE" w14:textId="77777777" w:rsidR="002B32DF" w:rsidRPr="002B32DF" w:rsidRDefault="002B32DF" w:rsidP="002B32DF">
      <w:pPr>
        <w:rPr>
          <w:rFonts w:ascii="Arial" w:hAnsi="Arial" w:cs="Arial"/>
        </w:rPr>
      </w:pPr>
      <w:r w:rsidRPr="002B32DF">
        <w:rPr>
          <w:rFonts w:ascii="Arial" w:hAnsi="Arial" w:cs="Arial"/>
          <w:b/>
          <w:bCs/>
        </w:rPr>
        <w:lastRenderedPageBreak/>
        <w:t>Adidas’s Response:</w:t>
      </w:r>
      <w:r w:rsidRPr="002B32DF">
        <w:rPr>
          <w:rFonts w:ascii="Arial" w:hAnsi="Arial" w:cs="Arial"/>
        </w:rPr>
        <w:br/>
        <w:t xml:space="preserve">Adidas’s sociocultural response is more collaborative. Its partnership with Parley and other NGOs underpins its sustainability agenda, focusing on </w:t>
      </w:r>
      <w:r w:rsidRPr="002B32DF">
        <w:rPr>
          <w:rFonts w:ascii="Arial" w:hAnsi="Arial" w:cs="Arial"/>
          <w:i/>
          <w:iCs/>
        </w:rPr>
        <w:t>collective brand activism</w:t>
      </w:r>
      <w:r w:rsidRPr="002B32DF">
        <w:rPr>
          <w:rFonts w:ascii="Arial" w:hAnsi="Arial" w:cs="Arial"/>
        </w:rPr>
        <w:t xml:space="preserve">. Adidas has also invested in circular economy initiatives such as the </w:t>
      </w:r>
      <w:proofErr w:type="spellStart"/>
      <w:r w:rsidRPr="002B32DF">
        <w:rPr>
          <w:rFonts w:ascii="Arial" w:hAnsi="Arial" w:cs="Arial"/>
          <w:b/>
          <w:bCs/>
        </w:rPr>
        <w:t>Futurecraft</w:t>
      </w:r>
      <w:proofErr w:type="spellEnd"/>
      <w:r w:rsidRPr="002B32DF">
        <w:rPr>
          <w:rFonts w:ascii="Arial" w:hAnsi="Arial" w:cs="Arial"/>
          <w:b/>
          <w:bCs/>
        </w:rPr>
        <w:t xml:space="preserve"> Loop</w:t>
      </w:r>
      <w:r w:rsidRPr="002B32DF">
        <w:rPr>
          <w:rFonts w:ascii="Arial" w:hAnsi="Arial" w:cs="Arial"/>
        </w:rPr>
        <w:t>, a fully recyclable shoe line (Adidas, 2024).</w:t>
      </w:r>
    </w:p>
    <w:p w14:paraId="1C5929EF" w14:textId="77777777" w:rsidR="002B32DF" w:rsidRPr="002B32DF" w:rsidRDefault="002B32DF" w:rsidP="002B32DF">
      <w:pPr>
        <w:rPr>
          <w:rFonts w:ascii="Arial" w:hAnsi="Arial" w:cs="Arial"/>
        </w:rPr>
      </w:pPr>
      <w:r w:rsidRPr="002B32DF">
        <w:rPr>
          <w:rFonts w:ascii="Arial" w:hAnsi="Arial" w:cs="Arial"/>
        </w:rPr>
        <w:t xml:space="preserve">From a strategic marketing perspective, this follower approach leverages </w:t>
      </w:r>
      <w:r w:rsidRPr="002B32DF">
        <w:rPr>
          <w:rFonts w:ascii="Arial" w:hAnsi="Arial" w:cs="Arial"/>
          <w:b/>
          <w:bCs/>
        </w:rPr>
        <w:t>co-branding</w:t>
      </w:r>
      <w:r w:rsidRPr="002B32DF">
        <w:rPr>
          <w:rFonts w:ascii="Arial" w:hAnsi="Arial" w:cs="Arial"/>
        </w:rPr>
        <w:t xml:space="preserve"> and </w:t>
      </w:r>
      <w:r w:rsidRPr="002B32DF">
        <w:rPr>
          <w:rFonts w:ascii="Arial" w:hAnsi="Arial" w:cs="Arial"/>
          <w:b/>
          <w:bCs/>
        </w:rPr>
        <w:t>alliance marketing</w:t>
      </w:r>
      <w:r w:rsidRPr="002B32DF">
        <w:rPr>
          <w:rFonts w:ascii="Arial" w:hAnsi="Arial" w:cs="Arial"/>
        </w:rPr>
        <w:t xml:space="preserve"> to share responsibility and amplify social impact (Hollensen, 2020). While this enhances authenticity and reduces reputational risk, it also limits Adidas’s ability to lead cultural conversations independently.</w:t>
      </w:r>
    </w:p>
    <w:p w14:paraId="23AA77D7" w14:textId="77777777" w:rsidR="002B32DF" w:rsidRPr="002B32DF" w:rsidRDefault="002B32DF" w:rsidP="002B32DF">
      <w:pPr>
        <w:rPr>
          <w:rFonts w:ascii="Arial" w:hAnsi="Arial" w:cs="Arial"/>
        </w:rPr>
      </w:pPr>
      <w:r w:rsidRPr="002B32DF">
        <w:rPr>
          <w:rFonts w:ascii="Arial" w:hAnsi="Arial" w:cs="Arial"/>
          <w:b/>
          <w:bCs/>
        </w:rPr>
        <w:t>Comparative Evaluation:</w:t>
      </w:r>
      <w:r w:rsidRPr="002B32DF">
        <w:rPr>
          <w:rFonts w:ascii="Arial" w:hAnsi="Arial" w:cs="Arial"/>
        </w:rPr>
        <w:br/>
        <w:t xml:space="preserve">Nike’s approach reflects </w:t>
      </w:r>
      <w:r w:rsidRPr="002B32DF">
        <w:rPr>
          <w:rFonts w:ascii="Arial" w:hAnsi="Arial" w:cs="Arial"/>
          <w:b/>
          <w:bCs/>
        </w:rPr>
        <w:t>first-mover leadership in sociocultural engagement</w:t>
      </w:r>
      <w:r w:rsidRPr="002B32DF">
        <w:rPr>
          <w:rFonts w:ascii="Arial" w:hAnsi="Arial" w:cs="Arial"/>
        </w:rPr>
        <w:t xml:space="preserve">, while Adidas’s collaborative model reflects </w:t>
      </w:r>
      <w:r w:rsidRPr="002B32DF">
        <w:rPr>
          <w:rFonts w:ascii="Arial" w:hAnsi="Arial" w:cs="Arial"/>
          <w:b/>
          <w:bCs/>
        </w:rPr>
        <w:t>adaptive alignment</w:t>
      </w:r>
      <w:r w:rsidRPr="002B32DF">
        <w:rPr>
          <w:rFonts w:ascii="Arial" w:hAnsi="Arial" w:cs="Arial"/>
        </w:rPr>
        <w:t>. Both strategies strengthen brand equity but differ in their influence scope: Nike leads narratives, Adidas sustains credibility through partnerships.</w:t>
      </w:r>
    </w:p>
    <w:p w14:paraId="5DC4278E" w14:textId="25B8DA3F" w:rsidR="002B32DF" w:rsidRPr="002B32DF" w:rsidRDefault="002B32DF" w:rsidP="002B32DF">
      <w:pPr>
        <w:rPr>
          <w:rFonts w:ascii="Arial" w:hAnsi="Arial" w:cs="Arial"/>
        </w:rPr>
      </w:pPr>
    </w:p>
    <w:p w14:paraId="492E521F" w14:textId="77777777" w:rsidR="002B32DF" w:rsidRPr="002B32DF" w:rsidRDefault="002B32DF" w:rsidP="002B32DF">
      <w:pPr>
        <w:rPr>
          <w:rFonts w:ascii="Arial" w:hAnsi="Arial" w:cs="Arial"/>
          <w:b/>
          <w:bCs/>
        </w:rPr>
      </w:pPr>
      <w:r w:rsidRPr="002B32DF">
        <w:rPr>
          <w:rFonts w:ascii="Arial" w:hAnsi="Arial" w:cs="Arial"/>
          <w:b/>
          <w:bCs/>
        </w:rPr>
        <w:t>4. Comparative Discussion</w:t>
      </w:r>
    </w:p>
    <w:p w14:paraId="11113972" w14:textId="77777777" w:rsidR="002B32DF" w:rsidRPr="002B32DF" w:rsidRDefault="002B32DF" w:rsidP="002B32DF">
      <w:pPr>
        <w:rPr>
          <w:rFonts w:ascii="Arial" w:hAnsi="Arial" w:cs="Arial"/>
        </w:rPr>
      </w:pPr>
      <w:r w:rsidRPr="002B32DF">
        <w:rPr>
          <w:rFonts w:ascii="Arial" w:hAnsi="Arial" w:cs="Arial"/>
        </w:rPr>
        <w:t>The comparative analysis of Nike and Adidas illustrates how pioneers and followers navigate macro-environmental challenges differently.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4"/>
        <w:gridCol w:w="3895"/>
        <w:gridCol w:w="3217"/>
      </w:tblGrid>
      <w:tr w:rsidR="002B32DF" w:rsidRPr="002B32DF" w14:paraId="3ACA9ECE" w14:textId="77777777">
        <w:trPr>
          <w:tblHeader/>
          <w:tblCellSpacing w:w="15" w:type="dxa"/>
        </w:trPr>
        <w:tc>
          <w:tcPr>
            <w:tcW w:w="0" w:type="auto"/>
            <w:vAlign w:val="center"/>
            <w:hideMark/>
          </w:tcPr>
          <w:p w14:paraId="5CD57725" w14:textId="77777777" w:rsidR="002B32DF" w:rsidRPr="002B32DF" w:rsidRDefault="002B32DF" w:rsidP="002B32DF">
            <w:pPr>
              <w:rPr>
                <w:rFonts w:ascii="Arial" w:hAnsi="Arial" w:cs="Arial"/>
                <w:b/>
                <w:bCs/>
              </w:rPr>
            </w:pPr>
            <w:r w:rsidRPr="002B32DF">
              <w:rPr>
                <w:rFonts w:ascii="Arial" w:hAnsi="Arial" w:cs="Arial"/>
                <w:b/>
                <w:bCs/>
              </w:rPr>
              <w:t>Dimension</w:t>
            </w:r>
          </w:p>
        </w:tc>
        <w:tc>
          <w:tcPr>
            <w:tcW w:w="0" w:type="auto"/>
            <w:vAlign w:val="center"/>
            <w:hideMark/>
          </w:tcPr>
          <w:p w14:paraId="0448B125" w14:textId="77777777" w:rsidR="002B32DF" w:rsidRPr="002B32DF" w:rsidRDefault="002B32DF" w:rsidP="002B32DF">
            <w:pPr>
              <w:rPr>
                <w:rFonts w:ascii="Arial" w:hAnsi="Arial" w:cs="Arial"/>
                <w:b/>
                <w:bCs/>
              </w:rPr>
            </w:pPr>
            <w:r w:rsidRPr="002B32DF">
              <w:rPr>
                <w:rFonts w:ascii="Arial" w:hAnsi="Arial" w:cs="Arial"/>
                <w:b/>
                <w:bCs/>
              </w:rPr>
              <w:t>Nike (Pioneer)</w:t>
            </w:r>
          </w:p>
        </w:tc>
        <w:tc>
          <w:tcPr>
            <w:tcW w:w="0" w:type="auto"/>
            <w:vAlign w:val="center"/>
            <w:hideMark/>
          </w:tcPr>
          <w:p w14:paraId="73C07EBA" w14:textId="77777777" w:rsidR="002B32DF" w:rsidRPr="002B32DF" w:rsidRDefault="002B32DF" w:rsidP="002B32DF">
            <w:pPr>
              <w:rPr>
                <w:rFonts w:ascii="Arial" w:hAnsi="Arial" w:cs="Arial"/>
                <w:b/>
                <w:bCs/>
              </w:rPr>
            </w:pPr>
            <w:r w:rsidRPr="002B32DF">
              <w:rPr>
                <w:rFonts w:ascii="Arial" w:hAnsi="Arial" w:cs="Arial"/>
                <w:b/>
                <w:bCs/>
              </w:rPr>
              <w:t>Adidas (Follower)</w:t>
            </w:r>
          </w:p>
        </w:tc>
      </w:tr>
      <w:tr w:rsidR="002B32DF" w:rsidRPr="002B32DF" w14:paraId="7262B26F" w14:textId="77777777">
        <w:trPr>
          <w:tblCellSpacing w:w="15" w:type="dxa"/>
        </w:trPr>
        <w:tc>
          <w:tcPr>
            <w:tcW w:w="0" w:type="auto"/>
            <w:vAlign w:val="center"/>
            <w:hideMark/>
          </w:tcPr>
          <w:p w14:paraId="0A3B1AC8" w14:textId="77777777" w:rsidR="002B32DF" w:rsidRPr="002B32DF" w:rsidRDefault="002B32DF" w:rsidP="002B32DF">
            <w:pPr>
              <w:rPr>
                <w:rFonts w:ascii="Arial" w:hAnsi="Arial" w:cs="Arial"/>
              </w:rPr>
            </w:pPr>
            <w:r w:rsidRPr="002B32DF">
              <w:rPr>
                <w:rFonts w:ascii="Arial" w:hAnsi="Arial" w:cs="Arial"/>
                <w:b/>
                <w:bCs/>
              </w:rPr>
              <w:t>Technological Focus</w:t>
            </w:r>
          </w:p>
        </w:tc>
        <w:tc>
          <w:tcPr>
            <w:tcW w:w="0" w:type="auto"/>
            <w:vAlign w:val="center"/>
            <w:hideMark/>
          </w:tcPr>
          <w:p w14:paraId="187F2B3F" w14:textId="77777777" w:rsidR="002B32DF" w:rsidRPr="002B32DF" w:rsidRDefault="002B32DF" w:rsidP="002B32DF">
            <w:pPr>
              <w:rPr>
                <w:rFonts w:ascii="Arial" w:hAnsi="Arial" w:cs="Arial"/>
              </w:rPr>
            </w:pPr>
            <w:r w:rsidRPr="002B32DF">
              <w:rPr>
                <w:rFonts w:ascii="Arial" w:hAnsi="Arial" w:cs="Arial"/>
              </w:rPr>
              <w:t>Radical innovation, AI-driven personalisation, DTC platforms</w:t>
            </w:r>
          </w:p>
        </w:tc>
        <w:tc>
          <w:tcPr>
            <w:tcW w:w="0" w:type="auto"/>
            <w:vAlign w:val="center"/>
            <w:hideMark/>
          </w:tcPr>
          <w:p w14:paraId="61AAD964" w14:textId="77777777" w:rsidR="002B32DF" w:rsidRPr="002B32DF" w:rsidRDefault="002B32DF" w:rsidP="002B32DF">
            <w:pPr>
              <w:rPr>
                <w:rFonts w:ascii="Arial" w:hAnsi="Arial" w:cs="Arial"/>
              </w:rPr>
            </w:pPr>
            <w:r w:rsidRPr="002B32DF">
              <w:rPr>
                <w:rFonts w:ascii="Arial" w:hAnsi="Arial" w:cs="Arial"/>
              </w:rPr>
              <w:t>Incremental innovation, process optimisation</w:t>
            </w:r>
          </w:p>
        </w:tc>
      </w:tr>
      <w:tr w:rsidR="002B32DF" w:rsidRPr="002B32DF" w14:paraId="29D85E7D" w14:textId="77777777">
        <w:trPr>
          <w:tblCellSpacing w:w="15" w:type="dxa"/>
        </w:trPr>
        <w:tc>
          <w:tcPr>
            <w:tcW w:w="0" w:type="auto"/>
            <w:vAlign w:val="center"/>
            <w:hideMark/>
          </w:tcPr>
          <w:p w14:paraId="4F6435BF" w14:textId="77777777" w:rsidR="002B32DF" w:rsidRPr="002B32DF" w:rsidRDefault="002B32DF" w:rsidP="002B32DF">
            <w:pPr>
              <w:rPr>
                <w:rFonts w:ascii="Arial" w:hAnsi="Arial" w:cs="Arial"/>
              </w:rPr>
            </w:pPr>
            <w:r w:rsidRPr="002B32DF">
              <w:rPr>
                <w:rFonts w:ascii="Arial" w:hAnsi="Arial" w:cs="Arial"/>
                <w:b/>
                <w:bCs/>
              </w:rPr>
              <w:t>Sociocultural Focus</w:t>
            </w:r>
          </w:p>
        </w:tc>
        <w:tc>
          <w:tcPr>
            <w:tcW w:w="0" w:type="auto"/>
            <w:vAlign w:val="center"/>
            <w:hideMark/>
          </w:tcPr>
          <w:p w14:paraId="526ED01B" w14:textId="77777777" w:rsidR="002B32DF" w:rsidRPr="002B32DF" w:rsidRDefault="002B32DF" w:rsidP="002B32DF">
            <w:pPr>
              <w:rPr>
                <w:rFonts w:ascii="Arial" w:hAnsi="Arial" w:cs="Arial"/>
              </w:rPr>
            </w:pPr>
            <w:r w:rsidRPr="002B32DF">
              <w:rPr>
                <w:rFonts w:ascii="Arial" w:hAnsi="Arial" w:cs="Arial"/>
              </w:rPr>
              <w:t>Proactive brand activism, purpose-driven marketing</w:t>
            </w:r>
          </w:p>
        </w:tc>
        <w:tc>
          <w:tcPr>
            <w:tcW w:w="0" w:type="auto"/>
            <w:vAlign w:val="center"/>
            <w:hideMark/>
          </w:tcPr>
          <w:p w14:paraId="00326EFC" w14:textId="77777777" w:rsidR="002B32DF" w:rsidRPr="002B32DF" w:rsidRDefault="002B32DF" w:rsidP="002B32DF">
            <w:pPr>
              <w:rPr>
                <w:rFonts w:ascii="Arial" w:hAnsi="Arial" w:cs="Arial"/>
              </w:rPr>
            </w:pPr>
            <w:r w:rsidRPr="002B32DF">
              <w:rPr>
                <w:rFonts w:ascii="Arial" w:hAnsi="Arial" w:cs="Arial"/>
              </w:rPr>
              <w:t>Collaborative sustainability, partnership-led CSR</w:t>
            </w:r>
          </w:p>
        </w:tc>
      </w:tr>
      <w:tr w:rsidR="002B32DF" w:rsidRPr="002B32DF" w14:paraId="4091CFE4" w14:textId="77777777">
        <w:trPr>
          <w:tblCellSpacing w:w="15" w:type="dxa"/>
        </w:trPr>
        <w:tc>
          <w:tcPr>
            <w:tcW w:w="0" w:type="auto"/>
            <w:vAlign w:val="center"/>
            <w:hideMark/>
          </w:tcPr>
          <w:p w14:paraId="6CADA9F1" w14:textId="77777777" w:rsidR="002B32DF" w:rsidRPr="002B32DF" w:rsidRDefault="002B32DF" w:rsidP="002B32DF">
            <w:pPr>
              <w:rPr>
                <w:rFonts w:ascii="Arial" w:hAnsi="Arial" w:cs="Arial"/>
              </w:rPr>
            </w:pPr>
            <w:r w:rsidRPr="002B32DF">
              <w:rPr>
                <w:rFonts w:ascii="Arial" w:hAnsi="Arial" w:cs="Arial"/>
                <w:b/>
                <w:bCs/>
              </w:rPr>
              <w:t>Strategic Model</w:t>
            </w:r>
          </w:p>
        </w:tc>
        <w:tc>
          <w:tcPr>
            <w:tcW w:w="0" w:type="auto"/>
            <w:vAlign w:val="center"/>
            <w:hideMark/>
          </w:tcPr>
          <w:p w14:paraId="5D5D642E" w14:textId="77777777" w:rsidR="002B32DF" w:rsidRPr="002B32DF" w:rsidRDefault="002B32DF" w:rsidP="002B32DF">
            <w:pPr>
              <w:rPr>
                <w:rFonts w:ascii="Arial" w:hAnsi="Arial" w:cs="Arial"/>
              </w:rPr>
            </w:pPr>
            <w:r w:rsidRPr="002B32DF">
              <w:rPr>
                <w:rFonts w:ascii="Arial" w:hAnsi="Arial" w:cs="Arial"/>
              </w:rPr>
              <w:t>Differentiation and market development</w:t>
            </w:r>
          </w:p>
        </w:tc>
        <w:tc>
          <w:tcPr>
            <w:tcW w:w="0" w:type="auto"/>
            <w:vAlign w:val="center"/>
            <w:hideMark/>
          </w:tcPr>
          <w:p w14:paraId="62D92CA0" w14:textId="77777777" w:rsidR="002B32DF" w:rsidRPr="002B32DF" w:rsidRDefault="002B32DF" w:rsidP="002B32DF">
            <w:pPr>
              <w:rPr>
                <w:rFonts w:ascii="Arial" w:hAnsi="Arial" w:cs="Arial"/>
              </w:rPr>
            </w:pPr>
            <w:r w:rsidRPr="002B32DF">
              <w:rPr>
                <w:rFonts w:ascii="Arial" w:hAnsi="Arial" w:cs="Arial"/>
              </w:rPr>
              <w:t>Adaptive benchmarking and efficiency</w:t>
            </w:r>
          </w:p>
        </w:tc>
      </w:tr>
      <w:tr w:rsidR="002B32DF" w:rsidRPr="002B32DF" w14:paraId="1DCAA0FC" w14:textId="77777777">
        <w:trPr>
          <w:tblCellSpacing w:w="15" w:type="dxa"/>
        </w:trPr>
        <w:tc>
          <w:tcPr>
            <w:tcW w:w="0" w:type="auto"/>
            <w:vAlign w:val="center"/>
            <w:hideMark/>
          </w:tcPr>
          <w:p w14:paraId="34E12888" w14:textId="77777777" w:rsidR="002B32DF" w:rsidRPr="002B32DF" w:rsidRDefault="002B32DF" w:rsidP="002B32DF">
            <w:pPr>
              <w:rPr>
                <w:rFonts w:ascii="Arial" w:hAnsi="Arial" w:cs="Arial"/>
              </w:rPr>
            </w:pPr>
            <w:r w:rsidRPr="002B32DF">
              <w:rPr>
                <w:rFonts w:ascii="Arial" w:hAnsi="Arial" w:cs="Arial"/>
                <w:b/>
                <w:bCs/>
              </w:rPr>
              <w:t>Risks</w:t>
            </w:r>
          </w:p>
        </w:tc>
        <w:tc>
          <w:tcPr>
            <w:tcW w:w="0" w:type="auto"/>
            <w:vAlign w:val="center"/>
            <w:hideMark/>
          </w:tcPr>
          <w:p w14:paraId="3CDCC6EB" w14:textId="77777777" w:rsidR="002B32DF" w:rsidRPr="002B32DF" w:rsidRDefault="002B32DF" w:rsidP="002B32DF">
            <w:pPr>
              <w:rPr>
                <w:rFonts w:ascii="Arial" w:hAnsi="Arial" w:cs="Arial"/>
              </w:rPr>
            </w:pPr>
            <w:r w:rsidRPr="002B32DF">
              <w:rPr>
                <w:rFonts w:ascii="Arial" w:hAnsi="Arial" w:cs="Arial"/>
              </w:rPr>
              <w:t>High R&amp;D cost, public scrutiny</w:t>
            </w:r>
          </w:p>
        </w:tc>
        <w:tc>
          <w:tcPr>
            <w:tcW w:w="0" w:type="auto"/>
            <w:vAlign w:val="center"/>
            <w:hideMark/>
          </w:tcPr>
          <w:p w14:paraId="7CC7F338" w14:textId="77777777" w:rsidR="002B32DF" w:rsidRPr="002B32DF" w:rsidRDefault="002B32DF" w:rsidP="002B32DF">
            <w:pPr>
              <w:rPr>
                <w:rFonts w:ascii="Arial" w:hAnsi="Arial" w:cs="Arial"/>
              </w:rPr>
            </w:pPr>
            <w:r w:rsidRPr="002B32DF">
              <w:rPr>
                <w:rFonts w:ascii="Arial" w:hAnsi="Arial" w:cs="Arial"/>
              </w:rPr>
              <w:t>Lag in innovation perception</w:t>
            </w:r>
          </w:p>
        </w:tc>
      </w:tr>
      <w:tr w:rsidR="002B32DF" w:rsidRPr="002B32DF" w14:paraId="3551BCD6" w14:textId="77777777">
        <w:trPr>
          <w:tblCellSpacing w:w="15" w:type="dxa"/>
        </w:trPr>
        <w:tc>
          <w:tcPr>
            <w:tcW w:w="0" w:type="auto"/>
            <w:vAlign w:val="center"/>
            <w:hideMark/>
          </w:tcPr>
          <w:p w14:paraId="018E9DEC" w14:textId="77777777" w:rsidR="002B32DF" w:rsidRPr="002B32DF" w:rsidRDefault="002B32DF" w:rsidP="002B32DF">
            <w:pPr>
              <w:rPr>
                <w:rFonts w:ascii="Arial" w:hAnsi="Arial" w:cs="Arial"/>
              </w:rPr>
            </w:pPr>
            <w:r w:rsidRPr="002B32DF">
              <w:rPr>
                <w:rFonts w:ascii="Arial" w:hAnsi="Arial" w:cs="Arial"/>
                <w:b/>
                <w:bCs/>
              </w:rPr>
              <w:t>Opportunities</w:t>
            </w:r>
          </w:p>
        </w:tc>
        <w:tc>
          <w:tcPr>
            <w:tcW w:w="0" w:type="auto"/>
            <w:vAlign w:val="center"/>
            <w:hideMark/>
          </w:tcPr>
          <w:p w14:paraId="574D06F4" w14:textId="77777777" w:rsidR="002B32DF" w:rsidRPr="002B32DF" w:rsidRDefault="002B32DF" w:rsidP="002B32DF">
            <w:pPr>
              <w:rPr>
                <w:rFonts w:ascii="Arial" w:hAnsi="Arial" w:cs="Arial"/>
              </w:rPr>
            </w:pPr>
            <w:r w:rsidRPr="002B32DF">
              <w:rPr>
                <w:rFonts w:ascii="Arial" w:hAnsi="Arial" w:cs="Arial"/>
              </w:rPr>
              <w:t>Brand leadership, consumer intimacy</w:t>
            </w:r>
          </w:p>
        </w:tc>
        <w:tc>
          <w:tcPr>
            <w:tcW w:w="0" w:type="auto"/>
            <w:vAlign w:val="center"/>
            <w:hideMark/>
          </w:tcPr>
          <w:p w14:paraId="41109C87" w14:textId="77777777" w:rsidR="002B32DF" w:rsidRPr="002B32DF" w:rsidRDefault="002B32DF" w:rsidP="002B32DF">
            <w:pPr>
              <w:rPr>
                <w:rFonts w:ascii="Arial" w:hAnsi="Arial" w:cs="Arial"/>
              </w:rPr>
            </w:pPr>
            <w:r w:rsidRPr="002B32DF">
              <w:rPr>
                <w:rFonts w:ascii="Arial" w:hAnsi="Arial" w:cs="Arial"/>
              </w:rPr>
              <w:t>Operational agility, risk mitigation</w:t>
            </w:r>
          </w:p>
        </w:tc>
      </w:tr>
    </w:tbl>
    <w:p w14:paraId="1BC636C2" w14:textId="77777777" w:rsidR="002B32DF" w:rsidRPr="002B32DF" w:rsidRDefault="002B32DF" w:rsidP="002B32DF">
      <w:pPr>
        <w:rPr>
          <w:rFonts w:ascii="Arial" w:hAnsi="Arial" w:cs="Arial"/>
        </w:rPr>
      </w:pPr>
      <w:r w:rsidRPr="002B32DF">
        <w:rPr>
          <w:rFonts w:ascii="Arial" w:hAnsi="Arial" w:cs="Arial"/>
        </w:rPr>
        <w:t xml:space="preserve">This comparison supports </w:t>
      </w:r>
      <w:r w:rsidRPr="002B32DF">
        <w:rPr>
          <w:rFonts w:ascii="Arial" w:hAnsi="Arial" w:cs="Arial"/>
          <w:b/>
          <w:bCs/>
        </w:rPr>
        <w:t>Lieberman and Montgomery’s (1988)</w:t>
      </w:r>
      <w:r w:rsidRPr="002B32DF">
        <w:rPr>
          <w:rFonts w:ascii="Arial" w:hAnsi="Arial" w:cs="Arial"/>
        </w:rPr>
        <w:t xml:space="preserve"> argument that first movers gain brand leadership, but followers can achieve competitive parity through strategic learning. In highly dynamic industries such as fashion, both approaches can be effective if aligned with brand identity and resource capabilities.</w:t>
      </w:r>
    </w:p>
    <w:p w14:paraId="1E2F823A" w14:textId="3F995829" w:rsidR="002B32DF" w:rsidRPr="002B32DF" w:rsidRDefault="002B32DF" w:rsidP="002B32DF">
      <w:pPr>
        <w:rPr>
          <w:rFonts w:ascii="Arial" w:hAnsi="Arial" w:cs="Arial"/>
        </w:rPr>
      </w:pPr>
    </w:p>
    <w:p w14:paraId="1FA3A511" w14:textId="77777777" w:rsidR="002B32DF" w:rsidRPr="002B32DF" w:rsidRDefault="002B32DF" w:rsidP="002B32DF">
      <w:pPr>
        <w:rPr>
          <w:rFonts w:ascii="Arial" w:hAnsi="Arial" w:cs="Arial"/>
          <w:b/>
          <w:bCs/>
        </w:rPr>
      </w:pPr>
      <w:r w:rsidRPr="002B32DF">
        <w:rPr>
          <w:rFonts w:ascii="Arial" w:hAnsi="Arial" w:cs="Arial"/>
          <w:b/>
          <w:bCs/>
        </w:rPr>
        <w:t>5. Conclusion</w:t>
      </w:r>
    </w:p>
    <w:p w14:paraId="64004747" w14:textId="77777777" w:rsidR="002B32DF" w:rsidRPr="002B32DF" w:rsidRDefault="002B32DF" w:rsidP="002B32DF">
      <w:pPr>
        <w:rPr>
          <w:rFonts w:ascii="Arial" w:hAnsi="Arial" w:cs="Arial"/>
        </w:rPr>
      </w:pPr>
      <w:r w:rsidRPr="002B32DF">
        <w:rPr>
          <w:rFonts w:ascii="Arial" w:hAnsi="Arial" w:cs="Arial"/>
        </w:rPr>
        <w:t>Technological and sociocultural macro-environmental forces are redefining the competitive landscape of the fashion industry. For pioneers like Nike, technological innovation and brand activism serve as key differentiators that foster long-term brand equity. However, such strategies entail significant risk and investment. For followers like Adidas, adaptive innovation and collaborative sustainability provide cost-effective and credible alternatives but may restrict brand leadership perception.</w:t>
      </w:r>
    </w:p>
    <w:p w14:paraId="79BB6148" w14:textId="77777777" w:rsidR="002B32DF" w:rsidRPr="002B32DF" w:rsidRDefault="002B32DF" w:rsidP="002B32DF">
      <w:pPr>
        <w:rPr>
          <w:rFonts w:ascii="Arial" w:hAnsi="Arial" w:cs="Arial"/>
        </w:rPr>
      </w:pPr>
      <w:r w:rsidRPr="002B32DF">
        <w:rPr>
          <w:rFonts w:ascii="Arial" w:hAnsi="Arial" w:cs="Arial"/>
        </w:rPr>
        <w:lastRenderedPageBreak/>
        <w:t xml:space="preserve">Ultimately, both pioneering and follower organisations must cultivate </w:t>
      </w:r>
      <w:r w:rsidRPr="002B32DF">
        <w:rPr>
          <w:rFonts w:ascii="Arial" w:hAnsi="Arial" w:cs="Arial"/>
          <w:b/>
          <w:bCs/>
        </w:rPr>
        <w:t>strategic agility</w:t>
      </w:r>
      <w:r w:rsidRPr="002B32DF">
        <w:rPr>
          <w:rFonts w:ascii="Arial" w:hAnsi="Arial" w:cs="Arial"/>
        </w:rPr>
        <w:t>—the capacity to sense, respond, and adapt to environmental change. Success in today’s marketing environment depends not only on innovation but also on authentic alignment between technology, culture, and brand purpose.</w:t>
      </w:r>
    </w:p>
    <w:p w14:paraId="248FF5FA" w14:textId="78D7FC5A" w:rsidR="002B32DF" w:rsidRPr="002B32DF" w:rsidRDefault="002B32DF" w:rsidP="002B32DF">
      <w:pPr>
        <w:rPr>
          <w:rFonts w:ascii="Arial" w:hAnsi="Arial" w:cs="Arial"/>
        </w:rPr>
      </w:pPr>
    </w:p>
    <w:p w14:paraId="17EA8D8E" w14:textId="77777777" w:rsidR="002B32DF" w:rsidRDefault="002B32DF" w:rsidP="002B32DF">
      <w:pPr>
        <w:rPr>
          <w:rFonts w:ascii="Arial" w:hAnsi="Arial" w:cs="Arial"/>
          <w:b/>
          <w:bCs/>
        </w:rPr>
      </w:pPr>
    </w:p>
    <w:p w14:paraId="26C591A8" w14:textId="77777777" w:rsidR="002B32DF" w:rsidRDefault="002B32DF" w:rsidP="002B32DF">
      <w:pPr>
        <w:rPr>
          <w:rFonts w:ascii="Arial" w:hAnsi="Arial" w:cs="Arial"/>
          <w:b/>
          <w:bCs/>
        </w:rPr>
      </w:pPr>
    </w:p>
    <w:p w14:paraId="180B8F53" w14:textId="77777777" w:rsidR="002B32DF" w:rsidRDefault="002B32DF" w:rsidP="002B32DF">
      <w:pPr>
        <w:rPr>
          <w:rFonts w:ascii="Arial" w:hAnsi="Arial" w:cs="Arial"/>
          <w:b/>
          <w:bCs/>
        </w:rPr>
      </w:pPr>
    </w:p>
    <w:p w14:paraId="4CE4C4B5" w14:textId="77777777" w:rsidR="002B32DF" w:rsidRDefault="002B32DF" w:rsidP="002B32DF">
      <w:pPr>
        <w:rPr>
          <w:rFonts w:ascii="Arial" w:hAnsi="Arial" w:cs="Arial"/>
          <w:b/>
          <w:bCs/>
        </w:rPr>
      </w:pPr>
    </w:p>
    <w:p w14:paraId="6755B8DF" w14:textId="77777777" w:rsidR="002B32DF" w:rsidRDefault="002B32DF" w:rsidP="002B32DF">
      <w:pPr>
        <w:rPr>
          <w:rFonts w:ascii="Arial" w:hAnsi="Arial" w:cs="Arial"/>
          <w:b/>
          <w:bCs/>
        </w:rPr>
      </w:pPr>
    </w:p>
    <w:p w14:paraId="10C2F49F" w14:textId="77777777" w:rsidR="002B32DF" w:rsidRDefault="002B32DF" w:rsidP="002B32DF">
      <w:pPr>
        <w:rPr>
          <w:rFonts w:ascii="Arial" w:hAnsi="Arial" w:cs="Arial"/>
          <w:b/>
          <w:bCs/>
        </w:rPr>
      </w:pPr>
    </w:p>
    <w:p w14:paraId="09FEADC7" w14:textId="77777777" w:rsidR="002B32DF" w:rsidRDefault="002B32DF" w:rsidP="002B32DF">
      <w:pPr>
        <w:rPr>
          <w:rFonts w:ascii="Arial" w:hAnsi="Arial" w:cs="Arial"/>
          <w:b/>
          <w:bCs/>
        </w:rPr>
      </w:pPr>
    </w:p>
    <w:p w14:paraId="3E2E5907" w14:textId="77777777" w:rsidR="002B32DF" w:rsidRDefault="002B32DF" w:rsidP="002B32DF">
      <w:pPr>
        <w:rPr>
          <w:rFonts w:ascii="Arial" w:hAnsi="Arial" w:cs="Arial"/>
          <w:b/>
          <w:bCs/>
        </w:rPr>
      </w:pPr>
    </w:p>
    <w:p w14:paraId="6FE0B638" w14:textId="77777777" w:rsidR="002B32DF" w:rsidRDefault="002B32DF" w:rsidP="002B32DF">
      <w:pPr>
        <w:rPr>
          <w:rFonts w:ascii="Arial" w:hAnsi="Arial" w:cs="Arial"/>
          <w:b/>
          <w:bCs/>
        </w:rPr>
      </w:pPr>
    </w:p>
    <w:p w14:paraId="26248B44" w14:textId="77777777" w:rsidR="002B32DF" w:rsidRDefault="002B32DF" w:rsidP="002B32DF">
      <w:pPr>
        <w:rPr>
          <w:rFonts w:ascii="Arial" w:hAnsi="Arial" w:cs="Arial"/>
          <w:b/>
          <w:bCs/>
        </w:rPr>
      </w:pPr>
    </w:p>
    <w:p w14:paraId="7AC34AEC" w14:textId="77777777" w:rsidR="002B32DF" w:rsidRDefault="002B32DF" w:rsidP="002B32DF">
      <w:pPr>
        <w:rPr>
          <w:rFonts w:ascii="Arial" w:hAnsi="Arial" w:cs="Arial"/>
          <w:b/>
          <w:bCs/>
        </w:rPr>
      </w:pPr>
    </w:p>
    <w:p w14:paraId="703A0F59" w14:textId="77777777" w:rsidR="002B32DF" w:rsidRDefault="002B32DF" w:rsidP="002B32DF">
      <w:pPr>
        <w:rPr>
          <w:rFonts w:ascii="Arial" w:hAnsi="Arial" w:cs="Arial"/>
          <w:b/>
          <w:bCs/>
        </w:rPr>
      </w:pPr>
    </w:p>
    <w:p w14:paraId="077B85F7" w14:textId="77777777" w:rsidR="002B32DF" w:rsidRDefault="002B32DF" w:rsidP="002B32DF">
      <w:pPr>
        <w:rPr>
          <w:rFonts w:ascii="Arial" w:hAnsi="Arial" w:cs="Arial"/>
          <w:b/>
          <w:bCs/>
        </w:rPr>
      </w:pPr>
    </w:p>
    <w:p w14:paraId="2C380B5F" w14:textId="77777777" w:rsidR="002B32DF" w:rsidRDefault="002B32DF" w:rsidP="002B32DF">
      <w:pPr>
        <w:rPr>
          <w:rFonts w:ascii="Arial" w:hAnsi="Arial" w:cs="Arial"/>
          <w:b/>
          <w:bCs/>
        </w:rPr>
      </w:pPr>
    </w:p>
    <w:p w14:paraId="450D3E1C" w14:textId="77777777" w:rsidR="002B32DF" w:rsidRDefault="002B32DF" w:rsidP="002B32DF">
      <w:pPr>
        <w:rPr>
          <w:rFonts w:ascii="Arial" w:hAnsi="Arial" w:cs="Arial"/>
          <w:b/>
          <w:bCs/>
        </w:rPr>
      </w:pPr>
    </w:p>
    <w:p w14:paraId="398B3F3E" w14:textId="77777777" w:rsidR="002B32DF" w:rsidRDefault="002B32DF" w:rsidP="002B32DF">
      <w:pPr>
        <w:rPr>
          <w:rFonts w:ascii="Arial" w:hAnsi="Arial" w:cs="Arial"/>
          <w:b/>
          <w:bCs/>
        </w:rPr>
      </w:pPr>
    </w:p>
    <w:p w14:paraId="38E505FE" w14:textId="77777777" w:rsidR="002B32DF" w:rsidRDefault="002B32DF" w:rsidP="002B32DF">
      <w:pPr>
        <w:rPr>
          <w:rFonts w:ascii="Arial" w:hAnsi="Arial" w:cs="Arial"/>
          <w:b/>
          <w:bCs/>
        </w:rPr>
      </w:pPr>
    </w:p>
    <w:p w14:paraId="049AB28F" w14:textId="77777777" w:rsidR="002B32DF" w:rsidRDefault="002B32DF" w:rsidP="002B32DF">
      <w:pPr>
        <w:rPr>
          <w:rFonts w:ascii="Arial" w:hAnsi="Arial" w:cs="Arial"/>
          <w:b/>
          <w:bCs/>
        </w:rPr>
      </w:pPr>
    </w:p>
    <w:p w14:paraId="2888236D" w14:textId="77777777" w:rsidR="002B32DF" w:rsidRDefault="002B32DF" w:rsidP="002B32DF">
      <w:pPr>
        <w:rPr>
          <w:rFonts w:ascii="Arial" w:hAnsi="Arial" w:cs="Arial"/>
          <w:b/>
          <w:bCs/>
        </w:rPr>
      </w:pPr>
    </w:p>
    <w:p w14:paraId="39444131" w14:textId="77777777" w:rsidR="002B32DF" w:rsidRDefault="002B32DF" w:rsidP="002B32DF">
      <w:pPr>
        <w:rPr>
          <w:rFonts w:ascii="Arial" w:hAnsi="Arial" w:cs="Arial"/>
          <w:b/>
          <w:bCs/>
        </w:rPr>
      </w:pPr>
    </w:p>
    <w:p w14:paraId="481C14DB" w14:textId="77777777" w:rsidR="002B32DF" w:rsidRDefault="002B32DF" w:rsidP="002B32DF">
      <w:pPr>
        <w:rPr>
          <w:rFonts w:ascii="Arial" w:hAnsi="Arial" w:cs="Arial"/>
          <w:b/>
          <w:bCs/>
        </w:rPr>
      </w:pPr>
    </w:p>
    <w:p w14:paraId="08605CA9" w14:textId="77777777" w:rsidR="002B32DF" w:rsidRDefault="002B32DF" w:rsidP="002B32DF">
      <w:pPr>
        <w:rPr>
          <w:rFonts w:ascii="Arial" w:hAnsi="Arial" w:cs="Arial"/>
          <w:b/>
          <w:bCs/>
        </w:rPr>
      </w:pPr>
    </w:p>
    <w:p w14:paraId="7762B319" w14:textId="77777777" w:rsidR="002B32DF" w:rsidRDefault="002B32DF" w:rsidP="002B32DF">
      <w:pPr>
        <w:rPr>
          <w:rFonts w:ascii="Arial" w:hAnsi="Arial" w:cs="Arial"/>
          <w:b/>
          <w:bCs/>
        </w:rPr>
      </w:pPr>
    </w:p>
    <w:p w14:paraId="102D5E4F" w14:textId="77777777" w:rsidR="002B32DF" w:rsidRDefault="002B32DF" w:rsidP="002B32DF">
      <w:pPr>
        <w:rPr>
          <w:rFonts w:ascii="Arial" w:hAnsi="Arial" w:cs="Arial"/>
          <w:b/>
          <w:bCs/>
        </w:rPr>
      </w:pPr>
    </w:p>
    <w:p w14:paraId="6DDD04BB" w14:textId="77777777" w:rsidR="002B32DF" w:rsidRDefault="002B32DF" w:rsidP="002B32DF">
      <w:pPr>
        <w:rPr>
          <w:rFonts w:ascii="Arial" w:hAnsi="Arial" w:cs="Arial"/>
          <w:b/>
          <w:bCs/>
        </w:rPr>
      </w:pPr>
    </w:p>
    <w:p w14:paraId="7673EF42" w14:textId="77777777" w:rsidR="002B32DF" w:rsidRDefault="002B32DF" w:rsidP="002B32DF">
      <w:pPr>
        <w:rPr>
          <w:rFonts w:ascii="Arial" w:hAnsi="Arial" w:cs="Arial"/>
          <w:b/>
          <w:bCs/>
        </w:rPr>
      </w:pPr>
    </w:p>
    <w:p w14:paraId="433A4013" w14:textId="77777777" w:rsidR="002B32DF" w:rsidRDefault="002B32DF" w:rsidP="002B32DF">
      <w:pPr>
        <w:rPr>
          <w:rFonts w:ascii="Arial" w:hAnsi="Arial" w:cs="Arial"/>
          <w:b/>
          <w:bCs/>
        </w:rPr>
      </w:pPr>
    </w:p>
    <w:p w14:paraId="4D67DEA7" w14:textId="77777777" w:rsidR="002B32DF" w:rsidRDefault="002B32DF" w:rsidP="002B32DF">
      <w:pPr>
        <w:rPr>
          <w:rFonts w:ascii="Arial" w:hAnsi="Arial" w:cs="Arial"/>
          <w:b/>
          <w:bCs/>
        </w:rPr>
      </w:pPr>
    </w:p>
    <w:p w14:paraId="301449B3" w14:textId="77777777" w:rsidR="002B32DF" w:rsidRDefault="002B32DF" w:rsidP="002B32DF">
      <w:pPr>
        <w:rPr>
          <w:rFonts w:ascii="Arial" w:hAnsi="Arial" w:cs="Arial"/>
          <w:b/>
          <w:bCs/>
        </w:rPr>
      </w:pPr>
    </w:p>
    <w:p w14:paraId="561B2AD7" w14:textId="77777777" w:rsidR="002B32DF" w:rsidRDefault="002B32DF" w:rsidP="002B32DF">
      <w:pPr>
        <w:rPr>
          <w:rFonts w:ascii="Arial" w:hAnsi="Arial" w:cs="Arial"/>
          <w:b/>
          <w:bCs/>
        </w:rPr>
      </w:pPr>
    </w:p>
    <w:p w14:paraId="41DC442C" w14:textId="2D489F7C" w:rsidR="002B32DF" w:rsidRPr="002B32DF" w:rsidRDefault="002B32DF" w:rsidP="002B32DF">
      <w:pPr>
        <w:rPr>
          <w:rFonts w:ascii="Arial" w:hAnsi="Arial" w:cs="Arial"/>
          <w:b/>
          <w:bCs/>
        </w:rPr>
      </w:pPr>
      <w:r w:rsidRPr="002B32DF">
        <w:rPr>
          <w:rFonts w:ascii="Arial" w:hAnsi="Arial" w:cs="Arial"/>
          <w:b/>
          <w:bCs/>
        </w:rPr>
        <w:t>References (Harvard Style)</w:t>
      </w:r>
    </w:p>
    <w:p w14:paraId="3A302959" w14:textId="77777777" w:rsidR="002B32DF" w:rsidRPr="002B32DF" w:rsidRDefault="002B32DF" w:rsidP="002B32DF">
      <w:pPr>
        <w:rPr>
          <w:rFonts w:ascii="Arial" w:hAnsi="Arial" w:cs="Arial"/>
        </w:rPr>
      </w:pPr>
      <w:r w:rsidRPr="002B32DF">
        <w:rPr>
          <w:rFonts w:ascii="Arial" w:hAnsi="Arial" w:cs="Arial"/>
        </w:rPr>
        <w:t xml:space="preserve">Adidas (2024) </w:t>
      </w:r>
      <w:r w:rsidRPr="002B32DF">
        <w:rPr>
          <w:rFonts w:ascii="Arial" w:hAnsi="Arial" w:cs="Arial"/>
          <w:i/>
          <w:iCs/>
        </w:rPr>
        <w:t>Annual Report 2024</w:t>
      </w:r>
      <w:r w:rsidRPr="002B32DF">
        <w:rPr>
          <w:rFonts w:ascii="Arial" w:hAnsi="Arial" w:cs="Arial"/>
        </w:rPr>
        <w:t>. Available at: https://www.adidas-group.com (Accessed: 15 October 2025).</w:t>
      </w:r>
    </w:p>
    <w:p w14:paraId="64AEFB3E" w14:textId="77777777" w:rsidR="002B32DF" w:rsidRPr="002B32DF" w:rsidRDefault="002B32DF" w:rsidP="002B32DF">
      <w:pPr>
        <w:rPr>
          <w:rFonts w:ascii="Arial" w:hAnsi="Arial" w:cs="Arial"/>
        </w:rPr>
      </w:pPr>
      <w:r w:rsidRPr="002B32DF">
        <w:rPr>
          <w:rFonts w:ascii="Arial" w:hAnsi="Arial" w:cs="Arial"/>
        </w:rPr>
        <w:t xml:space="preserve">Deloitte (2024) </w:t>
      </w:r>
      <w:r w:rsidRPr="002B32DF">
        <w:rPr>
          <w:rFonts w:ascii="Arial" w:hAnsi="Arial" w:cs="Arial"/>
          <w:i/>
          <w:iCs/>
        </w:rPr>
        <w:t>Global Fashion Industry Outlook: Technology and Transformation</w:t>
      </w:r>
      <w:r w:rsidRPr="002B32DF">
        <w:rPr>
          <w:rFonts w:ascii="Arial" w:hAnsi="Arial" w:cs="Arial"/>
        </w:rPr>
        <w:t>. London: Deloitte Insights.</w:t>
      </w:r>
    </w:p>
    <w:p w14:paraId="27E97768" w14:textId="77777777" w:rsidR="002B32DF" w:rsidRPr="002B32DF" w:rsidRDefault="002B32DF" w:rsidP="002B32DF">
      <w:pPr>
        <w:rPr>
          <w:rFonts w:ascii="Arial" w:hAnsi="Arial" w:cs="Arial"/>
        </w:rPr>
      </w:pPr>
      <w:r w:rsidRPr="002B32DF">
        <w:rPr>
          <w:rFonts w:ascii="Arial" w:hAnsi="Arial" w:cs="Arial"/>
        </w:rPr>
        <w:t xml:space="preserve">Forbes (2023) ‘How Nike Uses Technology to Reinvent Customer Engagement’. </w:t>
      </w:r>
      <w:r w:rsidRPr="002B32DF">
        <w:rPr>
          <w:rFonts w:ascii="Arial" w:hAnsi="Arial" w:cs="Arial"/>
          <w:i/>
          <w:iCs/>
        </w:rPr>
        <w:t>Forbes Online</w:t>
      </w:r>
      <w:r w:rsidRPr="002B32DF">
        <w:rPr>
          <w:rFonts w:ascii="Arial" w:hAnsi="Arial" w:cs="Arial"/>
        </w:rPr>
        <w:t>, 8 July. Available at: https://www.forbes.com (Accessed: 14 October 2025).</w:t>
      </w:r>
    </w:p>
    <w:p w14:paraId="42968A40" w14:textId="77777777" w:rsidR="002B32DF" w:rsidRPr="002B32DF" w:rsidRDefault="002B32DF" w:rsidP="002B32DF">
      <w:pPr>
        <w:rPr>
          <w:rFonts w:ascii="Arial" w:hAnsi="Arial" w:cs="Arial"/>
        </w:rPr>
      </w:pPr>
      <w:r w:rsidRPr="002B32DF">
        <w:rPr>
          <w:rFonts w:ascii="Arial" w:hAnsi="Arial" w:cs="Arial"/>
        </w:rPr>
        <w:t xml:space="preserve">Hamel, G. and Prahalad, C. K. (1994) </w:t>
      </w:r>
      <w:r w:rsidRPr="002B32DF">
        <w:rPr>
          <w:rFonts w:ascii="Arial" w:hAnsi="Arial" w:cs="Arial"/>
          <w:i/>
          <w:iCs/>
        </w:rPr>
        <w:t>Competing for the Future</w:t>
      </w:r>
      <w:r w:rsidRPr="002B32DF">
        <w:rPr>
          <w:rFonts w:ascii="Arial" w:hAnsi="Arial" w:cs="Arial"/>
        </w:rPr>
        <w:t>. Boston: Harvard Business School Press.</w:t>
      </w:r>
    </w:p>
    <w:p w14:paraId="24429F4E" w14:textId="77777777" w:rsidR="002B32DF" w:rsidRPr="002B32DF" w:rsidRDefault="002B32DF" w:rsidP="002B32DF">
      <w:pPr>
        <w:rPr>
          <w:rFonts w:ascii="Arial" w:hAnsi="Arial" w:cs="Arial"/>
        </w:rPr>
      </w:pPr>
      <w:r w:rsidRPr="002B32DF">
        <w:rPr>
          <w:rFonts w:ascii="Arial" w:hAnsi="Arial" w:cs="Arial"/>
        </w:rPr>
        <w:t xml:space="preserve">Hollensen, S. (2020) </w:t>
      </w:r>
      <w:r w:rsidRPr="002B32DF">
        <w:rPr>
          <w:rFonts w:ascii="Arial" w:hAnsi="Arial" w:cs="Arial"/>
          <w:i/>
          <w:iCs/>
        </w:rPr>
        <w:t>Marketing Management: A Relationship Approach</w:t>
      </w:r>
      <w:r w:rsidRPr="002B32DF">
        <w:rPr>
          <w:rFonts w:ascii="Arial" w:hAnsi="Arial" w:cs="Arial"/>
        </w:rPr>
        <w:t xml:space="preserve">. 4th </w:t>
      </w:r>
      <w:proofErr w:type="spellStart"/>
      <w:r w:rsidRPr="002B32DF">
        <w:rPr>
          <w:rFonts w:ascii="Arial" w:hAnsi="Arial" w:cs="Arial"/>
        </w:rPr>
        <w:t>edn</w:t>
      </w:r>
      <w:proofErr w:type="spellEnd"/>
      <w:r w:rsidRPr="002B32DF">
        <w:rPr>
          <w:rFonts w:ascii="Arial" w:hAnsi="Arial" w:cs="Arial"/>
        </w:rPr>
        <w:t>. Harlow: Pearson.</w:t>
      </w:r>
    </w:p>
    <w:p w14:paraId="2AE635F3" w14:textId="77777777" w:rsidR="002B32DF" w:rsidRPr="002B32DF" w:rsidRDefault="002B32DF" w:rsidP="002B32DF">
      <w:pPr>
        <w:rPr>
          <w:rFonts w:ascii="Arial" w:hAnsi="Arial" w:cs="Arial"/>
        </w:rPr>
      </w:pPr>
      <w:r w:rsidRPr="002B32DF">
        <w:rPr>
          <w:rFonts w:ascii="Arial" w:hAnsi="Arial" w:cs="Arial"/>
        </w:rPr>
        <w:t xml:space="preserve">Homburg, C., Jozić, D. and Kuehnl, C. (2017) ‘Customer experience management: Toward implementing an evolving marketing concept’. </w:t>
      </w:r>
      <w:r w:rsidRPr="002B32DF">
        <w:rPr>
          <w:rFonts w:ascii="Arial" w:hAnsi="Arial" w:cs="Arial"/>
          <w:i/>
          <w:iCs/>
        </w:rPr>
        <w:t>Journal of the Academy of Marketing Science</w:t>
      </w:r>
      <w:r w:rsidRPr="002B32DF">
        <w:rPr>
          <w:rFonts w:ascii="Arial" w:hAnsi="Arial" w:cs="Arial"/>
        </w:rPr>
        <w:t>, 45(3), pp. 377–401.</w:t>
      </w:r>
    </w:p>
    <w:p w14:paraId="5CB0711C" w14:textId="77777777" w:rsidR="002B32DF" w:rsidRPr="002B32DF" w:rsidRDefault="002B32DF" w:rsidP="002B32DF">
      <w:pPr>
        <w:rPr>
          <w:rFonts w:ascii="Arial" w:hAnsi="Arial" w:cs="Arial"/>
        </w:rPr>
      </w:pPr>
      <w:r w:rsidRPr="002B32DF">
        <w:rPr>
          <w:rFonts w:ascii="Arial" w:hAnsi="Arial" w:cs="Arial"/>
        </w:rPr>
        <w:t xml:space="preserve">Kotler, P., Keller, K. L. and Chernev, A. (2022) </w:t>
      </w:r>
      <w:r w:rsidRPr="002B32DF">
        <w:rPr>
          <w:rFonts w:ascii="Arial" w:hAnsi="Arial" w:cs="Arial"/>
          <w:i/>
          <w:iCs/>
        </w:rPr>
        <w:t>Marketing Management</w:t>
      </w:r>
      <w:r w:rsidRPr="002B32DF">
        <w:rPr>
          <w:rFonts w:ascii="Arial" w:hAnsi="Arial" w:cs="Arial"/>
        </w:rPr>
        <w:t xml:space="preserve">. 16th </w:t>
      </w:r>
      <w:proofErr w:type="spellStart"/>
      <w:r w:rsidRPr="002B32DF">
        <w:rPr>
          <w:rFonts w:ascii="Arial" w:hAnsi="Arial" w:cs="Arial"/>
        </w:rPr>
        <w:t>edn</w:t>
      </w:r>
      <w:proofErr w:type="spellEnd"/>
      <w:r w:rsidRPr="002B32DF">
        <w:rPr>
          <w:rFonts w:ascii="Arial" w:hAnsi="Arial" w:cs="Arial"/>
        </w:rPr>
        <w:t>. Harlow: Pearson.</w:t>
      </w:r>
    </w:p>
    <w:p w14:paraId="77F02419" w14:textId="77777777" w:rsidR="002B32DF" w:rsidRPr="002B32DF" w:rsidRDefault="002B32DF" w:rsidP="002B32DF">
      <w:pPr>
        <w:rPr>
          <w:rFonts w:ascii="Arial" w:hAnsi="Arial" w:cs="Arial"/>
        </w:rPr>
      </w:pPr>
      <w:r w:rsidRPr="002B32DF">
        <w:rPr>
          <w:rFonts w:ascii="Arial" w:hAnsi="Arial" w:cs="Arial"/>
        </w:rPr>
        <w:t xml:space="preserve">Kotler, P. and Sarkar, C. (2018) ‘Brand Activism: From Purpose to Action’. </w:t>
      </w:r>
      <w:r w:rsidRPr="002B32DF">
        <w:rPr>
          <w:rFonts w:ascii="Arial" w:hAnsi="Arial" w:cs="Arial"/>
          <w:i/>
          <w:iCs/>
        </w:rPr>
        <w:t>Journal of Brand Strategy</w:t>
      </w:r>
      <w:r w:rsidRPr="002B32DF">
        <w:rPr>
          <w:rFonts w:ascii="Arial" w:hAnsi="Arial" w:cs="Arial"/>
        </w:rPr>
        <w:t>, 7(4), pp. 345–352.</w:t>
      </w:r>
    </w:p>
    <w:p w14:paraId="52A5C69F" w14:textId="77777777" w:rsidR="002B32DF" w:rsidRPr="002B32DF" w:rsidRDefault="002B32DF" w:rsidP="002B32DF">
      <w:pPr>
        <w:rPr>
          <w:rFonts w:ascii="Arial" w:hAnsi="Arial" w:cs="Arial"/>
        </w:rPr>
      </w:pPr>
      <w:r w:rsidRPr="002B32DF">
        <w:rPr>
          <w:rFonts w:ascii="Arial" w:hAnsi="Arial" w:cs="Arial"/>
        </w:rPr>
        <w:t xml:space="preserve">Lieberman, M. and Montgomery, D. (1988) ‘First-Mover Advantages’. </w:t>
      </w:r>
      <w:r w:rsidRPr="002B32DF">
        <w:rPr>
          <w:rFonts w:ascii="Arial" w:hAnsi="Arial" w:cs="Arial"/>
          <w:i/>
          <w:iCs/>
        </w:rPr>
        <w:t>Strategic Management Journal</w:t>
      </w:r>
      <w:r w:rsidRPr="002B32DF">
        <w:rPr>
          <w:rFonts w:ascii="Arial" w:hAnsi="Arial" w:cs="Arial"/>
        </w:rPr>
        <w:t>, 9(S1), pp. 41–58.</w:t>
      </w:r>
    </w:p>
    <w:p w14:paraId="3CC19F33" w14:textId="77777777" w:rsidR="002B32DF" w:rsidRPr="002B32DF" w:rsidRDefault="002B32DF" w:rsidP="002B32DF">
      <w:pPr>
        <w:rPr>
          <w:rFonts w:ascii="Arial" w:hAnsi="Arial" w:cs="Arial"/>
        </w:rPr>
      </w:pPr>
      <w:r w:rsidRPr="002B32DF">
        <w:rPr>
          <w:rFonts w:ascii="Arial" w:hAnsi="Arial" w:cs="Arial"/>
        </w:rPr>
        <w:t xml:space="preserve">Mintel (2024) </w:t>
      </w:r>
      <w:r w:rsidRPr="002B32DF">
        <w:rPr>
          <w:rFonts w:ascii="Arial" w:hAnsi="Arial" w:cs="Arial"/>
          <w:i/>
          <w:iCs/>
        </w:rPr>
        <w:t>Fashion and Consumer Trends Report 2024</w:t>
      </w:r>
      <w:r w:rsidRPr="002B32DF">
        <w:rPr>
          <w:rFonts w:ascii="Arial" w:hAnsi="Arial" w:cs="Arial"/>
        </w:rPr>
        <w:t>. London: Mintel Group.</w:t>
      </w:r>
    </w:p>
    <w:p w14:paraId="6B052E68" w14:textId="77777777" w:rsidR="002B32DF" w:rsidRPr="002B32DF" w:rsidRDefault="002B32DF" w:rsidP="002B32DF">
      <w:pPr>
        <w:rPr>
          <w:rFonts w:ascii="Arial" w:hAnsi="Arial" w:cs="Arial"/>
        </w:rPr>
      </w:pPr>
      <w:r w:rsidRPr="002B32DF">
        <w:rPr>
          <w:rFonts w:ascii="Arial" w:hAnsi="Arial" w:cs="Arial"/>
        </w:rPr>
        <w:t xml:space="preserve">Porter, M. E. (1985) </w:t>
      </w:r>
      <w:r w:rsidRPr="002B32DF">
        <w:rPr>
          <w:rFonts w:ascii="Arial" w:hAnsi="Arial" w:cs="Arial"/>
          <w:i/>
          <w:iCs/>
        </w:rPr>
        <w:t>Competitive Advantage: Creating and Sustaining Superior Performance</w:t>
      </w:r>
      <w:r w:rsidRPr="002B32DF">
        <w:rPr>
          <w:rFonts w:ascii="Arial" w:hAnsi="Arial" w:cs="Arial"/>
        </w:rPr>
        <w:t>. New York: Free Press.</w:t>
      </w:r>
    </w:p>
    <w:p w14:paraId="40D2458A" w14:textId="77777777" w:rsidR="002B32DF" w:rsidRPr="002B32DF" w:rsidRDefault="002B32DF" w:rsidP="002B32DF">
      <w:pPr>
        <w:rPr>
          <w:rFonts w:ascii="Arial" w:hAnsi="Arial" w:cs="Arial"/>
        </w:rPr>
      </w:pPr>
      <w:r w:rsidRPr="002B32DF">
        <w:rPr>
          <w:rFonts w:ascii="Arial" w:hAnsi="Arial" w:cs="Arial"/>
        </w:rPr>
        <w:t xml:space="preserve">Porter, M. E. and Kramer, M. R. (2011) ‘Creating Shared Value’. </w:t>
      </w:r>
      <w:r w:rsidRPr="002B32DF">
        <w:rPr>
          <w:rFonts w:ascii="Arial" w:hAnsi="Arial" w:cs="Arial"/>
          <w:i/>
          <w:iCs/>
        </w:rPr>
        <w:t>Harvard Business Review</w:t>
      </w:r>
      <w:r w:rsidRPr="002B32DF">
        <w:rPr>
          <w:rFonts w:ascii="Arial" w:hAnsi="Arial" w:cs="Arial"/>
        </w:rPr>
        <w:t>, 89(1–2), pp. 62–77.</w:t>
      </w:r>
    </w:p>
    <w:p w14:paraId="5DC29F6A" w14:textId="77777777" w:rsidR="002B32DF" w:rsidRPr="002B32DF" w:rsidRDefault="002B32DF" w:rsidP="002B32DF">
      <w:pPr>
        <w:rPr>
          <w:rFonts w:ascii="Arial" w:hAnsi="Arial" w:cs="Arial"/>
        </w:rPr>
      </w:pPr>
      <w:r w:rsidRPr="002B32DF">
        <w:rPr>
          <w:rFonts w:ascii="Arial" w:hAnsi="Arial" w:cs="Arial"/>
        </w:rPr>
        <w:t xml:space="preserve">Solomon, M., </w:t>
      </w:r>
      <w:proofErr w:type="spellStart"/>
      <w:r w:rsidRPr="002B32DF">
        <w:rPr>
          <w:rFonts w:ascii="Arial" w:hAnsi="Arial" w:cs="Arial"/>
        </w:rPr>
        <w:t>Bamossy</w:t>
      </w:r>
      <w:proofErr w:type="spellEnd"/>
      <w:r w:rsidRPr="002B32DF">
        <w:rPr>
          <w:rFonts w:ascii="Arial" w:hAnsi="Arial" w:cs="Arial"/>
        </w:rPr>
        <w:t xml:space="preserve">, G. and Askegaard, S. (2022) </w:t>
      </w:r>
      <w:r w:rsidRPr="002B32DF">
        <w:rPr>
          <w:rFonts w:ascii="Arial" w:hAnsi="Arial" w:cs="Arial"/>
          <w:i/>
          <w:iCs/>
        </w:rPr>
        <w:t>Consumer Behaviour: A European Perspective</w:t>
      </w:r>
      <w:r w:rsidRPr="002B32DF">
        <w:rPr>
          <w:rFonts w:ascii="Arial" w:hAnsi="Arial" w:cs="Arial"/>
        </w:rPr>
        <w:t xml:space="preserve">. 8th </w:t>
      </w:r>
      <w:proofErr w:type="spellStart"/>
      <w:r w:rsidRPr="002B32DF">
        <w:rPr>
          <w:rFonts w:ascii="Arial" w:hAnsi="Arial" w:cs="Arial"/>
        </w:rPr>
        <w:t>edn</w:t>
      </w:r>
      <w:proofErr w:type="spellEnd"/>
      <w:r w:rsidRPr="002B32DF">
        <w:rPr>
          <w:rFonts w:ascii="Arial" w:hAnsi="Arial" w:cs="Arial"/>
        </w:rPr>
        <w:t>. Harlow: Pearson Education.</w:t>
      </w:r>
    </w:p>
    <w:p w14:paraId="0E6A8F03" w14:textId="77777777" w:rsidR="002B32DF" w:rsidRPr="002B32DF" w:rsidRDefault="002B32DF" w:rsidP="002B32DF">
      <w:pPr>
        <w:rPr>
          <w:rFonts w:ascii="Arial" w:hAnsi="Arial" w:cs="Arial"/>
        </w:rPr>
      </w:pPr>
      <w:r w:rsidRPr="002B32DF">
        <w:rPr>
          <w:rFonts w:ascii="Arial" w:hAnsi="Arial" w:cs="Arial"/>
        </w:rPr>
        <w:t xml:space="preserve">Statista (2024) </w:t>
      </w:r>
      <w:r w:rsidRPr="002B32DF">
        <w:rPr>
          <w:rFonts w:ascii="Arial" w:hAnsi="Arial" w:cs="Arial"/>
          <w:i/>
          <w:iCs/>
        </w:rPr>
        <w:t>Nike: Global Revenue and Digital Sales 2024</w:t>
      </w:r>
      <w:r w:rsidRPr="002B32DF">
        <w:rPr>
          <w:rFonts w:ascii="Arial" w:hAnsi="Arial" w:cs="Arial"/>
        </w:rPr>
        <w:t>. Available at: https://www.statista.com (Accessed: 13 October 2025).</w:t>
      </w:r>
    </w:p>
    <w:p w14:paraId="489BE457" w14:textId="77777777" w:rsidR="003F15E6" w:rsidRPr="002B32DF" w:rsidRDefault="003F15E6">
      <w:pPr>
        <w:rPr>
          <w:rFonts w:ascii="Arial" w:hAnsi="Arial" w:cs="Arial"/>
        </w:rPr>
      </w:pPr>
    </w:p>
    <w:sectPr w:rsidR="003F15E6" w:rsidRPr="002B3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DF"/>
    <w:rsid w:val="002B32DF"/>
    <w:rsid w:val="003F15E6"/>
    <w:rsid w:val="008E5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22820"/>
  <w15:chartTrackingRefBased/>
  <w15:docId w15:val="{A1E49699-388A-4FC1-9FC5-72F661587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2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2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2B32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2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2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2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2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2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2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2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2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2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2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2DF"/>
    <w:rPr>
      <w:rFonts w:eastAsiaTheme="majorEastAsia" w:cstheme="majorBidi"/>
      <w:color w:val="272727" w:themeColor="text1" w:themeTint="D8"/>
    </w:rPr>
  </w:style>
  <w:style w:type="paragraph" w:styleId="Title">
    <w:name w:val="Title"/>
    <w:basedOn w:val="Normal"/>
    <w:next w:val="Normal"/>
    <w:link w:val="TitleChar"/>
    <w:uiPriority w:val="10"/>
    <w:qFormat/>
    <w:rsid w:val="002B3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2DF"/>
    <w:pPr>
      <w:spacing w:before="160"/>
      <w:jc w:val="center"/>
    </w:pPr>
    <w:rPr>
      <w:i/>
      <w:iCs/>
      <w:color w:val="404040" w:themeColor="text1" w:themeTint="BF"/>
    </w:rPr>
  </w:style>
  <w:style w:type="character" w:customStyle="1" w:styleId="QuoteChar">
    <w:name w:val="Quote Char"/>
    <w:basedOn w:val="DefaultParagraphFont"/>
    <w:link w:val="Quote"/>
    <w:uiPriority w:val="29"/>
    <w:rsid w:val="002B32DF"/>
    <w:rPr>
      <w:i/>
      <w:iCs/>
      <w:color w:val="404040" w:themeColor="text1" w:themeTint="BF"/>
    </w:rPr>
  </w:style>
  <w:style w:type="paragraph" w:styleId="ListParagraph">
    <w:name w:val="List Paragraph"/>
    <w:basedOn w:val="Normal"/>
    <w:uiPriority w:val="34"/>
    <w:qFormat/>
    <w:rsid w:val="002B32DF"/>
    <w:pPr>
      <w:ind w:left="720"/>
      <w:contextualSpacing/>
    </w:pPr>
  </w:style>
  <w:style w:type="character" w:styleId="IntenseEmphasis">
    <w:name w:val="Intense Emphasis"/>
    <w:basedOn w:val="DefaultParagraphFont"/>
    <w:uiPriority w:val="21"/>
    <w:qFormat/>
    <w:rsid w:val="002B32DF"/>
    <w:rPr>
      <w:i/>
      <w:iCs/>
      <w:color w:val="0F4761" w:themeColor="accent1" w:themeShade="BF"/>
    </w:rPr>
  </w:style>
  <w:style w:type="paragraph" w:styleId="IntenseQuote">
    <w:name w:val="Intense Quote"/>
    <w:basedOn w:val="Normal"/>
    <w:next w:val="Normal"/>
    <w:link w:val="IntenseQuoteChar"/>
    <w:uiPriority w:val="30"/>
    <w:qFormat/>
    <w:rsid w:val="002B32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2DF"/>
    <w:rPr>
      <w:i/>
      <w:iCs/>
      <w:color w:val="0F4761" w:themeColor="accent1" w:themeShade="BF"/>
    </w:rPr>
  </w:style>
  <w:style w:type="character" w:styleId="IntenseReference">
    <w:name w:val="Intense Reference"/>
    <w:basedOn w:val="DefaultParagraphFont"/>
    <w:uiPriority w:val="32"/>
    <w:qFormat/>
    <w:rsid w:val="002B32DF"/>
    <w:rPr>
      <w:b/>
      <w:bCs/>
      <w:smallCaps/>
      <w:color w:val="0F4761" w:themeColor="accent1" w:themeShade="BF"/>
      <w:spacing w:val="5"/>
    </w:rPr>
  </w:style>
  <w:style w:type="paragraph" w:styleId="NormalWeb">
    <w:name w:val="Normal (Web)"/>
    <w:basedOn w:val="Normal"/>
    <w:uiPriority w:val="99"/>
    <w:rsid w:val="002B32DF"/>
    <w:pPr>
      <w:spacing w:before="100" w:after="100" w:line="240" w:lineRule="auto"/>
    </w:pPr>
    <w:rPr>
      <w:rFonts w:ascii="Times New Roman" w:eastAsia="Times New Roman" w:hAnsi="Times New Roman" w:cs="Times New Roman"/>
      <w:kern w:val="0"/>
      <w:sz w:val="24"/>
      <w:szCs w:val="20"/>
      <w14:ligatures w14:val="none"/>
    </w:rPr>
  </w:style>
  <w:style w:type="character" w:styleId="Strong">
    <w:name w:val="Strong"/>
    <w:basedOn w:val="DefaultParagraphFont"/>
    <w:uiPriority w:val="22"/>
    <w:qFormat/>
    <w:rsid w:val="002B32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2069</Words>
  <Characters>11799</Characters>
  <Application>Microsoft Office Word</Application>
  <DocSecurity>0</DocSecurity>
  <Lines>98</Lines>
  <Paragraphs>27</Paragraphs>
  <ScaleCrop>false</ScaleCrop>
  <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2025-10-23T07:53:00Z</dcterms:created>
  <dcterms:modified xsi:type="dcterms:W3CDTF">2025-10-23T07:59:00Z</dcterms:modified>
</cp:coreProperties>
</file>