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FC6" w:rsidRPr="009C2FC6" w:rsidRDefault="009C2FC6" w:rsidP="009C2FC6">
      <w:pPr>
        <w:pStyle w:val="Heading1"/>
        <w:rPr>
          <w:rFonts w:eastAsia="Times New Roman"/>
          <w:kern w:val="36"/>
          <w:sz w:val="40"/>
          <w:szCs w:val="40"/>
          <w:lang w:eastAsia="en-GB"/>
        </w:rPr>
      </w:pPr>
      <w:r w:rsidRPr="009C2FC6">
        <w:rPr>
          <w:rFonts w:eastAsia="Times New Roman"/>
          <w:kern w:val="36"/>
          <w:sz w:val="40"/>
          <w:szCs w:val="40"/>
          <w:lang w:eastAsia="en-GB"/>
        </w:rPr>
        <w:t>1.0 Introduction</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F59D3"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This report highlights the importance of understanding and addressing diagnosed impairments in post-compulsory education and training (PCET) settings. It highlights the strategies to meet the needs of learners with additional learning needs in HE/FE settings. Recognizing regulatory and legal requirements and the importance of mental health support (Wessely, 2019) is necessary for students in university settings due to the pressures and stresses they face while studying.</w:t>
      </w:r>
    </w:p>
    <w:p w:rsidR="009C2FC6" w:rsidRPr="009F59D3" w:rsidRDefault="009C2FC6" w:rsidP="009F59D3">
      <w:pPr>
        <w:jc w:val="both"/>
        <w:rPr>
          <w:rFonts w:eastAsia="Times New Roman" w:cstheme="minorHAnsi"/>
          <w:color w:val="0E101A"/>
          <w:sz w:val="24"/>
          <w:szCs w:val="24"/>
          <w:lang w:eastAsia="en-GB"/>
        </w:rPr>
      </w:pPr>
      <w:r w:rsidRPr="009F59D3">
        <w:rPr>
          <w:rFonts w:eastAsia="Times New Roman" w:cstheme="minorHAnsi"/>
          <w:color w:val="0E101A"/>
          <w:sz w:val="24"/>
          <w:szCs w:val="24"/>
          <w:lang w:eastAsia="en-GB"/>
        </w:rPr>
        <w:br w:type="page"/>
      </w:r>
    </w:p>
    <w:p w:rsidR="009C2FC6" w:rsidRPr="009C2FC6" w:rsidRDefault="009C2FC6" w:rsidP="009C2FC6">
      <w:pPr>
        <w:pStyle w:val="Heading1"/>
        <w:jc w:val="center"/>
        <w:rPr>
          <w:rFonts w:eastAsia="Times New Roman"/>
          <w:kern w:val="36"/>
          <w:sz w:val="40"/>
          <w:szCs w:val="40"/>
          <w:lang w:eastAsia="en-GB"/>
        </w:rPr>
      </w:pPr>
      <w:r w:rsidRPr="009C2FC6">
        <w:rPr>
          <w:rFonts w:eastAsia="Times New Roman"/>
          <w:kern w:val="36"/>
          <w:sz w:val="40"/>
          <w:szCs w:val="40"/>
          <w:lang w:eastAsia="en-GB"/>
        </w:rPr>
        <w:lastRenderedPageBreak/>
        <w:t>Part 1</w:t>
      </w:r>
    </w:p>
    <w:p w:rsidR="009C2FC6" w:rsidRPr="009C2FC6" w:rsidRDefault="009C2FC6" w:rsidP="009C2FC6">
      <w:pPr>
        <w:pStyle w:val="Heading1"/>
        <w:rPr>
          <w:rFonts w:eastAsia="Times New Roman"/>
          <w:kern w:val="36"/>
          <w:sz w:val="40"/>
          <w:szCs w:val="40"/>
          <w:lang w:eastAsia="en-GB"/>
        </w:rPr>
      </w:pPr>
      <w:r w:rsidRPr="009C2FC6">
        <w:rPr>
          <w:rFonts w:eastAsia="Times New Roman"/>
          <w:kern w:val="36"/>
          <w:sz w:val="40"/>
          <w:szCs w:val="40"/>
          <w:lang w:eastAsia="en-GB"/>
        </w:rPr>
        <w:t>2.0 Main Body</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F59D3" w:rsidRDefault="009C2FC6" w:rsidP="009F59D3">
      <w:pPr>
        <w:pStyle w:val="Heading3"/>
        <w:rPr>
          <w:rFonts w:eastAsia="Times New Roman"/>
          <w:sz w:val="24"/>
          <w:szCs w:val="24"/>
          <w:lang w:eastAsia="en-GB"/>
        </w:rPr>
      </w:pPr>
      <w:r w:rsidRPr="009F59D3">
        <w:rPr>
          <w:rFonts w:eastAsia="Times New Roman"/>
          <w:sz w:val="24"/>
          <w:szCs w:val="24"/>
          <w:lang w:eastAsia="en-GB"/>
        </w:rPr>
        <w:t>Key features and associated characteristics of a range of diagnosed impairments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 xml:space="preserve">There are various impairments that individuals can be diagnosed </w:t>
      </w:r>
      <w:r w:rsidR="00325B7E" w:rsidRPr="009C2FC6">
        <w:rPr>
          <w:rFonts w:eastAsia="Times New Roman" w:cstheme="minorHAnsi"/>
          <w:color w:val="0E101A"/>
          <w:sz w:val="24"/>
          <w:szCs w:val="24"/>
          <w:lang w:eastAsia="en-GB"/>
        </w:rPr>
        <w:t>with each</w:t>
      </w:r>
      <w:r w:rsidRPr="009C2FC6">
        <w:rPr>
          <w:rFonts w:eastAsia="Times New Roman" w:cstheme="minorHAnsi"/>
          <w:color w:val="0E101A"/>
          <w:sz w:val="24"/>
          <w:szCs w:val="24"/>
          <w:lang w:eastAsia="en-GB"/>
        </w:rPr>
        <w:t xml:space="preserve"> with unique key features and characteristics</w:t>
      </w:r>
      <w:r w:rsidR="00325B7E">
        <w:rPr>
          <w:rFonts w:eastAsia="Times New Roman" w:cstheme="minorHAnsi"/>
          <w:color w:val="0E101A"/>
          <w:sz w:val="24"/>
          <w:szCs w:val="24"/>
          <w:lang w:eastAsia="en-GB"/>
        </w:rPr>
        <w:t xml:space="preserve"> (CDC, 2020)</w:t>
      </w:r>
      <w:r w:rsidRPr="009C2FC6">
        <w:rPr>
          <w:rFonts w:eastAsia="Times New Roman" w:cstheme="minorHAnsi"/>
          <w:color w:val="0E101A"/>
          <w:sz w:val="24"/>
          <w:szCs w:val="24"/>
          <w:lang w:eastAsia="en-GB"/>
        </w:rPr>
        <w:t xml:space="preserve">. Common </w:t>
      </w:r>
      <w:r w:rsidR="005425BF" w:rsidRPr="009C2FC6">
        <w:rPr>
          <w:rFonts w:eastAsia="Times New Roman" w:cstheme="minorHAnsi"/>
          <w:color w:val="0E101A"/>
          <w:sz w:val="24"/>
          <w:szCs w:val="24"/>
          <w:lang w:eastAsia="en-GB"/>
        </w:rPr>
        <w:t>impairments include</w:t>
      </w:r>
      <w:r w:rsidRPr="009C2FC6">
        <w:rPr>
          <w:rFonts w:eastAsia="Times New Roman" w:cstheme="minorHAnsi"/>
          <w:color w:val="0E101A"/>
          <w:sz w:val="24"/>
          <w:szCs w:val="24"/>
          <w:lang w:eastAsia="en-GB"/>
        </w:rPr>
        <w:t xml:space="preserve"> physical disabilities affecting mobility, sensory impairments impacting sensory reception, learning disabilities involving information processing challenges, and mental health disorders affecting thoughts and behaviours</w:t>
      </w:r>
      <w:r w:rsidR="00325B7E" w:rsidRPr="009C2FC6">
        <w:rPr>
          <w:rFonts w:eastAsia="Times New Roman" w:cstheme="minorHAnsi"/>
          <w:color w:val="0E101A"/>
          <w:sz w:val="24"/>
          <w:szCs w:val="24"/>
          <w:lang w:eastAsia="en-GB"/>
        </w:rPr>
        <w:t>(ODR)</w:t>
      </w:r>
      <w:r w:rsidRPr="009C2FC6">
        <w:rPr>
          <w:rFonts w:eastAsia="Times New Roman" w:cstheme="minorHAnsi"/>
          <w:color w:val="0E101A"/>
          <w:sz w:val="24"/>
          <w:szCs w:val="24"/>
          <w:lang w:eastAsia="en-GB"/>
        </w:rPr>
        <w:t>.</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 xml:space="preserve">Physical disabilities can include conditions like paralysis or cerebral palsy, leading to limited mobility and challenges with daily tasks. Sensory impairments affect communication and interaction, requiring specialized methods and assistive devices (Berg, 2024). Learning disabilities, such as dyslexia or ADHD, can result in difficulties with academic skills and organization, necessitating educational support by primary academic staff, including lecturers, teaching assistants and practice mentors, holding responsibility for teaching, learning and assessments not to mention pastoral work (Houghton, 2019). Mental health disorders like depression or anxiety can cause mood and behavioural changes, often requiring therapy or medication. </w:t>
      </w:r>
      <w:r w:rsidR="00325B7E">
        <w:rPr>
          <w:rFonts w:eastAsia="Times New Roman" w:cstheme="minorHAnsi"/>
          <w:color w:val="0E101A"/>
          <w:sz w:val="24"/>
          <w:szCs w:val="24"/>
          <w:lang w:eastAsia="en-GB"/>
        </w:rPr>
        <w:t>Thus, the post compulsory settings</w:t>
      </w:r>
      <w:r w:rsidRPr="009C2FC6">
        <w:rPr>
          <w:rFonts w:eastAsia="Times New Roman" w:cstheme="minorHAnsi"/>
          <w:color w:val="0E101A"/>
          <w:sz w:val="24"/>
          <w:szCs w:val="24"/>
          <w:lang w:eastAsia="en-GB"/>
        </w:rPr>
        <w:t xml:space="preserve"> provides many benefits to good mental health such as work (studying), accommodation, leisure facilities, social life, social support and professional support all in one place (Streatfield, 2019).</w:t>
      </w:r>
    </w:p>
    <w:p w:rsidR="009C2FC6" w:rsidRPr="009F59D3" w:rsidRDefault="009C2FC6" w:rsidP="009F59D3">
      <w:pPr>
        <w:pStyle w:val="Heading3"/>
        <w:rPr>
          <w:rFonts w:eastAsia="Times New Roman"/>
          <w:sz w:val="24"/>
          <w:szCs w:val="24"/>
          <w:lang w:eastAsia="en-GB"/>
        </w:rPr>
      </w:pPr>
      <w:r w:rsidRPr="009F59D3">
        <w:rPr>
          <w:rFonts w:eastAsia="Times New Roman"/>
          <w:sz w:val="24"/>
          <w:szCs w:val="24"/>
          <w:lang w:eastAsia="en-GB"/>
        </w:rPr>
        <w:t>Strategies to meet the needs of learners with additional learning needs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Each</w:t>
      </w:r>
      <w:r w:rsidR="00325B7E">
        <w:rPr>
          <w:rFonts w:eastAsia="Times New Roman" w:cstheme="minorHAnsi"/>
          <w:color w:val="0E101A"/>
          <w:sz w:val="24"/>
          <w:szCs w:val="24"/>
          <w:lang w:eastAsia="en-GB"/>
        </w:rPr>
        <w:t xml:space="preserve"> </w:t>
      </w:r>
      <w:r w:rsidRPr="009C2FC6">
        <w:rPr>
          <w:rFonts w:eastAsia="Times New Roman" w:cstheme="minorHAnsi"/>
          <w:color w:val="0E101A"/>
          <w:sz w:val="24"/>
          <w:szCs w:val="24"/>
          <w:lang w:eastAsia="en-GB"/>
        </w:rPr>
        <w:t>diagnosed impairment has its own unique set of key features and associated characteristics that can impact an individual's daily life and functioning (Streatfield, 2019). Individuals with impairments need to receive appropriate support, accommodations, and resources (Welsh Government, 2016) to help them overcome barriers and thrive in their personal and professional lives. This may involve: </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Differentiated Instruction:</w:t>
      </w:r>
      <w:r w:rsidRPr="009C2FC6">
        <w:rPr>
          <w:rFonts w:eastAsia="Times New Roman" w:cstheme="minorHAnsi"/>
          <w:color w:val="0E101A"/>
          <w:sz w:val="24"/>
          <w:szCs w:val="24"/>
          <w:lang w:eastAsia="en-GB"/>
        </w:rPr>
        <w:t>  Tailoring teaching methods, materials, and assessments to meet the diverse learning needs of students. This may involve using a variety of instructional strategies (Somji, 2018), such as visual aids, hands-on activities, and technology-based tools, to accommodate different learning styles and abilities.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 Individualized Education Plans (IEPs)</w:t>
      </w:r>
      <w:r w:rsidRPr="009C2FC6">
        <w:rPr>
          <w:rFonts w:eastAsia="Times New Roman" w:cstheme="minorHAnsi"/>
          <w:color w:val="0E101A"/>
          <w:sz w:val="24"/>
          <w:szCs w:val="24"/>
          <w:lang w:eastAsia="en-GB"/>
        </w:rPr>
        <w:t>: Developing personalized plans for learners with additional learning needs that outline specific goals, accommodations, and support strategies. IEPs (Gov.Wales, 2015) can help ensure that students receive the necessary support to succeed academically and socially.</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Supportive Learning Environment:</w:t>
      </w:r>
      <w:r w:rsidRPr="009C2FC6">
        <w:rPr>
          <w:rFonts w:eastAsia="Times New Roman" w:cstheme="minorHAnsi"/>
          <w:color w:val="0E101A"/>
          <w:sz w:val="24"/>
          <w:szCs w:val="24"/>
          <w:lang w:eastAsia="en-GB"/>
        </w:rPr>
        <w:t> Creating a welcoming and inclusive classroom environment (Frederickson &amp; Cline, 2002) where all students feel valued and supported. This can include promoting positive behaviour, providing clear expectations, and fostering a sense of belonging among students.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 Accessibility and Accommodations:</w:t>
      </w:r>
      <w:r w:rsidRPr="009C2FC6">
        <w:rPr>
          <w:rFonts w:eastAsia="Times New Roman" w:cstheme="minorHAnsi"/>
          <w:color w:val="0E101A"/>
          <w:sz w:val="24"/>
          <w:szCs w:val="24"/>
          <w:lang w:eastAsia="en-GB"/>
        </w:rPr>
        <w:t> Ensuring that the physical space and materials are accessible to all learners, including those with disabilities. This may involve providing assistive technology, alternative formats for materials, and tailored accommodations based on individual needs (WHO, 2024).</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lastRenderedPageBreak/>
        <w:t> Collaborative Approach: </w:t>
      </w:r>
      <w:r w:rsidRPr="009C2FC6">
        <w:rPr>
          <w:rFonts w:eastAsia="Times New Roman" w:cstheme="minorHAnsi"/>
          <w:color w:val="0E101A"/>
          <w:sz w:val="24"/>
          <w:szCs w:val="24"/>
          <w:lang w:eastAsia="en-GB"/>
        </w:rPr>
        <w:t>Working closely with other educators, support staff, and external agencies to provide comprehensive support for learners with additional learning needs. Collaboration (Hernandez, 2013) can help identify effective strategies, share resources, and coordinate services to meet the diverse needs of students.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ascii="Times New Roman" w:eastAsia="Times New Roman" w:hAnsi="Times New Roman" w:cs="Times New Roman"/>
          <w:b/>
          <w:bCs/>
          <w:color w:val="0E101A"/>
          <w:sz w:val="24"/>
          <w:szCs w:val="24"/>
          <w:lang w:eastAsia="en-GB"/>
        </w:rPr>
        <w:t> </w:t>
      </w:r>
      <w:r w:rsidRPr="009F59D3">
        <w:rPr>
          <w:rFonts w:eastAsia="Times New Roman" w:cstheme="minorHAnsi"/>
          <w:b/>
          <w:bCs/>
          <w:color w:val="0E101A"/>
          <w:sz w:val="24"/>
          <w:szCs w:val="24"/>
          <w:lang w:eastAsia="en-GB"/>
        </w:rPr>
        <w:t>Regular Monitoring and Evaluation:</w:t>
      </w:r>
      <w:r w:rsidRPr="009C2FC6">
        <w:rPr>
          <w:rFonts w:eastAsia="Times New Roman" w:cstheme="minorHAnsi"/>
          <w:color w:val="0E101A"/>
          <w:sz w:val="24"/>
          <w:szCs w:val="24"/>
          <w:lang w:eastAsia="en-GB"/>
        </w:rPr>
        <w:t> Continuously assessing the progress of learners with additional learning needs and making adjustments to support strategies as needed</w:t>
      </w:r>
      <w:r w:rsidR="00004EB9" w:rsidRPr="00004EB9">
        <w:t xml:space="preserve"> </w:t>
      </w:r>
      <w:r w:rsidR="00004EB9">
        <w:t>(Nordengren, 2023)</w:t>
      </w:r>
      <w:r w:rsidRPr="009C2FC6">
        <w:rPr>
          <w:rFonts w:eastAsia="Times New Roman" w:cstheme="minorHAnsi"/>
          <w:color w:val="0E101A"/>
          <w:sz w:val="24"/>
          <w:szCs w:val="24"/>
          <w:lang w:eastAsia="en-GB"/>
        </w:rPr>
        <w:t>. This may involve collecting data, tracking performance, and seeking feedback from learners to ensure that their needs are being met effectively.</w:t>
      </w:r>
    </w:p>
    <w:p w:rsid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Ensuring inclusive education for students with additional learning needs in higher education involves adhering to regulatory and legal requirements, recognizing diverse learning needs, and using proactive support measures (Welsh Government, 2016). Educators play a vital role in fostering inclusivity by promoting diversity and creating a supportive learning environment (Sobel &amp; Alston). Various impairments require specific forms of support and resources, and Assistive Technology (AT) can be valuable in promoting inclusivity (IRIS Center; Martin, 2024).</w:t>
      </w:r>
    </w:p>
    <w:p w:rsidR="008C7C11" w:rsidRPr="009C2FC6" w:rsidRDefault="008C7C11" w:rsidP="008C7C11">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higher education, supporting students with additional learning needs involves familiarizing them with institutional policies, using diverse teaching strategies, providing individualized support, staying informed on legislation, and seeking professional development (Government UK, 2013). By adhering to best practices, HE teachers can effectively support students while promoting inclusivity and a supportive learning environment (Lee, 2022; Sobel &amp; Alston).</w:t>
      </w:r>
    </w:p>
    <w:p w:rsidR="008C7C11" w:rsidRPr="009C2FC6" w:rsidRDefault="008C7C11" w:rsidP="009F59D3">
      <w:pPr>
        <w:spacing w:after="0" w:line="240" w:lineRule="auto"/>
        <w:jc w:val="both"/>
        <w:rPr>
          <w:rFonts w:eastAsia="Times New Roman" w:cstheme="minorHAnsi"/>
          <w:color w:val="0E101A"/>
          <w:sz w:val="24"/>
          <w:szCs w:val="24"/>
          <w:lang w:eastAsia="en-GB"/>
        </w:rPr>
      </w:pPr>
    </w:p>
    <w:p w:rsidR="009C2FC6" w:rsidRDefault="009C2FC6" w:rsidP="009F59D3">
      <w:pPr>
        <w:pStyle w:val="Heading3"/>
        <w:rPr>
          <w:rFonts w:eastAsia="Times New Roman"/>
          <w:sz w:val="24"/>
          <w:szCs w:val="24"/>
          <w:lang w:eastAsia="en-GB"/>
        </w:rPr>
      </w:pPr>
      <w:r w:rsidRPr="009F59D3">
        <w:rPr>
          <w:rFonts w:eastAsia="Times New Roman"/>
          <w:sz w:val="24"/>
          <w:szCs w:val="24"/>
          <w:lang w:eastAsia="en-GB"/>
        </w:rPr>
        <w:t>Regulatory and legal requirements. </w:t>
      </w:r>
    </w:p>
    <w:p w:rsidR="008C7C11" w:rsidRPr="009C2FC6" w:rsidRDefault="008C7C11" w:rsidP="008C7C11">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the post-compulsory education and training setting</w:t>
      </w:r>
      <w:r w:rsidR="009C693B" w:rsidRPr="009C693B">
        <w:t xml:space="preserve"> </w:t>
      </w:r>
      <w:r w:rsidR="009C693B">
        <w:t>(UWTSD, 2024)</w:t>
      </w:r>
      <w:r w:rsidRPr="009C2FC6">
        <w:rPr>
          <w:rFonts w:eastAsia="Times New Roman" w:cstheme="minorHAnsi"/>
          <w:color w:val="0E101A"/>
          <w:sz w:val="24"/>
          <w:szCs w:val="24"/>
          <w:lang w:eastAsia="en-GB"/>
        </w:rPr>
        <w:t>, meeting the needs of learners with additional learning needs requires following regulatory and legal requirements (Equality Act 2010, SEND Code of Practice, etc.) to ensure inclusive education and support (Barden &amp; Caleb, 2019). Adhering to these requirements promotes equal access to education and training opportunities for all students (Lee, 2022).</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the post-compulsory education and training (PCET) setting, several regulatory and legal requirements must be followed to accommodate additional requirements and promote inclusivity within the classroom. These include the following:</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The Equality Act 2010:</w:t>
      </w:r>
      <w:r w:rsidRPr="009C2FC6">
        <w:rPr>
          <w:rFonts w:eastAsia="Times New Roman" w:cstheme="minorHAnsi"/>
          <w:color w:val="0E101A"/>
          <w:sz w:val="24"/>
          <w:szCs w:val="24"/>
          <w:lang w:eastAsia="en-GB"/>
        </w:rPr>
        <w:t> This legislation prohibits discrimination against individuals with protected characteristics, including disability, race, gender, and age. Under the Equality Act, educational institutions are required to make reasonable adjustments to ensure that disabled students are not disadvantaged in accessing education and training.</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Special Educational Needs and Disability (SEND) Code of Practice:</w:t>
      </w:r>
      <w:r w:rsidRPr="009C2FC6">
        <w:rPr>
          <w:rFonts w:eastAsia="Times New Roman" w:cstheme="minorHAnsi"/>
          <w:color w:val="0E101A"/>
          <w:sz w:val="24"/>
          <w:szCs w:val="24"/>
          <w:lang w:eastAsia="en-GB"/>
        </w:rPr>
        <w:t> This guidance sets out the legal requirements for identifying and supporting students with special educational needs and disabilities. It outlines the process for assessing and meeting the needs of students with additional requirements, including the provision of support and accommodations.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 The Disability Discrimination Act 1995 (DDA):</w:t>
      </w:r>
      <w:r w:rsidRPr="009C2FC6">
        <w:rPr>
          <w:rFonts w:eastAsia="Times New Roman" w:cstheme="minorHAnsi"/>
          <w:color w:val="0E101A"/>
          <w:sz w:val="24"/>
          <w:szCs w:val="24"/>
          <w:lang w:eastAsia="en-GB"/>
        </w:rPr>
        <w:t> This legislation requires educational institutions to avoid discrimination against individuals with disabilities and make reasonable adjustments to ensure access to education and training. The DDA covers physical access to buildings, services and facilities, as well as adjustments to teaching and assessment methods.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lastRenderedPageBreak/>
        <w:t> The Education (Additional Support for Learning) (Scotland) Act 2004:</w:t>
      </w:r>
      <w:r w:rsidRPr="009C2FC6">
        <w:rPr>
          <w:rFonts w:eastAsia="Times New Roman" w:cstheme="minorHAnsi"/>
          <w:color w:val="0E101A"/>
          <w:sz w:val="24"/>
          <w:szCs w:val="24"/>
          <w:lang w:eastAsia="en-GB"/>
        </w:rPr>
        <w:t> In Scotland, this legislation sets out the requirements for providing additional support for students with learning difficulties and disabilities. It places a duty on education authorities to identify and meet the additional support needs of students in the post-compulsory education sector.</w:t>
      </w:r>
    </w:p>
    <w:p w:rsidR="009C2FC6" w:rsidRDefault="009C2FC6" w:rsidP="009F59D3">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The Data Protection Act 2018: </w:t>
      </w:r>
      <w:r w:rsidRPr="009C2FC6">
        <w:rPr>
          <w:rFonts w:eastAsia="Times New Roman" w:cstheme="minorHAnsi"/>
          <w:color w:val="0E101A"/>
          <w:sz w:val="24"/>
          <w:szCs w:val="24"/>
          <w:lang w:eastAsia="en-GB"/>
        </w:rPr>
        <w:t>This legislation governs the use and protection of personal data, including information about students' additional learning needs. Educational institutions must comply with data protection laws when collecting, storing, and sharing information about students' needs and accommodations.</w:t>
      </w:r>
    </w:p>
    <w:p w:rsidR="00196ECD" w:rsidRPr="009C2FC6" w:rsidRDefault="00196ECD" w:rsidP="009F59D3">
      <w:pPr>
        <w:spacing w:after="0" w:line="240" w:lineRule="auto"/>
        <w:jc w:val="both"/>
        <w:rPr>
          <w:rFonts w:eastAsia="Times New Roman" w:cstheme="minorHAnsi"/>
          <w:color w:val="0E101A"/>
          <w:sz w:val="24"/>
          <w:szCs w:val="24"/>
          <w:lang w:eastAsia="en-GB"/>
        </w:rPr>
      </w:pPr>
    </w:p>
    <w:p w:rsidR="00196ECD" w:rsidRDefault="009C2FC6" w:rsidP="00484E31">
      <w:pPr>
        <w:spacing w:after="0" w:line="240" w:lineRule="auto"/>
        <w:jc w:val="both"/>
        <w:rPr>
          <w:rFonts w:eastAsia="Times New Roman" w:cstheme="minorHAnsi"/>
          <w:color w:val="0E101A"/>
          <w:sz w:val="24"/>
          <w:szCs w:val="24"/>
          <w:lang w:eastAsia="en-GB"/>
        </w:rPr>
      </w:pPr>
      <w:r w:rsidRPr="009F59D3">
        <w:rPr>
          <w:rFonts w:eastAsia="Times New Roman" w:cstheme="minorHAnsi"/>
          <w:b/>
          <w:bCs/>
          <w:color w:val="0E101A"/>
          <w:sz w:val="24"/>
          <w:szCs w:val="24"/>
          <w:lang w:eastAsia="en-GB"/>
        </w:rPr>
        <w:t> </w:t>
      </w:r>
      <w:r w:rsidRPr="009F59D3">
        <w:rPr>
          <w:rStyle w:val="Heading3Char"/>
          <w:sz w:val="24"/>
          <w:szCs w:val="24"/>
          <w:lang w:eastAsia="en-GB"/>
        </w:rPr>
        <w:t>Institutional Policies and Procedures:</w:t>
      </w:r>
      <w:r w:rsidRPr="009C2FC6">
        <w:rPr>
          <w:rFonts w:eastAsia="Times New Roman" w:cstheme="minorHAnsi"/>
          <w:color w:val="0E101A"/>
          <w:sz w:val="24"/>
          <w:szCs w:val="24"/>
          <w:lang w:eastAsia="en-GB"/>
        </w:rPr>
        <w:t> </w:t>
      </w:r>
    </w:p>
    <w:p w:rsidR="00484E31" w:rsidRPr="00484E31" w:rsidRDefault="00484E31" w:rsidP="00484E31">
      <w:pPr>
        <w:spacing w:after="0" w:line="240" w:lineRule="auto"/>
        <w:jc w:val="both"/>
        <w:rPr>
          <w:rFonts w:eastAsia="Times New Roman" w:cstheme="minorHAnsi"/>
          <w:color w:val="0E101A"/>
          <w:sz w:val="24"/>
          <w:szCs w:val="24"/>
          <w:lang w:eastAsia="en-GB"/>
        </w:rPr>
      </w:pPr>
      <w:r w:rsidRPr="00484E31">
        <w:rPr>
          <w:rFonts w:eastAsia="Times New Roman" w:cstheme="minorHAnsi"/>
          <w:color w:val="0E101A"/>
          <w:sz w:val="24"/>
          <w:szCs w:val="24"/>
          <w:lang w:eastAsia="en-GB"/>
        </w:rPr>
        <w:t>Educational institutions must have policies and procedures in place to ensure compliance with regulatory and legal requirements related to accommodating additional requirements and promoting inclusivity. It is unlawful to discriminate because of factors such as sex, race, disability, religion or belief, sexual orientation, or gender reassignment. For example, a school cannot discriminate against a student based on the</w:t>
      </w:r>
      <w:r>
        <w:rPr>
          <w:rFonts w:eastAsia="Times New Roman" w:cstheme="minorHAnsi"/>
          <w:color w:val="0E101A"/>
          <w:sz w:val="24"/>
          <w:szCs w:val="24"/>
          <w:lang w:eastAsia="en-GB"/>
        </w:rPr>
        <w:t>ir parents being immigrant.</w:t>
      </w:r>
    </w:p>
    <w:p w:rsidR="00484E31" w:rsidRDefault="00484E31" w:rsidP="00484E31">
      <w:pPr>
        <w:spacing w:after="0" w:line="240" w:lineRule="auto"/>
        <w:jc w:val="both"/>
        <w:rPr>
          <w:rFonts w:eastAsia="Times New Roman" w:cstheme="minorHAnsi"/>
          <w:color w:val="0E101A"/>
          <w:sz w:val="24"/>
          <w:szCs w:val="24"/>
          <w:lang w:eastAsia="en-GB"/>
        </w:rPr>
      </w:pPr>
      <w:r w:rsidRPr="00484E31">
        <w:rPr>
          <w:rFonts w:eastAsia="Times New Roman" w:cstheme="minorHAnsi"/>
          <w:color w:val="0E101A"/>
          <w:sz w:val="24"/>
          <w:szCs w:val="24"/>
          <w:lang w:eastAsia="en-GB"/>
        </w:rPr>
        <w:t>These policies should address issues related to equality and diversity, accessibility, and support services for students. Laws such as the Sex Discrimination Act 1975</w:t>
      </w:r>
      <w:r w:rsidR="00773E34" w:rsidRPr="00773E34">
        <w:t xml:space="preserve"> </w:t>
      </w:r>
      <w:r w:rsidR="00773E34">
        <w:t>(Hannett, 2001)</w:t>
      </w:r>
      <w:r w:rsidRPr="00484E31">
        <w:rPr>
          <w:rFonts w:eastAsia="Times New Roman" w:cstheme="minorHAnsi"/>
          <w:color w:val="0E101A"/>
          <w:sz w:val="24"/>
          <w:szCs w:val="24"/>
          <w:lang w:eastAsia="en-GB"/>
        </w:rPr>
        <w:t>, Race Relations Act 1976</w:t>
      </w:r>
      <w:r w:rsidR="00DF1620" w:rsidRPr="00DF1620">
        <w:t xml:space="preserve"> </w:t>
      </w:r>
      <w:r w:rsidR="00DF1620">
        <w:t>(RRA 1976, 1977)</w:t>
      </w:r>
      <w:r w:rsidRPr="00484E31">
        <w:rPr>
          <w:rFonts w:eastAsia="Times New Roman" w:cstheme="minorHAnsi"/>
          <w:color w:val="0E101A"/>
          <w:sz w:val="24"/>
          <w:szCs w:val="24"/>
          <w:lang w:eastAsia="en-GB"/>
        </w:rPr>
        <w:t>, and Disability Discrimination Act 1995</w:t>
      </w:r>
      <w:r w:rsidR="008618A6" w:rsidRPr="008618A6">
        <w:t xml:space="preserve"> </w:t>
      </w:r>
      <w:r w:rsidR="008618A6">
        <w:t>(Policy Division, 1997)</w:t>
      </w:r>
      <w:r w:rsidRPr="00484E31">
        <w:rPr>
          <w:rFonts w:eastAsia="Times New Roman" w:cstheme="minorHAnsi"/>
          <w:color w:val="0E101A"/>
          <w:sz w:val="24"/>
          <w:szCs w:val="24"/>
          <w:lang w:eastAsia="en-GB"/>
        </w:rPr>
        <w:t xml:space="preserve"> should be taken into consideration when developing these policies and procedures. It is important for educational institutions to have clear and well-defined strategies in place to ensure that all individuals are treated fairly and inclusively.</w:t>
      </w:r>
    </w:p>
    <w:p w:rsidR="009C2FC6" w:rsidRPr="009F59D3" w:rsidRDefault="00484E31" w:rsidP="00484E31">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 xml:space="preserve"> </w:t>
      </w:r>
    </w:p>
    <w:p w:rsidR="009C2FC6" w:rsidRDefault="009C2FC6">
      <w:pP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br w:type="page"/>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pStyle w:val="Heading1"/>
        <w:rPr>
          <w:rFonts w:eastAsia="Times New Roman"/>
          <w:kern w:val="36"/>
          <w:sz w:val="40"/>
          <w:szCs w:val="40"/>
          <w:lang w:eastAsia="en-GB"/>
        </w:rPr>
      </w:pPr>
      <w:r w:rsidRPr="009C2FC6">
        <w:rPr>
          <w:rFonts w:eastAsia="Times New Roman"/>
          <w:kern w:val="36"/>
          <w:sz w:val="40"/>
          <w:szCs w:val="40"/>
          <w:lang w:eastAsia="en-GB"/>
        </w:rPr>
        <w:t>3.0 Conclusion</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It is therefore concluded that, by recognizing diverse needs, adhering to legal requirements, utilizing assistive technology and promoting inclusivity, educators can create inclusive and supportive learning environments for students with additional learning needs in higher education. This comprehensive approach ensures equal opportunities for all learners (IRIS Center; Schools and Academies Show, 2021).</w:t>
      </w:r>
    </w:p>
    <w:p w:rsidR="009C2FC6" w:rsidRPr="009F59D3"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Wordcount part 1(11</w:t>
      </w:r>
      <w:r w:rsidR="00196ECD">
        <w:rPr>
          <w:rFonts w:eastAsia="Times New Roman" w:cstheme="minorHAnsi"/>
          <w:color w:val="0E101A"/>
          <w:sz w:val="24"/>
          <w:szCs w:val="24"/>
          <w:lang w:eastAsia="en-GB"/>
        </w:rPr>
        <w:t>45</w:t>
      </w:r>
      <w:r w:rsidRPr="009C2FC6">
        <w:rPr>
          <w:rFonts w:eastAsia="Times New Roman" w:cstheme="minorHAnsi"/>
          <w:color w:val="0E101A"/>
          <w:sz w:val="24"/>
          <w:szCs w:val="24"/>
          <w:lang w:eastAsia="en-GB"/>
        </w:rPr>
        <w:t>)</w:t>
      </w:r>
    </w:p>
    <w:p w:rsidR="009C2FC6" w:rsidRPr="009F59D3" w:rsidRDefault="009C2FC6" w:rsidP="009F59D3">
      <w:pPr>
        <w:jc w:val="both"/>
        <w:rPr>
          <w:rFonts w:eastAsia="Times New Roman" w:cstheme="minorHAnsi"/>
          <w:color w:val="0E101A"/>
          <w:sz w:val="24"/>
          <w:szCs w:val="24"/>
          <w:lang w:eastAsia="en-GB"/>
        </w:rPr>
      </w:pPr>
      <w:r w:rsidRPr="009F59D3">
        <w:rPr>
          <w:rFonts w:eastAsia="Times New Roman" w:cstheme="minorHAnsi"/>
          <w:color w:val="0E101A"/>
          <w:sz w:val="24"/>
          <w:szCs w:val="24"/>
          <w:lang w:eastAsia="en-GB"/>
        </w:rPr>
        <w:br w:type="page"/>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pStyle w:val="Heading1"/>
        <w:jc w:val="center"/>
        <w:rPr>
          <w:rFonts w:eastAsia="Times New Roman"/>
          <w:kern w:val="36"/>
          <w:sz w:val="40"/>
          <w:szCs w:val="40"/>
          <w:lang w:eastAsia="en-GB"/>
        </w:rPr>
      </w:pPr>
      <w:r w:rsidRPr="009C2FC6">
        <w:rPr>
          <w:rFonts w:eastAsia="Times New Roman"/>
          <w:kern w:val="36"/>
          <w:sz w:val="40"/>
          <w:szCs w:val="40"/>
          <w:lang w:eastAsia="en-GB"/>
        </w:rPr>
        <w:t>Part 2</w:t>
      </w:r>
    </w:p>
    <w:p w:rsidR="009C2FC6" w:rsidRPr="009F59D3" w:rsidRDefault="009C2FC6" w:rsidP="009F59D3">
      <w:pPr>
        <w:pStyle w:val="Heading2"/>
        <w:rPr>
          <w:rFonts w:eastAsia="Times New Roman"/>
          <w:sz w:val="28"/>
          <w:szCs w:val="28"/>
          <w:lang w:eastAsia="en-GB"/>
        </w:rPr>
      </w:pPr>
      <w:r w:rsidRPr="009F59D3">
        <w:rPr>
          <w:rFonts w:eastAsia="Times New Roman"/>
          <w:sz w:val="28"/>
          <w:szCs w:val="28"/>
          <w:lang w:eastAsia="en-GB"/>
        </w:rPr>
        <w:t>Support Statement for Iwan:</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Iwan's journey towards obtaining a Certificate of Higher Education in Skills for the Workplace at the UWTSD Business Education setting is marked by admirable determination and resilience. Coming from a disadvantaged area in Wales and being the first in his family to pursue higher education, Iwan's academic pursuit is not without its challenges. His financial struggles have started to cast a shadow over his studies, causing him to worry and stress. As his teacher, it is evident that Iwan's financial concerns are more than just an inconvenience - they are significant barriers to his academic success and overall well-being.</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Iwan is burdened by significant financial worries that are disrupting his ability to fully engage with his studies. Addressing his financial challenges and providing appropriate support are crucial steps to help Iwan focus on his studies without financial strain.</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Leveraging the robust processes and policies at UWTSD</w:t>
      </w:r>
      <w:r w:rsidR="001D02FF">
        <w:rPr>
          <w:rFonts w:eastAsia="Times New Roman" w:cstheme="minorHAnsi"/>
          <w:color w:val="0E101A"/>
          <w:sz w:val="24"/>
          <w:szCs w:val="24"/>
          <w:lang w:eastAsia="en-GB"/>
        </w:rPr>
        <w:t xml:space="preserve"> </w:t>
      </w:r>
      <w:r w:rsidR="001D02FF">
        <w:t>(UWTSD's S &amp;P's , 2024)</w:t>
      </w:r>
      <w:r w:rsidRPr="009C2FC6">
        <w:rPr>
          <w:rFonts w:eastAsia="Times New Roman" w:cstheme="minorHAnsi"/>
          <w:color w:val="0E101A"/>
          <w:sz w:val="24"/>
          <w:szCs w:val="24"/>
          <w:lang w:eastAsia="en-GB"/>
        </w:rPr>
        <w:t>, including financial assistance programs, student funds, and welfare support services, can provide essential support to learners like Iwan. By implementing targeted measures and utilizing available resources, we can ensure that Iwan receives the assistance needed to navigate his academic journey successfully.</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As per my findings, one of the primary ways to alleviate Iwan's financial burdens is by connecting him with the university's student services department. Exploring available financial aid options, scholarships, grants, and bursaries can provide Iwan with the financial cushion needed to continue his studies without the added stress of financial worry.</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Access to welfare support services can provide Iwan with valuable advice on managing finances and tapping into external resources, empowering him to concentrate on his studies. Collaboration with university career services or part-time work coordinators to establish flexible work arrangements for Iwan can help him balance work responsibilities with academic requirements, preventing his job from hindering his academic progress.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Providing Iwan with targeted academic support, including study skills, workshops and tutoring, along with access to counselling services for emotional support, stress management, and coping strategies, will equip him with the tools he needs to overcome setbacks caused by financial concerns and ensure his academic success. This holistic approach addresses both his academic needs and emotional well-being, empowering him to navigate challenges effectively and stay on track towards his educational goals</w:t>
      </w:r>
      <w:r w:rsidR="0030235F">
        <w:rPr>
          <w:rFonts w:eastAsia="Times New Roman" w:cstheme="minorHAnsi"/>
          <w:color w:val="0E101A"/>
          <w:sz w:val="24"/>
          <w:szCs w:val="24"/>
          <w:lang w:eastAsia="en-GB"/>
        </w:rPr>
        <w:t xml:space="preserve"> </w:t>
      </w:r>
      <w:r w:rsidR="0030235F">
        <w:t>(UWTSD's WBS, 2024)</w:t>
      </w:r>
      <w:r w:rsidRPr="009C2FC6">
        <w:rPr>
          <w:rFonts w:eastAsia="Times New Roman" w:cstheme="minorHAnsi"/>
          <w:color w:val="0E101A"/>
          <w:sz w:val="24"/>
          <w:szCs w:val="24"/>
          <w:lang w:eastAsia="en-GB"/>
        </w:rPr>
        <w:t>.</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By implementing these measures and harnessing the myriad support services available within the UWTSD Business Education setting, we can create a support network tailored to Iwan's unique needs. This comprehensive approach aims to empower Iwan to overcome his financial challenges, prioritize his academic success, and foster a sense of inclusion within the learning environment.</w:t>
      </w:r>
    </w:p>
    <w:p w:rsidR="009C2FC6" w:rsidRPr="009F59D3"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 xml:space="preserve">We must rally around Iwan, providing him with the support and resources necessary to surmount his financial obstacles and achieve his educational goals. By nurturing a supportive environment and offering tailored assistance, we can propel Iwan towards success in his studies and instil in him the confidence to navigate future challenges with </w:t>
      </w:r>
      <w:r w:rsidRPr="009C2FC6">
        <w:rPr>
          <w:rFonts w:eastAsia="Times New Roman" w:cstheme="minorHAnsi"/>
          <w:color w:val="0E101A"/>
          <w:sz w:val="24"/>
          <w:szCs w:val="24"/>
          <w:lang w:eastAsia="en-GB"/>
        </w:rPr>
        <w:lastRenderedPageBreak/>
        <w:t>resilience and determination. Together, we can ensure that Iwan's academic journey is marked by triumphs and growth, setting the stage for a bright and promising future ahead.</w:t>
      </w:r>
    </w:p>
    <w:p w:rsidR="009C2FC6" w:rsidRPr="009F59D3" w:rsidRDefault="009C2FC6" w:rsidP="009F59D3">
      <w:pPr>
        <w:pStyle w:val="Heading2"/>
        <w:rPr>
          <w:rFonts w:eastAsia="Times New Roman"/>
          <w:sz w:val="28"/>
          <w:szCs w:val="28"/>
          <w:lang w:eastAsia="en-GB"/>
        </w:rPr>
      </w:pPr>
      <w:r>
        <w:rPr>
          <w:rFonts w:eastAsia="Times New Roman"/>
          <w:sz w:val="24"/>
          <w:szCs w:val="24"/>
          <w:lang w:eastAsia="en-GB"/>
        </w:rPr>
        <w:br w:type="page"/>
      </w:r>
      <w:r w:rsidRPr="009F59D3">
        <w:rPr>
          <w:rFonts w:eastAsia="Times New Roman"/>
          <w:sz w:val="28"/>
          <w:szCs w:val="28"/>
          <w:lang w:eastAsia="en-GB"/>
        </w:rPr>
        <w:lastRenderedPageBreak/>
        <w:t>Support Statement for Efa:</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Addressing issues of discrimination and creating an inclusive environment is crucial for the success and well-being of all students within higher education institutions. In the case of Efa, a first-year student in the Travel and Tourism program at the University of Wales Trinity Saint David (UWTSD), her experience of feeling ostracised and singled out due to her race is a significant concern that needs to be addressed promptly and effectively to ensure her continued engagement and success in her studies.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The University of Wales Trinity Saint David has established processes and policies in place to support learners with additional support requirements, including those related to issues of discrimination and inclusivity. These support services can be accessed through the Student Support Services department, which plays a vital role in providing guidance, assistance, and resources to students facing various challenges in their academic journey.</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Efa's case, she must be provided with a safe and inclusive space where her concerns are heard and addressed. One of the initial steps that can be taken is arranging a meeting with a student support advisor who can offer guidance on managing instances of discrimination and providing emotional support. This personalized support can help Efa navigate the challenges she is facing and feel empowered to voice her concerns and seek assistance when needed.</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Furthermore, the university could also consider implementing diversity training for both lecturers and students within the Travel and Tourism program. Such training can help promote understanding, respect, and appreciation for different cultures and backgrounds, fostering a more inclusive and welcoming learning environment for all students. By raising awareness about issues of discrimination and providing tools to address and prevent such behaviour, the university can create a more supportive and inclusive atmosphere where students like Efa feel valued and respected.</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addition to these institutional measures, program-specific responses within the Travel and Tourism program can also play a pivotal role in supporting Efa and other students facing similar challenges. For instance, pairing Efa with a mentor or peer support group within her course can provide her with a sense of belonging and connection with fellow students. Group tasks can be structured to ensure equal opportunities for all students to contribute, and lecturers can actively promote an inclusive classroom environment by addressing and discouraging discriminatory behaviour.</w:t>
      </w:r>
    </w:p>
    <w:p w:rsidR="009C2FC6" w:rsidRPr="009F59D3"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By implementing these measures and fostering a culture of inclusivity and diversity within the Travel and Tourism program at UWTSD, Efa can be supported in overcoming her challenges and fully engaging with her studies. Ultimately, this proactive approach to addressing issues of discrimination and promoting inclusivity not only benefits Efa but also contributes to a more vibrant, supportive, and enriching academic community for all students within the university.</w:t>
      </w:r>
    </w:p>
    <w:p w:rsidR="009C2FC6" w:rsidRDefault="009C2FC6">
      <w:pP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br w:type="page"/>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F59D3" w:rsidRDefault="009C2FC6" w:rsidP="009F59D3">
      <w:pPr>
        <w:pStyle w:val="Heading2"/>
        <w:rPr>
          <w:rFonts w:eastAsia="Times New Roman"/>
          <w:sz w:val="28"/>
          <w:szCs w:val="28"/>
          <w:lang w:eastAsia="en-GB"/>
        </w:rPr>
      </w:pPr>
      <w:r w:rsidRPr="009F59D3">
        <w:rPr>
          <w:rFonts w:eastAsia="Times New Roman"/>
          <w:sz w:val="28"/>
          <w:szCs w:val="28"/>
          <w:lang w:eastAsia="en-GB"/>
        </w:rPr>
        <w:t>Support Statement for Dafydd:</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As Dafydd prepares to embark on his academic journey within the Business program at the University of Wales Trinity Saint David (UWTSD), it is essential to recognize and address his unique needs and challenges as a student with cerebral palsy and partial sight impairment. While Dafydd is not registered as blind and can walk independently with the aid of crutches, he faces difficulties with notetaking due to typing speed and occasional limitations with the use of his left arm. However, Dafydd's determination to maintain independence in managing his education while transitioning to university life is commendable.</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At UWTSD, there are established processes and policies in place to support learners with additional support requirements, ensuring that all students have equal access to education and are provided with the necessary accommodations to thrive in their chosen program. The Student Services department plays a crucial role in offering guidance, assistance, and resources to students like Dafydd who may require additional support to fully engage with their studies.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 Dafydd's case, it is important to consider how his support requirements may impact his ability to engage with the Business program. For instance, challenges with notetaking and limitations in using his left arm may require accommodations to ensure that Dafydd can fully participate in lectures and coursework. To accommodate him within the identified setting, both institutional and program-specific responses must be considered.</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Institutionally, UWTSD can offer a range of support measures to assist Dafydd in his academic journey. This may include providing access to assistive technology such as speech-to-text software or specialized keyboards to aid in note-taking and typing. Additionally, the university may arrange for extended exam time or alternative assessment methods to cater to Dafydd's needs.</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Within the Business program specifically, adaptations can be made to ensure that Dafydd is included in the learning environment. For example, lecturers can provide lecture slides or notes in advance to allow Dafydd time to review and prepare. Group work and assignments can be structured to account for Dafydd's unique abilities and ensure equal participation. Moreover, mentorship or peer support programs can be established to provide Dafydd with additional guidance and assistance from fellow students within the program.</w:t>
      </w:r>
    </w:p>
    <w:p w:rsidR="009C2FC6" w:rsidRPr="009C2FC6" w:rsidRDefault="009C2FC6" w:rsidP="009F59D3">
      <w:pPr>
        <w:spacing w:after="0" w:line="240" w:lineRule="auto"/>
        <w:jc w:val="both"/>
        <w:rPr>
          <w:rFonts w:eastAsia="Times New Roman" w:cstheme="minorHAnsi"/>
          <w:color w:val="0E101A"/>
          <w:sz w:val="24"/>
          <w:szCs w:val="24"/>
          <w:lang w:eastAsia="en-GB"/>
        </w:rPr>
      </w:pPr>
      <w:r w:rsidRPr="009C2FC6">
        <w:rPr>
          <w:rFonts w:eastAsia="Times New Roman" w:cstheme="minorHAnsi"/>
          <w:color w:val="0E101A"/>
          <w:sz w:val="24"/>
          <w:szCs w:val="24"/>
          <w:lang w:eastAsia="en-GB"/>
        </w:rPr>
        <w:t>By implementing these measures and fostering a culture of inclusivity and accessibility within the Business program at UWTSD, Dafydd can be supported in overcoming his challenges and fully engaging with his studies. The university is committed to providing a supportive and inclusive environment for all students, and with the right accommodations and support in place, Dafydd can continue to pursue his academic goals while maintaining his independence and thriving within the learning community at UWTSD.</w:t>
      </w:r>
    </w:p>
    <w:p w:rsidR="009C2FC6" w:rsidRPr="009F59D3" w:rsidRDefault="009C2FC6" w:rsidP="009C2FC6">
      <w:pPr>
        <w:spacing w:after="0" w:line="240" w:lineRule="auto"/>
        <w:rPr>
          <w:rFonts w:eastAsia="Times New Roman" w:cstheme="minorHAnsi"/>
          <w:color w:val="0E101A"/>
          <w:sz w:val="24"/>
          <w:szCs w:val="24"/>
          <w:lang w:eastAsia="en-GB"/>
        </w:rPr>
      </w:pPr>
      <w:r w:rsidRPr="009C2FC6">
        <w:rPr>
          <w:rFonts w:eastAsia="Times New Roman" w:cstheme="minorHAnsi"/>
          <w:color w:val="0E101A"/>
          <w:sz w:val="24"/>
          <w:szCs w:val="24"/>
          <w:lang w:eastAsia="en-GB"/>
        </w:rPr>
        <w:t>(Word count part 2 1406)</w:t>
      </w:r>
    </w:p>
    <w:p w:rsidR="009C2FC6" w:rsidRPr="009F59D3" w:rsidRDefault="009C2FC6">
      <w:pPr>
        <w:rPr>
          <w:rFonts w:eastAsia="Times New Roman" w:cstheme="minorHAnsi"/>
          <w:color w:val="0E101A"/>
          <w:sz w:val="24"/>
          <w:szCs w:val="24"/>
          <w:lang w:eastAsia="en-GB"/>
        </w:rPr>
      </w:pPr>
      <w:r w:rsidRPr="009F59D3">
        <w:rPr>
          <w:rFonts w:eastAsia="Times New Roman" w:cstheme="minorHAnsi"/>
          <w:color w:val="0E101A"/>
          <w:sz w:val="24"/>
          <w:szCs w:val="24"/>
          <w:lang w:eastAsia="en-GB"/>
        </w:rPr>
        <w:br w:type="page"/>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Pr="009C2FC6" w:rsidRDefault="009C2FC6" w:rsidP="009C2FC6">
      <w:pPr>
        <w:pStyle w:val="Heading1"/>
        <w:rPr>
          <w:rFonts w:eastAsia="Times New Roman"/>
          <w:kern w:val="36"/>
          <w:sz w:val="40"/>
          <w:szCs w:val="40"/>
          <w:lang w:eastAsia="en-GB"/>
        </w:rPr>
      </w:pPr>
      <w:r w:rsidRPr="009C2FC6">
        <w:rPr>
          <w:rFonts w:eastAsia="Times New Roman"/>
          <w:kern w:val="36"/>
          <w:sz w:val="40"/>
          <w:szCs w:val="40"/>
          <w:lang w:eastAsia="en-GB"/>
        </w:rPr>
        <w:t>4.0 References</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p>
    <w:p w:rsidR="009C2FC6" w:rsidRDefault="009C2FC6" w:rsidP="009C2FC6"/>
    <w:p w:rsidR="009C2FC6" w:rsidRDefault="009C2FC6" w:rsidP="009C2FC6">
      <w:pPr>
        <w:pStyle w:val="NormalWeb"/>
        <w:numPr>
          <w:ilvl w:val="0"/>
          <w:numId w:val="2"/>
        </w:numPr>
      </w:pPr>
      <w:r>
        <w:t xml:space="preserve">Barden, N. and Caleb , R. (2019) ‘Change In The Student Cohort’, in </w:t>
      </w:r>
      <w:r>
        <w:rPr>
          <w:i/>
          <w:iCs/>
        </w:rPr>
        <w:t xml:space="preserve">Student Mental Health and Wellbeing In Higher Education. A practical guide </w:t>
      </w:r>
      <w:r>
        <w:t xml:space="preserve">. Los Angeles: Sage , p. 11. </w:t>
      </w:r>
    </w:p>
    <w:p w:rsidR="009C2FC6" w:rsidRDefault="009C2FC6" w:rsidP="009C2FC6">
      <w:pPr>
        <w:pStyle w:val="NormalWeb"/>
        <w:numPr>
          <w:ilvl w:val="0"/>
          <w:numId w:val="2"/>
        </w:numPr>
      </w:pPr>
      <w:r>
        <w:t xml:space="preserve">Berg, V. (2024) ‘Types of physical disabilities’, </w:t>
      </w:r>
      <w:r>
        <w:rPr>
          <w:i/>
          <w:iCs/>
        </w:rPr>
        <w:t>carehome.co.uk</w:t>
      </w:r>
      <w:r>
        <w:t xml:space="preserve"> [Preprint]. doi:https://www.carehome.co.uk/advice/types-of-physical-disabilities#:~:text=stroke%20and%20dementia.-,What%20are%20the%20types%20of%20physical%20disabilities%3F,fatigue%20or%20pain%20and%20seizures. </w:t>
      </w:r>
    </w:p>
    <w:p w:rsidR="009C2FC6" w:rsidRDefault="009C2FC6" w:rsidP="009C2FC6">
      <w:pPr>
        <w:pStyle w:val="NormalWeb"/>
        <w:numPr>
          <w:ilvl w:val="0"/>
          <w:numId w:val="2"/>
        </w:numPr>
      </w:pPr>
      <w:r>
        <w:t xml:space="preserve">CDC (2020) </w:t>
      </w:r>
      <w:r>
        <w:rPr>
          <w:i/>
          <w:iCs/>
        </w:rPr>
        <w:t>Disability and health overview</w:t>
      </w:r>
      <w:r>
        <w:t xml:space="preserve">, </w:t>
      </w:r>
      <w:r>
        <w:rPr>
          <w:i/>
          <w:iCs/>
        </w:rPr>
        <w:t>Centers for Disease Control and Prevention</w:t>
      </w:r>
      <w:r>
        <w:t xml:space="preserve">. Available at: https://www.cdc.gov/ncbddd/disabilityandhealth/disability.html#:~:text=Impairment%20in%20a%20person’s%20body,%2C%20walking%2C%20or%20problem%20solving. (Accessed: 20 March 2024). </w:t>
      </w:r>
    </w:p>
    <w:p w:rsidR="009C2FC6" w:rsidRDefault="009C2FC6" w:rsidP="009C2FC6">
      <w:pPr>
        <w:pStyle w:val="NormalWeb"/>
        <w:numPr>
          <w:ilvl w:val="0"/>
          <w:numId w:val="2"/>
        </w:numPr>
      </w:pPr>
      <w:r>
        <w:t xml:space="preserve">Frederickson, N. and Cline, T. (2002) ‘4 Inclusion’, in </w:t>
      </w:r>
      <w:r>
        <w:rPr>
          <w:i/>
          <w:iCs/>
        </w:rPr>
        <w:t>https://r1.vlereader.com/Reader?ean=9780335262915</w:t>
      </w:r>
      <w:r>
        <w:t xml:space="preserve">. 3rd edn. New York : Open University Press, pp. 88–92. </w:t>
      </w:r>
    </w:p>
    <w:p w:rsidR="009C2FC6" w:rsidRDefault="009C2FC6" w:rsidP="009C2FC6">
      <w:pPr>
        <w:pStyle w:val="NormalWeb"/>
        <w:numPr>
          <w:ilvl w:val="0"/>
          <w:numId w:val="2"/>
        </w:numPr>
      </w:pPr>
      <w:r>
        <w:t xml:space="preserve">Gov.UK27 (2013) </w:t>
      </w:r>
      <w:r>
        <w:rPr>
          <w:i/>
          <w:iCs/>
        </w:rPr>
        <w:t>Equality act 2010: Guidance</w:t>
      </w:r>
      <w:r>
        <w:t xml:space="preserve">, </w:t>
      </w:r>
      <w:r>
        <w:rPr>
          <w:i/>
          <w:iCs/>
        </w:rPr>
        <w:t>GOV.UK</w:t>
      </w:r>
      <w:r>
        <w:t xml:space="preserve">. Available at: https://www.gov.uk/guidance/equality-act-2010-guidance#:~:text=The%20Equality%20Act%202010%20legally,strengthening%20protection%20in%20some%20situations. (Accessed: 17 March 2024). </w:t>
      </w:r>
    </w:p>
    <w:p w:rsidR="009C2FC6" w:rsidRDefault="009C2FC6" w:rsidP="009C2FC6">
      <w:pPr>
        <w:pStyle w:val="NormalWeb"/>
        <w:numPr>
          <w:ilvl w:val="0"/>
          <w:numId w:val="2"/>
        </w:numPr>
      </w:pPr>
      <w:r>
        <w:t xml:space="preserve">Gov.Wales (2015) </w:t>
      </w:r>
      <w:r>
        <w:rPr>
          <w:i/>
          <w:iCs/>
        </w:rPr>
        <w:t>Developing as a person-centred organisation - gov.wales</w:t>
      </w:r>
      <w:r>
        <w:t xml:space="preserve">. Available at: https://www.gov.wales/sites/default/files/publications/2019-01/developing-as-a-person-centred-organisation.pdf (Accessed: 20 March 2024). </w:t>
      </w:r>
    </w:p>
    <w:p w:rsidR="009C2FC6" w:rsidRDefault="009C2FC6" w:rsidP="009C2FC6">
      <w:pPr>
        <w:pStyle w:val="NormalWeb"/>
        <w:numPr>
          <w:ilvl w:val="0"/>
          <w:numId w:val="2"/>
        </w:numPr>
      </w:pPr>
      <w:r>
        <w:t xml:space="preserve">Hernandez, S.J. (2013) </w:t>
      </w:r>
      <w:r>
        <w:rPr>
          <w:i/>
          <w:iCs/>
        </w:rPr>
        <w:t>Collaboration in Special Education: Its History, Evolution, and Critical Factors Necessary for Successful Implementation</w:t>
      </w:r>
      <w:r>
        <w:t xml:space="preserve">. Available at: https://files.eric.ed.gov/fulltext/ED544122.pdf (Accessed: 20 March 2024). </w:t>
      </w:r>
    </w:p>
    <w:p w:rsidR="00773E34" w:rsidRDefault="00773E34" w:rsidP="00773E34">
      <w:pPr>
        <w:pStyle w:val="NormalWeb"/>
        <w:numPr>
          <w:ilvl w:val="0"/>
          <w:numId w:val="2"/>
        </w:numPr>
      </w:pPr>
      <w:r>
        <w:t xml:space="preserve">Hannett, S. (2001) ‘Reconsidering sexual orientation and the Sex Discrimination Act 1975 in a human rights act age’, </w:t>
      </w:r>
      <w:r>
        <w:rPr>
          <w:i/>
          <w:iCs/>
        </w:rPr>
        <w:t>King’s Law Journal</w:t>
      </w:r>
      <w:r>
        <w:t xml:space="preserve">, 12(2), pp. 240–244. doi:10.1080/09615768.2001.11427541. </w:t>
      </w:r>
    </w:p>
    <w:p w:rsidR="009C2FC6" w:rsidRDefault="009C2FC6" w:rsidP="009C2FC6">
      <w:pPr>
        <w:pStyle w:val="NormalWeb"/>
        <w:numPr>
          <w:ilvl w:val="0"/>
          <w:numId w:val="2"/>
        </w:numPr>
      </w:pPr>
      <w:r>
        <w:t xml:space="preserve">Houghton, A.-M. (2019) ‘7 Academic and Departmental Support’, in </w:t>
      </w:r>
      <w:r>
        <w:rPr>
          <w:i/>
          <w:iCs/>
        </w:rPr>
        <w:t>Student Mental Health and Wellbeing in Higher Education : A Practical Guide</w:t>
      </w:r>
      <w:r>
        <w:t xml:space="preserve">. 1st edn. Los Angeles: SAGE, p. 126. Available at: https://web-p-ebscohost-com.ezproxy.uwtsd.ac.uk/ehost/detail/detail?vid=0&amp;sid=687d98dc-bf7f-42d1-a6ba-3fb2455223fb%40redis&amp;bdata=JnNpdGU9ZWhvc3QtbGl2ZQ%3d%3d#AN=3044915&amp;db=nlebk (Accessed: 20 March 2024). </w:t>
      </w:r>
    </w:p>
    <w:p w:rsidR="009C2FC6" w:rsidRDefault="009C2FC6" w:rsidP="009C2FC6">
      <w:pPr>
        <w:pStyle w:val="NormalWeb"/>
        <w:numPr>
          <w:ilvl w:val="0"/>
          <w:numId w:val="2"/>
        </w:numPr>
      </w:pPr>
      <w:r>
        <w:t xml:space="preserve">IRIS Center (no date) </w:t>
      </w:r>
      <w:r>
        <w:rPr>
          <w:i/>
          <w:iCs/>
        </w:rPr>
        <w:t>What types of accommodations are commonly used for students with disabilities?</w:t>
      </w:r>
      <w:r>
        <w:t xml:space="preserve">, </w:t>
      </w:r>
      <w:r>
        <w:rPr>
          <w:i/>
          <w:iCs/>
        </w:rPr>
        <w:t>IRIS Center</w:t>
      </w:r>
      <w:r>
        <w:t xml:space="preserve">. Available at: https://iris.peabody.vanderbilt.edu/module/acc/cresource/q2/p03/ (Accessed: 20 March 2024). </w:t>
      </w:r>
    </w:p>
    <w:p w:rsidR="009C2FC6" w:rsidRDefault="009C2FC6" w:rsidP="009C2FC6">
      <w:pPr>
        <w:pStyle w:val="NormalWeb"/>
        <w:numPr>
          <w:ilvl w:val="0"/>
          <w:numId w:val="2"/>
        </w:numPr>
      </w:pPr>
      <w:r>
        <w:t xml:space="preserve">Lee, E. (2022) </w:t>
      </w:r>
      <w:r>
        <w:rPr>
          <w:i/>
          <w:iCs/>
        </w:rPr>
        <w:t>What are the different types of disabilities?</w:t>
      </w:r>
      <w:r>
        <w:t xml:space="preserve">, </w:t>
      </w:r>
      <w:r>
        <w:rPr>
          <w:i/>
          <w:iCs/>
        </w:rPr>
        <w:t>CPD Online College</w:t>
      </w:r>
      <w:r>
        <w:t xml:space="preserve">. Available at: https://cpdonline.co.uk/knowledge-base/care/different-types-of-disabilities/ (Accessed: 20 March 2024). </w:t>
      </w:r>
    </w:p>
    <w:p w:rsidR="009C2FC6" w:rsidRDefault="009C2FC6" w:rsidP="009C2FC6">
      <w:pPr>
        <w:pStyle w:val="NormalWeb"/>
        <w:numPr>
          <w:ilvl w:val="0"/>
          <w:numId w:val="2"/>
        </w:numPr>
      </w:pPr>
      <w:r>
        <w:lastRenderedPageBreak/>
        <w:t xml:space="preserve">legislation.gov.uk (no date) </w:t>
      </w:r>
      <w:r>
        <w:rPr>
          <w:i/>
          <w:iCs/>
        </w:rPr>
        <w:t>Understanding legislation</w:t>
      </w:r>
      <w:r>
        <w:t xml:space="preserve">, </w:t>
      </w:r>
      <w:r>
        <w:rPr>
          <w:i/>
          <w:iCs/>
        </w:rPr>
        <w:t>Understanding Legislation</w:t>
      </w:r>
      <w:r>
        <w:t xml:space="preserve">. Available at: https://www.legislation.gov.uk/understanding-legislation#:~:text=UK%20Primary%20and%20Secondary%20legislation,Parliament%20and%20Northern%20Ireland%20Assembly. (Accessed: 17 March 2024). </w:t>
      </w:r>
    </w:p>
    <w:p w:rsidR="009C2FC6" w:rsidRDefault="009C2FC6" w:rsidP="009C2FC6">
      <w:pPr>
        <w:pStyle w:val="NormalWeb"/>
        <w:numPr>
          <w:ilvl w:val="0"/>
          <w:numId w:val="2"/>
        </w:numPr>
      </w:pPr>
      <w:r>
        <w:t xml:space="preserve">Martin, D.M. (2024) </w:t>
      </w:r>
      <w:r>
        <w:rPr>
          <w:i/>
          <w:iCs/>
        </w:rPr>
        <w:t>Supporting students with additional needs: Advice: Independent living</w:t>
      </w:r>
      <w:r>
        <w:t xml:space="preserve">, </w:t>
      </w:r>
      <w:r>
        <w:rPr>
          <w:i/>
          <w:iCs/>
        </w:rPr>
        <w:t>Advice | Independent Living</w:t>
      </w:r>
      <w:r>
        <w:t xml:space="preserve">. Available at: https://www.independentliving.co.uk/advice/supporting-students-with-additional-needs/# (Accessed: 17 March 2024). </w:t>
      </w:r>
    </w:p>
    <w:p w:rsidR="00004EB9" w:rsidRDefault="00004EB9" w:rsidP="00004EB9">
      <w:pPr>
        <w:pStyle w:val="NormalWeb"/>
        <w:numPr>
          <w:ilvl w:val="0"/>
          <w:numId w:val="2"/>
        </w:numPr>
      </w:pPr>
      <w:r>
        <w:t xml:space="preserve">Nordengren, C. (2023) ‘10 ways to meet the learning needs of all students’, </w:t>
      </w:r>
      <w:r>
        <w:rPr>
          <w:i/>
          <w:iCs/>
        </w:rPr>
        <w:t>nwea</w:t>
      </w:r>
      <w:r>
        <w:t xml:space="preserve">, 20 June. Available at: https://www.nwea.org/blog/2023/10-ways-to-meet-the-learning-needs-of-all-students/ (Accessed: 21 March 2024). </w:t>
      </w:r>
    </w:p>
    <w:p w:rsidR="009C2FC6" w:rsidRDefault="009C2FC6" w:rsidP="009C2FC6">
      <w:pPr>
        <w:pStyle w:val="NormalWeb"/>
        <w:numPr>
          <w:ilvl w:val="0"/>
          <w:numId w:val="2"/>
        </w:numPr>
      </w:pPr>
      <w:r>
        <w:t xml:space="preserve">ODR (no date) </w:t>
      </w:r>
      <w:r>
        <w:rPr>
          <w:i/>
          <w:iCs/>
        </w:rPr>
        <w:t>Common disabilities</w:t>
      </w:r>
      <w:r>
        <w:t xml:space="preserve">, </w:t>
      </w:r>
      <w:r>
        <w:rPr>
          <w:i/>
          <w:iCs/>
        </w:rPr>
        <w:t>Common Disabilities : Faculty : Office of Disability Resources : University of Rochester</w:t>
      </w:r>
      <w:r>
        <w:t xml:space="preserve">. Available at: https://www.rochester.edu/college/disability/faculty/common-disabilities.html (Accessed: 20 March 2024). </w:t>
      </w:r>
    </w:p>
    <w:p w:rsidR="008618A6" w:rsidRDefault="008618A6" w:rsidP="008618A6">
      <w:pPr>
        <w:pStyle w:val="NormalWeb"/>
        <w:numPr>
          <w:ilvl w:val="0"/>
          <w:numId w:val="2"/>
        </w:numPr>
      </w:pPr>
      <w:r>
        <w:t xml:space="preserve">Policy Division, D. (1997) ‘The disability discrimination act 1995’, </w:t>
      </w:r>
      <w:r>
        <w:rPr>
          <w:i/>
          <w:iCs/>
        </w:rPr>
        <w:t>VINE</w:t>
      </w:r>
      <w:r>
        <w:t xml:space="preserve">, 27(2), pp. 48–50. doi:10.1108/eb040634. </w:t>
      </w:r>
    </w:p>
    <w:p w:rsidR="00DF1620" w:rsidRDefault="00DF1620" w:rsidP="00DF1620">
      <w:pPr>
        <w:pStyle w:val="NormalWeb"/>
        <w:numPr>
          <w:ilvl w:val="0"/>
          <w:numId w:val="2"/>
        </w:numPr>
      </w:pPr>
      <w:r>
        <w:t xml:space="preserve">RRA 1976 (1977) ‘The Race Relations Act 1976’, </w:t>
      </w:r>
      <w:r>
        <w:rPr>
          <w:i/>
          <w:iCs/>
        </w:rPr>
        <w:t>Race &amp;amp; Class</w:t>
      </w:r>
      <w:r>
        <w:t xml:space="preserve">, 18(4), pp. 405–410. doi:10.1177/030639687701800407. </w:t>
      </w:r>
    </w:p>
    <w:p w:rsidR="009C2FC6" w:rsidRDefault="009C2FC6" w:rsidP="009C2FC6">
      <w:pPr>
        <w:pStyle w:val="NormalWeb"/>
        <w:numPr>
          <w:ilvl w:val="0"/>
          <w:numId w:val="2"/>
        </w:numPr>
      </w:pPr>
      <w:r>
        <w:t xml:space="preserve">Schools and Academies Show (2021) ‘What is the the SEND Code of Practice?’, </w:t>
      </w:r>
      <w:r>
        <w:rPr>
          <w:i/>
          <w:iCs/>
        </w:rPr>
        <w:t xml:space="preserve">SAAShow Community </w:t>
      </w:r>
      <w:r>
        <w:t xml:space="preserve">, 17 May. Available at: https://blog.schoolsandacademiesshow.co.uk/send-code-of-practice (Accessed: 17 March 2024). </w:t>
      </w:r>
    </w:p>
    <w:p w:rsidR="009C2FC6" w:rsidRDefault="009C2FC6" w:rsidP="009C2FC6">
      <w:pPr>
        <w:pStyle w:val="NormalWeb"/>
        <w:numPr>
          <w:ilvl w:val="0"/>
          <w:numId w:val="2"/>
        </w:numPr>
      </w:pPr>
      <w:r>
        <w:t xml:space="preserve">Sobel, D. and Alston, S. (no date) ‘A New Approach to Differentiation’, in </w:t>
      </w:r>
      <w:r>
        <w:rPr>
          <w:i/>
          <w:iCs/>
        </w:rPr>
        <w:t>The Inclusive Classroom : A New Approach to Differentiation</w:t>
      </w:r>
      <w:r>
        <w:t xml:space="preserve">. 1st edn. Bloomsbury Publishing Plc, pp. 2–2. </w:t>
      </w:r>
    </w:p>
    <w:p w:rsidR="009C2FC6" w:rsidRDefault="009C2FC6" w:rsidP="009C2FC6">
      <w:pPr>
        <w:pStyle w:val="NormalWeb"/>
        <w:numPr>
          <w:ilvl w:val="0"/>
          <w:numId w:val="2"/>
        </w:numPr>
      </w:pPr>
      <w:r>
        <w:t xml:space="preserve">Somji, R. (2018) ‘Teaching Strategies for the 8 Different Learning Styles’, </w:t>
      </w:r>
      <w:r>
        <w:rPr>
          <w:i/>
          <w:iCs/>
        </w:rPr>
        <w:t>VirtualSpeech</w:t>
      </w:r>
      <w:r>
        <w:t xml:space="preserve">, 17 April. Available at: https://virtualspeech.com/blog/teaching-strategies-different-learning-styles (Accessed: 20 March 2024). </w:t>
      </w:r>
    </w:p>
    <w:p w:rsidR="009C2FC6" w:rsidRDefault="009C2FC6" w:rsidP="009C2FC6">
      <w:pPr>
        <w:pStyle w:val="NormalWeb"/>
        <w:numPr>
          <w:ilvl w:val="0"/>
          <w:numId w:val="2"/>
        </w:numPr>
      </w:pPr>
      <w:r>
        <w:t xml:space="preserve">Streatfield, N. (2019) ‘8 Professional Support in Higher Education  ’, in </w:t>
      </w:r>
      <w:r>
        <w:rPr>
          <w:i/>
          <w:iCs/>
        </w:rPr>
        <w:t xml:space="preserve">Student Mental Health and Wellbeing In Higher Education A practical guide </w:t>
      </w:r>
      <w:r>
        <w:t xml:space="preserve">. 1st edn. Los Angeles: Sage Publication Ltd , p. 146. Available at: https://web-p-ebscohost-com.ezproxy.uwtsd.ac.uk/ehost/ebookviewer/ebook/bmxlYmtfXzMwNDQ5MTVfX0FO0?sid=687d98dc-bf7f-42d1-a6ba-3fb2455223fb@redis&amp;vid=0&amp;format=EB&amp;lpid=lp_145&amp;rid=0 (Accessed: 20 March 2024). </w:t>
      </w:r>
    </w:p>
    <w:p w:rsidR="009C2FC6" w:rsidRDefault="009C2FC6" w:rsidP="009C2FC6">
      <w:pPr>
        <w:pStyle w:val="NormalWeb"/>
        <w:numPr>
          <w:ilvl w:val="0"/>
          <w:numId w:val="2"/>
        </w:numPr>
      </w:pPr>
      <w:r>
        <w:t xml:space="preserve">Streatfield, N. (2019) ‘8 Professional Support in Higher Education  ’, in </w:t>
      </w:r>
      <w:r>
        <w:rPr>
          <w:i/>
          <w:iCs/>
        </w:rPr>
        <w:t xml:space="preserve">Student Mental Health and Wellbeing In Higher Education A practical guide </w:t>
      </w:r>
      <w:r>
        <w:t xml:space="preserve">. 1st edn. Los Angeles: Sage Publication Ltd , p. 148. Available at: https://web-p-ebscohost-com.ezproxy.uwtsd.ac.uk/ehost/ebookviewer/ebook/bmxlYmtfXzMwNDQ5MTVfX0FO0?sid=687d98dc-bf7f-42d1-a6ba-3fb2455223fb@redis&amp;vid=0&amp;format=EB&amp;lpid=lp_145&amp;rid=0 (Accessed: 20 March 2024). </w:t>
      </w:r>
    </w:p>
    <w:p w:rsidR="009C2FC6" w:rsidRDefault="009C2FC6" w:rsidP="009C2FC6">
      <w:pPr>
        <w:pStyle w:val="NormalWeb"/>
        <w:numPr>
          <w:ilvl w:val="0"/>
          <w:numId w:val="2"/>
        </w:numPr>
      </w:pPr>
      <w:r>
        <w:t xml:space="preserve">3fb2455223fb@redis&amp;vid=0&amp;format=EB&amp;lpid=lp_145&amp;rid=0. </w:t>
      </w:r>
    </w:p>
    <w:p w:rsidR="009C693B" w:rsidRDefault="009C693B" w:rsidP="009C693B">
      <w:pPr>
        <w:pStyle w:val="NormalWeb"/>
        <w:numPr>
          <w:ilvl w:val="0"/>
          <w:numId w:val="2"/>
        </w:numPr>
      </w:pPr>
      <w:r>
        <w:t xml:space="preserve">UWTSD (2024) </w:t>
      </w:r>
      <w:r>
        <w:rPr>
          <w:i/>
          <w:iCs/>
        </w:rPr>
        <w:t>Disability support</w:t>
      </w:r>
      <w:r>
        <w:t xml:space="preserve">, </w:t>
      </w:r>
      <w:r>
        <w:rPr>
          <w:i/>
          <w:iCs/>
        </w:rPr>
        <w:t>University of Wales Trinity Saint David</w:t>
      </w:r>
      <w:r>
        <w:t xml:space="preserve">. Available at: https://www.uwtsd.ac.uk/experience-facilities/student-support-wellbeing/disability-support (Accessed: 21 March 2024). </w:t>
      </w:r>
    </w:p>
    <w:p w:rsidR="00165BB8" w:rsidRDefault="00165BB8" w:rsidP="00165BB8">
      <w:pPr>
        <w:pStyle w:val="NormalWeb"/>
        <w:numPr>
          <w:ilvl w:val="0"/>
          <w:numId w:val="2"/>
        </w:numPr>
      </w:pPr>
      <w:r>
        <w:t xml:space="preserve">UWTSD’s S &amp;P’s (2024) </w:t>
      </w:r>
      <w:r>
        <w:rPr>
          <w:i/>
          <w:iCs/>
        </w:rPr>
        <w:t>Strategies and policies</w:t>
      </w:r>
      <w:r>
        <w:t xml:space="preserve">, </w:t>
      </w:r>
      <w:r>
        <w:rPr>
          <w:i/>
          <w:iCs/>
        </w:rPr>
        <w:t>University of Wales Trinity Saint David</w:t>
      </w:r>
      <w:r>
        <w:t xml:space="preserve">. Available at: https://uwtsd.ac.uk/about/strategies-and-policies/ (Accessed: 21 March 2024). </w:t>
      </w:r>
    </w:p>
    <w:p w:rsidR="0030235F" w:rsidRDefault="0030235F" w:rsidP="0030235F">
      <w:pPr>
        <w:pStyle w:val="NormalWeb"/>
        <w:numPr>
          <w:ilvl w:val="0"/>
          <w:numId w:val="2"/>
        </w:numPr>
      </w:pPr>
      <w:r>
        <w:lastRenderedPageBreak/>
        <w:t xml:space="preserve">UWTSD’s WBS (2024) </w:t>
      </w:r>
      <w:r>
        <w:rPr>
          <w:i/>
          <w:iCs/>
        </w:rPr>
        <w:t>Wellbeing support</w:t>
      </w:r>
      <w:r>
        <w:t xml:space="preserve">, </w:t>
      </w:r>
      <w:r>
        <w:rPr>
          <w:i/>
          <w:iCs/>
        </w:rPr>
        <w:t>University of Wales Trinity Saint David</w:t>
      </w:r>
      <w:r>
        <w:t xml:space="preserve">. Available at: https://www.uwtsd.ac.uk/experience-facilities/student-support-wellbeing/wellbeing-support (Accessed: 21 March 2024). </w:t>
      </w:r>
    </w:p>
    <w:p w:rsidR="009C2FC6" w:rsidRDefault="009C2FC6" w:rsidP="009C2FC6">
      <w:pPr>
        <w:pStyle w:val="NormalWeb"/>
        <w:numPr>
          <w:ilvl w:val="0"/>
          <w:numId w:val="2"/>
        </w:numPr>
      </w:pPr>
      <w:r>
        <w:t xml:space="preserve">Welsh Government (ed.) (2016) </w:t>
      </w:r>
      <w:r>
        <w:rPr>
          <w:i/>
          <w:iCs/>
        </w:rPr>
        <w:t>Inclusion and pupil support</w:t>
      </w:r>
      <w:r>
        <w:t xml:space="preserve">, </w:t>
      </w:r>
      <w:r>
        <w:rPr>
          <w:i/>
          <w:iCs/>
        </w:rPr>
        <w:t>www.gov.wales</w:t>
      </w:r>
      <w:r>
        <w:t xml:space="preserve">. Available at: https://www.gov.wales/sites/default/files/publications/2018-05/guidance-inclusion-and-pupil-support_0.pdf (Accessed: 17 March 2024). </w:t>
      </w:r>
    </w:p>
    <w:p w:rsidR="009C2FC6" w:rsidRDefault="009C2FC6" w:rsidP="009C2FC6">
      <w:pPr>
        <w:pStyle w:val="NormalWeb"/>
        <w:numPr>
          <w:ilvl w:val="0"/>
          <w:numId w:val="2"/>
        </w:numPr>
      </w:pPr>
      <w:r>
        <w:t xml:space="preserve">Wessely, S. (2019) ‘Foreword’, in </w:t>
      </w:r>
      <w:r>
        <w:rPr>
          <w:i/>
          <w:iCs/>
        </w:rPr>
        <w:t xml:space="preserve">Student Mental Health and Wellbeing In Higher Education. A practical guide </w:t>
      </w:r>
      <w:r>
        <w:t xml:space="preserve">. Los Angeles: Sage , pp. xvii–xvii. </w:t>
      </w:r>
    </w:p>
    <w:p w:rsidR="009C2FC6" w:rsidRDefault="009C2FC6" w:rsidP="009C2FC6">
      <w:pPr>
        <w:pStyle w:val="NormalWeb"/>
        <w:numPr>
          <w:ilvl w:val="0"/>
          <w:numId w:val="2"/>
        </w:numPr>
      </w:pPr>
      <w:r>
        <w:t xml:space="preserve">WHO (2024) </w:t>
      </w:r>
      <w:r>
        <w:rPr>
          <w:i/>
          <w:iCs/>
        </w:rPr>
        <w:t>Assistive technology</w:t>
      </w:r>
      <w:r>
        <w:t xml:space="preserve">, </w:t>
      </w:r>
      <w:r>
        <w:rPr>
          <w:i/>
          <w:iCs/>
        </w:rPr>
        <w:t>World Health Organization</w:t>
      </w:r>
      <w:r>
        <w:t xml:space="preserve">. Available at: https://www.who.int/news-room/fact-sheets/detail/assistive-technology#:~:text=Assistive%20products%20can%20range%20from,time%20management%20software%20and%20captioning. (Accessed: 20 March 2024).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9C2FC6" w:rsidRPr="009C2FC6" w:rsidRDefault="009C2FC6" w:rsidP="009C2FC6">
      <w:pPr>
        <w:spacing w:after="0" w:line="240" w:lineRule="auto"/>
        <w:rPr>
          <w:rFonts w:ascii="Times New Roman" w:eastAsia="Times New Roman" w:hAnsi="Times New Roman" w:cs="Times New Roman"/>
          <w:color w:val="0E101A"/>
          <w:sz w:val="24"/>
          <w:szCs w:val="24"/>
          <w:lang w:eastAsia="en-GB"/>
        </w:rPr>
      </w:pPr>
      <w:r w:rsidRPr="009C2FC6">
        <w:rPr>
          <w:rFonts w:ascii="Times New Roman" w:eastAsia="Times New Roman" w:hAnsi="Times New Roman" w:cs="Times New Roman"/>
          <w:color w:val="0E101A"/>
          <w:sz w:val="24"/>
          <w:szCs w:val="24"/>
          <w:lang w:eastAsia="en-GB"/>
        </w:rPr>
        <w:t> </w:t>
      </w:r>
    </w:p>
    <w:p w:rsidR="005758DB" w:rsidRPr="009C2FC6" w:rsidRDefault="005758DB" w:rsidP="009C2FC6"/>
    <w:sectPr w:rsidR="005758DB" w:rsidRPr="009C2FC6" w:rsidSect="00015EDB">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757" w:rsidRDefault="002A5757" w:rsidP="00E85058">
      <w:pPr>
        <w:spacing w:after="0" w:line="240" w:lineRule="auto"/>
      </w:pPr>
      <w:r>
        <w:separator/>
      </w:r>
    </w:p>
  </w:endnote>
  <w:endnote w:type="continuationSeparator" w:id="0">
    <w:p w:rsidR="002A5757" w:rsidRDefault="002A5757" w:rsidP="00E850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757" w:rsidRDefault="002A5757" w:rsidP="00E85058">
      <w:pPr>
        <w:spacing w:after="0" w:line="240" w:lineRule="auto"/>
      </w:pPr>
      <w:r>
        <w:separator/>
      </w:r>
    </w:p>
  </w:footnote>
  <w:footnote w:type="continuationSeparator" w:id="0">
    <w:p w:rsidR="002A5757" w:rsidRDefault="002A5757" w:rsidP="00E850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E85058">
      <w:tc>
        <w:tcPr>
          <w:tcW w:w="0" w:type="auto"/>
          <w:tcBorders>
            <w:right w:val="single" w:sz="6" w:space="0" w:color="000000" w:themeColor="text1"/>
          </w:tcBorders>
        </w:tcPr>
        <w:sdt>
          <w:sdtPr>
            <w:alias w:val="Company"/>
            <w:id w:val="78735422"/>
            <w:placeholder>
              <w:docPart w:val="222B9EE0C91747CF9719817CE3D0C6BE"/>
            </w:placeholder>
            <w:dataBinding w:prefixMappings="xmlns:ns0='http://schemas.openxmlformats.org/officeDocument/2006/extended-properties'" w:xpath="/ns0:Properties[1]/ns0:Company[1]" w:storeItemID="{6668398D-A668-4E3E-A5EB-62B293D839F1}"/>
            <w:text/>
          </w:sdtPr>
          <w:sdtContent>
            <w:p w:rsidR="00E85058" w:rsidRDefault="00E85058">
              <w:pPr>
                <w:pStyle w:val="Header"/>
                <w:jc w:val="right"/>
              </w:pPr>
              <w:r>
                <w:t>Zujaja T Kharal</w:t>
              </w:r>
              <w:r w:rsidRPr="00E85058">
                <w:t>_</w:t>
              </w:r>
              <w:r>
                <w:t>1919419</w:t>
              </w:r>
              <w:r w:rsidRPr="00E85058">
                <w:t>_ECPT600</w:t>
              </w:r>
              <w:r>
                <w:t>4</w:t>
              </w:r>
              <w:r w:rsidRPr="00E85058">
                <w:t>_</w:t>
              </w:r>
              <w:r w:rsidR="00D57BE1">
                <w:t>Draft</w:t>
              </w:r>
            </w:p>
          </w:sdtContent>
        </w:sdt>
        <w:sdt>
          <w:sdtPr>
            <w:rPr>
              <w:b/>
            </w:rPr>
            <w:alias w:val="Title"/>
            <w:id w:val="78735415"/>
            <w:placeholder>
              <w:docPart w:val="2AD0D5E05A414B1F8C8A6A5377621410"/>
            </w:placeholder>
            <w:dataBinding w:prefixMappings="xmlns:ns0='http://schemas.openxmlformats.org/package/2006/metadata/core-properties' xmlns:ns1='http://purl.org/dc/elements/1.1/'" w:xpath="/ns0:coreProperties[1]/ns1:title[1]" w:storeItemID="{6C3C8BC8-F283-45AE-878A-BAB7291924A1}"/>
            <w:text/>
          </w:sdtPr>
          <w:sdtContent>
            <w:p w:rsidR="00E85058" w:rsidRDefault="00E85058">
              <w:pPr>
                <w:pStyle w:val="Header"/>
                <w:jc w:val="right"/>
                <w:rPr>
                  <w:b/>
                  <w:bCs/>
                </w:rPr>
              </w:pPr>
              <w:r w:rsidRPr="00E85058">
                <w:rPr>
                  <w:b/>
                </w:rPr>
                <w:t>Learning support report</w:t>
              </w:r>
            </w:p>
          </w:sdtContent>
        </w:sdt>
      </w:tc>
      <w:tc>
        <w:tcPr>
          <w:tcW w:w="1152" w:type="dxa"/>
          <w:tcBorders>
            <w:left w:val="single" w:sz="6" w:space="0" w:color="000000" w:themeColor="text1"/>
          </w:tcBorders>
        </w:tcPr>
        <w:p w:rsidR="00E85058" w:rsidRDefault="007E6D4B">
          <w:pPr>
            <w:pStyle w:val="Header"/>
            <w:rPr>
              <w:b/>
            </w:rPr>
          </w:pPr>
          <w:fldSimple w:instr=" PAGE   \* MERGEFORMAT ">
            <w:r w:rsidR="00D57BE1">
              <w:rPr>
                <w:noProof/>
              </w:rPr>
              <w:t>5</w:t>
            </w:r>
          </w:fldSimple>
        </w:p>
      </w:tc>
    </w:tr>
  </w:tbl>
  <w:p w:rsidR="00E85058" w:rsidRDefault="00E850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5349C"/>
    <w:multiLevelType w:val="hybridMultilevel"/>
    <w:tmpl w:val="3F54E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163E64"/>
    <w:multiLevelType w:val="hybridMultilevel"/>
    <w:tmpl w:val="1EFAB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73049F3"/>
    <w:multiLevelType w:val="hybridMultilevel"/>
    <w:tmpl w:val="809C5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CF6DA7"/>
    <w:multiLevelType w:val="multilevel"/>
    <w:tmpl w:val="032615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7F76A2"/>
    <w:rsid w:val="00004EB9"/>
    <w:rsid w:val="00015EDB"/>
    <w:rsid w:val="000471E6"/>
    <w:rsid w:val="000705EC"/>
    <w:rsid w:val="00082252"/>
    <w:rsid w:val="00092636"/>
    <w:rsid w:val="001479D0"/>
    <w:rsid w:val="00165BB8"/>
    <w:rsid w:val="00196ECD"/>
    <w:rsid w:val="001D02FF"/>
    <w:rsid w:val="002621A8"/>
    <w:rsid w:val="0027342F"/>
    <w:rsid w:val="0027736A"/>
    <w:rsid w:val="00284886"/>
    <w:rsid w:val="002877F4"/>
    <w:rsid w:val="00296BC8"/>
    <w:rsid w:val="002A5757"/>
    <w:rsid w:val="002B6584"/>
    <w:rsid w:val="002B7AE7"/>
    <w:rsid w:val="002D2741"/>
    <w:rsid w:val="0030235F"/>
    <w:rsid w:val="00311BBC"/>
    <w:rsid w:val="00325B7E"/>
    <w:rsid w:val="003E2A5B"/>
    <w:rsid w:val="00405061"/>
    <w:rsid w:val="00434F9E"/>
    <w:rsid w:val="00445578"/>
    <w:rsid w:val="00477CA6"/>
    <w:rsid w:val="00484E31"/>
    <w:rsid w:val="00484E89"/>
    <w:rsid w:val="004858AC"/>
    <w:rsid w:val="00497AA5"/>
    <w:rsid w:val="00497AE2"/>
    <w:rsid w:val="004A50A9"/>
    <w:rsid w:val="004B5285"/>
    <w:rsid w:val="004D123C"/>
    <w:rsid w:val="004D2A87"/>
    <w:rsid w:val="004F1B88"/>
    <w:rsid w:val="004F7C18"/>
    <w:rsid w:val="005425BF"/>
    <w:rsid w:val="005758DB"/>
    <w:rsid w:val="005A1B15"/>
    <w:rsid w:val="005C331A"/>
    <w:rsid w:val="005D1FF6"/>
    <w:rsid w:val="00656B36"/>
    <w:rsid w:val="00663012"/>
    <w:rsid w:val="00683DD9"/>
    <w:rsid w:val="00695C1D"/>
    <w:rsid w:val="006A713A"/>
    <w:rsid w:val="006F5DAE"/>
    <w:rsid w:val="00761082"/>
    <w:rsid w:val="00773E34"/>
    <w:rsid w:val="007A03E6"/>
    <w:rsid w:val="007B343B"/>
    <w:rsid w:val="007C0B16"/>
    <w:rsid w:val="007C6AEA"/>
    <w:rsid w:val="007E6D4B"/>
    <w:rsid w:val="007F76A2"/>
    <w:rsid w:val="008618A6"/>
    <w:rsid w:val="008800F1"/>
    <w:rsid w:val="008B5ABE"/>
    <w:rsid w:val="008C7C11"/>
    <w:rsid w:val="00992EFC"/>
    <w:rsid w:val="009B597A"/>
    <w:rsid w:val="009C03CD"/>
    <w:rsid w:val="009C2FC6"/>
    <w:rsid w:val="009C693B"/>
    <w:rsid w:val="009E6137"/>
    <w:rsid w:val="009F2D10"/>
    <w:rsid w:val="009F59D3"/>
    <w:rsid w:val="00A10D85"/>
    <w:rsid w:val="00AB3D51"/>
    <w:rsid w:val="00AF15ED"/>
    <w:rsid w:val="00B209D7"/>
    <w:rsid w:val="00B630DA"/>
    <w:rsid w:val="00B77E4C"/>
    <w:rsid w:val="00BB7F43"/>
    <w:rsid w:val="00BC78ED"/>
    <w:rsid w:val="00BD0211"/>
    <w:rsid w:val="00C32992"/>
    <w:rsid w:val="00C54D5D"/>
    <w:rsid w:val="00C56D1A"/>
    <w:rsid w:val="00C971B4"/>
    <w:rsid w:val="00CA387D"/>
    <w:rsid w:val="00D0507B"/>
    <w:rsid w:val="00D57BE1"/>
    <w:rsid w:val="00D71B8C"/>
    <w:rsid w:val="00D80B77"/>
    <w:rsid w:val="00D81692"/>
    <w:rsid w:val="00DA06B1"/>
    <w:rsid w:val="00DA758C"/>
    <w:rsid w:val="00DB3DCB"/>
    <w:rsid w:val="00DF124C"/>
    <w:rsid w:val="00DF1620"/>
    <w:rsid w:val="00E05028"/>
    <w:rsid w:val="00E64D9B"/>
    <w:rsid w:val="00E83AB7"/>
    <w:rsid w:val="00E85058"/>
    <w:rsid w:val="00E95B95"/>
    <w:rsid w:val="00EC5AAF"/>
    <w:rsid w:val="00ED1890"/>
    <w:rsid w:val="00ED786E"/>
    <w:rsid w:val="00EF6C31"/>
    <w:rsid w:val="00F110DD"/>
    <w:rsid w:val="00F42225"/>
    <w:rsid w:val="00F9015D"/>
    <w:rsid w:val="00FF139E"/>
    <w:rsid w:val="00FF43D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EDB"/>
  </w:style>
  <w:style w:type="paragraph" w:styleId="Heading1">
    <w:name w:val="heading 1"/>
    <w:basedOn w:val="Normal"/>
    <w:next w:val="Normal"/>
    <w:link w:val="Heading1Char"/>
    <w:uiPriority w:val="9"/>
    <w:qFormat/>
    <w:rsid w:val="007F76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59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225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6A2"/>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7F76A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76A2"/>
    <w:rPr>
      <w:rFonts w:ascii="Tahoma" w:hAnsi="Tahoma" w:cs="Tahoma"/>
      <w:sz w:val="16"/>
      <w:szCs w:val="16"/>
    </w:rPr>
  </w:style>
  <w:style w:type="paragraph" w:styleId="ListParagraph">
    <w:name w:val="List Paragraph"/>
    <w:basedOn w:val="Normal"/>
    <w:uiPriority w:val="34"/>
    <w:qFormat/>
    <w:rsid w:val="00B630DA"/>
    <w:pPr>
      <w:ind w:left="720"/>
      <w:contextualSpacing/>
    </w:pPr>
  </w:style>
  <w:style w:type="paragraph" w:styleId="NormalWeb">
    <w:name w:val="Normal (Web)"/>
    <w:basedOn w:val="Normal"/>
    <w:uiPriority w:val="99"/>
    <w:semiHidden/>
    <w:unhideWhenUsed/>
    <w:rsid w:val="00DA0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B59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2252"/>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9C2FC6"/>
    <w:rPr>
      <w:b/>
      <w:bCs/>
    </w:rPr>
  </w:style>
  <w:style w:type="character" w:styleId="Emphasis">
    <w:name w:val="Emphasis"/>
    <w:basedOn w:val="DefaultParagraphFont"/>
    <w:uiPriority w:val="20"/>
    <w:qFormat/>
    <w:rsid w:val="009C2FC6"/>
    <w:rPr>
      <w:i/>
      <w:iCs/>
    </w:rPr>
  </w:style>
  <w:style w:type="paragraph" w:styleId="Header">
    <w:name w:val="header"/>
    <w:basedOn w:val="Normal"/>
    <w:link w:val="HeaderChar"/>
    <w:uiPriority w:val="99"/>
    <w:unhideWhenUsed/>
    <w:rsid w:val="00E85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058"/>
  </w:style>
  <w:style w:type="paragraph" w:styleId="Footer">
    <w:name w:val="footer"/>
    <w:basedOn w:val="Normal"/>
    <w:link w:val="FooterChar"/>
    <w:uiPriority w:val="99"/>
    <w:semiHidden/>
    <w:unhideWhenUsed/>
    <w:rsid w:val="00E850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85058"/>
  </w:style>
  <w:style w:type="table" w:styleId="TableGrid">
    <w:name w:val="Table Grid"/>
    <w:basedOn w:val="TableNormal"/>
    <w:uiPriority w:val="1"/>
    <w:rsid w:val="00E85058"/>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5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0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328851">
      <w:bodyDiv w:val="1"/>
      <w:marLeft w:val="0"/>
      <w:marRight w:val="0"/>
      <w:marTop w:val="0"/>
      <w:marBottom w:val="0"/>
      <w:divBdr>
        <w:top w:val="none" w:sz="0" w:space="0" w:color="auto"/>
        <w:left w:val="none" w:sz="0" w:space="0" w:color="auto"/>
        <w:bottom w:val="none" w:sz="0" w:space="0" w:color="auto"/>
        <w:right w:val="none" w:sz="0" w:space="0" w:color="auto"/>
      </w:divBdr>
    </w:div>
    <w:div w:id="64304562">
      <w:bodyDiv w:val="1"/>
      <w:marLeft w:val="0"/>
      <w:marRight w:val="0"/>
      <w:marTop w:val="0"/>
      <w:marBottom w:val="0"/>
      <w:divBdr>
        <w:top w:val="none" w:sz="0" w:space="0" w:color="auto"/>
        <w:left w:val="none" w:sz="0" w:space="0" w:color="auto"/>
        <w:bottom w:val="none" w:sz="0" w:space="0" w:color="auto"/>
        <w:right w:val="none" w:sz="0" w:space="0" w:color="auto"/>
      </w:divBdr>
    </w:div>
    <w:div w:id="121384483">
      <w:bodyDiv w:val="1"/>
      <w:marLeft w:val="0"/>
      <w:marRight w:val="0"/>
      <w:marTop w:val="0"/>
      <w:marBottom w:val="0"/>
      <w:divBdr>
        <w:top w:val="none" w:sz="0" w:space="0" w:color="auto"/>
        <w:left w:val="none" w:sz="0" w:space="0" w:color="auto"/>
        <w:bottom w:val="none" w:sz="0" w:space="0" w:color="auto"/>
        <w:right w:val="none" w:sz="0" w:space="0" w:color="auto"/>
      </w:divBdr>
    </w:div>
    <w:div w:id="163060127">
      <w:bodyDiv w:val="1"/>
      <w:marLeft w:val="0"/>
      <w:marRight w:val="0"/>
      <w:marTop w:val="0"/>
      <w:marBottom w:val="0"/>
      <w:divBdr>
        <w:top w:val="none" w:sz="0" w:space="0" w:color="auto"/>
        <w:left w:val="none" w:sz="0" w:space="0" w:color="auto"/>
        <w:bottom w:val="none" w:sz="0" w:space="0" w:color="auto"/>
        <w:right w:val="none" w:sz="0" w:space="0" w:color="auto"/>
      </w:divBdr>
    </w:div>
    <w:div w:id="180357559">
      <w:bodyDiv w:val="1"/>
      <w:marLeft w:val="0"/>
      <w:marRight w:val="0"/>
      <w:marTop w:val="0"/>
      <w:marBottom w:val="0"/>
      <w:divBdr>
        <w:top w:val="none" w:sz="0" w:space="0" w:color="auto"/>
        <w:left w:val="none" w:sz="0" w:space="0" w:color="auto"/>
        <w:bottom w:val="none" w:sz="0" w:space="0" w:color="auto"/>
        <w:right w:val="none" w:sz="0" w:space="0" w:color="auto"/>
      </w:divBdr>
    </w:div>
    <w:div w:id="188179936">
      <w:bodyDiv w:val="1"/>
      <w:marLeft w:val="0"/>
      <w:marRight w:val="0"/>
      <w:marTop w:val="0"/>
      <w:marBottom w:val="0"/>
      <w:divBdr>
        <w:top w:val="none" w:sz="0" w:space="0" w:color="auto"/>
        <w:left w:val="none" w:sz="0" w:space="0" w:color="auto"/>
        <w:bottom w:val="none" w:sz="0" w:space="0" w:color="auto"/>
        <w:right w:val="none" w:sz="0" w:space="0" w:color="auto"/>
      </w:divBdr>
    </w:div>
    <w:div w:id="192233389">
      <w:bodyDiv w:val="1"/>
      <w:marLeft w:val="0"/>
      <w:marRight w:val="0"/>
      <w:marTop w:val="0"/>
      <w:marBottom w:val="0"/>
      <w:divBdr>
        <w:top w:val="none" w:sz="0" w:space="0" w:color="auto"/>
        <w:left w:val="none" w:sz="0" w:space="0" w:color="auto"/>
        <w:bottom w:val="none" w:sz="0" w:space="0" w:color="auto"/>
        <w:right w:val="none" w:sz="0" w:space="0" w:color="auto"/>
      </w:divBdr>
    </w:div>
    <w:div w:id="236135832">
      <w:bodyDiv w:val="1"/>
      <w:marLeft w:val="0"/>
      <w:marRight w:val="0"/>
      <w:marTop w:val="0"/>
      <w:marBottom w:val="0"/>
      <w:divBdr>
        <w:top w:val="none" w:sz="0" w:space="0" w:color="auto"/>
        <w:left w:val="none" w:sz="0" w:space="0" w:color="auto"/>
        <w:bottom w:val="none" w:sz="0" w:space="0" w:color="auto"/>
        <w:right w:val="none" w:sz="0" w:space="0" w:color="auto"/>
      </w:divBdr>
    </w:div>
    <w:div w:id="272985102">
      <w:bodyDiv w:val="1"/>
      <w:marLeft w:val="0"/>
      <w:marRight w:val="0"/>
      <w:marTop w:val="0"/>
      <w:marBottom w:val="0"/>
      <w:divBdr>
        <w:top w:val="none" w:sz="0" w:space="0" w:color="auto"/>
        <w:left w:val="none" w:sz="0" w:space="0" w:color="auto"/>
        <w:bottom w:val="none" w:sz="0" w:space="0" w:color="auto"/>
        <w:right w:val="none" w:sz="0" w:space="0" w:color="auto"/>
      </w:divBdr>
    </w:div>
    <w:div w:id="277102051">
      <w:bodyDiv w:val="1"/>
      <w:marLeft w:val="0"/>
      <w:marRight w:val="0"/>
      <w:marTop w:val="0"/>
      <w:marBottom w:val="0"/>
      <w:divBdr>
        <w:top w:val="none" w:sz="0" w:space="0" w:color="auto"/>
        <w:left w:val="none" w:sz="0" w:space="0" w:color="auto"/>
        <w:bottom w:val="none" w:sz="0" w:space="0" w:color="auto"/>
        <w:right w:val="none" w:sz="0" w:space="0" w:color="auto"/>
      </w:divBdr>
    </w:div>
    <w:div w:id="400562194">
      <w:bodyDiv w:val="1"/>
      <w:marLeft w:val="0"/>
      <w:marRight w:val="0"/>
      <w:marTop w:val="0"/>
      <w:marBottom w:val="0"/>
      <w:divBdr>
        <w:top w:val="none" w:sz="0" w:space="0" w:color="auto"/>
        <w:left w:val="none" w:sz="0" w:space="0" w:color="auto"/>
        <w:bottom w:val="none" w:sz="0" w:space="0" w:color="auto"/>
        <w:right w:val="none" w:sz="0" w:space="0" w:color="auto"/>
      </w:divBdr>
    </w:div>
    <w:div w:id="448819104">
      <w:bodyDiv w:val="1"/>
      <w:marLeft w:val="0"/>
      <w:marRight w:val="0"/>
      <w:marTop w:val="0"/>
      <w:marBottom w:val="0"/>
      <w:divBdr>
        <w:top w:val="none" w:sz="0" w:space="0" w:color="auto"/>
        <w:left w:val="none" w:sz="0" w:space="0" w:color="auto"/>
        <w:bottom w:val="none" w:sz="0" w:space="0" w:color="auto"/>
        <w:right w:val="none" w:sz="0" w:space="0" w:color="auto"/>
      </w:divBdr>
    </w:div>
    <w:div w:id="514881301">
      <w:bodyDiv w:val="1"/>
      <w:marLeft w:val="0"/>
      <w:marRight w:val="0"/>
      <w:marTop w:val="0"/>
      <w:marBottom w:val="0"/>
      <w:divBdr>
        <w:top w:val="none" w:sz="0" w:space="0" w:color="auto"/>
        <w:left w:val="none" w:sz="0" w:space="0" w:color="auto"/>
        <w:bottom w:val="none" w:sz="0" w:space="0" w:color="auto"/>
        <w:right w:val="none" w:sz="0" w:space="0" w:color="auto"/>
      </w:divBdr>
    </w:div>
    <w:div w:id="587424605">
      <w:bodyDiv w:val="1"/>
      <w:marLeft w:val="0"/>
      <w:marRight w:val="0"/>
      <w:marTop w:val="0"/>
      <w:marBottom w:val="0"/>
      <w:divBdr>
        <w:top w:val="none" w:sz="0" w:space="0" w:color="auto"/>
        <w:left w:val="none" w:sz="0" w:space="0" w:color="auto"/>
        <w:bottom w:val="none" w:sz="0" w:space="0" w:color="auto"/>
        <w:right w:val="none" w:sz="0" w:space="0" w:color="auto"/>
      </w:divBdr>
    </w:div>
    <w:div w:id="596209394">
      <w:bodyDiv w:val="1"/>
      <w:marLeft w:val="0"/>
      <w:marRight w:val="0"/>
      <w:marTop w:val="0"/>
      <w:marBottom w:val="0"/>
      <w:divBdr>
        <w:top w:val="none" w:sz="0" w:space="0" w:color="auto"/>
        <w:left w:val="none" w:sz="0" w:space="0" w:color="auto"/>
        <w:bottom w:val="none" w:sz="0" w:space="0" w:color="auto"/>
        <w:right w:val="none" w:sz="0" w:space="0" w:color="auto"/>
      </w:divBdr>
    </w:div>
    <w:div w:id="602423604">
      <w:bodyDiv w:val="1"/>
      <w:marLeft w:val="0"/>
      <w:marRight w:val="0"/>
      <w:marTop w:val="0"/>
      <w:marBottom w:val="0"/>
      <w:divBdr>
        <w:top w:val="none" w:sz="0" w:space="0" w:color="auto"/>
        <w:left w:val="none" w:sz="0" w:space="0" w:color="auto"/>
        <w:bottom w:val="none" w:sz="0" w:space="0" w:color="auto"/>
        <w:right w:val="none" w:sz="0" w:space="0" w:color="auto"/>
      </w:divBdr>
    </w:div>
    <w:div w:id="628584025">
      <w:bodyDiv w:val="1"/>
      <w:marLeft w:val="0"/>
      <w:marRight w:val="0"/>
      <w:marTop w:val="0"/>
      <w:marBottom w:val="0"/>
      <w:divBdr>
        <w:top w:val="none" w:sz="0" w:space="0" w:color="auto"/>
        <w:left w:val="none" w:sz="0" w:space="0" w:color="auto"/>
        <w:bottom w:val="none" w:sz="0" w:space="0" w:color="auto"/>
        <w:right w:val="none" w:sz="0" w:space="0" w:color="auto"/>
      </w:divBdr>
    </w:div>
    <w:div w:id="658773657">
      <w:bodyDiv w:val="1"/>
      <w:marLeft w:val="0"/>
      <w:marRight w:val="0"/>
      <w:marTop w:val="0"/>
      <w:marBottom w:val="0"/>
      <w:divBdr>
        <w:top w:val="none" w:sz="0" w:space="0" w:color="auto"/>
        <w:left w:val="none" w:sz="0" w:space="0" w:color="auto"/>
        <w:bottom w:val="none" w:sz="0" w:space="0" w:color="auto"/>
        <w:right w:val="none" w:sz="0" w:space="0" w:color="auto"/>
      </w:divBdr>
    </w:div>
    <w:div w:id="711225902">
      <w:bodyDiv w:val="1"/>
      <w:marLeft w:val="0"/>
      <w:marRight w:val="0"/>
      <w:marTop w:val="0"/>
      <w:marBottom w:val="0"/>
      <w:divBdr>
        <w:top w:val="none" w:sz="0" w:space="0" w:color="auto"/>
        <w:left w:val="none" w:sz="0" w:space="0" w:color="auto"/>
        <w:bottom w:val="none" w:sz="0" w:space="0" w:color="auto"/>
        <w:right w:val="none" w:sz="0" w:space="0" w:color="auto"/>
      </w:divBdr>
    </w:div>
    <w:div w:id="727190781">
      <w:bodyDiv w:val="1"/>
      <w:marLeft w:val="0"/>
      <w:marRight w:val="0"/>
      <w:marTop w:val="0"/>
      <w:marBottom w:val="0"/>
      <w:divBdr>
        <w:top w:val="none" w:sz="0" w:space="0" w:color="auto"/>
        <w:left w:val="none" w:sz="0" w:space="0" w:color="auto"/>
        <w:bottom w:val="none" w:sz="0" w:space="0" w:color="auto"/>
        <w:right w:val="none" w:sz="0" w:space="0" w:color="auto"/>
      </w:divBdr>
    </w:div>
    <w:div w:id="747195514">
      <w:bodyDiv w:val="1"/>
      <w:marLeft w:val="0"/>
      <w:marRight w:val="0"/>
      <w:marTop w:val="0"/>
      <w:marBottom w:val="0"/>
      <w:divBdr>
        <w:top w:val="none" w:sz="0" w:space="0" w:color="auto"/>
        <w:left w:val="none" w:sz="0" w:space="0" w:color="auto"/>
        <w:bottom w:val="none" w:sz="0" w:space="0" w:color="auto"/>
        <w:right w:val="none" w:sz="0" w:space="0" w:color="auto"/>
      </w:divBdr>
    </w:div>
    <w:div w:id="750393363">
      <w:bodyDiv w:val="1"/>
      <w:marLeft w:val="0"/>
      <w:marRight w:val="0"/>
      <w:marTop w:val="0"/>
      <w:marBottom w:val="0"/>
      <w:divBdr>
        <w:top w:val="none" w:sz="0" w:space="0" w:color="auto"/>
        <w:left w:val="none" w:sz="0" w:space="0" w:color="auto"/>
        <w:bottom w:val="none" w:sz="0" w:space="0" w:color="auto"/>
        <w:right w:val="none" w:sz="0" w:space="0" w:color="auto"/>
      </w:divBdr>
    </w:div>
    <w:div w:id="794714313">
      <w:bodyDiv w:val="1"/>
      <w:marLeft w:val="0"/>
      <w:marRight w:val="0"/>
      <w:marTop w:val="0"/>
      <w:marBottom w:val="0"/>
      <w:divBdr>
        <w:top w:val="none" w:sz="0" w:space="0" w:color="auto"/>
        <w:left w:val="none" w:sz="0" w:space="0" w:color="auto"/>
        <w:bottom w:val="none" w:sz="0" w:space="0" w:color="auto"/>
        <w:right w:val="none" w:sz="0" w:space="0" w:color="auto"/>
      </w:divBdr>
    </w:div>
    <w:div w:id="975797213">
      <w:bodyDiv w:val="1"/>
      <w:marLeft w:val="0"/>
      <w:marRight w:val="0"/>
      <w:marTop w:val="0"/>
      <w:marBottom w:val="0"/>
      <w:divBdr>
        <w:top w:val="none" w:sz="0" w:space="0" w:color="auto"/>
        <w:left w:val="none" w:sz="0" w:space="0" w:color="auto"/>
        <w:bottom w:val="none" w:sz="0" w:space="0" w:color="auto"/>
        <w:right w:val="none" w:sz="0" w:space="0" w:color="auto"/>
      </w:divBdr>
    </w:div>
    <w:div w:id="989865451">
      <w:bodyDiv w:val="1"/>
      <w:marLeft w:val="0"/>
      <w:marRight w:val="0"/>
      <w:marTop w:val="0"/>
      <w:marBottom w:val="0"/>
      <w:divBdr>
        <w:top w:val="none" w:sz="0" w:space="0" w:color="auto"/>
        <w:left w:val="none" w:sz="0" w:space="0" w:color="auto"/>
        <w:bottom w:val="none" w:sz="0" w:space="0" w:color="auto"/>
        <w:right w:val="none" w:sz="0" w:space="0" w:color="auto"/>
      </w:divBdr>
    </w:div>
    <w:div w:id="1297108438">
      <w:bodyDiv w:val="1"/>
      <w:marLeft w:val="0"/>
      <w:marRight w:val="0"/>
      <w:marTop w:val="0"/>
      <w:marBottom w:val="0"/>
      <w:divBdr>
        <w:top w:val="none" w:sz="0" w:space="0" w:color="auto"/>
        <w:left w:val="none" w:sz="0" w:space="0" w:color="auto"/>
        <w:bottom w:val="none" w:sz="0" w:space="0" w:color="auto"/>
        <w:right w:val="none" w:sz="0" w:space="0" w:color="auto"/>
      </w:divBdr>
    </w:div>
    <w:div w:id="1309676394">
      <w:bodyDiv w:val="1"/>
      <w:marLeft w:val="0"/>
      <w:marRight w:val="0"/>
      <w:marTop w:val="0"/>
      <w:marBottom w:val="0"/>
      <w:divBdr>
        <w:top w:val="none" w:sz="0" w:space="0" w:color="auto"/>
        <w:left w:val="none" w:sz="0" w:space="0" w:color="auto"/>
        <w:bottom w:val="none" w:sz="0" w:space="0" w:color="auto"/>
        <w:right w:val="none" w:sz="0" w:space="0" w:color="auto"/>
      </w:divBdr>
    </w:div>
    <w:div w:id="1390373477">
      <w:bodyDiv w:val="1"/>
      <w:marLeft w:val="0"/>
      <w:marRight w:val="0"/>
      <w:marTop w:val="0"/>
      <w:marBottom w:val="0"/>
      <w:divBdr>
        <w:top w:val="none" w:sz="0" w:space="0" w:color="auto"/>
        <w:left w:val="none" w:sz="0" w:space="0" w:color="auto"/>
        <w:bottom w:val="none" w:sz="0" w:space="0" w:color="auto"/>
        <w:right w:val="none" w:sz="0" w:space="0" w:color="auto"/>
      </w:divBdr>
    </w:div>
    <w:div w:id="1470511208">
      <w:bodyDiv w:val="1"/>
      <w:marLeft w:val="0"/>
      <w:marRight w:val="0"/>
      <w:marTop w:val="0"/>
      <w:marBottom w:val="0"/>
      <w:divBdr>
        <w:top w:val="none" w:sz="0" w:space="0" w:color="auto"/>
        <w:left w:val="none" w:sz="0" w:space="0" w:color="auto"/>
        <w:bottom w:val="none" w:sz="0" w:space="0" w:color="auto"/>
        <w:right w:val="none" w:sz="0" w:space="0" w:color="auto"/>
      </w:divBdr>
    </w:div>
    <w:div w:id="1493908425">
      <w:bodyDiv w:val="1"/>
      <w:marLeft w:val="0"/>
      <w:marRight w:val="0"/>
      <w:marTop w:val="0"/>
      <w:marBottom w:val="0"/>
      <w:divBdr>
        <w:top w:val="none" w:sz="0" w:space="0" w:color="auto"/>
        <w:left w:val="none" w:sz="0" w:space="0" w:color="auto"/>
        <w:bottom w:val="none" w:sz="0" w:space="0" w:color="auto"/>
        <w:right w:val="none" w:sz="0" w:space="0" w:color="auto"/>
      </w:divBdr>
      <w:divsChild>
        <w:div w:id="1099108726">
          <w:marLeft w:val="0"/>
          <w:marRight w:val="0"/>
          <w:marTop w:val="0"/>
          <w:marBottom w:val="225"/>
          <w:divBdr>
            <w:top w:val="none" w:sz="0" w:space="0" w:color="auto"/>
            <w:left w:val="none" w:sz="0" w:space="0" w:color="auto"/>
            <w:bottom w:val="none" w:sz="0" w:space="0" w:color="auto"/>
            <w:right w:val="none" w:sz="0" w:space="0" w:color="auto"/>
          </w:divBdr>
        </w:div>
      </w:divsChild>
    </w:div>
    <w:div w:id="1519811985">
      <w:bodyDiv w:val="1"/>
      <w:marLeft w:val="0"/>
      <w:marRight w:val="0"/>
      <w:marTop w:val="0"/>
      <w:marBottom w:val="0"/>
      <w:divBdr>
        <w:top w:val="none" w:sz="0" w:space="0" w:color="auto"/>
        <w:left w:val="none" w:sz="0" w:space="0" w:color="auto"/>
        <w:bottom w:val="none" w:sz="0" w:space="0" w:color="auto"/>
        <w:right w:val="none" w:sz="0" w:space="0" w:color="auto"/>
      </w:divBdr>
    </w:div>
    <w:div w:id="1593314252">
      <w:bodyDiv w:val="1"/>
      <w:marLeft w:val="0"/>
      <w:marRight w:val="0"/>
      <w:marTop w:val="0"/>
      <w:marBottom w:val="0"/>
      <w:divBdr>
        <w:top w:val="none" w:sz="0" w:space="0" w:color="auto"/>
        <w:left w:val="none" w:sz="0" w:space="0" w:color="auto"/>
        <w:bottom w:val="none" w:sz="0" w:space="0" w:color="auto"/>
        <w:right w:val="none" w:sz="0" w:space="0" w:color="auto"/>
      </w:divBdr>
    </w:div>
    <w:div w:id="1632051311">
      <w:bodyDiv w:val="1"/>
      <w:marLeft w:val="0"/>
      <w:marRight w:val="0"/>
      <w:marTop w:val="0"/>
      <w:marBottom w:val="0"/>
      <w:divBdr>
        <w:top w:val="none" w:sz="0" w:space="0" w:color="auto"/>
        <w:left w:val="none" w:sz="0" w:space="0" w:color="auto"/>
        <w:bottom w:val="none" w:sz="0" w:space="0" w:color="auto"/>
        <w:right w:val="none" w:sz="0" w:space="0" w:color="auto"/>
      </w:divBdr>
    </w:div>
    <w:div w:id="1650137442">
      <w:bodyDiv w:val="1"/>
      <w:marLeft w:val="0"/>
      <w:marRight w:val="0"/>
      <w:marTop w:val="0"/>
      <w:marBottom w:val="0"/>
      <w:divBdr>
        <w:top w:val="none" w:sz="0" w:space="0" w:color="auto"/>
        <w:left w:val="none" w:sz="0" w:space="0" w:color="auto"/>
        <w:bottom w:val="none" w:sz="0" w:space="0" w:color="auto"/>
        <w:right w:val="none" w:sz="0" w:space="0" w:color="auto"/>
      </w:divBdr>
    </w:div>
    <w:div w:id="1743874279">
      <w:bodyDiv w:val="1"/>
      <w:marLeft w:val="0"/>
      <w:marRight w:val="0"/>
      <w:marTop w:val="0"/>
      <w:marBottom w:val="0"/>
      <w:divBdr>
        <w:top w:val="none" w:sz="0" w:space="0" w:color="auto"/>
        <w:left w:val="none" w:sz="0" w:space="0" w:color="auto"/>
        <w:bottom w:val="none" w:sz="0" w:space="0" w:color="auto"/>
        <w:right w:val="none" w:sz="0" w:space="0" w:color="auto"/>
      </w:divBdr>
    </w:div>
    <w:div w:id="1851531105">
      <w:bodyDiv w:val="1"/>
      <w:marLeft w:val="0"/>
      <w:marRight w:val="0"/>
      <w:marTop w:val="0"/>
      <w:marBottom w:val="0"/>
      <w:divBdr>
        <w:top w:val="none" w:sz="0" w:space="0" w:color="auto"/>
        <w:left w:val="none" w:sz="0" w:space="0" w:color="auto"/>
        <w:bottom w:val="none" w:sz="0" w:space="0" w:color="auto"/>
        <w:right w:val="none" w:sz="0" w:space="0" w:color="auto"/>
      </w:divBdr>
    </w:div>
    <w:div w:id="1874608982">
      <w:bodyDiv w:val="1"/>
      <w:marLeft w:val="0"/>
      <w:marRight w:val="0"/>
      <w:marTop w:val="0"/>
      <w:marBottom w:val="0"/>
      <w:divBdr>
        <w:top w:val="none" w:sz="0" w:space="0" w:color="auto"/>
        <w:left w:val="none" w:sz="0" w:space="0" w:color="auto"/>
        <w:bottom w:val="none" w:sz="0" w:space="0" w:color="auto"/>
        <w:right w:val="none" w:sz="0" w:space="0" w:color="auto"/>
      </w:divBdr>
    </w:div>
    <w:div w:id="1935674163">
      <w:bodyDiv w:val="1"/>
      <w:marLeft w:val="0"/>
      <w:marRight w:val="0"/>
      <w:marTop w:val="0"/>
      <w:marBottom w:val="0"/>
      <w:divBdr>
        <w:top w:val="none" w:sz="0" w:space="0" w:color="auto"/>
        <w:left w:val="none" w:sz="0" w:space="0" w:color="auto"/>
        <w:bottom w:val="none" w:sz="0" w:space="0" w:color="auto"/>
        <w:right w:val="none" w:sz="0" w:space="0" w:color="auto"/>
      </w:divBdr>
    </w:div>
    <w:div w:id="2003200254">
      <w:bodyDiv w:val="1"/>
      <w:marLeft w:val="0"/>
      <w:marRight w:val="0"/>
      <w:marTop w:val="0"/>
      <w:marBottom w:val="0"/>
      <w:divBdr>
        <w:top w:val="none" w:sz="0" w:space="0" w:color="auto"/>
        <w:left w:val="none" w:sz="0" w:space="0" w:color="auto"/>
        <w:bottom w:val="none" w:sz="0" w:space="0" w:color="auto"/>
        <w:right w:val="none" w:sz="0" w:space="0" w:color="auto"/>
      </w:divBdr>
    </w:div>
    <w:div w:id="211801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22B9EE0C91747CF9719817CE3D0C6BE"/>
        <w:category>
          <w:name w:val="General"/>
          <w:gallery w:val="placeholder"/>
        </w:category>
        <w:types>
          <w:type w:val="bbPlcHdr"/>
        </w:types>
        <w:behaviors>
          <w:behavior w:val="content"/>
        </w:behaviors>
        <w:guid w:val="{A70F05AD-702D-4A98-BFDF-2EEA5F295578}"/>
      </w:docPartPr>
      <w:docPartBody>
        <w:p w:rsidR="00596EB2" w:rsidRDefault="001F729A" w:rsidP="001F729A">
          <w:pPr>
            <w:pStyle w:val="222B9EE0C91747CF9719817CE3D0C6BE"/>
          </w:pPr>
          <w:r>
            <w:t>[Type the company name]</w:t>
          </w:r>
        </w:p>
      </w:docPartBody>
    </w:docPart>
    <w:docPart>
      <w:docPartPr>
        <w:name w:val="2AD0D5E05A414B1F8C8A6A5377621410"/>
        <w:category>
          <w:name w:val="General"/>
          <w:gallery w:val="placeholder"/>
        </w:category>
        <w:types>
          <w:type w:val="bbPlcHdr"/>
        </w:types>
        <w:behaviors>
          <w:behavior w:val="content"/>
        </w:behaviors>
        <w:guid w:val="{D0542C1E-3B77-4A75-A6E3-B5117CFE9AF8}"/>
      </w:docPartPr>
      <w:docPartBody>
        <w:p w:rsidR="00596EB2" w:rsidRDefault="001F729A" w:rsidP="001F729A">
          <w:pPr>
            <w:pStyle w:val="2AD0D5E05A414B1F8C8A6A5377621410"/>
          </w:pPr>
          <w:r>
            <w:rPr>
              <w:b/>
              <w:bCs/>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F729A"/>
    <w:rsid w:val="001F729A"/>
    <w:rsid w:val="00236C9A"/>
    <w:rsid w:val="00466012"/>
    <w:rsid w:val="00596E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E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2B9EE0C91747CF9719817CE3D0C6BE">
    <w:name w:val="222B9EE0C91747CF9719817CE3D0C6BE"/>
    <w:rsid w:val="001F729A"/>
  </w:style>
  <w:style w:type="paragraph" w:customStyle="1" w:styleId="2AD0D5E05A414B1F8C8A6A5377621410">
    <w:name w:val="2AD0D5E05A414B1F8C8A6A5377621410"/>
    <w:rsid w:val="001F729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DF209-18C6-4899-B764-24BA6F293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3802</Words>
  <Characters>21677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Learning support report</vt:lpstr>
    </vt:vector>
  </TitlesOfParts>
  <Company>Zujaja T Kharal_1919419_ECPT6004_Draft</Company>
  <LinksUpToDate>false</LinksUpToDate>
  <CharactersWithSpaces>25429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support report</dc:title>
  <dc:creator>Zujaja</dc:creator>
  <cp:lastModifiedBy>Zujaja</cp:lastModifiedBy>
  <cp:revision>4</cp:revision>
  <dcterms:created xsi:type="dcterms:W3CDTF">2024-03-21T11:00:00Z</dcterms:created>
  <dcterms:modified xsi:type="dcterms:W3CDTF">2024-03-21T11:01:00Z</dcterms:modified>
</cp:coreProperties>
</file>